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931" w:type="dxa"/>
        <w:tblInd w:w="-32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1"/>
      </w:tblGrid>
      <w:tr w14:paraId="5A9A827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7" w:hRule="atLeast"/>
        </w:trPr>
        <w:tc>
          <w:tcPr>
            <w:tcW w:w="9931" w:type="dxa"/>
          </w:tcPr>
          <w:p w14:paraId="77EFE54E">
            <w:pPr>
              <w:tabs>
                <w:tab w:val="left" w:pos="8375"/>
              </w:tabs>
              <w:rPr>
                <w:rFonts w:hint="eastAsia" w:ascii="宋体" w:hAnsi="宋体" w:eastAsia="宋体" w:cs="宋体"/>
                <w:b/>
                <w:color w:val="auto"/>
                <w:sz w:val="36"/>
                <w:highlight w:val="none"/>
              </w:rPr>
            </w:pPr>
          </w:p>
          <w:p w14:paraId="493CCD02">
            <w:pPr>
              <w:spacing w:line="84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苍 南 县 政 府 采 购</w:t>
            </w:r>
          </w:p>
          <w:p w14:paraId="3C91A051">
            <w:pPr>
              <w:jc w:val="center"/>
              <w:rPr>
                <w:rFonts w:hint="eastAsia" w:ascii="宋体" w:hAnsi="宋体" w:eastAsia="宋体" w:cs="宋体"/>
                <w:bCs/>
                <w:color w:val="auto"/>
                <w:spacing w:val="136"/>
                <w:sz w:val="72"/>
                <w:szCs w:val="72"/>
                <w:highlight w:val="none"/>
              </w:rPr>
            </w:pPr>
            <w:r>
              <w:rPr>
                <w:rFonts w:hint="eastAsia" w:ascii="宋体" w:hAnsi="宋体" w:eastAsia="宋体" w:cs="宋体"/>
                <w:color w:val="auto"/>
                <w:sz w:val="72"/>
                <w:szCs w:val="72"/>
                <w:highlight w:val="none"/>
              </w:rPr>
              <w:t>公开招标采购文件</w:t>
            </w:r>
          </w:p>
          <w:p w14:paraId="39C00E0E">
            <w:pPr>
              <w:spacing w:line="440" w:lineRule="exact"/>
              <w:ind w:left="1148"/>
              <w:rPr>
                <w:rFonts w:hint="eastAsia" w:ascii="宋体" w:hAnsi="宋体" w:eastAsia="宋体" w:cs="宋体"/>
                <w:b/>
                <w:bCs/>
                <w:color w:val="auto"/>
                <w:sz w:val="28"/>
                <w:highlight w:val="none"/>
              </w:rPr>
            </w:pPr>
          </w:p>
          <w:p w14:paraId="17E805A2">
            <w:pPr>
              <w:pStyle w:val="3"/>
              <w:rPr>
                <w:rFonts w:hint="eastAsia" w:ascii="宋体" w:hAnsi="宋体" w:eastAsia="宋体" w:cs="宋体"/>
                <w:color w:val="auto"/>
                <w:highlight w:val="none"/>
              </w:rPr>
            </w:pPr>
          </w:p>
          <w:p w14:paraId="3B2CC376">
            <w:pPr>
              <w:spacing w:line="440" w:lineRule="exact"/>
              <w:ind w:firstLine="1405" w:firstLineChars="500"/>
              <w:rPr>
                <w:rFonts w:hint="eastAsia" w:ascii="宋体" w:hAnsi="宋体" w:eastAsia="宋体" w:cs="宋体"/>
                <w:b/>
                <w:bCs/>
                <w:color w:val="auto"/>
                <w:sz w:val="28"/>
                <w:szCs w:val="28"/>
                <w:highlight w:val="none"/>
                <w:lang w:eastAsia="zh-CN"/>
              </w:rPr>
            </w:pPr>
            <w:r>
              <w:rPr>
                <w:rFonts w:hint="eastAsia" w:ascii="宋体" w:hAnsi="宋体" w:eastAsia="宋体" w:cs="宋体"/>
                <w:b/>
                <w:color w:val="auto"/>
                <w:sz w:val="28"/>
                <w:szCs w:val="28"/>
                <w:highlight w:val="none"/>
                <w:u w:color="800080"/>
              </w:rPr>
              <w:t>项目名称：</w:t>
            </w:r>
            <w:r>
              <w:rPr>
                <w:rFonts w:hint="eastAsia" w:ascii="宋体" w:hAnsi="宋体" w:cs="宋体"/>
                <w:b/>
                <w:bCs/>
                <w:color w:val="auto"/>
                <w:spacing w:val="-16"/>
                <w:sz w:val="28"/>
                <w:szCs w:val="28"/>
                <w:highlight w:val="none"/>
                <w:lang w:eastAsia="zh-CN"/>
              </w:rPr>
              <w:t>2025年度苍南县百里平水公园(灵溪段)及南塘长效管理项目（重）</w:t>
            </w:r>
          </w:p>
          <w:p w14:paraId="3F5354C4">
            <w:pPr>
              <w:spacing w:line="440" w:lineRule="exact"/>
              <w:ind w:firstLine="1405" w:firstLineChars="5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采购方式：公开招标</w:t>
            </w:r>
          </w:p>
          <w:p w14:paraId="7AE7C74E">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28D5EEF4">
            <w:pPr>
              <w:spacing w:line="440" w:lineRule="exact"/>
              <w:rPr>
                <w:rFonts w:hint="eastAsia" w:ascii="宋体" w:hAnsi="宋体" w:eastAsia="宋体" w:cs="宋体"/>
                <w:b/>
                <w:color w:val="auto"/>
                <w:sz w:val="28"/>
                <w:szCs w:val="28"/>
                <w:highlight w:val="none"/>
              </w:rPr>
            </w:pPr>
          </w:p>
          <w:p w14:paraId="323CC49C">
            <w:pPr>
              <w:spacing w:line="440" w:lineRule="exact"/>
              <w:ind w:left="3247" w:leftChars="860" w:hanging="1355" w:hangingChars="482"/>
              <w:rPr>
                <w:rFonts w:hint="eastAsia" w:ascii="宋体" w:hAnsi="宋体" w:eastAsia="宋体" w:cs="宋体"/>
                <w:b/>
                <w:color w:val="auto"/>
                <w:sz w:val="28"/>
                <w:szCs w:val="28"/>
                <w:highlight w:val="none"/>
              </w:rPr>
            </w:pPr>
          </w:p>
          <w:p w14:paraId="604F5077">
            <w:pPr>
              <w:spacing w:line="440" w:lineRule="exact"/>
              <w:ind w:firstLine="1405" w:firstLineChars="5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 购 人：苍南县灵溪镇人民政府</w:t>
            </w:r>
          </w:p>
          <w:p w14:paraId="5F3A2A92">
            <w:pPr>
              <w:spacing w:line="440" w:lineRule="exact"/>
              <w:ind w:firstLine="1816" w:firstLineChars="646"/>
              <w:rPr>
                <w:rFonts w:hint="eastAsia" w:ascii="宋体" w:hAnsi="宋体" w:eastAsia="宋体" w:cs="宋体"/>
                <w:b/>
                <w:color w:val="auto"/>
                <w:sz w:val="28"/>
                <w:szCs w:val="28"/>
                <w:highlight w:val="none"/>
              </w:rPr>
            </w:pPr>
          </w:p>
          <w:p w14:paraId="55801AD9">
            <w:pPr>
              <w:spacing w:line="440" w:lineRule="exact"/>
              <w:rPr>
                <w:rFonts w:hint="eastAsia" w:ascii="宋体" w:hAnsi="宋体" w:eastAsia="宋体" w:cs="宋体"/>
                <w:b/>
                <w:color w:val="auto"/>
                <w:sz w:val="28"/>
                <w:szCs w:val="28"/>
                <w:highlight w:val="none"/>
              </w:rPr>
            </w:pPr>
          </w:p>
          <w:p w14:paraId="2E92E1AE">
            <w:pPr>
              <w:spacing w:line="440" w:lineRule="exact"/>
              <w:rPr>
                <w:rFonts w:hint="eastAsia" w:ascii="宋体" w:hAnsi="宋体" w:eastAsia="宋体" w:cs="宋体"/>
                <w:b/>
                <w:color w:val="auto"/>
                <w:sz w:val="28"/>
                <w:szCs w:val="28"/>
                <w:highlight w:val="none"/>
              </w:rPr>
            </w:pPr>
          </w:p>
          <w:p w14:paraId="53E8AACC">
            <w:pPr>
              <w:spacing w:line="440" w:lineRule="exact"/>
              <w:ind w:firstLine="1405" w:firstLine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代理机构：</w:t>
            </w:r>
            <w:r>
              <w:rPr>
                <w:rFonts w:hint="eastAsia" w:ascii="宋体" w:hAnsi="宋体" w:eastAsia="宋体" w:cs="宋体"/>
                <w:b/>
                <w:color w:val="auto"/>
                <w:sz w:val="28"/>
                <w:szCs w:val="28"/>
                <w:highlight w:val="none"/>
                <w:lang w:eastAsia="zh-CN"/>
              </w:rPr>
              <w:t>浙江国信工程管理咨询有限公司</w:t>
            </w:r>
          </w:p>
          <w:p w14:paraId="1FED451B">
            <w:pPr>
              <w:spacing w:line="440" w:lineRule="exact"/>
              <w:ind w:firstLine="1405" w:firstLineChars="500"/>
              <w:rPr>
                <w:rFonts w:hint="default"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联 系 人：</w:t>
            </w:r>
            <w:r>
              <w:rPr>
                <w:rFonts w:hint="eastAsia" w:ascii="宋体" w:hAnsi="宋体" w:eastAsia="宋体" w:cs="宋体"/>
                <w:b/>
                <w:color w:val="auto"/>
                <w:sz w:val="28"/>
                <w:szCs w:val="28"/>
                <w:highlight w:val="none"/>
                <w:lang w:eastAsia="zh-CN"/>
              </w:rPr>
              <w:t>许女士</w:t>
            </w:r>
            <w:r>
              <w:rPr>
                <w:rFonts w:hint="default" w:ascii="宋体" w:hAnsi="宋体" w:cs="宋体"/>
                <w:b/>
                <w:color w:val="auto"/>
                <w:sz w:val="28"/>
                <w:szCs w:val="28"/>
                <w:highlight w:val="none"/>
                <w:lang w:eastAsia="zh-CN"/>
              </w:rPr>
              <w:t xml:space="preserve"> </w:t>
            </w:r>
          </w:p>
          <w:p w14:paraId="6C80CCFC">
            <w:pPr>
              <w:spacing w:line="440" w:lineRule="exact"/>
              <w:ind w:firstLine="1405" w:firstLineChars="5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联系电话：</w:t>
            </w:r>
            <w:r>
              <w:rPr>
                <w:rFonts w:hint="eastAsia" w:ascii="宋体" w:hAnsi="宋体" w:eastAsia="宋体" w:cs="宋体"/>
                <w:b/>
                <w:color w:val="auto"/>
                <w:sz w:val="28"/>
                <w:szCs w:val="28"/>
                <w:highlight w:val="none"/>
                <w:lang w:eastAsia="zh-CN"/>
              </w:rPr>
              <w:t>0577-68117263</w:t>
            </w:r>
          </w:p>
          <w:p w14:paraId="2444D7E2">
            <w:pPr>
              <w:spacing w:line="440" w:lineRule="exact"/>
              <w:ind w:firstLine="1816" w:firstLineChars="646"/>
              <w:rPr>
                <w:rFonts w:hint="eastAsia" w:ascii="宋体" w:hAnsi="宋体" w:eastAsia="宋体" w:cs="宋体"/>
                <w:b/>
                <w:color w:val="auto"/>
                <w:sz w:val="28"/>
                <w:szCs w:val="28"/>
                <w:highlight w:val="none"/>
              </w:rPr>
            </w:pPr>
          </w:p>
          <w:p w14:paraId="001AC828">
            <w:pPr>
              <w:spacing w:line="440" w:lineRule="exact"/>
              <w:ind w:firstLine="1816" w:firstLineChars="646"/>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 </w:t>
            </w:r>
          </w:p>
          <w:p w14:paraId="1E7D4BD9">
            <w:pPr>
              <w:spacing w:line="440" w:lineRule="exact"/>
              <w:ind w:firstLine="1816" w:firstLineChars="646"/>
              <w:rPr>
                <w:rFonts w:hint="eastAsia" w:ascii="宋体" w:hAnsi="宋体" w:eastAsia="宋体" w:cs="宋体"/>
                <w:b/>
                <w:color w:val="auto"/>
                <w:sz w:val="28"/>
                <w:szCs w:val="28"/>
                <w:highlight w:val="none"/>
              </w:rPr>
            </w:pPr>
          </w:p>
          <w:p w14:paraId="47D388D8">
            <w:pPr>
              <w:spacing w:line="440" w:lineRule="exact"/>
              <w:rPr>
                <w:rFonts w:hint="eastAsia" w:ascii="宋体" w:hAnsi="宋体" w:eastAsia="宋体" w:cs="宋体"/>
                <w:b/>
                <w:color w:val="auto"/>
                <w:sz w:val="28"/>
                <w:szCs w:val="28"/>
                <w:highlight w:val="none"/>
              </w:rPr>
            </w:pPr>
          </w:p>
          <w:p w14:paraId="5A36B121">
            <w:pPr>
              <w:pStyle w:val="19"/>
              <w:ind w:left="103" w:leftChars="47" w:firstLine="45" w:firstLineChars="15"/>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监督机构：</w:t>
            </w:r>
            <w:r>
              <w:rPr>
                <w:rFonts w:hint="eastAsia" w:ascii="宋体" w:hAnsi="宋体" w:eastAsia="宋体" w:cs="宋体"/>
                <w:b/>
                <w:color w:val="auto"/>
                <w:sz w:val="30"/>
                <w:szCs w:val="30"/>
                <w:highlight w:val="none"/>
                <w:lang w:eastAsia="zh-CN"/>
              </w:rPr>
              <w:t>苍南县财政局（浙江省政府采购行政裁决服务中心（温州））</w:t>
            </w:r>
          </w:p>
          <w:p w14:paraId="37683E7D">
            <w:pPr>
              <w:ind w:firstLine="1791" w:firstLineChars="811"/>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14:paraId="35320299">
            <w:pPr>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二〇二</w:t>
            </w: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 xml:space="preserve"> </w:t>
            </w:r>
            <w:r>
              <w:rPr>
                <w:rFonts w:hint="eastAsia" w:ascii="宋体" w:hAnsi="宋体" w:cs="宋体"/>
                <w:b/>
                <w:color w:val="auto"/>
                <w:sz w:val="30"/>
                <w:szCs w:val="30"/>
                <w:highlight w:val="none"/>
                <w:lang w:val="en-US" w:eastAsia="zh-CN"/>
              </w:rPr>
              <w:t xml:space="preserve">六 </w:t>
            </w:r>
            <w:r>
              <w:rPr>
                <w:rFonts w:hint="eastAsia" w:ascii="宋体" w:hAnsi="宋体" w:eastAsia="宋体" w:cs="宋体"/>
                <w:b/>
                <w:color w:val="auto"/>
                <w:sz w:val="30"/>
                <w:szCs w:val="30"/>
                <w:highlight w:val="none"/>
              </w:rPr>
              <w:t>月</w:t>
            </w:r>
          </w:p>
        </w:tc>
      </w:tr>
    </w:tbl>
    <w:p w14:paraId="748C1C18">
      <w:pPr>
        <w:pStyle w:val="3"/>
        <w:spacing w:before="0" w:after="0"/>
        <w:rPr>
          <w:rFonts w:hint="eastAsia" w:ascii="宋体" w:hAnsi="宋体" w:eastAsia="宋体" w:cs="宋体"/>
          <w:b w:val="0"/>
          <w:bCs/>
          <w:color w:val="auto"/>
          <w:spacing w:val="0"/>
          <w:szCs w:val="22"/>
          <w:highlight w:val="none"/>
        </w:rPr>
        <w:sectPr>
          <w:headerReference r:id="rId3" w:type="even"/>
          <w:footerReference r:id="rId4" w:type="even"/>
          <w:pgSz w:w="11906" w:h="16838"/>
          <w:pgMar w:top="1191" w:right="1191" w:bottom="1191" w:left="1361" w:header="851" w:footer="992" w:gutter="0"/>
          <w:pgBorders>
            <w:top w:val="none" w:sz="0" w:space="0"/>
            <w:left w:val="none" w:sz="0" w:space="0"/>
            <w:bottom w:val="none" w:sz="0" w:space="0"/>
            <w:right w:val="none" w:sz="0" w:space="0"/>
          </w:pgBorders>
          <w:pgNumType w:start="0"/>
          <w:cols w:space="720" w:num="1"/>
          <w:titlePg/>
          <w:docGrid w:type="lines" w:linePitch="324" w:charSpace="0"/>
        </w:sectPr>
      </w:pPr>
      <w:bookmarkStart w:id="0" w:name="_Toc14741"/>
      <w:bookmarkStart w:id="1" w:name="_Toc542"/>
      <w:bookmarkStart w:id="2" w:name="_Toc31974"/>
      <w:bookmarkStart w:id="3" w:name="OLE_LINK25"/>
    </w:p>
    <w:p w14:paraId="5C0AD5F1">
      <w:pPr>
        <w:pStyle w:val="3"/>
        <w:spacing w:before="0" w:after="156" w:afterLines="50"/>
        <w:rPr>
          <w:rFonts w:hint="eastAsia" w:ascii="宋体" w:hAnsi="宋体" w:eastAsia="宋体" w:cs="宋体"/>
          <w:bCs/>
          <w:color w:val="auto"/>
          <w:spacing w:val="0"/>
          <w:sz w:val="30"/>
          <w:szCs w:val="30"/>
          <w:highlight w:val="none"/>
          <w:lang w:eastAsia="zh-CN"/>
        </w:rPr>
        <w:sectPr>
          <w:footerReference r:id="rId5" w:type="default"/>
          <w:pgSz w:w="11906" w:h="16838"/>
          <w:pgMar w:top="1191" w:right="1191" w:bottom="1191" w:left="1361" w:header="851" w:footer="964" w:gutter="0"/>
          <w:pgBorders>
            <w:top w:val="none" w:sz="0" w:space="0"/>
            <w:left w:val="none" w:sz="0" w:space="0"/>
            <w:bottom w:val="none" w:sz="0" w:space="0"/>
            <w:right w:val="none" w:sz="0" w:space="0"/>
          </w:pgBorders>
          <w:pgNumType w:fmt="decimal" w:start="1"/>
          <w:cols w:space="425" w:num="1"/>
          <w:docGrid w:type="lines" w:linePitch="312" w:charSpace="0"/>
        </w:sectPr>
      </w:pPr>
      <w:bookmarkStart w:id="4" w:name="OLE_LINK1"/>
    </w:p>
    <w:p w14:paraId="3E1EB124">
      <w:pPr>
        <w:pStyle w:val="3"/>
        <w:spacing w:before="0" w:after="156" w:afterLines="50"/>
        <w:rPr>
          <w:rFonts w:hint="eastAsia" w:ascii="宋体" w:hAnsi="宋体" w:eastAsia="宋体" w:cs="宋体"/>
          <w:bCs/>
          <w:color w:val="auto"/>
          <w:spacing w:val="0"/>
          <w:highlight w:val="none"/>
        </w:rPr>
      </w:pPr>
      <w:r>
        <w:rPr>
          <w:rFonts w:hint="eastAsia" w:ascii="宋体" w:hAnsi="宋体" w:eastAsia="宋体" w:cs="宋体"/>
          <w:bCs/>
          <w:color w:val="auto"/>
          <w:spacing w:val="0"/>
          <w:sz w:val="30"/>
          <w:szCs w:val="30"/>
          <w:highlight w:val="none"/>
          <w:lang w:eastAsia="zh-CN"/>
        </w:rPr>
        <w:t>浙江国信工程管理咨询有限公司</w:t>
      </w:r>
      <w:r>
        <w:rPr>
          <w:rFonts w:hint="eastAsia" w:ascii="宋体" w:hAnsi="宋体" w:eastAsia="宋体" w:cs="宋体"/>
          <w:bCs/>
          <w:color w:val="auto"/>
          <w:spacing w:val="0"/>
          <w:sz w:val="30"/>
          <w:szCs w:val="30"/>
          <w:highlight w:val="none"/>
        </w:rPr>
        <w:t>关于</w:t>
      </w:r>
      <w:r>
        <w:rPr>
          <w:rFonts w:hint="eastAsia" w:ascii="宋体" w:hAnsi="宋体" w:eastAsia="宋体" w:cs="宋体"/>
          <w:bCs/>
          <w:color w:val="auto"/>
          <w:spacing w:val="0"/>
          <w:sz w:val="30"/>
          <w:szCs w:val="30"/>
          <w:highlight w:val="none"/>
          <w:lang w:eastAsia="zh-CN"/>
        </w:rPr>
        <w:t>2025年度苍南县百里平水公园(灵溪段)及南塘长效管理项目（重）</w:t>
      </w:r>
      <w:r>
        <w:rPr>
          <w:rFonts w:hint="eastAsia" w:ascii="宋体" w:hAnsi="宋体" w:eastAsia="宋体" w:cs="宋体"/>
          <w:bCs/>
          <w:color w:val="auto"/>
          <w:spacing w:val="0"/>
          <w:sz w:val="30"/>
          <w:szCs w:val="30"/>
          <w:highlight w:val="none"/>
        </w:rPr>
        <w:t>的公开招标公告</w:t>
      </w:r>
      <w:bookmarkEnd w:id="0"/>
      <w:bookmarkEnd w:id="1"/>
      <w:bookmarkEnd w:id="2"/>
      <w:r>
        <w:rPr>
          <w:rFonts w:hint="eastAsia" w:ascii="宋体" w:hAnsi="宋体" w:eastAsia="宋体" w:cs="宋体"/>
          <w:color w:val="auto"/>
          <w:sz w:val="22"/>
          <w:szCs w:val="22"/>
          <w:highlight w:val="none"/>
        </w:rPr>
        <w:t xml:space="preserve"> </w:t>
      </w:r>
    </w:p>
    <w:p w14:paraId="3A7E85A0">
      <w:pPr>
        <w:pBdr>
          <w:top w:val="single" w:color="auto" w:sz="4" w:space="1"/>
          <w:left w:val="single" w:color="auto" w:sz="4" w:space="4"/>
          <w:bottom w:val="single" w:color="auto" w:sz="4" w:space="1"/>
          <w:right w:val="single" w:color="auto" w:sz="4" w:space="5"/>
        </w:pBdr>
        <w:spacing w:line="42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项目概况</w:t>
      </w:r>
    </w:p>
    <w:p w14:paraId="22D912E9">
      <w:pPr>
        <w:pBdr>
          <w:top w:val="single" w:color="auto" w:sz="4" w:space="1"/>
          <w:left w:val="single" w:color="auto" w:sz="4" w:space="4"/>
          <w:bottom w:val="single" w:color="auto" w:sz="4" w:space="1"/>
          <w:right w:val="single" w:color="auto" w:sz="4" w:space="5"/>
        </w:pBdr>
        <w:spacing w:line="420" w:lineRule="exact"/>
        <w:ind w:firstLine="440" w:firstLineChars="200"/>
        <w:rPr>
          <w:rFonts w:hint="eastAsia" w:ascii="宋体" w:hAnsi="宋体" w:eastAsia="宋体" w:cs="宋体"/>
          <w:color w:val="auto"/>
          <w:szCs w:val="22"/>
          <w:highlight w:val="none"/>
          <w:u w:val="single"/>
        </w:rPr>
      </w:pPr>
      <w:r>
        <w:rPr>
          <w:rFonts w:hint="eastAsia" w:ascii="宋体" w:hAnsi="宋体" w:cs="宋体"/>
          <w:bCs/>
          <w:color w:val="auto"/>
          <w:szCs w:val="22"/>
          <w:highlight w:val="none"/>
          <w:u w:val="single"/>
          <w:lang w:eastAsia="zh-CN"/>
        </w:rPr>
        <w:t>2025年度苍南县百里平水公园(灵溪段)及南塘长效管理项目（重）</w:t>
      </w:r>
      <w:r>
        <w:rPr>
          <w:rFonts w:hint="eastAsia" w:ascii="宋体" w:hAnsi="宋体" w:eastAsia="宋体" w:cs="宋体"/>
          <w:bCs/>
          <w:color w:val="auto"/>
          <w:szCs w:val="22"/>
          <w:highlight w:val="none"/>
        </w:rPr>
        <w:t>招标项目</w:t>
      </w:r>
      <w:r>
        <w:rPr>
          <w:rFonts w:hint="eastAsia" w:ascii="宋体" w:hAnsi="宋体" w:eastAsia="宋体" w:cs="宋体"/>
          <w:color w:val="auto"/>
          <w:szCs w:val="22"/>
          <w:highlight w:val="none"/>
        </w:rPr>
        <w:t>的潜在投标人应在政采云平台（www.zcygov.cn）获取（下载）招标文件，并于</w:t>
      </w:r>
      <w:r>
        <w:rPr>
          <w:rFonts w:hint="eastAsia" w:ascii="宋体" w:hAnsi="宋体" w:eastAsia="宋体" w:cs="宋体"/>
          <w:color w:val="auto"/>
          <w:szCs w:val="22"/>
          <w:highlight w:val="none"/>
          <w:u w:val="single"/>
          <w:lang w:eastAsia="zh-CN"/>
        </w:rPr>
        <w:t xml:space="preserve">2025年 </w:t>
      </w:r>
      <w:r>
        <w:rPr>
          <w:rFonts w:hint="default" w:ascii="宋体" w:hAnsi="宋体" w:cs="宋体"/>
          <w:color w:val="auto"/>
          <w:szCs w:val="22"/>
          <w:highlight w:val="none"/>
          <w:u w:val="single"/>
          <w:lang w:eastAsia="zh-CN"/>
        </w:rPr>
        <w:t>0</w:t>
      </w:r>
      <w:r>
        <w:rPr>
          <w:rFonts w:hint="eastAsia" w:ascii="宋体" w:hAnsi="宋体" w:cs="宋体"/>
          <w:color w:val="auto"/>
          <w:szCs w:val="22"/>
          <w:highlight w:val="none"/>
          <w:u w:val="single"/>
          <w:lang w:val="en-US" w:eastAsia="zh-CN"/>
        </w:rPr>
        <w:t>7</w:t>
      </w:r>
      <w:r>
        <w:rPr>
          <w:rFonts w:hint="eastAsia" w:ascii="宋体" w:hAnsi="宋体" w:eastAsia="宋体" w:cs="宋体"/>
          <w:color w:val="auto"/>
          <w:szCs w:val="22"/>
          <w:highlight w:val="none"/>
          <w:u w:val="single"/>
          <w:lang w:eastAsia="zh-CN"/>
        </w:rPr>
        <w:t xml:space="preserve"> 月 </w:t>
      </w:r>
      <w:r>
        <w:rPr>
          <w:rFonts w:hint="eastAsia" w:ascii="宋体" w:hAnsi="宋体" w:cs="宋体"/>
          <w:color w:val="auto"/>
          <w:szCs w:val="22"/>
          <w:highlight w:val="none"/>
          <w:u w:val="single"/>
          <w:lang w:val="en-US" w:eastAsia="zh-CN"/>
        </w:rPr>
        <w:t>08</w:t>
      </w:r>
      <w:r>
        <w:rPr>
          <w:rFonts w:hint="eastAsia" w:ascii="宋体" w:hAnsi="宋体" w:eastAsia="宋体" w:cs="宋体"/>
          <w:color w:val="auto"/>
          <w:szCs w:val="22"/>
          <w:highlight w:val="none"/>
          <w:u w:val="single"/>
          <w:lang w:eastAsia="zh-CN"/>
        </w:rPr>
        <w:t xml:space="preserve"> 日</w:t>
      </w:r>
      <w:r>
        <w:rPr>
          <w:rFonts w:hint="eastAsia" w:ascii="宋体" w:hAnsi="宋体" w:cs="宋体"/>
          <w:color w:val="auto"/>
          <w:szCs w:val="22"/>
          <w:highlight w:val="none"/>
          <w:u w:val="single"/>
          <w:lang w:val="en-US" w:eastAsia="zh-CN"/>
        </w:rPr>
        <w:t>14</w:t>
      </w:r>
      <w:r>
        <w:rPr>
          <w:rFonts w:hint="eastAsia" w:ascii="宋体" w:hAnsi="宋体" w:eastAsia="宋体" w:cs="宋体"/>
          <w:color w:val="auto"/>
          <w:szCs w:val="22"/>
          <w:highlight w:val="none"/>
          <w:u w:val="single"/>
        </w:rPr>
        <w:t>:30</w:t>
      </w:r>
      <w:r>
        <w:rPr>
          <w:rFonts w:hint="eastAsia" w:ascii="宋体" w:hAnsi="宋体" w:eastAsia="宋体" w:cs="宋体"/>
          <w:bCs/>
          <w:color w:val="auto"/>
          <w:szCs w:val="22"/>
          <w:highlight w:val="none"/>
        </w:rPr>
        <w:t>（北京时间）前</w:t>
      </w:r>
      <w:r>
        <w:rPr>
          <w:rFonts w:hint="eastAsia" w:ascii="宋体" w:hAnsi="宋体" w:eastAsia="宋体" w:cs="宋体"/>
          <w:color w:val="auto"/>
          <w:szCs w:val="22"/>
          <w:highlight w:val="none"/>
        </w:rPr>
        <w:t>递交（上传）投标文件。</w:t>
      </w:r>
    </w:p>
    <w:p w14:paraId="7CB72891">
      <w:pPr>
        <w:spacing w:before="156" w:beforeLines="50" w:line="360" w:lineRule="auto"/>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一、项目基本情况</w:t>
      </w:r>
    </w:p>
    <w:p w14:paraId="199C3E29">
      <w:pPr>
        <w:spacing w:line="420" w:lineRule="exact"/>
        <w:ind w:left="6" w:right="79"/>
        <w:rPr>
          <w:rFonts w:hint="eastAsia" w:ascii="宋体" w:hAnsi="宋体" w:eastAsia="宋体" w:cs="宋体"/>
          <w:color w:val="auto"/>
          <w:kern w:val="0"/>
          <w:szCs w:val="22"/>
          <w:highlight w:val="none"/>
          <w:lang w:eastAsia="zh-CN"/>
        </w:rPr>
      </w:pPr>
      <w:r>
        <w:rPr>
          <w:rFonts w:hint="eastAsia" w:ascii="宋体" w:hAnsi="宋体" w:eastAsia="宋体" w:cs="宋体"/>
          <w:color w:val="auto"/>
          <w:kern w:val="0"/>
          <w:szCs w:val="22"/>
          <w:highlight w:val="none"/>
        </w:rPr>
        <w:t xml:space="preserve">  项目编号：</w:t>
      </w:r>
      <w:r>
        <w:rPr>
          <w:rFonts w:hint="eastAsia" w:ascii="宋体" w:hAnsi="宋体" w:cs="宋体"/>
          <w:color w:val="auto"/>
          <w:kern w:val="0"/>
          <w:szCs w:val="22"/>
          <w:highlight w:val="none"/>
          <w:lang w:eastAsia="zh-CN"/>
        </w:rPr>
        <w:t>CNDL2025101</w:t>
      </w:r>
    </w:p>
    <w:p w14:paraId="1A096B8F">
      <w:pPr>
        <w:spacing w:line="420" w:lineRule="exact"/>
        <w:ind w:left="6" w:right="79"/>
        <w:rPr>
          <w:rFonts w:hint="eastAsia" w:ascii="宋体" w:hAnsi="宋体" w:eastAsia="宋体" w:cs="宋体"/>
          <w:color w:val="auto"/>
          <w:kern w:val="0"/>
          <w:szCs w:val="22"/>
          <w:highlight w:val="none"/>
          <w:lang w:eastAsia="zh-CN"/>
        </w:rPr>
      </w:pPr>
      <w:r>
        <w:rPr>
          <w:rFonts w:hint="eastAsia" w:ascii="宋体" w:hAnsi="宋体" w:eastAsia="宋体" w:cs="宋体"/>
          <w:color w:val="auto"/>
          <w:kern w:val="0"/>
          <w:szCs w:val="22"/>
          <w:highlight w:val="none"/>
        </w:rPr>
        <w:t xml:space="preserve">  项目名称：</w:t>
      </w:r>
      <w:r>
        <w:rPr>
          <w:rFonts w:hint="eastAsia" w:ascii="宋体" w:hAnsi="宋体" w:cs="宋体"/>
          <w:bCs/>
          <w:color w:val="auto"/>
          <w:kern w:val="0"/>
          <w:szCs w:val="22"/>
          <w:highlight w:val="none"/>
          <w:lang w:eastAsia="zh-CN"/>
        </w:rPr>
        <w:t>2025年度苍南县百里平水公园(灵溪段)及南塘长效管理项目（重）</w:t>
      </w:r>
    </w:p>
    <w:p w14:paraId="76701D6B">
      <w:pPr>
        <w:spacing w:line="420" w:lineRule="exact"/>
        <w:ind w:left="6" w:right="79"/>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 xml:space="preserve">  预算金额（元）：</w:t>
      </w:r>
      <w:r>
        <w:rPr>
          <w:rFonts w:hint="eastAsia" w:ascii="宋体" w:hAnsi="宋体" w:cs="宋体"/>
          <w:color w:val="auto"/>
          <w:kern w:val="0"/>
          <w:szCs w:val="22"/>
          <w:highlight w:val="none"/>
          <w:lang w:val="en-US" w:eastAsia="zh-CN"/>
        </w:rPr>
        <w:t>1870686</w:t>
      </w:r>
    </w:p>
    <w:p w14:paraId="46259538">
      <w:pPr>
        <w:spacing w:line="420" w:lineRule="exact"/>
        <w:ind w:left="6" w:right="79"/>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 xml:space="preserve">  最高限价（元）：</w:t>
      </w:r>
      <w:r>
        <w:rPr>
          <w:rFonts w:hint="eastAsia" w:ascii="宋体" w:hAnsi="宋体" w:cs="宋体"/>
          <w:color w:val="auto"/>
          <w:kern w:val="0"/>
          <w:szCs w:val="22"/>
          <w:highlight w:val="none"/>
          <w:lang w:val="en-US" w:eastAsia="zh-CN"/>
        </w:rPr>
        <w:t>1870686</w:t>
      </w:r>
    </w:p>
    <w:p w14:paraId="2ADA6F38">
      <w:pPr>
        <w:spacing w:line="420" w:lineRule="exact"/>
        <w:ind w:left="6" w:right="79"/>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 xml:space="preserve">  采购需求： </w:t>
      </w:r>
    </w:p>
    <w:p w14:paraId="18E98413">
      <w:pPr>
        <w:spacing w:line="420" w:lineRule="exact"/>
        <w:ind w:left="6" w:right="79"/>
        <w:rPr>
          <w:rFonts w:hint="eastAsia" w:ascii="宋体" w:hAnsi="宋体" w:eastAsia="宋体" w:cs="宋体"/>
          <w:bCs/>
          <w:color w:val="auto"/>
          <w:kern w:val="0"/>
          <w:szCs w:val="22"/>
          <w:highlight w:val="none"/>
          <w:lang w:eastAsia="zh-CN"/>
        </w:rPr>
      </w:pPr>
      <w:r>
        <w:rPr>
          <w:rFonts w:hint="eastAsia" w:ascii="宋体" w:hAnsi="宋体" w:eastAsia="宋体" w:cs="宋体"/>
          <w:bCs/>
          <w:color w:val="auto"/>
          <w:kern w:val="0"/>
          <w:szCs w:val="22"/>
          <w:highlight w:val="none"/>
        </w:rPr>
        <w:t xml:space="preserve">  标项名称:</w:t>
      </w:r>
      <w:r>
        <w:rPr>
          <w:rFonts w:hint="eastAsia" w:ascii="宋体" w:hAnsi="宋体" w:cs="宋体"/>
          <w:bCs/>
          <w:color w:val="auto"/>
          <w:kern w:val="0"/>
          <w:szCs w:val="22"/>
          <w:highlight w:val="none"/>
          <w:lang w:val="en-US" w:eastAsia="zh-CN"/>
        </w:rPr>
        <w:t xml:space="preserve"> </w:t>
      </w:r>
      <w:r>
        <w:rPr>
          <w:rFonts w:hint="eastAsia" w:ascii="宋体" w:hAnsi="宋体" w:cs="宋体"/>
          <w:bCs/>
          <w:color w:val="auto"/>
          <w:kern w:val="0"/>
          <w:szCs w:val="22"/>
          <w:highlight w:val="none"/>
          <w:lang w:eastAsia="zh-CN"/>
        </w:rPr>
        <w:t>2025年度苍南县百里平水公园(灵溪段)及南塘长效管理项目（重）</w:t>
      </w:r>
    </w:p>
    <w:p w14:paraId="517C8061">
      <w:pPr>
        <w:spacing w:line="420" w:lineRule="exact"/>
        <w:ind w:left="6" w:right="79"/>
        <w:rPr>
          <w:rFonts w:hint="eastAsia" w:ascii="宋体" w:hAnsi="宋体" w:eastAsia="宋体" w:cs="宋体"/>
          <w:bCs/>
          <w:color w:val="auto"/>
          <w:kern w:val="0"/>
          <w:szCs w:val="22"/>
          <w:highlight w:val="none"/>
          <w:lang w:eastAsia="zh-CN"/>
        </w:rPr>
      </w:pPr>
      <w:r>
        <w:rPr>
          <w:rFonts w:hint="eastAsia" w:ascii="宋体" w:hAnsi="宋体" w:eastAsia="宋体" w:cs="宋体"/>
          <w:bCs/>
          <w:color w:val="auto"/>
          <w:kern w:val="0"/>
          <w:szCs w:val="22"/>
          <w:highlight w:val="none"/>
        </w:rPr>
        <w:t xml:space="preserve">  数量:</w:t>
      </w:r>
      <w:r>
        <w:rPr>
          <w:rFonts w:hint="eastAsia" w:ascii="宋体" w:hAnsi="宋体" w:cs="宋体"/>
          <w:bCs/>
          <w:color w:val="auto"/>
          <w:kern w:val="0"/>
          <w:szCs w:val="22"/>
          <w:highlight w:val="none"/>
          <w:lang w:val="en-US" w:eastAsia="zh-CN"/>
        </w:rPr>
        <w:t xml:space="preserve"> </w:t>
      </w:r>
      <w:r>
        <w:rPr>
          <w:rFonts w:hint="eastAsia" w:ascii="宋体" w:hAnsi="宋体" w:eastAsia="宋体" w:cs="宋体"/>
          <w:bCs/>
          <w:color w:val="auto"/>
          <w:kern w:val="0"/>
          <w:szCs w:val="22"/>
          <w:highlight w:val="none"/>
        </w:rPr>
        <w:t>1</w:t>
      </w:r>
    </w:p>
    <w:p w14:paraId="3055DAE9">
      <w:pPr>
        <w:spacing w:line="420" w:lineRule="exact"/>
        <w:ind w:left="6" w:right="79"/>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 xml:space="preserve">  预算金额（元）: </w:t>
      </w:r>
      <w:r>
        <w:rPr>
          <w:rFonts w:hint="eastAsia" w:ascii="宋体" w:hAnsi="宋体" w:cs="宋体"/>
          <w:color w:val="auto"/>
          <w:kern w:val="0"/>
          <w:szCs w:val="22"/>
          <w:highlight w:val="none"/>
          <w:lang w:eastAsia="zh-CN"/>
        </w:rPr>
        <w:t>1870686</w:t>
      </w:r>
      <w:r>
        <w:rPr>
          <w:rFonts w:hint="eastAsia" w:ascii="宋体" w:hAnsi="宋体" w:eastAsia="宋体" w:cs="宋体"/>
          <w:color w:val="auto"/>
          <w:kern w:val="0"/>
          <w:szCs w:val="22"/>
          <w:highlight w:val="none"/>
        </w:rPr>
        <w:t xml:space="preserve"> </w:t>
      </w:r>
    </w:p>
    <w:p w14:paraId="68BBF608">
      <w:pPr>
        <w:spacing w:line="420" w:lineRule="exact"/>
        <w:ind w:left="6" w:right="79"/>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 xml:space="preserve">  简要规格描述或项目基本概况介绍、用途：详见招标文件第二部分采购内容及服务要求。</w:t>
      </w:r>
    </w:p>
    <w:p w14:paraId="0DDA8580">
      <w:pPr>
        <w:spacing w:line="420" w:lineRule="exact"/>
        <w:ind w:left="6" w:right="79"/>
        <w:rPr>
          <w:rFonts w:hint="eastAsia" w:ascii="宋体" w:hAnsi="宋体" w:eastAsia="宋体" w:cs="宋体"/>
          <w:color w:val="auto"/>
          <w:kern w:val="0"/>
          <w:szCs w:val="22"/>
          <w:highlight w:val="none"/>
        </w:rPr>
      </w:pPr>
      <w:r>
        <w:rPr>
          <w:rFonts w:hint="eastAsia" w:ascii="宋体" w:hAnsi="宋体" w:eastAsia="宋体" w:cs="宋体"/>
          <w:bCs/>
          <w:color w:val="auto"/>
          <w:kern w:val="0"/>
          <w:szCs w:val="22"/>
          <w:highlight w:val="none"/>
        </w:rPr>
        <w:t xml:space="preserve">  备注：/</w:t>
      </w:r>
    </w:p>
    <w:p w14:paraId="134024E4">
      <w:pPr>
        <w:spacing w:line="420" w:lineRule="exact"/>
        <w:ind w:left="3" w:right="80"/>
        <w:rPr>
          <w:rFonts w:hint="eastAsia" w:ascii="宋体" w:hAnsi="宋体" w:eastAsia="宋体" w:cs="宋体"/>
          <w:bCs/>
          <w:color w:val="auto"/>
          <w:kern w:val="0"/>
          <w:szCs w:val="22"/>
          <w:highlight w:val="none"/>
        </w:rPr>
      </w:pPr>
      <w:r>
        <w:rPr>
          <w:rFonts w:hint="eastAsia" w:ascii="宋体" w:hAnsi="宋体" w:eastAsia="宋体" w:cs="宋体"/>
          <w:color w:val="auto"/>
          <w:kern w:val="0"/>
          <w:szCs w:val="22"/>
          <w:highlight w:val="none"/>
        </w:rPr>
        <w:t xml:space="preserve">  </w:t>
      </w:r>
      <w:r>
        <w:rPr>
          <w:rFonts w:hint="eastAsia" w:ascii="宋体" w:hAnsi="宋体" w:eastAsia="宋体" w:cs="宋体"/>
          <w:bCs/>
          <w:color w:val="auto"/>
          <w:kern w:val="0"/>
          <w:szCs w:val="22"/>
          <w:highlight w:val="none"/>
        </w:rPr>
        <w:t>合同履行期限：标项1，按招标文件。</w:t>
      </w:r>
    </w:p>
    <w:p w14:paraId="1ED40ACF">
      <w:pPr>
        <w:spacing w:line="360" w:lineRule="auto"/>
        <w:jc w:val="left"/>
        <w:rPr>
          <w:rFonts w:hint="eastAsia" w:ascii="宋体" w:hAnsi="宋体" w:eastAsia="宋体" w:cs="宋体"/>
          <w:color w:val="auto"/>
          <w:szCs w:val="22"/>
          <w:highlight w:val="none"/>
        </w:rPr>
      </w:pPr>
      <w:r>
        <w:rPr>
          <w:rFonts w:hint="eastAsia" w:ascii="宋体" w:hAnsi="宋体" w:eastAsia="宋体" w:cs="宋体"/>
          <w:b/>
          <w:bCs/>
          <w:color w:val="auto"/>
          <w:kern w:val="0"/>
          <w:szCs w:val="22"/>
          <w:highlight w:val="none"/>
        </w:rPr>
        <w:t xml:space="preserve">  </w:t>
      </w:r>
      <w:r>
        <w:rPr>
          <w:rFonts w:hint="eastAsia" w:ascii="宋体" w:hAnsi="宋体" w:eastAsia="宋体" w:cs="宋体"/>
          <w:bCs/>
          <w:color w:val="auto"/>
          <w:kern w:val="0"/>
          <w:szCs w:val="22"/>
          <w:highlight w:val="none"/>
        </w:rPr>
        <w:t>本项目（否）接受联合体投标。</w:t>
      </w:r>
    </w:p>
    <w:p w14:paraId="47AF61B8">
      <w:pPr>
        <w:spacing w:before="156" w:beforeLines="50" w:line="360" w:lineRule="auto"/>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二、申请人的资格要求:</w:t>
      </w:r>
      <w:bookmarkStart w:id="5" w:name="B14_投标供应商的资格要求"/>
      <w:r>
        <w:rPr>
          <w:rFonts w:hint="eastAsia" w:ascii="宋体" w:hAnsi="宋体" w:eastAsia="宋体" w:cs="宋体"/>
          <w:b/>
          <w:color w:val="auto"/>
          <w:kern w:val="0"/>
          <w:szCs w:val="22"/>
          <w:highlight w:val="none"/>
        </w:rPr>
        <w:t xml:space="preserve"> </w:t>
      </w:r>
    </w:p>
    <w:bookmarkEnd w:id="5"/>
    <w:p w14:paraId="2E44A45D">
      <w:pPr>
        <w:spacing w:line="420" w:lineRule="exact"/>
        <w:ind w:left="6" w:right="79" w:firstLine="398" w:firstLineChars="181"/>
        <w:rPr>
          <w:rFonts w:hint="eastAsia" w:ascii="宋体" w:hAnsi="宋体" w:eastAsia="宋体" w:cs="宋体"/>
          <w:color w:val="auto"/>
          <w:kern w:val="0"/>
          <w:szCs w:val="22"/>
          <w:highlight w:val="none"/>
          <w:lang w:eastAsia="zh-CN"/>
        </w:rPr>
      </w:pPr>
      <w:r>
        <w:rPr>
          <w:rFonts w:hint="eastAsia" w:ascii="宋体" w:hAnsi="宋体" w:eastAsia="宋体" w:cs="宋体"/>
          <w:color w:val="auto"/>
          <w:kern w:val="0"/>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r>
        <w:rPr>
          <w:rFonts w:hint="eastAsia" w:ascii="宋体" w:hAnsi="宋体" w:cs="宋体"/>
          <w:color w:val="auto"/>
          <w:kern w:val="0"/>
          <w:szCs w:val="22"/>
          <w:highlight w:val="none"/>
          <w:lang w:eastAsia="zh-CN"/>
        </w:rPr>
        <w:t>。</w:t>
      </w:r>
    </w:p>
    <w:p w14:paraId="1A62596E">
      <w:pPr>
        <w:spacing w:line="420" w:lineRule="exact"/>
        <w:ind w:left="6" w:right="79" w:firstLine="398" w:firstLineChars="181"/>
        <w:rPr>
          <w:rFonts w:hint="eastAsia" w:ascii="宋体" w:hAnsi="宋体" w:eastAsia="宋体" w:cs="宋体"/>
          <w:color w:val="auto"/>
          <w:kern w:val="0"/>
          <w:szCs w:val="22"/>
          <w:highlight w:val="none"/>
        </w:rPr>
      </w:pPr>
      <w:bookmarkStart w:id="6" w:name="_Hlk164276640"/>
      <w:r>
        <w:rPr>
          <w:rFonts w:hint="eastAsia" w:ascii="宋体" w:hAnsi="宋体" w:eastAsia="宋体" w:cs="宋体"/>
          <w:color w:val="auto"/>
          <w:kern w:val="0"/>
          <w:szCs w:val="22"/>
          <w:highlight w:val="none"/>
        </w:rPr>
        <w:t>2</w:t>
      </w:r>
      <w:r>
        <w:rPr>
          <w:rFonts w:hint="eastAsia" w:ascii="宋体" w:hAnsi="宋体" w:cs="宋体"/>
          <w:color w:val="auto"/>
          <w:kern w:val="0"/>
          <w:szCs w:val="22"/>
          <w:highlight w:val="none"/>
          <w:lang w:eastAsia="zh-CN"/>
        </w:rPr>
        <w:t>、</w:t>
      </w:r>
      <w:r>
        <w:rPr>
          <w:rFonts w:hint="eastAsia" w:ascii="宋体" w:hAnsi="宋体" w:eastAsia="宋体" w:cs="宋体"/>
          <w:color w:val="auto"/>
          <w:kern w:val="0"/>
          <w:szCs w:val="22"/>
          <w:highlight w:val="none"/>
        </w:rPr>
        <w:t>落实政府采购政策需满足的资格要求：</w:t>
      </w:r>
      <w:r>
        <w:rPr>
          <w:rFonts w:hint="eastAsia" w:ascii="宋体" w:hAnsi="宋体" w:eastAsia="宋体" w:cs="宋体"/>
          <w:color w:val="auto"/>
          <w:szCs w:val="22"/>
          <w:highlight w:val="none"/>
          <w:shd w:val="clear" w:color="auto" w:fill="FFFFFF"/>
          <w:lang w:bidi="ar"/>
        </w:rPr>
        <w:t>标项1：本项目专门面向小型、微型企业采购（监狱企业和残疾人福利性企业视同为小微企业）。</w:t>
      </w:r>
    </w:p>
    <w:bookmarkEnd w:id="6"/>
    <w:p w14:paraId="4A0D9C0A">
      <w:pPr>
        <w:spacing w:line="420" w:lineRule="exact"/>
        <w:ind w:left="6" w:right="79" w:firstLine="398" w:firstLineChars="181"/>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3、本项目的特定资格要求：</w:t>
      </w:r>
      <w:bookmarkStart w:id="7" w:name="OLE_LINK7"/>
      <w:bookmarkStart w:id="8" w:name="OLE_LINK6"/>
      <w:r>
        <w:rPr>
          <w:rFonts w:hint="eastAsia" w:ascii="宋体" w:hAnsi="宋体" w:eastAsia="宋体" w:cs="宋体"/>
          <w:color w:val="auto"/>
          <w:kern w:val="0"/>
          <w:szCs w:val="22"/>
          <w:highlight w:val="none"/>
        </w:rPr>
        <w:t>无。</w:t>
      </w:r>
    </w:p>
    <w:bookmarkEnd w:id="7"/>
    <w:bookmarkEnd w:id="8"/>
    <w:p w14:paraId="072805A0">
      <w:pPr>
        <w:spacing w:before="156" w:beforeLines="50" w:line="360" w:lineRule="auto"/>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三、获取招标文件</w:t>
      </w:r>
    </w:p>
    <w:p w14:paraId="256C845F">
      <w:pPr>
        <w:pStyle w:val="29"/>
        <w:spacing w:before="75" w:beforeAutospacing="0" w:after="75" w:afterAutospacing="0"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eastAsia="zh-CN"/>
        </w:rPr>
        <w:t>2025年 07月 0</w:t>
      </w:r>
      <w:r>
        <w:rPr>
          <w:rFonts w:hint="eastAsia" w:ascii="宋体" w:hAnsi="宋体" w:eastAsia="宋体" w:cs="宋体"/>
          <w:color w:val="auto"/>
          <w:sz w:val="22"/>
          <w:szCs w:val="22"/>
          <w:highlight w:val="none"/>
          <w:u w:val="single"/>
          <w:lang w:val="en-US" w:eastAsia="zh-CN"/>
        </w:rPr>
        <w:t>8</w:t>
      </w:r>
      <w:r>
        <w:rPr>
          <w:rFonts w:hint="eastAsia" w:ascii="宋体" w:hAnsi="宋体" w:eastAsia="宋体" w:cs="宋体"/>
          <w:color w:val="auto"/>
          <w:sz w:val="22"/>
          <w:szCs w:val="22"/>
          <w:highlight w:val="none"/>
          <w:u w:val="single"/>
          <w:lang w:eastAsia="zh-CN"/>
        </w:rPr>
        <w:t xml:space="preserve"> 日</w:t>
      </w:r>
      <w:r>
        <w:rPr>
          <w:rFonts w:hint="eastAsia" w:ascii="宋体" w:hAnsi="宋体" w:eastAsia="宋体" w:cs="宋体"/>
          <w:color w:val="auto"/>
          <w:sz w:val="22"/>
          <w:szCs w:val="22"/>
          <w:highlight w:val="none"/>
        </w:rPr>
        <w:t>，每天上午</w:t>
      </w:r>
      <w:r>
        <w:rPr>
          <w:rFonts w:hint="eastAsia" w:ascii="宋体" w:hAnsi="宋体" w:eastAsia="宋体" w:cs="宋体"/>
          <w:color w:val="auto"/>
          <w:sz w:val="22"/>
          <w:szCs w:val="22"/>
          <w:highlight w:val="none"/>
          <w:u w:val="single"/>
        </w:rPr>
        <w:t>00:00至12:00</w:t>
      </w:r>
      <w:r>
        <w:rPr>
          <w:rFonts w:hint="eastAsia" w:ascii="宋体" w:hAnsi="宋体" w:eastAsia="宋体" w:cs="宋体"/>
          <w:color w:val="auto"/>
          <w:sz w:val="22"/>
          <w:szCs w:val="22"/>
          <w:highlight w:val="none"/>
        </w:rPr>
        <w:t>，下午</w:t>
      </w:r>
      <w:r>
        <w:rPr>
          <w:rFonts w:hint="eastAsia" w:ascii="宋体" w:hAnsi="宋体" w:eastAsia="宋体" w:cs="宋体"/>
          <w:color w:val="auto"/>
          <w:sz w:val="22"/>
          <w:szCs w:val="22"/>
          <w:highlight w:val="none"/>
          <w:u w:val="single"/>
        </w:rPr>
        <w:t>12:00至23:59</w:t>
      </w:r>
      <w:r>
        <w:rPr>
          <w:rFonts w:hint="eastAsia" w:ascii="宋体" w:hAnsi="宋体" w:eastAsia="宋体" w:cs="宋体"/>
          <w:color w:val="auto"/>
          <w:sz w:val="22"/>
          <w:szCs w:val="22"/>
          <w:highlight w:val="none"/>
        </w:rPr>
        <w:t>（北京时间，线上获取法定节假日均可，线下获取文件法定节假日除外）；</w:t>
      </w:r>
    </w:p>
    <w:p w14:paraId="4F1F01A9">
      <w:pPr>
        <w:pStyle w:val="29"/>
        <w:spacing w:before="75" w:beforeAutospacing="0" w:after="75" w:afterAutospacing="0" w:line="42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地点（网址）：政采云平台（www.zcygov.cn）；</w:t>
      </w:r>
    </w:p>
    <w:p w14:paraId="738F7F5E">
      <w:pPr>
        <w:pStyle w:val="29"/>
        <w:spacing w:before="75" w:beforeAutospacing="0" w:after="75" w:afterAutospacing="0" w:line="42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方式：供应商登录政采云平台（www.zcygov.cn）在线申请获取采购文件（进入“项目采购”应用，在获取采购文件菜单中选择项目，申请获取采购文件）；</w:t>
      </w:r>
    </w:p>
    <w:p w14:paraId="63162438">
      <w:pPr>
        <w:pStyle w:val="29"/>
        <w:spacing w:before="75" w:beforeAutospacing="0" w:after="75" w:afterAutospacing="0" w:line="42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售价（元）：0</w:t>
      </w:r>
    </w:p>
    <w:p w14:paraId="637867E9">
      <w:pPr>
        <w:spacing w:before="156" w:beforeLines="50"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四、</w:t>
      </w:r>
      <w:r>
        <w:rPr>
          <w:rFonts w:hint="eastAsia" w:ascii="宋体" w:hAnsi="宋体" w:eastAsia="宋体" w:cs="宋体"/>
          <w:b/>
          <w:color w:val="auto"/>
          <w:kern w:val="0"/>
          <w:szCs w:val="22"/>
          <w:highlight w:val="none"/>
        </w:rPr>
        <w:t>提交投标文件截止时间、开标时间和地点</w:t>
      </w:r>
    </w:p>
    <w:p w14:paraId="1D37413E">
      <w:pPr>
        <w:pStyle w:val="29"/>
        <w:spacing w:before="75" w:beforeAutospacing="0" w:after="75" w:afterAutospacing="0"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提交投标文件截止时间：</w:t>
      </w:r>
      <w:r>
        <w:rPr>
          <w:rFonts w:hint="eastAsia" w:ascii="宋体" w:hAnsi="宋体" w:eastAsia="宋体" w:cs="宋体"/>
          <w:color w:val="auto"/>
          <w:sz w:val="22"/>
          <w:szCs w:val="22"/>
          <w:highlight w:val="none"/>
          <w:lang w:eastAsia="zh-CN"/>
        </w:rPr>
        <w:t>2025年 07 月 0</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 xml:space="preserve"> 日</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:30（北京时间）</w:t>
      </w:r>
    </w:p>
    <w:p w14:paraId="6BCEBB11">
      <w:pPr>
        <w:pStyle w:val="29"/>
        <w:spacing w:before="75" w:beforeAutospacing="0" w:after="75" w:afterAutospacing="0"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投标地点（网址）：投标人通过“政府采购云平台（www.zcygov.cn）”实行在线投标响应（在投标截止时间止，供应商须准时登录“政府采购云平台（www.zcygov.cn）”在线响应投标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74EB6951">
      <w:pPr>
        <w:pStyle w:val="29"/>
        <w:spacing w:before="75" w:beforeAutospacing="0" w:after="75" w:afterAutospacing="0"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开标时间：</w:t>
      </w:r>
      <w:r>
        <w:rPr>
          <w:rFonts w:hint="eastAsia" w:ascii="宋体" w:hAnsi="宋体" w:eastAsia="宋体" w:cs="宋体"/>
          <w:color w:val="auto"/>
          <w:sz w:val="22"/>
          <w:szCs w:val="22"/>
          <w:highlight w:val="none"/>
          <w:lang w:eastAsia="zh-CN"/>
        </w:rPr>
        <w:t>2025年 07 月 0</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 xml:space="preserve"> 日</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:30</w:t>
      </w:r>
    </w:p>
    <w:p w14:paraId="0634493B">
      <w:pPr>
        <w:pStyle w:val="29"/>
        <w:keepNext w:val="0"/>
        <w:keepLines w:val="0"/>
        <w:pageBreakBefore w:val="0"/>
        <w:widowControl/>
        <w:kinsoku/>
        <w:wordWrap/>
        <w:overflowPunct/>
        <w:topLinePunct w:val="0"/>
        <w:autoSpaceDE/>
        <w:autoSpaceDN/>
        <w:bidi w:val="0"/>
        <w:adjustRightInd/>
        <w:snapToGrid/>
        <w:spacing w:before="75" w:beforeAutospacing="0" w:after="0" w:afterAutospacing="0" w:line="42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开标地点（网址）：代理机构于苍南县公共资源交易中心通过“政府采购云平台（www.zcygov.cn）”进行开评标活动。</w:t>
      </w:r>
    </w:p>
    <w:p w14:paraId="1EEA1934">
      <w:pPr>
        <w:spacing w:before="156" w:beforeLines="50" w:line="360" w:lineRule="auto"/>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五、公告期限</w:t>
      </w:r>
    </w:p>
    <w:p w14:paraId="15D59F48">
      <w:pPr>
        <w:pStyle w:val="29"/>
        <w:spacing w:before="75" w:beforeAutospacing="0" w:after="75" w:afterAutospacing="0"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自本公告发布之日起5个工作日。</w:t>
      </w:r>
    </w:p>
    <w:p w14:paraId="3F4C5A42">
      <w:pPr>
        <w:spacing w:before="156" w:beforeLines="50" w:line="360" w:lineRule="auto"/>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六、其他补充事宜</w:t>
      </w:r>
    </w:p>
    <w:p w14:paraId="6F2F6C4B">
      <w:pPr>
        <w:spacing w:line="420" w:lineRule="exact"/>
        <w:ind w:right="79"/>
        <w:rPr>
          <w:rFonts w:hint="eastAsia" w:ascii="宋体" w:hAnsi="宋体" w:eastAsia="宋体" w:cs="宋体"/>
          <w:bCs/>
          <w:color w:val="auto"/>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eastAsia="宋体" w:cs="宋体"/>
          <w:bCs/>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95A5CAE">
      <w:pPr>
        <w:spacing w:line="420" w:lineRule="exact"/>
        <w:ind w:right="79"/>
        <w:rPr>
          <w:rFonts w:hint="eastAsia" w:ascii="宋体" w:hAnsi="宋体" w:eastAsia="宋体" w:cs="宋体"/>
          <w:bCs/>
          <w:color w:val="auto"/>
          <w:kern w:val="0"/>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eastAsia="宋体" w:cs="宋体"/>
          <w:bCs/>
          <w:color w:val="auto"/>
          <w:kern w:val="0"/>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AA2342F">
      <w:pPr>
        <w:spacing w:line="420" w:lineRule="exact"/>
        <w:ind w:right="79"/>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 xml:space="preserve">  </w:t>
      </w:r>
      <w:r>
        <w:rPr>
          <w:rFonts w:hint="eastAsia" w:ascii="宋体" w:hAnsi="宋体" w:cs="宋体"/>
          <w:bCs/>
          <w:color w:val="auto"/>
          <w:kern w:val="0"/>
          <w:szCs w:val="22"/>
          <w:highlight w:val="none"/>
          <w:lang w:val="en-US" w:eastAsia="zh-CN"/>
        </w:rPr>
        <w:t xml:space="preserve"> 3</w:t>
      </w:r>
      <w:r>
        <w:rPr>
          <w:rFonts w:hint="eastAsia" w:ascii="宋体" w:hAnsi="宋体" w:eastAsia="宋体" w:cs="宋体"/>
          <w:bCs/>
          <w:color w:val="auto"/>
          <w:kern w:val="0"/>
          <w:szCs w:val="22"/>
          <w:highlight w:val="none"/>
        </w:rPr>
        <w:t>、其他事项：</w:t>
      </w:r>
    </w:p>
    <w:p w14:paraId="6BB8D905">
      <w:pPr>
        <w:spacing w:line="420" w:lineRule="exact"/>
        <w:ind w:right="79"/>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 xml:space="preserve">  （1）供应商如对招标文件有疑问应按招标文件规定的询疑时间前提出，逾期提出的，采购组织机构可以不予受理、答复。（2）潜在供应商需在浙江政府采购网进行免费注册，进入浙江省政府采购供应商库，具体详见浙江政府采购网供应商注册要求（网址：http://zfcg.czt.zj.gov.cn）。（3）本次政府采购项目按《财政部关于在政府采购活动中查询及使用信用记录的通知》（财库【2016】125号）文件相关规定，对投标供应商进行信用甄别，详细规定见“投标通知(邀请)书”</w:t>
      </w:r>
      <w:r>
        <w:rPr>
          <w:rFonts w:hint="eastAsia" w:ascii="宋体" w:hAnsi="宋体" w:cs="宋体"/>
          <w:bCs/>
          <w:color w:val="auto"/>
          <w:kern w:val="0"/>
          <w:szCs w:val="22"/>
          <w:highlight w:val="none"/>
          <w:lang w:eastAsia="zh-CN"/>
        </w:rPr>
        <w:t>。</w:t>
      </w:r>
      <w:r>
        <w:rPr>
          <w:rFonts w:hint="eastAsia" w:ascii="宋体" w:hAnsi="宋体" w:eastAsia="宋体" w:cs="宋体"/>
          <w:bCs/>
          <w:color w:val="auto"/>
          <w:kern w:val="0"/>
          <w:szCs w:val="22"/>
          <w:highlight w:val="none"/>
        </w:rPr>
        <w:t>（4）</w:t>
      </w:r>
      <w:r>
        <w:rPr>
          <w:rFonts w:hint="eastAsia" w:ascii="宋体" w:hAnsi="宋体" w:eastAsia="宋体" w:cs="宋体"/>
          <w:color w:val="auto"/>
          <w:kern w:val="0"/>
          <w:szCs w:val="22"/>
          <w:highlight w:val="none"/>
        </w:rPr>
        <w:t>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w:t>
      </w:r>
      <w:r>
        <w:rPr>
          <w:rFonts w:hint="eastAsia" w:ascii="宋体" w:hAnsi="宋体" w:eastAsia="宋体" w:cs="宋体"/>
          <w:b/>
          <w:bCs/>
          <w:color w:val="auto"/>
          <w:kern w:val="0"/>
          <w:szCs w:val="22"/>
          <w:highlight w:val="none"/>
        </w:rPr>
        <w:t>供应商未按规定加密的响应文件，“政采云平台”将予以拒收。</w:t>
      </w:r>
      <w:r>
        <w:rPr>
          <w:rFonts w:hint="eastAsia" w:ascii="宋体" w:hAnsi="宋体" w:eastAsia="宋体" w:cs="宋体"/>
          <w:color w:val="auto"/>
          <w:kern w:val="0"/>
          <w:szCs w:val="22"/>
          <w:highlight w:val="none"/>
        </w:rPr>
        <w:t>“政采云电子交易客户端”请自行前往“浙江政府采购网-下载专区-电子交易客户端”进行下载；电子投标具体操作流程详见“政采云平台（www.zcygov.cn）-服务中心-帮助文档-操作流程-电子招投标”；在线投标时如遇平台操作/技术问题详询政采云客服</w:t>
      </w:r>
      <w:r>
        <w:rPr>
          <w:rFonts w:hint="eastAsia" w:ascii="宋体" w:hAnsi="宋体" w:cs="宋体"/>
          <w:color w:val="auto"/>
          <w:kern w:val="0"/>
          <w:szCs w:val="22"/>
          <w:highlight w:val="none"/>
          <w:lang w:eastAsia="zh-CN"/>
        </w:rPr>
        <w:t>95763</w:t>
      </w:r>
      <w:r>
        <w:rPr>
          <w:rFonts w:hint="eastAsia" w:ascii="宋体" w:hAnsi="宋体" w:eastAsia="宋体" w:cs="宋体"/>
          <w:color w:val="auto"/>
          <w:kern w:val="0"/>
          <w:szCs w:val="22"/>
          <w:highlight w:val="none"/>
        </w:rPr>
        <w:t>。</w:t>
      </w:r>
    </w:p>
    <w:p w14:paraId="2D6A8EE0">
      <w:pPr>
        <w:spacing w:line="420" w:lineRule="exact"/>
        <w:ind w:right="79"/>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 xml:space="preserve">    ◆注意：投标人在编制电子投标文件和上传文件时需确保“政采云电子交易客户端”和“CA驱动端”为最新版本，请各投标人及时查看更新。</w:t>
      </w:r>
    </w:p>
    <w:p w14:paraId="6BF7FD2A">
      <w:pPr>
        <w:spacing w:before="156" w:beforeLines="50" w:line="360" w:lineRule="auto"/>
        <w:rPr>
          <w:rFonts w:hint="eastAsia" w:ascii="宋体" w:hAnsi="宋体" w:eastAsia="宋体" w:cs="宋体"/>
          <w:b/>
          <w:bCs/>
          <w:color w:val="auto"/>
          <w:kern w:val="0"/>
          <w:szCs w:val="22"/>
          <w:highlight w:val="none"/>
        </w:rPr>
      </w:pPr>
      <w:r>
        <w:rPr>
          <w:rFonts w:hint="eastAsia" w:ascii="宋体" w:hAnsi="宋体" w:eastAsia="宋体" w:cs="宋体"/>
          <w:b/>
          <w:color w:val="auto"/>
          <w:kern w:val="0"/>
          <w:szCs w:val="22"/>
          <w:highlight w:val="none"/>
        </w:rPr>
        <w:t>七、对本次采购提出询问、质疑、投诉，请按以下方式联系</w:t>
      </w:r>
    </w:p>
    <w:p w14:paraId="23B833A3">
      <w:pPr>
        <w:spacing w:line="420" w:lineRule="exact"/>
        <w:ind w:right="79"/>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1、采购人信息</w:t>
      </w:r>
    </w:p>
    <w:p w14:paraId="6CA1C5F6">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名  称：</w:t>
      </w:r>
      <w:r>
        <w:rPr>
          <w:rFonts w:hint="eastAsia" w:ascii="宋体" w:hAnsi="宋体" w:eastAsia="宋体" w:cs="宋体"/>
          <w:color w:val="auto"/>
          <w:kern w:val="0"/>
          <w:szCs w:val="22"/>
          <w:highlight w:val="none"/>
        </w:rPr>
        <w:t>苍南县灵溪镇人民政府</w:t>
      </w:r>
    </w:p>
    <w:p w14:paraId="15344EBA">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地  址：</w:t>
      </w:r>
      <w:r>
        <w:rPr>
          <w:rFonts w:hint="eastAsia" w:ascii="宋体" w:hAnsi="宋体" w:eastAsia="宋体" w:cs="宋体"/>
          <w:color w:val="auto"/>
          <w:kern w:val="0"/>
          <w:szCs w:val="22"/>
          <w:highlight w:val="none"/>
        </w:rPr>
        <w:t>温州市苍南县玉苍路61号</w:t>
      </w:r>
    </w:p>
    <w:p w14:paraId="12BCFFD4">
      <w:pPr>
        <w:spacing w:line="420" w:lineRule="exact"/>
        <w:ind w:right="79"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传</w:t>
      </w:r>
      <w:r>
        <w:rPr>
          <w:rFonts w:hint="eastAsia" w:ascii="宋体" w:hAnsi="宋体" w:cs="宋体"/>
          <w:bCs/>
          <w:color w:val="auto"/>
          <w:szCs w:val="22"/>
          <w:highlight w:val="none"/>
          <w:lang w:val="en-US" w:eastAsia="zh-CN"/>
        </w:rPr>
        <w:t xml:space="preserve">  </w:t>
      </w:r>
      <w:r>
        <w:rPr>
          <w:rFonts w:hint="eastAsia" w:ascii="宋体" w:hAnsi="宋体" w:eastAsia="宋体" w:cs="宋体"/>
          <w:bCs/>
          <w:color w:val="auto"/>
          <w:szCs w:val="22"/>
          <w:highlight w:val="none"/>
        </w:rPr>
        <w:t xml:space="preserve">真：/ </w:t>
      </w:r>
    </w:p>
    <w:p w14:paraId="77AF1BB7">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项目联系人（询问）：</w:t>
      </w:r>
      <w:r>
        <w:rPr>
          <w:rFonts w:hint="eastAsia" w:ascii="宋体" w:hAnsi="宋体" w:cs="宋体"/>
          <w:bCs/>
          <w:color w:val="auto"/>
          <w:kern w:val="0"/>
          <w:szCs w:val="22"/>
          <w:highlight w:val="none"/>
          <w:lang w:val="en-US" w:eastAsia="zh-CN"/>
        </w:rPr>
        <w:t>张</w:t>
      </w:r>
      <w:r>
        <w:rPr>
          <w:rFonts w:hint="eastAsia" w:ascii="宋体" w:hAnsi="宋体" w:eastAsia="宋体" w:cs="宋体"/>
          <w:bCs/>
          <w:color w:val="auto"/>
          <w:kern w:val="0"/>
          <w:szCs w:val="22"/>
          <w:highlight w:val="none"/>
        </w:rPr>
        <w:t>先生</w:t>
      </w:r>
    </w:p>
    <w:p w14:paraId="13C7220F">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项目联系方式（询问）：13587835390</w:t>
      </w:r>
    </w:p>
    <w:p w14:paraId="5972668D">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 xml:space="preserve">质疑联系人： </w:t>
      </w:r>
      <w:r>
        <w:rPr>
          <w:rFonts w:hint="eastAsia" w:ascii="宋体" w:hAnsi="宋体" w:cs="宋体"/>
          <w:bCs/>
          <w:color w:val="auto"/>
          <w:kern w:val="0"/>
          <w:szCs w:val="22"/>
          <w:highlight w:val="none"/>
          <w:lang w:val="en-US" w:eastAsia="zh-CN"/>
        </w:rPr>
        <w:t>张</w:t>
      </w:r>
      <w:r>
        <w:rPr>
          <w:rFonts w:hint="eastAsia" w:ascii="宋体" w:hAnsi="宋体" w:eastAsia="宋体" w:cs="宋体"/>
          <w:bCs/>
          <w:color w:val="auto"/>
          <w:kern w:val="0"/>
          <w:szCs w:val="22"/>
          <w:highlight w:val="none"/>
        </w:rPr>
        <w:t>先生</w:t>
      </w:r>
    </w:p>
    <w:p w14:paraId="7291BF75">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质疑联系方式：13587835390</w:t>
      </w:r>
    </w:p>
    <w:p w14:paraId="4B426290">
      <w:pPr>
        <w:spacing w:line="420" w:lineRule="exact"/>
        <w:ind w:right="79"/>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2、采购代理机构信息</w:t>
      </w:r>
    </w:p>
    <w:p w14:paraId="4CCC0993">
      <w:pPr>
        <w:spacing w:line="420" w:lineRule="exact"/>
        <w:ind w:right="79" w:firstLine="440" w:firstLineChars="200"/>
        <w:rPr>
          <w:rFonts w:hint="eastAsia" w:ascii="宋体" w:hAnsi="宋体" w:eastAsia="宋体" w:cs="宋体"/>
          <w:bCs/>
          <w:color w:val="auto"/>
          <w:kern w:val="0"/>
          <w:szCs w:val="22"/>
          <w:highlight w:val="none"/>
          <w:lang w:eastAsia="zh-CN"/>
        </w:rPr>
      </w:pPr>
      <w:r>
        <w:rPr>
          <w:rFonts w:hint="eastAsia" w:ascii="宋体" w:hAnsi="宋体" w:eastAsia="宋体" w:cs="宋体"/>
          <w:bCs/>
          <w:color w:val="auto"/>
          <w:kern w:val="0"/>
          <w:szCs w:val="22"/>
          <w:highlight w:val="none"/>
        </w:rPr>
        <w:t>名  称：</w:t>
      </w:r>
      <w:r>
        <w:rPr>
          <w:rFonts w:hint="eastAsia" w:ascii="宋体" w:hAnsi="宋体" w:eastAsia="宋体" w:cs="宋体"/>
          <w:color w:val="auto"/>
          <w:szCs w:val="22"/>
          <w:highlight w:val="none"/>
          <w:lang w:eastAsia="zh-CN"/>
        </w:rPr>
        <w:t>浙江国信工程管理咨询有限公司</w:t>
      </w:r>
    </w:p>
    <w:p w14:paraId="4A982F62">
      <w:pPr>
        <w:spacing w:line="420" w:lineRule="exact"/>
        <w:ind w:right="79" w:firstLine="440" w:firstLineChars="200"/>
        <w:rPr>
          <w:rFonts w:hint="eastAsia" w:ascii="宋体" w:hAnsi="宋体" w:eastAsia="宋体" w:cs="宋体"/>
          <w:bCs/>
          <w:color w:val="auto"/>
          <w:kern w:val="0"/>
          <w:szCs w:val="22"/>
          <w:highlight w:val="none"/>
          <w:lang w:eastAsia="zh-CN"/>
        </w:rPr>
      </w:pPr>
      <w:r>
        <w:rPr>
          <w:rFonts w:hint="eastAsia" w:ascii="宋体" w:hAnsi="宋体" w:eastAsia="宋体" w:cs="宋体"/>
          <w:bCs/>
          <w:color w:val="auto"/>
          <w:kern w:val="0"/>
          <w:szCs w:val="22"/>
          <w:highlight w:val="none"/>
        </w:rPr>
        <w:t>地  址：</w:t>
      </w:r>
      <w:r>
        <w:rPr>
          <w:rFonts w:hint="eastAsia" w:ascii="宋体" w:hAnsi="宋体" w:cs="宋体"/>
          <w:color w:val="auto"/>
          <w:szCs w:val="22"/>
          <w:highlight w:val="none"/>
          <w:lang w:eastAsia="zh-CN"/>
        </w:rPr>
        <w:t>灵溪镇鑫鑫财富中心1幢805室</w:t>
      </w:r>
    </w:p>
    <w:p w14:paraId="5BA92305">
      <w:pPr>
        <w:spacing w:line="420" w:lineRule="exact"/>
        <w:ind w:right="79"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传</w:t>
      </w:r>
      <w:r>
        <w:rPr>
          <w:rFonts w:hint="eastAsia" w:ascii="宋体" w:hAnsi="宋体" w:eastAsia="宋体" w:cs="宋体"/>
          <w:bCs/>
          <w:color w:val="auto"/>
          <w:kern w:val="0"/>
          <w:szCs w:val="22"/>
          <w:highlight w:val="none"/>
        </w:rPr>
        <w:t xml:space="preserve">  </w:t>
      </w:r>
      <w:r>
        <w:rPr>
          <w:rFonts w:hint="eastAsia" w:ascii="宋体" w:hAnsi="宋体" w:eastAsia="宋体" w:cs="宋体"/>
          <w:bCs/>
          <w:color w:val="auto"/>
          <w:szCs w:val="22"/>
          <w:highlight w:val="none"/>
        </w:rPr>
        <w:t>真：</w:t>
      </w:r>
      <w:r>
        <w:rPr>
          <w:rFonts w:hint="eastAsia" w:ascii="宋体" w:hAnsi="宋体" w:eastAsia="宋体" w:cs="宋体"/>
          <w:bCs/>
          <w:color w:val="auto"/>
          <w:szCs w:val="22"/>
          <w:highlight w:val="none"/>
          <w:lang w:val="en-US" w:eastAsia="zh-CN"/>
        </w:rPr>
        <w:t>0577-68117263</w:t>
      </w:r>
    </w:p>
    <w:p w14:paraId="38F44D86">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项目联系人（询问）：</w:t>
      </w:r>
      <w:r>
        <w:rPr>
          <w:rFonts w:hint="eastAsia" w:ascii="宋体" w:hAnsi="宋体" w:eastAsia="宋体" w:cs="宋体"/>
          <w:bCs/>
          <w:color w:val="auto"/>
          <w:kern w:val="0"/>
          <w:szCs w:val="22"/>
          <w:highlight w:val="none"/>
          <w:lang w:val="en-US" w:eastAsia="zh-CN"/>
        </w:rPr>
        <w:t>许女士</w:t>
      </w:r>
    </w:p>
    <w:p w14:paraId="52D05B4F">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项目联系方式（询问）：</w:t>
      </w:r>
      <w:r>
        <w:rPr>
          <w:rFonts w:hint="eastAsia" w:ascii="宋体" w:hAnsi="宋体" w:eastAsia="宋体" w:cs="宋体"/>
          <w:bCs/>
          <w:color w:val="auto"/>
          <w:kern w:val="0"/>
          <w:szCs w:val="22"/>
          <w:highlight w:val="none"/>
          <w:lang w:eastAsia="zh-CN"/>
        </w:rPr>
        <w:t>13757897701</w:t>
      </w:r>
    </w:p>
    <w:p w14:paraId="17F3D168">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质疑联系人：</w:t>
      </w:r>
      <w:r>
        <w:rPr>
          <w:rFonts w:hint="eastAsia" w:ascii="宋体" w:hAnsi="宋体" w:eastAsia="宋体" w:cs="宋体"/>
          <w:bCs/>
          <w:color w:val="auto"/>
          <w:kern w:val="0"/>
          <w:szCs w:val="22"/>
          <w:highlight w:val="none"/>
          <w:lang w:eastAsia="zh-CN"/>
        </w:rPr>
        <w:t>陈先生</w:t>
      </w:r>
    </w:p>
    <w:p w14:paraId="6202F806">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质疑联系方式：</w:t>
      </w:r>
      <w:r>
        <w:rPr>
          <w:rFonts w:hint="eastAsia" w:ascii="宋体" w:hAnsi="宋体" w:eastAsia="宋体" w:cs="宋体"/>
          <w:bCs/>
          <w:color w:val="auto"/>
          <w:kern w:val="0"/>
          <w:szCs w:val="22"/>
          <w:highlight w:val="none"/>
          <w:lang w:eastAsia="zh-CN"/>
        </w:rPr>
        <w:t>0577-68117263</w:t>
      </w:r>
      <w:r>
        <w:rPr>
          <w:rFonts w:hint="eastAsia" w:ascii="宋体" w:hAnsi="宋体" w:eastAsia="宋体" w:cs="宋体"/>
          <w:bCs/>
          <w:color w:val="auto"/>
          <w:kern w:val="0"/>
          <w:szCs w:val="22"/>
          <w:highlight w:val="none"/>
          <w:lang w:val="en-US" w:eastAsia="zh-CN"/>
        </w:rPr>
        <w:t>/13456020207</w:t>
      </w:r>
    </w:p>
    <w:p w14:paraId="01DAB726">
      <w:pPr>
        <w:spacing w:line="420" w:lineRule="exact"/>
        <w:ind w:right="79"/>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3、同级政府采购监督管理部门</w:t>
      </w:r>
    </w:p>
    <w:p w14:paraId="3EB0DB1C">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名  称：苍南县财政局（浙江省政府采购行政裁决服务中心（温州））</w:t>
      </w:r>
    </w:p>
    <w:p w14:paraId="21D2A4C2">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地  址：温州市鹿城区滨江街道瓯江路展银大厦1606室</w:t>
      </w:r>
    </w:p>
    <w:p w14:paraId="290759F4">
      <w:pPr>
        <w:spacing w:line="420" w:lineRule="exact"/>
        <w:ind w:right="79" w:firstLine="440" w:firstLineChars="200"/>
        <w:rPr>
          <w:rFonts w:hint="eastAsia" w:ascii="宋体" w:hAnsi="宋体" w:eastAsia="宋体" w:cs="宋体"/>
          <w:bCs/>
          <w:color w:val="auto"/>
          <w:kern w:val="0"/>
          <w:szCs w:val="22"/>
          <w:highlight w:val="none"/>
          <w:lang w:eastAsia="zh-CN"/>
        </w:rPr>
      </w:pPr>
      <w:r>
        <w:rPr>
          <w:rFonts w:hint="eastAsia" w:ascii="宋体" w:hAnsi="宋体" w:eastAsia="宋体" w:cs="宋体"/>
          <w:bCs/>
          <w:color w:val="auto"/>
          <w:kern w:val="0"/>
          <w:szCs w:val="22"/>
          <w:highlight w:val="none"/>
        </w:rPr>
        <w:t>传  真：</w:t>
      </w:r>
      <w:r>
        <w:rPr>
          <w:rFonts w:hint="eastAsia" w:ascii="宋体" w:hAnsi="宋体" w:cs="宋体"/>
          <w:bCs/>
          <w:color w:val="auto"/>
          <w:kern w:val="0"/>
          <w:szCs w:val="22"/>
          <w:highlight w:val="none"/>
          <w:lang w:val="en-US" w:eastAsia="zh-CN"/>
        </w:rPr>
        <w:t>/</w:t>
      </w:r>
    </w:p>
    <w:p w14:paraId="1A12B751">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联系人：李老师、王老师</w:t>
      </w:r>
    </w:p>
    <w:p w14:paraId="75B49D5D">
      <w:pPr>
        <w:spacing w:line="420" w:lineRule="exact"/>
        <w:ind w:right="79"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监督投诉电话：0577-8</w:t>
      </w:r>
      <w:r>
        <w:rPr>
          <w:rFonts w:hint="eastAsia" w:ascii="宋体" w:hAnsi="宋体" w:eastAsia="宋体" w:cs="宋体"/>
          <w:bCs/>
          <w:color w:val="auto"/>
          <w:kern w:val="0"/>
          <w:szCs w:val="22"/>
          <w:highlight w:val="none"/>
          <w:lang w:val="en-US" w:eastAsia="zh-CN"/>
        </w:rPr>
        <w:t>5</w:t>
      </w:r>
      <w:r>
        <w:rPr>
          <w:rFonts w:hint="eastAsia" w:ascii="宋体" w:hAnsi="宋体" w:eastAsia="宋体" w:cs="宋体"/>
          <w:bCs/>
          <w:color w:val="auto"/>
          <w:kern w:val="0"/>
          <w:szCs w:val="22"/>
          <w:highlight w:val="none"/>
        </w:rPr>
        <w:t>501561，0577-85501562</w:t>
      </w:r>
    </w:p>
    <w:p w14:paraId="2D05EAE7">
      <w:pPr>
        <w:spacing w:line="420" w:lineRule="exact"/>
        <w:ind w:right="79" w:firstLine="400" w:firstLineChars="200"/>
        <w:rPr>
          <w:rFonts w:hint="eastAsia" w:ascii="宋体" w:hAnsi="宋体" w:eastAsia="宋体" w:cs="宋体"/>
          <w:bCs/>
          <w:color w:val="auto"/>
          <w:kern w:val="0"/>
          <w:sz w:val="20"/>
          <w:highlight w:val="none"/>
        </w:rPr>
      </w:pPr>
      <w:r>
        <w:rPr>
          <w:rFonts w:hint="eastAsia" w:ascii="宋体" w:hAnsi="宋体" w:eastAsia="宋体" w:cs="宋体"/>
          <w:bCs/>
          <w:color w:val="auto"/>
          <w:kern w:val="0"/>
          <w:sz w:val="20"/>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Cs/>
          <w:color w:val="auto"/>
          <w:kern w:val="0"/>
          <w:sz w:val="20"/>
          <w:highlight w:val="none"/>
          <w:lang w:eastAsia="zh-CN"/>
        </w:rPr>
        <w:t>95763</w:t>
      </w:r>
      <w:r>
        <w:rPr>
          <w:rFonts w:hint="eastAsia" w:ascii="宋体" w:hAnsi="宋体" w:eastAsia="宋体" w:cs="宋体"/>
          <w:bCs/>
          <w:color w:val="auto"/>
          <w:kern w:val="0"/>
          <w:sz w:val="20"/>
          <w:highlight w:val="none"/>
        </w:rPr>
        <w:t>获取热线服务帮助。CA问题联系电话（人工）：汇信CA 400-888-4636；天谷CA 400-087-8198。</w:t>
      </w:r>
      <w:bookmarkEnd w:id="4"/>
    </w:p>
    <w:bookmarkEnd w:id="3"/>
    <w:p w14:paraId="7F124002">
      <w:pPr>
        <w:pStyle w:val="3"/>
        <w:rPr>
          <w:rFonts w:hint="eastAsia" w:ascii="宋体" w:hAnsi="宋体" w:eastAsia="宋体" w:cs="宋体"/>
          <w:color w:val="auto"/>
          <w:spacing w:val="0"/>
          <w:szCs w:val="22"/>
          <w:highlight w:val="none"/>
        </w:rPr>
      </w:pPr>
      <w:bookmarkStart w:id="9" w:name="_Toc24219"/>
      <w:bookmarkStart w:id="10" w:name="_Toc16714"/>
      <w:bookmarkStart w:id="11" w:name="_Toc1499"/>
      <w:r>
        <w:rPr>
          <w:rFonts w:hint="eastAsia" w:ascii="宋体" w:hAnsi="宋体" w:eastAsia="宋体" w:cs="宋体"/>
          <w:color w:val="auto"/>
          <w:spacing w:val="0"/>
          <w:szCs w:val="22"/>
          <w:highlight w:val="none"/>
        </w:rPr>
        <w:t>投 标 通 知 (邀 请) 书</w:t>
      </w:r>
      <w:bookmarkEnd w:id="9"/>
      <w:bookmarkEnd w:id="10"/>
      <w:bookmarkEnd w:id="11"/>
    </w:p>
    <w:p w14:paraId="7A2E9338">
      <w:pPr>
        <w:spacing w:line="420" w:lineRule="exact"/>
        <w:ind w:firstLine="440" w:firstLineChars="200"/>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lang w:eastAsia="zh-CN"/>
        </w:rPr>
        <w:t>浙江国信工程管理咨询有限公司</w:t>
      </w:r>
      <w:r>
        <w:rPr>
          <w:rFonts w:hint="eastAsia" w:ascii="宋体" w:hAnsi="宋体" w:eastAsia="宋体" w:cs="宋体"/>
          <w:color w:val="auto"/>
          <w:kern w:val="0"/>
          <w:szCs w:val="22"/>
          <w:highlight w:val="none"/>
        </w:rPr>
        <w:t>对</w:t>
      </w:r>
      <w:r>
        <w:rPr>
          <w:rFonts w:hint="eastAsia" w:ascii="宋体" w:hAnsi="宋体" w:cs="宋体"/>
          <w:color w:val="auto"/>
          <w:kern w:val="0"/>
          <w:szCs w:val="22"/>
          <w:highlight w:val="none"/>
          <w:lang w:eastAsia="zh-CN"/>
        </w:rPr>
        <w:t>2025年度苍南县百里平水公园(灵溪段)及南塘长效管理项目（重）</w:t>
      </w:r>
      <w:r>
        <w:rPr>
          <w:rFonts w:hint="eastAsia" w:ascii="宋体" w:hAnsi="宋体" w:eastAsia="宋体" w:cs="宋体"/>
          <w:color w:val="auto"/>
          <w:kern w:val="0"/>
          <w:szCs w:val="22"/>
          <w:highlight w:val="none"/>
        </w:rPr>
        <w:t>进行公开招标，特通知贵公司（企业）前来投标。并请按招标文件的要求认真准备好投标文件，按时上传和解密投标文件。</w:t>
      </w:r>
    </w:p>
    <w:tbl>
      <w:tblPr>
        <w:tblStyle w:val="32"/>
        <w:tblW w:w="953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12"/>
      </w:tblGrid>
      <w:tr w14:paraId="6AAD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3" w:type="dxa"/>
            <w:tcBorders>
              <w:top w:val="double" w:color="auto" w:sz="4" w:space="0"/>
              <w:left w:val="double" w:color="auto" w:sz="4" w:space="0"/>
            </w:tcBorders>
            <w:vAlign w:val="center"/>
          </w:tcPr>
          <w:p w14:paraId="67D2CD58">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采购编号</w:t>
            </w:r>
          </w:p>
        </w:tc>
        <w:tc>
          <w:tcPr>
            <w:tcW w:w="7712" w:type="dxa"/>
            <w:tcBorders>
              <w:top w:val="double" w:color="auto" w:sz="4" w:space="0"/>
              <w:right w:val="double" w:color="auto" w:sz="4" w:space="0"/>
            </w:tcBorders>
            <w:vAlign w:val="center"/>
          </w:tcPr>
          <w:p w14:paraId="1D1C8881">
            <w:pPr>
              <w:spacing w:line="420" w:lineRule="exact"/>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eastAsia="zh-CN"/>
              </w:rPr>
              <w:t>CNDL2025101</w:t>
            </w:r>
          </w:p>
        </w:tc>
      </w:tr>
      <w:tr w14:paraId="7E5C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3" w:type="dxa"/>
            <w:tcBorders>
              <w:left w:val="double" w:color="auto" w:sz="4" w:space="0"/>
            </w:tcBorders>
            <w:vAlign w:val="center"/>
          </w:tcPr>
          <w:p w14:paraId="1E228418">
            <w:pPr>
              <w:spacing w:line="420" w:lineRule="exact"/>
              <w:jc w:val="center"/>
              <w:rPr>
                <w:rFonts w:hint="eastAsia" w:ascii="宋体" w:hAnsi="宋体" w:eastAsia="宋体" w:cs="宋体"/>
                <w:bCs/>
                <w:color w:val="auto"/>
                <w:szCs w:val="22"/>
                <w:highlight w:val="none"/>
                <w:u w:color="800080"/>
              </w:rPr>
            </w:pPr>
            <w:r>
              <w:rPr>
                <w:rFonts w:hint="eastAsia" w:ascii="宋体" w:hAnsi="宋体" w:eastAsia="宋体" w:cs="宋体"/>
                <w:bCs/>
                <w:color w:val="auto"/>
                <w:szCs w:val="22"/>
                <w:highlight w:val="none"/>
                <w:u w:color="800080"/>
              </w:rPr>
              <w:t>采购内容</w:t>
            </w:r>
          </w:p>
        </w:tc>
        <w:tc>
          <w:tcPr>
            <w:tcW w:w="7712" w:type="dxa"/>
            <w:tcBorders>
              <w:right w:val="double" w:color="auto" w:sz="4" w:space="0"/>
            </w:tcBorders>
            <w:vAlign w:val="center"/>
          </w:tcPr>
          <w:p w14:paraId="2D32510E">
            <w:pPr>
              <w:tabs>
                <w:tab w:val="center" w:pos="3342"/>
              </w:tabs>
              <w:spacing w:line="420" w:lineRule="exact"/>
              <w:rPr>
                <w:rFonts w:hint="eastAsia" w:ascii="宋体" w:hAnsi="宋体" w:eastAsia="宋体" w:cs="宋体"/>
                <w:color w:val="auto"/>
                <w:szCs w:val="22"/>
                <w:highlight w:val="none"/>
                <w:u w:color="800080"/>
                <w:lang w:eastAsia="zh-CN"/>
              </w:rPr>
            </w:pPr>
            <w:r>
              <w:rPr>
                <w:rFonts w:hint="eastAsia" w:ascii="宋体" w:hAnsi="宋体" w:cs="宋体"/>
                <w:color w:val="auto"/>
                <w:szCs w:val="22"/>
                <w:highlight w:val="none"/>
                <w:u w:color="800080"/>
                <w:lang w:eastAsia="zh-CN"/>
              </w:rPr>
              <w:t>2025年度苍南县百里平水公园(灵溪段)及南塘长效管理项目（重）</w:t>
            </w:r>
          </w:p>
        </w:tc>
      </w:tr>
      <w:tr w14:paraId="60D1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3" w:type="dxa"/>
            <w:tcBorders>
              <w:left w:val="double" w:color="auto" w:sz="4" w:space="0"/>
            </w:tcBorders>
            <w:vAlign w:val="center"/>
          </w:tcPr>
          <w:p w14:paraId="36DEEF88">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资金来源</w:t>
            </w:r>
          </w:p>
        </w:tc>
        <w:tc>
          <w:tcPr>
            <w:tcW w:w="7712" w:type="dxa"/>
            <w:tcBorders>
              <w:right w:val="double" w:color="auto" w:sz="4" w:space="0"/>
            </w:tcBorders>
            <w:vAlign w:val="center"/>
          </w:tcPr>
          <w:p w14:paraId="21980A5A">
            <w:pPr>
              <w:spacing w:line="420" w:lineRule="exac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财政资金</w:t>
            </w:r>
          </w:p>
        </w:tc>
      </w:tr>
      <w:tr w14:paraId="31E7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3" w:type="dxa"/>
            <w:tcBorders>
              <w:left w:val="double" w:color="auto" w:sz="4" w:space="0"/>
            </w:tcBorders>
            <w:vAlign w:val="center"/>
          </w:tcPr>
          <w:p w14:paraId="6E6FBD06">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采购方式</w:t>
            </w:r>
          </w:p>
        </w:tc>
        <w:tc>
          <w:tcPr>
            <w:tcW w:w="7712" w:type="dxa"/>
            <w:tcBorders>
              <w:right w:val="double" w:color="auto" w:sz="4" w:space="0"/>
            </w:tcBorders>
            <w:vAlign w:val="center"/>
          </w:tcPr>
          <w:p w14:paraId="4FB37049">
            <w:pPr>
              <w:spacing w:line="420" w:lineRule="exact"/>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公开招标</w:t>
            </w:r>
          </w:p>
        </w:tc>
      </w:tr>
      <w:tr w14:paraId="7F1F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3" w:type="dxa"/>
            <w:tcBorders>
              <w:left w:val="double" w:color="auto" w:sz="4" w:space="0"/>
            </w:tcBorders>
            <w:vAlign w:val="center"/>
          </w:tcPr>
          <w:p w14:paraId="1AA3D232">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最高限价</w:t>
            </w:r>
          </w:p>
        </w:tc>
        <w:tc>
          <w:tcPr>
            <w:tcW w:w="7712" w:type="dxa"/>
            <w:tcBorders>
              <w:right w:val="double" w:color="auto" w:sz="4" w:space="0"/>
            </w:tcBorders>
            <w:vAlign w:val="center"/>
          </w:tcPr>
          <w:p w14:paraId="19C3945E">
            <w:pPr>
              <w:spacing w:line="420" w:lineRule="exact"/>
              <w:rPr>
                <w:rFonts w:hint="eastAsia" w:ascii="宋体" w:hAnsi="宋体" w:eastAsia="宋体" w:cs="宋体"/>
                <w:b/>
                <w:bCs/>
                <w:color w:val="auto"/>
                <w:szCs w:val="22"/>
                <w:highlight w:val="none"/>
              </w:rPr>
            </w:pPr>
            <w:r>
              <w:rPr>
                <w:rFonts w:hint="eastAsia" w:ascii="宋体" w:hAnsi="宋体" w:cs="宋体"/>
                <w:color w:val="auto"/>
                <w:kern w:val="0"/>
                <w:szCs w:val="22"/>
                <w:highlight w:val="none"/>
                <w:lang w:val="en-US" w:eastAsia="zh-CN"/>
              </w:rPr>
              <w:t>187.0686</w:t>
            </w:r>
            <w:r>
              <w:rPr>
                <w:rFonts w:hint="eastAsia" w:ascii="宋体" w:hAnsi="宋体" w:eastAsia="宋体" w:cs="宋体"/>
                <w:b/>
                <w:bCs/>
                <w:color w:val="auto"/>
                <w:szCs w:val="22"/>
                <w:highlight w:val="none"/>
              </w:rPr>
              <w:t>万元，报价超出标项最高限价的，按无效响应文件处理。</w:t>
            </w:r>
          </w:p>
        </w:tc>
      </w:tr>
      <w:tr w14:paraId="0183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3" w:type="dxa"/>
            <w:tcBorders>
              <w:left w:val="double" w:color="auto" w:sz="4" w:space="0"/>
            </w:tcBorders>
            <w:vAlign w:val="center"/>
          </w:tcPr>
          <w:p w14:paraId="7CB9348E">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评审办法</w:t>
            </w:r>
          </w:p>
        </w:tc>
        <w:tc>
          <w:tcPr>
            <w:tcW w:w="7712" w:type="dxa"/>
            <w:tcBorders>
              <w:right w:val="double" w:color="auto" w:sz="4" w:space="0"/>
            </w:tcBorders>
            <w:vAlign w:val="center"/>
          </w:tcPr>
          <w:p w14:paraId="682228CA">
            <w:pPr>
              <w:spacing w:line="420" w:lineRule="exac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综合评分法</w:t>
            </w:r>
          </w:p>
        </w:tc>
      </w:tr>
      <w:tr w14:paraId="2C43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3" w:type="dxa"/>
            <w:tcBorders>
              <w:left w:val="double" w:color="auto" w:sz="4" w:space="0"/>
            </w:tcBorders>
            <w:vAlign w:val="center"/>
          </w:tcPr>
          <w:p w14:paraId="35B564B8">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投标有效期</w:t>
            </w:r>
          </w:p>
        </w:tc>
        <w:tc>
          <w:tcPr>
            <w:tcW w:w="7712" w:type="dxa"/>
            <w:tcBorders>
              <w:right w:val="double" w:color="auto" w:sz="4" w:space="0"/>
            </w:tcBorders>
            <w:vAlign w:val="center"/>
          </w:tcPr>
          <w:p w14:paraId="0AE5C855">
            <w:pPr>
              <w:spacing w:line="420" w:lineRule="exact"/>
              <w:rPr>
                <w:rFonts w:hint="eastAsia" w:ascii="宋体" w:hAnsi="宋体" w:eastAsia="宋体" w:cs="宋体"/>
                <w:color w:val="auto"/>
                <w:szCs w:val="22"/>
                <w:highlight w:val="none"/>
              </w:rPr>
            </w:pPr>
            <w:r>
              <w:rPr>
                <w:rFonts w:hint="eastAsia" w:ascii="宋体" w:hAnsi="宋体" w:cs="宋体"/>
                <w:color w:val="auto"/>
                <w:szCs w:val="22"/>
                <w:highlight w:val="none"/>
                <w:lang w:eastAsia="zh-CN"/>
              </w:rPr>
              <w:t>90日历天</w:t>
            </w:r>
            <w:r>
              <w:rPr>
                <w:rFonts w:hint="eastAsia" w:ascii="宋体" w:hAnsi="宋体" w:eastAsia="宋体" w:cs="宋体"/>
                <w:color w:val="auto"/>
                <w:szCs w:val="22"/>
                <w:highlight w:val="none"/>
              </w:rPr>
              <w:t>（自投标截止日起计算）</w:t>
            </w:r>
          </w:p>
        </w:tc>
      </w:tr>
      <w:tr w14:paraId="687E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14:paraId="22D10657">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投标保证金</w:t>
            </w:r>
          </w:p>
        </w:tc>
        <w:tc>
          <w:tcPr>
            <w:tcW w:w="7712" w:type="dxa"/>
            <w:tcBorders>
              <w:right w:val="double" w:color="auto" w:sz="4" w:space="0"/>
            </w:tcBorders>
            <w:vAlign w:val="center"/>
          </w:tcPr>
          <w:p w14:paraId="47ECF4F9">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按照《浙江省财政厅关于明确政府采购保证金管理工作的通知》浙财采监〔2019〕5号文件规定，投标人无需缴纳投标保证金。</w:t>
            </w:r>
          </w:p>
        </w:tc>
      </w:tr>
      <w:tr w14:paraId="7B64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823" w:type="dxa"/>
            <w:tcBorders>
              <w:left w:val="double" w:color="auto" w:sz="4" w:space="0"/>
            </w:tcBorders>
            <w:vAlign w:val="center"/>
          </w:tcPr>
          <w:p w14:paraId="62613AEE">
            <w:pPr>
              <w:overflowPunct w:val="0"/>
              <w:adjustRightInd w:val="0"/>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712" w:type="dxa"/>
            <w:tcBorders>
              <w:right w:val="double" w:color="auto" w:sz="4" w:space="0"/>
            </w:tcBorders>
            <w:vAlign w:val="center"/>
          </w:tcPr>
          <w:p w14:paraId="471E95C6">
            <w:pPr>
              <w:overflowPunct w:val="0"/>
              <w:adjustRightIn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中标供应商须向采购人提供中标金额的1%作为履约保证金。履约保证金可采用</w:t>
            </w:r>
            <w:r>
              <w:rPr>
                <w:rFonts w:hint="eastAsia" w:ascii="宋体" w:hAnsi="宋体" w:eastAsia="宋体" w:cs="宋体"/>
                <w:bCs/>
                <w:color w:val="auto"/>
                <w:szCs w:val="21"/>
                <w:highlight w:val="none"/>
              </w:rPr>
              <w:t>银</w:t>
            </w:r>
            <w:r>
              <w:rPr>
                <w:rFonts w:hint="eastAsia" w:ascii="宋体" w:hAnsi="宋体" w:eastAsia="宋体" w:cs="宋体"/>
                <w:color w:val="auto"/>
                <w:szCs w:val="21"/>
                <w:highlight w:val="none"/>
              </w:rPr>
              <w:t>行转账/</w:t>
            </w:r>
            <w:r>
              <w:rPr>
                <w:rFonts w:hint="eastAsia" w:ascii="宋体" w:hAnsi="宋体" w:eastAsia="宋体" w:cs="宋体"/>
                <w:color w:val="auto"/>
                <w:szCs w:val="21"/>
                <w:highlight w:val="none"/>
                <w:lang w:eastAsia="zh-CN"/>
              </w:rPr>
              <w:t>转账支票</w:t>
            </w:r>
            <w:r>
              <w:rPr>
                <w:rFonts w:hint="eastAsia" w:ascii="宋体" w:hAnsi="宋体" w:eastAsia="宋体" w:cs="宋体"/>
                <w:color w:val="auto"/>
                <w:szCs w:val="21"/>
                <w:highlight w:val="none"/>
              </w:rPr>
              <w:t>/银行汇票/银行、保险公司出具的保函等非现金方式。</w:t>
            </w:r>
          </w:p>
        </w:tc>
      </w:tr>
      <w:tr w14:paraId="7885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23" w:type="dxa"/>
            <w:tcBorders>
              <w:left w:val="double" w:color="auto" w:sz="4" w:space="0"/>
            </w:tcBorders>
            <w:vAlign w:val="center"/>
          </w:tcPr>
          <w:p w14:paraId="62558318">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联合体</w:t>
            </w:r>
          </w:p>
        </w:tc>
        <w:tc>
          <w:tcPr>
            <w:tcW w:w="7712" w:type="dxa"/>
            <w:tcBorders>
              <w:right w:val="double" w:color="auto" w:sz="4" w:space="0"/>
            </w:tcBorders>
            <w:vAlign w:val="center"/>
          </w:tcPr>
          <w:p w14:paraId="059321D7">
            <w:pPr>
              <w:spacing w:after="156" w:afterLines="50"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本招标项目不接受联合体投标。</w:t>
            </w:r>
          </w:p>
        </w:tc>
      </w:tr>
      <w:tr w14:paraId="1B2B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23" w:type="dxa"/>
            <w:tcBorders>
              <w:left w:val="double" w:color="auto" w:sz="4" w:space="0"/>
            </w:tcBorders>
            <w:vAlign w:val="center"/>
          </w:tcPr>
          <w:p w14:paraId="4224A5BA">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现场勘查</w:t>
            </w:r>
          </w:p>
        </w:tc>
        <w:tc>
          <w:tcPr>
            <w:tcW w:w="7712" w:type="dxa"/>
            <w:tcBorders>
              <w:right w:val="double" w:color="auto" w:sz="4" w:space="0"/>
            </w:tcBorders>
            <w:vAlign w:val="center"/>
          </w:tcPr>
          <w:p w14:paraId="12F6A52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14:paraId="05F9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23" w:type="dxa"/>
            <w:tcBorders>
              <w:left w:val="double" w:color="auto" w:sz="4" w:space="0"/>
            </w:tcBorders>
            <w:vAlign w:val="center"/>
          </w:tcPr>
          <w:p w14:paraId="5F65E9F8">
            <w:pPr>
              <w:spacing w:line="420" w:lineRule="exact"/>
              <w:jc w:val="center"/>
              <w:rPr>
                <w:rFonts w:hint="eastAsia" w:ascii="宋体" w:hAnsi="宋体" w:eastAsia="宋体" w:cs="宋体"/>
                <w:color w:val="auto"/>
                <w:szCs w:val="22"/>
                <w:highlight w:val="none"/>
              </w:rPr>
            </w:pPr>
            <w:r>
              <w:rPr>
                <w:rFonts w:hint="eastAsia" w:ascii="宋体" w:hAnsi="宋体" w:eastAsia="宋体" w:cs="宋体"/>
                <w:bCs/>
                <w:color w:val="auto"/>
                <w:szCs w:val="22"/>
                <w:highlight w:val="none"/>
              </w:rPr>
              <w:t>是否专门面向中小企业采购</w:t>
            </w:r>
          </w:p>
        </w:tc>
        <w:tc>
          <w:tcPr>
            <w:tcW w:w="7712" w:type="dxa"/>
            <w:tcBorders>
              <w:right w:val="double" w:color="auto" w:sz="4" w:space="0"/>
            </w:tcBorders>
            <w:vAlign w:val="center"/>
          </w:tcPr>
          <w:p w14:paraId="63CDA975">
            <w:pPr>
              <w:spacing w:line="420" w:lineRule="exact"/>
              <w:rPr>
                <w:rFonts w:hint="eastAsia"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fldChar w:fldCharType="begin"/>
            </w:r>
            <w:r>
              <w:rPr>
                <w:rFonts w:hint="eastAsia" w:ascii="宋体" w:hAnsi="宋体" w:eastAsia="宋体" w:cs="宋体"/>
                <w:b/>
                <w:bCs/>
                <w:color w:val="auto"/>
                <w:kern w:val="0"/>
                <w:szCs w:val="22"/>
                <w:highlight w:val="none"/>
              </w:rPr>
              <w:instrText xml:space="preserve"> eq \o\ac(□,√)</w:instrText>
            </w:r>
            <w:r>
              <w:rPr>
                <w:rFonts w:hint="eastAsia" w:ascii="宋体" w:hAnsi="宋体" w:eastAsia="宋体" w:cs="宋体"/>
                <w:b/>
                <w:bCs/>
                <w:color w:val="auto"/>
                <w:kern w:val="0"/>
                <w:szCs w:val="22"/>
                <w:highlight w:val="none"/>
              </w:rPr>
              <w:fldChar w:fldCharType="end"/>
            </w:r>
            <w:r>
              <w:rPr>
                <w:rFonts w:hint="eastAsia" w:ascii="宋体" w:hAnsi="宋体" w:eastAsia="宋体" w:cs="宋体"/>
                <w:b/>
                <w:bCs/>
                <w:color w:val="auto"/>
                <w:kern w:val="0"/>
                <w:szCs w:val="22"/>
                <w:highlight w:val="none"/>
              </w:rPr>
              <w:t xml:space="preserve"> 专门面向小、微企业采购项目</w:t>
            </w:r>
          </w:p>
          <w:p w14:paraId="63EAC997">
            <w:pPr>
              <w:spacing w:line="420" w:lineRule="exac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 非专门面向中小企业采购项目。</w:t>
            </w:r>
          </w:p>
          <w:p w14:paraId="414488C3">
            <w:pPr>
              <w:spacing w:line="420" w:lineRule="exac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1）本次采购为非专门面向中小企业预留采购份额的采购项目。</w:t>
            </w:r>
          </w:p>
          <w:p w14:paraId="7D3F71AF">
            <w:pPr>
              <w:spacing w:line="420" w:lineRule="exact"/>
              <w:rPr>
                <w:rFonts w:hint="eastAsia" w:ascii="宋体" w:hAnsi="宋体" w:eastAsia="宋体" w:cs="宋体"/>
                <w:color w:val="auto"/>
                <w:szCs w:val="22"/>
                <w:highlight w:val="none"/>
              </w:rPr>
            </w:pPr>
            <w:r>
              <w:rPr>
                <w:rFonts w:hint="eastAsia" w:ascii="宋体" w:hAnsi="宋体" w:eastAsia="宋体" w:cs="宋体"/>
                <w:color w:val="auto"/>
                <w:kern w:val="0"/>
                <w:szCs w:val="22"/>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tc>
      </w:tr>
      <w:tr w14:paraId="296B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823" w:type="dxa"/>
            <w:tcBorders>
              <w:left w:val="double" w:color="auto" w:sz="4" w:space="0"/>
            </w:tcBorders>
            <w:vAlign w:val="center"/>
          </w:tcPr>
          <w:p w14:paraId="470EB2C3">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kern w:val="0"/>
                <w:szCs w:val="22"/>
                <w:highlight w:val="none"/>
              </w:rPr>
              <w:t>投标</w:t>
            </w:r>
            <w:r>
              <w:rPr>
                <w:rFonts w:hint="eastAsia" w:ascii="宋体" w:hAnsi="宋体" w:eastAsia="宋体" w:cs="宋体"/>
                <w:bCs/>
                <w:color w:val="auto"/>
                <w:szCs w:val="22"/>
                <w:highlight w:val="none"/>
              </w:rPr>
              <w:t>文件递交与开标平台</w:t>
            </w:r>
          </w:p>
        </w:tc>
        <w:tc>
          <w:tcPr>
            <w:tcW w:w="7712" w:type="dxa"/>
            <w:tcBorders>
              <w:right w:val="double" w:color="auto" w:sz="4" w:space="0"/>
            </w:tcBorders>
            <w:vAlign w:val="center"/>
          </w:tcPr>
          <w:p w14:paraId="19ECB869">
            <w:pPr>
              <w:spacing w:line="420" w:lineRule="exact"/>
              <w:rPr>
                <w:rFonts w:hint="eastAsia" w:ascii="宋体" w:hAnsi="宋体" w:eastAsia="宋体" w:cs="宋体"/>
                <w:color w:val="auto"/>
                <w:szCs w:val="22"/>
                <w:highlight w:val="none"/>
              </w:rPr>
            </w:pPr>
            <w:r>
              <w:rPr>
                <w:rFonts w:hint="eastAsia" w:ascii="宋体" w:hAnsi="宋体" w:eastAsia="宋体" w:cs="宋体"/>
                <w:color w:val="auto"/>
                <w:kern w:val="0"/>
                <w:szCs w:val="22"/>
                <w:highlight w:val="none"/>
              </w:rPr>
              <w:t>通过“政府采购云平台（www.zcygov.cn）”实行在线投标响应（在投标截止时间前，供应商须准时登录“政府采购云平台（www.zcygov.cn）”在线响应投标）。</w:t>
            </w:r>
          </w:p>
        </w:tc>
      </w:tr>
      <w:tr w14:paraId="4D74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23" w:type="dxa"/>
            <w:tcBorders>
              <w:left w:val="double" w:color="auto" w:sz="4" w:space="0"/>
            </w:tcBorders>
            <w:vAlign w:val="center"/>
          </w:tcPr>
          <w:p w14:paraId="162593BA">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kern w:val="0"/>
                <w:szCs w:val="22"/>
                <w:highlight w:val="none"/>
              </w:rPr>
              <w:t>投标文件</w:t>
            </w:r>
            <w:r>
              <w:rPr>
                <w:rFonts w:hint="eastAsia" w:ascii="宋体" w:hAnsi="宋体" w:eastAsia="宋体" w:cs="宋体"/>
                <w:bCs/>
                <w:color w:val="auto"/>
                <w:szCs w:val="22"/>
                <w:highlight w:val="none"/>
              </w:rPr>
              <w:t>递交截止与</w:t>
            </w:r>
            <w:r>
              <w:rPr>
                <w:rFonts w:hint="eastAsia" w:ascii="宋体" w:hAnsi="宋体" w:eastAsia="宋体" w:cs="宋体"/>
                <w:bCs/>
                <w:color w:val="auto"/>
                <w:kern w:val="0"/>
                <w:szCs w:val="22"/>
                <w:highlight w:val="none"/>
              </w:rPr>
              <w:t>开标</w:t>
            </w:r>
            <w:r>
              <w:rPr>
                <w:rFonts w:hint="eastAsia" w:ascii="宋体" w:hAnsi="宋体" w:eastAsia="宋体" w:cs="宋体"/>
                <w:bCs/>
                <w:color w:val="auto"/>
                <w:szCs w:val="22"/>
                <w:highlight w:val="none"/>
              </w:rPr>
              <w:t>时间</w:t>
            </w:r>
          </w:p>
        </w:tc>
        <w:tc>
          <w:tcPr>
            <w:tcW w:w="7712" w:type="dxa"/>
            <w:tcBorders>
              <w:right w:val="double" w:color="auto" w:sz="4" w:space="0"/>
            </w:tcBorders>
            <w:vAlign w:val="center"/>
          </w:tcPr>
          <w:p w14:paraId="3AA0FF71">
            <w:pPr>
              <w:spacing w:line="420" w:lineRule="exact"/>
              <w:rPr>
                <w:rFonts w:hint="eastAsia" w:ascii="宋体" w:hAnsi="宋体" w:eastAsia="宋体" w:cs="宋体"/>
                <w:b/>
                <w:color w:val="auto"/>
                <w:szCs w:val="22"/>
                <w:highlight w:val="none"/>
              </w:rPr>
            </w:pPr>
            <w:r>
              <w:rPr>
                <w:rFonts w:hint="eastAsia" w:ascii="宋体" w:hAnsi="宋体" w:cs="宋体"/>
                <w:b/>
                <w:color w:val="auto"/>
                <w:kern w:val="0"/>
                <w:szCs w:val="22"/>
                <w:highlight w:val="none"/>
                <w:lang w:eastAsia="zh-CN"/>
              </w:rPr>
              <w:t>2025年 07 月 0</w:t>
            </w:r>
            <w:r>
              <w:rPr>
                <w:rFonts w:hint="eastAsia" w:ascii="宋体" w:hAnsi="宋体" w:cs="宋体"/>
                <w:b/>
                <w:color w:val="auto"/>
                <w:kern w:val="0"/>
                <w:szCs w:val="22"/>
                <w:highlight w:val="none"/>
                <w:lang w:val="en-US" w:eastAsia="zh-CN"/>
              </w:rPr>
              <w:t>8</w:t>
            </w:r>
            <w:bookmarkStart w:id="43" w:name="_GoBack"/>
            <w:bookmarkEnd w:id="43"/>
            <w:r>
              <w:rPr>
                <w:rFonts w:hint="eastAsia" w:ascii="宋体" w:hAnsi="宋体" w:cs="宋体"/>
                <w:b/>
                <w:color w:val="auto"/>
                <w:kern w:val="0"/>
                <w:szCs w:val="22"/>
                <w:highlight w:val="none"/>
                <w:lang w:eastAsia="zh-CN"/>
              </w:rPr>
              <w:t xml:space="preserve"> 日</w:t>
            </w:r>
            <w:r>
              <w:rPr>
                <w:rFonts w:hint="eastAsia" w:ascii="宋体" w:hAnsi="宋体" w:cs="宋体"/>
                <w:b/>
                <w:color w:val="auto"/>
                <w:kern w:val="0"/>
                <w:szCs w:val="22"/>
                <w:highlight w:val="none"/>
                <w:lang w:val="en-US" w:eastAsia="zh-CN"/>
              </w:rPr>
              <w:t>14</w:t>
            </w:r>
            <w:r>
              <w:rPr>
                <w:rFonts w:hint="eastAsia" w:ascii="宋体" w:hAnsi="宋体" w:eastAsia="宋体" w:cs="宋体"/>
                <w:b/>
                <w:color w:val="auto"/>
                <w:kern w:val="0"/>
                <w:szCs w:val="22"/>
                <w:highlight w:val="none"/>
              </w:rPr>
              <w:t xml:space="preserve">时30分 </w:t>
            </w:r>
          </w:p>
        </w:tc>
      </w:tr>
      <w:tr w14:paraId="0717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23" w:type="dxa"/>
            <w:tcBorders>
              <w:left w:val="double" w:color="auto" w:sz="4" w:space="0"/>
            </w:tcBorders>
            <w:vAlign w:val="center"/>
          </w:tcPr>
          <w:p w14:paraId="0595846D">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投标文件组成</w:t>
            </w:r>
          </w:p>
        </w:tc>
        <w:tc>
          <w:tcPr>
            <w:tcW w:w="7712" w:type="dxa"/>
            <w:tcBorders>
              <w:right w:val="double" w:color="auto" w:sz="4" w:space="0"/>
            </w:tcBorders>
            <w:vAlign w:val="center"/>
          </w:tcPr>
          <w:p w14:paraId="54060C6F">
            <w:pPr>
              <w:spacing w:line="420" w:lineRule="exact"/>
              <w:rPr>
                <w:rFonts w:hint="eastAsia" w:ascii="宋体" w:hAnsi="宋体" w:eastAsia="宋体" w:cs="宋体"/>
                <w:color w:val="auto"/>
                <w:szCs w:val="22"/>
                <w:highlight w:val="none"/>
              </w:rPr>
            </w:pPr>
            <w:r>
              <w:rPr>
                <w:rFonts w:hint="eastAsia" w:ascii="宋体" w:hAnsi="宋体" w:eastAsia="宋体" w:cs="宋体"/>
                <w:color w:val="auto"/>
                <w:kern w:val="0"/>
                <w:szCs w:val="22"/>
                <w:highlight w:val="none"/>
              </w:rPr>
              <w:t>由资格响应文件、商务技术文件和报价文件三部分组成。</w:t>
            </w:r>
          </w:p>
        </w:tc>
      </w:tr>
      <w:tr w14:paraId="64B7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823" w:type="dxa"/>
            <w:tcBorders>
              <w:left w:val="double" w:color="auto" w:sz="4" w:space="0"/>
            </w:tcBorders>
            <w:vAlign w:val="center"/>
          </w:tcPr>
          <w:p w14:paraId="38EF1361">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投标文件的编制</w:t>
            </w:r>
          </w:p>
        </w:tc>
        <w:tc>
          <w:tcPr>
            <w:tcW w:w="7712" w:type="dxa"/>
            <w:tcBorders>
              <w:right w:val="double" w:color="auto" w:sz="4" w:space="0"/>
            </w:tcBorders>
            <w:vAlign w:val="center"/>
          </w:tcPr>
          <w:p w14:paraId="46C73E8A">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供应商应先安装“政采云电子交易客户端”和申领“CA数字证书”，并按照本采购文件和“政采云平台”的要求，通过“政采云电子交易客户端”编制并加密响应文件。</w:t>
            </w:r>
            <w:r>
              <w:rPr>
                <w:rFonts w:hint="eastAsia" w:ascii="宋体" w:hAnsi="宋体" w:eastAsia="宋体" w:cs="宋体"/>
                <w:b/>
                <w:bCs/>
                <w:color w:val="auto"/>
                <w:szCs w:val="22"/>
                <w:highlight w:val="none"/>
              </w:rPr>
              <w:t>注意：至本项目投标结束止，投标人需确保“政采云电子交易客户端”和CA驱动端为最新版本。请各投标人及时更新，避免造成损失。</w:t>
            </w:r>
          </w:p>
        </w:tc>
      </w:tr>
      <w:tr w14:paraId="4794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823" w:type="dxa"/>
            <w:tcBorders>
              <w:left w:val="double" w:color="auto" w:sz="4" w:space="0"/>
            </w:tcBorders>
            <w:vAlign w:val="center"/>
          </w:tcPr>
          <w:p w14:paraId="5C8EC76A">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投标文件的签章</w:t>
            </w:r>
          </w:p>
        </w:tc>
        <w:tc>
          <w:tcPr>
            <w:tcW w:w="7712" w:type="dxa"/>
            <w:tcBorders>
              <w:right w:val="double" w:color="auto" w:sz="4" w:space="0"/>
            </w:tcBorders>
            <w:vAlign w:val="center"/>
          </w:tcPr>
          <w:p w14:paraId="6C850EC3">
            <w:pPr>
              <w:spacing w:line="420" w:lineRule="exac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 电子签章（投标文件里要求盖公章和代表盖章的均使用电子签章，如无法使用电子签章时，供应商需将响应文件打印出再盖上公章、签字后再扫描至客户端按要求继续进行编制。</w:t>
            </w:r>
            <w:r>
              <w:rPr>
                <w:rFonts w:hint="eastAsia" w:ascii="宋体" w:hAnsi="宋体" w:cs="宋体"/>
                <w:color w:val="auto"/>
                <w:szCs w:val="22"/>
                <w:highlight w:val="none"/>
                <w:lang w:eastAsia="zh-CN"/>
              </w:rPr>
              <w:t>）</w:t>
            </w:r>
          </w:p>
        </w:tc>
      </w:tr>
      <w:tr w14:paraId="37A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1823" w:type="dxa"/>
            <w:tcBorders>
              <w:left w:val="double" w:color="auto" w:sz="4" w:space="0"/>
            </w:tcBorders>
            <w:vAlign w:val="center"/>
          </w:tcPr>
          <w:p w14:paraId="1E55FA01">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投标文件的形式</w:t>
            </w:r>
          </w:p>
        </w:tc>
        <w:tc>
          <w:tcPr>
            <w:tcW w:w="7712" w:type="dxa"/>
            <w:tcBorders>
              <w:right w:val="double" w:color="auto" w:sz="4" w:space="0"/>
            </w:tcBorders>
            <w:vAlign w:val="center"/>
          </w:tcPr>
          <w:p w14:paraId="6364CC48">
            <w:pPr>
              <w:spacing w:line="420" w:lineRule="exac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 电子响应文件（包括《电子加密响应文件》和《备份响应文件》，在响应文件编制完成后同时生成</w:t>
            </w:r>
            <w:r>
              <w:rPr>
                <w:rFonts w:hint="eastAsia" w:ascii="宋体" w:hAnsi="宋体" w:cs="宋体"/>
                <w:color w:val="auto"/>
                <w:szCs w:val="22"/>
                <w:highlight w:val="none"/>
                <w:lang w:eastAsia="zh-CN"/>
              </w:rPr>
              <w:t>。）</w:t>
            </w:r>
          </w:p>
          <w:p w14:paraId="2CFDD0C8">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（1）《电子加密响应文件》是指通过“政采云电子交易客户端”完成响应文件编制后生成并加密的数据电文形式的响应文件。</w:t>
            </w:r>
          </w:p>
          <w:p w14:paraId="203F4E58">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（2）《备份响应文件》是指与《电子加密响应文件》同时生成的数据电文形式的电子文件（备份响应文件），其他方式编制的备份响应文件视为无效备份响应文件。</w:t>
            </w:r>
          </w:p>
        </w:tc>
      </w:tr>
      <w:tr w14:paraId="24D2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1823" w:type="dxa"/>
            <w:tcBorders>
              <w:left w:val="double" w:color="auto" w:sz="4" w:space="0"/>
            </w:tcBorders>
            <w:vAlign w:val="center"/>
          </w:tcPr>
          <w:p w14:paraId="0B146101">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投标文件份数</w:t>
            </w:r>
          </w:p>
        </w:tc>
        <w:tc>
          <w:tcPr>
            <w:tcW w:w="7712" w:type="dxa"/>
            <w:tcBorders>
              <w:right w:val="double" w:color="auto" w:sz="4" w:space="0"/>
            </w:tcBorders>
            <w:vAlign w:val="center"/>
          </w:tcPr>
          <w:p w14:paraId="27DA198A">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（1）“电子加密投标文件”：在线上传递交一份。</w:t>
            </w:r>
          </w:p>
          <w:p w14:paraId="7512831E">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（2）“备份投标文件”：</w:t>
            </w:r>
          </w:p>
          <w:p w14:paraId="623D1ABF">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a、投标供应商可根据自身情况，在开标截止时间前递交“备份投标文件”一份。</w:t>
            </w:r>
          </w:p>
          <w:p w14:paraId="5D37ED2C">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b、“备份投标文件”需按招标文件相关要求递交。</w:t>
            </w:r>
          </w:p>
          <w:p w14:paraId="45929E61">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c、允许投标供应商不递交“备份投标文件”，因“电子加密投标文件”在线解密失败，而造成投标无效的责任由投标供应商自行承担。</w:t>
            </w:r>
          </w:p>
        </w:tc>
      </w:tr>
      <w:tr w14:paraId="62D1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1823" w:type="dxa"/>
            <w:tcBorders>
              <w:left w:val="double" w:color="auto" w:sz="4" w:space="0"/>
            </w:tcBorders>
            <w:vAlign w:val="center"/>
          </w:tcPr>
          <w:p w14:paraId="7D195F45">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投标文件的上传和递交</w:t>
            </w:r>
          </w:p>
        </w:tc>
        <w:tc>
          <w:tcPr>
            <w:tcW w:w="7712" w:type="dxa"/>
            <w:tcBorders>
              <w:right w:val="double" w:color="auto" w:sz="4" w:space="0"/>
            </w:tcBorders>
            <w:vAlign w:val="center"/>
          </w:tcPr>
          <w:p w14:paraId="64A43154">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（1）《电子加密投标文件》的上传、递交：</w:t>
            </w:r>
          </w:p>
          <w:p w14:paraId="3211738C">
            <w:pPr>
              <w:spacing w:line="420" w:lineRule="exact"/>
              <w:rPr>
                <w:rFonts w:hint="eastAsia" w:ascii="宋体" w:hAnsi="宋体" w:eastAsia="宋体" w:cs="宋体"/>
                <w:b/>
                <w:bCs/>
                <w:color w:val="auto"/>
                <w:szCs w:val="22"/>
                <w:highlight w:val="none"/>
              </w:rPr>
            </w:pPr>
            <w:r>
              <w:rPr>
                <w:rFonts w:hint="eastAsia" w:ascii="宋体" w:hAnsi="宋体" w:eastAsia="宋体" w:cs="宋体"/>
                <w:color w:val="auto"/>
                <w:szCs w:val="22"/>
                <w:highlight w:val="none"/>
              </w:rPr>
              <w:t>a.投标供应商应在投标截止时间前将《电子加密投标文件》成功上传递交至“政采云平台”，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Pr>
                <w:rFonts w:hint="eastAsia" w:ascii="宋体" w:hAnsi="宋体" w:eastAsia="宋体" w:cs="宋体"/>
                <w:b/>
                <w:bCs/>
                <w:color w:val="auto"/>
                <w:szCs w:val="22"/>
                <w:highlight w:val="none"/>
              </w:rPr>
              <w:t>（注意：“电子加密投标文件”上传前请检查文件的完整性，因上传的“电子加密投标文件”完整性出现问题造成无法解密的，由投标供应商自行承担全部责任。）</w:t>
            </w:r>
          </w:p>
          <w:p w14:paraId="0730A2FE">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b.《电子加密投标文件》成功上传递交后，供应商可自行打印响应文件接收回执。</w:t>
            </w:r>
          </w:p>
          <w:p w14:paraId="140F2BFB">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（2）《备份投标文件》的密封包装、递交：</w:t>
            </w:r>
          </w:p>
          <w:p w14:paraId="54F3AED4">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a.投标供应商在“政采云平台”完成《电子加密投标文件》的上传递交后，还可以以EMS、顺丰邮寄或投标人送达开标现场（即送即走）形式在投标截止时间前递交以U盘存储的《备份投标文件》（一份）（邮寄地址：苍南县灵溪镇</w:t>
            </w:r>
            <w:r>
              <w:rPr>
                <w:rFonts w:hint="eastAsia" w:ascii="宋体" w:hAnsi="宋体" w:eastAsia="宋体" w:cs="宋体"/>
                <w:color w:val="auto"/>
                <w:szCs w:val="22"/>
                <w:highlight w:val="none"/>
                <w:lang w:val="en-US" w:eastAsia="zh-CN"/>
              </w:rPr>
              <w:t>鑫鑫财富中心1幢805室</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许女士</w:t>
            </w:r>
            <w:r>
              <w:rPr>
                <w:rFonts w:hint="eastAsia" w:ascii="宋体" w:hAnsi="宋体" w:eastAsia="宋体" w:cs="宋体"/>
                <w:color w:val="auto"/>
                <w:szCs w:val="22"/>
                <w:highlight w:val="none"/>
              </w:rPr>
              <w:t>收，邮编325800，联系电话：</w:t>
            </w:r>
            <w:r>
              <w:rPr>
                <w:rFonts w:hint="eastAsia" w:ascii="宋体" w:hAnsi="宋体" w:eastAsia="宋体" w:cs="宋体"/>
                <w:color w:val="auto"/>
                <w:szCs w:val="22"/>
                <w:highlight w:val="none"/>
                <w:lang w:eastAsia="zh-CN"/>
              </w:rPr>
              <w:t>13757897701</w:t>
            </w:r>
            <w:r>
              <w:rPr>
                <w:rFonts w:hint="eastAsia" w:ascii="宋体" w:hAnsi="宋体" w:eastAsia="宋体" w:cs="宋体"/>
                <w:color w:val="auto"/>
                <w:szCs w:val="22"/>
                <w:highlight w:val="none"/>
              </w:rPr>
              <w:t>）。</w:t>
            </w:r>
          </w:p>
          <w:p w14:paraId="430870AF">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注：投标供应商需自行考虑/承担邮寄运输过程中运输耗费时间及其他不可预测风险，建议在投标截止时前一天送达至代理公司，避免逾期递交。</w:t>
            </w:r>
          </w:p>
          <w:p w14:paraId="16D28ED0">
            <w:pPr>
              <w:spacing w:line="420" w:lineRule="exac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b.《备份投标文件》应当密封包装，并在包装上标注投标项目名称、投标单位名称并加盖公章。没有密封包装或者逾期邮寄送达至指定地点的《备份投标文件》将不予接收</w:t>
            </w:r>
            <w:r>
              <w:rPr>
                <w:rFonts w:hint="eastAsia" w:ascii="宋体" w:hAnsi="宋体" w:cs="宋体"/>
                <w:color w:val="auto"/>
                <w:szCs w:val="22"/>
                <w:highlight w:val="none"/>
                <w:lang w:eastAsia="zh-CN"/>
              </w:rPr>
              <w:t>。</w:t>
            </w:r>
          </w:p>
          <w:p w14:paraId="3F7EFCE8">
            <w:pPr>
              <w:adjustRightInd w:val="0"/>
              <w:snapToGrid w:val="0"/>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c.通过“政采云平台”成功上传递交的《电子加密投标文件》已按时解密的，《备份投标文件》自动失效。投标截止时间前，投标供应商仅递交了《备份投标文件》而未将《电子加密投标文件》成功上传至“政采云平台”的，投标无效。</w:t>
            </w:r>
          </w:p>
          <w:p w14:paraId="5A43167B">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d.投标供应商可以不提供“备份投标文件”。未提供“备份投标文件”的投标供应商自行承担“电子加密投标文件”解密失败造成的投标无效的后果。</w:t>
            </w:r>
          </w:p>
        </w:tc>
      </w:tr>
      <w:tr w14:paraId="5500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23" w:type="dxa"/>
            <w:tcBorders>
              <w:left w:val="double" w:color="auto" w:sz="4" w:space="0"/>
            </w:tcBorders>
            <w:vAlign w:val="center"/>
          </w:tcPr>
          <w:p w14:paraId="15B14631">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电子加密投标文件的解密和异常情况处理</w:t>
            </w:r>
          </w:p>
          <w:p w14:paraId="4CDE7C20">
            <w:pPr>
              <w:snapToGrid w:val="0"/>
              <w:spacing w:line="420" w:lineRule="exact"/>
              <w:jc w:val="center"/>
              <w:rPr>
                <w:rFonts w:hint="eastAsia" w:ascii="宋体" w:hAnsi="宋体" w:eastAsia="宋体" w:cs="宋体"/>
                <w:b/>
                <w:bCs/>
                <w:color w:val="auto"/>
                <w:szCs w:val="22"/>
                <w:highlight w:val="none"/>
              </w:rPr>
            </w:pPr>
          </w:p>
        </w:tc>
        <w:tc>
          <w:tcPr>
            <w:tcW w:w="7712" w:type="dxa"/>
            <w:tcBorders>
              <w:right w:val="double" w:color="auto" w:sz="4" w:space="0"/>
            </w:tcBorders>
            <w:vAlign w:val="center"/>
          </w:tcPr>
          <w:p w14:paraId="0E4CA58E">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（1）开标后，采购组织机构将向各投标供应商发出《电子加密响应文件》的解密通知，各投标供应商代表应当在接到解密通知后按政采云规定时间内自行完成《电子加密响应文件》的在线解密。</w:t>
            </w:r>
          </w:p>
          <w:p w14:paraId="2D77E877">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2）通过“政采云平台”成功上传递交的《电子加密响应文件》无法按时解密，投标供应商如递交了《备份响应文件》的，以《备份响应文件》为依据（由采购组织机构按“政采云平台”操作规范将《备份响应文件》上传至《政采云平台》，上传成功后，《电子加密响应文件》自动失效），否则视为响应文件撤回，放弃投标。</w:t>
            </w:r>
            <w:r>
              <w:rPr>
                <w:rFonts w:hint="eastAsia" w:ascii="宋体" w:hAnsi="宋体" w:eastAsia="宋体" w:cs="宋体"/>
                <w:b/>
                <w:bCs/>
                <w:color w:val="auto"/>
                <w:szCs w:val="22"/>
                <w:highlight w:val="none"/>
              </w:rPr>
              <w:t>（注意：因“备份投标文件”完整性出现问题造成无法使用的，视为投标无效，由投标供应商自行承担全部责任。）</w:t>
            </w:r>
          </w:p>
          <w:p w14:paraId="6C1DF9B1">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（3）投标截止时间前，投标供应商仅递交了“备份响应文件”而未将电子加密响应文件上传至“政采云平台”的，投标无效。</w:t>
            </w:r>
          </w:p>
        </w:tc>
      </w:tr>
      <w:tr w14:paraId="2AED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23" w:type="dxa"/>
            <w:tcBorders>
              <w:left w:val="double" w:color="auto" w:sz="4" w:space="0"/>
            </w:tcBorders>
            <w:vAlign w:val="center"/>
          </w:tcPr>
          <w:p w14:paraId="4561F87F">
            <w:pPr>
              <w:spacing w:line="420" w:lineRule="exact"/>
              <w:jc w:val="center"/>
              <w:rPr>
                <w:rFonts w:hint="eastAsia" w:ascii="宋体" w:hAnsi="宋体" w:eastAsia="宋体" w:cs="宋体"/>
                <w:b/>
                <w:bCs/>
                <w:color w:val="auto"/>
                <w:szCs w:val="22"/>
                <w:highlight w:val="none"/>
              </w:rPr>
            </w:pPr>
            <w:r>
              <w:rPr>
                <w:rFonts w:hint="eastAsia" w:ascii="宋体" w:hAnsi="宋体" w:eastAsia="宋体" w:cs="宋体"/>
                <w:bCs/>
                <w:color w:val="auto"/>
                <w:szCs w:val="22"/>
                <w:highlight w:val="none"/>
              </w:rPr>
              <w:t>质疑时间及事项</w:t>
            </w:r>
          </w:p>
        </w:tc>
        <w:tc>
          <w:tcPr>
            <w:tcW w:w="7712" w:type="dxa"/>
            <w:tcBorders>
              <w:right w:val="double" w:color="auto" w:sz="4" w:space="0"/>
            </w:tcBorders>
            <w:vAlign w:val="center"/>
          </w:tcPr>
          <w:p w14:paraId="1FA436D9">
            <w:pPr>
              <w:spacing w:line="420" w:lineRule="exac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供应商须在采购公告质疑时间前一次性提出所有询问和质疑事项，逾期不递交的，视为放弃上述权利。</w:t>
            </w:r>
          </w:p>
          <w:p w14:paraId="7784EE22">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供应商也可以书面形式壹式贰份原件送达至代理机构，非法定代表人办理，需授权代理人全权负责，提交《法定代表人授权委托书原件》附后，《质疑函》范本请到“浙江政府采购网-下载专区-疑投诉模板”下载编制。</w:t>
            </w:r>
          </w:p>
        </w:tc>
      </w:tr>
      <w:tr w14:paraId="7524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9" w:hRule="atLeast"/>
        </w:trPr>
        <w:tc>
          <w:tcPr>
            <w:tcW w:w="1823" w:type="dxa"/>
            <w:tcBorders>
              <w:left w:val="double" w:color="auto" w:sz="4" w:space="0"/>
              <w:bottom w:val="single" w:color="auto" w:sz="4" w:space="0"/>
            </w:tcBorders>
            <w:vAlign w:val="center"/>
          </w:tcPr>
          <w:p w14:paraId="224FE5C8">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信用记录</w:t>
            </w:r>
          </w:p>
        </w:tc>
        <w:tc>
          <w:tcPr>
            <w:tcW w:w="7712" w:type="dxa"/>
            <w:tcBorders>
              <w:bottom w:val="single" w:color="auto" w:sz="4" w:space="0"/>
              <w:right w:val="double" w:color="auto" w:sz="4" w:space="0"/>
            </w:tcBorders>
            <w:vAlign w:val="center"/>
          </w:tcPr>
          <w:p w14:paraId="7DC49D2A">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p w14:paraId="7ACE3E47">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本项目详细处理办法如下：</w:t>
            </w:r>
          </w:p>
          <w:p w14:paraId="55382AE5">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（1）投标截止时间后、采购结果公告前发现投标供应商存在上述“被拒绝情形”的，按资格审查不通过对其递交的投标文件（响应文件）作无效标处理。</w:t>
            </w:r>
          </w:p>
          <w:p w14:paraId="66D26BD4">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（2）采购结果公告后（合同签订前）发现中标（成交）供应商存在上述“被拒绝情形”的，按资格审查不通过取消其中标（成交）资格。</w:t>
            </w:r>
          </w:p>
          <w:p w14:paraId="317F9FA6">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（3）“被拒绝情形”是指列入失信被执行人、重大税收违法案件当事人名单、政府采购严重违法失信行为记录名单及其他不符合《中华人民共和国政府采购法》第二十二条规定条件的情形。</w:t>
            </w:r>
          </w:p>
          <w:p w14:paraId="58ACB83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（4）查询工作由采购组织机构（采购人或采购代理机构）统一进行，并以书面形式留存备案。</w:t>
            </w:r>
          </w:p>
        </w:tc>
      </w:tr>
      <w:tr w14:paraId="5B2A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823" w:type="dxa"/>
            <w:tcBorders>
              <w:left w:val="double" w:color="auto" w:sz="4" w:space="0"/>
              <w:bottom w:val="single" w:color="auto" w:sz="4" w:space="0"/>
            </w:tcBorders>
            <w:vAlign w:val="center"/>
          </w:tcPr>
          <w:p w14:paraId="2490E8E0">
            <w:pPr>
              <w:adjustRightInd w:val="0"/>
              <w:snapToGrid w:val="0"/>
              <w:spacing w:line="42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开标程序</w:t>
            </w:r>
          </w:p>
        </w:tc>
        <w:tc>
          <w:tcPr>
            <w:tcW w:w="7712" w:type="dxa"/>
            <w:tcBorders>
              <w:bottom w:val="single" w:color="auto" w:sz="4" w:space="0"/>
              <w:right w:val="double" w:color="auto" w:sz="4" w:space="0"/>
            </w:tcBorders>
            <w:vAlign w:val="center"/>
          </w:tcPr>
          <w:p w14:paraId="6642AA38">
            <w:pPr>
              <w:spacing w:before="156" w:beforeLines="50" w:line="420" w:lineRule="exact"/>
              <w:rPr>
                <w:rFonts w:hint="eastAsia" w:ascii="宋体" w:hAnsi="宋体" w:eastAsia="宋体" w:cs="宋体"/>
                <w:color w:val="auto"/>
                <w:kern w:val="0"/>
                <w:szCs w:val="22"/>
                <w:highlight w:val="none"/>
              </w:rPr>
            </w:pPr>
            <w:r>
              <w:rPr>
                <w:rFonts w:hint="eastAsia" w:ascii="宋体" w:hAnsi="宋体" w:eastAsia="宋体" w:cs="宋体"/>
                <w:color w:val="auto"/>
                <w:szCs w:val="22"/>
                <w:highlight w:val="none"/>
              </w:rPr>
              <w:t>1、采购组织机构将按照招标文件规定的时间通过“政府采购云平台”开启投标文件，所有供应商均须准时在线参加。开标后，采购代理机构</w:t>
            </w:r>
            <w:r>
              <w:rPr>
                <w:rFonts w:hint="eastAsia" w:ascii="宋体" w:hAnsi="宋体" w:eastAsia="宋体" w:cs="宋体"/>
                <w:color w:val="auto"/>
                <w:kern w:val="0"/>
                <w:szCs w:val="22"/>
                <w:highlight w:val="none"/>
              </w:rPr>
              <w:t>向各投标供应商发出电子加密投标文件【开始解密】通知，由</w:t>
            </w:r>
            <w:r>
              <w:rPr>
                <w:rFonts w:hint="eastAsia" w:ascii="宋体" w:hAnsi="宋体" w:eastAsia="宋体" w:cs="宋体"/>
                <w:color w:val="auto"/>
                <w:szCs w:val="22"/>
                <w:highlight w:val="none"/>
              </w:rPr>
              <w:t>供应商登录政采云平台，在投标截止时间开始30分钟内对电子投标文件进行在线解密</w:t>
            </w:r>
            <w:r>
              <w:rPr>
                <w:rFonts w:hint="eastAsia" w:ascii="宋体" w:hAnsi="宋体" w:eastAsia="宋体" w:cs="宋体"/>
                <w:color w:val="auto"/>
                <w:kern w:val="0"/>
                <w:szCs w:val="22"/>
                <w:highlight w:val="none"/>
              </w:rPr>
              <w:t>。</w:t>
            </w:r>
          </w:p>
          <w:p w14:paraId="2689262C">
            <w:pPr>
              <w:spacing w:line="420" w:lineRule="exact"/>
              <w:rPr>
                <w:rFonts w:hint="eastAsia" w:ascii="宋体" w:hAnsi="宋体" w:eastAsia="宋体" w:cs="宋体"/>
                <w:color w:val="auto"/>
                <w:szCs w:val="22"/>
                <w:highlight w:val="none"/>
              </w:rPr>
            </w:pPr>
            <w:r>
              <w:rPr>
                <w:rFonts w:hint="eastAsia" w:ascii="宋体" w:hAnsi="宋体" w:eastAsia="宋体" w:cs="宋体"/>
                <w:color w:val="auto"/>
                <w:kern w:val="0"/>
                <w:szCs w:val="22"/>
                <w:highlight w:val="none"/>
              </w:rPr>
              <w:t>2、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Pr>
                <w:rFonts w:hint="eastAsia" w:ascii="宋体" w:hAnsi="宋体" w:eastAsia="宋体" w:cs="宋体"/>
                <w:color w:val="auto"/>
                <w:szCs w:val="22"/>
                <w:highlight w:val="none"/>
              </w:rPr>
              <w:t>。</w:t>
            </w:r>
          </w:p>
          <w:p w14:paraId="768A3B2D">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3、投标响应文件解密结束后，投标供应商应在30分钟内通过邮件形式发送各自签署的《政府采购活动现场确认声明书》扫描件至邮箱</w:t>
            </w:r>
            <w:r>
              <w:rPr>
                <w:rFonts w:hint="eastAsia" w:ascii="宋体" w:hAnsi="宋体" w:eastAsia="宋体" w:cs="宋体"/>
                <w:color w:val="auto"/>
                <w:szCs w:val="22"/>
                <w:highlight w:val="none"/>
                <w:lang w:eastAsia="zh-CN"/>
              </w:rPr>
              <w:t>1712108619</w:t>
            </w:r>
            <w:r>
              <w:rPr>
                <w:rFonts w:hint="eastAsia" w:ascii="宋体" w:hAnsi="宋体" w:eastAsia="宋体" w:cs="宋体"/>
                <w:color w:val="auto"/>
                <w:szCs w:val="22"/>
                <w:highlight w:val="none"/>
              </w:rPr>
              <w:t>@qq.com</w:t>
            </w:r>
            <w:r>
              <w:rPr>
                <w:rFonts w:hint="eastAsia" w:ascii="宋体" w:hAnsi="宋体" w:eastAsia="宋体" w:cs="宋体"/>
                <w:bCs/>
                <w:color w:val="auto"/>
                <w:szCs w:val="22"/>
                <w:highlight w:val="none"/>
              </w:rPr>
              <w:t>（《政府采购活动现场确认声明书》格式见“第五部分</w:t>
            </w:r>
            <w:r>
              <w:rPr>
                <w:rFonts w:hint="eastAsia" w:ascii="宋体" w:hAnsi="宋体" w:cs="宋体"/>
                <w:bCs/>
                <w:color w:val="auto"/>
                <w:szCs w:val="22"/>
                <w:highlight w:val="none"/>
                <w:lang w:val="en-US" w:eastAsia="zh-CN"/>
              </w:rPr>
              <w:t xml:space="preserve"> </w:t>
            </w:r>
            <w:r>
              <w:rPr>
                <w:rFonts w:hint="eastAsia" w:ascii="宋体" w:hAnsi="宋体" w:eastAsia="宋体" w:cs="宋体"/>
                <w:bCs/>
                <w:color w:val="auto"/>
                <w:szCs w:val="22"/>
                <w:highlight w:val="none"/>
              </w:rPr>
              <w:t>投标文件格式”）。</w:t>
            </w:r>
          </w:p>
          <w:p w14:paraId="300D1B58">
            <w:pPr>
              <w:spacing w:line="420" w:lineRule="exac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4、采购组织机构点击【开启标书信息】，开启标书成功后进入开标流程</w:t>
            </w:r>
            <w:r>
              <w:rPr>
                <w:rFonts w:hint="eastAsia" w:ascii="宋体" w:hAnsi="宋体" w:cs="宋体"/>
                <w:color w:val="auto"/>
                <w:szCs w:val="22"/>
                <w:highlight w:val="none"/>
                <w:lang w:eastAsia="zh-CN"/>
              </w:rPr>
              <w:t>。</w:t>
            </w:r>
          </w:p>
          <w:p w14:paraId="01DECB5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5、政采云系统平台有新的操作流程的，按其规定。</w:t>
            </w:r>
          </w:p>
        </w:tc>
      </w:tr>
      <w:tr w14:paraId="5297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1823" w:type="dxa"/>
            <w:tcBorders>
              <w:left w:val="double" w:color="auto" w:sz="4" w:space="0"/>
              <w:bottom w:val="single" w:color="auto" w:sz="4" w:space="0"/>
            </w:tcBorders>
            <w:vAlign w:val="center"/>
          </w:tcPr>
          <w:p w14:paraId="1439A293">
            <w:pPr>
              <w:spacing w:line="420" w:lineRule="exact"/>
              <w:jc w:val="center"/>
              <w:rPr>
                <w:rFonts w:hint="eastAsia" w:ascii="宋体" w:hAnsi="宋体" w:eastAsia="宋体" w:cs="宋体"/>
                <w:color w:val="auto"/>
                <w:highlight w:val="none"/>
              </w:rPr>
            </w:pPr>
            <w:r>
              <w:rPr>
                <w:rFonts w:hint="eastAsia" w:ascii="宋体" w:hAnsi="宋体" w:eastAsia="宋体" w:cs="宋体"/>
                <w:bCs/>
                <w:color w:val="auto"/>
                <w:szCs w:val="22"/>
                <w:highlight w:val="none"/>
              </w:rPr>
              <w:t>采购标的对应的中小企业划分标准所属行业</w:t>
            </w:r>
          </w:p>
        </w:tc>
        <w:tc>
          <w:tcPr>
            <w:tcW w:w="7712" w:type="dxa"/>
            <w:tcBorders>
              <w:bottom w:val="single" w:color="auto" w:sz="4" w:space="0"/>
              <w:right w:val="double" w:color="auto" w:sz="4" w:space="0"/>
            </w:tcBorders>
            <w:vAlign w:val="center"/>
          </w:tcPr>
          <w:p w14:paraId="021EA1EB">
            <w:pPr>
              <w:spacing w:line="420" w:lineRule="exact"/>
              <w:rPr>
                <w:rFonts w:hint="eastAsia" w:ascii="宋体" w:hAnsi="宋体" w:eastAsia="宋体" w:cs="宋体"/>
                <w:color w:val="auto"/>
                <w:szCs w:val="22"/>
                <w:highlight w:val="none"/>
              </w:rPr>
            </w:pPr>
            <w:r>
              <w:rPr>
                <w:rFonts w:hint="eastAsia" w:ascii="宋体" w:hAnsi="宋体" w:eastAsia="宋体" w:cs="宋体"/>
                <w:bCs/>
                <w:color w:val="auto"/>
                <w:szCs w:val="22"/>
                <w:highlight w:val="none"/>
              </w:rPr>
              <w:t>本项目</w:t>
            </w:r>
            <w:r>
              <w:rPr>
                <w:rFonts w:hint="eastAsia" w:ascii="宋体" w:hAnsi="宋体" w:eastAsia="宋体" w:cs="宋体"/>
                <w:b w:val="0"/>
                <w:bCs w:val="0"/>
                <w:color w:val="auto"/>
                <w:szCs w:val="22"/>
                <w:highlight w:val="none"/>
              </w:rPr>
              <w:t>采购标的为</w:t>
            </w:r>
            <w:r>
              <w:rPr>
                <w:rFonts w:hint="eastAsia" w:ascii="宋体" w:hAnsi="宋体" w:cs="宋体"/>
                <w:b/>
                <w:bCs/>
                <w:color w:val="auto"/>
                <w:szCs w:val="22"/>
                <w:highlight w:val="none"/>
                <w:lang w:eastAsia="zh-CN"/>
              </w:rPr>
              <w:t>2025年度苍南县百里平水公园(灵溪段)及南塘长效管理项目（重）</w:t>
            </w:r>
            <w:r>
              <w:rPr>
                <w:rFonts w:hint="eastAsia" w:ascii="宋体" w:hAnsi="宋体" w:eastAsia="宋体" w:cs="宋体"/>
                <w:bCs/>
                <w:color w:val="auto"/>
                <w:szCs w:val="22"/>
                <w:highlight w:val="none"/>
              </w:rPr>
              <w:t>，属于</w:t>
            </w:r>
            <w:r>
              <w:rPr>
                <w:rFonts w:hint="eastAsia" w:ascii="宋体" w:hAnsi="宋体" w:eastAsia="宋体" w:cs="宋体"/>
                <w:b/>
                <w:bCs/>
                <w:color w:val="auto"/>
                <w:szCs w:val="22"/>
                <w:highlight w:val="none"/>
              </w:rPr>
              <w:t>服务类</w:t>
            </w:r>
            <w:r>
              <w:rPr>
                <w:rFonts w:hint="eastAsia" w:ascii="宋体" w:hAnsi="宋体" w:eastAsia="宋体" w:cs="宋体"/>
                <w:bCs/>
                <w:color w:val="auto"/>
                <w:szCs w:val="22"/>
                <w:highlight w:val="none"/>
              </w:rPr>
              <w:t>采购项目，对应的中小企业划分标准所属行业为</w:t>
            </w:r>
            <w:r>
              <w:rPr>
                <w:rFonts w:hint="eastAsia" w:ascii="宋体" w:hAnsi="宋体" w:eastAsia="宋体" w:cs="宋体"/>
                <w:b/>
                <w:bCs/>
                <w:color w:val="auto"/>
                <w:szCs w:val="22"/>
                <w:highlight w:val="none"/>
              </w:rPr>
              <w:t>其他未列明行业。</w:t>
            </w:r>
          </w:p>
          <w:p w14:paraId="399613D1">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根据《政府采购促进中小企业发展管理办法》（财库﹝2020﹞46号）的规定，本项目专门面向小型、微型企业（监狱企业，残疾人福利性单位视同小型、微型企业），中、大型企业不得参与。</w:t>
            </w:r>
          </w:p>
          <w:p w14:paraId="44678647">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注：投标人提供的服务全部由符合政策要求的小型企业/微型企业（监狱企业，残疾人福利性单位视同小型、微型企业）承担，否则不得参加本项目投标。（详见第六部分评审方法）</w:t>
            </w:r>
          </w:p>
        </w:tc>
      </w:tr>
      <w:tr w14:paraId="6C7F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823" w:type="dxa"/>
            <w:tcBorders>
              <w:left w:val="double" w:color="auto" w:sz="4" w:space="0"/>
              <w:bottom w:val="single" w:color="auto" w:sz="4" w:space="0"/>
            </w:tcBorders>
            <w:vAlign w:val="center"/>
          </w:tcPr>
          <w:p w14:paraId="0EE186ED">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其他政策说明</w:t>
            </w:r>
          </w:p>
        </w:tc>
        <w:tc>
          <w:tcPr>
            <w:tcW w:w="7712" w:type="dxa"/>
            <w:tcBorders>
              <w:bottom w:val="single" w:color="auto" w:sz="4" w:space="0"/>
              <w:right w:val="double" w:color="auto" w:sz="4" w:space="0"/>
            </w:tcBorders>
            <w:vAlign w:val="center"/>
          </w:tcPr>
          <w:p w14:paraId="4F82EB09">
            <w:pPr>
              <w:keepNext w:val="0"/>
              <w:keepLines w:val="0"/>
              <w:pageBreakBefore w:val="0"/>
              <w:widowControl w:val="0"/>
              <w:kinsoku w:val="0"/>
              <w:wordWrap w:val="0"/>
              <w:overflowPunct/>
              <w:topLinePunct w:val="0"/>
              <w:autoSpaceDE/>
              <w:autoSpaceDN/>
              <w:bidi w:val="0"/>
              <w:adjustRightInd/>
              <w:snapToGrid w:val="0"/>
              <w:spacing w:line="420" w:lineRule="exact"/>
              <w:textAlignment w:val="auto"/>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3EB9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1823" w:type="dxa"/>
            <w:tcBorders>
              <w:left w:val="double" w:color="auto" w:sz="4" w:space="0"/>
            </w:tcBorders>
            <w:vAlign w:val="center"/>
          </w:tcPr>
          <w:p w14:paraId="764B7FE0">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备注</w:t>
            </w:r>
          </w:p>
        </w:tc>
        <w:tc>
          <w:tcPr>
            <w:tcW w:w="7712" w:type="dxa"/>
            <w:tcBorders>
              <w:right w:val="double" w:color="auto" w:sz="4" w:space="0"/>
            </w:tcBorders>
            <w:vAlign w:val="center"/>
          </w:tcPr>
          <w:p w14:paraId="49759D33">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1、如发现招标文件及其评审办法中存在含糊不清、相互矛盾、多种含义以及歧视性不公正条款或违法违规等内容时，</w:t>
            </w:r>
            <w:r>
              <w:rPr>
                <w:rFonts w:hint="eastAsia" w:ascii="宋体" w:hAnsi="宋体" w:eastAsia="宋体" w:cs="宋体"/>
                <w:color w:val="auto"/>
                <w:szCs w:val="22"/>
                <w:highlight w:val="none"/>
                <w:u w:val="single"/>
              </w:rPr>
              <w:t>请在规定的质疑截止时间前向采购机构或采购人提交《询问函》或《质疑函》反映，逾期不得再对招标文件的条款提出质疑。</w:t>
            </w:r>
          </w:p>
          <w:p w14:paraId="401C8BDD">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2、如递交的介质（U盘）无法使用，所造成后果由投标人自行承担。</w:t>
            </w:r>
          </w:p>
          <w:p w14:paraId="222E6B10">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3、评审过程中涉及询标等事项，请各投标人30分钟内在政采云网上进行应答，超出时限未做应答的，后果自行负责。</w:t>
            </w:r>
          </w:p>
          <w:p w14:paraId="69CE0D1E">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4、开标过程中如需电话联系，以投标人在政采云报名时所填写的号码作为联系号码，如未如实填写或无法联系的，后果由投标人自行承担。</w:t>
            </w:r>
          </w:p>
          <w:p w14:paraId="20DA1C9B">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5、凡是通过政采云系统生成的电子签章均为有效电子签章。</w:t>
            </w:r>
          </w:p>
          <w:p w14:paraId="6A881E94">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6、所有开标流程，均在线上完成，请各供应商务必不要离开电脑太久，并留意手机短信。（请提前检查“政采云”内，关于“项目采购”的岗位权限是否已勾选上。如有问题，请致电</w:t>
            </w:r>
            <w:r>
              <w:rPr>
                <w:rFonts w:hint="eastAsia" w:ascii="宋体" w:hAnsi="宋体" w:cs="宋体"/>
                <w:color w:val="auto"/>
                <w:szCs w:val="22"/>
                <w:highlight w:val="none"/>
                <w:lang w:eastAsia="zh-CN"/>
              </w:rPr>
              <w:t>95763</w:t>
            </w:r>
            <w:r>
              <w:rPr>
                <w:rFonts w:hint="eastAsia" w:ascii="宋体" w:hAnsi="宋体" w:eastAsia="宋体" w:cs="宋体"/>
                <w:color w:val="auto"/>
                <w:szCs w:val="22"/>
                <w:highlight w:val="none"/>
              </w:rPr>
              <w:t>）</w:t>
            </w:r>
          </w:p>
          <w:p w14:paraId="0309FD6B">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7、如遇“政采云平台”电子化开标或评审程序调整的，按调整后程序执行。</w:t>
            </w:r>
          </w:p>
          <w:p w14:paraId="314BA9B2">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8、本招标文件解释权归招标代理机构与采购人所有。</w:t>
            </w:r>
          </w:p>
        </w:tc>
      </w:tr>
      <w:tr w14:paraId="66E3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823" w:type="dxa"/>
            <w:tcBorders>
              <w:left w:val="double" w:color="auto" w:sz="4" w:space="0"/>
            </w:tcBorders>
            <w:vAlign w:val="center"/>
          </w:tcPr>
          <w:p w14:paraId="19B4EBF3">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w:t>
            </w:r>
            <w:r>
              <w:rPr>
                <w:rFonts w:hint="eastAsia" w:ascii="宋体" w:hAnsi="宋体" w:eastAsia="宋体" w:cs="宋体"/>
                <w:bCs/>
                <w:color w:val="auto"/>
                <w:szCs w:val="22"/>
                <w:highlight w:val="none"/>
              </w:rPr>
              <w:t>投标(响应)文件无效的说明</w:t>
            </w:r>
          </w:p>
        </w:tc>
        <w:tc>
          <w:tcPr>
            <w:tcW w:w="7712" w:type="dxa"/>
            <w:tcBorders>
              <w:right w:val="double" w:color="auto" w:sz="4" w:space="0"/>
            </w:tcBorders>
            <w:vAlign w:val="center"/>
          </w:tcPr>
          <w:p w14:paraId="3A4650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1、</w:t>
            </w:r>
            <w:r>
              <w:rPr>
                <w:rFonts w:hint="eastAsia" w:ascii="宋体" w:hAnsi="宋体" w:eastAsia="宋体" w:cs="宋体"/>
                <w:color w:val="auto"/>
                <w:szCs w:val="22"/>
                <w:highlight w:val="none"/>
              </w:rPr>
              <w:t>如发现磋商文件及其评审办法中存在含糊不清、相互矛盾、多种含义以及歧视性不公正条款或违法违规等内容时，请在规定的质疑截止时间前向采购代理机构或采购人书面提交《询问函》或《质疑函》反映，逾期不得再对磋商文件的条款提出质疑。</w:t>
            </w:r>
          </w:p>
          <w:p w14:paraId="622280DE">
            <w:pPr>
              <w:spacing w:line="420" w:lineRule="exact"/>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2、</w:t>
            </w:r>
            <w:r>
              <w:rPr>
                <w:rFonts w:hint="eastAsia" w:ascii="宋体" w:hAnsi="宋体" w:eastAsia="宋体" w:cs="宋体"/>
                <w:color w:val="auto"/>
                <w:szCs w:val="22"/>
                <w:highlight w:val="none"/>
              </w:rPr>
              <w:t>在线投标时如遇平台操作/技术问题详询政采云客服95763。</w:t>
            </w:r>
          </w:p>
          <w:p w14:paraId="24B28DD9">
            <w:pPr>
              <w:spacing w:line="420" w:lineRule="exact"/>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3、</w:t>
            </w:r>
            <w:r>
              <w:rPr>
                <w:rFonts w:hint="eastAsia" w:ascii="宋体" w:hAnsi="宋体" w:eastAsia="宋体" w:cs="宋体"/>
                <w:color w:val="auto"/>
                <w:szCs w:val="22"/>
                <w:highlight w:val="none"/>
              </w:rPr>
              <w:t>本磋商文件的解释权归采购代理机构与采购人所有。</w:t>
            </w:r>
          </w:p>
        </w:tc>
      </w:tr>
      <w:tr w14:paraId="7C4C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823" w:type="dxa"/>
            <w:tcBorders>
              <w:left w:val="double" w:color="auto" w:sz="4" w:space="0"/>
              <w:bottom w:val="double" w:color="auto" w:sz="4" w:space="0"/>
            </w:tcBorders>
            <w:vAlign w:val="center"/>
          </w:tcPr>
          <w:p w14:paraId="1B3E5EE3">
            <w:pPr>
              <w:spacing w:line="420" w:lineRule="exact"/>
              <w:jc w:val="center"/>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重要提醒</w:t>
            </w:r>
          </w:p>
        </w:tc>
        <w:tc>
          <w:tcPr>
            <w:tcW w:w="7712" w:type="dxa"/>
            <w:tcBorders>
              <w:bottom w:val="double" w:color="auto" w:sz="4" w:space="0"/>
              <w:right w:val="double" w:color="auto" w:sz="4" w:space="0"/>
            </w:tcBorders>
            <w:vAlign w:val="center"/>
          </w:tcPr>
          <w:p w14:paraId="42CAE1FD">
            <w:pPr>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1、招标文件中标注“▲”的技术或商务条款均为实质性要求条款，不满足实质性要求条款的投标无效。</w:t>
            </w:r>
          </w:p>
        </w:tc>
      </w:tr>
    </w:tbl>
    <w:p w14:paraId="79A72969">
      <w:pPr>
        <w:autoSpaceDE w:val="0"/>
        <w:autoSpaceDN w:val="0"/>
        <w:snapToGrid w:val="0"/>
        <w:spacing w:line="420" w:lineRule="exact"/>
        <w:jc w:val="center"/>
        <w:textAlignment w:val="bottom"/>
        <w:rPr>
          <w:rFonts w:hint="eastAsia" w:ascii="宋体" w:hAnsi="宋体" w:eastAsia="宋体" w:cs="宋体"/>
          <w:b/>
          <w:color w:val="auto"/>
          <w:sz w:val="20"/>
          <w:szCs w:val="6"/>
          <w:highlight w:val="none"/>
        </w:rPr>
      </w:pPr>
      <w:r>
        <w:rPr>
          <w:rFonts w:hint="eastAsia" w:ascii="宋体" w:hAnsi="宋体" w:eastAsia="宋体" w:cs="宋体"/>
          <w:b/>
          <w:color w:val="auto"/>
          <w:sz w:val="44"/>
          <w:highlight w:val="none"/>
        </w:rPr>
        <w:br w:type="page"/>
      </w:r>
    </w:p>
    <w:p w14:paraId="1CECA266">
      <w:pPr>
        <w:autoSpaceDE w:val="0"/>
        <w:autoSpaceDN w:val="0"/>
        <w:snapToGrid w:val="0"/>
        <w:spacing w:before="156" w:beforeLines="50" w:line="420" w:lineRule="exact"/>
        <w:jc w:val="center"/>
        <w:textAlignment w:val="bottom"/>
        <w:rPr>
          <w:rFonts w:hint="eastAsia" w:ascii="宋体" w:hAnsi="宋体" w:eastAsia="宋体" w:cs="宋体"/>
          <w:b/>
          <w:color w:val="auto"/>
          <w:sz w:val="18"/>
          <w:szCs w:val="18"/>
          <w:highlight w:val="none"/>
        </w:rPr>
      </w:pPr>
    </w:p>
    <w:p w14:paraId="3D1EE345">
      <w:pPr>
        <w:pStyle w:val="3"/>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采购文件总目录</w:t>
      </w:r>
    </w:p>
    <w:p w14:paraId="65019B17">
      <w:pPr>
        <w:autoSpaceDE w:val="0"/>
        <w:autoSpaceDN w:val="0"/>
        <w:adjustRightInd w:val="0"/>
        <w:spacing w:line="420" w:lineRule="exact"/>
        <w:ind w:left="1131" w:leftChars="514"/>
        <w:rPr>
          <w:rFonts w:hint="eastAsia" w:ascii="宋体" w:hAnsi="宋体" w:eastAsia="宋体" w:cs="宋体"/>
          <w:bCs/>
          <w:color w:val="auto"/>
          <w:kern w:val="0"/>
          <w:szCs w:val="22"/>
          <w:highlight w:val="none"/>
          <w:lang w:val="zh-CN"/>
        </w:rPr>
      </w:pPr>
    </w:p>
    <w:p w14:paraId="09A7B712">
      <w:pPr>
        <w:autoSpaceDE w:val="0"/>
        <w:autoSpaceDN w:val="0"/>
        <w:adjustRightInd w:val="0"/>
        <w:spacing w:line="420" w:lineRule="exact"/>
        <w:ind w:left="1131" w:leftChars="514"/>
        <w:rPr>
          <w:rFonts w:hint="eastAsia" w:ascii="宋体" w:hAnsi="宋体" w:eastAsia="宋体" w:cs="宋体"/>
          <w:bCs/>
          <w:color w:val="auto"/>
          <w:kern w:val="0"/>
          <w:szCs w:val="22"/>
          <w:highlight w:val="none"/>
          <w:lang w:val="zh-CN"/>
        </w:rPr>
      </w:pPr>
      <w:r>
        <w:rPr>
          <w:rFonts w:hint="eastAsia" w:ascii="宋体" w:hAnsi="宋体" w:eastAsia="宋体" w:cs="宋体"/>
          <w:b/>
          <w:bCs/>
          <w:color w:val="auto"/>
          <w:kern w:val="0"/>
          <w:szCs w:val="22"/>
          <w:highlight w:val="none"/>
          <w:lang w:val="zh-CN"/>
        </w:rPr>
        <w:t xml:space="preserve">第一部分 </w:t>
      </w:r>
      <w:r>
        <w:rPr>
          <w:rFonts w:hint="eastAsia" w:ascii="宋体" w:hAnsi="宋体" w:eastAsia="宋体" w:cs="宋体"/>
          <w:bCs/>
          <w:color w:val="auto"/>
          <w:kern w:val="0"/>
          <w:szCs w:val="22"/>
          <w:highlight w:val="none"/>
          <w:lang w:val="zh-CN"/>
        </w:rPr>
        <w:t xml:space="preserve"> 项目简介</w:t>
      </w:r>
    </w:p>
    <w:p w14:paraId="0226EEBB">
      <w:pPr>
        <w:autoSpaceDE w:val="0"/>
        <w:autoSpaceDN w:val="0"/>
        <w:adjustRightInd w:val="0"/>
        <w:spacing w:line="420" w:lineRule="exact"/>
        <w:ind w:left="1131" w:leftChars="514"/>
        <w:rPr>
          <w:rFonts w:hint="eastAsia" w:ascii="宋体" w:hAnsi="宋体" w:eastAsia="宋体" w:cs="宋体"/>
          <w:bCs/>
          <w:color w:val="auto"/>
          <w:kern w:val="0"/>
          <w:szCs w:val="22"/>
          <w:highlight w:val="none"/>
          <w:lang w:val="zh-CN"/>
        </w:rPr>
      </w:pPr>
      <w:r>
        <w:rPr>
          <w:rFonts w:hint="eastAsia" w:ascii="宋体" w:hAnsi="宋体" w:eastAsia="宋体" w:cs="宋体"/>
          <w:b/>
          <w:bCs/>
          <w:color w:val="auto"/>
          <w:kern w:val="0"/>
          <w:szCs w:val="22"/>
          <w:highlight w:val="none"/>
          <w:lang w:val="zh-CN"/>
        </w:rPr>
        <w:t xml:space="preserve">第二部分  </w:t>
      </w:r>
      <w:r>
        <w:rPr>
          <w:rFonts w:hint="eastAsia" w:ascii="宋体" w:hAnsi="宋体" w:eastAsia="宋体" w:cs="宋体"/>
          <w:bCs/>
          <w:color w:val="auto"/>
          <w:kern w:val="0"/>
          <w:szCs w:val="22"/>
          <w:highlight w:val="none"/>
          <w:lang w:val="zh-CN"/>
        </w:rPr>
        <w:t>采购内容及服务要求</w:t>
      </w:r>
    </w:p>
    <w:p w14:paraId="2AA13076">
      <w:pPr>
        <w:autoSpaceDE w:val="0"/>
        <w:autoSpaceDN w:val="0"/>
        <w:adjustRightInd w:val="0"/>
        <w:spacing w:line="420" w:lineRule="exact"/>
        <w:ind w:left="1131" w:leftChars="514" w:firstLine="1100" w:firstLineChars="5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lang w:val="zh-CN"/>
        </w:rPr>
        <w:t xml:space="preserve">  一、</w:t>
      </w:r>
      <w:r>
        <w:rPr>
          <w:rFonts w:hint="eastAsia" w:ascii="宋体" w:hAnsi="宋体" w:eastAsia="宋体" w:cs="宋体"/>
          <w:bCs/>
          <w:color w:val="auto"/>
          <w:kern w:val="0"/>
          <w:szCs w:val="22"/>
          <w:highlight w:val="none"/>
        </w:rPr>
        <w:t>总则</w:t>
      </w:r>
    </w:p>
    <w:p w14:paraId="04CCDF03">
      <w:pPr>
        <w:autoSpaceDE w:val="0"/>
        <w:autoSpaceDN w:val="0"/>
        <w:adjustRightInd w:val="0"/>
        <w:spacing w:line="420" w:lineRule="exact"/>
        <w:ind w:left="1131" w:leftChars="514" w:firstLine="1100" w:firstLineChars="500"/>
        <w:rPr>
          <w:rFonts w:hint="eastAsia" w:ascii="宋体" w:hAnsi="宋体" w:eastAsia="宋体" w:cs="宋体"/>
          <w:bCs/>
          <w:color w:val="auto"/>
          <w:kern w:val="0"/>
          <w:szCs w:val="22"/>
          <w:highlight w:val="none"/>
          <w:lang w:val="zh-CN"/>
        </w:rPr>
      </w:pPr>
      <w:r>
        <w:rPr>
          <w:rFonts w:hint="eastAsia" w:ascii="宋体" w:hAnsi="宋体" w:eastAsia="宋体" w:cs="宋体"/>
          <w:bCs/>
          <w:color w:val="auto"/>
          <w:kern w:val="0"/>
          <w:szCs w:val="22"/>
          <w:highlight w:val="none"/>
          <w:lang w:val="zh-CN"/>
        </w:rPr>
        <w:t xml:space="preserve">  二、</w:t>
      </w:r>
      <w:r>
        <w:rPr>
          <w:rFonts w:hint="eastAsia" w:ascii="宋体" w:hAnsi="宋体" w:eastAsia="宋体" w:cs="宋体"/>
          <w:bCs/>
          <w:color w:val="auto"/>
          <w:kern w:val="0"/>
          <w:szCs w:val="22"/>
          <w:highlight w:val="none"/>
        </w:rPr>
        <w:t>具体</w:t>
      </w:r>
      <w:r>
        <w:rPr>
          <w:rFonts w:hint="eastAsia" w:ascii="宋体" w:hAnsi="宋体" w:eastAsia="宋体" w:cs="宋体"/>
          <w:bCs/>
          <w:color w:val="auto"/>
          <w:kern w:val="0"/>
          <w:szCs w:val="22"/>
          <w:highlight w:val="none"/>
          <w:lang w:val="zh-CN"/>
        </w:rPr>
        <w:t>服务要求</w:t>
      </w:r>
      <w:r>
        <w:rPr>
          <w:rFonts w:hint="eastAsia" w:ascii="宋体" w:hAnsi="宋体" w:eastAsia="宋体" w:cs="宋体"/>
          <w:bCs/>
          <w:color w:val="auto"/>
          <w:kern w:val="0"/>
          <w:szCs w:val="22"/>
          <w:highlight w:val="none"/>
        </w:rPr>
        <w:t>及内容</w:t>
      </w:r>
      <w:r>
        <w:rPr>
          <w:rFonts w:hint="eastAsia" w:ascii="宋体" w:hAnsi="宋体" w:eastAsia="宋体" w:cs="宋体"/>
          <w:bCs/>
          <w:color w:val="auto"/>
          <w:kern w:val="0"/>
          <w:szCs w:val="22"/>
          <w:highlight w:val="none"/>
          <w:lang w:val="zh-CN"/>
        </w:rPr>
        <w:t xml:space="preserve"> </w:t>
      </w:r>
    </w:p>
    <w:p w14:paraId="42942CCA">
      <w:pPr>
        <w:autoSpaceDE w:val="0"/>
        <w:autoSpaceDN w:val="0"/>
        <w:adjustRightInd w:val="0"/>
        <w:spacing w:line="420" w:lineRule="exact"/>
        <w:ind w:left="1131" w:leftChars="514" w:firstLine="1100" w:firstLineChars="500"/>
        <w:rPr>
          <w:rFonts w:hint="eastAsia" w:ascii="宋体" w:hAnsi="宋体" w:eastAsia="宋体" w:cs="宋体"/>
          <w:bCs/>
          <w:color w:val="auto"/>
          <w:kern w:val="0"/>
          <w:szCs w:val="22"/>
          <w:highlight w:val="none"/>
          <w:lang w:val="zh-CN"/>
        </w:rPr>
      </w:pPr>
      <w:r>
        <w:rPr>
          <w:rFonts w:hint="eastAsia" w:ascii="宋体" w:hAnsi="宋体" w:eastAsia="宋体" w:cs="宋体"/>
          <w:bCs/>
          <w:color w:val="auto"/>
          <w:kern w:val="0"/>
          <w:szCs w:val="22"/>
          <w:highlight w:val="none"/>
          <w:lang w:val="zh-CN"/>
        </w:rPr>
        <w:t xml:space="preserve">  三、商务条款</w:t>
      </w:r>
    </w:p>
    <w:p w14:paraId="49870BC9">
      <w:pPr>
        <w:autoSpaceDE w:val="0"/>
        <w:autoSpaceDN w:val="0"/>
        <w:adjustRightInd w:val="0"/>
        <w:spacing w:line="420" w:lineRule="exact"/>
        <w:ind w:left="1131" w:leftChars="514"/>
        <w:rPr>
          <w:rFonts w:hint="eastAsia" w:ascii="宋体" w:hAnsi="宋体" w:eastAsia="宋体" w:cs="宋体"/>
          <w:bCs/>
          <w:color w:val="auto"/>
          <w:kern w:val="0"/>
          <w:szCs w:val="22"/>
          <w:highlight w:val="none"/>
          <w:lang w:val="zh-CN"/>
        </w:rPr>
      </w:pPr>
      <w:r>
        <w:rPr>
          <w:rFonts w:hint="eastAsia" w:ascii="宋体" w:hAnsi="宋体" w:eastAsia="宋体" w:cs="宋体"/>
          <w:b/>
          <w:bCs/>
          <w:color w:val="auto"/>
          <w:kern w:val="0"/>
          <w:szCs w:val="22"/>
          <w:highlight w:val="none"/>
          <w:lang w:val="zh-CN"/>
        </w:rPr>
        <w:t xml:space="preserve">第三部分  </w:t>
      </w:r>
      <w:r>
        <w:rPr>
          <w:rFonts w:hint="eastAsia" w:ascii="宋体" w:hAnsi="宋体" w:eastAsia="宋体" w:cs="宋体"/>
          <w:bCs/>
          <w:color w:val="auto"/>
          <w:kern w:val="0"/>
          <w:szCs w:val="22"/>
          <w:highlight w:val="none"/>
          <w:lang w:val="zh-CN"/>
        </w:rPr>
        <w:t>供应商须知</w:t>
      </w:r>
    </w:p>
    <w:p w14:paraId="5CDC0605">
      <w:pPr>
        <w:autoSpaceDE w:val="0"/>
        <w:autoSpaceDN w:val="0"/>
        <w:adjustRightInd w:val="0"/>
        <w:spacing w:line="420" w:lineRule="exact"/>
        <w:ind w:left="1131" w:leftChars="514" w:firstLine="1009" w:firstLineChars="459"/>
        <w:rPr>
          <w:rFonts w:hint="eastAsia" w:ascii="宋体" w:hAnsi="宋体" w:eastAsia="宋体" w:cs="宋体"/>
          <w:bCs/>
          <w:color w:val="auto"/>
          <w:kern w:val="0"/>
          <w:szCs w:val="22"/>
          <w:highlight w:val="none"/>
          <w:lang w:val="zh-CN"/>
        </w:rPr>
      </w:pPr>
      <w:r>
        <w:rPr>
          <w:rFonts w:hint="eastAsia" w:ascii="宋体" w:hAnsi="宋体" w:eastAsia="宋体" w:cs="宋体"/>
          <w:bCs/>
          <w:color w:val="auto"/>
          <w:kern w:val="0"/>
          <w:szCs w:val="22"/>
          <w:highlight w:val="none"/>
          <w:lang w:val="zh-CN"/>
        </w:rPr>
        <w:t xml:space="preserve">  一、说明</w:t>
      </w:r>
    </w:p>
    <w:p w14:paraId="7FDFCC26">
      <w:pPr>
        <w:autoSpaceDE w:val="0"/>
        <w:autoSpaceDN w:val="0"/>
        <w:adjustRightInd w:val="0"/>
        <w:spacing w:line="420" w:lineRule="exact"/>
        <w:ind w:left="1131" w:leftChars="514" w:firstLine="1009" w:firstLineChars="459"/>
        <w:rPr>
          <w:rFonts w:hint="eastAsia" w:ascii="宋体" w:hAnsi="宋体" w:eastAsia="宋体" w:cs="宋体"/>
          <w:bCs/>
          <w:color w:val="auto"/>
          <w:kern w:val="0"/>
          <w:szCs w:val="22"/>
          <w:highlight w:val="none"/>
          <w:lang w:val="en-US" w:eastAsia="zh-CN"/>
        </w:rPr>
      </w:pPr>
      <w:r>
        <w:rPr>
          <w:rFonts w:hint="eastAsia" w:ascii="宋体" w:hAnsi="宋体" w:eastAsia="宋体" w:cs="宋体"/>
          <w:bCs/>
          <w:color w:val="auto"/>
          <w:kern w:val="0"/>
          <w:szCs w:val="22"/>
          <w:highlight w:val="none"/>
          <w:lang w:val="zh-CN"/>
        </w:rPr>
        <w:t xml:space="preserve">  二、供应商资格</w:t>
      </w:r>
      <w:r>
        <w:rPr>
          <w:rFonts w:hint="eastAsia" w:ascii="宋体" w:hAnsi="宋体" w:cs="宋体"/>
          <w:bCs/>
          <w:color w:val="auto"/>
          <w:kern w:val="0"/>
          <w:szCs w:val="22"/>
          <w:highlight w:val="none"/>
          <w:lang w:val="en-US" w:eastAsia="zh-CN"/>
        </w:rPr>
        <w:t>要求</w:t>
      </w:r>
    </w:p>
    <w:p w14:paraId="47A7C1F2">
      <w:pPr>
        <w:autoSpaceDE w:val="0"/>
        <w:autoSpaceDN w:val="0"/>
        <w:adjustRightInd w:val="0"/>
        <w:spacing w:line="420" w:lineRule="exact"/>
        <w:ind w:left="1131" w:leftChars="514" w:firstLine="1009" w:firstLineChars="459"/>
        <w:rPr>
          <w:rFonts w:hint="eastAsia" w:ascii="宋体" w:hAnsi="宋体" w:eastAsia="宋体" w:cs="宋体"/>
          <w:bCs/>
          <w:color w:val="auto"/>
          <w:kern w:val="0"/>
          <w:szCs w:val="22"/>
          <w:highlight w:val="none"/>
          <w:lang w:val="zh-CN"/>
        </w:rPr>
      </w:pPr>
      <w:r>
        <w:rPr>
          <w:rFonts w:hint="eastAsia" w:ascii="宋体" w:hAnsi="宋体" w:eastAsia="宋体" w:cs="宋体"/>
          <w:bCs/>
          <w:color w:val="auto"/>
          <w:kern w:val="0"/>
          <w:szCs w:val="22"/>
          <w:highlight w:val="none"/>
          <w:lang w:val="zh-CN"/>
        </w:rPr>
        <w:t xml:space="preserve">  三、招标文件</w:t>
      </w:r>
    </w:p>
    <w:p w14:paraId="09C82960">
      <w:pPr>
        <w:autoSpaceDE w:val="0"/>
        <w:autoSpaceDN w:val="0"/>
        <w:adjustRightInd w:val="0"/>
        <w:spacing w:line="420" w:lineRule="exact"/>
        <w:ind w:left="1131" w:leftChars="514" w:firstLine="1009" w:firstLineChars="459"/>
        <w:rPr>
          <w:rFonts w:hint="eastAsia" w:ascii="宋体" w:hAnsi="宋体" w:eastAsia="宋体" w:cs="宋体"/>
          <w:bCs/>
          <w:color w:val="auto"/>
          <w:kern w:val="0"/>
          <w:szCs w:val="22"/>
          <w:highlight w:val="none"/>
          <w:lang w:val="zh-CN"/>
        </w:rPr>
      </w:pPr>
      <w:r>
        <w:rPr>
          <w:rFonts w:hint="eastAsia" w:ascii="宋体" w:hAnsi="宋体" w:eastAsia="宋体" w:cs="宋体"/>
          <w:bCs/>
          <w:color w:val="auto"/>
          <w:kern w:val="0"/>
          <w:szCs w:val="22"/>
          <w:highlight w:val="none"/>
          <w:lang w:val="zh-CN"/>
        </w:rPr>
        <w:t xml:space="preserve">  四、投标文件</w:t>
      </w:r>
    </w:p>
    <w:p w14:paraId="5EE7EDCA">
      <w:pPr>
        <w:autoSpaceDE w:val="0"/>
        <w:autoSpaceDN w:val="0"/>
        <w:adjustRightInd w:val="0"/>
        <w:spacing w:line="420" w:lineRule="exact"/>
        <w:ind w:left="1131" w:leftChars="514" w:firstLine="1009" w:firstLineChars="459"/>
        <w:rPr>
          <w:rFonts w:hint="eastAsia" w:ascii="宋体" w:hAnsi="宋体" w:eastAsia="宋体" w:cs="宋体"/>
          <w:bCs/>
          <w:color w:val="auto"/>
          <w:kern w:val="0"/>
          <w:szCs w:val="22"/>
          <w:highlight w:val="none"/>
          <w:lang w:val="zh-CN"/>
        </w:rPr>
      </w:pPr>
      <w:r>
        <w:rPr>
          <w:rFonts w:hint="eastAsia" w:ascii="宋体" w:hAnsi="宋体" w:eastAsia="宋体" w:cs="宋体"/>
          <w:bCs/>
          <w:color w:val="auto"/>
          <w:kern w:val="0"/>
          <w:szCs w:val="22"/>
          <w:highlight w:val="none"/>
          <w:lang w:val="zh-CN"/>
        </w:rPr>
        <w:t xml:space="preserve">  五、投标文件的</w:t>
      </w:r>
      <w:r>
        <w:rPr>
          <w:rFonts w:hint="eastAsia" w:ascii="宋体" w:hAnsi="宋体" w:cs="宋体"/>
          <w:bCs/>
          <w:color w:val="auto"/>
          <w:kern w:val="0"/>
          <w:szCs w:val="22"/>
          <w:highlight w:val="none"/>
          <w:lang w:val="en-US" w:eastAsia="zh-CN"/>
        </w:rPr>
        <w:t>上传与</w:t>
      </w:r>
      <w:r>
        <w:rPr>
          <w:rFonts w:hint="eastAsia" w:ascii="宋体" w:hAnsi="宋体" w:eastAsia="宋体" w:cs="宋体"/>
          <w:bCs/>
          <w:color w:val="auto"/>
          <w:kern w:val="0"/>
          <w:szCs w:val="22"/>
          <w:highlight w:val="none"/>
          <w:lang w:val="zh-CN"/>
        </w:rPr>
        <w:t>递交</w:t>
      </w:r>
    </w:p>
    <w:p w14:paraId="029A34C7">
      <w:pPr>
        <w:autoSpaceDE w:val="0"/>
        <w:autoSpaceDN w:val="0"/>
        <w:adjustRightInd w:val="0"/>
        <w:spacing w:line="420" w:lineRule="exact"/>
        <w:ind w:left="1131" w:leftChars="514" w:firstLine="1009" w:firstLineChars="459"/>
        <w:rPr>
          <w:rFonts w:hint="eastAsia" w:ascii="宋体" w:hAnsi="宋体" w:eastAsia="宋体" w:cs="宋体"/>
          <w:color w:val="auto"/>
          <w:szCs w:val="22"/>
          <w:highlight w:val="none"/>
        </w:rPr>
      </w:pPr>
      <w:r>
        <w:rPr>
          <w:rFonts w:hint="eastAsia" w:ascii="宋体" w:hAnsi="宋体" w:eastAsia="宋体" w:cs="宋体"/>
          <w:bCs/>
          <w:color w:val="auto"/>
          <w:kern w:val="0"/>
          <w:szCs w:val="22"/>
          <w:highlight w:val="none"/>
          <w:lang w:val="zh-CN"/>
        </w:rPr>
        <w:t xml:space="preserve">  六、</w:t>
      </w:r>
      <w:r>
        <w:rPr>
          <w:rFonts w:hint="eastAsia" w:ascii="宋体" w:hAnsi="宋体" w:eastAsia="宋体" w:cs="宋体"/>
          <w:color w:val="auto"/>
          <w:szCs w:val="22"/>
          <w:highlight w:val="none"/>
        </w:rPr>
        <w:t>开标</w:t>
      </w:r>
    </w:p>
    <w:p w14:paraId="70E77A53">
      <w:pPr>
        <w:autoSpaceDE w:val="0"/>
        <w:autoSpaceDN w:val="0"/>
        <w:adjustRightInd w:val="0"/>
        <w:spacing w:line="420" w:lineRule="exact"/>
        <w:ind w:left="1131" w:leftChars="514" w:firstLine="1009" w:firstLineChars="459"/>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七、评标</w:t>
      </w:r>
    </w:p>
    <w:p w14:paraId="4A618A64">
      <w:pPr>
        <w:autoSpaceDE w:val="0"/>
        <w:autoSpaceDN w:val="0"/>
        <w:adjustRightInd w:val="0"/>
        <w:spacing w:line="420" w:lineRule="exact"/>
        <w:ind w:left="1131" w:leftChars="514" w:firstLine="1229" w:firstLineChars="559"/>
        <w:rPr>
          <w:rFonts w:hint="eastAsia" w:ascii="宋体" w:hAnsi="宋体" w:eastAsia="宋体" w:cs="宋体"/>
          <w:bCs/>
          <w:color w:val="auto"/>
          <w:kern w:val="0"/>
          <w:szCs w:val="22"/>
          <w:highlight w:val="none"/>
          <w:lang w:val="zh-CN"/>
        </w:rPr>
      </w:pPr>
      <w:r>
        <w:rPr>
          <w:rFonts w:hint="eastAsia" w:ascii="宋体" w:hAnsi="宋体" w:eastAsia="宋体" w:cs="宋体"/>
          <w:color w:val="auto"/>
          <w:szCs w:val="22"/>
          <w:highlight w:val="none"/>
        </w:rPr>
        <w:t>八、</w:t>
      </w:r>
      <w:r>
        <w:rPr>
          <w:rFonts w:hint="eastAsia" w:ascii="宋体" w:hAnsi="宋体" w:eastAsia="宋体" w:cs="宋体"/>
          <w:bCs/>
          <w:color w:val="auto"/>
          <w:kern w:val="0"/>
          <w:szCs w:val="22"/>
          <w:highlight w:val="none"/>
          <w:lang w:val="zh-CN"/>
        </w:rPr>
        <w:t>授予合同</w:t>
      </w:r>
    </w:p>
    <w:p w14:paraId="1B06E9A2">
      <w:pPr>
        <w:autoSpaceDE w:val="0"/>
        <w:autoSpaceDN w:val="0"/>
        <w:snapToGrid w:val="0"/>
        <w:spacing w:line="420" w:lineRule="exact"/>
        <w:ind w:firstLine="1104" w:firstLineChars="500"/>
        <w:textAlignment w:val="bottom"/>
        <w:rPr>
          <w:rFonts w:hint="eastAsia" w:ascii="宋体" w:hAnsi="宋体" w:eastAsia="宋体" w:cs="宋体"/>
          <w:color w:val="auto"/>
          <w:szCs w:val="22"/>
          <w:highlight w:val="none"/>
        </w:rPr>
      </w:pPr>
      <w:r>
        <w:rPr>
          <w:rFonts w:hint="eastAsia" w:ascii="宋体" w:hAnsi="宋体" w:eastAsia="宋体" w:cs="宋体"/>
          <w:b/>
          <w:bCs/>
          <w:color w:val="auto"/>
          <w:kern w:val="0"/>
          <w:szCs w:val="22"/>
          <w:highlight w:val="none"/>
          <w:lang w:val="zh-CN"/>
        </w:rPr>
        <w:t>第四部分</w:t>
      </w:r>
      <w:r>
        <w:rPr>
          <w:rFonts w:hint="eastAsia" w:ascii="宋体" w:hAnsi="宋体" w:eastAsia="宋体" w:cs="宋体"/>
          <w:color w:val="auto"/>
          <w:szCs w:val="22"/>
          <w:highlight w:val="none"/>
        </w:rPr>
        <w:t xml:space="preserve">  政府采购合同</w:t>
      </w:r>
    </w:p>
    <w:p w14:paraId="733DB461">
      <w:pPr>
        <w:tabs>
          <w:tab w:val="left" w:pos="560"/>
        </w:tabs>
        <w:autoSpaceDE w:val="0"/>
        <w:autoSpaceDN w:val="0"/>
        <w:snapToGrid w:val="0"/>
        <w:spacing w:line="420" w:lineRule="exact"/>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w:t>
      </w:r>
      <w:r>
        <w:rPr>
          <w:rFonts w:hint="eastAsia" w:ascii="宋体" w:hAnsi="宋体" w:cs="宋体"/>
          <w:color w:val="auto"/>
          <w:szCs w:val="22"/>
          <w:highlight w:val="none"/>
          <w:lang w:val="en-US" w:eastAsia="zh-CN"/>
        </w:rPr>
        <w:t xml:space="preserve">  </w:t>
      </w:r>
      <w:r>
        <w:rPr>
          <w:rFonts w:hint="eastAsia" w:ascii="宋体" w:hAnsi="宋体" w:eastAsia="宋体" w:cs="宋体"/>
          <w:color w:val="auto"/>
          <w:szCs w:val="22"/>
          <w:highlight w:val="none"/>
        </w:rPr>
        <w:t xml:space="preserve">  </w:t>
      </w:r>
      <w:r>
        <w:rPr>
          <w:rFonts w:hint="eastAsia" w:ascii="宋体" w:hAnsi="宋体" w:eastAsia="宋体" w:cs="宋体"/>
          <w:b/>
          <w:bCs/>
          <w:color w:val="auto"/>
          <w:kern w:val="0"/>
          <w:szCs w:val="22"/>
          <w:highlight w:val="none"/>
          <w:lang w:val="zh-CN"/>
        </w:rPr>
        <w:t>第五部分</w:t>
      </w:r>
      <w:r>
        <w:rPr>
          <w:rFonts w:hint="eastAsia" w:ascii="宋体" w:hAnsi="宋体" w:eastAsia="宋体" w:cs="宋体"/>
          <w:color w:val="auto"/>
          <w:szCs w:val="22"/>
          <w:highlight w:val="none"/>
        </w:rPr>
        <w:t xml:space="preserve">  投标文件格式</w:t>
      </w:r>
    </w:p>
    <w:p w14:paraId="213DE6D9">
      <w:pPr>
        <w:tabs>
          <w:tab w:val="left" w:pos="1980"/>
        </w:tabs>
        <w:autoSpaceDE w:val="0"/>
        <w:autoSpaceDN w:val="0"/>
        <w:snapToGrid w:val="0"/>
        <w:spacing w:line="420" w:lineRule="exact"/>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w:t>
      </w:r>
      <w:r>
        <w:rPr>
          <w:rFonts w:hint="eastAsia" w:ascii="宋体" w:hAnsi="宋体" w:cs="宋体"/>
          <w:color w:val="auto"/>
          <w:szCs w:val="22"/>
          <w:highlight w:val="none"/>
          <w:lang w:val="en-US" w:eastAsia="zh-CN"/>
        </w:rPr>
        <w:t xml:space="preserve">  </w:t>
      </w:r>
      <w:r>
        <w:rPr>
          <w:rFonts w:hint="eastAsia" w:ascii="宋体" w:hAnsi="宋体" w:eastAsia="宋体" w:cs="宋体"/>
          <w:b/>
          <w:bCs/>
          <w:color w:val="auto"/>
          <w:kern w:val="0"/>
          <w:szCs w:val="22"/>
          <w:highlight w:val="none"/>
          <w:lang w:val="zh-CN"/>
        </w:rPr>
        <w:t xml:space="preserve"> 第六部分</w:t>
      </w:r>
      <w:r>
        <w:rPr>
          <w:rFonts w:hint="eastAsia" w:ascii="宋体" w:hAnsi="宋体" w:eastAsia="宋体" w:cs="宋体"/>
          <w:color w:val="auto"/>
          <w:szCs w:val="22"/>
          <w:highlight w:val="none"/>
        </w:rPr>
        <w:t xml:space="preserve">  评审办法</w:t>
      </w:r>
    </w:p>
    <w:p w14:paraId="5ECDE52D">
      <w:pPr>
        <w:autoSpaceDE w:val="0"/>
        <w:autoSpaceDN w:val="0"/>
        <w:adjustRightInd w:val="0"/>
        <w:spacing w:line="420" w:lineRule="exact"/>
        <w:ind w:left="1131" w:leftChars="514"/>
        <w:rPr>
          <w:rFonts w:hint="eastAsia" w:ascii="宋体" w:hAnsi="宋体" w:eastAsia="宋体" w:cs="宋体"/>
          <w:bCs/>
          <w:color w:val="auto"/>
          <w:kern w:val="0"/>
          <w:szCs w:val="22"/>
          <w:highlight w:val="none"/>
          <w:lang w:val="zh-CN"/>
        </w:rPr>
      </w:pPr>
    </w:p>
    <w:p w14:paraId="1BDDE117">
      <w:pPr>
        <w:autoSpaceDE w:val="0"/>
        <w:autoSpaceDN w:val="0"/>
        <w:adjustRightInd w:val="0"/>
        <w:spacing w:before="120" w:line="420" w:lineRule="exact"/>
        <w:ind w:firstLine="431" w:firstLineChars="196"/>
        <w:rPr>
          <w:rFonts w:hint="eastAsia" w:ascii="宋体" w:hAnsi="宋体" w:eastAsia="宋体" w:cs="宋体"/>
          <w:color w:val="auto"/>
          <w:szCs w:val="22"/>
          <w:highlight w:val="none"/>
          <w:u w:val="thick"/>
        </w:rPr>
      </w:pPr>
      <w:r>
        <w:rPr>
          <w:rFonts w:hint="eastAsia" w:ascii="宋体" w:hAnsi="宋体" w:eastAsia="宋体" w:cs="宋体"/>
          <w:color w:val="auto"/>
          <w:szCs w:val="22"/>
          <w:highlight w:val="none"/>
          <w:u w:val="thick"/>
        </w:rPr>
        <w:t>注：采购文件中有的条款及要求以加粗、加下划线或符号▲的形式强调，这些特别强调的条款及内容有些是重要条款，供应商对重要条款的响应程度将作为评审工作的主要依据之一。</w:t>
      </w:r>
    </w:p>
    <w:p w14:paraId="2A10FEDB">
      <w:pPr>
        <w:autoSpaceDE w:val="0"/>
        <w:autoSpaceDN w:val="0"/>
        <w:adjustRightInd w:val="0"/>
        <w:spacing w:line="420" w:lineRule="exact"/>
        <w:jc w:val="center"/>
        <w:textAlignment w:val="bottom"/>
        <w:rPr>
          <w:rFonts w:hint="eastAsia" w:ascii="宋体" w:hAnsi="宋体" w:eastAsia="宋体" w:cs="宋体"/>
          <w:color w:val="auto"/>
          <w:highlight w:val="none"/>
        </w:rPr>
      </w:pPr>
    </w:p>
    <w:p w14:paraId="690DE6AE">
      <w:pPr>
        <w:widowControl/>
        <w:spacing w:line="420" w:lineRule="exact"/>
        <w:jc w:val="left"/>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55579A38">
      <w:pPr>
        <w:pStyle w:val="3"/>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第一部分 项目简介</w:t>
      </w:r>
    </w:p>
    <w:p w14:paraId="1CC43D99">
      <w:pPr>
        <w:pStyle w:val="5"/>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一、项目简介</w:t>
      </w:r>
    </w:p>
    <w:p w14:paraId="2F7BD599">
      <w:pPr>
        <w:pStyle w:val="27"/>
        <w:adjustRightInd w:val="0"/>
        <w:spacing w:line="420" w:lineRule="exact"/>
        <w:ind w:firstLine="521" w:firstLineChars="237"/>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浙江国信工程管理咨询有限公司</w:t>
      </w:r>
      <w:r>
        <w:rPr>
          <w:rFonts w:hint="eastAsia" w:ascii="宋体" w:hAnsi="宋体" w:eastAsia="宋体" w:cs="宋体"/>
          <w:color w:val="auto"/>
          <w:sz w:val="22"/>
          <w:highlight w:val="none"/>
        </w:rPr>
        <w:t>受苍南县灵溪镇人民政府委托，以公开招标方式采购</w:t>
      </w:r>
      <w:r>
        <w:rPr>
          <w:rFonts w:hint="eastAsia" w:ascii="宋体" w:hAnsi="宋体" w:eastAsia="宋体" w:cs="宋体"/>
          <w:color w:val="auto"/>
          <w:sz w:val="22"/>
          <w:highlight w:val="none"/>
          <w:lang w:eastAsia="zh-CN"/>
        </w:rPr>
        <w:t>2025年度苍南县百里平水公园(灵溪段)及南塘长效管理项目（重）</w:t>
      </w:r>
      <w:r>
        <w:rPr>
          <w:rFonts w:hint="eastAsia" w:ascii="宋体" w:hAnsi="宋体" w:eastAsia="宋体" w:cs="宋体"/>
          <w:color w:val="auto"/>
          <w:sz w:val="22"/>
          <w:highlight w:val="none"/>
        </w:rPr>
        <w:t>，本次招标资金已经落实。</w:t>
      </w:r>
    </w:p>
    <w:p w14:paraId="3CBE1F35">
      <w:pPr>
        <w:pStyle w:val="27"/>
        <w:adjustRightInd w:val="0"/>
        <w:spacing w:line="420" w:lineRule="exact"/>
        <w:ind w:firstLine="521" w:firstLineChars="237"/>
        <w:rPr>
          <w:rFonts w:hint="eastAsia" w:ascii="宋体" w:hAnsi="宋体" w:eastAsia="宋体" w:cs="宋体"/>
          <w:color w:val="auto"/>
          <w:sz w:val="22"/>
          <w:highlight w:val="none"/>
        </w:rPr>
      </w:pPr>
      <w:r>
        <w:rPr>
          <w:rFonts w:hint="eastAsia" w:ascii="宋体" w:hAnsi="宋体" w:eastAsia="宋体" w:cs="宋体"/>
          <w:color w:val="auto"/>
          <w:sz w:val="22"/>
          <w:highlight w:val="none"/>
        </w:rPr>
        <w:t>我们热情欢迎有关公司（企业）前来进行投标。</w:t>
      </w:r>
    </w:p>
    <w:p w14:paraId="64BFF8D0">
      <w:pPr>
        <w:pStyle w:val="3"/>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第二部分 采购内容及服务要求</w:t>
      </w:r>
      <w:bookmarkStart w:id="12" w:name="_Toc157410883"/>
    </w:p>
    <w:bookmarkEnd w:id="12"/>
    <w:p w14:paraId="33B9251F">
      <w:pPr>
        <w:pStyle w:val="5"/>
        <w:spacing w:line="420" w:lineRule="exact"/>
        <w:rPr>
          <w:rFonts w:hint="eastAsia" w:ascii="宋体" w:hAnsi="宋体" w:eastAsia="宋体" w:cs="宋体"/>
          <w:color w:val="auto"/>
          <w:highlight w:val="none"/>
        </w:rPr>
      </w:pPr>
      <w:bookmarkStart w:id="13" w:name="_Toc1510"/>
      <w:bookmarkStart w:id="14" w:name="_Toc411166776"/>
      <w:r>
        <w:rPr>
          <w:rFonts w:hint="eastAsia" w:ascii="宋体" w:hAnsi="宋体" w:eastAsia="宋体" w:cs="宋体"/>
          <w:color w:val="auto"/>
          <w:highlight w:val="none"/>
        </w:rPr>
        <w:t>一、总则</w:t>
      </w:r>
      <w:bookmarkEnd w:id="13"/>
    </w:p>
    <w:bookmarkEnd w:id="14"/>
    <w:p w14:paraId="60D1DCC4">
      <w:pPr>
        <w:pStyle w:val="27"/>
        <w:adjustRightInd w:val="0"/>
        <w:spacing w:line="420" w:lineRule="exact"/>
        <w:ind w:firstLine="521" w:firstLineChars="237"/>
        <w:rPr>
          <w:rFonts w:hint="eastAsia" w:ascii="宋体" w:hAnsi="宋体" w:eastAsia="宋体" w:cs="宋体"/>
          <w:color w:val="auto"/>
          <w:sz w:val="22"/>
          <w:highlight w:val="none"/>
        </w:rPr>
      </w:pPr>
      <w:bookmarkStart w:id="15" w:name="_Toc29733"/>
      <w:bookmarkStart w:id="16" w:name="_Toc1859"/>
      <w:r>
        <w:rPr>
          <w:rFonts w:hint="eastAsia" w:ascii="宋体" w:hAnsi="宋体" w:eastAsia="宋体" w:cs="宋体"/>
          <w:color w:val="auto"/>
          <w:sz w:val="22"/>
          <w:highlight w:val="none"/>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14:paraId="6E0F487B">
      <w:pPr>
        <w:pStyle w:val="27"/>
        <w:adjustRightInd w:val="0"/>
        <w:spacing w:line="420" w:lineRule="exact"/>
        <w:ind w:firstLine="521" w:firstLineChars="237"/>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14:paraId="5B5C8B7F">
      <w:pPr>
        <w:pStyle w:val="27"/>
        <w:adjustRightInd w:val="0"/>
        <w:spacing w:line="420" w:lineRule="exact"/>
        <w:ind w:firstLine="521" w:firstLineChars="237"/>
        <w:rPr>
          <w:rFonts w:hint="eastAsia" w:ascii="宋体" w:hAnsi="宋体" w:eastAsia="宋体" w:cs="宋体"/>
          <w:color w:val="auto"/>
          <w:sz w:val="22"/>
          <w:highlight w:val="none"/>
        </w:rPr>
      </w:pPr>
      <w:r>
        <w:rPr>
          <w:rFonts w:hint="eastAsia" w:ascii="宋体" w:hAnsi="宋体" w:eastAsia="宋体" w:cs="宋体"/>
          <w:color w:val="auto"/>
          <w:sz w:val="22"/>
          <w:highlight w:val="none"/>
        </w:rPr>
        <w:t>3、本招标文件中涉及的金额均以人民币为单位计算。</w:t>
      </w:r>
    </w:p>
    <w:p w14:paraId="086067DF">
      <w:pPr>
        <w:pStyle w:val="27"/>
        <w:adjustRightInd w:val="0"/>
        <w:spacing w:line="420" w:lineRule="exact"/>
        <w:ind w:firstLine="521" w:firstLineChars="237"/>
        <w:rPr>
          <w:rFonts w:hint="eastAsia" w:ascii="宋体" w:hAnsi="宋体" w:eastAsia="宋体" w:cs="宋体"/>
          <w:color w:val="auto"/>
          <w:sz w:val="22"/>
          <w:highlight w:val="none"/>
        </w:rPr>
      </w:pPr>
      <w:r>
        <w:rPr>
          <w:rFonts w:hint="eastAsia" w:ascii="宋体" w:hAnsi="宋体" w:eastAsia="宋体" w:cs="宋体"/>
          <w:color w:val="auto"/>
          <w:sz w:val="22"/>
          <w:highlight w:val="none"/>
        </w:rPr>
        <w:t>4、本招标文件中“供应商”和“投标供应商”的描述均为“投标人”；“招标单位”和“招标人”的描述均为“采购人”。</w:t>
      </w:r>
    </w:p>
    <w:p w14:paraId="269B7336">
      <w:pPr>
        <w:pStyle w:val="5"/>
        <w:rPr>
          <w:rFonts w:hint="eastAsia" w:ascii="宋体" w:hAnsi="宋体" w:eastAsia="宋体" w:cs="宋体"/>
          <w:color w:val="auto"/>
          <w:highlight w:val="none"/>
        </w:rPr>
      </w:pPr>
      <w:r>
        <w:rPr>
          <w:rFonts w:hint="eastAsia" w:ascii="宋体" w:hAnsi="宋体" w:eastAsia="宋体" w:cs="宋体"/>
          <w:color w:val="auto"/>
          <w:highlight w:val="none"/>
        </w:rPr>
        <w:t>二、</w:t>
      </w:r>
      <w:bookmarkEnd w:id="15"/>
      <w:bookmarkEnd w:id="16"/>
      <w:r>
        <w:rPr>
          <w:rFonts w:hint="eastAsia" w:ascii="宋体" w:hAnsi="宋体" w:eastAsia="宋体" w:cs="宋体"/>
          <w:color w:val="auto"/>
          <w:highlight w:val="none"/>
        </w:rPr>
        <w:t>具体服务要求及内容</w:t>
      </w:r>
    </w:p>
    <w:p w14:paraId="349FADE4">
      <w:pPr>
        <w:spacing w:line="360" w:lineRule="auto"/>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（一）服务范围</w:t>
      </w:r>
    </w:p>
    <w:p w14:paraId="6CDEE469">
      <w:pPr>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（1）堤防绿化</w:t>
      </w:r>
      <w:r>
        <w:rPr>
          <w:rFonts w:hint="eastAsia" w:ascii="宋体" w:hAnsi="宋体" w:cs="宋体"/>
          <w:b/>
          <w:color w:val="auto"/>
          <w:szCs w:val="22"/>
          <w:highlight w:val="none"/>
          <w:lang w:eastAsia="zh-CN"/>
        </w:rPr>
        <w:t>维护</w:t>
      </w:r>
      <w:r>
        <w:rPr>
          <w:rFonts w:hint="eastAsia" w:ascii="宋体" w:hAnsi="宋体" w:eastAsia="宋体" w:cs="宋体"/>
          <w:b/>
          <w:color w:val="auto"/>
          <w:szCs w:val="22"/>
          <w:highlight w:val="none"/>
        </w:rPr>
        <w:t>及陆域保洁范围</w:t>
      </w:r>
    </w:p>
    <w:p w14:paraId="3DED6F27">
      <w:pPr>
        <w:spacing w:line="440" w:lineRule="exact"/>
        <w:ind w:firstLine="442" w:firstLineChars="200"/>
        <w:rPr>
          <w:rFonts w:hint="eastAsia" w:ascii="宋体" w:hAnsi="宋体" w:eastAsia="宋体" w:cs="宋体"/>
          <w:color w:val="auto"/>
          <w:szCs w:val="22"/>
          <w:highlight w:val="none"/>
          <w:lang w:eastAsia="zh-CN"/>
        </w:rPr>
      </w:pPr>
      <w:r>
        <w:rPr>
          <w:rFonts w:hint="eastAsia" w:ascii="宋体" w:hAnsi="宋体" w:eastAsia="宋体" w:cs="宋体"/>
          <w:b/>
          <w:color w:val="auto"/>
          <w:szCs w:val="22"/>
          <w:highlight w:val="none"/>
        </w:rPr>
        <w:t>绿化</w:t>
      </w:r>
      <w:r>
        <w:rPr>
          <w:rFonts w:hint="eastAsia" w:ascii="宋体" w:hAnsi="宋体" w:cs="宋体"/>
          <w:b/>
          <w:color w:val="auto"/>
          <w:szCs w:val="22"/>
          <w:highlight w:val="none"/>
          <w:lang w:eastAsia="zh-CN"/>
        </w:rPr>
        <w:t>维护</w:t>
      </w:r>
      <w:r>
        <w:rPr>
          <w:rFonts w:hint="eastAsia" w:ascii="宋体" w:hAnsi="宋体" w:eastAsia="宋体" w:cs="宋体"/>
          <w:b/>
          <w:color w:val="auto"/>
          <w:szCs w:val="22"/>
          <w:highlight w:val="none"/>
        </w:rPr>
        <w:t>范围：</w:t>
      </w:r>
      <w:r>
        <w:rPr>
          <w:rFonts w:hint="eastAsia" w:ascii="宋体" w:hAnsi="宋体" w:eastAsia="宋体" w:cs="宋体"/>
          <w:color w:val="auto"/>
          <w:szCs w:val="22"/>
          <w:highlight w:val="none"/>
        </w:rPr>
        <w:t>百里平水公园堤防两岸约45.88公里，其中灵溪段29.54公里</w:t>
      </w:r>
      <w:r>
        <w:rPr>
          <w:rFonts w:hint="eastAsia" w:ascii="宋体" w:hAnsi="宋体" w:eastAsia="宋体" w:cs="宋体"/>
          <w:color w:val="auto"/>
          <w:szCs w:val="22"/>
          <w:highlight w:val="none"/>
          <w:lang w:eastAsia="zh-CN"/>
        </w:rPr>
        <w:t>，灵溪镇南塘（西溪）位于灵溪镇渡龙村，堤坝全长4.1公里</w:t>
      </w:r>
      <w:r>
        <w:rPr>
          <w:rFonts w:hint="eastAsia" w:ascii="宋体" w:hAnsi="宋体" w:eastAsia="宋体" w:cs="宋体"/>
          <w:color w:val="auto"/>
          <w:szCs w:val="22"/>
          <w:highlight w:val="none"/>
        </w:rPr>
        <w:t>。本项目绿化</w:t>
      </w:r>
      <w:r>
        <w:rPr>
          <w:rFonts w:hint="eastAsia" w:ascii="宋体" w:hAnsi="宋体" w:cs="宋体"/>
          <w:color w:val="auto"/>
          <w:szCs w:val="22"/>
          <w:highlight w:val="none"/>
          <w:lang w:eastAsia="zh-CN"/>
        </w:rPr>
        <w:t>维护</w:t>
      </w:r>
      <w:r>
        <w:rPr>
          <w:rFonts w:hint="eastAsia" w:ascii="宋体" w:hAnsi="宋体" w:eastAsia="宋体" w:cs="宋体"/>
          <w:color w:val="auto"/>
          <w:szCs w:val="22"/>
          <w:highlight w:val="none"/>
        </w:rPr>
        <w:t>范围为灵溪段29.54公里</w:t>
      </w:r>
      <w:r>
        <w:rPr>
          <w:rFonts w:hint="eastAsia" w:ascii="宋体" w:hAnsi="宋体" w:eastAsia="宋体" w:cs="宋体"/>
          <w:color w:val="auto"/>
          <w:szCs w:val="22"/>
          <w:highlight w:val="none"/>
          <w:lang w:eastAsia="zh-CN"/>
        </w:rPr>
        <w:t>和南塘段</w:t>
      </w:r>
      <w:r>
        <w:rPr>
          <w:rFonts w:hint="eastAsia" w:ascii="宋体" w:hAnsi="宋体" w:eastAsia="宋体" w:cs="宋体"/>
          <w:color w:val="auto"/>
          <w:szCs w:val="22"/>
          <w:highlight w:val="none"/>
          <w:lang w:val="en-US" w:eastAsia="zh-CN"/>
        </w:rPr>
        <w:t>4.1公里</w:t>
      </w:r>
      <w:r>
        <w:rPr>
          <w:rFonts w:hint="eastAsia" w:ascii="宋体" w:hAnsi="宋体" w:eastAsia="宋体" w:cs="宋体"/>
          <w:color w:val="auto"/>
          <w:szCs w:val="22"/>
          <w:highlight w:val="none"/>
        </w:rPr>
        <w:t>的园林绿化</w:t>
      </w:r>
      <w:r>
        <w:rPr>
          <w:rFonts w:hint="eastAsia" w:ascii="宋体" w:hAnsi="宋体" w:cs="宋体"/>
          <w:color w:val="auto"/>
          <w:szCs w:val="22"/>
          <w:highlight w:val="none"/>
          <w:lang w:eastAsia="zh-CN"/>
        </w:rPr>
        <w:t>维护</w:t>
      </w:r>
      <w:r>
        <w:rPr>
          <w:rFonts w:hint="eastAsia" w:ascii="宋体" w:hAnsi="宋体" w:eastAsia="宋体" w:cs="宋体"/>
          <w:color w:val="auto"/>
          <w:szCs w:val="22"/>
          <w:highlight w:val="none"/>
        </w:rPr>
        <w:t>。</w:t>
      </w:r>
      <w:r>
        <w:rPr>
          <w:rFonts w:hint="eastAsia" w:ascii="宋体" w:hAnsi="宋体" w:cs="宋体"/>
          <w:color w:val="auto"/>
          <w:szCs w:val="22"/>
          <w:highlight w:val="none"/>
          <w:lang w:eastAsia="zh-CN"/>
        </w:rPr>
        <w:t>本项目的绿化维护按次计算，每次维护的范围按业主的需求为准。</w:t>
      </w:r>
    </w:p>
    <w:p w14:paraId="747A5A30">
      <w:pPr>
        <w:pStyle w:val="51"/>
        <w:ind w:firstLine="442" w:firstLineChars="200"/>
        <w:rPr>
          <w:rFonts w:hint="eastAsia" w:ascii="宋体" w:hAnsi="宋体" w:eastAsia="宋体" w:cs="宋体"/>
          <w:color w:val="auto"/>
          <w:sz w:val="18"/>
          <w:szCs w:val="18"/>
          <w:highlight w:val="none"/>
        </w:rPr>
      </w:pPr>
      <w:r>
        <w:rPr>
          <w:rFonts w:hint="eastAsia" w:ascii="宋体" w:hAnsi="宋体" w:eastAsia="宋体" w:cs="宋体"/>
          <w:b/>
          <w:color w:val="auto"/>
          <w:szCs w:val="22"/>
          <w:highlight w:val="none"/>
        </w:rPr>
        <w:t>陆域保洁</w:t>
      </w:r>
      <w:r>
        <w:rPr>
          <w:rFonts w:hint="eastAsia" w:ascii="宋体" w:hAnsi="宋体" w:cs="宋体"/>
          <w:b/>
          <w:color w:val="auto"/>
          <w:szCs w:val="22"/>
          <w:highlight w:val="none"/>
          <w:lang w:eastAsia="zh-CN"/>
        </w:rPr>
        <w:t>（含草坪）</w:t>
      </w:r>
      <w:r>
        <w:rPr>
          <w:rFonts w:hint="eastAsia" w:ascii="宋体" w:hAnsi="宋体" w:eastAsia="宋体" w:cs="宋体"/>
          <w:b/>
          <w:color w:val="auto"/>
          <w:szCs w:val="22"/>
          <w:highlight w:val="none"/>
        </w:rPr>
        <w:t>范围：</w:t>
      </w:r>
      <w:r>
        <w:rPr>
          <w:rFonts w:hint="eastAsia" w:ascii="宋体" w:hAnsi="宋体" w:eastAsia="宋体" w:cs="宋体"/>
          <w:color w:val="auto"/>
          <w:szCs w:val="22"/>
          <w:highlight w:val="none"/>
        </w:rPr>
        <w:t>百里平水公园堤防两岸约45.88公里，</w:t>
      </w:r>
      <w:r>
        <w:rPr>
          <w:rFonts w:hint="eastAsia" w:ascii="宋体" w:hAnsi="宋体" w:eastAsia="宋体" w:cs="宋体"/>
          <w:color w:val="auto"/>
          <w:highlight w:val="none"/>
        </w:rPr>
        <w:t>其中灵溪标段29.54公里</w:t>
      </w:r>
      <w:r>
        <w:rPr>
          <w:rFonts w:hint="eastAsia" w:ascii="宋体" w:hAnsi="宋体" w:eastAsia="宋体" w:cs="宋体"/>
          <w:color w:val="auto"/>
          <w:highlight w:val="none"/>
          <w:lang w:eastAsia="zh-CN"/>
        </w:rPr>
        <w:t>，南塘段</w:t>
      </w:r>
      <w:r>
        <w:rPr>
          <w:rFonts w:hint="eastAsia" w:ascii="宋体" w:hAnsi="宋体" w:eastAsia="宋体" w:cs="宋体"/>
          <w:color w:val="auto"/>
          <w:highlight w:val="none"/>
          <w:lang w:val="en-US" w:eastAsia="zh-CN"/>
        </w:rPr>
        <w:t>4.1公里</w:t>
      </w:r>
      <w:r>
        <w:rPr>
          <w:rFonts w:hint="eastAsia" w:ascii="宋体" w:hAnsi="宋体" w:eastAsia="宋体" w:cs="宋体"/>
          <w:color w:val="auto"/>
          <w:szCs w:val="22"/>
          <w:highlight w:val="none"/>
        </w:rPr>
        <w:t>。本项目陆域保洁范围为灵溪段29.54公里</w:t>
      </w:r>
      <w:r>
        <w:rPr>
          <w:rFonts w:hint="eastAsia" w:ascii="宋体" w:hAnsi="宋体" w:eastAsia="宋体" w:cs="宋体"/>
          <w:color w:val="auto"/>
          <w:szCs w:val="22"/>
          <w:highlight w:val="none"/>
          <w:lang w:eastAsia="zh-CN"/>
        </w:rPr>
        <w:t>和南塘段</w:t>
      </w:r>
      <w:r>
        <w:rPr>
          <w:rFonts w:hint="eastAsia" w:ascii="宋体" w:hAnsi="宋体" w:eastAsia="宋体" w:cs="宋体"/>
          <w:color w:val="auto"/>
          <w:szCs w:val="22"/>
          <w:highlight w:val="none"/>
          <w:lang w:val="en-US" w:eastAsia="zh-CN"/>
        </w:rPr>
        <w:t>4.1公里</w:t>
      </w:r>
      <w:r>
        <w:rPr>
          <w:rFonts w:hint="eastAsia" w:ascii="宋体" w:hAnsi="宋体" w:eastAsia="宋体" w:cs="宋体"/>
          <w:color w:val="auto"/>
          <w:szCs w:val="22"/>
          <w:highlight w:val="none"/>
        </w:rPr>
        <w:t>。包括但不限于以下内容：迎水坡、背水坡、游步道、</w:t>
      </w:r>
      <w:r>
        <w:rPr>
          <w:rFonts w:hint="eastAsia" w:ascii="宋体" w:hAnsi="宋体" w:cs="宋体"/>
          <w:color w:val="auto"/>
          <w:szCs w:val="22"/>
          <w:highlight w:val="none"/>
          <w:lang w:eastAsia="zh-CN"/>
        </w:rPr>
        <w:t>草坪、</w:t>
      </w:r>
      <w:r>
        <w:rPr>
          <w:rFonts w:hint="eastAsia" w:ascii="宋体" w:hAnsi="宋体" w:eastAsia="宋体" w:cs="宋体"/>
          <w:color w:val="auto"/>
          <w:szCs w:val="22"/>
          <w:highlight w:val="none"/>
        </w:rPr>
        <w:t>彩色路面、抢险道路5米预留地、</w:t>
      </w:r>
      <w:r>
        <w:rPr>
          <w:rFonts w:hint="eastAsia" w:ascii="宋体" w:hAnsi="宋体" w:eastAsia="宋体" w:cs="宋体"/>
          <w:bCs/>
          <w:color w:val="auto"/>
          <w:szCs w:val="22"/>
          <w:highlight w:val="none"/>
          <w:lang w:val="zh-CN"/>
        </w:rPr>
        <w:t>围栏</w:t>
      </w:r>
      <w:r>
        <w:rPr>
          <w:rFonts w:hint="eastAsia" w:ascii="宋体" w:hAnsi="宋体" w:eastAsia="宋体" w:cs="宋体"/>
          <w:color w:val="auto"/>
          <w:szCs w:val="22"/>
          <w:highlight w:val="none"/>
        </w:rPr>
        <w:t>、防浪墙、码头、园椅（凳）、亭、廊、墙、界碑图、指示牌、宣传牌、显示屏、厕所、丁步、标志物、牌坊、垃圾箱（包括清理）、建筑垃圾、</w:t>
      </w:r>
      <w:r>
        <w:rPr>
          <w:rFonts w:hint="eastAsia" w:ascii="宋体" w:hAnsi="宋体" w:eastAsia="宋体" w:cs="宋体"/>
          <w:bCs/>
          <w:color w:val="auto"/>
          <w:szCs w:val="22"/>
          <w:highlight w:val="none"/>
        </w:rPr>
        <w:t>运动健身器材、水闸周边的保洁</w:t>
      </w:r>
      <w:r>
        <w:rPr>
          <w:rFonts w:hint="eastAsia" w:ascii="宋体" w:hAnsi="宋体" w:eastAsia="宋体" w:cs="宋体"/>
          <w:color w:val="auto"/>
          <w:szCs w:val="22"/>
          <w:highlight w:val="none"/>
        </w:rPr>
        <w:t>等。</w:t>
      </w:r>
    </w:p>
    <w:p w14:paraId="14E2CB84">
      <w:pPr>
        <w:spacing w:line="44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堤防陆域保洁按</w:t>
      </w:r>
      <w:r>
        <w:rPr>
          <w:rFonts w:hint="eastAsia" w:ascii="宋体" w:hAnsi="宋体" w:cs="宋体"/>
          <w:color w:val="auto"/>
          <w:szCs w:val="22"/>
          <w:highlight w:val="none"/>
          <w:lang w:val="en-US" w:eastAsia="zh-CN"/>
        </w:rPr>
        <w:t>7</w:t>
      </w:r>
      <w:r>
        <w:rPr>
          <w:rFonts w:hint="eastAsia" w:ascii="宋体" w:hAnsi="宋体" w:eastAsia="宋体" w:cs="宋体"/>
          <w:color w:val="auto"/>
          <w:szCs w:val="22"/>
          <w:highlight w:val="none"/>
        </w:rPr>
        <w:t>公里配置2个人。设置保洁员人数为1</w:t>
      </w:r>
      <w:r>
        <w:rPr>
          <w:rFonts w:hint="eastAsia" w:ascii="宋体" w:hAnsi="宋体" w:eastAsia="宋体" w:cs="宋体"/>
          <w:color w:val="auto"/>
          <w:szCs w:val="22"/>
          <w:highlight w:val="none"/>
          <w:lang w:val="en-US" w:eastAsia="zh-CN"/>
        </w:rPr>
        <w:t>0</w:t>
      </w:r>
      <w:r>
        <w:rPr>
          <w:rFonts w:hint="eastAsia" w:ascii="宋体" w:hAnsi="宋体" w:eastAsia="宋体" w:cs="宋体"/>
          <w:color w:val="auto"/>
          <w:szCs w:val="22"/>
          <w:highlight w:val="none"/>
        </w:rPr>
        <w:t>人。</w:t>
      </w:r>
    </w:p>
    <w:p w14:paraId="14D70BB8">
      <w:pPr>
        <w:keepNext w:val="0"/>
        <w:keepLines w:val="0"/>
        <w:pageBreakBefore w:val="0"/>
        <w:widowControl w:val="0"/>
        <w:kinsoku w:val="0"/>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color w:val="auto"/>
          <w:szCs w:val="22"/>
          <w:highlight w:val="none"/>
        </w:rPr>
      </w:pPr>
      <w:r>
        <w:rPr>
          <w:rFonts w:hint="eastAsia" w:ascii="宋体" w:hAnsi="宋体" w:eastAsia="宋体" w:cs="宋体"/>
          <w:b/>
          <w:color w:val="auto"/>
          <w:szCs w:val="22"/>
          <w:highlight w:val="none"/>
        </w:rPr>
        <w:t>（2）河道水域保洁范围：</w:t>
      </w:r>
      <w:r>
        <w:rPr>
          <w:rFonts w:hint="eastAsia" w:ascii="宋体" w:hAnsi="宋体" w:eastAsia="宋体" w:cs="宋体"/>
          <w:color w:val="auto"/>
          <w:szCs w:val="22"/>
          <w:highlight w:val="none"/>
        </w:rPr>
        <w:t>百里平水公园内约28公里河道的水域保洁，</w:t>
      </w:r>
      <w:r>
        <w:rPr>
          <w:rFonts w:hint="eastAsia" w:ascii="宋体" w:hAnsi="宋体" w:eastAsia="宋体" w:cs="宋体"/>
          <w:color w:val="auto"/>
          <w:highlight w:val="none"/>
        </w:rPr>
        <w:t>其中灵溪段约为17公里</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南塘段</w:t>
      </w:r>
      <w:r>
        <w:rPr>
          <w:rFonts w:hint="eastAsia" w:ascii="宋体" w:hAnsi="宋体" w:eastAsia="宋体" w:cs="宋体"/>
          <w:color w:val="auto"/>
          <w:szCs w:val="22"/>
          <w:highlight w:val="none"/>
          <w:lang w:val="en-US" w:eastAsia="zh-CN"/>
        </w:rPr>
        <w:t>4.1公里</w:t>
      </w:r>
      <w:r>
        <w:rPr>
          <w:rFonts w:hint="eastAsia" w:ascii="宋体" w:hAnsi="宋体" w:eastAsia="宋体" w:cs="宋体"/>
          <w:color w:val="auto"/>
          <w:szCs w:val="22"/>
          <w:highlight w:val="none"/>
        </w:rPr>
        <w:t>。包括但不限于以下内容：水面保洁、河道绿洲保洁、清扫及垃圾外运至指定地点等。</w:t>
      </w:r>
    </w:p>
    <w:p w14:paraId="4AA48EF9">
      <w:pPr>
        <w:pStyle w:val="51"/>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 xml:space="preserve">    设置河道保洁员人数为4人、电动清运车驾驶员1人，合计5人。</w:t>
      </w:r>
    </w:p>
    <w:p w14:paraId="7B71146E">
      <w:pPr>
        <w:pStyle w:val="2"/>
        <w:spacing w:after="0" w:line="4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r>
        <w:rPr>
          <w:rFonts w:hint="eastAsia" w:ascii="宋体" w:hAnsi="宋体" w:eastAsia="宋体" w:cs="宋体"/>
          <w:b/>
          <w:color w:val="auto"/>
          <w:szCs w:val="22"/>
          <w:highlight w:val="none"/>
        </w:rPr>
        <w:t>（3）堤防标准化管理范围：</w:t>
      </w:r>
      <w:r>
        <w:rPr>
          <w:rFonts w:hint="eastAsia" w:ascii="宋体" w:hAnsi="宋体" w:eastAsia="宋体" w:cs="宋体"/>
          <w:b/>
          <w:bCs/>
          <w:color w:val="auto"/>
          <w:szCs w:val="22"/>
          <w:highlight w:val="none"/>
        </w:rPr>
        <w:t>做好堤防工程的检查、堤防工程的观测、档案管理、信息化管理等工作。灵溪段</w:t>
      </w:r>
      <w:r>
        <w:rPr>
          <w:rFonts w:hint="eastAsia" w:ascii="宋体" w:hAnsi="宋体" w:cs="宋体"/>
          <w:b/>
          <w:bCs/>
          <w:color w:val="auto"/>
          <w:szCs w:val="22"/>
          <w:highlight w:val="none"/>
          <w:lang w:val="en-US" w:eastAsia="zh-CN"/>
        </w:rPr>
        <w:t>及南塘</w:t>
      </w:r>
      <w:r>
        <w:rPr>
          <w:rFonts w:hint="eastAsia" w:ascii="宋体" w:hAnsi="宋体" w:eastAsia="宋体" w:cs="宋体"/>
          <w:b/>
          <w:color w:val="auto"/>
          <w:szCs w:val="22"/>
          <w:highlight w:val="none"/>
        </w:rPr>
        <w:t>配备堤防检查、观测人员共2人，</w:t>
      </w:r>
      <w:r>
        <w:rPr>
          <w:rFonts w:hint="eastAsia" w:ascii="宋体" w:hAnsi="宋体" w:eastAsia="宋体" w:cs="宋体"/>
          <w:b/>
          <w:color w:val="auto"/>
          <w:szCs w:val="24"/>
          <w:highlight w:val="none"/>
        </w:rPr>
        <w:t>南北岸各1人</w:t>
      </w:r>
      <w:r>
        <w:rPr>
          <w:rFonts w:hint="eastAsia" w:ascii="宋体" w:hAnsi="宋体" w:eastAsia="宋体" w:cs="宋体"/>
          <w:b/>
          <w:color w:val="auto"/>
          <w:szCs w:val="22"/>
          <w:highlight w:val="none"/>
        </w:rPr>
        <w:t>。</w:t>
      </w:r>
    </w:p>
    <w:p w14:paraId="3C29B4C6">
      <w:pPr>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（4）照明设备</w:t>
      </w:r>
      <w:r>
        <w:rPr>
          <w:rFonts w:hint="eastAsia" w:ascii="宋体" w:hAnsi="宋体" w:eastAsia="宋体" w:cs="宋体"/>
          <w:b/>
          <w:color w:val="auto"/>
          <w:szCs w:val="22"/>
          <w:highlight w:val="none"/>
          <w:lang w:val="zh-CN"/>
        </w:rPr>
        <w:t>：堤防两岸</w:t>
      </w:r>
      <w:r>
        <w:rPr>
          <w:rFonts w:hint="eastAsia" w:ascii="宋体" w:hAnsi="宋体" w:eastAsia="宋体" w:cs="宋体"/>
          <w:b/>
          <w:color w:val="auto"/>
          <w:szCs w:val="22"/>
          <w:highlight w:val="none"/>
        </w:rPr>
        <w:t>路灯日常管理及维护。电工1人。路灯用电按电表实际用量计量，按市场价结算。</w:t>
      </w:r>
    </w:p>
    <w:p w14:paraId="2708F0AA">
      <w:pPr>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（5）建筑、</w:t>
      </w:r>
      <w:r>
        <w:rPr>
          <w:rFonts w:hint="eastAsia" w:ascii="宋体" w:hAnsi="宋体" w:eastAsia="宋体" w:cs="宋体"/>
          <w:b/>
          <w:color w:val="auto"/>
          <w:szCs w:val="22"/>
          <w:highlight w:val="none"/>
          <w:lang w:val="zh-CN"/>
        </w:rPr>
        <w:t>设施维护：</w:t>
      </w:r>
      <w:r>
        <w:rPr>
          <w:rFonts w:hint="eastAsia" w:ascii="宋体" w:hAnsi="宋体" w:eastAsia="宋体" w:cs="宋体"/>
          <w:bCs/>
          <w:color w:val="auto"/>
          <w:szCs w:val="22"/>
          <w:highlight w:val="none"/>
        </w:rPr>
        <w:t>对百里平水</w:t>
      </w:r>
      <w:r>
        <w:rPr>
          <w:rFonts w:hint="eastAsia" w:ascii="宋体" w:hAnsi="宋体" w:eastAsia="宋体" w:cs="宋体"/>
          <w:color w:val="auto"/>
          <w:szCs w:val="22"/>
          <w:highlight w:val="none"/>
        </w:rPr>
        <w:t>公园</w:t>
      </w:r>
      <w:r>
        <w:rPr>
          <w:rFonts w:hint="eastAsia" w:ascii="宋体" w:hAnsi="宋体" w:eastAsia="宋体" w:cs="宋体"/>
          <w:bCs/>
          <w:color w:val="auto"/>
          <w:szCs w:val="22"/>
          <w:highlight w:val="none"/>
        </w:rPr>
        <w:t>建筑、设施</w:t>
      </w:r>
      <w:r>
        <w:rPr>
          <w:rFonts w:hint="eastAsia" w:ascii="宋体" w:hAnsi="宋体" w:eastAsia="宋体" w:cs="宋体"/>
          <w:color w:val="auto"/>
          <w:szCs w:val="22"/>
          <w:highlight w:val="none"/>
        </w:rPr>
        <w:t>进行保养、维护，包括但不限于路灯、游步道、隔离墩、</w:t>
      </w:r>
      <w:r>
        <w:rPr>
          <w:rFonts w:hint="eastAsia" w:ascii="宋体" w:hAnsi="宋体" w:eastAsia="宋体" w:cs="宋体"/>
          <w:bCs/>
          <w:color w:val="auto"/>
          <w:szCs w:val="22"/>
          <w:highlight w:val="none"/>
        </w:rPr>
        <w:t>围栏</w:t>
      </w:r>
      <w:r>
        <w:rPr>
          <w:rFonts w:hint="eastAsia" w:ascii="宋体" w:hAnsi="宋体" w:eastAsia="宋体" w:cs="宋体"/>
          <w:color w:val="auto"/>
          <w:szCs w:val="22"/>
          <w:highlight w:val="none"/>
        </w:rPr>
        <w:t>、园椅（凳）、亭、廊、墙、界碑图、指示牌、宣传牌、显示屏、厕所、丁步、标志物、牌坊、垃圾箱、</w:t>
      </w:r>
      <w:r>
        <w:rPr>
          <w:rFonts w:hint="eastAsia" w:ascii="宋体" w:hAnsi="宋体" w:eastAsia="宋体" w:cs="宋体"/>
          <w:bCs/>
          <w:color w:val="auto"/>
          <w:szCs w:val="22"/>
          <w:highlight w:val="none"/>
        </w:rPr>
        <w:t>运动健身器材、</w:t>
      </w:r>
      <w:r>
        <w:rPr>
          <w:rFonts w:hint="eastAsia" w:ascii="宋体" w:hAnsi="宋体" w:eastAsia="宋体" w:cs="宋体"/>
          <w:color w:val="auto"/>
          <w:szCs w:val="22"/>
          <w:highlight w:val="none"/>
        </w:rPr>
        <w:t>排污消防设备、排水设施疏通等。</w:t>
      </w:r>
    </w:p>
    <w:p w14:paraId="1D057058">
      <w:pPr>
        <w:spacing w:line="440" w:lineRule="exact"/>
        <w:ind w:firstLine="442" w:firstLineChars="200"/>
        <w:rPr>
          <w:rFonts w:hint="eastAsia" w:ascii="宋体" w:hAnsi="宋体" w:eastAsia="宋体" w:cs="宋体"/>
          <w:b/>
          <w:color w:val="auto"/>
          <w:szCs w:val="22"/>
          <w:highlight w:val="none"/>
          <w:lang w:val="zh-CN"/>
        </w:rPr>
      </w:pPr>
      <w:r>
        <w:rPr>
          <w:rFonts w:hint="eastAsia" w:ascii="宋体" w:hAnsi="宋体" w:eastAsia="宋体" w:cs="宋体"/>
          <w:b/>
          <w:color w:val="auto"/>
          <w:szCs w:val="22"/>
          <w:highlight w:val="none"/>
          <w:lang w:val="zh-CN"/>
        </w:rPr>
        <w:t>注：针对以上服务范围内容，各投标供应商应自行现场踏勘以获得精确的报价数据。供应商须自行考虑风险。</w:t>
      </w:r>
    </w:p>
    <w:p w14:paraId="74B3977D">
      <w:pPr>
        <w:pStyle w:val="51"/>
        <w:rPr>
          <w:rFonts w:hint="eastAsia" w:ascii="宋体" w:hAnsi="宋体" w:eastAsia="宋体" w:cs="宋体"/>
          <w:color w:val="auto"/>
          <w:sz w:val="18"/>
          <w:szCs w:val="18"/>
          <w:highlight w:val="none"/>
          <w:lang w:val="zh-CN"/>
        </w:rPr>
      </w:pPr>
      <w:r>
        <w:rPr>
          <w:rFonts w:hint="eastAsia" w:ascii="宋体" w:hAnsi="宋体" w:eastAsia="宋体" w:cs="宋体"/>
          <w:b/>
          <w:bCs/>
          <w:color w:val="auto"/>
          <w:szCs w:val="22"/>
          <w:highlight w:val="none"/>
        </w:rPr>
        <w:t>（二）服务内容</w:t>
      </w:r>
    </w:p>
    <w:p w14:paraId="28C7871B">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提供堤防绿化</w:t>
      </w:r>
      <w:r>
        <w:rPr>
          <w:rFonts w:hint="eastAsia" w:ascii="宋体" w:hAnsi="宋体" w:cs="宋体"/>
          <w:color w:val="auto"/>
          <w:szCs w:val="22"/>
          <w:highlight w:val="none"/>
          <w:lang w:eastAsia="zh-CN"/>
        </w:rPr>
        <w:t>维护</w:t>
      </w:r>
      <w:r>
        <w:rPr>
          <w:rFonts w:hint="eastAsia" w:ascii="宋体" w:hAnsi="宋体" w:eastAsia="宋体" w:cs="宋体"/>
          <w:color w:val="auto"/>
          <w:szCs w:val="22"/>
          <w:highlight w:val="none"/>
        </w:rPr>
        <w:t>及保洁、河道水域保洁、堤防标准化管理、照明设备和建筑、设施的维护等服务。</w:t>
      </w:r>
    </w:p>
    <w:p w14:paraId="0996D17B">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特点：百里平水公园常年处在开放状态，早晨、休假日和下班休息时人流量较大，是各类社会人员休闲集中地，人员构成复杂，尤其是长假期间，有人流高峰现象，堤防绿化</w:t>
      </w:r>
      <w:r>
        <w:rPr>
          <w:rFonts w:hint="eastAsia" w:ascii="宋体" w:hAnsi="宋体" w:cs="宋体"/>
          <w:color w:val="auto"/>
          <w:szCs w:val="22"/>
          <w:highlight w:val="none"/>
          <w:lang w:eastAsia="zh-CN"/>
        </w:rPr>
        <w:t>维护</w:t>
      </w:r>
      <w:r>
        <w:rPr>
          <w:rFonts w:hint="eastAsia" w:ascii="宋体" w:hAnsi="宋体" w:eastAsia="宋体" w:cs="宋体"/>
          <w:color w:val="auto"/>
          <w:szCs w:val="22"/>
          <w:highlight w:val="none"/>
        </w:rPr>
        <w:t>及保洁、河道水域保洁、堤防标准化管理、照明设备和建筑、设施的维护工作尤为重要。</w:t>
      </w:r>
    </w:p>
    <w:p w14:paraId="79EF17C6">
      <w:pPr>
        <w:pStyle w:val="51"/>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（三）服务要求</w:t>
      </w:r>
    </w:p>
    <w:p w14:paraId="646FFAB1">
      <w:pPr>
        <w:snapToGrid w:val="0"/>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bCs/>
          <w:color w:val="auto"/>
          <w:szCs w:val="22"/>
          <w:highlight w:val="none"/>
        </w:rPr>
        <w:t>1.总体要求</w:t>
      </w:r>
    </w:p>
    <w:p w14:paraId="36F14A91">
      <w:pPr>
        <w:spacing w:line="44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w:t>
      </w:r>
      <w:r>
        <w:rPr>
          <w:rFonts w:hint="eastAsia" w:ascii="宋体" w:hAnsi="宋体" w:eastAsia="宋体" w:cs="宋体"/>
          <w:bCs/>
          <w:color w:val="auto"/>
          <w:szCs w:val="22"/>
          <w:highlight w:val="none"/>
        </w:rPr>
        <w:t>.以</w:t>
      </w:r>
      <w:r>
        <w:rPr>
          <w:rFonts w:hint="eastAsia" w:ascii="宋体" w:hAnsi="宋体" w:eastAsia="宋体" w:cs="宋体"/>
          <w:color w:val="auto"/>
          <w:szCs w:val="22"/>
          <w:highlight w:val="none"/>
        </w:rPr>
        <w:t>堤防绿化</w:t>
      </w:r>
      <w:r>
        <w:rPr>
          <w:rFonts w:hint="eastAsia" w:ascii="宋体" w:hAnsi="宋体" w:cs="宋体"/>
          <w:color w:val="auto"/>
          <w:szCs w:val="22"/>
          <w:highlight w:val="none"/>
          <w:lang w:eastAsia="zh-CN"/>
        </w:rPr>
        <w:t>维护</w:t>
      </w:r>
      <w:r>
        <w:rPr>
          <w:rFonts w:hint="eastAsia" w:ascii="宋体" w:hAnsi="宋体" w:eastAsia="宋体" w:cs="宋体"/>
          <w:color w:val="auto"/>
          <w:szCs w:val="22"/>
          <w:highlight w:val="none"/>
        </w:rPr>
        <w:t>及保洁、河道水域保洁、堤防标准化管理、照明设备和建筑、设施的日常运行维护工作</w:t>
      </w:r>
      <w:r>
        <w:rPr>
          <w:rFonts w:hint="eastAsia" w:ascii="宋体" w:hAnsi="宋体" w:eastAsia="宋体" w:cs="宋体"/>
          <w:bCs/>
          <w:color w:val="auto"/>
          <w:szCs w:val="22"/>
          <w:highlight w:val="none"/>
        </w:rPr>
        <w:t>为主要管理内容，在满足《考核要求》（以合同签订时附件内容为准，余同）为前提来开展工作，确保</w:t>
      </w:r>
      <w:r>
        <w:rPr>
          <w:rFonts w:hint="eastAsia" w:ascii="宋体" w:hAnsi="宋体" w:eastAsia="宋体" w:cs="宋体"/>
          <w:color w:val="auto"/>
          <w:szCs w:val="22"/>
          <w:highlight w:val="none"/>
        </w:rPr>
        <w:t>百里平水公园</w:t>
      </w:r>
      <w:r>
        <w:rPr>
          <w:rFonts w:hint="eastAsia" w:ascii="宋体" w:hAnsi="宋体" w:eastAsia="宋体" w:cs="宋体"/>
          <w:bCs/>
          <w:color w:val="auto"/>
          <w:szCs w:val="22"/>
          <w:highlight w:val="none"/>
        </w:rPr>
        <w:t xml:space="preserve">处于正常、有序的状态。  </w:t>
      </w:r>
    </w:p>
    <w:p w14:paraId="61C67697">
      <w:pPr>
        <w:spacing w:line="44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1.2</w:t>
      </w:r>
      <w:r>
        <w:rPr>
          <w:rFonts w:hint="eastAsia" w:ascii="宋体" w:hAnsi="宋体" w:eastAsia="宋体" w:cs="宋体"/>
          <w:bCs/>
          <w:color w:val="auto"/>
          <w:szCs w:val="22"/>
          <w:highlight w:val="none"/>
        </w:rPr>
        <w:t>.建立并完善各种管理制度和工作流程，明确分工及职责和工作质量标准，强化工作的计划性、可操作性和实效性，确保建筑、设施安全和维保质量，确保设施维运的及时性和准确性，确保环境清洁、舒适、有序，确保绿化景观效果良好，确保活动正常、圆满，被服务对象舒心，为百里平水公园提供优良的后勤保障。</w:t>
      </w:r>
    </w:p>
    <w:p w14:paraId="15C05780">
      <w:pPr>
        <w:pStyle w:val="2"/>
        <w:adjustRightInd w:val="0"/>
        <w:snapToGrid w:val="0"/>
        <w:spacing w:after="0"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1.3</w:t>
      </w:r>
      <w:r>
        <w:rPr>
          <w:rFonts w:hint="eastAsia" w:ascii="宋体" w:hAnsi="宋体" w:eastAsia="宋体" w:cs="宋体"/>
          <w:bCs/>
          <w:color w:val="auto"/>
          <w:szCs w:val="22"/>
          <w:highlight w:val="none"/>
        </w:rPr>
        <w:t>.按照管理内容编制检查表，每日进行检查，发现问题及时整改。对各工作岗位的服务质量随时进行抽查，发现问题，及时整改。</w:t>
      </w:r>
    </w:p>
    <w:p w14:paraId="0EE97869">
      <w:pPr>
        <w:spacing w:line="44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1.4</w:t>
      </w:r>
      <w:r>
        <w:rPr>
          <w:rFonts w:hint="eastAsia" w:ascii="宋体" w:hAnsi="宋体" w:eastAsia="宋体" w:cs="宋体"/>
          <w:bCs/>
          <w:color w:val="auto"/>
          <w:szCs w:val="22"/>
          <w:highlight w:val="none"/>
        </w:rPr>
        <w:t>.建立各类应急预案（如</w:t>
      </w:r>
      <w:r>
        <w:rPr>
          <w:rFonts w:hint="eastAsia" w:ascii="宋体" w:hAnsi="宋体" w:eastAsia="宋体" w:cs="宋体"/>
          <w:color w:val="auto"/>
          <w:szCs w:val="22"/>
          <w:highlight w:val="none"/>
        </w:rPr>
        <w:t>病虫灾害预防</w:t>
      </w:r>
      <w:r>
        <w:rPr>
          <w:rFonts w:hint="eastAsia" w:ascii="宋体" w:hAnsi="宋体" w:eastAsia="宋体" w:cs="宋体"/>
          <w:bCs/>
          <w:color w:val="auto"/>
          <w:szCs w:val="22"/>
          <w:highlight w:val="none"/>
        </w:rPr>
        <w:t>、消防、防汛、防台、</w:t>
      </w:r>
      <w:r>
        <w:rPr>
          <w:rFonts w:hint="eastAsia" w:ascii="宋体" w:hAnsi="宋体" w:eastAsia="宋体" w:cs="宋体"/>
          <w:color w:val="auto"/>
          <w:szCs w:val="22"/>
          <w:highlight w:val="none"/>
        </w:rPr>
        <w:t>开放区域突发事件</w:t>
      </w:r>
      <w:r>
        <w:rPr>
          <w:rFonts w:hint="eastAsia" w:ascii="宋体" w:hAnsi="宋体" w:eastAsia="宋体" w:cs="宋体"/>
          <w:bCs/>
          <w:color w:val="auto"/>
          <w:szCs w:val="22"/>
          <w:highlight w:val="none"/>
        </w:rPr>
        <w:t>等）并进行演练与实施，培训相关人员达到相关要求，</w:t>
      </w:r>
      <w:r>
        <w:rPr>
          <w:rFonts w:hint="eastAsia" w:ascii="宋体" w:hAnsi="宋体" w:eastAsia="宋体" w:cs="宋体"/>
          <w:color w:val="auto"/>
          <w:szCs w:val="22"/>
          <w:highlight w:val="none"/>
        </w:rPr>
        <w:t>遇到影响社会公众安全事件能及时应对处理。</w:t>
      </w:r>
    </w:p>
    <w:p w14:paraId="2DBCFC62">
      <w:pPr>
        <w:pStyle w:val="2"/>
        <w:adjustRightInd w:val="0"/>
        <w:snapToGrid w:val="0"/>
        <w:spacing w:after="0"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1.5</w:t>
      </w:r>
      <w:r>
        <w:rPr>
          <w:rFonts w:hint="eastAsia" w:ascii="宋体" w:hAnsi="宋体" w:eastAsia="宋体" w:cs="宋体"/>
          <w:bCs/>
          <w:color w:val="auto"/>
          <w:szCs w:val="22"/>
          <w:highlight w:val="none"/>
        </w:rPr>
        <w:t>.加强能源管理，作好节能降耗工作，每月编制书面月度能耗分析报告。不需要时要及时关闭公园内有关灯光照明。</w:t>
      </w:r>
    </w:p>
    <w:p w14:paraId="462B03D5">
      <w:pPr>
        <w:pStyle w:val="2"/>
        <w:adjustRightInd w:val="0"/>
        <w:snapToGrid w:val="0"/>
        <w:spacing w:after="0" w:line="440" w:lineRule="exact"/>
        <w:ind w:firstLine="660" w:firstLineChars="300"/>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1.6</w:t>
      </w:r>
      <w:r>
        <w:rPr>
          <w:rFonts w:hint="eastAsia" w:ascii="宋体" w:hAnsi="宋体" w:eastAsia="宋体" w:cs="宋体"/>
          <w:bCs/>
          <w:color w:val="auto"/>
          <w:szCs w:val="22"/>
          <w:highlight w:val="none"/>
        </w:rPr>
        <w:t>.自行按需要和《考核要求》对服务人员进行培训，并接受招标人对服务人员的集中培训。</w:t>
      </w:r>
    </w:p>
    <w:p w14:paraId="7B3EE01C">
      <w:pPr>
        <w:pStyle w:val="2"/>
        <w:adjustRightInd w:val="0"/>
        <w:snapToGrid w:val="0"/>
        <w:spacing w:after="0" w:line="440" w:lineRule="exact"/>
        <w:ind w:firstLine="660" w:firstLineChars="300"/>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1.7</w:t>
      </w:r>
      <w:r>
        <w:rPr>
          <w:rFonts w:hint="eastAsia" w:ascii="宋体" w:hAnsi="宋体" w:eastAsia="宋体" w:cs="宋体"/>
          <w:bCs/>
          <w:color w:val="auto"/>
          <w:szCs w:val="22"/>
          <w:highlight w:val="none"/>
        </w:rPr>
        <w:t>.重大活动任务必须事先制订周密的工作计划，并严格按照计划实施。</w:t>
      </w:r>
    </w:p>
    <w:p w14:paraId="36289B4B">
      <w:pPr>
        <w:pStyle w:val="2"/>
        <w:adjustRightInd w:val="0"/>
        <w:snapToGrid w:val="0"/>
        <w:spacing w:after="0" w:line="440" w:lineRule="exact"/>
        <w:ind w:firstLine="660" w:firstLineChars="300"/>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1.8</w:t>
      </w:r>
      <w:r>
        <w:rPr>
          <w:rFonts w:hint="eastAsia" w:ascii="宋体" w:hAnsi="宋体" w:eastAsia="宋体" w:cs="宋体"/>
          <w:bCs/>
          <w:color w:val="auto"/>
          <w:szCs w:val="22"/>
          <w:highlight w:val="none"/>
        </w:rPr>
        <w:t>.自觉接受</w:t>
      </w:r>
      <w:r>
        <w:rPr>
          <w:rFonts w:hint="eastAsia" w:ascii="宋体" w:hAnsi="宋体" w:eastAsia="宋体" w:cs="宋体"/>
          <w:color w:val="auto"/>
          <w:szCs w:val="22"/>
          <w:highlight w:val="none"/>
        </w:rPr>
        <w:t>公园主管单位的</w:t>
      </w:r>
      <w:r>
        <w:rPr>
          <w:rFonts w:hint="eastAsia" w:ascii="宋体" w:hAnsi="宋体" w:eastAsia="宋体" w:cs="宋体"/>
          <w:bCs/>
          <w:color w:val="auto"/>
          <w:szCs w:val="22"/>
          <w:highlight w:val="none"/>
        </w:rPr>
        <w:t>考核（按照《考核要求》</w:t>
      </w:r>
      <w:r>
        <w:rPr>
          <w:rFonts w:hint="eastAsia" w:ascii="宋体" w:hAnsi="宋体" w:cs="宋体"/>
          <w:bCs/>
          <w:color w:val="auto"/>
          <w:szCs w:val="22"/>
          <w:highlight w:val="none"/>
          <w:lang w:eastAsia="zh-CN"/>
        </w:rPr>
        <w:t>）</w:t>
      </w:r>
      <w:r>
        <w:rPr>
          <w:rFonts w:hint="eastAsia" w:ascii="宋体" w:hAnsi="宋体" w:eastAsia="宋体" w:cs="宋体"/>
          <w:bCs/>
          <w:color w:val="auto"/>
          <w:szCs w:val="22"/>
          <w:highlight w:val="none"/>
        </w:rPr>
        <w:t>，并根据考核结果及时调整改进。</w:t>
      </w:r>
    </w:p>
    <w:p w14:paraId="4EDA4F4E">
      <w:pPr>
        <w:pStyle w:val="2"/>
        <w:adjustRightInd w:val="0"/>
        <w:snapToGrid w:val="0"/>
        <w:spacing w:after="0" w:line="440" w:lineRule="exact"/>
        <w:ind w:firstLine="660" w:firstLineChars="3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1.9.对其他经主管部门允许的外来活动单位进行监管、配合服务。</w:t>
      </w:r>
    </w:p>
    <w:p w14:paraId="282152FB">
      <w:pPr>
        <w:adjustRightInd w:val="0"/>
        <w:snapToGrid w:val="0"/>
        <w:spacing w:line="440" w:lineRule="exact"/>
        <w:ind w:firstLine="660" w:firstLineChars="300"/>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1.10</w:t>
      </w:r>
      <w:r>
        <w:rPr>
          <w:rFonts w:hint="eastAsia" w:ascii="宋体" w:hAnsi="宋体" w:cs="宋体"/>
          <w:color w:val="auto"/>
          <w:szCs w:val="22"/>
          <w:highlight w:val="none"/>
          <w:lang w:val="en-US" w:eastAsia="zh-CN"/>
        </w:rPr>
        <w:t>.</w:t>
      </w:r>
      <w:r>
        <w:rPr>
          <w:rFonts w:hint="eastAsia" w:ascii="宋体" w:hAnsi="宋体" w:eastAsia="宋体" w:cs="宋体"/>
          <w:bCs/>
          <w:color w:val="auto"/>
          <w:szCs w:val="22"/>
          <w:highlight w:val="none"/>
        </w:rPr>
        <w:t>日常管理细则必须按招标人要求规定执行。</w:t>
      </w:r>
    </w:p>
    <w:p w14:paraId="21793363">
      <w:pPr>
        <w:spacing w:line="440" w:lineRule="exact"/>
        <w:ind w:firstLine="433" w:firstLineChars="196"/>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2.陆域保洁</w:t>
      </w:r>
      <w:r>
        <w:rPr>
          <w:rFonts w:hint="eastAsia" w:ascii="宋体" w:hAnsi="宋体" w:cs="宋体"/>
          <w:b/>
          <w:color w:val="auto"/>
          <w:szCs w:val="22"/>
          <w:highlight w:val="none"/>
          <w:lang w:eastAsia="zh-CN"/>
        </w:rPr>
        <w:t>（含草坪）</w:t>
      </w:r>
      <w:r>
        <w:rPr>
          <w:rFonts w:hint="eastAsia" w:ascii="宋体" w:hAnsi="宋体" w:eastAsia="宋体" w:cs="宋体"/>
          <w:b/>
          <w:color w:val="auto"/>
          <w:szCs w:val="22"/>
          <w:highlight w:val="none"/>
        </w:rPr>
        <w:t>服务部分</w:t>
      </w:r>
    </w:p>
    <w:p w14:paraId="44D98D2A">
      <w:pPr>
        <w:spacing w:line="440" w:lineRule="exact"/>
        <w:ind w:firstLine="433" w:firstLineChars="196"/>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2.2陆域保洁具体要求</w:t>
      </w:r>
    </w:p>
    <w:p w14:paraId="69094F43">
      <w:pPr>
        <w:adjustRightInd w:val="0"/>
        <w:snapToGrid w:val="0"/>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2.2.1按照规定卫生标准提供24小时的清洁服务，并针对特殊情况，协助制定防止交叉感染、消毒隔离制度和工作标准、流程。</w:t>
      </w:r>
    </w:p>
    <w:p w14:paraId="2532A75E">
      <w:pPr>
        <w:adjustRightInd w:val="0"/>
        <w:snapToGrid w:val="0"/>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2.2.2协助做好预防与灭治白蚁、消杀老鼠、蟑螂、蚊子、苍蝇等“四害”。</w:t>
      </w:r>
    </w:p>
    <w:p w14:paraId="234B7573">
      <w:pPr>
        <w:adjustRightInd w:val="0"/>
        <w:snapToGrid w:val="0"/>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2.2.3保洁频率及标准、人员配置按招标人要求执行。</w:t>
      </w:r>
    </w:p>
    <w:p w14:paraId="20E58E60">
      <w:pPr>
        <w:adjustRightInd w:val="0"/>
        <w:snapToGrid w:val="0"/>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2.2.4陆域保洁</w:t>
      </w:r>
    </w:p>
    <w:p w14:paraId="60D61708">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1、保洁可视范围内的日常普扫（每日不少于两次）、巡回保洁。第一次普扫原则上在夏季6时30分、冬季7时以前完成，第二次普扫原则上在下午16:30时前完成；其他时段为巡回动态保洁，第一次垃圾清运必须在8:00前完成，第二次必须在17:00至20：00完成，其他时刻必须保持及时清理、及时清运。交接班不得出现空档，责任区交界处，责任交界处清扫保洁各过界10米。保洁作业所收集的垃圾统一归纳至附近垃圾桶内，由垃圾清运人员及车辆统一运输至采购人指定垃圾中转站；绿地清洁、无垃圾、无石头砖块、无干枯枝叶、无坑洼积水、无黄土裸露，护栏设施完好美观。</w:t>
      </w:r>
    </w:p>
    <w:p w14:paraId="0C85CDF5">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2、清除草坪内的垃圾杂物（包括生活垃圾、景石以外的石头砖块、干枯枝叶等）。要求每天上班后首先清理垃圾（当日垃圾当日清理，上班后2小时内将垃圾清理干净），并在工作时间内保洁。垃圾要放在较隐蔽的地方，每天清运</w:t>
      </w:r>
      <w:r>
        <w:rPr>
          <w:rFonts w:hint="eastAsia" w:ascii="宋体" w:hAnsi="宋体" w:cs="宋体"/>
          <w:color w:val="auto"/>
          <w:szCs w:val="22"/>
          <w:highlight w:val="none"/>
          <w:lang w:eastAsia="zh-CN"/>
        </w:rPr>
        <w:t>二</w:t>
      </w:r>
      <w:r>
        <w:rPr>
          <w:rFonts w:hint="eastAsia" w:ascii="宋体" w:hAnsi="宋体" w:eastAsia="宋体" w:cs="宋体"/>
          <w:color w:val="auto"/>
          <w:szCs w:val="22"/>
          <w:highlight w:val="none"/>
        </w:rPr>
        <w:t>次，不准焚烧垃圾。</w:t>
      </w:r>
    </w:p>
    <w:p w14:paraId="79C42661">
      <w:pPr>
        <w:spacing w:line="360" w:lineRule="auto"/>
        <w:ind w:firstLine="389" w:firstLineChars="177"/>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3、对范围内所有道路（包括彩色步道、马道、台阶、亭台、护栏等）进行冲洗，每周不少于一次</w:t>
      </w:r>
      <w:r>
        <w:rPr>
          <w:rFonts w:hint="eastAsia" w:ascii="宋体" w:hAnsi="宋体" w:cs="宋体"/>
          <w:color w:val="auto"/>
          <w:szCs w:val="22"/>
          <w:highlight w:val="none"/>
          <w:lang w:eastAsia="zh-CN"/>
        </w:rPr>
        <w:t>。</w:t>
      </w:r>
    </w:p>
    <w:p w14:paraId="75014D19">
      <w:pPr>
        <w:spacing w:line="360" w:lineRule="auto"/>
        <w:ind w:firstLine="389" w:firstLineChars="177"/>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4、范围内内所有垃圾桶的淘洗、垃圾清运、维护、防盗工作</w:t>
      </w:r>
      <w:r>
        <w:rPr>
          <w:rFonts w:hint="eastAsia" w:ascii="宋体" w:hAnsi="宋体" w:cs="宋体"/>
          <w:color w:val="auto"/>
          <w:szCs w:val="22"/>
          <w:highlight w:val="none"/>
          <w:lang w:eastAsia="zh-CN"/>
        </w:rPr>
        <w:t>。</w:t>
      </w:r>
    </w:p>
    <w:p w14:paraId="4DF7ADA5">
      <w:pPr>
        <w:widowControl/>
        <w:spacing w:line="360" w:lineRule="auto"/>
        <w:ind w:firstLine="422" w:firstLineChars="192"/>
        <w:jc w:val="lef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5、采购人根据工作需要，临时下达的其它紧急保洁及垃圾清运工作（包括其他区域的垃圾外运至采购人指定的弃置点）</w:t>
      </w:r>
      <w:r>
        <w:rPr>
          <w:rFonts w:hint="eastAsia" w:ascii="宋体" w:hAnsi="宋体" w:cs="宋体"/>
          <w:color w:val="auto"/>
          <w:szCs w:val="22"/>
          <w:highlight w:val="none"/>
          <w:lang w:eastAsia="zh-CN"/>
        </w:rPr>
        <w:t>。</w:t>
      </w:r>
    </w:p>
    <w:p w14:paraId="31CD6CA2">
      <w:pPr>
        <w:widowControl/>
        <w:spacing w:line="360" w:lineRule="auto"/>
        <w:ind w:firstLine="422" w:firstLineChars="192"/>
        <w:jc w:val="lef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6、加强迎检保洁和突发（包括台风等自然灾害）等作业</w:t>
      </w:r>
      <w:r>
        <w:rPr>
          <w:rFonts w:hint="eastAsia" w:ascii="宋体" w:hAnsi="宋体" w:cs="宋体"/>
          <w:color w:val="auto"/>
          <w:szCs w:val="22"/>
          <w:highlight w:val="none"/>
          <w:lang w:eastAsia="zh-CN"/>
        </w:rPr>
        <w:t>。</w:t>
      </w:r>
    </w:p>
    <w:p w14:paraId="30CD4697">
      <w:pPr>
        <w:widowControl/>
        <w:spacing w:line="360" w:lineRule="auto"/>
        <w:ind w:firstLine="422" w:firstLineChars="192"/>
        <w:jc w:val="lef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7、保洁范围内的牛皮癣清除（牛皮癣停留不超过一天）</w:t>
      </w:r>
      <w:r>
        <w:rPr>
          <w:rFonts w:hint="eastAsia" w:ascii="宋体" w:hAnsi="宋体" w:cs="宋体"/>
          <w:color w:val="auto"/>
          <w:szCs w:val="22"/>
          <w:highlight w:val="none"/>
          <w:lang w:eastAsia="zh-CN"/>
        </w:rPr>
        <w:t>。</w:t>
      </w:r>
    </w:p>
    <w:p w14:paraId="4E19CA20">
      <w:pPr>
        <w:widowControl/>
        <w:spacing w:line="360" w:lineRule="auto"/>
        <w:ind w:firstLine="422" w:firstLineChars="192"/>
        <w:jc w:val="lef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8、整个公园内的枯枝、杂草等定时清理、拔除，每月不少于一次，春夏适当增加频次</w:t>
      </w:r>
      <w:r>
        <w:rPr>
          <w:rFonts w:hint="eastAsia" w:ascii="宋体" w:hAnsi="宋体" w:cs="宋体"/>
          <w:color w:val="auto"/>
          <w:szCs w:val="22"/>
          <w:highlight w:val="none"/>
          <w:lang w:eastAsia="zh-CN"/>
        </w:rPr>
        <w:t>。</w:t>
      </w:r>
    </w:p>
    <w:p w14:paraId="4E6BFB1A">
      <w:pPr>
        <w:spacing w:line="360" w:lineRule="auto"/>
        <w:ind w:firstLine="389" w:firstLineChars="177"/>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9、环境保洁宣传和引导工作</w:t>
      </w:r>
      <w:r>
        <w:rPr>
          <w:rFonts w:hint="eastAsia" w:ascii="宋体" w:hAnsi="宋体" w:cs="宋体"/>
          <w:color w:val="auto"/>
          <w:szCs w:val="22"/>
          <w:highlight w:val="none"/>
          <w:lang w:eastAsia="zh-CN"/>
        </w:rPr>
        <w:t>，绿地及设施如遭人破坏，要及时制止维修并及时上报，保证绿地及设施的完整。</w:t>
      </w:r>
    </w:p>
    <w:p w14:paraId="1F8CE73E">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10、垃圾桶、清扫机具等环卫设施的清掏、清洗、防损、防盗和维护。</w:t>
      </w:r>
    </w:p>
    <w:p w14:paraId="7B900458">
      <w:pPr>
        <w:spacing w:line="360" w:lineRule="auto"/>
        <w:ind w:firstLine="389" w:firstLineChars="177"/>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1)果壳箱、垃圾桶等环卫设施无破损</w:t>
      </w:r>
      <w:r>
        <w:rPr>
          <w:rFonts w:hint="eastAsia" w:ascii="宋体" w:hAnsi="宋体" w:cs="宋体"/>
          <w:color w:val="auto"/>
          <w:szCs w:val="22"/>
          <w:highlight w:val="none"/>
          <w:lang w:eastAsia="zh-CN"/>
        </w:rPr>
        <w:t>。</w:t>
      </w:r>
    </w:p>
    <w:p w14:paraId="5F03A777">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2)垃圾容器封闭无四害孳生，周围无垃圾散落，管理规范，垃圾做到日产日清，禁止环卫工人在桶内翻捡废品。</w:t>
      </w:r>
    </w:p>
    <w:p w14:paraId="2A3C780B">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3)承包范围内所有垃圾桶（箱）采购人已统一投放。合同期间，中标人必须做好所有垃圾桶（箱）的防损防盗工作。 </w:t>
      </w:r>
    </w:p>
    <w:p w14:paraId="6CD6027A">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11、清扫作业规范</w:t>
      </w:r>
    </w:p>
    <w:p w14:paraId="692A0345">
      <w:pPr>
        <w:spacing w:line="360" w:lineRule="auto"/>
        <w:ind w:firstLine="389" w:firstLineChars="177"/>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1）保洁作业人员不得擅自离（脱）岗，不聚闲聊，不得迟到早退，不得消极怠工，不得酒后作业；工期休息不超过15分钟，作业期间不做与作业无关的事；作业人员应当佩证，作业期内穿工作服</w:t>
      </w:r>
      <w:r>
        <w:rPr>
          <w:rFonts w:hint="eastAsia" w:ascii="宋体" w:hAnsi="宋体" w:cs="宋体"/>
          <w:color w:val="auto"/>
          <w:szCs w:val="22"/>
          <w:highlight w:val="none"/>
          <w:lang w:eastAsia="zh-CN"/>
        </w:rPr>
        <w:t>。</w:t>
      </w:r>
    </w:p>
    <w:p w14:paraId="0BCC5F23">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2）清扫保洁时间内垃圾不得扫入窨井、花坛、绿化带、河道等处；清扫作业中不得漏扫、甩扫；交接班不得出现空档，责任区交界处清扫保洁各过界10米；垃圾直接清运至垃圾中转站，不得中途随意倾倒垃圾，不得焚烧垃圾。不得在责任区外翻捡废品，干私活。</w:t>
      </w:r>
    </w:p>
    <w:p w14:paraId="3A6A78DD">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3）保洁人员应文明作业，不得将垃圾、污水扫到、溅到行人或乘客身上，不得将垃圾堆放或停留在路面上，不得将垃圾扫入或倒入窨井、绿地、河道等处，不得焚烧垃圾，必须运送至指定地点；清扫作业中不得漏扫、甩扫。垃圾收集车标志应清晰，保持外观清洁，每日清洗后方可上路；垃圾装运量应以车辆的额定荷载和有效容积为限，不得超重、超高超速运输，不得悬挂杂物，装卸垃圾应符合作业要求，不得乱倒、乱卸、乱抛、焚烧垃圾。</w:t>
      </w:r>
    </w:p>
    <w:p w14:paraId="21AB8423">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4）垃圾清运完毕，应打扫周边环境，做到人走地净。</w:t>
      </w:r>
    </w:p>
    <w:p w14:paraId="4BF901FD">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5）垃圾收集车辆应经常检查，及时发现排除故障，不得带故障运行；所有车辆停放必须遵守交通法规。</w:t>
      </w:r>
    </w:p>
    <w:p w14:paraId="2ACE277F">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6）清扫保洁应根据业主的要求和自身实际作业标准建立相关台账，车辆做好车辆使用记录。</w:t>
      </w:r>
    </w:p>
    <w:p w14:paraId="41CDEBC8">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7）作业人员必须穿着工作服、佩证上岗（证件上须附有人员照片、人员姓名、清扫路段等信息</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rPr>
        <w:t>。</w:t>
      </w:r>
    </w:p>
    <w:p w14:paraId="13DB3DC9">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8）其他要求：遇有重大活动或突发事件，及时组织力量做好清扫保洁等保障工作，及时听从业主的指挥和调度。</w:t>
      </w:r>
    </w:p>
    <w:p w14:paraId="5CDE1199">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12、垃圾清运规范</w:t>
      </w:r>
    </w:p>
    <w:p w14:paraId="4E5602A8">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1）所有垃圾堆放点的垃圾每日早晚各清运一次，运至采购人指定垃圾中转站。上午须在7时00分前完成，下午须在18时前完成。</w:t>
      </w:r>
    </w:p>
    <w:p w14:paraId="54B0CC55">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2）垃圾堆放点内外场地应整洁，无撒落垃圾和堆积杂物，无积留污水。 </w:t>
      </w:r>
    </w:p>
    <w:p w14:paraId="1D9BC8E6">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3）垃圾堆放点内无恶臭，墙壁、窗户应无积尘、蛛网。</w:t>
      </w:r>
    </w:p>
    <w:p w14:paraId="7C76E83B">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4）垃圾堆放点内垃圾装运容器应整洁，无积垢，无吊挂垃圾。</w:t>
      </w:r>
    </w:p>
    <w:p w14:paraId="78B826FA">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5）蚊蝇孳生季节，应每天喷药灭蚊蝇，无恶臭。</w:t>
      </w:r>
    </w:p>
    <w:p w14:paraId="4BBC354A">
      <w:pPr>
        <w:spacing w:line="360" w:lineRule="auto"/>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6）垃圾日产日清，垃圾桶和垃圾房内垃圾不得过夜搁置。</w:t>
      </w:r>
    </w:p>
    <w:p w14:paraId="0E552417">
      <w:pPr>
        <w:adjustRightInd w:val="0"/>
        <w:snapToGrid w:val="0"/>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3.河道水域保洁内容及要求</w:t>
      </w:r>
    </w:p>
    <w:p w14:paraId="73562F6A">
      <w:pPr>
        <w:tabs>
          <w:tab w:val="left" w:pos="360"/>
        </w:tabs>
        <w:spacing w:line="46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3.1保洁区域内所有河道的日常保洁。具体包括：</w:t>
      </w:r>
    </w:p>
    <w:p w14:paraId="4C65E407">
      <w:pPr>
        <w:tabs>
          <w:tab w:val="left" w:pos="360"/>
        </w:tabs>
        <w:spacing w:line="460" w:lineRule="exact"/>
        <w:ind w:firstLine="552" w:firstLineChars="250"/>
        <w:rPr>
          <w:rFonts w:hint="eastAsia" w:ascii="宋体" w:hAnsi="宋体" w:eastAsia="宋体" w:cs="宋体"/>
          <w:color w:val="auto"/>
          <w:szCs w:val="22"/>
          <w:highlight w:val="none"/>
        </w:rPr>
      </w:pPr>
      <w:r>
        <w:rPr>
          <w:rFonts w:hint="eastAsia" w:ascii="宋体" w:hAnsi="宋体" w:eastAsia="宋体" w:cs="宋体"/>
          <w:b/>
          <w:bCs/>
          <w:color w:val="auto"/>
          <w:szCs w:val="22"/>
          <w:highlight w:val="none"/>
        </w:rPr>
        <w:t>河道内的杂草、障碍物、漂浮物、废弃物、卫生死角的日常清理保洁和巡回保洁</w:t>
      </w:r>
      <w:r>
        <w:rPr>
          <w:rFonts w:hint="eastAsia" w:ascii="宋体" w:hAnsi="宋体" w:eastAsia="宋体" w:cs="宋体"/>
          <w:color w:val="auto"/>
          <w:szCs w:val="22"/>
          <w:highlight w:val="none"/>
        </w:rPr>
        <w:t>。日常清理保洁每日二次，其余时间每条船必须在所属的河道内巡回保洁，时间为每日不少于8小时。要求做到“沿岸无垃圾堆放、河面无杂草、无水葫芦、无水浮莲、无漂浮物、无障碍物”的“六无”标准确保水面清洁、干净、流畅。</w:t>
      </w:r>
    </w:p>
    <w:p w14:paraId="7BE9B762">
      <w:pPr>
        <w:tabs>
          <w:tab w:val="left" w:pos="360"/>
        </w:tabs>
        <w:spacing w:line="46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3.2</w:t>
      </w:r>
      <w:r>
        <w:rPr>
          <w:rFonts w:hint="eastAsia" w:ascii="宋体" w:hAnsi="宋体" w:eastAsia="宋体" w:cs="宋体"/>
          <w:b/>
          <w:bCs/>
          <w:color w:val="auto"/>
          <w:szCs w:val="22"/>
          <w:highlight w:val="none"/>
        </w:rPr>
        <w:t>特殊情况下的应急保洁</w:t>
      </w:r>
      <w:r>
        <w:rPr>
          <w:rFonts w:hint="eastAsia" w:ascii="宋体" w:hAnsi="宋体" w:eastAsia="宋体" w:cs="宋体"/>
          <w:color w:val="auto"/>
          <w:szCs w:val="22"/>
          <w:highlight w:val="none"/>
        </w:rPr>
        <w:t>。具体包括：重大活动、迎检、台风暴雨自然灾害等特殊情况下的应急保洁作业。应急保洁作业的质量标准不得低于日常保洁质量，并无条件接受采购人指挥和调度，供应商应充分考虑报价风险，产生的所有费用全部计入投标总价。</w:t>
      </w:r>
    </w:p>
    <w:p w14:paraId="502D1872">
      <w:pPr>
        <w:tabs>
          <w:tab w:val="left" w:pos="360"/>
        </w:tabs>
        <w:spacing w:line="46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应在采购人的统一部署下，在规定的时间内保质保量完成保洁责任单位应在一周内清理完漂浮物、杂草和障碍物，确保河面干净整洁；突发污染事故及其他影响河道保洁工作的，应及时向相关单位报告，并积极配合和妥善处理。</w:t>
      </w:r>
    </w:p>
    <w:p w14:paraId="6D0FB257">
      <w:pPr>
        <w:tabs>
          <w:tab w:val="left" w:pos="360"/>
        </w:tabs>
        <w:spacing w:line="46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3.3</w:t>
      </w:r>
      <w:r>
        <w:rPr>
          <w:rFonts w:hint="eastAsia" w:ascii="宋体" w:hAnsi="宋体" w:eastAsia="宋体" w:cs="宋体"/>
          <w:b/>
          <w:bCs/>
          <w:color w:val="auto"/>
          <w:szCs w:val="22"/>
          <w:highlight w:val="none"/>
        </w:rPr>
        <w:t>垃圾清运</w:t>
      </w:r>
      <w:r>
        <w:rPr>
          <w:rFonts w:hint="eastAsia" w:ascii="宋体" w:hAnsi="宋体" w:eastAsia="宋体" w:cs="宋体"/>
          <w:color w:val="auto"/>
          <w:szCs w:val="22"/>
          <w:highlight w:val="none"/>
        </w:rPr>
        <w:t>。合理设置岸上垃圾收集点，灵溪段不少于2个。统一将收集的垃圾运至岸上收集点后装运上岸，运送至采购人指定的堆点，所有垃圾必须日产日清。由堤防陆域保洁中配置的电动三轮垃圾清运车清运。同时，应制定着实有效的作业规范确保所有垃圾在收集好人清运的过程中不产生二次污染。</w:t>
      </w:r>
    </w:p>
    <w:p w14:paraId="0E39A726">
      <w:pPr>
        <w:spacing w:line="400" w:lineRule="exact"/>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3.4无条件执行和配合采购人下达的其他相关工作内容。</w:t>
      </w:r>
    </w:p>
    <w:p w14:paraId="54CE13E0">
      <w:pPr>
        <w:spacing w:line="400" w:lineRule="exact"/>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3.5其他要求</w:t>
      </w:r>
    </w:p>
    <w:p w14:paraId="00DD65A0">
      <w:pPr>
        <w:tabs>
          <w:tab w:val="left" w:pos="360"/>
          <w:tab w:val="left" w:pos="410"/>
        </w:tabs>
        <w:spacing w:line="46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（1）打捞物及动物尸体应采取无害化处理。</w:t>
      </w:r>
    </w:p>
    <w:p w14:paraId="48905828">
      <w:pPr>
        <w:tabs>
          <w:tab w:val="left" w:pos="360"/>
        </w:tabs>
        <w:spacing w:line="46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（2）对保洁区域范围内打捞上船的垃圾进行消毒。</w:t>
      </w:r>
    </w:p>
    <w:p w14:paraId="6492D6BD">
      <w:pPr>
        <w:tabs>
          <w:tab w:val="left" w:pos="360"/>
        </w:tabs>
        <w:spacing w:line="46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（3）</w:t>
      </w:r>
      <w:r>
        <w:rPr>
          <w:rFonts w:hint="eastAsia" w:ascii="宋体" w:hAnsi="宋体" w:eastAsia="宋体" w:cs="宋体"/>
          <w:bCs/>
          <w:color w:val="auto"/>
          <w:szCs w:val="22"/>
          <w:highlight w:val="none"/>
        </w:rPr>
        <w:t>中标供应商在保洁管理过程中出现人身伤亡等一切事故，均由中标供应商负责，与采购人无涉，并不承担任何连带责任。</w:t>
      </w:r>
    </w:p>
    <w:p w14:paraId="7044FEA7">
      <w:pPr>
        <w:adjustRightInd w:val="0"/>
        <w:snapToGrid w:val="0"/>
        <w:spacing w:line="44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（4）中标供应商在保洁期间必须完成招标方所交代的相关任务。</w:t>
      </w:r>
    </w:p>
    <w:p w14:paraId="21EA3F63">
      <w:pPr>
        <w:autoSpaceDE w:val="0"/>
        <w:autoSpaceDN w:val="0"/>
        <w:adjustRightInd w:val="0"/>
        <w:spacing w:line="460" w:lineRule="exact"/>
        <w:ind w:firstLine="442" w:firstLineChars="200"/>
        <w:jc w:val="left"/>
        <w:rPr>
          <w:rFonts w:hint="eastAsia" w:ascii="宋体" w:hAnsi="宋体" w:eastAsia="宋体" w:cs="宋体"/>
          <w:color w:val="auto"/>
          <w:szCs w:val="22"/>
          <w:highlight w:val="none"/>
        </w:rPr>
      </w:pPr>
      <w:r>
        <w:rPr>
          <w:rFonts w:hint="eastAsia" w:ascii="宋体" w:hAnsi="宋体" w:eastAsia="宋体" w:cs="宋体"/>
          <w:b/>
          <w:color w:val="auto"/>
          <w:szCs w:val="22"/>
          <w:highlight w:val="none"/>
        </w:rPr>
        <w:t>4.建筑、</w:t>
      </w:r>
      <w:r>
        <w:rPr>
          <w:rFonts w:hint="eastAsia" w:ascii="宋体" w:hAnsi="宋体" w:eastAsia="宋体" w:cs="宋体"/>
          <w:b/>
          <w:color w:val="auto"/>
          <w:szCs w:val="22"/>
          <w:highlight w:val="none"/>
          <w:lang w:val="zh-CN"/>
        </w:rPr>
        <w:t>设施维护</w:t>
      </w:r>
      <w:r>
        <w:rPr>
          <w:rFonts w:hint="eastAsia" w:ascii="宋体" w:hAnsi="宋体" w:eastAsia="宋体" w:cs="宋体"/>
          <w:b/>
          <w:color w:val="auto"/>
          <w:szCs w:val="22"/>
          <w:highlight w:val="none"/>
        </w:rPr>
        <w:t>部分</w:t>
      </w:r>
    </w:p>
    <w:p w14:paraId="328E700A">
      <w:pPr>
        <w:adjustRightInd w:val="0"/>
        <w:snapToGrid w:val="0"/>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bCs/>
          <w:color w:val="auto"/>
          <w:szCs w:val="22"/>
          <w:highlight w:val="none"/>
        </w:rPr>
        <w:t>4.1服务要求、内容和范围：</w:t>
      </w:r>
      <w:r>
        <w:rPr>
          <w:rFonts w:hint="eastAsia" w:ascii="宋体" w:hAnsi="宋体" w:eastAsia="宋体" w:cs="宋体"/>
          <w:b/>
          <w:color w:val="auto"/>
          <w:szCs w:val="22"/>
          <w:highlight w:val="none"/>
        </w:rPr>
        <w:t>对百里平水公园灵溪段建筑、设施进行保养、维护，包括但不限于路灯、游步道、隔离墩、围栏、园椅（凳）、亭、廊、墙、界碑图、指示牌、宣传牌、显示屏、厕所、丁步、标志物、牌坊、垃圾箱、运动健身器材、排污消防设备、排水设施疏通等。</w:t>
      </w:r>
    </w:p>
    <w:p w14:paraId="1D6CF684">
      <w:pPr>
        <w:adjustRightInd w:val="0"/>
        <w:snapToGrid w:val="0"/>
        <w:spacing w:line="440" w:lineRule="exact"/>
        <w:ind w:firstLine="442" w:firstLineChars="20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4.2日常管理</w:t>
      </w:r>
    </w:p>
    <w:p w14:paraId="631FAB8A">
      <w:pPr>
        <w:adjustRightInd w:val="0"/>
        <w:snapToGrid w:val="0"/>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(1)供应商按照管理内容编制检查表，每日进行检查，发现问题及时整改。</w:t>
      </w:r>
    </w:p>
    <w:p w14:paraId="5104AFAA">
      <w:pPr>
        <w:adjustRightInd w:val="0"/>
        <w:snapToGrid w:val="0"/>
        <w:spacing w:line="440" w:lineRule="exact"/>
        <w:ind w:left="440" w:left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(2)招标人对供应商各工作岗位的服务质量随时进行抽查。发现问题，及时通知整改。</w:t>
      </w:r>
    </w:p>
    <w:p w14:paraId="3BD3E121">
      <w:pPr>
        <w:adjustRightInd w:val="0"/>
        <w:snapToGrid w:val="0"/>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(3)所有岗位建立岗位责任制与运作程序、工作质量标准，并无条件接受招标人监督检查。</w:t>
      </w:r>
    </w:p>
    <w:p w14:paraId="7DB12400">
      <w:pPr>
        <w:pStyle w:val="51"/>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5.堤防标准化管理服务部分</w:t>
      </w:r>
    </w:p>
    <w:p w14:paraId="0FBF06CB">
      <w:pPr>
        <w:pStyle w:val="51"/>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 xml:space="preserve"> </w:t>
      </w:r>
      <w:r>
        <w:rPr>
          <w:rFonts w:hint="eastAsia" w:ascii="宋体" w:hAnsi="宋体" w:eastAsia="宋体" w:cs="宋体"/>
          <w:bCs/>
          <w:color w:val="auto"/>
          <w:szCs w:val="22"/>
          <w:highlight w:val="none"/>
        </w:rPr>
        <w:t xml:space="preserve">  </w:t>
      </w:r>
      <w:r>
        <w:rPr>
          <w:rFonts w:hint="eastAsia" w:ascii="宋体" w:hAnsi="宋体" w:eastAsia="宋体" w:cs="宋体"/>
          <w:b/>
          <w:bCs/>
          <w:color w:val="auto"/>
          <w:szCs w:val="22"/>
          <w:highlight w:val="none"/>
        </w:rPr>
        <w:t>5.1服务要求</w:t>
      </w:r>
      <w:r>
        <w:rPr>
          <w:rFonts w:hint="eastAsia" w:ascii="宋体" w:hAnsi="宋体" w:eastAsia="宋体" w:cs="宋体"/>
          <w:bCs/>
          <w:color w:val="auto"/>
          <w:szCs w:val="22"/>
          <w:highlight w:val="none"/>
        </w:rPr>
        <w:t>：做好堤防工程的检查，对工程的缺陷和损坏做好记录；观测设施与其保护设施完好，能正常进行观测；堤防沉降观测点保护完好，保证能正常观测；人工水位观测设施能正常读取；标识标牌字迹清晰，无丢失或损坏现象；照明设施工作正常，保护设施完好，通讯及信息化设施工作稳定，运行正常。</w:t>
      </w:r>
    </w:p>
    <w:p w14:paraId="2E7457B7">
      <w:pPr>
        <w:pStyle w:val="51"/>
        <w:ind w:firstLine="442" w:firstLineChars="20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5.2 具体要求</w:t>
      </w:r>
    </w:p>
    <w:p w14:paraId="4055C346">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（1）堤防工程检查</w:t>
      </w:r>
    </w:p>
    <w:p w14:paraId="35312C52">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①工程检查的目的：为了及时发现堤身结构、护堤地和保护范围、堤岸防护、堤脚防渗和排水、交叉建筑物、管理设施等可能存在的隐患，通过定期组织开展的安全检查工作，及时采取有效措施消除隐患缺陷，保证堤防的安全运行。</w:t>
      </w:r>
    </w:p>
    <w:p w14:paraId="3A7E221A">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②堤防工程检查分为：日常检查、定期检查、特别检查和专项检查。工程检查安全做到及时、全面、细致、无遗漏的发现问题并及时上报。</w:t>
      </w:r>
    </w:p>
    <w:p w14:paraId="13EF10E5">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③日常检查：非汛期每周不少于1次，汛期3天1次。</w:t>
      </w:r>
    </w:p>
    <w:p w14:paraId="5567E5AD">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④定期检查：每年汛前、汛中、汛后分别进行定期的全面检查。每年4月15日之前开展1次汛前检查，主要目的是对工程设施、非工程设施、防汛物资等进行全面检查并编制检查报告；每年5月31日前编制汛中检查工程方案，方案主要包括总体要求、检查范围、检查方法、时间安排等内容并开展检查工作。每年10月15日之后开展一次汛后检查。主要目的是对工程完整性进行全面检查，重点检查工程观测资料分析情况。</w:t>
      </w:r>
    </w:p>
    <w:p w14:paraId="0DE2F870">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⑤特别检查：遇暴雨洪水、河道高水位等灾害性天气或突发性事件，进行特别检查。当河道水位超过或达到警戒水位时，每天不少于1次；发生强降雨、地震等其他特殊情况时，每天巡查2次。</w:t>
      </w:r>
    </w:p>
    <w:p w14:paraId="5761AB51">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⑥专项内容：根据管理需要和堤防工况变化情况，发展的检查工作，包括白蚁检查、堤防安全鉴定、信息化系统检查等内容。</w:t>
      </w:r>
    </w:p>
    <w:p w14:paraId="58F618F7">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⑦检查内容：堤防工程是否完好整洁，有无危机堤防安全的行为等。</w:t>
      </w:r>
    </w:p>
    <w:p w14:paraId="7428B410">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⑧检查项目：堤防检查、交叉建筑物检查、排水设施检查、管理附属设施检查、管理和保护范围检查。</w:t>
      </w:r>
    </w:p>
    <w:p w14:paraId="5890BF13">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⑨每项工程检查情况要及时进行记录，并整理分析归档。</w:t>
      </w:r>
    </w:p>
    <w:p w14:paraId="43FF2015">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（2）堤防观测</w:t>
      </w:r>
    </w:p>
    <w:p w14:paraId="2D7E99DA">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①堤防工程观测目的是为了及时发现堤防运行期间工程状况及变化，分析可能存在的安全隐患，并及时采取有效措施消除隐患，保证堤防的安全运行和河道功能的正常发挥。工程观测要求做到全面、细致，观测数据及时记录，发现问题及时上报。</w:t>
      </w:r>
    </w:p>
    <w:p w14:paraId="6CE0F9F6">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②观测主要包括沉降变形、水位、裂缝等观测。必要时可增加水平位移、冲刷、渗透变形以及其他观测项目。</w:t>
      </w:r>
    </w:p>
    <w:p w14:paraId="0DE2544C">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③沉降变形观测。包括堤身整体沉降观测和局部位置的沉降观测。局部位置的沉降观测主要有堤顶路面、堤塘附属设施、沿线水工设施等。按设计布设的观测断面，每年观测2次。重要或变形异常地段适当加密并补充水平位移观测。</w:t>
      </w:r>
    </w:p>
    <w:p w14:paraId="3EC899E3">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④水位观测。主要是通过水雨情信息系统软件对各个断面、点位上的水位、降雨量等实时数据进行观测并记录。暴雨洪水影响时每天观测。</w:t>
      </w:r>
    </w:p>
    <w:p w14:paraId="30C46EBC">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⑤堤防裂缝观测。主要是对堤顶路面、防浪墙、迎水坡、堤脚镇压平台存在的裂缝进行观测。对裂缝宽度、长度进行观测，裂缝发展初期每天观测一次，以后每月观测1~2次。</w:t>
      </w:r>
    </w:p>
    <w:p w14:paraId="7AD8F0E5">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⑥观测数据及时记录，并整理分析归档。</w:t>
      </w:r>
    </w:p>
    <w:p w14:paraId="6F9E6FC8">
      <w:pPr>
        <w:pStyle w:val="51"/>
        <w:ind w:firstLine="440" w:firstLineChars="200"/>
        <w:rPr>
          <w:rFonts w:hint="eastAsia" w:ascii="宋体" w:hAnsi="宋体" w:eastAsia="宋体" w:cs="宋体"/>
          <w:color w:val="auto"/>
          <w:highlight w:val="none"/>
        </w:rPr>
      </w:pPr>
      <w:r>
        <w:rPr>
          <w:rFonts w:hint="eastAsia" w:ascii="宋体" w:hAnsi="宋体" w:eastAsia="宋体" w:cs="宋体"/>
          <w:bCs/>
          <w:color w:val="auto"/>
          <w:szCs w:val="22"/>
          <w:highlight w:val="none"/>
        </w:rPr>
        <w:t>⑦观测成果分析报告要具有相应资质单位进行审核并出具报告。</w:t>
      </w:r>
    </w:p>
    <w:p w14:paraId="2C334FC2">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（3）档案管理</w:t>
      </w:r>
    </w:p>
    <w:p w14:paraId="478781F2">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①归档管理。负责归档档案的审查、清点、分类、编目、鉴定与销毁等工作；</w:t>
      </w:r>
    </w:p>
    <w:p w14:paraId="3490EACB">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②借阅管理。负责日常查（借）阅档案工作，并配合做好档案室安全及保密工作；</w:t>
      </w:r>
    </w:p>
    <w:p w14:paraId="368C4B55">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③档案整理。负责档案室的日常工作，协调做好各类档案的归档工作。</w:t>
      </w:r>
    </w:p>
    <w:p w14:paraId="3F32D0B3">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（4）信息化管理</w:t>
      </w:r>
    </w:p>
    <w:p w14:paraId="1B7D2E2F">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信息化管理内容主要是硬件设施维护、软件专业设备维护、信息化系统平台运行操作。</w:t>
      </w:r>
    </w:p>
    <w:p w14:paraId="37A79C54">
      <w:pPr>
        <w:numPr>
          <w:ilvl w:val="0"/>
          <w:numId w:val="1"/>
        </w:numPr>
        <w:tabs>
          <w:tab w:val="left" w:pos="4320"/>
          <w:tab w:val="left" w:pos="4860"/>
        </w:tabs>
        <w:autoSpaceDE w:val="0"/>
        <w:autoSpaceDN w:val="0"/>
        <w:adjustRightInd w:val="0"/>
        <w:snapToGrid w:val="0"/>
        <w:spacing w:line="440" w:lineRule="exact"/>
        <w:ind w:firstLine="442" w:firstLineChars="200"/>
        <w:jc w:val="left"/>
        <w:textAlignment w:val="bottom"/>
        <w:rPr>
          <w:rFonts w:hint="eastAsia" w:ascii="宋体" w:hAnsi="宋体" w:eastAsia="宋体" w:cs="宋体"/>
          <w:b/>
          <w:color w:val="auto"/>
          <w:szCs w:val="22"/>
          <w:highlight w:val="none"/>
          <w:lang w:eastAsia="zh-CN"/>
        </w:rPr>
      </w:pPr>
      <w:r>
        <w:rPr>
          <w:rFonts w:hint="eastAsia" w:ascii="宋体" w:hAnsi="宋体" w:cs="宋体"/>
          <w:b/>
          <w:color w:val="auto"/>
          <w:szCs w:val="22"/>
          <w:highlight w:val="none"/>
          <w:lang w:eastAsia="zh-CN"/>
        </w:rPr>
        <w:t>绿化养护的</w:t>
      </w:r>
      <w:r>
        <w:rPr>
          <w:rFonts w:hint="eastAsia" w:ascii="宋体" w:hAnsi="宋体" w:eastAsia="宋体" w:cs="宋体"/>
          <w:b/>
          <w:color w:val="auto"/>
          <w:szCs w:val="22"/>
          <w:highlight w:val="none"/>
        </w:rPr>
        <w:t>要求</w:t>
      </w:r>
      <w:r>
        <w:rPr>
          <w:rFonts w:hint="eastAsia" w:ascii="宋体" w:hAnsi="宋体" w:cs="宋体"/>
          <w:b/>
          <w:color w:val="auto"/>
          <w:szCs w:val="22"/>
          <w:highlight w:val="none"/>
          <w:lang w:eastAsia="zh-CN"/>
        </w:rPr>
        <w:t>（按业主要求进场）</w:t>
      </w:r>
    </w:p>
    <w:p w14:paraId="134033F7">
      <w:pPr>
        <w:spacing w:line="440" w:lineRule="exact"/>
        <w:ind w:firstLine="431" w:firstLineChars="196"/>
        <w:rPr>
          <w:rFonts w:hint="eastAsia" w:ascii="宋体" w:hAnsi="宋体" w:eastAsia="宋体" w:cs="宋体"/>
          <w:color w:val="auto"/>
          <w:szCs w:val="22"/>
          <w:highlight w:val="none"/>
        </w:rPr>
      </w:pPr>
      <w:r>
        <w:rPr>
          <w:rFonts w:hint="eastAsia" w:ascii="宋体" w:hAnsi="宋体" w:eastAsia="宋体" w:cs="宋体"/>
          <w:color w:val="auto"/>
          <w:kern w:val="0"/>
          <w:szCs w:val="22"/>
          <w:highlight w:val="none"/>
        </w:rPr>
        <w:t>承包养护期限内，</w:t>
      </w:r>
      <w:r>
        <w:rPr>
          <w:rFonts w:hint="eastAsia" w:ascii="宋体" w:hAnsi="宋体" w:eastAsia="宋体" w:cs="宋体"/>
          <w:color w:val="auto"/>
          <w:szCs w:val="22"/>
          <w:highlight w:val="none"/>
        </w:rPr>
        <w:t>必须加强对百里平水公园绿化养护的管理，</w:t>
      </w:r>
      <w:r>
        <w:rPr>
          <w:rFonts w:hint="eastAsia" w:ascii="宋体" w:hAnsi="宋体" w:cs="宋体"/>
          <w:color w:val="auto"/>
          <w:szCs w:val="22"/>
          <w:highlight w:val="none"/>
          <w:lang w:eastAsia="zh-CN"/>
        </w:rPr>
        <w:t>按需</w:t>
      </w:r>
      <w:r>
        <w:rPr>
          <w:rFonts w:hint="eastAsia" w:ascii="宋体" w:hAnsi="宋体" w:eastAsia="宋体" w:cs="宋体"/>
          <w:color w:val="auto"/>
          <w:szCs w:val="22"/>
          <w:highlight w:val="none"/>
        </w:rPr>
        <w:t>除草、培土、浇水、施肥、预防病虫害等，</w:t>
      </w:r>
      <w:r>
        <w:rPr>
          <w:rFonts w:hint="eastAsia" w:ascii="宋体" w:hAnsi="宋体" w:eastAsia="宋体" w:cs="宋体"/>
          <w:color w:val="auto"/>
          <w:kern w:val="0"/>
          <w:szCs w:val="22"/>
          <w:highlight w:val="none"/>
        </w:rPr>
        <w:t>严格按照</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"http://testjx004.anyp.com/product/index.aspx"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2"/>
          <w:highlight w:val="none"/>
        </w:rPr>
        <w:t>园林绿化</w:t>
      </w:r>
      <w:r>
        <w:rPr>
          <w:rFonts w:hint="eastAsia" w:ascii="宋体" w:hAnsi="宋体" w:eastAsia="宋体" w:cs="宋体"/>
          <w:color w:val="auto"/>
          <w:kern w:val="0"/>
          <w:szCs w:val="22"/>
          <w:highlight w:val="none"/>
        </w:rPr>
        <w:fldChar w:fldCharType="end"/>
      </w:r>
      <w:r>
        <w:rPr>
          <w:rFonts w:hint="eastAsia" w:ascii="宋体" w:hAnsi="宋体" w:eastAsia="宋体" w:cs="宋体"/>
          <w:color w:val="auto"/>
          <w:kern w:val="0"/>
          <w:szCs w:val="22"/>
          <w:highlight w:val="none"/>
        </w:rPr>
        <w:t>养护操作规程及</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"http://testjx004.anyp.com/product"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2"/>
          <w:highlight w:val="none"/>
        </w:rPr>
        <w:t>园林</w:t>
      </w:r>
      <w:r>
        <w:rPr>
          <w:rFonts w:hint="eastAsia" w:ascii="宋体" w:hAnsi="宋体" w:eastAsia="宋体" w:cs="宋体"/>
          <w:color w:val="auto"/>
          <w:kern w:val="0"/>
          <w:szCs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"http://testjx004.anyp.com/product"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2"/>
          <w:highlight w:val="none"/>
        </w:rPr>
        <w:t>绿化</w:t>
      </w:r>
      <w:r>
        <w:rPr>
          <w:rFonts w:hint="eastAsia" w:ascii="宋体" w:hAnsi="宋体" w:eastAsia="宋体" w:cs="宋体"/>
          <w:color w:val="auto"/>
          <w:kern w:val="0"/>
          <w:szCs w:val="22"/>
          <w:highlight w:val="none"/>
        </w:rPr>
        <w:fldChar w:fldCharType="end"/>
      </w:r>
      <w:r>
        <w:rPr>
          <w:rFonts w:hint="eastAsia" w:ascii="宋体" w:hAnsi="宋体" w:eastAsia="宋体" w:cs="宋体"/>
          <w:color w:val="auto"/>
          <w:kern w:val="0"/>
          <w:szCs w:val="22"/>
          <w:highlight w:val="none"/>
        </w:rPr>
        <w:t>养护质量标准，合理组织，精心养护</w:t>
      </w:r>
      <w:r>
        <w:rPr>
          <w:rFonts w:hint="eastAsia" w:ascii="宋体" w:hAnsi="宋体" w:eastAsia="宋体" w:cs="宋体"/>
          <w:color w:val="auto"/>
          <w:szCs w:val="22"/>
          <w:highlight w:val="none"/>
        </w:rPr>
        <w:t>，保证植物健康成长。</w:t>
      </w:r>
      <w:r>
        <w:rPr>
          <w:rFonts w:hint="eastAsia" w:ascii="宋体" w:hAnsi="宋体" w:cs="宋体"/>
          <w:color w:val="auto"/>
          <w:szCs w:val="22"/>
          <w:highlight w:val="none"/>
          <w:lang w:eastAsia="zh-CN"/>
        </w:rPr>
        <w:t>项目负责人</w:t>
      </w:r>
      <w:r>
        <w:rPr>
          <w:rFonts w:hint="eastAsia" w:ascii="宋体" w:hAnsi="宋体" w:eastAsia="宋体" w:cs="宋体"/>
          <w:color w:val="auto"/>
          <w:szCs w:val="22"/>
          <w:highlight w:val="none"/>
        </w:rPr>
        <w:t>勤检查、细观察，发现</w:t>
      </w:r>
      <w:r>
        <w:rPr>
          <w:rFonts w:hint="eastAsia" w:ascii="宋体" w:hAnsi="宋体" w:cs="宋体"/>
          <w:color w:val="auto"/>
          <w:szCs w:val="22"/>
          <w:highlight w:val="none"/>
          <w:lang w:eastAsia="zh-CN"/>
        </w:rPr>
        <w:t>病虫害</w:t>
      </w:r>
      <w:r>
        <w:rPr>
          <w:rFonts w:hint="eastAsia" w:ascii="宋体" w:hAnsi="宋体" w:eastAsia="宋体" w:cs="宋体"/>
          <w:color w:val="auto"/>
          <w:szCs w:val="22"/>
          <w:highlight w:val="none"/>
        </w:rPr>
        <w:t>要马上报告，及时防治，以免延误治理时机，造成病虫害蔓延。</w:t>
      </w:r>
      <w:r>
        <w:rPr>
          <w:rFonts w:hint="eastAsia" w:ascii="宋体" w:hAnsi="宋体" w:eastAsia="宋体" w:cs="宋体"/>
          <w:color w:val="auto"/>
          <w:kern w:val="0"/>
          <w:szCs w:val="22"/>
          <w:highlight w:val="none"/>
        </w:rPr>
        <w:t>并派出专业的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"http://testjx004.anyp.com/product/index.aspx"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2"/>
          <w:highlight w:val="none"/>
        </w:rPr>
        <w:t>园艺</w:t>
      </w:r>
      <w:r>
        <w:rPr>
          <w:rFonts w:hint="eastAsia" w:ascii="宋体" w:hAnsi="宋体" w:eastAsia="宋体" w:cs="宋体"/>
          <w:color w:val="auto"/>
          <w:kern w:val="0"/>
          <w:szCs w:val="22"/>
          <w:highlight w:val="none"/>
        </w:rPr>
        <w:fldChar w:fldCharType="end"/>
      </w:r>
      <w:r>
        <w:rPr>
          <w:rFonts w:hint="eastAsia" w:ascii="宋体" w:hAnsi="宋体" w:eastAsia="宋体" w:cs="宋体"/>
          <w:color w:val="auto"/>
          <w:kern w:val="0"/>
          <w:szCs w:val="22"/>
          <w:highlight w:val="none"/>
        </w:rPr>
        <w:t>师组织指导安排管护工作，并根据各个季节天气及</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"http://testjx004.anyp.com/product/index.aspx"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2"/>
          <w:highlight w:val="none"/>
        </w:rPr>
        <w:t>植物</w:t>
      </w:r>
      <w:r>
        <w:rPr>
          <w:rFonts w:hint="eastAsia" w:ascii="宋体" w:hAnsi="宋体" w:eastAsia="宋体" w:cs="宋体"/>
          <w:color w:val="auto"/>
          <w:kern w:val="0"/>
          <w:szCs w:val="22"/>
          <w:highlight w:val="none"/>
        </w:rPr>
        <w:fldChar w:fldCharType="end"/>
      </w:r>
      <w:r>
        <w:rPr>
          <w:rFonts w:hint="eastAsia" w:ascii="宋体" w:hAnsi="宋体" w:eastAsia="宋体" w:cs="宋体"/>
          <w:color w:val="auto"/>
          <w:kern w:val="0"/>
          <w:szCs w:val="22"/>
          <w:highlight w:val="none"/>
        </w:rPr>
        <w:t>生长情况灵活派出有经验的工人，保质保量完成养护。</w:t>
      </w:r>
      <w:r>
        <w:rPr>
          <w:rFonts w:hint="eastAsia" w:ascii="宋体" w:hAnsi="宋体" w:eastAsia="宋体" w:cs="宋体"/>
          <w:color w:val="auto"/>
          <w:szCs w:val="22"/>
          <w:highlight w:val="none"/>
        </w:rPr>
        <w:t>投标方喷洒药物，应有明确标识，以防事故发生。投标方在养护管理过程中出现人身伤亡等一切事故，由投标方负责。投标方在养护期间必须完成招标方所交代的相关其他任务。</w:t>
      </w:r>
    </w:p>
    <w:p w14:paraId="5A81F50D">
      <w:pPr>
        <w:spacing w:line="440" w:lineRule="exact"/>
        <w:ind w:firstLine="431" w:firstLineChars="196"/>
        <w:rPr>
          <w:rFonts w:hint="eastAsia" w:ascii="宋体" w:hAnsi="宋体" w:eastAsia="宋体" w:cs="宋体"/>
          <w:color w:val="auto"/>
          <w:szCs w:val="22"/>
          <w:highlight w:val="none"/>
        </w:rPr>
      </w:pPr>
      <w:r>
        <w:rPr>
          <w:rFonts w:hint="eastAsia" w:ascii="宋体" w:hAnsi="宋体" w:eastAsia="宋体" w:cs="宋体"/>
          <w:color w:val="auto"/>
          <w:szCs w:val="22"/>
          <w:highlight w:val="none"/>
        </w:rPr>
        <w:t>台风前要加强管理，树木要合理疏剪，要设护树架并加固，以增强抵御台风的能力。</w:t>
      </w:r>
    </w:p>
    <w:p w14:paraId="10E4FF2A">
      <w:pPr>
        <w:spacing w:line="440" w:lineRule="exact"/>
        <w:ind w:firstLine="431" w:firstLineChars="196"/>
        <w:rPr>
          <w:rFonts w:hint="eastAsia"/>
          <w:color w:val="auto"/>
          <w:highlight w:val="none"/>
        </w:rPr>
      </w:pPr>
      <w:r>
        <w:rPr>
          <w:rFonts w:hint="eastAsia" w:ascii="宋体" w:hAnsi="宋体" w:eastAsia="宋体" w:cs="宋体"/>
          <w:color w:val="auto"/>
          <w:szCs w:val="22"/>
          <w:highlight w:val="none"/>
        </w:rPr>
        <w:t>台风期间要迅速清除倒树断枝，台风后要做好扶树工作，补好残缺的树木，使景观尽快恢复。</w:t>
      </w:r>
    </w:p>
    <w:p w14:paraId="3B3331D0">
      <w:pPr>
        <w:spacing w:line="400" w:lineRule="exact"/>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在寒潮来临时，要及时提供好防寒防冻材料并做好防冻防寒保护措施，如因保护不到位树木受到损害，要负责赔偿。</w:t>
      </w:r>
    </w:p>
    <w:p w14:paraId="4FEAFA77">
      <w:pPr>
        <w:spacing w:line="400" w:lineRule="exact"/>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投标人的维护人员必须服从采购人的统一安排与领导。</w:t>
      </w:r>
    </w:p>
    <w:p w14:paraId="2EEB932C">
      <w:pPr>
        <w:spacing w:line="400" w:lineRule="exact"/>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如遇重大节日</w:t>
      </w:r>
      <w:r>
        <w:rPr>
          <w:rFonts w:hint="eastAsia" w:ascii="宋体" w:hAnsi="宋体" w:cs="宋体"/>
          <w:color w:val="auto"/>
          <w:szCs w:val="22"/>
          <w:highlight w:val="none"/>
          <w:lang w:eastAsia="zh-CN"/>
        </w:rPr>
        <w:t>、临检</w:t>
      </w:r>
      <w:r>
        <w:rPr>
          <w:rFonts w:hint="eastAsia" w:ascii="宋体" w:hAnsi="宋体" w:eastAsia="宋体" w:cs="宋体"/>
          <w:color w:val="auto"/>
          <w:szCs w:val="22"/>
          <w:highlight w:val="none"/>
        </w:rPr>
        <w:t>等需根据采购人调配进行相应养护任务。</w:t>
      </w:r>
    </w:p>
    <w:p w14:paraId="7A7C229A">
      <w:pPr>
        <w:spacing w:line="400" w:lineRule="exact"/>
        <w:ind w:firstLine="480"/>
        <w:rPr>
          <w:rFonts w:hint="eastAsia" w:ascii="宋体" w:hAnsi="宋体" w:eastAsia="宋体" w:cs="宋体"/>
          <w:b/>
          <w:bCs/>
          <w:color w:val="auto"/>
          <w:szCs w:val="22"/>
          <w:highlight w:val="none"/>
        </w:rPr>
      </w:pPr>
      <w:r>
        <w:rPr>
          <w:rFonts w:hint="eastAsia" w:ascii="宋体" w:hAnsi="宋体" w:eastAsia="宋体" w:cs="宋体"/>
          <w:color w:val="auto"/>
          <w:szCs w:val="22"/>
          <w:highlight w:val="none"/>
        </w:rPr>
        <w:t>本养护维护项目范围内养护用水、用电由中标投标人自理，并按时交纳水电费，采购人积极提供便利。养护用电用水将单独装表计量，按市场价结算。</w:t>
      </w:r>
    </w:p>
    <w:p w14:paraId="5285D3D7">
      <w:pPr>
        <w:pStyle w:val="51"/>
        <w:rPr>
          <w:rFonts w:hint="eastAsia" w:ascii="宋体" w:hAnsi="宋体" w:eastAsia="宋体" w:cs="宋体"/>
          <w:color w:val="auto"/>
          <w:highlight w:val="none"/>
        </w:rPr>
      </w:pPr>
      <w:r>
        <w:rPr>
          <w:rFonts w:hint="eastAsia" w:ascii="宋体" w:hAnsi="宋体" w:eastAsia="宋体" w:cs="宋体"/>
          <w:b/>
          <w:bCs/>
          <w:color w:val="auto"/>
          <w:szCs w:val="22"/>
          <w:highlight w:val="none"/>
        </w:rPr>
        <w:t>（四）投入的日常管理人员及设备数量最低配置要求</w:t>
      </w:r>
    </w:p>
    <w:p w14:paraId="731CD2DE">
      <w:pPr>
        <w:autoSpaceDE w:val="0"/>
        <w:autoSpaceDN w:val="0"/>
        <w:adjustRightInd w:val="0"/>
        <w:spacing w:line="500" w:lineRule="exact"/>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1、日常管理人员数量最低配置要求</w:t>
      </w:r>
    </w:p>
    <w:p w14:paraId="33D280D7">
      <w:pPr>
        <w:autoSpaceDE w:val="0"/>
        <w:autoSpaceDN w:val="0"/>
        <w:adjustRightInd w:val="0"/>
        <w:spacing w:line="480" w:lineRule="auto"/>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日常管理人员数量最低配置要求表（单位：人）</w:t>
      </w:r>
    </w:p>
    <w:tbl>
      <w:tblPr>
        <w:tblStyle w:val="32"/>
        <w:tblW w:w="101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5"/>
        <w:gridCol w:w="1608"/>
        <w:gridCol w:w="1635"/>
        <w:gridCol w:w="1495"/>
        <w:gridCol w:w="1785"/>
        <w:gridCol w:w="1238"/>
        <w:gridCol w:w="1134"/>
      </w:tblGrid>
      <w:tr w14:paraId="568DB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245" w:type="dxa"/>
            <w:vMerge w:val="restart"/>
            <w:vAlign w:val="center"/>
          </w:tcPr>
          <w:p w14:paraId="2DA58B0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标项名称</w:t>
            </w:r>
          </w:p>
        </w:tc>
        <w:tc>
          <w:tcPr>
            <w:tcW w:w="6523" w:type="dxa"/>
            <w:gridSpan w:val="4"/>
            <w:tcBorders>
              <w:top w:val="single" w:color="auto" w:sz="4" w:space="0"/>
            </w:tcBorders>
            <w:vAlign w:val="center"/>
          </w:tcPr>
          <w:p w14:paraId="242B7DE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一线作业人员（人）</w:t>
            </w:r>
          </w:p>
        </w:tc>
        <w:tc>
          <w:tcPr>
            <w:tcW w:w="1238" w:type="dxa"/>
            <w:vMerge w:val="restart"/>
            <w:vAlign w:val="center"/>
          </w:tcPr>
          <w:p w14:paraId="65D3BFF0">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项目负责人</w:t>
            </w:r>
          </w:p>
        </w:tc>
        <w:tc>
          <w:tcPr>
            <w:tcW w:w="1134" w:type="dxa"/>
            <w:vMerge w:val="restart"/>
            <w:vAlign w:val="center"/>
          </w:tcPr>
          <w:p w14:paraId="077752A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人员</w:t>
            </w:r>
          </w:p>
          <w:p w14:paraId="07AB6D5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合计</w:t>
            </w:r>
          </w:p>
        </w:tc>
      </w:tr>
      <w:tr w14:paraId="01CBF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245" w:type="dxa"/>
            <w:vMerge w:val="continue"/>
          </w:tcPr>
          <w:p w14:paraId="16D7DAAC">
            <w:pPr>
              <w:autoSpaceDE w:val="0"/>
              <w:autoSpaceDN w:val="0"/>
              <w:adjustRightInd w:val="0"/>
              <w:jc w:val="left"/>
              <w:rPr>
                <w:rFonts w:hint="eastAsia" w:ascii="宋体" w:hAnsi="宋体" w:eastAsia="宋体" w:cs="宋体"/>
                <w:color w:val="auto"/>
                <w:kern w:val="0"/>
                <w:szCs w:val="22"/>
                <w:highlight w:val="none"/>
              </w:rPr>
            </w:pPr>
          </w:p>
        </w:tc>
        <w:tc>
          <w:tcPr>
            <w:tcW w:w="1608" w:type="dxa"/>
            <w:tcBorders>
              <w:right w:val="single" w:color="auto" w:sz="4" w:space="0"/>
            </w:tcBorders>
            <w:vAlign w:val="center"/>
          </w:tcPr>
          <w:p w14:paraId="71ECAF54">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河道保洁人员</w:t>
            </w:r>
          </w:p>
        </w:tc>
        <w:tc>
          <w:tcPr>
            <w:tcW w:w="1635" w:type="dxa"/>
            <w:tcBorders>
              <w:left w:val="single" w:color="auto" w:sz="4" w:space="0"/>
              <w:right w:val="single" w:color="auto" w:sz="4" w:space="0"/>
            </w:tcBorders>
            <w:vAlign w:val="center"/>
          </w:tcPr>
          <w:p w14:paraId="200F2839">
            <w:pPr>
              <w:jc w:val="center"/>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陆域</w:t>
            </w:r>
            <w:r>
              <w:rPr>
                <w:rFonts w:hint="eastAsia" w:ascii="宋体" w:hAnsi="宋体" w:eastAsia="宋体" w:cs="宋体"/>
                <w:color w:val="auto"/>
                <w:szCs w:val="22"/>
                <w:highlight w:val="none"/>
              </w:rPr>
              <w:t>保洁人员</w:t>
            </w:r>
          </w:p>
        </w:tc>
        <w:tc>
          <w:tcPr>
            <w:tcW w:w="1495" w:type="dxa"/>
            <w:tcBorders>
              <w:left w:val="single" w:color="auto" w:sz="4" w:space="0"/>
              <w:right w:val="single" w:color="auto" w:sz="4" w:space="0"/>
            </w:tcBorders>
            <w:shd w:val="clear" w:color="auto" w:fill="auto"/>
            <w:vAlign w:val="center"/>
          </w:tcPr>
          <w:p w14:paraId="4E53C066">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Cs w:val="22"/>
                <w:highlight w:val="none"/>
              </w:rPr>
              <w:t>电工</w:t>
            </w:r>
          </w:p>
        </w:tc>
        <w:tc>
          <w:tcPr>
            <w:tcW w:w="1785" w:type="dxa"/>
            <w:tcBorders>
              <w:left w:val="single" w:color="auto" w:sz="4" w:space="0"/>
            </w:tcBorders>
            <w:shd w:val="clear" w:color="auto" w:fill="auto"/>
            <w:vAlign w:val="center"/>
          </w:tcPr>
          <w:p w14:paraId="3839EE34">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堤防检查和观测人员</w:t>
            </w:r>
          </w:p>
        </w:tc>
        <w:tc>
          <w:tcPr>
            <w:tcW w:w="1238" w:type="dxa"/>
            <w:vMerge w:val="continue"/>
          </w:tcPr>
          <w:p w14:paraId="21741DE1">
            <w:pPr>
              <w:autoSpaceDE w:val="0"/>
              <w:autoSpaceDN w:val="0"/>
              <w:adjustRightInd w:val="0"/>
              <w:jc w:val="left"/>
              <w:rPr>
                <w:rFonts w:hint="eastAsia" w:ascii="宋体" w:hAnsi="宋体" w:eastAsia="宋体" w:cs="宋体"/>
                <w:color w:val="auto"/>
                <w:kern w:val="0"/>
                <w:szCs w:val="22"/>
                <w:highlight w:val="none"/>
              </w:rPr>
            </w:pPr>
          </w:p>
        </w:tc>
        <w:tc>
          <w:tcPr>
            <w:tcW w:w="1134" w:type="dxa"/>
            <w:vMerge w:val="continue"/>
          </w:tcPr>
          <w:p w14:paraId="7EAB042C">
            <w:pPr>
              <w:autoSpaceDE w:val="0"/>
              <w:autoSpaceDN w:val="0"/>
              <w:adjustRightInd w:val="0"/>
              <w:jc w:val="left"/>
              <w:rPr>
                <w:rFonts w:hint="eastAsia" w:ascii="宋体" w:hAnsi="宋体" w:eastAsia="宋体" w:cs="宋体"/>
                <w:color w:val="auto"/>
                <w:kern w:val="0"/>
                <w:szCs w:val="22"/>
                <w:highlight w:val="none"/>
              </w:rPr>
            </w:pPr>
          </w:p>
        </w:tc>
      </w:tr>
      <w:tr w14:paraId="5E796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245" w:type="dxa"/>
            <w:vAlign w:val="center"/>
          </w:tcPr>
          <w:p w14:paraId="08FA01D9">
            <w:pPr>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val="en-US" w:eastAsia="zh-CN"/>
              </w:rPr>
              <w:t>/</w:t>
            </w:r>
          </w:p>
        </w:tc>
        <w:tc>
          <w:tcPr>
            <w:tcW w:w="1608" w:type="dxa"/>
            <w:tcBorders>
              <w:right w:val="single" w:color="auto" w:sz="4" w:space="0"/>
            </w:tcBorders>
            <w:vAlign w:val="center"/>
          </w:tcPr>
          <w:p w14:paraId="7A2593BC">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5</w:t>
            </w:r>
          </w:p>
        </w:tc>
        <w:tc>
          <w:tcPr>
            <w:tcW w:w="1635" w:type="dxa"/>
            <w:tcBorders>
              <w:left w:val="single" w:color="auto" w:sz="4" w:space="0"/>
              <w:right w:val="single" w:color="auto" w:sz="4" w:space="0"/>
            </w:tcBorders>
            <w:vAlign w:val="center"/>
          </w:tcPr>
          <w:p w14:paraId="0EA18315">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en-US" w:eastAsia="zh-CN"/>
              </w:rPr>
              <w:t>0</w:t>
            </w:r>
          </w:p>
        </w:tc>
        <w:tc>
          <w:tcPr>
            <w:tcW w:w="1495" w:type="dxa"/>
            <w:tcBorders>
              <w:left w:val="single" w:color="auto" w:sz="4" w:space="0"/>
              <w:right w:val="single" w:color="auto" w:sz="4" w:space="0"/>
            </w:tcBorders>
            <w:shd w:val="clear" w:color="auto" w:fill="auto"/>
            <w:vAlign w:val="center"/>
          </w:tcPr>
          <w:p w14:paraId="451624DF">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Cs w:val="22"/>
                <w:highlight w:val="none"/>
              </w:rPr>
              <w:t>1</w:t>
            </w:r>
          </w:p>
        </w:tc>
        <w:tc>
          <w:tcPr>
            <w:tcW w:w="1785" w:type="dxa"/>
            <w:tcBorders>
              <w:left w:val="single" w:color="auto" w:sz="4" w:space="0"/>
            </w:tcBorders>
            <w:shd w:val="clear" w:color="auto" w:fill="auto"/>
            <w:vAlign w:val="center"/>
          </w:tcPr>
          <w:p w14:paraId="4D85E3CC">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38" w:type="dxa"/>
            <w:vAlign w:val="center"/>
          </w:tcPr>
          <w:p w14:paraId="2480DBC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134" w:type="dxa"/>
            <w:vAlign w:val="center"/>
          </w:tcPr>
          <w:p w14:paraId="7E7B625C">
            <w:pPr>
              <w:jc w:val="center"/>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19</w:t>
            </w:r>
          </w:p>
        </w:tc>
      </w:tr>
      <w:tr w14:paraId="205EE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3" w:hRule="atLeast"/>
          <w:jc w:val="center"/>
        </w:trPr>
        <w:tc>
          <w:tcPr>
            <w:tcW w:w="10140" w:type="dxa"/>
            <w:gridSpan w:val="7"/>
            <w:vAlign w:val="center"/>
          </w:tcPr>
          <w:p w14:paraId="67FD8A56">
            <w:pPr>
              <w:spacing w:line="360" w:lineRule="exact"/>
              <w:rPr>
                <w:rFonts w:hint="eastAsia" w:ascii="宋体" w:hAnsi="宋体" w:eastAsia="宋体" w:cs="宋体"/>
                <w:b/>
                <w:color w:val="auto"/>
                <w:sz w:val="20"/>
                <w:highlight w:val="none"/>
              </w:rPr>
            </w:pPr>
            <w:r>
              <w:rPr>
                <w:rFonts w:hint="eastAsia" w:ascii="宋体" w:hAnsi="宋体" w:eastAsia="宋体" w:cs="宋体"/>
                <w:color w:val="auto"/>
                <w:sz w:val="20"/>
                <w:highlight w:val="none"/>
              </w:rPr>
              <w:t>▲</w:t>
            </w:r>
            <w:r>
              <w:rPr>
                <w:rFonts w:hint="eastAsia" w:ascii="宋体" w:hAnsi="宋体" w:eastAsia="宋体" w:cs="宋体"/>
                <w:b/>
                <w:color w:val="auto"/>
                <w:sz w:val="20"/>
                <w:highlight w:val="none"/>
              </w:rPr>
              <w:t>1、</w:t>
            </w:r>
            <w:r>
              <w:rPr>
                <w:rFonts w:hint="eastAsia" w:ascii="宋体" w:hAnsi="宋体" w:eastAsia="宋体" w:cs="宋体"/>
                <w:b/>
                <w:color w:val="auto"/>
                <w:kern w:val="0"/>
                <w:sz w:val="21"/>
                <w:szCs w:val="21"/>
                <w:highlight w:val="none"/>
              </w:rPr>
              <w:t>上述各类岗位人员最低配置数量是根据现行实际投入数量结合本次项目未来发展的实际需要确定，为确保中标单位的服务质量，投标供应商投标方案中配置的各类岗位人员数量不得低于上表要求，否则，投标无效。</w:t>
            </w:r>
          </w:p>
          <w:p w14:paraId="04B0FEEE">
            <w:pPr>
              <w:spacing w:line="27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2、人员配置说明及要求：</w:t>
            </w:r>
          </w:p>
          <w:p w14:paraId="1530A357">
            <w:pPr>
              <w:spacing w:line="27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（1）上述人员包括“一线作业人员”和“项目负责人”。除已有说明外，均应专岗负责，不得兼任其他工作。 </w:t>
            </w:r>
          </w:p>
          <w:p w14:paraId="05F700E6">
            <w:pPr>
              <w:spacing w:line="27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（2）“项目负责人”（已单列）按上表单独配置，专岗负责，不得兼任作业工作。 </w:t>
            </w:r>
          </w:p>
          <w:p w14:paraId="6FEA252F">
            <w:pPr>
              <w:spacing w:line="27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（3）项目负责人具体工作安排按业主根据实际要求调配，每月出勤率不少于22天。</w:t>
            </w:r>
          </w:p>
          <w:p w14:paraId="04A16DAB">
            <w:pPr>
              <w:spacing w:line="27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（4）保洁员具体工作安排按业主根据实际要求调配。</w:t>
            </w:r>
          </w:p>
          <w:p w14:paraId="290748B6">
            <w:pPr>
              <w:pStyle w:val="51"/>
              <w:spacing w:line="27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cs="宋体"/>
                <w:color w:val="auto"/>
                <w:szCs w:val="22"/>
                <w:highlight w:val="none"/>
                <w:lang w:val="en-US" w:eastAsia="zh-CN"/>
              </w:rPr>
              <w:t>5</w:t>
            </w:r>
            <w:r>
              <w:rPr>
                <w:rFonts w:hint="eastAsia" w:ascii="宋体" w:hAnsi="宋体" w:eastAsia="宋体" w:cs="宋体"/>
                <w:color w:val="auto"/>
                <w:szCs w:val="22"/>
                <w:highlight w:val="none"/>
              </w:rPr>
              <w:t>）堤防检查和观测人员中须配备一名水工监测工（持上岗证）。</w:t>
            </w:r>
          </w:p>
          <w:p w14:paraId="014A9AD4">
            <w:pPr>
              <w:spacing w:line="36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cs="宋体"/>
                <w:color w:val="auto"/>
                <w:szCs w:val="22"/>
                <w:highlight w:val="none"/>
                <w:lang w:val="en-US" w:eastAsia="zh-CN"/>
              </w:rPr>
              <w:t>6</w:t>
            </w:r>
            <w:r>
              <w:rPr>
                <w:rFonts w:hint="eastAsia" w:ascii="宋体" w:hAnsi="宋体" w:eastAsia="宋体" w:cs="宋体"/>
                <w:color w:val="auto"/>
                <w:szCs w:val="22"/>
                <w:highlight w:val="none"/>
              </w:rPr>
              <w:t>）电工（具有电工证，须持上岗证）。</w:t>
            </w:r>
          </w:p>
          <w:p w14:paraId="7088D7C5">
            <w:pPr>
              <w:spacing w:line="360" w:lineRule="exact"/>
              <w:rPr>
                <w:rFonts w:hint="default" w:ascii="宋体" w:hAnsi="宋体" w:eastAsia="宋体" w:cs="宋体"/>
                <w:b w:val="0"/>
                <w:color w:val="auto"/>
                <w:spacing w:val="0"/>
                <w:kern w:val="2"/>
                <w:sz w:val="22"/>
                <w:szCs w:val="22"/>
                <w:highlight w:val="none"/>
                <w:lang w:val="en-US" w:eastAsia="zh-CN" w:bidi="ar-SA"/>
              </w:rPr>
            </w:pPr>
            <w:r>
              <w:rPr>
                <w:rFonts w:hint="eastAsia" w:ascii="宋体" w:hAnsi="宋体" w:eastAsia="宋体" w:cs="宋体"/>
                <w:b w:val="0"/>
                <w:color w:val="auto"/>
                <w:spacing w:val="0"/>
                <w:kern w:val="2"/>
                <w:sz w:val="22"/>
                <w:szCs w:val="22"/>
                <w:highlight w:val="none"/>
                <w:lang w:val="en-US" w:eastAsia="zh-CN" w:bidi="ar-SA"/>
              </w:rPr>
              <w:t>（</w:t>
            </w:r>
            <w:r>
              <w:rPr>
                <w:rFonts w:hint="eastAsia" w:ascii="宋体" w:hAnsi="宋体" w:cs="宋体"/>
                <w:b w:val="0"/>
                <w:color w:val="auto"/>
                <w:spacing w:val="0"/>
                <w:kern w:val="2"/>
                <w:sz w:val="22"/>
                <w:szCs w:val="22"/>
                <w:highlight w:val="none"/>
                <w:lang w:val="en-US" w:eastAsia="zh-CN" w:bidi="ar-SA"/>
              </w:rPr>
              <w:t>7</w:t>
            </w:r>
            <w:r>
              <w:rPr>
                <w:rFonts w:hint="eastAsia" w:ascii="宋体" w:hAnsi="宋体" w:eastAsia="宋体" w:cs="宋体"/>
                <w:b w:val="0"/>
                <w:color w:val="auto"/>
                <w:spacing w:val="0"/>
                <w:kern w:val="2"/>
                <w:sz w:val="22"/>
                <w:szCs w:val="22"/>
                <w:highlight w:val="none"/>
                <w:lang w:val="en-US" w:eastAsia="zh-CN" w:bidi="ar-SA"/>
              </w:rPr>
              <w:t>）</w:t>
            </w:r>
            <w:r>
              <w:rPr>
                <w:rFonts w:hint="eastAsia" w:ascii="宋体" w:hAnsi="宋体" w:cs="宋体"/>
                <w:b w:val="0"/>
                <w:color w:val="auto"/>
                <w:spacing w:val="0"/>
                <w:kern w:val="2"/>
                <w:sz w:val="22"/>
                <w:szCs w:val="22"/>
                <w:highlight w:val="none"/>
                <w:lang w:val="en-US" w:eastAsia="zh-CN" w:bidi="ar-SA"/>
              </w:rPr>
              <w:t>河道保洁人员必须会游泳，且年龄小于60周岁。</w:t>
            </w:r>
          </w:p>
          <w:p w14:paraId="177D2FFB">
            <w:pPr>
              <w:spacing w:line="360" w:lineRule="exact"/>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w:t>
            </w:r>
            <w:r>
              <w:rPr>
                <w:rFonts w:hint="eastAsia" w:ascii="宋体" w:hAnsi="宋体" w:cs="宋体"/>
                <w:b/>
                <w:bCs/>
                <w:color w:val="auto"/>
                <w:szCs w:val="22"/>
                <w:highlight w:val="none"/>
                <w:lang w:val="en-US" w:eastAsia="zh-CN"/>
              </w:rPr>
              <w:t>8</w:t>
            </w:r>
            <w:r>
              <w:rPr>
                <w:rFonts w:hint="eastAsia" w:ascii="宋体" w:hAnsi="宋体" w:eastAsia="宋体" w:cs="宋体"/>
                <w:b/>
                <w:bCs/>
                <w:color w:val="auto"/>
                <w:szCs w:val="22"/>
                <w:highlight w:val="none"/>
              </w:rPr>
              <w:t>）投标供应商如认为有必要，可以在上表基础上自行增加相应人员数量，所需的费用包含在投标总价中，合同签订时按投标文件配置的数量落实。</w:t>
            </w:r>
          </w:p>
          <w:p w14:paraId="7876AE70">
            <w:pPr>
              <w:spacing w:line="27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3、为了确保项目的顺利交接和及时进场，中标单位在落实作业人员时应优先考虑接收有经验的作业人员，严禁招聘超龄人员、未成年人员以及无自主劳动能力的人员。</w:t>
            </w:r>
          </w:p>
          <w:p w14:paraId="154D3BED">
            <w:pPr>
              <w:spacing w:line="276" w:lineRule="auto"/>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4、合同期内中标单位所属人员及采购人委派的管理人员如发生各种意外事故（包括给第三方造成损害）全部责任由中标单位承担，依照法律法规妥善处理。</w:t>
            </w:r>
          </w:p>
        </w:tc>
      </w:tr>
    </w:tbl>
    <w:p w14:paraId="261FCF98">
      <w:pPr>
        <w:rPr>
          <w:rFonts w:hint="eastAsia" w:ascii="宋体" w:eastAsia="宋体"/>
          <w:b/>
          <w:bCs/>
          <w:color w:val="auto"/>
          <w:sz w:val="22"/>
          <w:szCs w:val="22"/>
          <w:highlight w:val="none"/>
        </w:rPr>
      </w:pPr>
      <w:r>
        <w:rPr>
          <w:rFonts w:hint="eastAsia" w:ascii="宋体" w:eastAsia="宋体"/>
          <w:b/>
          <w:bCs/>
          <w:color w:val="auto"/>
          <w:sz w:val="22"/>
          <w:szCs w:val="22"/>
          <w:highlight w:val="none"/>
        </w:rPr>
        <w:br w:type="page"/>
      </w:r>
    </w:p>
    <w:p w14:paraId="5DA26AA3">
      <w:pPr>
        <w:autoSpaceDE w:val="0"/>
        <w:autoSpaceDN w:val="0"/>
        <w:adjustRightInd w:val="0"/>
        <w:spacing w:line="500" w:lineRule="exact"/>
        <w:jc w:val="lef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2、车辆、船只、设备配置要求</w:t>
      </w:r>
    </w:p>
    <w:p w14:paraId="3AE1DCC3">
      <w:pPr>
        <w:autoSpaceDE w:val="0"/>
        <w:autoSpaceDN w:val="0"/>
        <w:adjustRightInd w:val="0"/>
        <w:spacing w:line="48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Cs w:val="22"/>
          <w:highlight w:val="none"/>
        </w:rPr>
        <w:t>车辆、船只、设备最低配置要求表</w:t>
      </w:r>
    </w:p>
    <w:tbl>
      <w:tblPr>
        <w:tblStyle w:val="32"/>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4"/>
        <w:gridCol w:w="2160"/>
        <w:gridCol w:w="2115"/>
        <w:gridCol w:w="2445"/>
        <w:gridCol w:w="2207"/>
      </w:tblGrid>
      <w:tr w14:paraId="00767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854" w:type="dxa"/>
            <w:tcBorders>
              <w:right w:val="single" w:color="auto" w:sz="4" w:space="0"/>
            </w:tcBorders>
            <w:vAlign w:val="center"/>
          </w:tcPr>
          <w:p w14:paraId="05DEEDC0">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标段名称</w:t>
            </w:r>
          </w:p>
        </w:tc>
        <w:tc>
          <w:tcPr>
            <w:tcW w:w="2160" w:type="dxa"/>
            <w:tcBorders>
              <w:left w:val="single" w:color="auto" w:sz="4" w:space="0"/>
              <w:right w:val="single" w:color="auto" w:sz="4" w:space="0"/>
            </w:tcBorders>
            <w:vAlign w:val="center"/>
          </w:tcPr>
          <w:p w14:paraId="6B6DE615">
            <w:pPr>
              <w:autoSpaceDE w:val="0"/>
              <w:autoSpaceDN w:val="0"/>
              <w:adjustRightInd w:val="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农用车</w:t>
            </w:r>
          </w:p>
        </w:tc>
        <w:tc>
          <w:tcPr>
            <w:tcW w:w="2115" w:type="dxa"/>
            <w:tcBorders>
              <w:left w:val="single" w:color="auto" w:sz="4" w:space="0"/>
              <w:right w:val="single" w:color="auto" w:sz="4" w:space="0"/>
            </w:tcBorders>
            <w:vAlign w:val="center"/>
          </w:tcPr>
          <w:p w14:paraId="7220A704">
            <w:pPr>
              <w:autoSpaceDE w:val="0"/>
              <w:autoSpaceDN w:val="0"/>
              <w:adjustRightInd w:val="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电动车</w:t>
            </w:r>
          </w:p>
        </w:tc>
        <w:tc>
          <w:tcPr>
            <w:tcW w:w="2445" w:type="dxa"/>
            <w:tcBorders>
              <w:left w:val="single" w:color="auto" w:sz="4" w:space="0"/>
              <w:right w:val="single" w:color="auto" w:sz="4" w:space="0"/>
            </w:tcBorders>
            <w:vAlign w:val="center"/>
          </w:tcPr>
          <w:p w14:paraId="422844E2">
            <w:pPr>
              <w:autoSpaceDE w:val="0"/>
              <w:autoSpaceDN w:val="0"/>
              <w:adjustRightInd w:val="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电动三轮垃圾收集车</w:t>
            </w:r>
          </w:p>
        </w:tc>
        <w:tc>
          <w:tcPr>
            <w:tcW w:w="2207" w:type="dxa"/>
            <w:tcBorders>
              <w:left w:val="single" w:color="auto" w:sz="4" w:space="0"/>
            </w:tcBorders>
            <w:vAlign w:val="center"/>
          </w:tcPr>
          <w:p w14:paraId="53586062">
            <w:pPr>
              <w:tabs>
                <w:tab w:val="left" w:pos="360"/>
              </w:tabs>
              <w:spacing w:line="32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河道专用保洁船（长约12米，宽约1.5米，马力≥10P）</w:t>
            </w:r>
          </w:p>
        </w:tc>
      </w:tr>
      <w:tr w14:paraId="00270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854" w:type="dxa"/>
            <w:tcBorders>
              <w:right w:val="single" w:color="auto" w:sz="4" w:space="0"/>
            </w:tcBorders>
            <w:vAlign w:val="center"/>
          </w:tcPr>
          <w:p w14:paraId="5C8F2500">
            <w:pPr>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val="en-US" w:eastAsia="zh-CN"/>
              </w:rPr>
              <w:t>/</w:t>
            </w:r>
          </w:p>
        </w:tc>
        <w:tc>
          <w:tcPr>
            <w:tcW w:w="2160" w:type="dxa"/>
            <w:tcBorders>
              <w:left w:val="single" w:color="auto" w:sz="4" w:space="0"/>
              <w:right w:val="single" w:color="auto" w:sz="4" w:space="0"/>
            </w:tcBorders>
            <w:vAlign w:val="center"/>
          </w:tcPr>
          <w:p w14:paraId="65AC7D27">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1辆</w:t>
            </w:r>
          </w:p>
        </w:tc>
        <w:tc>
          <w:tcPr>
            <w:tcW w:w="2115" w:type="dxa"/>
            <w:tcBorders>
              <w:left w:val="single" w:color="auto" w:sz="4" w:space="0"/>
              <w:right w:val="single" w:color="auto" w:sz="4" w:space="0"/>
            </w:tcBorders>
            <w:vAlign w:val="center"/>
          </w:tcPr>
          <w:p w14:paraId="254A1BC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4辆</w:t>
            </w:r>
          </w:p>
        </w:tc>
        <w:tc>
          <w:tcPr>
            <w:tcW w:w="2445" w:type="dxa"/>
            <w:tcBorders>
              <w:left w:val="single" w:color="auto" w:sz="4" w:space="0"/>
              <w:right w:val="single" w:color="auto" w:sz="4" w:space="0"/>
            </w:tcBorders>
            <w:vAlign w:val="center"/>
          </w:tcPr>
          <w:p w14:paraId="52325E5A">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8辆</w:t>
            </w:r>
          </w:p>
        </w:tc>
        <w:tc>
          <w:tcPr>
            <w:tcW w:w="2207" w:type="dxa"/>
            <w:tcBorders>
              <w:left w:val="single" w:color="auto" w:sz="4" w:space="0"/>
            </w:tcBorders>
            <w:vAlign w:val="center"/>
          </w:tcPr>
          <w:p w14:paraId="363A930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2艘</w:t>
            </w:r>
          </w:p>
        </w:tc>
      </w:tr>
      <w:tr w14:paraId="536C4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0" w:hRule="atLeast"/>
          <w:jc w:val="center"/>
        </w:trPr>
        <w:tc>
          <w:tcPr>
            <w:tcW w:w="854" w:type="dxa"/>
          </w:tcPr>
          <w:p w14:paraId="51DE24DA">
            <w:pPr>
              <w:autoSpaceDE w:val="0"/>
              <w:autoSpaceDN w:val="0"/>
              <w:adjustRightInd w:val="0"/>
              <w:jc w:val="left"/>
              <w:rPr>
                <w:rFonts w:hint="eastAsia" w:ascii="宋体" w:hAnsi="宋体" w:eastAsia="宋体" w:cs="宋体"/>
                <w:color w:val="auto"/>
                <w:szCs w:val="22"/>
                <w:highlight w:val="none"/>
              </w:rPr>
            </w:pPr>
          </w:p>
        </w:tc>
        <w:tc>
          <w:tcPr>
            <w:tcW w:w="8927" w:type="dxa"/>
            <w:gridSpan w:val="4"/>
            <w:vAlign w:val="center"/>
          </w:tcPr>
          <w:p w14:paraId="79E776C8">
            <w:pPr>
              <w:autoSpaceDE w:val="0"/>
              <w:autoSpaceDN w:val="0"/>
              <w:adjustRightInd w:val="0"/>
              <w:spacing w:line="276" w:lineRule="auto"/>
              <w:jc w:val="left"/>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1、上述车辆、船只、设备最低配置数量根据现行实际投入数量结合本次项目未来发展的实际需要确定，为确保中标单位的服务质量，投标供应商投标方案中拟投入的车辆、船只、设备配置数量均不得低于上表要求，否则，投标无效。</w:t>
            </w:r>
          </w:p>
          <w:p w14:paraId="600EC30B">
            <w:pPr>
              <w:autoSpaceDE w:val="0"/>
              <w:autoSpaceDN w:val="0"/>
              <w:adjustRightInd w:val="0"/>
              <w:spacing w:line="276" w:lineRule="auto"/>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r>
              <w:rPr>
                <w:rFonts w:hint="eastAsia" w:ascii="宋体" w:hAnsi="宋体" w:eastAsia="宋体" w:cs="宋体"/>
                <w:bCs/>
                <w:color w:val="auto"/>
                <w:szCs w:val="22"/>
                <w:highlight w:val="none"/>
              </w:rPr>
              <w:t>以上所有车辆、船只、设备由中标人提供并使用运行管理，使用运行维护费等一切费用由中标人承担，车辆、船只、设备一经进场只能在本项目使用，不得用于其他项目。</w:t>
            </w:r>
          </w:p>
          <w:p w14:paraId="315D6C91">
            <w:pPr>
              <w:autoSpaceDE w:val="0"/>
              <w:autoSpaceDN w:val="0"/>
              <w:adjustRightInd w:val="0"/>
              <w:spacing w:line="276" w:lineRule="auto"/>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3、</w:t>
            </w:r>
            <w:r>
              <w:rPr>
                <w:rFonts w:hint="eastAsia" w:ascii="宋体" w:hAnsi="宋体" w:eastAsia="宋体" w:cs="宋体"/>
                <w:bCs/>
                <w:color w:val="auto"/>
                <w:szCs w:val="22"/>
                <w:highlight w:val="none"/>
              </w:rPr>
              <w:t>所有车辆、船只驾驶员必须符合相应资格，执行安全驾驶，投标人必须加强安全教育和管理</w:t>
            </w:r>
            <w:r>
              <w:rPr>
                <w:rFonts w:hint="eastAsia" w:ascii="宋体" w:hAnsi="宋体" w:eastAsia="宋体" w:cs="宋体"/>
                <w:color w:val="auto"/>
                <w:szCs w:val="22"/>
                <w:highlight w:val="none"/>
              </w:rPr>
              <w:t xml:space="preserve">。 </w:t>
            </w:r>
          </w:p>
          <w:p w14:paraId="681ABBE8">
            <w:pPr>
              <w:autoSpaceDE w:val="0"/>
              <w:autoSpaceDN w:val="0"/>
              <w:adjustRightInd w:val="0"/>
              <w:spacing w:line="276" w:lineRule="auto"/>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4、</w:t>
            </w:r>
            <w:r>
              <w:rPr>
                <w:rFonts w:hint="eastAsia" w:ascii="宋体" w:hAnsi="宋体" w:eastAsia="宋体" w:cs="宋体"/>
                <w:bCs/>
                <w:color w:val="auto"/>
                <w:szCs w:val="22"/>
                <w:highlight w:val="none"/>
              </w:rPr>
              <w:t>所有车辆、船只、设备使用过程中所涉及的停放保管费、运行费（油费、水费等）、维护保养费（维护、维修等）、车辆、船只保险费（含交强险、商业险等）、车辆年检等一切费用由中标人承担</w:t>
            </w:r>
            <w:r>
              <w:rPr>
                <w:rFonts w:hint="eastAsia" w:ascii="宋体" w:hAnsi="宋体" w:eastAsia="宋体" w:cs="宋体"/>
                <w:color w:val="auto"/>
                <w:szCs w:val="22"/>
                <w:highlight w:val="none"/>
              </w:rPr>
              <w:t xml:space="preserve">； </w:t>
            </w:r>
          </w:p>
          <w:p w14:paraId="64A7AD30">
            <w:pPr>
              <w:autoSpaceDE w:val="0"/>
              <w:autoSpaceDN w:val="0"/>
              <w:adjustRightInd w:val="0"/>
              <w:spacing w:line="276" w:lineRule="auto"/>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5、</w:t>
            </w:r>
            <w:r>
              <w:rPr>
                <w:rFonts w:hint="eastAsia" w:ascii="宋体" w:hAnsi="宋体" w:eastAsia="宋体" w:cs="宋体"/>
                <w:bCs/>
                <w:color w:val="auto"/>
                <w:szCs w:val="22"/>
                <w:highlight w:val="none"/>
              </w:rPr>
              <w:t>合同期内中标单位所属车辆、船只、设备如发生各种意外事故（包括给第三方造成损害）全部责任由中标单位承担，依照法律法规妥善处理。</w:t>
            </w:r>
          </w:p>
          <w:p w14:paraId="27D2A896">
            <w:pPr>
              <w:autoSpaceDE w:val="0"/>
              <w:autoSpaceDN w:val="0"/>
              <w:adjustRightInd w:val="0"/>
              <w:spacing w:line="276" w:lineRule="auto"/>
              <w:jc w:val="left"/>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6、以上所有车辆、船只、设备持有形式可以自有已上牌(指投标供应商自行购置，包括分公司或全资子公司购置)或现已租赁或承诺中标后购买或承诺中标后租赁；</w:t>
            </w:r>
            <w:r>
              <w:rPr>
                <w:rFonts w:hint="eastAsia" w:ascii="宋体" w:hAnsi="宋体" w:eastAsia="宋体" w:cs="宋体"/>
                <w:bCs/>
                <w:color w:val="auto"/>
                <w:szCs w:val="22"/>
                <w:highlight w:val="none"/>
              </w:rPr>
              <w:t>供应商投标时提供的车辆、船只、设备信息，中标后原则上不可替换，如中标供应商所提供的车辆、船只、设备高于投标时要求的，经采购人同意后，可进行更换。</w:t>
            </w:r>
          </w:p>
          <w:p w14:paraId="0FABF896">
            <w:pPr>
              <w:autoSpaceDE w:val="0"/>
              <w:autoSpaceDN w:val="0"/>
              <w:adjustRightInd w:val="0"/>
              <w:spacing w:line="276" w:lineRule="auto"/>
              <w:jc w:val="lef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7、投标供应商如认为有必要，可以在上表基础上自行增加数量或添加其他种类，所需的费用包含在投标总价中，合同签订时按投标文件承诺的数量落实。</w:t>
            </w:r>
          </w:p>
        </w:tc>
      </w:tr>
    </w:tbl>
    <w:p w14:paraId="7334B1BF">
      <w:pPr>
        <w:autoSpaceDE w:val="0"/>
        <w:autoSpaceDN w:val="0"/>
        <w:snapToGrid w:val="0"/>
        <w:spacing w:before="100" w:after="100" w:line="240" w:lineRule="auto"/>
        <w:jc w:val="left"/>
        <w:rPr>
          <w:rFonts w:hint="eastAsia" w:ascii="宋体" w:hAnsi="宋体" w:eastAsia="宋体" w:cs="宋体"/>
          <w:b w:val="0"/>
          <w:bCs w:val="0"/>
          <w:color w:val="auto"/>
          <w:sz w:val="24"/>
          <w:szCs w:val="24"/>
          <w:highlight w:val="none"/>
          <w:lang w:val="en-US" w:eastAsia="zh-CN"/>
        </w:rPr>
      </w:pPr>
    </w:p>
    <w:p w14:paraId="208E8536">
      <w:pPr>
        <w:spacing w:line="360" w:lineRule="auto"/>
        <w:ind w:firstLine="442"/>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3、绿化养护按业主需求进场，每次以实际发生的人工计算。绿化养护人员费用为220元/工日/人（含绿化养护机械设备）。工日的时间为：早上8：00-18:00。 晚上计算时间：18:00-24:00为半个工日，00:00-8:00为半个工日。含绿化养护人员抵达和离开养护现场交通费用、临时加班补贴、工人的餐费，饮用水费等全部费用。</w:t>
      </w:r>
    </w:p>
    <w:p w14:paraId="47EB54B1">
      <w:pPr>
        <w:spacing w:line="360" w:lineRule="auto"/>
        <w:ind w:firstLine="442"/>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 xml:space="preserve">备注： </w:t>
      </w:r>
    </w:p>
    <w:p w14:paraId="1CCC60D5">
      <w:pPr>
        <w:spacing w:line="360" w:lineRule="auto"/>
        <w:ind w:firstLine="442"/>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 xml:space="preserve">① </w:t>
      </w:r>
      <w:r>
        <w:rPr>
          <w:rFonts w:hint="eastAsia" w:ascii="新宋体" w:hAnsi="新宋体" w:eastAsia="新宋体" w:cs="新宋体"/>
          <w:b w:val="0"/>
          <w:bCs w:val="0"/>
          <w:color w:val="auto"/>
          <w:sz w:val="22"/>
          <w:szCs w:val="22"/>
          <w:highlight w:val="none"/>
        </w:rPr>
        <w:t>供应商应根据采购人的任务情况及要求配备</w:t>
      </w:r>
      <w:r>
        <w:rPr>
          <w:rFonts w:hint="eastAsia" w:ascii="新宋体" w:hAnsi="新宋体" w:eastAsia="新宋体" w:cs="新宋体"/>
          <w:b w:val="0"/>
          <w:bCs w:val="0"/>
          <w:color w:val="auto"/>
          <w:sz w:val="22"/>
          <w:szCs w:val="22"/>
          <w:highlight w:val="none"/>
          <w:lang w:val="en-US" w:eastAsia="zh-CN"/>
        </w:rPr>
        <w:t>绿化养护</w:t>
      </w:r>
      <w:r>
        <w:rPr>
          <w:rFonts w:hint="eastAsia" w:ascii="新宋体" w:hAnsi="新宋体" w:eastAsia="新宋体" w:cs="新宋体"/>
          <w:b w:val="0"/>
          <w:bCs w:val="0"/>
          <w:color w:val="auto"/>
          <w:sz w:val="22"/>
          <w:szCs w:val="22"/>
          <w:highlight w:val="none"/>
        </w:rPr>
        <w:t>人员，人员个数</w:t>
      </w:r>
      <w:r>
        <w:rPr>
          <w:rFonts w:hint="eastAsia" w:ascii="新宋体" w:hAnsi="新宋体" w:eastAsia="新宋体" w:cs="新宋体"/>
          <w:b w:val="0"/>
          <w:bCs w:val="0"/>
          <w:color w:val="auto"/>
          <w:sz w:val="22"/>
          <w:szCs w:val="22"/>
          <w:highlight w:val="none"/>
          <w:lang w:val="en-US" w:eastAsia="zh-CN"/>
        </w:rPr>
        <w:t>由</w:t>
      </w:r>
      <w:r>
        <w:rPr>
          <w:rFonts w:hint="eastAsia" w:ascii="新宋体" w:hAnsi="新宋体" w:eastAsia="新宋体" w:cs="新宋体"/>
          <w:b w:val="0"/>
          <w:bCs w:val="0"/>
          <w:color w:val="auto"/>
          <w:sz w:val="22"/>
          <w:szCs w:val="22"/>
          <w:highlight w:val="none"/>
        </w:rPr>
        <w:t>采购人</w:t>
      </w:r>
      <w:r>
        <w:rPr>
          <w:rFonts w:hint="eastAsia" w:ascii="新宋体" w:hAnsi="新宋体" w:eastAsia="新宋体" w:cs="新宋体"/>
          <w:b w:val="0"/>
          <w:bCs w:val="0"/>
          <w:color w:val="auto"/>
          <w:sz w:val="22"/>
          <w:szCs w:val="22"/>
          <w:highlight w:val="none"/>
          <w:lang w:eastAsia="zh-CN"/>
        </w:rPr>
        <w:t>与中标人</w:t>
      </w:r>
      <w:r>
        <w:rPr>
          <w:rFonts w:hint="eastAsia" w:ascii="新宋体" w:hAnsi="新宋体" w:eastAsia="新宋体" w:cs="新宋体"/>
          <w:b w:val="0"/>
          <w:bCs w:val="0"/>
          <w:color w:val="auto"/>
          <w:sz w:val="22"/>
          <w:szCs w:val="22"/>
          <w:highlight w:val="none"/>
        </w:rPr>
        <w:t>根据实际任务情况配备。</w:t>
      </w:r>
    </w:p>
    <w:p w14:paraId="38DEAE69">
      <w:pPr>
        <w:spacing w:line="360" w:lineRule="auto"/>
        <w:ind w:firstLine="442"/>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 xml:space="preserve">② </w:t>
      </w:r>
      <w:r>
        <w:rPr>
          <w:rFonts w:hint="eastAsia" w:ascii="新宋体" w:hAnsi="新宋体" w:eastAsia="新宋体" w:cs="新宋体"/>
          <w:b w:val="0"/>
          <w:bCs w:val="0"/>
          <w:color w:val="auto"/>
          <w:sz w:val="22"/>
          <w:szCs w:val="22"/>
          <w:highlight w:val="none"/>
        </w:rPr>
        <w:t>中标供应商在执行任务时应提供割草机、割灌机、绿篱机、草坪梳草机、打药机、清运等绿化养护必备设备、材料，费用</w:t>
      </w:r>
      <w:r>
        <w:rPr>
          <w:rFonts w:hint="eastAsia" w:ascii="新宋体" w:hAnsi="新宋体" w:eastAsia="新宋体" w:cs="新宋体"/>
          <w:b w:val="0"/>
          <w:bCs w:val="0"/>
          <w:color w:val="auto"/>
          <w:sz w:val="22"/>
          <w:szCs w:val="22"/>
          <w:highlight w:val="none"/>
          <w:lang w:eastAsia="zh-CN"/>
        </w:rPr>
        <w:t>已含在养护人员工资中</w:t>
      </w:r>
      <w:r>
        <w:rPr>
          <w:rFonts w:hint="eastAsia" w:ascii="新宋体" w:hAnsi="新宋体" w:eastAsia="新宋体" w:cs="新宋体"/>
          <w:b w:val="0"/>
          <w:bCs w:val="0"/>
          <w:color w:val="auto"/>
          <w:sz w:val="22"/>
          <w:szCs w:val="22"/>
          <w:highlight w:val="none"/>
        </w:rPr>
        <w:t>。</w:t>
      </w:r>
    </w:p>
    <w:p w14:paraId="1F769C57">
      <w:pPr>
        <w:spacing w:line="360" w:lineRule="auto"/>
        <w:ind w:firstLine="442"/>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③ 采购人有权根据实际情况安排工作时间。</w:t>
      </w:r>
    </w:p>
    <w:p w14:paraId="6848C75E">
      <w:pPr>
        <w:spacing w:line="360" w:lineRule="auto"/>
        <w:ind w:firstLine="442"/>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④ 采购人有权根据实际情况签证半个工日，具体价格按照上表工日的价格减半计算。</w:t>
      </w:r>
    </w:p>
    <w:p w14:paraId="64AFF436">
      <w:pPr>
        <w:spacing w:line="360" w:lineRule="auto"/>
        <w:ind w:firstLine="442"/>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⑤ 业主安排绿化养护工作时，供应商须在业主规定的时间内进行绿化养护，所有参与养护的人员均不可消极怠工，在规定的期限内绿化养护工作一次未达到要求，业主将给予警告，第二次仍未达到要求，按1000~5000元进行扣罚，第三次还未达到要求，业主则有权直接安排人员进行绿化养护，相关费用由供应商进行支付。</w:t>
      </w:r>
    </w:p>
    <w:p w14:paraId="5F27B212">
      <w:pPr>
        <w:spacing w:line="360" w:lineRule="auto"/>
        <w:ind w:firstLine="442"/>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⑥ 绿化养护响应时间：接到采购人通知后在半小时内作出响应，并在指定时间达到现场。</w:t>
      </w:r>
    </w:p>
    <w:p w14:paraId="38E7221E">
      <w:pPr>
        <w:spacing w:line="360" w:lineRule="auto"/>
        <w:ind w:firstLine="442"/>
        <w:rPr>
          <w:rFonts w:hint="eastAsia" w:ascii="宋体" w:hAnsi="宋体" w:eastAsia="宋体" w:cs="宋体"/>
          <w:color w:val="auto"/>
          <w:kern w:val="0"/>
          <w:szCs w:val="22"/>
          <w:highlight w:val="none"/>
        </w:rPr>
      </w:pPr>
      <w:r>
        <w:rPr>
          <w:rFonts w:hint="eastAsia" w:ascii="新宋体" w:hAnsi="新宋体" w:eastAsia="新宋体" w:cs="新宋体"/>
          <w:b w:val="0"/>
          <w:bCs w:val="0"/>
          <w:color w:val="auto"/>
          <w:sz w:val="22"/>
          <w:szCs w:val="22"/>
          <w:highlight w:val="none"/>
          <w:lang w:val="en-US" w:eastAsia="zh-CN"/>
        </w:rPr>
        <w:t>⑦ 绿化养护人员年龄要求≤60周岁，且无违法违纪档案记录。</w:t>
      </w:r>
    </w:p>
    <w:p w14:paraId="7BD64BFC">
      <w:pPr>
        <w:tabs>
          <w:tab w:val="left" w:pos="900"/>
        </w:tabs>
        <w:spacing w:line="360" w:lineRule="auto"/>
        <w:ind w:left="166"/>
        <w:rPr>
          <w:rFonts w:hint="eastAsia" w:ascii="宋体" w:hAnsi="宋体" w:eastAsia="宋体" w:cs="宋体"/>
          <w:b/>
          <w:color w:val="auto"/>
          <w:szCs w:val="22"/>
          <w:highlight w:val="none"/>
        </w:rPr>
      </w:pPr>
      <w:r>
        <w:rPr>
          <w:rFonts w:hint="eastAsia" w:ascii="宋体" w:hAnsi="宋体" w:cs="宋体"/>
          <w:b/>
          <w:bCs/>
          <w:color w:val="auto"/>
          <w:szCs w:val="22"/>
          <w:highlight w:val="none"/>
          <w:lang w:val="en-US" w:eastAsia="zh-CN"/>
        </w:rPr>
        <w:t>4</w:t>
      </w:r>
      <w:r>
        <w:rPr>
          <w:rFonts w:hint="eastAsia" w:ascii="宋体" w:hAnsi="宋体" w:eastAsia="宋体" w:cs="宋体"/>
          <w:b/>
          <w:bCs/>
          <w:color w:val="auto"/>
          <w:szCs w:val="22"/>
          <w:highlight w:val="none"/>
        </w:rPr>
        <w:t>、</w:t>
      </w:r>
      <w:r>
        <w:rPr>
          <w:rFonts w:hint="eastAsia" w:ascii="宋体" w:hAnsi="宋体" w:eastAsia="宋体" w:cs="宋体"/>
          <w:b/>
          <w:color w:val="auto"/>
          <w:szCs w:val="22"/>
          <w:highlight w:val="none"/>
        </w:rPr>
        <w:t>其他要求</w:t>
      </w:r>
    </w:p>
    <w:p w14:paraId="672E0FEF">
      <w:pPr>
        <w:adjustRightInd w:val="0"/>
        <w:snapToGrid w:val="0"/>
        <w:spacing w:line="360" w:lineRule="auto"/>
        <w:ind w:firstLine="440" w:firstLineChars="200"/>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4</w:t>
      </w:r>
      <w:r>
        <w:rPr>
          <w:rFonts w:hint="eastAsia" w:ascii="宋体" w:hAnsi="宋体" w:eastAsia="宋体" w:cs="宋体"/>
          <w:color w:val="auto"/>
          <w:szCs w:val="22"/>
          <w:highlight w:val="none"/>
        </w:rPr>
        <w:t>.1.所有人员必须专职为百里平水公园服务，不得兼职。中标后若人员（所有岗位）需要更换，须及时上报招标人，经招标人认可后方可更换。项目负责人更换一次罚款2万元，业主要求更换不予罚款。项目负责人每月出勤不得少于22天，执行人脸识别打卡，每少出勤一天罚款2000元。连续3个月出勤率达不到80%，业主有权终止合同。项目负责人职称证书需执行押证管理，项目服务期满后退还。</w:t>
      </w:r>
    </w:p>
    <w:p w14:paraId="6D263ABC">
      <w:pPr>
        <w:spacing w:line="360" w:lineRule="auto"/>
        <w:ind w:firstLine="440" w:firstLineChars="200"/>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4</w:t>
      </w:r>
      <w:r>
        <w:rPr>
          <w:rFonts w:hint="eastAsia" w:ascii="宋体" w:hAnsi="宋体" w:eastAsia="宋体" w:cs="宋体"/>
          <w:color w:val="auto"/>
          <w:szCs w:val="22"/>
          <w:highlight w:val="none"/>
        </w:rPr>
        <w:t>.2.以上为满足本项目需要的最低人数要求，投标人可根据实际情况自行增加配置，但低于该人员配置的投标文件将被废标。中标后，中标供应商须向业主报备人员信息花名册。</w:t>
      </w:r>
    </w:p>
    <w:p w14:paraId="6EA82240">
      <w:pPr>
        <w:pStyle w:val="51"/>
        <w:spacing w:line="360" w:lineRule="auto"/>
        <w:ind w:firstLine="440" w:firstLineChars="200"/>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4</w:t>
      </w:r>
      <w:r>
        <w:rPr>
          <w:rFonts w:hint="eastAsia" w:ascii="宋体" w:hAnsi="宋体" w:eastAsia="宋体" w:cs="宋体"/>
          <w:color w:val="auto"/>
          <w:szCs w:val="22"/>
          <w:highlight w:val="none"/>
        </w:rPr>
        <w:t>.3.项目其他人员每周按业主指定时间到项目管理部指纹打卡签到一次，每少出勤每人每次罚款1000元。</w:t>
      </w:r>
    </w:p>
    <w:p w14:paraId="4336D714">
      <w:pPr>
        <w:adjustRightInd w:val="0"/>
        <w:snapToGrid w:val="0"/>
        <w:spacing w:line="440" w:lineRule="exact"/>
        <w:ind w:firstLine="442" w:firstLineChars="20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4、说明：</w:t>
      </w:r>
    </w:p>
    <w:p w14:paraId="29E5EE69">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4.1.保洁所需设备、清洁工具（如清运车辆、水桶、毛巾、抹布、拖把等）均由投标供应商自行提供使用，已包含在投标报价中。</w:t>
      </w:r>
    </w:p>
    <w:p w14:paraId="74F80B4E">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4.2.在保证清洁质量、节约使用的前提下，清洁材料由投标供应商自行提供。</w:t>
      </w:r>
    </w:p>
    <w:p w14:paraId="6AD6B561">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5、招标人要求的相关条件：</w:t>
      </w:r>
    </w:p>
    <w:p w14:paraId="49F948CB">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5.1.投标人自行考虑项目管理部相关费用，招标人不提供。项目管理部的设置最低要求为2个点。项目管理部须配备打卡系统。</w:t>
      </w:r>
    </w:p>
    <w:p w14:paraId="7B6A65A4">
      <w:pPr>
        <w:adjustRightInd w:val="0"/>
        <w:snapToGrid w:val="0"/>
        <w:spacing w:line="440" w:lineRule="exact"/>
        <w:ind w:firstLine="440" w:firstLineChars="200"/>
        <w:rPr>
          <w:rFonts w:hint="eastAsia" w:ascii="宋体" w:hAnsi="宋体" w:eastAsia="宋体" w:cs="宋体"/>
          <w:bCs/>
          <w:color w:val="auto"/>
          <w:highlight w:val="none"/>
        </w:rPr>
      </w:pPr>
      <w:r>
        <w:rPr>
          <w:rFonts w:hint="eastAsia" w:ascii="宋体" w:hAnsi="宋体" w:eastAsia="宋体" w:cs="宋体"/>
          <w:bCs/>
          <w:color w:val="auto"/>
          <w:szCs w:val="22"/>
          <w:highlight w:val="none"/>
        </w:rPr>
        <w:t>5.2.在中标公示期结束后，中标供应商须组织采购人到项目现场核实登记现有绿化数据，进行技术交底，如现场发现植被已被破坏应及时做好数据登记。</w:t>
      </w:r>
    </w:p>
    <w:p w14:paraId="3BCA32E0">
      <w:pPr>
        <w:adjustRightInd w:val="0"/>
        <w:snapToGrid w:val="0"/>
        <w:spacing w:line="440" w:lineRule="exact"/>
        <w:ind w:firstLine="420" w:firstLineChars="19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6、服务质量要求</w:t>
      </w:r>
    </w:p>
    <w:p w14:paraId="570E7D3C">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6.1.各投标供应商需本着对企业品牌的延伸，以社会效益为重的原则进行报价。</w:t>
      </w:r>
    </w:p>
    <w:p w14:paraId="61E75A09">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6.2.各投标供应商自行对现场、周边环境全面了解的情况下编制科学合理、切实可行的组织实施计划以及具体的保障措施、工作程序。</w:t>
      </w:r>
    </w:p>
    <w:p w14:paraId="0375F30D">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6.3.服务质量标准要求订立服务规程。投标供应商应制订具体的质量保证措施及质量保证和相关服务承诺。如因质量未达到目标，投标供应商应因此承担责任和经济赔偿。</w:t>
      </w:r>
    </w:p>
    <w:p w14:paraId="5EF9DCCA">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6.4.服务区内垃圾用袋装收集，存放在指定地点。清卫、保洁及生活服务的工作质量按国家卫生城市管理的有关标准严格验收。</w:t>
      </w:r>
    </w:p>
    <w:p w14:paraId="32980B86">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6.5.投标供应商须按现代企业制度运行，发挥自身优势，以热心、爱心、专心、贴心的服务，为百里平水公园后勤提供全方位、一体化的专业服务保障。确保百里平水公园正常运转。</w:t>
      </w:r>
    </w:p>
    <w:p w14:paraId="0DFEDADD">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6.6.招标人有权在需要时对相关人员做集中调配并以调休、补休等方式进行补偿。此方式投标供应商须给以配合。</w:t>
      </w:r>
    </w:p>
    <w:p w14:paraId="051F1932">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6.7.投标供应商达不到招标人要求及投标供应商各项服务承诺，招标人有权要求其整改，直至扣款或终止合同。</w:t>
      </w:r>
    </w:p>
    <w:p w14:paraId="15163C87">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6.8.投标供应商所有的工作除应按投标供应商的内部流程实施外还应接受招标人的检查。</w:t>
      </w:r>
    </w:p>
    <w:p w14:paraId="111CC4B6">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6.9.投标供应商需制定消防、病虫害防治、防汛、防台、安保、开放区域突发事件等紧急预案，并切实地培训到每个岗位人员。</w:t>
      </w:r>
    </w:p>
    <w:p w14:paraId="17B34067">
      <w:pPr>
        <w:snapToGrid w:val="0"/>
        <w:spacing w:line="44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7、经费结算</w:t>
      </w:r>
    </w:p>
    <w:p w14:paraId="52BA716E">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7.1.在保证服务质量与最精简优化人员配备的前提下，</w:t>
      </w:r>
      <w:r>
        <w:rPr>
          <w:rFonts w:hint="eastAsia" w:ascii="宋体" w:hAnsi="宋体" w:cs="宋体"/>
          <w:bCs/>
          <w:color w:val="auto"/>
          <w:szCs w:val="22"/>
          <w:highlight w:val="none"/>
          <w:lang w:eastAsia="zh-CN"/>
        </w:rPr>
        <w:t>保洁部分费用包干，绿化养护、设备维护及电费均为实报实销</w:t>
      </w:r>
      <w:r>
        <w:rPr>
          <w:rFonts w:hint="eastAsia" w:ascii="宋体" w:hAnsi="宋体" w:eastAsia="宋体" w:cs="宋体"/>
          <w:bCs/>
          <w:color w:val="auto"/>
          <w:szCs w:val="22"/>
          <w:highlight w:val="none"/>
        </w:rPr>
        <w:t>。</w:t>
      </w:r>
    </w:p>
    <w:p w14:paraId="559E63C6">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7.2.所有人员的服装费用由投标供应商自行负责配备，分类统一着装，但服装样式需经招标人核准。</w:t>
      </w:r>
    </w:p>
    <w:p w14:paraId="38668277">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7.3.中标人必须节约用水、用电、用汽、用油，并严格按招标文件要求提供各种工作报表，如果未按要求提供工作报表一次，则扣罚当季服务费用5%。</w:t>
      </w:r>
    </w:p>
    <w:p w14:paraId="4FA7D969">
      <w:pPr>
        <w:adjustRightInd w:val="0"/>
        <w:snapToGrid w:val="0"/>
        <w:spacing w:line="44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7.4.中标人必须对下属服务人员严格管理，如发现服务人员有赌博、滋事、扰乱治安、偷盗物资、拿一次性消耗品回家等情况，发现一次则扣罚当季服务费用5%。</w:t>
      </w:r>
    </w:p>
    <w:p w14:paraId="754C643D">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7.5.承包合同价格除本合同的规定外，不能作任何调整，合同价不因人工、物价或汇率等的变动而作任何调整。</w:t>
      </w:r>
    </w:p>
    <w:p w14:paraId="0EAE62DD">
      <w:pPr>
        <w:pStyle w:val="51"/>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7.6. 合同签订后7个工作日内，</w:t>
      </w:r>
      <w:r>
        <w:rPr>
          <w:rFonts w:hint="eastAsia" w:ascii="宋体" w:hAnsi="宋体" w:eastAsia="宋体" w:cs="宋体"/>
          <w:bCs/>
          <w:color w:val="auto"/>
          <w:szCs w:val="22"/>
          <w:highlight w:val="none"/>
          <w:lang w:eastAsia="zh-CN"/>
        </w:rPr>
        <w:t>（合同金额</w:t>
      </w:r>
      <w:r>
        <w:rPr>
          <w:rFonts w:hint="eastAsia" w:ascii="宋体" w:hAnsi="宋体" w:eastAsia="宋体" w:cs="宋体"/>
          <w:bCs/>
          <w:color w:val="auto"/>
          <w:szCs w:val="22"/>
          <w:highlight w:val="none"/>
        </w:rPr>
        <w:t>-暂列金）的20%支付给中标单位作为预付款（以服务及管理人员到位、主要机械设备进场为支付条件）。预付款扣回方式：在每季度支付的服务款中，同比例扣回预付款。服务承包费用实行先服务后支付的办法，按考核结果予以支付，每季度支付一次</w:t>
      </w:r>
      <w:r>
        <w:rPr>
          <w:rFonts w:hint="eastAsia" w:ascii="宋体" w:hAnsi="宋体" w:cs="宋体"/>
          <w:bCs/>
          <w:color w:val="auto"/>
          <w:szCs w:val="22"/>
          <w:highlight w:val="none"/>
          <w:lang w:eastAsia="zh-CN"/>
        </w:rPr>
        <w:t>（绿化养护部分也按季度支付）</w:t>
      </w:r>
      <w:r>
        <w:rPr>
          <w:rFonts w:hint="eastAsia" w:ascii="宋体" w:hAnsi="宋体" w:eastAsia="宋体" w:cs="宋体"/>
          <w:bCs/>
          <w:color w:val="auto"/>
          <w:szCs w:val="22"/>
          <w:highlight w:val="none"/>
        </w:rPr>
        <w:t>，支付时间为服务后每季度15日内。</w:t>
      </w:r>
    </w:p>
    <w:p w14:paraId="53135E93">
      <w:pPr>
        <w:rPr>
          <w:rFonts w:hint="eastAsia" w:ascii="宋体" w:hAnsi="宋体" w:eastAsia="宋体" w:cs="宋体"/>
          <w:b/>
          <w:bCs/>
          <w:color w:val="auto"/>
          <w:szCs w:val="22"/>
          <w:highlight w:val="none"/>
        </w:rPr>
      </w:pPr>
    </w:p>
    <w:p w14:paraId="29200046">
      <w:pPr>
        <w:jc w:val="left"/>
        <w:rPr>
          <w:rFonts w:hint="eastAsia" w:ascii="宋体" w:hAnsi="宋体" w:eastAsia="宋体" w:cs="宋体"/>
          <w:color w:val="auto"/>
          <w:szCs w:val="22"/>
          <w:highlight w:val="none"/>
        </w:rPr>
      </w:pPr>
      <w:r>
        <w:rPr>
          <w:rFonts w:hint="eastAsia" w:ascii="宋体" w:hAnsi="宋体" w:eastAsia="宋体" w:cs="宋体"/>
          <w:b/>
          <w:bCs/>
          <w:color w:val="auto"/>
          <w:szCs w:val="22"/>
          <w:highlight w:val="none"/>
        </w:rPr>
        <w:t>（五）投标报价</w:t>
      </w:r>
    </w:p>
    <w:p w14:paraId="4BB75339">
      <w:pPr>
        <w:autoSpaceDE w:val="0"/>
        <w:autoSpaceDN w:val="0"/>
        <w:adjustRightInd w:val="0"/>
        <w:spacing w:line="46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1、保障环卫作业人员合法权益相关要求</w:t>
      </w:r>
    </w:p>
    <w:p w14:paraId="53008AB9">
      <w:pPr>
        <w:pStyle w:val="30"/>
        <w:rPr>
          <w:rFonts w:hint="eastAsia" w:ascii="宋体" w:hAnsi="宋体" w:eastAsia="宋体" w:cs="宋体"/>
          <w:color w:val="auto"/>
          <w:highlight w:val="none"/>
        </w:rPr>
      </w:pPr>
      <w:r>
        <w:rPr>
          <w:rFonts w:hint="eastAsia" w:ascii="宋体" w:hAnsi="宋体" w:eastAsia="宋体" w:cs="宋体"/>
          <w:color w:val="auto"/>
          <w:sz w:val="22"/>
          <w:szCs w:val="22"/>
          <w:highlight w:val="none"/>
        </w:rPr>
        <w:t>（▲本部分要求均为实质性要求，不接受任何负偏离，否则作无效标处理。）</w:t>
      </w:r>
    </w:p>
    <w:p w14:paraId="56D6ACF4">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依据《中华人民共和国劳动法》、《浙江省人民政府办公厅关于进一步改善环卫工人工作生活条件促进环卫事业持续健康发展的若干意见》（浙政办发〔2009〕190号）、《浙江省劳动和社会保障厅、《浙江省人力资源和社会保障厅关于调整企业夏季高温津贴标准有关问题的通知》（浙人社发〔2018〕65号）、</w:t>
      </w:r>
      <w:r>
        <w:rPr>
          <w:rFonts w:hint="eastAsia" w:ascii="宋体" w:hAnsi="宋体" w:eastAsia="宋体" w:cs="宋体"/>
          <w:color w:val="auto"/>
          <w:szCs w:val="22"/>
          <w:highlight w:val="none"/>
          <w:lang w:val="en-US" w:eastAsia="zh-CN"/>
        </w:rPr>
        <w:t>《温州市人民政府关于调整全市最低工资标准的通知》（温政发〔2024〕16号）</w:t>
      </w:r>
      <w:r>
        <w:rPr>
          <w:rFonts w:hint="eastAsia" w:ascii="宋体" w:hAnsi="宋体" w:eastAsia="宋体" w:cs="宋体"/>
          <w:color w:val="auto"/>
          <w:szCs w:val="22"/>
          <w:highlight w:val="none"/>
        </w:rPr>
        <w:t xml:space="preserve">、《全国年节及纪念日放假办法》等相关规定，为落实环卫、养护等作业人员的权益，提高环卫保洁、养护服务质量，各投标供应商在聘请人员，编制和落实作业人员待遇及投入生产机具时必须遵照以下要求： </w:t>
      </w:r>
    </w:p>
    <w:p w14:paraId="7B075E91">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1.1、依法签订劳动合同。投入本项目的所有人员必须依法签订劳动合同；</w:t>
      </w:r>
    </w:p>
    <w:p w14:paraId="64C3D676">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1.2、依法为符合国家相关缴纳社保规定的所有员工缴纳社保，合同期内如遇政策性调整，应及时作出对应的调整；</w:t>
      </w:r>
    </w:p>
    <w:p w14:paraId="2A824EF0">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1.3、依法为所有人员投保人身意外伤害险，保额不得低于50万；</w:t>
      </w:r>
    </w:p>
    <w:p w14:paraId="641B15A4">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1.4、</w:t>
      </w:r>
      <w:r>
        <w:rPr>
          <w:rFonts w:hint="eastAsia" w:ascii="宋体" w:hAnsi="宋体" w:eastAsia="宋体" w:cs="宋体"/>
          <w:b/>
          <w:color w:val="auto"/>
          <w:szCs w:val="22"/>
          <w:highlight w:val="none"/>
        </w:rPr>
        <w:t>严格执行现行最低工资标准（2010元/月）和环卫作业人员工资标准不得低于最低工资标准的110%的相关规定，人员每月最低基本工资标准不得低2211元。</w:t>
      </w:r>
      <w:r>
        <w:rPr>
          <w:rFonts w:hint="eastAsia" w:ascii="宋体" w:hAnsi="宋体" w:eastAsia="宋体" w:cs="宋体"/>
          <w:color w:val="auto"/>
          <w:szCs w:val="22"/>
          <w:highlight w:val="none"/>
        </w:rPr>
        <w:t xml:space="preserve">合同期内如遇政策性调整，应及时作出对应的调整； </w:t>
      </w:r>
    </w:p>
    <w:p w14:paraId="225E9454">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1.5、严格执行户外作业人员高温补贴标准。高温补贴标准不得低于300元/月，发放时间为六、七、八、九共四个月，全年合计不得低于1200元，逐月发放，不得克扣；</w:t>
      </w:r>
    </w:p>
    <w:p w14:paraId="216D3029">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1.6、严格落实加班补贴制度。每人每年日常加班共计24天，日常加班补贴按日工资的二倍计算；国家法定节假日全年11天计，法定节假日加班补贴标准为日工资的三倍计算； </w:t>
      </w:r>
    </w:p>
    <w:p w14:paraId="74DD5FF8">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1.7、严格落实特殊岗位津贴。按照每人每个出勤日10元的标准发放特殊岗位津贴，全年按330日计。 </w:t>
      </w:r>
    </w:p>
    <w:p w14:paraId="51D2AEAD">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1.8、统一购置并发放安全保障用具、服装及工具； </w:t>
      </w:r>
    </w:p>
    <w:p w14:paraId="7011280B">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1.9、严禁克扣、拖欠人员工资、待遇福利的行为，一经查实，按克扣、拖欠总金额的3倍在承包款中扣除；中标（成交）供应商应设立专人负责作业人员的收入落实，做好发放记录，加强管理。</w:t>
      </w:r>
    </w:p>
    <w:p w14:paraId="020A52A3">
      <w:pPr>
        <w:overflowPunct w:val="0"/>
        <w:adjustRightInd w:val="0"/>
        <w:spacing w:line="420" w:lineRule="exact"/>
        <w:ind w:firstLine="440" w:firstLineChars="200"/>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1.10、其他未尽事宜，各投标供应商应参照各项规定进行。</w:t>
      </w:r>
    </w:p>
    <w:p w14:paraId="3CCDA30C">
      <w:pPr>
        <w:overflowPunct w:val="0"/>
        <w:adjustRightInd w:val="0"/>
        <w:spacing w:line="420" w:lineRule="exact"/>
        <w:ind w:firstLine="440" w:firstLineChars="200"/>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2、所有人员的服装费用由供应商自行负责配备，工服款式总体保持一致，具体细节处理由供应商自行决定，但根据工种不同穿着对应主色的工服，按招标文件要求统一着装（反光服，包括上衣、裤子），但服装样式需经采购人核准，服装费包含在投标总价中。如在合同服务期内，采购人有权统一服装款式及样式，供应商需无条件响应并配合其工作。</w:t>
      </w:r>
    </w:p>
    <w:p w14:paraId="37F4E66A">
      <w:pPr>
        <w:overflowPunct w:val="0"/>
        <w:adjustRightInd w:val="0"/>
        <w:spacing w:line="420" w:lineRule="exact"/>
        <w:ind w:firstLine="440" w:firstLineChars="20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3、机械、车辆的折旧、保险（交强险、商业险，包括小型电动车、人力车意外险）、维护保养、修理费、油费、电费和水费、</w:t>
      </w:r>
      <w:r>
        <w:rPr>
          <w:rFonts w:hint="eastAsia" w:ascii="宋体" w:hAnsi="宋体" w:cs="宋体"/>
          <w:bCs/>
          <w:color w:val="auto"/>
          <w:szCs w:val="21"/>
          <w:highlight w:val="none"/>
          <w:lang w:eastAsia="zh-CN"/>
        </w:rPr>
        <w:t>办公场地及费用、</w:t>
      </w:r>
      <w:r>
        <w:rPr>
          <w:rFonts w:hint="eastAsia" w:ascii="宋体" w:hAnsi="宋体" w:eastAsia="宋体" w:cs="宋体"/>
          <w:bCs/>
          <w:color w:val="auto"/>
          <w:szCs w:val="21"/>
          <w:highlight w:val="none"/>
        </w:rPr>
        <w:t>停车场地（租金）费用由中标供应商自行负责，费用计入投标总价。</w:t>
      </w:r>
    </w:p>
    <w:p w14:paraId="6203B000">
      <w:pPr>
        <w:pStyle w:val="51"/>
        <w:ind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color w:val="auto"/>
          <w:szCs w:val="22"/>
          <w:highlight w:val="none"/>
        </w:rPr>
        <w:t>投标供应商的报价应包括为完成本项目服务可能发生的全部费用及投标供应商的利润和应交纳的税金等（包括保洁、</w:t>
      </w:r>
      <w:r>
        <w:rPr>
          <w:rFonts w:hint="eastAsia" w:ascii="宋体" w:hAnsi="宋体" w:cs="宋体"/>
          <w:color w:val="auto"/>
          <w:szCs w:val="22"/>
          <w:highlight w:val="none"/>
          <w:lang w:val="en-US" w:eastAsia="zh-CN"/>
        </w:rPr>
        <w:t>绿化养护、</w:t>
      </w:r>
      <w:r>
        <w:rPr>
          <w:rFonts w:hint="eastAsia" w:ascii="宋体" w:hAnsi="宋体" w:eastAsia="宋体" w:cs="宋体"/>
          <w:color w:val="auto"/>
          <w:szCs w:val="22"/>
          <w:highlight w:val="none"/>
        </w:rPr>
        <w:t>电工、堤防标准化管理、建筑、设施维运及其他所有服务所需的一切人员工资、奖金、各种加班费、夜餐费、各种社会保险、食宿与交通、专用设备及工具、器械、完成服务所需的消耗材料（物料）、服装、安全、仓储、运输（包括垃圾外运）、维修、管理费用、税费、招标代理服务费、利润、完成合同所需的一切本身和不可或缺的所有工作开支等）。投标供应商对合同内容的费用、质量、安全、文明服务等实行全面承包</w:t>
      </w:r>
      <w:r>
        <w:rPr>
          <w:rFonts w:hint="eastAsia" w:ascii="宋体" w:hAnsi="宋体" w:eastAsia="宋体" w:cs="宋体"/>
          <w:bCs/>
          <w:color w:val="auto"/>
          <w:szCs w:val="21"/>
          <w:highlight w:val="none"/>
        </w:rPr>
        <w:t>。</w:t>
      </w:r>
    </w:p>
    <w:p w14:paraId="4758F76D">
      <w:pPr>
        <w:pStyle w:val="51"/>
        <w:ind w:firstLine="440" w:firstLineChars="200"/>
        <w:rPr>
          <w:rFonts w:hint="eastAsia"/>
          <w:color w:val="auto"/>
          <w:highlight w:val="none"/>
        </w:rPr>
      </w:pP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w:t>
      </w:r>
      <w:r>
        <w:rPr>
          <w:rFonts w:hint="eastAsia" w:ascii="宋体" w:hAnsi="宋体" w:eastAsia="宋体" w:cs="宋体"/>
          <w:b/>
          <w:bCs w:val="0"/>
          <w:color w:val="auto"/>
          <w:szCs w:val="21"/>
          <w:highlight w:val="none"/>
        </w:rPr>
        <w:t>本项目</w:t>
      </w:r>
      <w:r>
        <w:rPr>
          <w:rFonts w:hint="eastAsia" w:ascii="宋体" w:hAnsi="宋体" w:eastAsia="宋体" w:cs="宋体"/>
          <w:b/>
          <w:bCs w:val="0"/>
          <w:color w:val="auto"/>
          <w:szCs w:val="21"/>
          <w:highlight w:val="none"/>
          <w:lang w:val="en-US" w:eastAsia="zh-CN"/>
        </w:rPr>
        <w:t>绿化养护服务费</w:t>
      </w:r>
      <w:r>
        <w:rPr>
          <w:rFonts w:hint="eastAsia" w:ascii="宋体" w:hAnsi="宋体" w:eastAsia="宋体" w:cs="宋体"/>
          <w:b/>
          <w:bCs w:val="0"/>
          <w:color w:val="auto"/>
          <w:szCs w:val="21"/>
          <w:highlight w:val="none"/>
        </w:rPr>
        <w:t>（暂列金额）为：</w:t>
      </w:r>
      <w:r>
        <w:rPr>
          <w:rFonts w:hint="eastAsia" w:ascii="宋体" w:hAnsi="宋体" w:eastAsia="宋体" w:cs="宋体"/>
          <w:b/>
          <w:bCs w:val="0"/>
          <w:color w:val="auto"/>
          <w:szCs w:val="21"/>
          <w:highlight w:val="none"/>
          <w:lang w:val="en-US" w:eastAsia="zh-CN"/>
        </w:rPr>
        <w:t>600000</w:t>
      </w:r>
      <w:r>
        <w:rPr>
          <w:rFonts w:hint="eastAsia" w:ascii="宋体" w:hAnsi="宋体" w:eastAsia="宋体" w:cs="宋体"/>
          <w:b/>
          <w:bCs w:val="0"/>
          <w:color w:val="auto"/>
          <w:szCs w:val="21"/>
          <w:highlight w:val="none"/>
        </w:rPr>
        <w:t>元。</w:t>
      </w:r>
      <w:r>
        <w:rPr>
          <w:rFonts w:hint="eastAsia" w:ascii="宋体" w:hAnsi="宋体" w:eastAsia="宋体" w:cs="宋体"/>
          <w:bCs/>
          <w:color w:val="auto"/>
          <w:szCs w:val="21"/>
          <w:highlight w:val="none"/>
        </w:rPr>
        <w:t>本暂列</w:t>
      </w:r>
      <w:r>
        <w:rPr>
          <w:rFonts w:hint="eastAsia" w:ascii="宋体" w:hAnsi="宋体" w:eastAsia="宋体" w:cs="宋体"/>
          <w:bCs/>
          <w:color w:val="auto"/>
          <w:szCs w:val="21"/>
          <w:highlight w:val="none"/>
          <w:lang w:val="en-US" w:eastAsia="zh-CN"/>
        </w:rPr>
        <w:t>金</w:t>
      </w:r>
      <w:r>
        <w:rPr>
          <w:rFonts w:hint="eastAsia" w:ascii="宋体" w:hAnsi="宋体" w:eastAsia="宋体" w:cs="宋体"/>
          <w:bCs/>
          <w:color w:val="auto"/>
          <w:szCs w:val="21"/>
          <w:highlight w:val="none"/>
        </w:rPr>
        <w:t>不参与投标下浮，</w:t>
      </w:r>
      <w:r>
        <w:rPr>
          <w:rFonts w:hint="eastAsia" w:ascii="宋体" w:hAnsi="宋体" w:cs="宋体"/>
          <w:bCs/>
          <w:color w:val="auto"/>
          <w:szCs w:val="21"/>
          <w:highlight w:val="none"/>
          <w:lang w:val="en-US" w:eastAsia="zh-CN"/>
        </w:rPr>
        <w:t>执行</w:t>
      </w:r>
      <w:r>
        <w:rPr>
          <w:rFonts w:hint="eastAsia" w:ascii="宋体" w:hAnsi="宋体" w:eastAsia="宋体" w:cs="宋体"/>
          <w:bCs/>
          <w:color w:val="auto"/>
          <w:szCs w:val="21"/>
          <w:highlight w:val="none"/>
          <w:lang w:val="en-US" w:eastAsia="zh-CN"/>
        </w:rPr>
        <w:t>实报实销</w:t>
      </w:r>
      <w:r>
        <w:rPr>
          <w:rFonts w:hint="eastAsia" w:ascii="宋体" w:hAnsi="宋体" w:cs="宋体"/>
          <w:bCs/>
          <w:color w:val="auto"/>
          <w:szCs w:val="21"/>
          <w:highlight w:val="none"/>
          <w:lang w:val="en-US" w:eastAsia="zh-CN"/>
        </w:rPr>
        <w:t>，按季度结算，每次发生的费用按总人工计算。</w:t>
      </w:r>
    </w:p>
    <w:p w14:paraId="49384F4B">
      <w:pPr>
        <w:pStyle w:val="51"/>
        <w:ind w:firstLine="440" w:firstLineChars="200"/>
        <w:rPr>
          <w:rFonts w:hint="eastAsia" w:ascii="宋体" w:hAnsi="宋体" w:eastAsia="宋体" w:cs="宋体"/>
          <w:color w:val="auto"/>
          <w:szCs w:val="22"/>
          <w:highlight w:val="none"/>
        </w:rPr>
      </w:pP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w:t>
      </w:r>
      <w:r>
        <w:rPr>
          <w:rFonts w:hint="eastAsia" w:ascii="宋体" w:hAnsi="宋体" w:eastAsia="宋体" w:cs="宋体"/>
          <w:b/>
          <w:bCs/>
          <w:color w:val="auto"/>
          <w:szCs w:val="22"/>
          <w:highlight w:val="none"/>
        </w:rPr>
        <w:t>本项目建筑、设施维护费（暂列金额）为：70000元</w:t>
      </w:r>
      <w:r>
        <w:rPr>
          <w:rFonts w:hint="eastAsia" w:ascii="宋体" w:hAnsi="宋体" w:eastAsia="宋体" w:cs="宋体"/>
          <w:color w:val="auto"/>
          <w:szCs w:val="22"/>
          <w:highlight w:val="none"/>
        </w:rPr>
        <w:t>。如实际项目实施过程中出现设备更换等费用时，供应商应书面形式将需要更换的项目（包括书面报告、事前图片等材料）报告给业主，经业主确认后，方可进行更换，更换完成后需提供事前事后图片、工程量清单、验收证明（需业主组织验收小组进行验收，验收时间由验收组制定好时间通知供应商进行验收）等证明材料报业主进行审价，审价后支付更换款项。本暂列维修金不参与投标下浮，执行实报实销。</w:t>
      </w:r>
    </w:p>
    <w:p w14:paraId="43B8EE9F">
      <w:pPr>
        <w:pStyle w:val="51"/>
        <w:ind w:firstLine="440" w:firstLineChars="200"/>
        <w:rPr>
          <w:rFonts w:hint="eastAsia" w:ascii="宋体" w:hAnsi="宋体" w:eastAsia="宋体" w:cs="宋体"/>
          <w:color w:val="auto"/>
          <w:szCs w:val="22"/>
          <w:highlight w:val="none"/>
        </w:rPr>
      </w:pP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w:t>
      </w:r>
      <w:r>
        <w:rPr>
          <w:rFonts w:hint="eastAsia" w:ascii="宋体" w:hAnsi="宋体" w:eastAsia="宋体" w:cs="宋体"/>
          <w:b/>
          <w:bCs/>
          <w:color w:val="auto"/>
          <w:szCs w:val="22"/>
          <w:highlight w:val="none"/>
        </w:rPr>
        <w:t>本项目路灯电费（暂列金额）为：70200元</w:t>
      </w:r>
      <w:r>
        <w:rPr>
          <w:rFonts w:hint="eastAsia" w:ascii="宋体" w:hAnsi="宋体" w:eastAsia="宋体" w:cs="宋体"/>
          <w:color w:val="auto"/>
          <w:szCs w:val="22"/>
          <w:highlight w:val="none"/>
        </w:rPr>
        <w:t>。本暂列维修金不参与投标下浮，执行实报实销。</w:t>
      </w:r>
    </w:p>
    <w:p w14:paraId="37D0779B">
      <w:pPr>
        <w:pStyle w:val="51"/>
        <w:ind w:firstLine="44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、本次采购，在服务期内如因政策性因素调整导致相关人员的工资、社保、节假日、高温补贴出现变化的，该部分费用由中标供应商自行承担，采购人不予以调整该部分费用，各供应商在报价时须综合考虑风险。</w:t>
      </w:r>
    </w:p>
    <w:p w14:paraId="16633B7E">
      <w:pPr>
        <w:autoSpaceDE w:val="0"/>
        <w:autoSpaceDN w:val="0"/>
        <w:adjustRightInd w:val="0"/>
        <w:spacing w:line="600" w:lineRule="exact"/>
        <w:ind w:firstLine="2530" w:firstLineChars="90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b/>
          <w:color w:val="auto"/>
          <w:kern w:val="0"/>
          <w:sz w:val="28"/>
          <w:szCs w:val="28"/>
          <w:highlight w:val="none"/>
        </w:rPr>
        <w:t>人员费用成本组成表</w:t>
      </w:r>
    </w:p>
    <w:tbl>
      <w:tblPr>
        <w:tblStyle w:val="32"/>
        <w:tblW w:w="9954" w:type="dxa"/>
        <w:tblInd w:w="-422"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9"/>
        <w:gridCol w:w="2078"/>
        <w:gridCol w:w="1155"/>
        <w:gridCol w:w="709"/>
        <w:gridCol w:w="1134"/>
        <w:gridCol w:w="4179"/>
      </w:tblGrid>
      <w:tr w14:paraId="2AFC167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699" w:type="dxa"/>
            <w:shd w:val="clear" w:color="000000" w:fill="C5D9F1"/>
            <w:vAlign w:val="center"/>
          </w:tcPr>
          <w:p w14:paraId="77EDFCD4">
            <w:pPr>
              <w:widowControl/>
              <w:jc w:val="center"/>
              <w:rPr>
                <w:rFonts w:hint="eastAsia"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t>序号</w:t>
            </w:r>
          </w:p>
        </w:tc>
        <w:tc>
          <w:tcPr>
            <w:tcW w:w="2078" w:type="dxa"/>
            <w:shd w:val="clear" w:color="000000" w:fill="C5D9F1"/>
            <w:vAlign w:val="center"/>
          </w:tcPr>
          <w:p w14:paraId="000949BB">
            <w:pPr>
              <w:widowControl/>
              <w:jc w:val="center"/>
              <w:rPr>
                <w:rFonts w:hint="eastAsia"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t>支出项目</w:t>
            </w:r>
          </w:p>
        </w:tc>
        <w:tc>
          <w:tcPr>
            <w:tcW w:w="1155" w:type="dxa"/>
            <w:tcBorders>
              <w:right w:val="single" w:color="auto" w:sz="4" w:space="0"/>
            </w:tcBorders>
            <w:shd w:val="clear" w:color="000000" w:fill="C5D9F1"/>
            <w:vAlign w:val="center"/>
          </w:tcPr>
          <w:p w14:paraId="7F5E3005">
            <w:pPr>
              <w:widowControl/>
              <w:jc w:val="center"/>
              <w:rPr>
                <w:rFonts w:hint="eastAsia"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t>单价（元）</w:t>
            </w:r>
          </w:p>
        </w:tc>
        <w:tc>
          <w:tcPr>
            <w:tcW w:w="709" w:type="dxa"/>
            <w:tcBorders>
              <w:left w:val="single" w:color="auto" w:sz="4" w:space="0"/>
              <w:right w:val="single" w:color="auto" w:sz="4" w:space="0"/>
            </w:tcBorders>
            <w:shd w:val="clear" w:color="000000" w:fill="C5D9F1"/>
            <w:vAlign w:val="center"/>
          </w:tcPr>
          <w:p w14:paraId="5B652CA6">
            <w:pPr>
              <w:widowControl/>
              <w:jc w:val="center"/>
              <w:rPr>
                <w:rFonts w:hint="eastAsia"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t>数量</w:t>
            </w:r>
          </w:p>
        </w:tc>
        <w:tc>
          <w:tcPr>
            <w:tcW w:w="1134" w:type="dxa"/>
            <w:tcBorders>
              <w:left w:val="single" w:color="auto" w:sz="4" w:space="0"/>
            </w:tcBorders>
            <w:shd w:val="clear" w:color="000000" w:fill="C5D9F1"/>
            <w:vAlign w:val="center"/>
          </w:tcPr>
          <w:p w14:paraId="536EB518">
            <w:pPr>
              <w:widowControl/>
              <w:jc w:val="center"/>
              <w:rPr>
                <w:rFonts w:hint="eastAsia"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t>金额（元）</w:t>
            </w:r>
          </w:p>
        </w:tc>
        <w:tc>
          <w:tcPr>
            <w:tcW w:w="4179" w:type="dxa"/>
            <w:shd w:val="clear" w:color="000000" w:fill="C5D9F1"/>
            <w:vAlign w:val="center"/>
          </w:tcPr>
          <w:p w14:paraId="59263CEC">
            <w:pPr>
              <w:widowControl/>
              <w:jc w:val="center"/>
              <w:rPr>
                <w:rFonts w:hint="eastAsia"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t>备注</w:t>
            </w:r>
          </w:p>
        </w:tc>
      </w:tr>
      <w:tr w14:paraId="201A40E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699" w:type="dxa"/>
            <w:vAlign w:val="center"/>
          </w:tcPr>
          <w:p w14:paraId="23F64F7C">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1</w:t>
            </w:r>
          </w:p>
        </w:tc>
        <w:tc>
          <w:tcPr>
            <w:tcW w:w="2078" w:type="dxa"/>
            <w:vAlign w:val="center"/>
          </w:tcPr>
          <w:p w14:paraId="3B541EB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人员工资</w:t>
            </w:r>
          </w:p>
        </w:tc>
        <w:tc>
          <w:tcPr>
            <w:tcW w:w="1155" w:type="dxa"/>
            <w:tcBorders>
              <w:right w:val="single" w:color="auto" w:sz="4" w:space="0"/>
            </w:tcBorders>
            <w:vAlign w:val="center"/>
          </w:tcPr>
          <w:p w14:paraId="252C1892">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2211</w:t>
            </w:r>
          </w:p>
        </w:tc>
        <w:tc>
          <w:tcPr>
            <w:tcW w:w="709" w:type="dxa"/>
            <w:tcBorders>
              <w:left w:val="single" w:color="auto" w:sz="4" w:space="0"/>
              <w:right w:val="single" w:color="auto" w:sz="4" w:space="0"/>
            </w:tcBorders>
            <w:vAlign w:val="center"/>
          </w:tcPr>
          <w:p w14:paraId="27B75FB3">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12</w:t>
            </w:r>
          </w:p>
        </w:tc>
        <w:tc>
          <w:tcPr>
            <w:tcW w:w="1134" w:type="dxa"/>
            <w:tcBorders>
              <w:left w:val="single" w:color="auto" w:sz="4" w:space="0"/>
            </w:tcBorders>
            <w:vAlign w:val="center"/>
          </w:tcPr>
          <w:p w14:paraId="40DF148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26532</w:t>
            </w:r>
          </w:p>
        </w:tc>
        <w:tc>
          <w:tcPr>
            <w:tcW w:w="4179" w:type="dxa"/>
            <w:vAlign w:val="center"/>
          </w:tcPr>
          <w:p w14:paraId="45CD1490">
            <w:pPr>
              <w:autoSpaceDE w:val="0"/>
              <w:autoSpaceDN w:val="0"/>
              <w:adjustRightInd w:val="0"/>
              <w:spacing w:line="276" w:lineRule="auto"/>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■依据《浙江省人民政府办公厅关于进一步改善环卫工人工作生活条件促进环卫事业持续健康发展的若干意见》浙政办发〔2009〕190号的规定； </w:t>
            </w:r>
          </w:p>
          <w:p w14:paraId="5DA50E16">
            <w:pPr>
              <w:autoSpaceDE w:val="0"/>
              <w:autoSpaceDN w:val="0"/>
              <w:adjustRightInd w:val="0"/>
              <w:spacing w:line="276" w:lineRule="auto"/>
              <w:jc w:val="left"/>
              <w:rPr>
                <w:rFonts w:hint="eastAsia" w:ascii="宋体" w:hAnsi="宋体" w:eastAsia="宋体" w:cs="宋体"/>
                <w:color w:val="auto"/>
                <w:kern w:val="0"/>
                <w:szCs w:val="22"/>
                <w:highlight w:val="none"/>
              </w:rPr>
            </w:pPr>
            <w:r>
              <w:rPr>
                <w:rFonts w:hint="eastAsia" w:ascii="宋体" w:hAnsi="宋体" w:eastAsia="宋体" w:cs="宋体"/>
                <w:color w:val="auto"/>
                <w:kern w:val="0"/>
                <w:sz w:val="20"/>
                <w:highlight w:val="none"/>
              </w:rPr>
              <w:t>■依据</w:t>
            </w:r>
            <w:r>
              <w:rPr>
                <w:rFonts w:hint="eastAsia" w:ascii="宋体" w:hAnsi="宋体" w:eastAsia="宋体" w:cs="宋体"/>
                <w:color w:val="auto"/>
                <w:kern w:val="0"/>
                <w:sz w:val="20"/>
                <w:highlight w:val="none"/>
                <w:lang w:val="en-US" w:eastAsia="zh-CN"/>
              </w:rPr>
              <w:t>《温州市人民政府关于调整全市最低工资标准的通知》（温政发〔2024〕16号）</w:t>
            </w:r>
            <w:r>
              <w:rPr>
                <w:rFonts w:hint="eastAsia" w:ascii="宋体" w:hAnsi="宋体" w:eastAsia="宋体" w:cs="宋体"/>
                <w:color w:val="auto"/>
                <w:kern w:val="0"/>
                <w:sz w:val="20"/>
                <w:highlight w:val="none"/>
              </w:rPr>
              <w:t>。</w:t>
            </w:r>
          </w:p>
        </w:tc>
      </w:tr>
      <w:tr w14:paraId="41072AA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699" w:type="dxa"/>
            <w:vAlign w:val="center"/>
          </w:tcPr>
          <w:p w14:paraId="2A39A342">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2</w:t>
            </w:r>
          </w:p>
        </w:tc>
        <w:tc>
          <w:tcPr>
            <w:tcW w:w="2078" w:type="dxa"/>
            <w:vAlign w:val="center"/>
          </w:tcPr>
          <w:p w14:paraId="0038E8AE">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高温补贴</w:t>
            </w:r>
          </w:p>
        </w:tc>
        <w:tc>
          <w:tcPr>
            <w:tcW w:w="1155" w:type="dxa"/>
            <w:tcBorders>
              <w:right w:val="single" w:color="auto" w:sz="4" w:space="0"/>
            </w:tcBorders>
            <w:vAlign w:val="center"/>
          </w:tcPr>
          <w:p w14:paraId="22431C8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300.00</w:t>
            </w:r>
          </w:p>
        </w:tc>
        <w:tc>
          <w:tcPr>
            <w:tcW w:w="709" w:type="dxa"/>
            <w:tcBorders>
              <w:left w:val="single" w:color="auto" w:sz="4" w:space="0"/>
            </w:tcBorders>
            <w:vAlign w:val="center"/>
          </w:tcPr>
          <w:p w14:paraId="03AB0FB1">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1134" w:type="dxa"/>
            <w:vAlign w:val="center"/>
          </w:tcPr>
          <w:p w14:paraId="54859938">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1200.00</w:t>
            </w:r>
          </w:p>
        </w:tc>
        <w:tc>
          <w:tcPr>
            <w:tcW w:w="4179" w:type="dxa"/>
            <w:vAlign w:val="center"/>
          </w:tcPr>
          <w:p w14:paraId="2453E1B9">
            <w:pPr>
              <w:autoSpaceDE w:val="0"/>
              <w:autoSpaceDN w:val="0"/>
              <w:adjustRightInd w:val="0"/>
              <w:spacing w:line="276" w:lineRule="auto"/>
              <w:jc w:val="left"/>
              <w:rPr>
                <w:rFonts w:hint="eastAsia" w:ascii="宋体" w:hAnsi="宋体" w:eastAsia="宋体" w:cs="宋体"/>
                <w:color w:val="auto"/>
                <w:kern w:val="0"/>
                <w:szCs w:val="22"/>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szCs w:val="22"/>
                <w:highlight w:val="none"/>
              </w:rPr>
              <w:t>依据《浙江省人力资源和社会保障厅关于调整企业夏季高温津贴标准有关问题的通知》（浙人社发〔2018〕65号）。</w:t>
            </w:r>
          </w:p>
        </w:tc>
      </w:tr>
      <w:tr w14:paraId="13AF61C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699" w:type="dxa"/>
            <w:vAlign w:val="center"/>
          </w:tcPr>
          <w:p w14:paraId="4AFC4E91">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3</w:t>
            </w:r>
          </w:p>
        </w:tc>
        <w:tc>
          <w:tcPr>
            <w:tcW w:w="2078" w:type="dxa"/>
            <w:vAlign w:val="center"/>
          </w:tcPr>
          <w:p w14:paraId="4C5EDAD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日常加班费</w:t>
            </w:r>
          </w:p>
        </w:tc>
        <w:tc>
          <w:tcPr>
            <w:tcW w:w="1155" w:type="dxa"/>
            <w:tcBorders>
              <w:right w:val="single" w:color="auto" w:sz="4" w:space="0"/>
            </w:tcBorders>
            <w:vAlign w:val="center"/>
          </w:tcPr>
          <w:p w14:paraId="6DFED6A7">
            <w:pPr>
              <w:keepNext w:val="0"/>
              <w:keepLines w:val="0"/>
              <w:widowControl/>
              <w:suppressLineNumbers w:val="0"/>
              <w:jc w:val="center"/>
              <w:textAlignment w:val="center"/>
              <w:rPr>
                <w:rFonts w:hint="default" w:ascii="宋体" w:hAnsi="宋体" w:eastAsia="宋体" w:cs="宋体"/>
                <w:b/>
                <w:bCs/>
                <w:color w:val="auto"/>
                <w:highlight w:val="none"/>
                <w:lang w:val="en-US"/>
              </w:rPr>
            </w:pPr>
            <w:r>
              <w:rPr>
                <w:rFonts w:hint="eastAsia" w:ascii="宋体" w:hAnsi="宋体" w:cs="宋体"/>
                <w:b/>
                <w:bCs/>
                <w:i w:val="0"/>
                <w:iCs w:val="0"/>
                <w:color w:val="auto"/>
                <w:kern w:val="0"/>
                <w:sz w:val="22"/>
                <w:szCs w:val="22"/>
                <w:highlight w:val="none"/>
                <w:u w:val="none"/>
                <w:lang w:val="en-US" w:eastAsia="zh-CN" w:bidi="ar"/>
              </w:rPr>
              <w:t>156</w:t>
            </w:r>
          </w:p>
        </w:tc>
        <w:tc>
          <w:tcPr>
            <w:tcW w:w="709" w:type="dxa"/>
            <w:tcBorders>
              <w:left w:val="single" w:color="auto" w:sz="4" w:space="0"/>
            </w:tcBorders>
            <w:vAlign w:val="center"/>
          </w:tcPr>
          <w:p w14:paraId="647DAF5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24</w:t>
            </w:r>
          </w:p>
        </w:tc>
        <w:tc>
          <w:tcPr>
            <w:tcW w:w="1134" w:type="dxa"/>
            <w:vAlign w:val="center"/>
          </w:tcPr>
          <w:p w14:paraId="44BD75CD">
            <w:pPr>
              <w:keepNext w:val="0"/>
              <w:keepLines w:val="0"/>
              <w:widowControl/>
              <w:suppressLineNumbers w:val="0"/>
              <w:jc w:val="center"/>
              <w:textAlignment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3744</w:t>
            </w:r>
          </w:p>
        </w:tc>
        <w:tc>
          <w:tcPr>
            <w:tcW w:w="4179" w:type="dxa"/>
            <w:vAlign w:val="center"/>
          </w:tcPr>
          <w:p w14:paraId="335D0C58">
            <w:pPr>
              <w:autoSpaceDE w:val="0"/>
              <w:autoSpaceDN w:val="0"/>
              <w:adjustRightInd w:val="0"/>
              <w:spacing w:line="276" w:lineRule="auto"/>
              <w:jc w:val="left"/>
              <w:rPr>
                <w:rFonts w:hint="eastAsia" w:ascii="宋体" w:hAnsi="宋体" w:eastAsia="宋体" w:cs="宋体"/>
                <w:color w:val="auto"/>
                <w:kern w:val="0"/>
                <w:szCs w:val="22"/>
                <w:highlight w:val="none"/>
              </w:rPr>
            </w:pPr>
            <w:r>
              <w:rPr>
                <w:rFonts w:hint="eastAsia" w:ascii="宋体" w:hAnsi="宋体" w:eastAsia="宋体" w:cs="宋体"/>
                <w:color w:val="auto"/>
                <w:kern w:val="0"/>
                <w:sz w:val="20"/>
                <w:highlight w:val="none"/>
              </w:rPr>
              <w:t>■每人每年日常加班合计24天，日常加班费按日工资的200%计算。</w:t>
            </w:r>
          </w:p>
        </w:tc>
      </w:tr>
      <w:tr w14:paraId="50EFEE8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699" w:type="dxa"/>
            <w:vAlign w:val="center"/>
          </w:tcPr>
          <w:p w14:paraId="4A464ED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2078" w:type="dxa"/>
            <w:vAlign w:val="center"/>
          </w:tcPr>
          <w:p w14:paraId="064BF94F">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节假日加班费</w:t>
            </w:r>
          </w:p>
        </w:tc>
        <w:tc>
          <w:tcPr>
            <w:tcW w:w="1155" w:type="dxa"/>
            <w:tcBorders>
              <w:right w:val="single" w:color="auto" w:sz="4" w:space="0"/>
            </w:tcBorders>
            <w:vAlign w:val="center"/>
          </w:tcPr>
          <w:p w14:paraId="2BA805B2">
            <w:pPr>
              <w:keepNext w:val="0"/>
              <w:keepLines w:val="0"/>
              <w:widowControl/>
              <w:suppressLineNumbers w:val="0"/>
              <w:jc w:val="center"/>
              <w:textAlignment w:val="center"/>
              <w:rPr>
                <w:rFonts w:hint="default" w:ascii="宋体" w:hAnsi="宋体" w:eastAsia="宋体" w:cs="宋体"/>
                <w:b/>
                <w:bCs/>
                <w:color w:val="auto"/>
                <w:highlight w:val="none"/>
                <w:lang w:val="en-US"/>
              </w:rPr>
            </w:pPr>
            <w:r>
              <w:rPr>
                <w:rFonts w:hint="eastAsia" w:ascii="宋体" w:hAnsi="宋体" w:cs="宋体"/>
                <w:b/>
                <w:bCs/>
                <w:i w:val="0"/>
                <w:iCs w:val="0"/>
                <w:color w:val="auto"/>
                <w:kern w:val="0"/>
                <w:sz w:val="22"/>
                <w:szCs w:val="22"/>
                <w:highlight w:val="none"/>
                <w:u w:val="none"/>
                <w:lang w:val="en-US" w:eastAsia="zh-CN" w:bidi="ar"/>
              </w:rPr>
              <w:t>235</w:t>
            </w:r>
          </w:p>
        </w:tc>
        <w:tc>
          <w:tcPr>
            <w:tcW w:w="709" w:type="dxa"/>
            <w:tcBorders>
              <w:left w:val="single" w:color="auto" w:sz="4" w:space="0"/>
            </w:tcBorders>
            <w:vAlign w:val="center"/>
          </w:tcPr>
          <w:p w14:paraId="67EF47C4">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w:t>
            </w:r>
          </w:p>
        </w:tc>
        <w:tc>
          <w:tcPr>
            <w:tcW w:w="1134" w:type="dxa"/>
            <w:vAlign w:val="center"/>
          </w:tcPr>
          <w:p w14:paraId="61A11CB1">
            <w:pPr>
              <w:keepNext w:val="0"/>
              <w:keepLines w:val="0"/>
              <w:widowControl/>
              <w:suppressLineNumbers w:val="0"/>
              <w:jc w:val="center"/>
              <w:textAlignment w:val="center"/>
              <w:rPr>
                <w:rFonts w:hint="default" w:ascii="宋体" w:hAnsi="宋体" w:eastAsia="宋体" w:cs="宋体"/>
                <w:b/>
                <w:bCs/>
                <w:color w:val="auto"/>
                <w:highlight w:val="none"/>
                <w:lang w:val="en-US"/>
              </w:rPr>
            </w:pPr>
            <w:r>
              <w:rPr>
                <w:rFonts w:hint="eastAsia" w:ascii="宋体" w:hAnsi="宋体" w:cs="宋体"/>
                <w:b/>
                <w:bCs/>
                <w:i w:val="0"/>
                <w:iCs w:val="0"/>
                <w:color w:val="auto"/>
                <w:kern w:val="0"/>
                <w:sz w:val="22"/>
                <w:szCs w:val="22"/>
                <w:highlight w:val="none"/>
                <w:u w:val="none"/>
                <w:lang w:val="en-US" w:eastAsia="zh-CN" w:bidi="ar"/>
              </w:rPr>
              <w:t>2585</w:t>
            </w:r>
          </w:p>
        </w:tc>
        <w:tc>
          <w:tcPr>
            <w:tcW w:w="4179" w:type="dxa"/>
            <w:vAlign w:val="center"/>
          </w:tcPr>
          <w:p w14:paraId="7CD6A11E">
            <w:pPr>
              <w:widowControl/>
              <w:spacing w:line="276" w:lineRule="auto"/>
              <w:jc w:val="left"/>
              <w:rPr>
                <w:rFonts w:hint="eastAsia" w:ascii="宋体" w:hAnsi="宋体" w:eastAsia="宋体" w:cs="宋体"/>
                <w:color w:val="auto"/>
                <w:kern w:val="0"/>
                <w:szCs w:val="22"/>
                <w:highlight w:val="none"/>
              </w:rPr>
            </w:pPr>
            <w:r>
              <w:rPr>
                <w:rFonts w:hint="eastAsia" w:ascii="宋体" w:hAnsi="宋体" w:eastAsia="宋体" w:cs="宋体"/>
                <w:color w:val="auto"/>
                <w:kern w:val="0"/>
                <w:sz w:val="20"/>
                <w:highlight w:val="none"/>
              </w:rPr>
              <w:t>■国家法定节假日加班按日常工资的300%计算，法定节假日全年11天。</w:t>
            </w:r>
          </w:p>
        </w:tc>
      </w:tr>
      <w:tr w14:paraId="27801EC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699" w:type="dxa"/>
            <w:vAlign w:val="center"/>
          </w:tcPr>
          <w:p w14:paraId="1F9EFAA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5</w:t>
            </w:r>
          </w:p>
        </w:tc>
        <w:tc>
          <w:tcPr>
            <w:tcW w:w="2078" w:type="dxa"/>
            <w:vAlign w:val="center"/>
          </w:tcPr>
          <w:p w14:paraId="310390D2">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特殊岗位津贴</w:t>
            </w:r>
          </w:p>
        </w:tc>
        <w:tc>
          <w:tcPr>
            <w:tcW w:w="1155" w:type="dxa"/>
            <w:tcBorders>
              <w:right w:val="single" w:color="auto" w:sz="4" w:space="0"/>
            </w:tcBorders>
            <w:vAlign w:val="center"/>
          </w:tcPr>
          <w:p w14:paraId="70D79730">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10</w:t>
            </w:r>
          </w:p>
        </w:tc>
        <w:tc>
          <w:tcPr>
            <w:tcW w:w="709" w:type="dxa"/>
            <w:tcBorders>
              <w:left w:val="single" w:color="auto" w:sz="4" w:space="0"/>
            </w:tcBorders>
            <w:vAlign w:val="center"/>
          </w:tcPr>
          <w:p w14:paraId="19CFF08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330</w:t>
            </w:r>
          </w:p>
        </w:tc>
        <w:tc>
          <w:tcPr>
            <w:tcW w:w="1134" w:type="dxa"/>
            <w:vAlign w:val="center"/>
          </w:tcPr>
          <w:p w14:paraId="594BD1BF">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3300</w:t>
            </w:r>
          </w:p>
        </w:tc>
        <w:tc>
          <w:tcPr>
            <w:tcW w:w="4179" w:type="dxa"/>
            <w:vAlign w:val="center"/>
          </w:tcPr>
          <w:p w14:paraId="4CBA70A4">
            <w:pPr>
              <w:spacing w:line="276" w:lineRule="auto"/>
              <w:rPr>
                <w:rFonts w:hint="eastAsia" w:ascii="宋体" w:hAnsi="宋体" w:eastAsia="宋体" w:cs="宋体"/>
                <w:color w:val="auto"/>
                <w:szCs w:val="22"/>
                <w:highlight w:val="none"/>
              </w:rPr>
            </w:pPr>
            <w:r>
              <w:rPr>
                <w:rFonts w:hint="eastAsia" w:ascii="宋体" w:hAnsi="宋体" w:eastAsia="宋体" w:cs="宋体"/>
                <w:color w:val="auto"/>
                <w:kern w:val="0"/>
                <w:sz w:val="20"/>
                <w:highlight w:val="none"/>
              </w:rPr>
              <w:t>■依据《浙江省人民政府办公厅关于进一步改善环卫工人工作生活条件促进环卫事业持续健康发展的若干意见》（浙政办发〔2009〕190号）的规定；一线人员每出勤一日</w:t>
            </w:r>
            <w:r>
              <w:rPr>
                <w:rFonts w:hint="eastAsia" w:ascii="宋体" w:hAnsi="宋体" w:eastAsia="宋体" w:cs="宋体"/>
                <w:color w:val="auto"/>
                <w:sz w:val="20"/>
                <w:highlight w:val="none"/>
              </w:rPr>
              <w:t>特殊岗位津贴10元，一年按330天计算。</w:t>
            </w:r>
          </w:p>
        </w:tc>
      </w:tr>
      <w:tr w14:paraId="46C19C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293" w:hRule="atLeast"/>
        </w:trPr>
        <w:tc>
          <w:tcPr>
            <w:tcW w:w="699" w:type="dxa"/>
            <w:vAlign w:val="center"/>
          </w:tcPr>
          <w:p w14:paraId="7929213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6</w:t>
            </w:r>
          </w:p>
        </w:tc>
        <w:tc>
          <w:tcPr>
            <w:tcW w:w="2078" w:type="dxa"/>
            <w:vAlign w:val="center"/>
          </w:tcPr>
          <w:p w14:paraId="39EC16E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社会保障及公积金（单位缴纳部分）</w:t>
            </w:r>
          </w:p>
        </w:tc>
        <w:tc>
          <w:tcPr>
            <w:tcW w:w="1155" w:type="dxa"/>
            <w:tcBorders>
              <w:right w:val="single" w:color="auto" w:sz="4" w:space="0"/>
            </w:tcBorders>
            <w:vAlign w:val="center"/>
          </w:tcPr>
          <w:p w14:paraId="31380A6A">
            <w:pPr>
              <w:jc w:val="center"/>
              <w:rPr>
                <w:rFonts w:hint="eastAsia" w:ascii="宋体" w:hAnsi="宋体" w:eastAsia="宋体" w:cs="宋体"/>
                <w:b/>
                <w:bCs/>
                <w:color w:val="auto"/>
                <w:highlight w:val="none"/>
              </w:rPr>
            </w:pPr>
            <w:r>
              <w:rPr>
                <w:rFonts w:hint="eastAsia" w:ascii="宋体" w:hAnsi="宋体" w:eastAsia="宋体" w:cs="宋体"/>
                <w:b/>
                <w:bCs/>
                <w:color w:val="auto"/>
                <w:szCs w:val="22"/>
                <w:highlight w:val="none"/>
              </w:rPr>
              <w:t>1120.51</w:t>
            </w:r>
          </w:p>
        </w:tc>
        <w:tc>
          <w:tcPr>
            <w:tcW w:w="709" w:type="dxa"/>
            <w:tcBorders>
              <w:left w:val="single" w:color="auto" w:sz="4" w:space="0"/>
            </w:tcBorders>
            <w:vAlign w:val="center"/>
          </w:tcPr>
          <w:p w14:paraId="4DF46491">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12</w:t>
            </w:r>
          </w:p>
        </w:tc>
        <w:tc>
          <w:tcPr>
            <w:tcW w:w="1134" w:type="dxa"/>
            <w:vAlign w:val="center"/>
          </w:tcPr>
          <w:p w14:paraId="33C2E34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13446.12</w:t>
            </w:r>
          </w:p>
        </w:tc>
        <w:tc>
          <w:tcPr>
            <w:tcW w:w="4179" w:type="dxa"/>
            <w:vAlign w:val="center"/>
          </w:tcPr>
          <w:p w14:paraId="7B0A68BD">
            <w:pPr>
              <w:spacing w:line="276"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■根据劳动合同法规定，依法签订正式劳动合同，依法缴纳各项社会保障及公积金。</w:t>
            </w:r>
          </w:p>
          <w:p w14:paraId="59612128">
            <w:pPr>
              <w:spacing w:line="276"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■参照社会保险缴费标准I类企业缴纳标准缴纳养老、失业、工伤、生育、医疗保险。</w:t>
            </w:r>
          </w:p>
          <w:p w14:paraId="5695AAAD">
            <w:pPr>
              <w:spacing w:line="276" w:lineRule="auto"/>
              <w:rPr>
                <w:rFonts w:hint="eastAsia" w:ascii="宋体" w:hAnsi="宋体" w:eastAsia="宋体" w:cs="宋体"/>
                <w:color w:val="auto"/>
                <w:szCs w:val="22"/>
                <w:highlight w:val="none"/>
              </w:rPr>
            </w:pPr>
            <w:r>
              <w:rPr>
                <w:rFonts w:hint="eastAsia" w:ascii="宋体" w:hAnsi="宋体" w:eastAsia="宋体" w:cs="宋体"/>
                <w:color w:val="auto"/>
                <w:kern w:val="0"/>
                <w:highlight w:val="none"/>
              </w:rPr>
              <w:t>公积金按最低标准每月166元。</w:t>
            </w:r>
          </w:p>
        </w:tc>
      </w:tr>
      <w:tr w14:paraId="1E64B39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699" w:type="dxa"/>
            <w:vAlign w:val="center"/>
          </w:tcPr>
          <w:p w14:paraId="0C90F7FD">
            <w:pPr>
              <w:widowControl/>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7</w:t>
            </w:r>
          </w:p>
        </w:tc>
        <w:tc>
          <w:tcPr>
            <w:tcW w:w="2078" w:type="dxa"/>
            <w:vAlign w:val="center"/>
          </w:tcPr>
          <w:p w14:paraId="30865AA3">
            <w:pPr>
              <w:widowControl/>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安全保障用具、服装及工具</w:t>
            </w:r>
          </w:p>
        </w:tc>
        <w:tc>
          <w:tcPr>
            <w:tcW w:w="2998" w:type="dxa"/>
            <w:gridSpan w:val="3"/>
            <w:vAlign w:val="center"/>
          </w:tcPr>
          <w:p w14:paraId="2D4FDBC2">
            <w:pPr>
              <w:widowControl/>
              <w:ind w:right="55" w:firstLine="221" w:firstLineChars="10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根据实际报价</w:t>
            </w:r>
          </w:p>
        </w:tc>
        <w:tc>
          <w:tcPr>
            <w:tcW w:w="4179" w:type="dxa"/>
            <w:vAlign w:val="center"/>
          </w:tcPr>
          <w:p w14:paraId="6BAE7252">
            <w:pPr>
              <w:autoSpaceDE w:val="0"/>
              <w:autoSpaceDN w:val="0"/>
              <w:adjustRightInd w:val="0"/>
              <w:spacing w:line="276" w:lineRule="auto"/>
              <w:jc w:val="lef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包含：保洁工具（扫帚、畚斗）、 毛巾、符合环卫安全标准的作业服（包括春装一套、夏装两套、秋装一套、冬装一套、雨天工作服一套）、反光背心一件、雨鞋一双、帽二顶。</w:t>
            </w:r>
          </w:p>
        </w:tc>
      </w:tr>
      <w:tr w14:paraId="6CAB7F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699" w:type="dxa"/>
            <w:vAlign w:val="center"/>
          </w:tcPr>
          <w:p w14:paraId="184B89BF">
            <w:pPr>
              <w:widowControl/>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8</w:t>
            </w:r>
          </w:p>
        </w:tc>
        <w:tc>
          <w:tcPr>
            <w:tcW w:w="2078" w:type="dxa"/>
            <w:vAlign w:val="center"/>
          </w:tcPr>
          <w:p w14:paraId="24F01398">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人身意外伤害险</w:t>
            </w:r>
          </w:p>
        </w:tc>
        <w:tc>
          <w:tcPr>
            <w:tcW w:w="2998" w:type="dxa"/>
            <w:gridSpan w:val="3"/>
            <w:vAlign w:val="center"/>
          </w:tcPr>
          <w:p w14:paraId="292C7255">
            <w:pPr>
              <w:widowControl/>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420.00元/人/年</w:t>
            </w:r>
          </w:p>
        </w:tc>
        <w:tc>
          <w:tcPr>
            <w:tcW w:w="4179" w:type="dxa"/>
            <w:vAlign w:val="center"/>
          </w:tcPr>
          <w:p w14:paraId="292ADEA1">
            <w:pPr>
              <w:widowControl/>
              <w:jc w:val="left"/>
              <w:rPr>
                <w:rFonts w:hint="eastAsia" w:ascii="宋体" w:hAnsi="宋体" w:eastAsia="宋体" w:cs="宋体"/>
                <w:b/>
                <w:bCs/>
                <w:color w:val="auto"/>
                <w:highlight w:val="none"/>
              </w:rPr>
            </w:pPr>
            <w:r>
              <w:rPr>
                <w:rFonts w:hint="eastAsia" w:ascii="宋体" w:hAnsi="宋体" w:eastAsia="宋体" w:cs="宋体"/>
                <w:color w:val="auto"/>
                <w:kern w:val="0"/>
                <w:highlight w:val="none"/>
              </w:rPr>
              <w:t>▲</w:t>
            </w:r>
            <w:r>
              <w:rPr>
                <w:rFonts w:hint="eastAsia" w:ascii="宋体" w:hAnsi="宋体" w:eastAsia="宋体" w:cs="宋体"/>
                <w:b/>
                <w:bCs/>
                <w:color w:val="auto"/>
                <w:highlight w:val="none"/>
              </w:rPr>
              <w:t>保额不低于50万（死亡、残疾）</w:t>
            </w:r>
          </w:p>
        </w:tc>
      </w:tr>
      <w:tr w14:paraId="728EA8B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2777" w:type="dxa"/>
            <w:gridSpan w:val="2"/>
            <w:vAlign w:val="center"/>
          </w:tcPr>
          <w:p w14:paraId="0A41C118">
            <w:pPr>
              <w:widowControl/>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人员费用成本合计</w:t>
            </w:r>
          </w:p>
        </w:tc>
        <w:tc>
          <w:tcPr>
            <w:tcW w:w="2998" w:type="dxa"/>
            <w:gridSpan w:val="3"/>
            <w:vAlign w:val="center"/>
          </w:tcPr>
          <w:p w14:paraId="17997316">
            <w:pPr>
              <w:widowControl/>
              <w:jc w:val="center"/>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51227.12</w:t>
            </w:r>
            <w:r>
              <w:rPr>
                <w:rFonts w:hint="eastAsia" w:ascii="宋体" w:hAnsi="宋体" w:eastAsia="宋体" w:cs="宋体"/>
                <w:b/>
                <w:bCs/>
                <w:color w:val="auto"/>
                <w:highlight w:val="none"/>
              </w:rPr>
              <w:t>元/人/年</w:t>
            </w:r>
          </w:p>
        </w:tc>
        <w:tc>
          <w:tcPr>
            <w:tcW w:w="4179" w:type="dxa"/>
            <w:vAlign w:val="center"/>
          </w:tcPr>
          <w:p w14:paraId="74E0E3C3">
            <w:pPr>
              <w:widowControl/>
              <w:jc w:val="center"/>
              <w:rPr>
                <w:rFonts w:hint="eastAsia" w:ascii="宋体" w:hAnsi="宋体" w:eastAsia="宋体" w:cs="宋体"/>
                <w:b/>
                <w:color w:val="auto"/>
                <w:kern w:val="0"/>
                <w:highlight w:val="none"/>
              </w:rPr>
            </w:pPr>
          </w:p>
        </w:tc>
      </w:tr>
      <w:tr w14:paraId="78183B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22" w:hRule="atLeast"/>
        </w:trPr>
        <w:tc>
          <w:tcPr>
            <w:tcW w:w="9954" w:type="dxa"/>
            <w:gridSpan w:val="6"/>
            <w:vAlign w:val="center"/>
          </w:tcPr>
          <w:p w14:paraId="65EAB46A">
            <w:pPr>
              <w:autoSpaceDE w:val="0"/>
              <w:autoSpaceDN w:val="0"/>
              <w:adjustRightInd w:val="0"/>
              <w:jc w:val="left"/>
              <w:rPr>
                <w:rFonts w:hint="eastAsia" w:ascii="宋体" w:hAnsi="宋体" w:eastAsia="宋体" w:cs="宋体"/>
                <w:b/>
                <w:color w:val="auto"/>
                <w:kern w:val="0"/>
                <w:sz w:val="20"/>
                <w:highlight w:val="none"/>
              </w:rPr>
            </w:pPr>
            <w:r>
              <w:rPr>
                <w:rFonts w:hint="eastAsia" w:ascii="宋体" w:hAnsi="宋体" w:eastAsia="宋体" w:cs="宋体"/>
                <w:color w:val="auto"/>
                <w:szCs w:val="22"/>
                <w:highlight w:val="none"/>
              </w:rPr>
              <w:t>▲</w:t>
            </w:r>
            <w:r>
              <w:rPr>
                <w:rFonts w:hint="eastAsia" w:ascii="宋体" w:hAnsi="宋体" w:eastAsia="宋体" w:cs="宋体"/>
                <w:b/>
                <w:color w:val="auto"/>
                <w:szCs w:val="22"/>
                <w:highlight w:val="none"/>
              </w:rPr>
              <w:t xml:space="preserve">备注：本表所列的报价为最低标准，为保障人员的合法权益及工作质量，投标供应商在填报人员报价时不得低于上表列明的标准，否则投标无效。 </w:t>
            </w:r>
            <w:r>
              <w:rPr>
                <w:rFonts w:hint="eastAsia" w:ascii="宋体" w:hAnsi="宋体" w:eastAsia="宋体" w:cs="宋体"/>
                <w:b/>
                <w:bCs/>
                <w:color w:val="auto"/>
                <w:szCs w:val="22"/>
                <w:highlight w:val="none"/>
              </w:rPr>
              <w:t xml:space="preserve"> </w:t>
            </w:r>
          </w:p>
        </w:tc>
      </w:tr>
    </w:tbl>
    <w:p w14:paraId="7D08B6A0">
      <w:pPr>
        <w:autoSpaceDE w:val="0"/>
        <w:autoSpaceDN w:val="0"/>
        <w:adjustRightInd w:val="0"/>
        <w:spacing w:line="420" w:lineRule="exact"/>
        <w:jc w:val="center"/>
        <w:rPr>
          <w:rFonts w:hint="eastAsia" w:ascii="宋体" w:hAnsi="宋体" w:eastAsia="宋体" w:cs="宋体"/>
          <w:b/>
          <w:color w:val="auto"/>
          <w:kern w:val="0"/>
          <w:sz w:val="24"/>
          <w:highlight w:val="none"/>
        </w:rPr>
      </w:pPr>
    </w:p>
    <w:p w14:paraId="34351628">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C0F82DB">
      <w:pPr>
        <w:pStyle w:val="2"/>
        <w:spacing w:before="312" w:beforeLines="100"/>
        <w:rPr>
          <w:rFonts w:hint="eastAsia" w:ascii="宋体" w:hAnsi="宋体" w:eastAsia="宋体" w:cs="宋体"/>
          <w:color w:val="auto"/>
          <w:kern w:val="0"/>
          <w:highlight w:val="none"/>
        </w:rPr>
      </w:pPr>
      <w:r>
        <w:rPr>
          <w:rFonts w:hint="eastAsia" w:ascii="宋体" w:hAnsi="宋体" w:eastAsia="宋体" w:cs="宋体"/>
          <w:b/>
          <w:bCs/>
          <w:color w:val="auto"/>
          <w:szCs w:val="22"/>
          <w:highlight w:val="none"/>
        </w:rPr>
        <w:t>（六）特别说明和相关处罚规定告知</w:t>
      </w:r>
    </w:p>
    <w:p w14:paraId="5A1BE58C">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1、中标后，中标（成交）供应商不得将本项目分包、转包，一经查实，视其单方面违约，采购人有权终止合同，并罚没全部履约保证金。 </w:t>
      </w:r>
    </w:p>
    <w:p w14:paraId="7B420B77">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2、中标（成交）供应商必须按其投标文件承诺的时间内进场并完成项目交接，否则，将视情给予书面警告。</w:t>
      </w:r>
    </w:p>
    <w:p w14:paraId="2FBECBBE">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3、投标供应商的项目管理团队所有人员在合同期间必须全程在岗，逐日做好签到工作（签到形式须经采购人认可），未经采购人书面同意，任何管理人员不得更换。日常作业考核期间，项目管理人员必须全程陪同，如缺席，每次从当月承包款中扣罚5000元。连续缺席3次或累计缺席达5次的，给予书面警告一次。</w:t>
      </w:r>
    </w:p>
    <w:p w14:paraId="459B0713">
      <w:pPr>
        <w:autoSpaceDE w:val="0"/>
        <w:autoSpaceDN w:val="0"/>
        <w:adjustRightInd w:val="0"/>
        <w:spacing w:line="460" w:lineRule="exact"/>
        <w:ind w:firstLine="442" w:firstLineChars="200"/>
        <w:jc w:val="lef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4、中标（成交）供应商必须加强对所有人员的安全管理和教育，合同期内中标（成交）供应商所属所有人员、设备、车辆如发生纠纷或各种意外事故（包括给第三方造成损害），必须自行依照法律法规妥善处理，与采购人无涉。中标（成交）供应商处理不力影响到保洁服务质量和市容卫生整洁的，给予书面警告一次。</w:t>
      </w:r>
    </w:p>
    <w:p w14:paraId="676B2F94">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5、供应商针对本次项目所投入的办公场所、作业人员住宿用房以及车辆、工具的停放场地等办公生产场地均由供应商自行负责，并在合同签订前按其投标文件承诺落实。中标（成交）供应商未按承诺落实而影响到保洁服务质量和市容卫生整洁的，给予书面警告一次。</w:t>
      </w:r>
    </w:p>
    <w:p w14:paraId="160D2C24">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6、本项目采用总价包干合同（除暂列金外），合同执行期间，任何情况下采购人均不再追加任何费用，供应商必须根据未来发展的需要，充分考虑报价风险。同时，合同期内，遇有政策性最低工资调整或社保缴纳等调整的，供应商必须及时对人员基本工资或社保缴纳等做出相应调整。中标供应商未按规定调整造成不良影响的，给予书面警告一次。</w:t>
      </w:r>
    </w:p>
    <w:p w14:paraId="12631FB9">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7、合同期间，中标（成交）供应商必须及时执行采购人发出的整改要求（难以整治的卫生整改时间为最长时效为6小时，可简单处置的，须在30分钟内完成整改），中标（成交）供应商没有合理理由未在规定时间内完成整改的，给予书面警告一次。</w:t>
      </w:r>
    </w:p>
    <w:p w14:paraId="7FC4A9FC">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8、合同期间，中标（成交）供应商必须无条件配合采购人对其投入的人员、车辆、设备进行检查，如出现人员、车辆等设备未按合同约定到位，采购人将作出扣款处罚，情节严重的，给予书面警告一次。 </w:t>
      </w:r>
    </w:p>
    <w:p w14:paraId="36BA2813">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9、合同履行情况的监管和相应处理规定：</w:t>
      </w:r>
    </w:p>
    <w:p w14:paraId="1EA040BD">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9.1采购人将设立市场化工作领导小组（以下简称“领导小组”），专门负责对承包单位的合同履行情况进行全程监管并作出处理决定，具体职责包括：</w:t>
      </w:r>
    </w:p>
    <w:p w14:paraId="04E0525A">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（1）接收和处理相关重大问题投诉；</w:t>
      </w:r>
    </w:p>
    <w:p w14:paraId="2CC4094F">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（2）对相关事项进行调查核实；</w:t>
      </w:r>
    </w:p>
    <w:p w14:paraId="77A5E188">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（3）向承包单位下达整改通知；</w:t>
      </w:r>
    </w:p>
    <w:p w14:paraId="31CA0356">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（4）向承包单位发出书面警告；</w:t>
      </w:r>
    </w:p>
    <w:p w14:paraId="2DEEC77F">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（5）对有服务质量考核情况进行督查，并对考核过程中的争议事项作出最终结论； </w:t>
      </w:r>
    </w:p>
    <w:p w14:paraId="3C681107">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（6）对承包单位的履约情况作出最终评价； </w:t>
      </w:r>
    </w:p>
    <w:p w14:paraId="7F6214BA">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（7）对承包单位作出终止合同或续签合同决定； </w:t>
      </w:r>
    </w:p>
    <w:p w14:paraId="70C225F1">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（8）苍南县灵溪镇人民政府授权的其他职责。 </w:t>
      </w:r>
    </w:p>
    <w:p w14:paraId="633690D9">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9.2合同期内，承包单位出现以下情况，经领导小组调查核实，可以视情况依据此项规定，作出终止合同、罚没履约保证金等处理决定，由此造成的一切后果由承包单位自行承担，采购人不承担任何责任： </w:t>
      </w:r>
    </w:p>
    <w:p w14:paraId="3F5FD03D">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（1）承包单位在一个合同期（一年）内被书面警告超过三次的；</w:t>
      </w:r>
    </w:p>
    <w:p w14:paraId="59C49438">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（2）承包单位在一个合同期（一年）内，服务质量月考核</w:t>
      </w:r>
      <w:r>
        <w:rPr>
          <w:rFonts w:hint="eastAsia" w:ascii="宋体" w:hAnsi="宋体" w:eastAsia="宋体" w:cs="宋体"/>
          <w:b/>
          <w:color w:val="auto"/>
          <w:szCs w:val="22"/>
          <w:highlight w:val="none"/>
        </w:rPr>
        <w:t>连续三次</w:t>
      </w:r>
      <w:r>
        <w:rPr>
          <w:rFonts w:hint="eastAsia" w:ascii="宋体" w:hAnsi="宋体" w:eastAsia="宋体" w:cs="宋体"/>
          <w:color w:val="auto"/>
          <w:szCs w:val="22"/>
          <w:highlight w:val="none"/>
        </w:rPr>
        <w:t>或</w:t>
      </w:r>
      <w:r>
        <w:rPr>
          <w:rFonts w:hint="eastAsia" w:ascii="宋体" w:hAnsi="宋体" w:eastAsia="宋体" w:cs="宋体"/>
          <w:b/>
          <w:color w:val="auto"/>
          <w:szCs w:val="22"/>
          <w:highlight w:val="none"/>
        </w:rPr>
        <w:t>累计四次</w:t>
      </w:r>
      <w:r>
        <w:rPr>
          <w:rFonts w:hint="eastAsia" w:ascii="宋体" w:hAnsi="宋体" w:eastAsia="宋体" w:cs="宋体"/>
          <w:color w:val="auto"/>
          <w:szCs w:val="22"/>
          <w:highlight w:val="none"/>
        </w:rPr>
        <w:t xml:space="preserve">低于80分； </w:t>
      </w:r>
    </w:p>
    <w:p w14:paraId="6576FCF0">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（3）承包单位存在分包、转包行为的； </w:t>
      </w:r>
    </w:p>
    <w:p w14:paraId="20D25FCD">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（4）承包单位存在其他违反合同约定行为且情节严重的；</w:t>
      </w:r>
    </w:p>
    <w:p w14:paraId="41B2026E">
      <w:pPr>
        <w:autoSpaceDE w:val="0"/>
        <w:autoSpaceDN w:val="0"/>
        <w:adjustRightInd w:val="0"/>
        <w:spacing w:line="46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（5）承包单位存在其他违反法律法规、部门规章及管理规定且情节严重的。 </w:t>
      </w:r>
    </w:p>
    <w:p w14:paraId="65141053">
      <w:pPr>
        <w:autoSpaceDE w:val="0"/>
        <w:autoSpaceDN w:val="0"/>
        <w:adjustRightInd w:val="0"/>
        <w:spacing w:line="460" w:lineRule="exact"/>
        <w:ind w:firstLine="442" w:firstLineChars="200"/>
        <w:jc w:val="lef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10、中标（成交）供应商在合同期间违反本文件规定而被采购人终止合同的，如采购人需要，必须无条件承担过渡时间的服务工作，直至新的承包公司完成交接后方可离场。过渡期内，双方签订临时合同，月承包款按考核后实际应得的金额的90%发放。</w:t>
      </w:r>
    </w:p>
    <w:p w14:paraId="3FC1DBD7">
      <w:pPr>
        <w:spacing w:line="420" w:lineRule="exact"/>
        <w:rPr>
          <w:rFonts w:hint="eastAsia" w:ascii="宋体" w:hAnsi="宋体" w:eastAsia="宋体" w:cs="宋体"/>
          <w:b/>
          <w:bCs/>
          <w:color w:val="auto"/>
          <w:szCs w:val="22"/>
          <w:highlight w:val="none"/>
        </w:rPr>
      </w:pPr>
      <w:r>
        <w:rPr>
          <w:rFonts w:hint="eastAsia" w:ascii="宋体" w:hAnsi="宋体" w:eastAsia="宋体" w:cs="宋体"/>
          <w:b/>
          <w:bCs/>
          <w:color w:val="auto"/>
          <w:highlight w:val="none"/>
        </w:rPr>
        <w:t>三、商务条款</w:t>
      </w:r>
    </w:p>
    <w:p w14:paraId="0B1BAF8F">
      <w:pPr>
        <w:spacing w:line="420" w:lineRule="exac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（一）、</w:t>
      </w:r>
      <w:r>
        <w:rPr>
          <w:rFonts w:hint="eastAsia" w:ascii="宋体" w:hAnsi="宋体" w:eastAsia="宋体" w:cs="宋体"/>
          <w:b/>
          <w:color w:val="auto"/>
          <w:spacing w:val="2"/>
          <w:kern w:val="0"/>
          <w:szCs w:val="22"/>
          <w:highlight w:val="none"/>
        </w:rPr>
        <w:t>服务期限</w:t>
      </w:r>
    </w:p>
    <w:p w14:paraId="402ABC5E">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szCs w:val="22"/>
          <w:highlight w:val="none"/>
          <w:u w:val="single"/>
        </w:rPr>
      </w:pPr>
      <w:bookmarkStart w:id="17" w:name="_Hlk138515528"/>
      <w:r>
        <w:rPr>
          <w:rFonts w:hint="eastAsia" w:ascii="宋体" w:hAnsi="宋体" w:eastAsia="宋体" w:cs="宋体"/>
          <w:bCs/>
          <w:color w:val="auto"/>
          <w:kern w:val="0"/>
          <w:szCs w:val="22"/>
          <w:highlight w:val="none"/>
        </w:rPr>
        <w:t>1、</w:t>
      </w:r>
      <w:r>
        <w:rPr>
          <w:rFonts w:hint="eastAsia" w:ascii="宋体" w:hAnsi="宋体" w:eastAsia="宋体" w:cs="宋体"/>
          <w:b/>
          <w:bCs/>
          <w:color w:val="auto"/>
          <w:szCs w:val="22"/>
          <w:highlight w:val="none"/>
        </w:rPr>
        <w:t>▲</w:t>
      </w:r>
      <w:r>
        <w:rPr>
          <w:rFonts w:hint="eastAsia" w:ascii="宋体" w:hAnsi="宋体" w:eastAsia="宋体" w:cs="宋体"/>
          <w:b/>
          <w:color w:val="auto"/>
          <w:szCs w:val="22"/>
          <w:highlight w:val="none"/>
        </w:rPr>
        <w:t>服务期限：本项目服务期限为合同生效后1年；</w:t>
      </w:r>
      <w:r>
        <w:rPr>
          <w:rFonts w:hint="eastAsia" w:ascii="宋体" w:hAnsi="宋体" w:eastAsia="宋体" w:cs="宋体"/>
          <w:b/>
          <w:color w:val="auto"/>
          <w:szCs w:val="21"/>
          <w:highlight w:val="none"/>
        </w:rPr>
        <w:t xml:space="preserve"> </w:t>
      </w:r>
    </w:p>
    <w:bookmarkEnd w:id="17"/>
    <w:p w14:paraId="260B87DE">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auto"/>
          <w:kern w:val="0"/>
          <w:szCs w:val="22"/>
          <w:highlight w:val="none"/>
        </w:rPr>
      </w:pPr>
      <w:r>
        <w:rPr>
          <w:rFonts w:hint="eastAsia" w:ascii="宋体" w:hAnsi="宋体" w:cs="宋体"/>
          <w:bCs/>
          <w:color w:val="auto"/>
          <w:kern w:val="0"/>
          <w:szCs w:val="22"/>
          <w:highlight w:val="none"/>
          <w:lang w:val="en-US" w:eastAsia="zh-CN"/>
        </w:rPr>
        <w:t>2</w:t>
      </w:r>
      <w:r>
        <w:rPr>
          <w:rFonts w:hint="eastAsia" w:ascii="宋体" w:hAnsi="宋体" w:eastAsia="宋体" w:cs="宋体"/>
          <w:bCs/>
          <w:color w:val="auto"/>
          <w:kern w:val="0"/>
          <w:szCs w:val="22"/>
          <w:highlight w:val="none"/>
        </w:rPr>
        <w:t>、熔断机制</w:t>
      </w:r>
    </w:p>
    <w:p w14:paraId="23681F39">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若中标供应商连续三个月的月考核分数得分低于80分，采购人可按照合同约定解除合同关系；</w:t>
      </w:r>
    </w:p>
    <w:p w14:paraId="6C82A3CC">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若中标供应商月考核分数得分低于80分的月数累计超过4个月（含4个月），采购人可按照合同约定解除合同关系；</w:t>
      </w:r>
    </w:p>
    <w:p w14:paraId="6AD2BDFF">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auto"/>
          <w:kern w:val="0"/>
          <w:szCs w:val="22"/>
          <w:highlight w:val="none"/>
        </w:rPr>
      </w:pPr>
      <w:r>
        <w:rPr>
          <w:rFonts w:hint="eastAsia" w:ascii="宋体" w:hAnsi="宋体" w:cs="宋体"/>
          <w:bCs/>
          <w:color w:val="auto"/>
          <w:kern w:val="0"/>
          <w:szCs w:val="22"/>
          <w:highlight w:val="none"/>
          <w:lang w:val="en-US" w:eastAsia="zh-CN"/>
        </w:rPr>
        <w:t>3</w:t>
      </w:r>
      <w:r>
        <w:rPr>
          <w:rFonts w:hint="eastAsia" w:ascii="宋体" w:hAnsi="宋体" w:eastAsia="宋体" w:cs="宋体"/>
          <w:bCs/>
          <w:color w:val="auto"/>
          <w:kern w:val="0"/>
          <w:szCs w:val="22"/>
          <w:highlight w:val="none"/>
        </w:rPr>
        <w:t>、本项目禁止转包，若发现中标供应商存在转包现象，一经核实采购人可按照合同约定解除合同关系，扣除全部的履约保证金，并上报相关部门。</w:t>
      </w:r>
    </w:p>
    <w:p w14:paraId="31CFC744">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auto"/>
          <w:kern w:val="0"/>
          <w:szCs w:val="22"/>
          <w:highlight w:val="none"/>
        </w:rPr>
      </w:pPr>
      <w:r>
        <w:rPr>
          <w:rFonts w:hint="eastAsia" w:ascii="宋体" w:hAnsi="宋体" w:cs="宋体"/>
          <w:bCs/>
          <w:color w:val="auto"/>
          <w:kern w:val="0"/>
          <w:szCs w:val="22"/>
          <w:highlight w:val="none"/>
          <w:lang w:val="en-US" w:eastAsia="zh-CN"/>
        </w:rPr>
        <w:t>4</w:t>
      </w:r>
      <w:r>
        <w:rPr>
          <w:rFonts w:hint="eastAsia" w:ascii="宋体" w:hAnsi="宋体" w:eastAsia="宋体" w:cs="宋体"/>
          <w:bCs/>
          <w:color w:val="auto"/>
          <w:kern w:val="0"/>
          <w:szCs w:val="22"/>
          <w:highlight w:val="none"/>
        </w:rPr>
        <w:t>、解除合同关系后中标供应商须继续履行服务至采购人重新招投标确定新的中标供应商。</w:t>
      </w:r>
    </w:p>
    <w:p w14:paraId="0B1C3746">
      <w:pPr>
        <w:spacing w:line="420" w:lineRule="exac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（二）、</w:t>
      </w:r>
      <w:r>
        <w:rPr>
          <w:rFonts w:hint="eastAsia" w:ascii="宋体" w:hAnsi="宋体" w:eastAsia="宋体" w:cs="宋体"/>
          <w:b/>
          <w:color w:val="auto"/>
          <w:kern w:val="0"/>
          <w:szCs w:val="22"/>
          <w:highlight w:val="none"/>
        </w:rPr>
        <w:t>履约保证金</w:t>
      </w:r>
    </w:p>
    <w:p w14:paraId="6078F27D">
      <w:pPr>
        <w:widowControl/>
        <w:spacing w:line="420" w:lineRule="exact"/>
        <w:ind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1、成交供应商在</w:t>
      </w:r>
      <w:r>
        <w:rPr>
          <w:rFonts w:hint="eastAsia" w:ascii="宋体" w:hAnsi="宋体" w:eastAsia="宋体" w:cs="宋体"/>
          <w:bCs/>
          <w:color w:val="auto"/>
          <w:kern w:val="0"/>
          <w:szCs w:val="22"/>
          <w:highlight w:val="none"/>
          <w:lang w:eastAsia="zh-CN"/>
        </w:rPr>
        <w:t>中标</w:t>
      </w:r>
      <w:r>
        <w:rPr>
          <w:rFonts w:hint="eastAsia" w:ascii="宋体" w:hAnsi="宋体" w:eastAsia="宋体" w:cs="宋体"/>
          <w:bCs/>
          <w:color w:val="auto"/>
          <w:kern w:val="0"/>
          <w:szCs w:val="22"/>
          <w:highlight w:val="none"/>
        </w:rPr>
        <w:t>公示期结束后</w:t>
      </w:r>
      <w:r>
        <w:rPr>
          <w:rFonts w:hint="eastAsia" w:ascii="宋体" w:hAnsi="宋体" w:cs="宋体"/>
          <w:bCs/>
          <w:color w:val="auto"/>
          <w:kern w:val="0"/>
          <w:szCs w:val="22"/>
          <w:highlight w:val="none"/>
          <w:lang w:val="en-US" w:eastAsia="zh-CN"/>
        </w:rPr>
        <w:t>20</w:t>
      </w:r>
      <w:r>
        <w:rPr>
          <w:rFonts w:hint="eastAsia" w:ascii="宋体" w:hAnsi="宋体" w:eastAsia="宋体" w:cs="宋体"/>
          <w:bCs/>
          <w:color w:val="auto"/>
          <w:kern w:val="0"/>
          <w:szCs w:val="22"/>
          <w:highlight w:val="none"/>
        </w:rPr>
        <w:t>日内，需向采购人提供合同总价1％的履约保证金。履约保证金可采用银行转账/</w:t>
      </w:r>
      <w:r>
        <w:rPr>
          <w:rFonts w:hint="eastAsia" w:ascii="宋体" w:hAnsi="宋体" w:eastAsia="宋体" w:cs="宋体"/>
          <w:bCs/>
          <w:color w:val="auto"/>
          <w:kern w:val="0"/>
          <w:szCs w:val="22"/>
          <w:highlight w:val="none"/>
          <w:lang w:eastAsia="zh-CN"/>
        </w:rPr>
        <w:t>转账支票</w:t>
      </w:r>
      <w:r>
        <w:rPr>
          <w:rFonts w:hint="eastAsia" w:ascii="宋体" w:hAnsi="宋体" w:eastAsia="宋体" w:cs="宋体"/>
          <w:bCs/>
          <w:color w:val="auto"/>
          <w:kern w:val="0"/>
          <w:szCs w:val="22"/>
          <w:highlight w:val="none"/>
        </w:rPr>
        <w:t>/银行汇票/银行、保险公司出具的保函等非现金方式。</w:t>
      </w:r>
    </w:p>
    <w:p w14:paraId="58D29AD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val="0"/>
          <w:bCs w:val="0"/>
          <w:color w:val="auto"/>
          <w:kern w:val="0"/>
          <w:szCs w:val="22"/>
          <w:highlight w:val="none"/>
        </w:rPr>
      </w:pPr>
      <w:r>
        <w:rPr>
          <w:rFonts w:hint="eastAsia" w:ascii="宋体" w:hAnsi="宋体" w:eastAsia="宋体" w:cs="宋体"/>
          <w:b/>
          <w:bCs/>
          <w:color w:val="auto"/>
          <w:kern w:val="0"/>
          <w:szCs w:val="22"/>
          <w:highlight w:val="none"/>
        </w:rPr>
        <w:t>注：采用银行、保险公司出具的保函形式提交至采购人，应满足以下几个条件：</w:t>
      </w:r>
      <w:r>
        <w:rPr>
          <w:rFonts w:hint="eastAsia" w:ascii="宋体" w:hAnsi="宋体" w:eastAsia="宋体" w:cs="宋体"/>
          <w:b/>
          <w:bCs/>
          <w:color w:val="auto"/>
          <w:kern w:val="0"/>
          <w:szCs w:val="22"/>
          <w:highlight w:val="none"/>
          <w:lang w:eastAsia="zh-CN"/>
        </w:rPr>
        <w:t>①保函必须是</w:t>
      </w:r>
      <w:r>
        <w:rPr>
          <w:rFonts w:hint="eastAsia" w:ascii="宋体" w:hAnsi="宋体" w:eastAsia="宋体" w:cs="宋体"/>
          <w:b/>
          <w:bCs/>
          <w:color w:val="auto"/>
          <w:sz w:val="22"/>
          <w:szCs w:val="22"/>
          <w:highlight w:val="none"/>
          <w:u w:val="single"/>
        </w:rPr>
        <w:t>见索即付的无条件独立保函</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kern w:val="0"/>
          <w:szCs w:val="22"/>
          <w:highlight w:val="none"/>
          <w:lang w:eastAsia="zh-CN"/>
        </w:rPr>
        <w:t>②</w:t>
      </w:r>
      <w:r>
        <w:rPr>
          <w:rFonts w:hint="eastAsia" w:ascii="宋体" w:hAnsi="宋体" w:eastAsia="宋体" w:cs="宋体"/>
          <w:b/>
          <w:bCs/>
          <w:color w:val="auto"/>
          <w:kern w:val="0"/>
          <w:szCs w:val="22"/>
          <w:highlight w:val="none"/>
        </w:rPr>
        <w:t>保函期限：自合同生效之日起至服务期满之日后30日历天止；</w:t>
      </w:r>
      <w:r>
        <w:rPr>
          <w:rFonts w:hint="eastAsia" w:ascii="宋体" w:hAnsi="宋体" w:eastAsia="宋体" w:cs="宋体"/>
          <w:b/>
          <w:bCs/>
          <w:color w:val="auto"/>
          <w:kern w:val="0"/>
          <w:szCs w:val="22"/>
          <w:highlight w:val="none"/>
          <w:lang w:eastAsia="zh-CN"/>
        </w:rPr>
        <w:t>③</w:t>
      </w:r>
      <w:r>
        <w:rPr>
          <w:rFonts w:hint="eastAsia" w:ascii="宋体" w:hAnsi="宋体" w:eastAsia="宋体" w:cs="宋体"/>
          <w:b/>
          <w:bCs/>
          <w:color w:val="auto"/>
          <w:kern w:val="0"/>
          <w:szCs w:val="22"/>
          <w:highlight w:val="none"/>
        </w:rPr>
        <w:t>如果银行、保险公司要求分期出具保函的，则在前一份保函有效期满之日2个月前必须重新出具相同内容的保函</w:t>
      </w:r>
      <w:r>
        <w:rPr>
          <w:rFonts w:hint="eastAsia" w:ascii="宋体" w:hAnsi="宋体" w:eastAsia="宋体" w:cs="宋体"/>
          <w:b/>
          <w:bCs/>
          <w:color w:val="auto"/>
          <w:kern w:val="0"/>
          <w:szCs w:val="22"/>
          <w:highlight w:val="none"/>
          <w:lang w:eastAsia="zh-CN"/>
        </w:rPr>
        <w:t>；④</w:t>
      </w:r>
      <w:r>
        <w:rPr>
          <w:rFonts w:hint="eastAsia" w:ascii="宋体" w:hAnsi="宋体" w:eastAsia="宋体" w:cs="宋体"/>
          <w:color w:val="auto"/>
          <w:sz w:val="22"/>
          <w:szCs w:val="22"/>
          <w:highlight w:val="none"/>
        </w:rPr>
        <w:t>采购人提取履约保证金，但未达到解除合同条件的，</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须在扣罚之日起7日历天内补齐合同履约保证金至合同款的</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％。拒不缴纳补齐的，采购人有权扣罚全部履约保证金，并无条件解除合同。</w:t>
      </w:r>
    </w:p>
    <w:p w14:paraId="6ACDCDD1">
      <w:pPr>
        <w:widowControl/>
        <w:spacing w:line="420" w:lineRule="exact"/>
        <w:ind w:firstLine="440" w:firstLineChars="200"/>
        <w:rPr>
          <w:rFonts w:hint="eastAsia" w:ascii="宋体" w:hAnsi="宋体" w:eastAsia="宋体" w:cs="宋体"/>
          <w:bCs/>
          <w:color w:val="auto"/>
          <w:kern w:val="0"/>
          <w:szCs w:val="22"/>
          <w:highlight w:val="none"/>
        </w:rPr>
      </w:pPr>
      <w:bookmarkStart w:id="18" w:name="_Toc64901774"/>
      <w:bookmarkStart w:id="19" w:name="_Toc64913358"/>
      <w:r>
        <w:rPr>
          <w:rFonts w:hint="eastAsia" w:ascii="宋体" w:hAnsi="宋体" w:eastAsia="宋体" w:cs="宋体"/>
          <w:bCs/>
          <w:color w:val="auto"/>
          <w:kern w:val="0"/>
          <w:szCs w:val="22"/>
          <w:highlight w:val="none"/>
          <w:lang w:val="en-US" w:eastAsia="zh-CN"/>
        </w:rPr>
        <w:t>2</w:t>
      </w:r>
      <w:r>
        <w:rPr>
          <w:rFonts w:hint="eastAsia" w:ascii="宋体" w:hAnsi="宋体" w:eastAsia="宋体" w:cs="宋体"/>
          <w:bCs/>
          <w:color w:val="auto"/>
          <w:kern w:val="0"/>
          <w:szCs w:val="22"/>
          <w:highlight w:val="none"/>
        </w:rPr>
        <w:t>、承包任务完成并验收移交采购人后5个工作日内，采购人无息退还中标供应商剩余的合同履约保证金</w:t>
      </w:r>
      <w:bookmarkEnd w:id="18"/>
      <w:bookmarkEnd w:id="19"/>
      <w:r>
        <w:rPr>
          <w:rFonts w:hint="eastAsia" w:ascii="宋体" w:hAnsi="宋体" w:eastAsia="宋体" w:cs="宋体"/>
          <w:bCs/>
          <w:color w:val="auto"/>
          <w:kern w:val="0"/>
          <w:szCs w:val="22"/>
          <w:highlight w:val="none"/>
        </w:rPr>
        <w:t>。</w:t>
      </w:r>
    </w:p>
    <w:p w14:paraId="7CD13A2E">
      <w:pPr>
        <w:spacing w:line="420" w:lineRule="exac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（三）、</w:t>
      </w:r>
      <w:r>
        <w:rPr>
          <w:rFonts w:hint="eastAsia" w:ascii="宋体" w:hAnsi="宋体" w:eastAsia="宋体" w:cs="宋体"/>
          <w:b/>
          <w:color w:val="auto"/>
          <w:kern w:val="0"/>
          <w:szCs w:val="22"/>
          <w:highlight w:val="none"/>
        </w:rPr>
        <w:t>付款方式</w:t>
      </w:r>
    </w:p>
    <w:p w14:paraId="01B1ED67">
      <w:pPr>
        <w:widowControl/>
        <w:spacing w:line="420" w:lineRule="exact"/>
        <w:ind w:firstLine="440" w:firstLineChars="200"/>
        <w:rPr>
          <w:rFonts w:hint="eastAsia" w:ascii="宋体" w:hAnsi="宋体" w:eastAsia="宋体" w:cs="宋体"/>
          <w:b/>
          <w:bCs/>
          <w:color w:val="auto"/>
          <w:kern w:val="0"/>
          <w:szCs w:val="22"/>
          <w:highlight w:val="none"/>
        </w:rPr>
      </w:pPr>
      <w:r>
        <w:rPr>
          <w:rFonts w:hint="eastAsia" w:ascii="宋体" w:hAnsi="宋体" w:eastAsia="宋体" w:cs="宋体"/>
          <w:bCs/>
          <w:color w:val="auto"/>
          <w:kern w:val="0"/>
          <w:szCs w:val="22"/>
          <w:highlight w:val="none"/>
        </w:rPr>
        <w:t>1、</w:t>
      </w:r>
      <w:r>
        <w:rPr>
          <w:rFonts w:hint="eastAsia" w:ascii="宋体" w:hAnsi="宋体" w:eastAsia="宋体" w:cs="宋体"/>
          <w:b/>
          <w:bCs/>
          <w:color w:val="auto"/>
          <w:kern w:val="0"/>
          <w:szCs w:val="22"/>
          <w:highlight w:val="none"/>
        </w:rPr>
        <w:t xml:space="preserve">付款方式为先服务后支付,由采购人根据前一季度的考核结果，于每季度后15日（内遇节假日顺延）将上季度承包款划拨到承包人指定帐户。 </w:t>
      </w:r>
    </w:p>
    <w:p w14:paraId="21ED311B">
      <w:pPr>
        <w:widowControl/>
        <w:spacing w:line="420" w:lineRule="exact"/>
        <w:ind w:firstLine="442" w:firstLineChars="200"/>
        <w:rPr>
          <w:rFonts w:hint="eastAsia"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t>2、中标供应商按每季度的综合考核结果向采购人结算，采购人凭中标供应商开具的正式发票及一线现场服务人员工资册进行支付。</w:t>
      </w:r>
      <w:r>
        <w:rPr>
          <w:rFonts w:hint="eastAsia" w:ascii="宋体" w:hAnsi="宋体" w:eastAsia="宋体" w:cs="宋体"/>
          <w:b/>
          <w:color w:val="auto"/>
          <w:szCs w:val="22"/>
          <w:highlight w:val="none"/>
        </w:rPr>
        <w:t>计算方式：上季度服务费用款=</w:t>
      </w:r>
      <w:r>
        <w:rPr>
          <w:rFonts w:hint="eastAsia" w:ascii="宋体" w:hAnsi="宋体" w:cs="宋体"/>
          <w:b/>
          <w:color w:val="auto"/>
          <w:szCs w:val="22"/>
          <w:highlight w:val="none"/>
          <w:lang w:eastAsia="zh-CN"/>
        </w:rPr>
        <w:t>（</w:t>
      </w:r>
      <w:r>
        <w:rPr>
          <w:rFonts w:hint="eastAsia" w:ascii="宋体" w:hAnsi="宋体" w:eastAsia="宋体" w:cs="宋体"/>
          <w:b/>
          <w:color w:val="auto"/>
          <w:szCs w:val="22"/>
          <w:highlight w:val="none"/>
        </w:rPr>
        <w:t>中标供应商投标报价</w:t>
      </w:r>
      <w:r>
        <w:rPr>
          <w:rFonts w:hint="eastAsia" w:ascii="宋体" w:hAnsi="宋体" w:cs="宋体"/>
          <w:b/>
          <w:color w:val="auto"/>
          <w:szCs w:val="22"/>
          <w:highlight w:val="none"/>
          <w:lang w:val="en-US" w:eastAsia="zh-CN"/>
        </w:rPr>
        <w:t>-</w:t>
      </w:r>
      <w:r>
        <w:rPr>
          <w:rFonts w:hint="eastAsia" w:ascii="宋体" w:hAnsi="宋体" w:eastAsia="宋体" w:cs="宋体"/>
          <w:b/>
          <w:color w:val="auto"/>
          <w:szCs w:val="22"/>
          <w:highlight w:val="none"/>
        </w:rPr>
        <w:t>暂列金）/4-每季度考核扣款+按时结算的暂列金。</w:t>
      </w:r>
    </w:p>
    <w:p w14:paraId="2381A47E">
      <w:pPr>
        <w:widowControl/>
        <w:spacing w:line="420" w:lineRule="exact"/>
        <w:ind w:firstLine="442" w:firstLineChars="200"/>
        <w:rPr>
          <w:rFonts w:hint="eastAsia"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t>3、采购人作出的考核结果，汇总考核结算清单，并告知中标供应商。违约金额按月直接在付款额中扣除。承包到期后根据考核结果将余款一次付清。</w:t>
      </w:r>
    </w:p>
    <w:p w14:paraId="3F902B6C">
      <w:pPr>
        <w:widowControl/>
        <w:spacing w:line="420" w:lineRule="exact"/>
        <w:ind w:firstLine="4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4、由于本采购项目实施以人工投入为主，在每年度合同签订且具备实施条件后15日历天内采购人向中标供应商支付</w:t>
      </w:r>
      <w:r>
        <w:rPr>
          <w:rFonts w:hint="eastAsia" w:ascii="宋体" w:hAnsi="宋体" w:cs="宋体"/>
          <w:b/>
          <w:color w:val="auto"/>
          <w:szCs w:val="21"/>
          <w:highlight w:val="none"/>
          <w:lang w:eastAsia="zh-CN"/>
        </w:rPr>
        <w:t>（合同金额</w:t>
      </w:r>
      <w:r>
        <w:rPr>
          <w:rFonts w:hint="eastAsia" w:ascii="宋体" w:hAnsi="宋体" w:eastAsia="宋体" w:cs="宋体"/>
          <w:b/>
          <w:color w:val="auto"/>
          <w:szCs w:val="21"/>
          <w:highlight w:val="none"/>
        </w:rPr>
        <w:t>-暂列金）的20%作为预付款，在签订合同时，供应商明确表示无需预付款或者主动要求降低预付款比例的，采购人可不适用前述规定。在每季度支付的服务款中，同比例扣回预付款。</w:t>
      </w:r>
    </w:p>
    <w:p w14:paraId="54FC4263">
      <w:pPr>
        <w:pStyle w:val="51"/>
        <w:jc w:val="left"/>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四、其他说明</w:t>
      </w:r>
    </w:p>
    <w:p w14:paraId="13E72C78">
      <w:pPr>
        <w:spacing w:line="420" w:lineRule="exac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（一）、</w:t>
      </w:r>
      <w:r>
        <w:rPr>
          <w:rFonts w:hint="eastAsia" w:ascii="宋体" w:hAnsi="宋体" w:eastAsia="宋体" w:cs="宋体"/>
          <w:b/>
          <w:color w:val="auto"/>
          <w:szCs w:val="21"/>
          <w:highlight w:val="none"/>
        </w:rPr>
        <w:t>管理办公室要求</w:t>
      </w:r>
    </w:p>
    <w:p w14:paraId="24D8EFF1">
      <w:pPr>
        <w:widowControl/>
        <w:spacing w:line="420" w:lineRule="exact"/>
        <w:ind w:firstLine="440" w:firstLineChars="200"/>
        <w:jc w:val="left"/>
        <w:rPr>
          <w:rFonts w:hint="eastAsia" w:ascii="宋体" w:hAnsi="宋体" w:eastAsia="宋体" w:cs="宋体"/>
          <w:b/>
          <w:bCs/>
          <w:color w:val="auto"/>
          <w:kern w:val="0"/>
          <w:szCs w:val="22"/>
          <w:highlight w:val="none"/>
        </w:rPr>
      </w:pPr>
      <w:r>
        <w:rPr>
          <w:rFonts w:hint="eastAsia" w:ascii="宋体" w:hAnsi="宋体" w:eastAsia="宋体" w:cs="宋体"/>
          <w:color w:val="auto"/>
          <w:szCs w:val="22"/>
          <w:highlight w:val="none"/>
        </w:rPr>
        <w:t>中标供应商便接受和配合采购人的各项工作，且须对群众随手拍或信访举报的服务工作不到位的现象及时应对处理等。</w:t>
      </w:r>
      <w:r>
        <w:rPr>
          <w:rFonts w:hint="eastAsia" w:ascii="宋体" w:hAnsi="宋体" w:cs="宋体"/>
          <w:color w:val="auto"/>
          <w:szCs w:val="22"/>
          <w:highlight w:val="none"/>
          <w:lang w:eastAsia="zh-CN"/>
        </w:rPr>
        <w:t>办公场所</w:t>
      </w:r>
      <w:r>
        <w:rPr>
          <w:rFonts w:hint="eastAsia" w:ascii="宋体" w:hAnsi="宋体" w:eastAsia="宋体" w:cs="宋体"/>
          <w:color w:val="auto"/>
          <w:szCs w:val="22"/>
          <w:highlight w:val="none"/>
        </w:rPr>
        <w:t>在服务区域范围内（如遇特殊情况要申报采购人批准）。</w:t>
      </w:r>
      <w:r>
        <w:rPr>
          <w:rFonts w:hint="eastAsia" w:ascii="宋体" w:hAnsi="宋体" w:eastAsia="宋体" w:cs="宋体"/>
          <w:b w:val="0"/>
          <w:bCs w:val="0"/>
          <w:color w:val="auto"/>
          <w:szCs w:val="22"/>
          <w:highlight w:val="none"/>
        </w:rPr>
        <w:t>总的办公室面积</w:t>
      </w:r>
      <w:r>
        <w:rPr>
          <w:rFonts w:hint="eastAsia" w:ascii="宋体" w:hAnsi="宋体" w:cs="宋体"/>
          <w:b w:val="0"/>
          <w:bCs w:val="0"/>
          <w:color w:val="auto"/>
          <w:szCs w:val="22"/>
          <w:highlight w:val="none"/>
          <w:lang w:eastAsia="zh-CN"/>
        </w:rPr>
        <w:t>满足本项目实际需求</w:t>
      </w:r>
      <w:r>
        <w:rPr>
          <w:rFonts w:hint="eastAsia" w:ascii="宋体" w:hAnsi="宋体" w:eastAsia="宋体" w:cs="宋体"/>
          <w:b w:val="0"/>
          <w:bCs/>
          <w:color w:val="auto"/>
          <w:szCs w:val="22"/>
          <w:highlight w:val="none"/>
        </w:rPr>
        <w:t>；</w:t>
      </w:r>
      <w:r>
        <w:rPr>
          <w:rFonts w:hint="eastAsia" w:ascii="宋体" w:hAnsi="宋体" w:eastAsia="宋体" w:cs="宋体"/>
          <w:color w:val="auto"/>
          <w:kern w:val="0"/>
          <w:szCs w:val="22"/>
          <w:highlight w:val="none"/>
        </w:rPr>
        <w:t>车辆机械设备停放配置方案及场地须报采购人备案；车辆机械设备停放场地须停放整齐，需清洁干净以备检查。</w:t>
      </w:r>
    </w:p>
    <w:p w14:paraId="3179C9B7">
      <w:pPr>
        <w:spacing w:line="420" w:lineRule="exac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（二）、</w:t>
      </w:r>
      <w:r>
        <w:rPr>
          <w:rFonts w:hint="eastAsia" w:ascii="宋体" w:hAnsi="宋体" w:eastAsia="宋体" w:cs="宋体"/>
          <w:b/>
          <w:color w:val="auto"/>
          <w:szCs w:val="21"/>
          <w:highlight w:val="none"/>
        </w:rPr>
        <w:t>质量要求</w:t>
      </w:r>
    </w:p>
    <w:p w14:paraId="283C512A">
      <w:pPr>
        <w:spacing w:line="420" w:lineRule="exact"/>
        <w:ind w:firstLine="442" w:firstLineChars="200"/>
        <w:rPr>
          <w:rFonts w:hint="eastAsia"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t>符合采购文件要求及相关文件规定。</w:t>
      </w:r>
    </w:p>
    <w:p w14:paraId="2D029060">
      <w:pPr>
        <w:autoSpaceDE w:val="0"/>
        <w:autoSpaceDN w:val="0"/>
        <w:adjustRightInd w:val="0"/>
        <w:spacing w:line="420" w:lineRule="exact"/>
        <w:jc w:val="left"/>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（三）现场勘踏要求</w:t>
      </w:r>
    </w:p>
    <w:p w14:paraId="56697DBA">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bCs/>
          <w:color w:val="auto"/>
          <w:szCs w:val="22"/>
          <w:highlight w:val="none"/>
        </w:rPr>
        <w:t>1、作业范围以实际为准，由投标人自行对项目现场及周围环境进行踏勘，以便投标人获取有关编制投标文件和签署合同所需的所有材料。投标人应充分了解本项目的位置、提防情况、保洁面积、路面情况等以及其它影响报价的情况，由投标人自己承担。</w:t>
      </w:r>
    </w:p>
    <w:p w14:paraId="28093405">
      <w:pPr>
        <w:autoSpaceDE w:val="0"/>
        <w:autoSpaceDN w:val="0"/>
        <w:adjustRightInd w:val="0"/>
        <w:spacing w:line="420" w:lineRule="exact"/>
        <w:ind w:firstLine="440" w:firstLineChars="200"/>
        <w:jc w:val="lef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2、投标人及其人员，可为踏勘目的进入招标人的项目现场，但投标人及其人员不得因此使招标人及其人员承担有关的责任和蒙受损失。投标人并应对由此次踏勘现场而造成的死亡、人身伤害、财产损失、损害以及任何其他损失、损害和引起的费用和开支承担责任。</w:t>
      </w:r>
    </w:p>
    <w:p w14:paraId="77624A9E">
      <w:pPr>
        <w:autoSpaceDE w:val="0"/>
        <w:autoSpaceDN w:val="0"/>
        <w:adjustRightInd w:val="0"/>
        <w:spacing w:line="420" w:lineRule="exact"/>
        <w:jc w:val="lef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 xml:space="preserve">（四）、其他配合工作 </w:t>
      </w:r>
    </w:p>
    <w:p w14:paraId="2459F56D">
      <w:pPr>
        <w:spacing w:line="420" w:lineRule="exact"/>
        <w:ind w:firstLine="442" w:firstLineChars="200"/>
        <w:rPr>
          <w:rFonts w:hint="eastAsia" w:ascii="宋体" w:hAnsi="宋体" w:eastAsia="宋体" w:cs="宋体"/>
          <w:b/>
          <w:bCs/>
          <w:color w:val="auto"/>
          <w:kern w:val="0"/>
          <w:szCs w:val="22"/>
          <w:highlight w:val="none"/>
          <w:u w:val="single"/>
        </w:rPr>
      </w:pPr>
      <w:r>
        <w:rPr>
          <w:rFonts w:hint="eastAsia" w:ascii="宋体" w:hAnsi="宋体" w:eastAsia="宋体" w:cs="宋体"/>
          <w:b/>
          <w:bCs/>
          <w:color w:val="auto"/>
          <w:szCs w:val="22"/>
          <w:highlight w:val="none"/>
        </w:rPr>
        <w:t>中标供应商需无条件在全镇范围配合业主对突发事件和突击检查的应急响应。</w:t>
      </w:r>
    </w:p>
    <w:p w14:paraId="22DF7904">
      <w:pPr>
        <w:pStyle w:val="51"/>
        <w:jc w:val="left"/>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五、考核要求</w:t>
      </w:r>
    </w:p>
    <w:p w14:paraId="723252B6">
      <w:pPr>
        <w:widowControl/>
        <w:autoSpaceDE w:val="0"/>
        <w:autoSpaceDN w:val="0"/>
        <w:adjustRightInd w:val="0"/>
        <w:spacing w:line="460" w:lineRule="atLeast"/>
        <w:ind w:firstLine="44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（一）考核及处罚标准</w:t>
      </w:r>
    </w:p>
    <w:p w14:paraId="0F9BFC2B">
      <w:pPr>
        <w:widowControl/>
        <w:autoSpaceDE w:val="0"/>
        <w:autoSpaceDN w:val="0"/>
        <w:adjustRightInd w:val="0"/>
        <w:spacing w:line="460" w:lineRule="atLeast"/>
        <w:ind w:firstLine="44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1、管理责任单位苍南县灵溪镇人民政府对公园</w:t>
      </w:r>
      <w:r>
        <w:rPr>
          <w:rFonts w:hint="eastAsia" w:ascii="宋体" w:hAnsi="宋体" w:cs="宋体"/>
          <w:color w:val="auto"/>
          <w:highlight w:val="none"/>
          <w:lang w:eastAsia="zh-CN"/>
        </w:rPr>
        <w:t>维护</w:t>
      </w:r>
      <w:r>
        <w:rPr>
          <w:rFonts w:hint="eastAsia" w:ascii="宋体" w:hAnsi="宋体" w:eastAsia="宋体" w:cs="宋体"/>
          <w:color w:val="auto"/>
          <w:highlight w:val="none"/>
        </w:rPr>
        <w:t>质量进行检查考评，管理责任单位每月考核一次，每季综合考评一次。</w:t>
      </w:r>
    </w:p>
    <w:p w14:paraId="6E25AE66">
      <w:pPr>
        <w:widowControl/>
        <w:autoSpaceDE w:val="0"/>
        <w:autoSpaceDN w:val="0"/>
        <w:adjustRightInd w:val="0"/>
        <w:spacing w:line="460" w:lineRule="atLeast"/>
        <w:ind w:firstLine="44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2、责任单位根据每季考核结果进行综合评分（每季度中的三个月考核的平均分），每季考核综合评分一次,并按考核结果支付每季的日常管理服务费，90分（含）以上为合格,发放全额季度的日常管理服务费，85分（含）-90分（不含）,每下降1分,扣季度的日常管理服务费的3000元；80分（含）-85分（不含）,每下降1分,扣季度的日常管理服务费的5000元；服务质量月考核连续三次或累计四次低于80分的取消服务合同。</w:t>
      </w:r>
    </w:p>
    <w:p w14:paraId="36A06269">
      <w:pPr>
        <w:widowControl/>
        <w:autoSpaceDE w:val="0"/>
        <w:autoSpaceDN w:val="0"/>
        <w:adjustRightInd w:val="0"/>
        <w:spacing w:line="460" w:lineRule="atLeast"/>
        <w:ind w:firstLine="44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3、在日常管理中，被乡镇或水利局或县领导发现问题或群众举报，经核查属实的，根据问题的严重程度，每一次扣除1000-3000元；上述情况，未在规定时间内及时整改的，罚款翻倍。涉及的问题指水域或堤防保洁不到位、路灯不亮未及时维修等情况。</w:t>
      </w:r>
    </w:p>
    <w:p w14:paraId="41EC2A97">
      <w:pPr>
        <w:widowControl/>
        <w:autoSpaceDE w:val="0"/>
        <w:autoSpaceDN w:val="0"/>
        <w:adjustRightInd w:val="0"/>
        <w:spacing w:line="460" w:lineRule="atLeast"/>
        <w:ind w:firstLine="44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4、本项目依照</w:t>
      </w:r>
      <w:r>
        <w:rPr>
          <w:rFonts w:hint="eastAsia" w:ascii="宋体" w:hAnsi="宋体" w:eastAsia="宋体" w:cs="宋体"/>
          <w:color w:val="auto"/>
          <w:highlight w:val="none"/>
          <w:lang w:eastAsia="zh-CN"/>
        </w:rPr>
        <w:t>2025年度苍南县百里平水公园(灵溪段)及南塘长效管理</w:t>
      </w:r>
      <w:r>
        <w:rPr>
          <w:rFonts w:hint="eastAsia" w:ascii="宋体" w:hAnsi="宋体" w:eastAsia="宋体" w:cs="宋体"/>
          <w:color w:val="auto"/>
          <w:highlight w:val="none"/>
        </w:rPr>
        <w:t>服务考核评分表进行综合考评。</w:t>
      </w:r>
    </w:p>
    <w:p w14:paraId="2CE97D9B">
      <w:pPr>
        <w:widowControl/>
        <w:autoSpaceDE w:val="0"/>
        <w:autoSpaceDN w:val="0"/>
        <w:adjustRightInd w:val="0"/>
        <w:spacing w:line="460" w:lineRule="atLeast"/>
        <w:ind w:firstLine="44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2025年度苍南县百里平水公园(灵溪段)及南塘长效管理</w:t>
      </w:r>
      <w:r>
        <w:rPr>
          <w:rFonts w:hint="eastAsia" w:ascii="宋体" w:hAnsi="宋体" w:eastAsia="宋体" w:cs="宋体"/>
          <w:color w:val="auto"/>
          <w:highlight w:val="none"/>
        </w:rPr>
        <w:t>服务考核评分表。</w:t>
      </w:r>
    </w:p>
    <w:p w14:paraId="14847CED">
      <w:pPr>
        <w:widowControl/>
        <w:autoSpaceDE w:val="0"/>
        <w:autoSpaceDN w:val="0"/>
        <w:adjustRightInd w:val="0"/>
        <w:spacing w:line="600" w:lineRule="auto"/>
        <w:ind w:firstLine="546" w:firstLineChars="200"/>
        <w:textAlignment w:val="bottom"/>
        <w:rPr>
          <w:rFonts w:hint="eastAsia" w:ascii="宋体" w:hAnsi="宋体" w:eastAsia="宋体" w:cs="宋体"/>
          <w:b/>
          <w:color w:val="auto"/>
          <w:spacing w:val="-4"/>
          <w:sz w:val="28"/>
          <w:szCs w:val="28"/>
          <w:highlight w:val="none"/>
          <w:u w:val="single"/>
        </w:rPr>
      </w:pPr>
      <w:r>
        <w:rPr>
          <w:rFonts w:hint="eastAsia" w:ascii="宋体" w:hAnsi="宋体" w:eastAsia="宋体" w:cs="宋体"/>
          <w:b/>
          <w:color w:val="auto"/>
          <w:spacing w:val="-4"/>
          <w:sz w:val="28"/>
          <w:szCs w:val="28"/>
          <w:highlight w:val="none"/>
          <w:u w:val="single"/>
          <w:lang w:eastAsia="zh-CN"/>
        </w:rPr>
        <w:t>2025年度苍南县百里平水公园(灵溪段)及南塘长效管理</w:t>
      </w:r>
      <w:r>
        <w:rPr>
          <w:rFonts w:hint="eastAsia" w:ascii="宋体" w:hAnsi="宋体" w:eastAsia="宋体" w:cs="宋体"/>
          <w:b/>
          <w:color w:val="auto"/>
          <w:spacing w:val="-4"/>
          <w:sz w:val="28"/>
          <w:szCs w:val="28"/>
          <w:highlight w:val="none"/>
          <w:u w:val="single"/>
        </w:rPr>
        <w:t>务考核评分表（考核评分表）</w:t>
      </w:r>
    </w:p>
    <w:tbl>
      <w:tblPr>
        <w:tblStyle w:val="32"/>
        <w:tblW w:w="10091" w:type="dxa"/>
        <w:tblInd w:w="-139" w:type="dxa"/>
        <w:tblLayout w:type="fixed"/>
        <w:tblCellMar>
          <w:top w:w="0" w:type="dxa"/>
          <w:left w:w="108" w:type="dxa"/>
          <w:bottom w:w="0" w:type="dxa"/>
          <w:right w:w="108" w:type="dxa"/>
        </w:tblCellMar>
      </w:tblPr>
      <w:tblGrid>
        <w:gridCol w:w="1098"/>
        <w:gridCol w:w="3969"/>
        <w:gridCol w:w="3688"/>
        <w:gridCol w:w="668"/>
        <w:gridCol w:w="668"/>
      </w:tblGrid>
      <w:tr w14:paraId="2DF1E07F">
        <w:tblPrEx>
          <w:tblCellMar>
            <w:top w:w="0" w:type="dxa"/>
            <w:left w:w="108" w:type="dxa"/>
            <w:bottom w:w="0" w:type="dxa"/>
            <w:right w:w="108" w:type="dxa"/>
          </w:tblCellMar>
        </w:tblPrEx>
        <w:trPr>
          <w:trHeight w:val="896" w:hRule="atLeast"/>
        </w:trPr>
        <w:tc>
          <w:tcPr>
            <w:tcW w:w="1098" w:type="dxa"/>
            <w:tcBorders>
              <w:top w:val="single" w:color="auto" w:sz="4" w:space="0"/>
              <w:left w:val="single" w:color="auto" w:sz="4" w:space="0"/>
              <w:bottom w:val="single" w:color="auto" w:sz="4" w:space="0"/>
              <w:right w:val="single" w:color="auto" w:sz="6" w:space="0"/>
            </w:tcBorders>
            <w:vAlign w:val="center"/>
          </w:tcPr>
          <w:p w14:paraId="39B94CDD">
            <w:pPr>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评分栏目</w:t>
            </w:r>
          </w:p>
        </w:tc>
        <w:tc>
          <w:tcPr>
            <w:tcW w:w="3969" w:type="dxa"/>
            <w:tcBorders>
              <w:top w:val="single" w:color="auto" w:sz="4" w:space="0"/>
              <w:left w:val="single" w:color="auto" w:sz="6" w:space="0"/>
              <w:bottom w:val="single" w:color="auto" w:sz="6" w:space="0"/>
              <w:right w:val="single" w:color="auto" w:sz="6" w:space="0"/>
            </w:tcBorders>
            <w:vAlign w:val="center"/>
          </w:tcPr>
          <w:p w14:paraId="14C6A00A">
            <w:pPr>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要求</w:t>
            </w:r>
          </w:p>
        </w:tc>
        <w:tc>
          <w:tcPr>
            <w:tcW w:w="3688" w:type="dxa"/>
            <w:tcBorders>
              <w:top w:val="single" w:color="auto" w:sz="4" w:space="0"/>
              <w:left w:val="single" w:color="auto" w:sz="6" w:space="0"/>
              <w:bottom w:val="single" w:color="auto" w:sz="6" w:space="0"/>
              <w:right w:val="single" w:color="auto" w:sz="6" w:space="0"/>
            </w:tcBorders>
            <w:vAlign w:val="center"/>
          </w:tcPr>
          <w:p w14:paraId="22F66CBC">
            <w:pPr>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评分标准</w:t>
            </w:r>
          </w:p>
        </w:tc>
        <w:tc>
          <w:tcPr>
            <w:tcW w:w="668" w:type="dxa"/>
            <w:tcBorders>
              <w:top w:val="single" w:color="auto" w:sz="4" w:space="0"/>
              <w:left w:val="single" w:color="auto" w:sz="6" w:space="0"/>
              <w:bottom w:val="single" w:color="auto" w:sz="6" w:space="0"/>
              <w:right w:val="single" w:color="auto" w:sz="6" w:space="0"/>
            </w:tcBorders>
            <w:vAlign w:val="center"/>
          </w:tcPr>
          <w:p w14:paraId="62B63E9D">
            <w:pPr>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满分</w:t>
            </w:r>
          </w:p>
        </w:tc>
        <w:tc>
          <w:tcPr>
            <w:tcW w:w="668" w:type="dxa"/>
            <w:tcBorders>
              <w:top w:val="single" w:color="auto" w:sz="4" w:space="0"/>
              <w:left w:val="single" w:color="auto" w:sz="6" w:space="0"/>
              <w:bottom w:val="single" w:color="auto" w:sz="6" w:space="0"/>
              <w:right w:val="single" w:color="auto" w:sz="4" w:space="0"/>
            </w:tcBorders>
            <w:vAlign w:val="center"/>
          </w:tcPr>
          <w:p w14:paraId="048CF078">
            <w:pPr>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得分</w:t>
            </w:r>
          </w:p>
        </w:tc>
      </w:tr>
      <w:tr w14:paraId="461A1FE6">
        <w:tblPrEx>
          <w:tblCellMar>
            <w:top w:w="0" w:type="dxa"/>
            <w:left w:w="108" w:type="dxa"/>
            <w:bottom w:w="0" w:type="dxa"/>
            <w:right w:w="108" w:type="dxa"/>
          </w:tblCellMar>
        </w:tblPrEx>
        <w:trPr>
          <w:trHeight w:val="1978" w:hRule="atLeast"/>
        </w:trPr>
        <w:tc>
          <w:tcPr>
            <w:tcW w:w="1098" w:type="dxa"/>
            <w:vMerge w:val="restart"/>
            <w:tcBorders>
              <w:top w:val="single" w:color="auto" w:sz="4" w:space="0"/>
              <w:left w:val="single" w:color="auto" w:sz="4" w:space="0"/>
              <w:bottom w:val="single" w:color="auto" w:sz="4" w:space="0"/>
              <w:right w:val="single" w:color="auto" w:sz="4" w:space="0"/>
            </w:tcBorders>
            <w:vAlign w:val="center"/>
          </w:tcPr>
          <w:p w14:paraId="07516F83">
            <w:pPr>
              <w:spacing w:line="320" w:lineRule="exact"/>
              <w:ind w:left="11" w:hanging="11" w:hangingChars="5"/>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一</w:t>
            </w:r>
            <w:r>
              <w:rPr>
                <w:rFonts w:hint="eastAsia" w:ascii="宋体" w:hAnsi="宋体" w:eastAsia="宋体" w:cs="宋体"/>
                <w:bCs/>
                <w:color w:val="auto"/>
                <w:szCs w:val="21"/>
                <w:highlight w:val="none"/>
              </w:rPr>
              <w:t>）保洁卫生管理情况（3</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w:t>
            </w:r>
          </w:p>
        </w:tc>
        <w:tc>
          <w:tcPr>
            <w:tcW w:w="3969" w:type="dxa"/>
            <w:tcBorders>
              <w:top w:val="single" w:color="auto" w:sz="6" w:space="0"/>
              <w:left w:val="single" w:color="auto" w:sz="4" w:space="0"/>
              <w:bottom w:val="single" w:color="auto" w:sz="6" w:space="0"/>
              <w:right w:val="single" w:color="auto" w:sz="6" w:space="0"/>
            </w:tcBorders>
            <w:vAlign w:val="center"/>
          </w:tcPr>
          <w:p w14:paraId="5A2F9AF4">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1、陆域责任范围内确保每天2次普扫， 早晨普扫须在夏季6:30、冬季7:00前完成 ，下午普扫须在16:30前完成，无垃圾散落及卫生死角。</w:t>
            </w:r>
          </w:p>
        </w:tc>
        <w:tc>
          <w:tcPr>
            <w:tcW w:w="3688" w:type="dxa"/>
            <w:tcBorders>
              <w:top w:val="single" w:color="auto" w:sz="6" w:space="0"/>
              <w:left w:val="single" w:color="auto" w:sz="6" w:space="0"/>
              <w:bottom w:val="single" w:color="auto" w:sz="6" w:space="0"/>
              <w:right w:val="single" w:color="auto" w:sz="6" w:space="0"/>
            </w:tcBorders>
            <w:vAlign w:val="center"/>
          </w:tcPr>
          <w:p w14:paraId="6F585C7A">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在规定时间内未完成普扫的扣2分；</w:t>
            </w:r>
          </w:p>
          <w:p w14:paraId="2BE0AC5B">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垃圾及卫生死角发现一处扣1分。</w:t>
            </w:r>
          </w:p>
        </w:tc>
        <w:tc>
          <w:tcPr>
            <w:tcW w:w="668" w:type="dxa"/>
            <w:tcBorders>
              <w:top w:val="single" w:color="auto" w:sz="6" w:space="0"/>
              <w:left w:val="single" w:color="auto" w:sz="6" w:space="0"/>
              <w:bottom w:val="single" w:color="auto" w:sz="6" w:space="0"/>
              <w:right w:val="single" w:color="auto" w:sz="6" w:space="0"/>
            </w:tcBorders>
            <w:vAlign w:val="center"/>
          </w:tcPr>
          <w:p w14:paraId="6540F899">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8</w:t>
            </w:r>
          </w:p>
        </w:tc>
        <w:tc>
          <w:tcPr>
            <w:tcW w:w="668" w:type="dxa"/>
            <w:tcBorders>
              <w:top w:val="single" w:color="auto" w:sz="6" w:space="0"/>
              <w:left w:val="single" w:color="auto" w:sz="6" w:space="0"/>
              <w:bottom w:val="single" w:color="auto" w:sz="6" w:space="0"/>
              <w:right w:val="single" w:color="auto" w:sz="4" w:space="0"/>
            </w:tcBorders>
            <w:vAlign w:val="center"/>
          </w:tcPr>
          <w:p w14:paraId="088DE1BF">
            <w:pPr>
              <w:spacing w:line="320" w:lineRule="exact"/>
              <w:jc w:val="left"/>
              <w:rPr>
                <w:rFonts w:hint="eastAsia" w:ascii="宋体" w:hAnsi="宋体" w:eastAsia="宋体" w:cs="宋体"/>
                <w:bCs/>
                <w:color w:val="auto"/>
                <w:szCs w:val="21"/>
                <w:highlight w:val="none"/>
              </w:rPr>
            </w:pPr>
          </w:p>
        </w:tc>
      </w:tr>
      <w:tr w14:paraId="418062A7">
        <w:tblPrEx>
          <w:tblCellMar>
            <w:top w:w="0" w:type="dxa"/>
            <w:left w:w="108" w:type="dxa"/>
            <w:bottom w:w="0" w:type="dxa"/>
            <w:right w:w="108" w:type="dxa"/>
          </w:tblCellMar>
        </w:tblPrEx>
        <w:tc>
          <w:tcPr>
            <w:tcW w:w="1098" w:type="dxa"/>
            <w:vMerge w:val="continue"/>
            <w:tcBorders>
              <w:top w:val="single" w:color="auto" w:sz="4" w:space="0"/>
              <w:left w:val="single" w:color="auto" w:sz="4" w:space="0"/>
              <w:bottom w:val="single" w:color="auto" w:sz="4" w:space="0"/>
              <w:right w:val="single" w:color="auto" w:sz="4" w:space="0"/>
            </w:tcBorders>
            <w:vAlign w:val="center"/>
          </w:tcPr>
          <w:p w14:paraId="73468747">
            <w:pPr>
              <w:spacing w:line="320" w:lineRule="exact"/>
              <w:ind w:left="11" w:hanging="11" w:hangingChars="5"/>
              <w:jc w:val="left"/>
              <w:rPr>
                <w:rFonts w:hint="eastAsia" w:ascii="宋体" w:hAnsi="宋体" w:eastAsia="宋体" w:cs="宋体"/>
                <w:bCs/>
                <w:color w:val="auto"/>
                <w:szCs w:val="21"/>
                <w:highlight w:val="none"/>
              </w:rPr>
            </w:pPr>
          </w:p>
        </w:tc>
        <w:tc>
          <w:tcPr>
            <w:tcW w:w="3969" w:type="dxa"/>
            <w:tcBorders>
              <w:top w:val="single" w:color="auto" w:sz="6" w:space="0"/>
              <w:left w:val="single" w:color="auto" w:sz="4" w:space="0"/>
              <w:bottom w:val="single" w:color="auto" w:sz="6" w:space="0"/>
              <w:right w:val="single" w:color="auto" w:sz="6" w:space="0"/>
            </w:tcBorders>
            <w:vAlign w:val="center"/>
          </w:tcPr>
          <w:p w14:paraId="73C0AEFE">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2、水域责任范围内保洁及时且到位，河面无垃圾、浮萍等漂浮物。</w:t>
            </w:r>
          </w:p>
        </w:tc>
        <w:tc>
          <w:tcPr>
            <w:tcW w:w="3688" w:type="dxa"/>
            <w:tcBorders>
              <w:top w:val="single" w:color="auto" w:sz="6" w:space="0"/>
              <w:left w:val="single" w:color="auto" w:sz="6" w:space="0"/>
              <w:bottom w:val="single" w:color="auto" w:sz="6" w:space="0"/>
              <w:right w:val="single" w:color="auto" w:sz="6" w:space="0"/>
            </w:tcBorders>
            <w:vAlign w:val="center"/>
          </w:tcPr>
          <w:p w14:paraId="42063E62">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在规定时间内未完成水域保洁扣2分；</w:t>
            </w:r>
          </w:p>
          <w:p w14:paraId="0494160A">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发现漂浮物一处扣1分。</w:t>
            </w:r>
          </w:p>
        </w:tc>
        <w:tc>
          <w:tcPr>
            <w:tcW w:w="668" w:type="dxa"/>
            <w:tcBorders>
              <w:top w:val="single" w:color="auto" w:sz="6" w:space="0"/>
              <w:left w:val="single" w:color="auto" w:sz="6" w:space="0"/>
              <w:bottom w:val="single" w:color="auto" w:sz="6" w:space="0"/>
              <w:right w:val="single" w:color="auto" w:sz="6" w:space="0"/>
            </w:tcBorders>
            <w:vAlign w:val="center"/>
          </w:tcPr>
          <w:p w14:paraId="401E2858">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8</w:t>
            </w:r>
          </w:p>
        </w:tc>
        <w:tc>
          <w:tcPr>
            <w:tcW w:w="668" w:type="dxa"/>
            <w:tcBorders>
              <w:top w:val="single" w:color="auto" w:sz="6" w:space="0"/>
              <w:left w:val="single" w:color="auto" w:sz="6" w:space="0"/>
              <w:bottom w:val="single" w:color="auto" w:sz="6" w:space="0"/>
              <w:right w:val="single" w:color="auto" w:sz="4" w:space="0"/>
            </w:tcBorders>
            <w:vAlign w:val="center"/>
          </w:tcPr>
          <w:p w14:paraId="5FFE7FF9">
            <w:pPr>
              <w:spacing w:line="320" w:lineRule="exact"/>
              <w:jc w:val="left"/>
              <w:rPr>
                <w:rFonts w:hint="eastAsia" w:ascii="宋体" w:hAnsi="宋体" w:eastAsia="宋体" w:cs="宋体"/>
                <w:bCs/>
                <w:color w:val="auto"/>
                <w:szCs w:val="21"/>
                <w:highlight w:val="none"/>
              </w:rPr>
            </w:pPr>
          </w:p>
        </w:tc>
      </w:tr>
      <w:tr w14:paraId="1556E119">
        <w:tblPrEx>
          <w:tblCellMar>
            <w:top w:w="0" w:type="dxa"/>
            <w:left w:w="108" w:type="dxa"/>
            <w:bottom w:w="0" w:type="dxa"/>
            <w:right w:w="108" w:type="dxa"/>
          </w:tblCellMar>
        </w:tblPrEx>
        <w:trPr>
          <w:trHeight w:val="1258" w:hRule="atLeast"/>
        </w:trPr>
        <w:tc>
          <w:tcPr>
            <w:tcW w:w="1098" w:type="dxa"/>
            <w:vMerge w:val="continue"/>
            <w:tcBorders>
              <w:top w:val="single" w:color="auto" w:sz="4" w:space="0"/>
              <w:left w:val="single" w:color="auto" w:sz="4" w:space="0"/>
              <w:bottom w:val="single" w:color="auto" w:sz="4" w:space="0"/>
              <w:right w:val="single" w:color="auto" w:sz="4" w:space="0"/>
            </w:tcBorders>
            <w:vAlign w:val="center"/>
          </w:tcPr>
          <w:p w14:paraId="7555696C">
            <w:pPr>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4" w:space="0"/>
              <w:bottom w:val="single" w:color="auto" w:sz="6" w:space="0"/>
              <w:right w:val="single" w:color="auto" w:sz="6" w:space="0"/>
            </w:tcBorders>
            <w:vAlign w:val="center"/>
          </w:tcPr>
          <w:p w14:paraId="68BA3C62">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3、排水沟每天有人清理，清除垃圾不得抛洒在绿化带上，无积水、沟内无垃圾、无其它异物。</w:t>
            </w:r>
          </w:p>
        </w:tc>
        <w:tc>
          <w:tcPr>
            <w:tcW w:w="3688" w:type="dxa"/>
            <w:tcBorders>
              <w:top w:val="single" w:color="auto" w:sz="6" w:space="0"/>
              <w:left w:val="single" w:color="auto" w:sz="6" w:space="0"/>
              <w:bottom w:val="single" w:color="auto" w:sz="6" w:space="0"/>
              <w:right w:val="single" w:color="auto" w:sz="6" w:space="0"/>
            </w:tcBorders>
            <w:vAlign w:val="center"/>
          </w:tcPr>
          <w:p w14:paraId="4BAB6806">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否则发现一处扣1分</w:t>
            </w:r>
          </w:p>
        </w:tc>
        <w:tc>
          <w:tcPr>
            <w:tcW w:w="668" w:type="dxa"/>
            <w:tcBorders>
              <w:top w:val="single" w:color="auto" w:sz="6" w:space="0"/>
              <w:left w:val="single" w:color="auto" w:sz="6" w:space="0"/>
              <w:bottom w:val="single" w:color="auto" w:sz="6" w:space="0"/>
              <w:right w:val="single" w:color="auto" w:sz="6" w:space="0"/>
            </w:tcBorders>
            <w:vAlign w:val="center"/>
          </w:tcPr>
          <w:p w14:paraId="09C281A7">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68" w:type="dxa"/>
            <w:tcBorders>
              <w:top w:val="single" w:color="auto" w:sz="6" w:space="0"/>
              <w:left w:val="single" w:color="auto" w:sz="6" w:space="0"/>
              <w:bottom w:val="single" w:color="auto" w:sz="6" w:space="0"/>
              <w:right w:val="single" w:color="auto" w:sz="4" w:space="0"/>
            </w:tcBorders>
            <w:vAlign w:val="center"/>
          </w:tcPr>
          <w:p w14:paraId="05F4A47C">
            <w:pPr>
              <w:spacing w:line="320" w:lineRule="exact"/>
              <w:jc w:val="left"/>
              <w:rPr>
                <w:rFonts w:hint="eastAsia" w:ascii="宋体" w:hAnsi="宋体" w:eastAsia="宋体" w:cs="宋体"/>
                <w:bCs/>
                <w:color w:val="auto"/>
                <w:szCs w:val="21"/>
                <w:highlight w:val="none"/>
              </w:rPr>
            </w:pPr>
          </w:p>
        </w:tc>
      </w:tr>
      <w:tr w14:paraId="020B3AD5">
        <w:tblPrEx>
          <w:tblCellMar>
            <w:top w:w="0" w:type="dxa"/>
            <w:left w:w="108" w:type="dxa"/>
            <w:bottom w:w="0" w:type="dxa"/>
            <w:right w:w="108" w:type="dxa"/>
          </w:tblCellMar>
        </w:tblPrEx>
        <w:trPr>
          <w:trHeight w:val="1262" w:hRule="atLeast"/>
        </w:trPr>
        <w:tc>
          <w:tcPr>
            <w:tcW w:w="1098" w:type="dxa"/>
            <w:vMerge w:val="continue"/>
            <w:tcBorders>
              <w:top w:val="single" w:color="auto" w:sz="4" w:space="0"/>
              <w:left w:val="single" w:color="auto" w:sz="4" w:space="0"/>
              <w:bottom w:val="single" w:color="auto" w:sz="4" w:space="0"/>
              <w:right w:val="single" w:color="auto" w:sz="4" w:space="0"/>
            </w:tcBorders>
            <w:vAlign w:val="center"/>
          </w:tcPr>
          <w:p w14:paraId="41062A77">
            <w:pPr>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4" w:space="0"/>
              <w:bottom w:val="single" w:color="auto" w:sz="6" w:space="0"/>
              <w:right w:val="single" w:color="auto" w:sz="6" w:space="0"/>
            </w:tcBorders>
            <w:vAlign w:val="center"/>
          </w:tcPr>
          <w:p w14:paraId="2497DB6B">
            <w:pPr>
              <w:spacing w:line="320" w:lineRule="exact"/>
              <w:ind w:left="11" w:hanging="11" w:hangingChars="5"/>
              <w:jc w:val="lef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4、管理范围内无高于20cm的杂草，需每月定期除草一次以上并外运处理，春夏适当增加频次。</w:t>
            </w:r>
          </w:p>
        </w:tc>
        <w:tc>
          <w:tcPr>
            <w:tcW w:w="3688" w:type="dxa"/>
            <w:tcBorders>
              <w:top w:val="single" w:color="auto" w:sz="6" w:space="0"/>
              <w:left w:val="single" w:color="auto" w:sz="6" w:space="0"/>
              <w:bottom w:val="single" w:color="auto" w:sz="6" w:space="0"/>
              <w:right w:val="single" w:color="auto" w:sz="6" w:space="0"/>
            </w:tcBorders>
            <w:vAlign w:val="center"/>
          </w:tcPr>
          <w:p w14:paraId="70C95695">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发现一处扣2分(除草不得施打农药，查实一次扣2分)。</w:t>
            </w:r>
          </w:p>
        </w:tc>
        <w:tc>
          <w:tcPr>
            <w:tcW w:w="668" w:type="dxa"/>
            <w:tcBorders>
              <w:top w:val="single" w:color="auto" w:sz="6" w:space="0"/>
              <w:left w:val="single" w:color="auto" w:sz="6" w:space="0"/>
              <w:bottom w:val="single" w:color="auto" w:sz="6" w:space="0"/>
              <w:right w:val="single" w:color="auto" w:sz="6" w:space="0"/>
            </w:tcBorders>
            <w:vAlign w:val="center"/>
          </w:tcPr>
          <w:p w14:paraId="770B939A">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668" w:type="dxa"/>
            <w:tcBorders>
              <w:top w:val="single" w:color="auto" w:sz="6" w:space="0"/>
              <w:left w:val="single" w:color="auto" w:sz="6" w:space="0"/>
              <w:bottom w:val="single" w:color="auto" w:sz="6" w:space="0"/>
              <w:right w:val="single" w:color="auto" w:sz="4" w:space="0"/>
            </w:tcBorders>
            <w:vAlign w:val="center"/>
          </w:tcPr>
          <w:p w14:paraId="122A765B">
            <w:pPr>
              <w:spacing w:line="320" w:lineRule="exact"/>
              <w:jc w:val="left"/>
              <w:rPr>
                <w:rFonts w:hint="eastAsia" w:ascii="宋体" w:hAnsi="宋体" w:eastAsia="宋体" w:cs="宋体"/>
                <w:bCs/>
                <w:color w:val="auto"/>
                <w:szCs w:val="21"/>
                <w:highlight w:val="none"/>
              </w:rPr>
            </w:pPr>
          </w:p>
        </w:tc>
      </w:tr>
      <w:tr w14:paraId="4E14E266">
        <w:tblPrEx>
          <w:tblCellMar>
            <w:top w:w="0" w:type="dxa"/>
            <w:left w:w="108" w:type="dxa"/>
            <w:bottom w:w="0" w:type="dxa"/>
            <w:right w:w="108" w:type="dxa"/>
          </w:tblCellMar>
        </w:tblPrEx>
        <w:trPr>
          <w:trHeight w:val="1266" w:hRule="atLeast"/>
        </w:trPr>
        <w:tc>
          <w:tcPr>
            <w:tcW w:w="1098" w:type="dxa"/>
            <w:vMerge w:val="continue"/>
            <w:tcBorders>
              <w:top w:val="single" w:color="auto" w:sz="4" w:space="0"/>
              <w:left w:val="single" w:color="auto" w:sz="4" w:space="0"/>
              <w:bottom w:val="single" w:color="auto" w:sz="4" w:space="0"/>
              <w:right w:val="single" w:color="auto" w:sz="4" w:space="0"/>
            </w:tcBorders>
            <w:vAlign w:val="center"/>
          </w:tcPr>
          <w:p w14:paraId="03DCB295">
            <w:pPr>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4" w:space="0"/>
              <w:bottom w:val="single" w:color="auto" w:sz="6" w:space="0"/>
              <w:right w:val="single" w:color="auto" w:sz="6" w:space="0"/>
            </w:tcBorders>
            <w:vAlign w:val="center"/>
          </w:tcPr>
          <w:p w14:paraId="44BBB042">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5、垃圾桶等封闭无四害孳生，垃圾做到日产日清；无垃圾散落，水面保洁到位。</w:t>
            </w:r>
          </w:p>
        </w:tc>
        <w:tc>
          <w:tcPr>
            <w:tcW w:w="3688" w:type="dxa"/>
            <w:tcBorders>
              <w:top w:val="single" w:color="auto" w:sz="6" w:space="0"/>
              <w:left w:val="single" w:color="auto" w:sz="6" w:space="0"/>
              <w:bottom w:val="single" w:color="auto" w:sz="6" w:space="0"/>
              <w:right w:val="single" w:color="auto" w:sz="6" w:space="0"/>
            </w:tcBorders>
            <w:vAlign w:val="center"/>
          </w:tcPr>
          <w:p w14:paraId="6F65B24D">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垃圾没有日产日清的发现一次扣1分；</w:t>
            </w:r>
          </w:p>
          <w:p w14:paraId="2B7618D4">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发现一处垃圾扣0.5分；</w:t>
            </w:r>
          </w:p>
        </w:tc>
        <w:tc>
          <w:tcPr>
            <w:tcW w:w="668" w:type="dxa"/>
            <w:tcBorders>
              <w:top w:val="single" w:color="auto" w:sz="6" w:space="0"/>
              <w:left w:val="single" w:color="auto" w:sz="6" w:space="0"/>
              <w:bottom w:val="single" w:color="auto" w:sz="6" w:space="0"/>
              <w:right w:val="single" w:color="auto" w:sz="6" w:space="0"/>
            </w:tcBorders>
            <w:vAlign w:val="center"/>
          </w:tcPr>
          <w:p w14:paraId="6CA3435F">
            <w:pPr>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668" w:type="dxa"/>
            <w:tcBorders>
              <w:top w:val="single" w:color="auto" w:sz="6" w:space="0"/>
              <w:left w:val="single" w:color="auto" w:sz="6" w:space="0"/>
              <w:bottom w:val="single" w:color="auto" w:sz="6" w:space="0"/>
              <w:right w:val="single" w:color="auto" w:sz="4" w:space="0"/>
            </w:tcBorders>
            <w:vAlign w:val="center"/>
          </w:tcPr>
          <w:p w14:paraId="4E5C82DB">
            <w:pPr>
              <w:spacing w:line="320" w:lineRule="exact"/>
              <w:jc w:val="left"/>
              <w:rPr>
                <w:rFonts w:hint="eastAsia" w:ascii="宋体" w:hAnsi="宋体" w:eastAsia="宋体" w:cs="宋体"/>
                <w:bCs/>
                <w:color w:val="auto"/>
                <w:szCs w:val="21"/>
                <w:highlight w:val="none"/>
              </w:rPr>
            </w:pPr>
          </w:p>
        </w:tc>
      </w:tr>
      <w:tr w14:paraId="01004908">
        <w:tblPrEx>
          <w:tblCellMar>
            <w:top w:w="0" w:type="dxa"/>
            <w:left w:w="108" w:type="dxa"/>
            <w:bottom w:w="0" w:type="dxa"/>
            <w:right w:w="108" w:type="dxa"/>
          </w:tblCellMar>
        </w:tblPrEx>
        <w:trPr>
          <w:trHeight w:val="1665" w:hRule="atLeast"/>
        </w:trPr>
        <w:tc>
          <w:tcPr>
            <w:tcW w:w="1098" w:type="dxa"/>
            <w:vMerge w:val="continue"/>
            <w:tcBorders>
              <w:top w:val="single" w:color="auto" w:sz="4" w:space="0"/>
              <w:left w:val="single" w:color="auto" w:sz="4" w:space="0"/>
              <w:bottom w:val="single" w:color="auto" w:sz="4" w:space="0"/>
              <w:right w:val="single" w:color="auto" w:sz="4" w:space="0"/>
            </w:tcBorders>
            <w:vAlign w:val="center"/>
          </w:tcPr>
          <w:p w14:paraId="123E50E7">
            <w:pPr>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4" w:space="0"/>
              <w:bottom w:val="single" w:color="auto" w:sz="6" w:space="0"/>
              <w:right w:val="single" w:color="auto" w:sz="6" w:space="0"/>
            </w:tcBorders>
            <w:vAlign w:val="center"/>
          </w:tcPr>
          <w:p w14:paraId="7BB26C54">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6、管理范围内彩色步道、马道、台阶、亭台以及护栏等构筑物需定期冲洗，特别是台风灾害天气淤泥、枝叶堆积及时冲洗。</w:t>
            </w:r>
          </w:p>
        </w:tc>
        <w:tc>
          <w:tcPr>
            <w:tcW w:w="3688" w:type="dxa"/>
            <w:tcBorders>
              <w:top w:val="single" w:color="auto" w:sz="6" w:space="0"/>
              <w:left w:val="single" w:color="auto" w:sz="6" w:space="0"/>
              <w:bottom w:val="single" w:color="auto" w:sz="6" w:space="0"/>
              <w:right w:val="single" w:color="auto" w:sz="6" w:space="0"/>
            </w:tcBorders>
            <w:vAlign w:val="center"/>
          </w:tcPr>
          <w:p w14:paraId="06F2DE7C">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道路冲洗的频次、质量符合要求的（路面见本色），否则发现一次扣2分。</w:t>
            </w:r>
          </w:p>
        </w:tc>
        <w:tc>
          <w:tcPr>
            <w:tcW w:w="668" w:type="dxa"/>
            <w:tcBorders>
              <w:top w:val="single" w:color="auto" w:sz="6" w:space="0"/>
              <w:left w:val="single" w:color="auto" w:sz="6" w:space="0"/>
              <w:bottom w:val="single" w:color="auto" w:sz="6" w:space="0"/>
              <w:right w:val="single" w:color="auto" w:sz="6" w:space="0"/>
            </w:tcBorders>
            <w:vAlign w:val="center"/>
          </w:tcPr>
          <w:p w14:paraId="2E4DFA36">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68" w:type="dxa"/>
            <w:tcBorders>
              <w:top w:val="single" w:color="auto" w:sz="6" w:space="0"/>
              <w:left w:val="single" w:color="auto" w:sz="6" w:space="0"/>
              <w:bottom w:val="single" w:color="auto" w:sz="6" w:space="0"/>
              <w:right w:val="single" w:color="auto" w:sz="4" w:space="0"/>
            </w:tcBorders>
            <w:vAlign w:val="center"/>
          </w:tcPr>
          <w:p w14:paraId="0084C82E">
            <w:pPr>
              <w:spacing w:line="320" w:lineRule="exact"/>
              <w:jc w:val="left"/>
              <w:rPr>
                <w:rFonts w:hint="eastAsia" w:ascii="宋体" w:hAnsi="宋体" w:eastAsia="宋体" w:cs="宋体"/>
                <w:bCs/>
                <w:color w:val="auto"/>
                <w:szCs w:val="21"/>
                <w:highlight w:val="none"/>
              </w:rPr>
            </w:pPr>
          </w:p>
        </w:tc>
      </w:tr>
      <w:tr w14:paraId="719B649E">
        <w:tblPrEx>
          <w:tblCellMar>
            <w:top w:w="0" w:type="dxa"/>
            <w:left w:w="108" w:type="dxa"/>
            <w:bottom w:w="0" w:type="dxa"/>
            <w:right w:w="108" w:type="dxa"/>
          </w:tblCellMar>
        </w:tblPrEx>
        <w:trPr>
          <w:trHeight w:val="1563" w:hRule="atLeast"/>
        </w:trPr>
        <w:tc>
          <w:tcPr>
            <w:tcW w:w="1098" w:type="dxa"/>
            <w:vMerge w:val="restart"/>
            <w:tcBorders>
              <w:top w:val="single" w:color="auto" w:sz="4" w:space="0"/>
              <w:left w:val="single" w:color="auto" w:sz="4" w:space="0"/>
              <w:bottom w:val="single" w:color="auto" w:sz="4" w:space="0"/>
              <w:right w:val="single" w:color="auto" w:sz="6" w:space="0"/>
            </w:tcBorders>
            <w:vAlign w:val="center"/>
          </w:tcPr>
          <w:p w14:paraId="02FE73DB">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二</w:t>
            </w:r>
            <w:r>
              <w:rPr>
                <w:rFonts w:hint="eastAsia" w:ascii="宋体" w:hAnsi="宋体" w:eastAsia="宋体" w:cs="宋体"/>
                <w:bCs/>
                <w:color w:val="auto"/>
                <w:szCs w:val="21"/>
                <w:highlight w:val="none"/>
              </w:rPr>
              <w:t>）公园建筑、设施管理维护情况（</w:t>
            </w:r>
            <w:r>
              <w:rPr>
                <w:rFonts w:hint="eastAsia" w:ascii="宋体" w:hAnsi="宋体" w:cs="宋体"/>
                <w:bCs/>
                <w:color w:val="auto"/>
                <w:szCs w:val="21"/>
                <w:highlight w:val="none"/>
                <w:lang w:val="en-US" w:eastAsia="zh-CN"/>
              </w:rPr>
              <w:t>20</w:t>
            </w:r>
            <w:r>
              <w:rPr>
                <w:rFonts w:hint="eastAsia" w:ascii="宋体" w:hAnsi="宋体" w:eastAsia="宋体" w:cs="宋体"/>
                <w:bCs/>
                <w:color w:val="auto"/>
                <w:szCs w:val="21"/>
                <w:highlight w:val="none"/>
              </w:rPr>
              <w:t>）</w:t>
            </w:r>
          </w:p>
        </w:tc>
        <w:tc>
          <w:tcPr>
            <w:tcW w:w="3969" w:type="dxa"/>
            <w:tcBorders>
              <w:top w:val="single" w:color="auto" w:sz="6" w:space="0"/>
              <w:left w:val="single" w:color="auto" w:sz="6" w:space="0"/>
              <w:bottom w:val="single" w:color="auto" w:sz="6" w:space="0"/>
              <w:right w:val="single" w:color="auto" w:sz="6" w:space="0"/>
            </w:tcBorders>
            <w:vAlign w:val="center"/>
          </w:tcPr>
          <w:p w14:paraId="76AF3D28">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1、建筑物（构筑物）使用功能须正常，路碑、牌、桩、路障等建筑、设施需保持清洁、醒目、端正，无乱涂画写、乱张贴。</w:t>
            </w:r>
          </w:p>
        </w:tc>
        <w:tc>
          <w:tcPr>
            <w:tcW w:w="3688" w:type="dxa"/>
            <w:tcBorders>
              <w:top w:val="single" w:color="auto" w:sz="6" w:space="0"/>
              <w:left w:val="single" w:color="auto" w:sz="6" w:space="0"/>
              <w:bottom w:val="single" w:color="auto" w:sz="6" w:space="0"/>
              <w:right w:val="single" w:color="auto" w:sz="6" w:space="0"/>
            </w:tcBorders>
            <w:vAlign w:val="center"/>
          </w:tcPr>
          <w:p w14:paraId="3BCA199F">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否则，发现一处扣1分</w:t>
            </w:r>
          </w:p>
        </w:tc>
        <w:tc>
          <w:tcPr>
            <w:tcW w:w="668" w:type="dxa"/>
            <w:tcBorders>
              <w:top w:val="single" w:color="auto" w:sz="6" w:space="0"/>
              <w:left w:val="single" w:color="auto" w:sz="6" w:space="0"/>
              <w:bottom w:val="single" w:color="auto" w:sz="6" w:space="0"/>
              <w:right w:val="single" w:color="auto" w:sz="6" w:space="0"/>
            </w:tcBorders>
            <w:vAlign w:val="center"/>
          </w:tcPr>
          <w:p w14:paraId="5345AD78">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668" w:type="dxa"/>
            <w:tcBorders>
              <w:top w:val="single" w:color="auto" w:sz="6" w:space="0"/>
              <w:left w:val="single" w:color="auto" w:sz="6" w:space="0"/>
              <w:bottom w:val="single" w:color="auto" w:sz="6" w:space="0"/>
              <w:right w:val="single" w:color="auto" w:sz="4" w:space="0"/>
            </w:tcBorders>
            <w:vAlign w:val="center"/>
          </w:tcPr>
          <w:p w14:paraId="331CC417">
            <w:pPr>
              <w:spacing w:line="320" w:lineRule="exact"/>
              <w:jc w:val="left"/>
              <w:rPr>
                <w:rFonts w:hint="eastAsia" w:ascii="宋体" w:hAnsi="宋体" w:eastAsia="宋体" w:cs="宋体"/>
                <w:bCs/>
                <w:color w:val="auto"/>
                <w:szCs w:val="21"/>
                <w:highlight w:val="none"/>
              </w:rPr>
            </w:pPr>
          </w:p>
        </w:tc>
      </w:tr>
      <w:tr w14:paraId="1F255D1F">
        <w:tblPrEx>
          <w:tblCellMar>
            <w:top w:w="0" w:type="dxa"/>
            <w:left w:w="108" w:type="dxa"/>
            <w:bottom w:w="0" w:type="dxa"/>
            <w:right w:w="108" w:type="dxa"/>
          </w:tblCellMar>
        </w:tblPrEx>
        <w:trPr>
          <w:trHeight w:val="1260" w:hRule="atLeast"/>
        </w:trPr>
        <w:tc>
          <w:tcPr>
            <w:tcW w:w="1098" w:type="dxa"/>
            <w:vMerge w:val="continue"/>
            <w:tcBorders>
              <w:top w:val="single" w:color="auto" w:sz="4" w:space="0"/>
              <w:left w:val="single" w:color="auto" w:sz="4" w:space="0"/>
              <w:bottom w:val="single" w:color="auto" w:sz="4" w:space="0"/>
              <w:right w:val="single" w:color="auto" w:sz="6" w:space="0"/>
            </w:tcBorders>
            <w:vAlign w:val="center"/>
          </w:tcPr>
          <w:p w14:paraId="716FFF6D">
            <w:pPr>
              <w:widowControl/>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70A6E684">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2、公园内无焚烧树叶、垃圾；地面铺装完好，无人为破坏且无积水现象，需要时及时协助修复。</w:t>
            </w:r>
          </w:p>
        </w:tc>
        <w:tc>
          <w:tcPr>
            <w:tcW w:w="3688" w:type="dxa"/>
            <w:tcBorders>
              <w:top w:val="single" w:color="auto" w:sz="6" w:space="0"/>
              <w:left w:val="single" w:color="auto" w:sz="6" w:space="0"/>
              <w:bottom w:val="single" w:color="auto" w:sz="6" w:space="0"/>
              <w:right w:val="single" w:color="auto" w:sz="6" w:space="0"/>
            </w:tcBorders>
            <w:vAlign w:val="center"/>
          </w:tcPr>
          <w:p w14:paraId="4DE641C6">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否则，发现一处扣1分</w:t>
            </w:r>
          </w:p>
        </w:tc>
        <w:tc>
          <w:tcPr>
            <w:tcW w:w="668" w:type="dxa"/>
            <w:tcBorders>
              <w:top w:val="single" w:color="auto" w:sz="6" w:space="0"/>
              <w:left w:val="single" w:color="auto" w:sz="6" w:space="0"/>
              <w:bottom w:val="single" w:color="auto" w:sz="6" w:space="0"/>
              <w:right w:val="single" w:color="auto" w:sz="6" w:space="0"/>
            </w:tcBorders>
            <w:vAlign w:val="center"/>
          </w:tcPr>
          <w:p w14:paraId="15763175">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68" w:type="dxa"/>
            <w:tcBorders>
              <w:top w:val="single" w:color="auto" w:sz="6" w:space="0"/>
              <w:left w:val="single" w:color="auto" w:sz="6" w:space="0"/>
              <w:bottom w:val="single" w:color="auto" w:sz="6" w:space="0"/>
              <w:right w:val="single" w:color="auto" w:sz="4" w:space="0"/>
            </w:tcBorders>
            <w:vAlign w:val="center"/>
          </w:tcPr>
          <w:p w14:paraId="725417E3">
            <w:pPr>
              <w:spacing w:line="320" w:lineRule="exact"/>
              <w:jc w:val="left"/>
              <w:rPr>
                <w:rFonts w:hint="eastAsia" w:ascii="宋体" w:hAnsi="宋体" w:eastAsia="宋体" w:cs="宋体"/>
                <w:bCs/>
                <w:color w:val="auto"/>
                <w:szCs w:val="21"/>
                <w:highlight w:val="none"/>
              </w:rPr>
            </w:pPr>
          </w:p>
        </w:tc>
      </w:tr>
      <w:tr w14:paraId="1674B59F">
        <w:tblPrEx>
          <w:tblCellMar>
            <w:top w:w="0" w:type="dxa"/>
            <w:left w:w="108" w:type="dxa"/>
            <w:bottom w:w="0" w:type="dxa"/>
            <w:right w:w="108" w:type="dxa"/>
          </w:tblCellMar>
        </w:tblPrEx>
        <w:trPr>
          <w:trHeight w:val="1831" w:hRule="atLeast"/>
        </w:trPr>
        <w:tc>
          <w:tcPr>
            <w:tcW w:w="1098" w:type="dxa"/>
            <w:vMerge w:val="continue"/>
            <w:tcBorders>
              <w:top w:val="single" w:color="auto" w:sz="4" w:space="0"/>
              <w:left w:val="single" w:color="auto" w:sz="4" w:space="0"/>
              <w:bottom w:val="single" w:color="auto" w:sz="4" w:space="0"/>
              <w:right w:val="single" w:color="auto" w:sz="6" w:space="0"/>
            </w:tcBorders>
            <w:vAlign w:val="center"/>
          </w:tcPr>
          <w:p w14:paraId="310C20AB">
            <w:pPr>
              <w:widowControl/>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394E0428">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4、园内路灯等设施完好，无人为破坏且使用功能正常，公园范围内无人游泳，无晾晒行为，做好责任范围内无违章搭建、设置、堆放、倾倒垃圾、公园绿地无种植蔬菜等行为。</w:t>
            </w:r>
          </w:p>
        </w:tc>
        <w:tc>
          <w:tcPr>
            <w:tcW w:w="3688" w:type="dxa"/>
            <w:tcBorders>
              <w:top w:val="single" w:color="auto" w:sz="6" w:space="0"/>
              <w:left w:val="single" w:color="auto" w:sz="6" w:space="0"/>
              <w:bottom w:val="single" w:color="auto" w:sz="6" w:space="0"/>
              <w:right w:val="single" w:color="auto" w:sz="6" w:space="0"/>
            </w:tcBorders>
            <w:vAlign w:val="center"/>
          </w:tcPr>
          <w:p w14:paraId="010249AD">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否则，发现一处扣1分</w:t>
            </w:r>
          </w:p>
        </w:tc>
        <w:tc>
          <w:tcPr>
            <w:tcW w:w="668" w:type="dxa"/>
            <w:tcBorders>
              <w:top w:val="single" w:color="auto" w:sz="6" w:space="0"/>
              <w:left w:val="single" w:color="auto" w:sz="6" w:space="0"/>
              <w:bottom w:val="single" w:color="auto" w:sz="6" w:space="0"/>
              <w:right w:val="single" w:color="auto" w:sz="6" w:space="0"/>
            </w:tcBorders>
            <w:vAlign w:val="center"/>
          </w:tcPr>
          <w:p w14:paraId="4FD12ED7">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68" w:type="dxa"/>
            <w:tcBorders>
              <w:top w:val="single" w:color="auto" w:sz="6" w:space="0"/>
              <w:left w:val="single" w:color="auto" w:sz="6" w:space="0"/>
              <w:bottom w:val="single" w:color="auto" w:sz="6" w:space="0"/>
              <w:right w:val="single" w:color="auto" w:sz="4" w:space="0"/>
            </w:tcBorders>
            <w:vAlign w:val="center"/>
          </w:tcPr>
          <w:p w14:paraId="26FEC267">
            <w:pPr>
              <w:spacing w:line="320" w:lineRule="exact"/>
              <w:jc w:val="left"/>
              <w:rPr>
                <w:rFonts w:hint="eastAsia" w:ascii="宋体" w:hAnsi="宋体" w:eastAsia="宋体" w:cs="宋体"/>
                <w:bCs/>
                <w:color w:val="auto"/>
                <w:szCs w:val="21"/>
                <w:highlight w:val="none"/>
              </w:rPr>
            </w:pPr>
          </w:p>
        </w:tc>
      </w:tr>
      <w:tr w14:paraId="4CA4CD83">
        <w:tblPrEx>
          <w:tblCellMar>
            <w:top w:w="0" w:type="dxa"/>
            <w:left w:w="108" w:type="dxa"/>
            <w:bottom w:w="0" w:type="dxa"/>
            <w:right w:w="108" w:type="dxa"/>
          </w:tblCellMar>
        </w:tblPrEx>
        <w:trPr>
          <w:trHeight w:val="919" w:hRule="atLeast"/>
        </w:trPr>
        <w:tc>
          <w:tcPr>
            <w:tcW w:w="1098" w:type="dxa"/>
            <w:vMerge w:val="continue"/>
            <w:tcBorders>
              <w:top w:val="single" w:color="auto" w:sz="4" w:space="0"/>
              <w:left w:val="single" w:color="auto" w:sz="4" w:space="0"/>
              <w:bottom w:val="single" w:color="auto" w:sz="4" w:space="0"/>
              <w:right w:val="single" w:color="auto" w:sz="6" w:space="0"/>
            </w:tcBorders>
            <w:vAlign w:val="center"/>
          </w:tcPr>
          <w:p w14:paraId="0FA09FD2">
            <w:pPr>
              <w:widowControl/>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201FE1BB">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6、对违章违法行为要及时处理，园内建筑、设施设备情况及时上报。</w:t>
            </w:r>
          </w:p>
        </w:tc>
        <w:tc>
          <w:tcPr>
            <w:tcW w:w="3688" w:type="dxa"/>
            <w:tcBorders>
              <w:top w:val="single" w:color="auto" w:sz="6" w:space="0"/>
              <w:left w:val="single" w:color="auto" w:sz="6" w:space="0"/>
              <w:bottom w:val="single" w:color="auto" w:sz="6" w:space="0"/>
              <w:right w:val="single" w:color="auto" w:sz="6" w:space="0"/>
            </w:tcBorders>
            <w:vAlign w:val="center"/>
          </w:tcPr>
          <w:p w14:paraId="02237D62">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否则，发现一次扣1分</w:t>
            </w:r>
          </w:p>
        </w:tc>
        <w:tc>
          <w:tcPr>
            <w:tcW w:w="668" w:type="dxa"/>
            <w:tcBorders>
              <w:top w:val="single" w:color="auto" w:sz="6" w:space="0"/>
              <w:left w:val="single" w:color="auto" w:sz="6" w:space="0"/>
              <w:bottom w:val="single" w:color="auto" w:sz="6" w:space="0"/>
              <w:right w:val="single" w:color="auto" w:sz="6" w:space="0"/>
            </w:tcBorders>
            <w:vAlign w:val="center"/>
          </w:tcPr>
          <w:p w14:paraId="268DBFCA">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668" w:type="dxa"/>
            <w:tcBorders>
              <w:top w:val="single" w:color="auto" w:sz="6" w:space="0"/>
              <w:left w:val="single" w:color="auto" w:sz="6" w:space="0"/>
              <w:bottom w:val="single" w:color="auto" w:sz="6" w:space="0"/>
              <w:right w:val="single" w:color="auto" w:sz="4" w:space="0"/>
            </w:tcBorders>
            <w:vAlign w:val="center"/>
          </w:tcPr>
          <w:p w14:paraId="27038227">
            <w:pPr>
              <w:spacing w:line="320" w:lineRule="exact"/>
              <w:jc w:val="left"/>
              <w:rPr>
                <w:rFonts w:hint="eastAsia" w:ascii="宋体" w:hAnsi="宋体" w:eastAsia="宋体" w:cs="宋体"/>
                <w:bCs/>
                <w:color w:val="auto"/>
                <w:szCs w:val="21"/>
                <w:highlight w:val="none"/>
              </w:rPr>
            </w:pPr>
          </w:p>
        </w:tc>
      </w:tr>
      <w:tr w14:paraId="05603BDF">
        <w:tblPrEx>
          <w:tblCellMar>
            <w:top w:w="0" w:type="dxa"/>
            <w:left w:w="108" w:type="dxa"/>
            <w:bottom w:w="0" w:type="dxa"/>
            <w:right w:w="108" w:type="dxa"/>
          </w:tblCellMar>
        </w:tblPrEx>
        <w:trPr>
          <w:trHeight w:val="892" w:hRule="atLeast"/>
        </w:trPr>
        <w:tc>
          <w:tcPr>
            <w:tcW w:w="1098" w:type="dxa"/>
            <w:vMerge w:val="restart"/>
            <w:tcBorders>
              <w:top w:val="single" w:color="auto" w:sz="4" w:space="0"/>
              <w:left w:val="single" w:color="auto" w:sz="4" w:space="0"/>
              <w:bottom w:val="single" w:color="auto" w:sz="4" w:space="0"/>
              <w:right w:val="single" w:color="auto" w:sz="6" w:space="0"/>
            </w:tcBorders>
            <w:vAlign w:val="center"/>
          </w:tcPr>
          <w:p w14:paraId="696CEF08">
            <w:pPr>
              <w:widowControl/>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三</w:t>
            </w:r>
            <w:r>
              <w:rPr>
                <w:rFonts w:hint="eastAsia" w:ascii="宋体" w:hAnsi="宋体" w:eastAsia="宋体" w:cs="宋体"/>
                <w:bCs/>
                <w:color w:val="auto"/>
                <w:szCs w:val="21"/>
                <w:highlight w:val="none"/>
              </w:rPr>
              <w:t>）堤防标准化管理情况</w:t>
            </w:r>
          </w:p>
          <w:p w14:paraId="131AFAF3">
            <w:pPr>
              <w:pStyle w:val="51"/>
              <w:rPr>
                <w:rFonts w:hint="eastAsia" w:ascii="宋体" w:hAnsi="宋体" w:eastAsia="宋体" w:cs="宋体"/>
                <w:color w:val="auto"/>
                <w:sz w:val="18"/>
                <w:szCs w:val="18"/>
                <w:highlight w:val="none"/>
              </w:rPr>
            </w:pPr>
            <w:r>
              <w:rPr>
                <w:rFonts w:hint="eastAsia" w:ascii="宋体" w:hAnsi="宋体" w:eastAsia="宋体" w:cs="宋体"/>
                <w:bCs/>
                <w:color w:val="auto"/>
                <w:szCs w:val="21"/>
                <w:highlight w:val="none"/>
              </w:rPr>
              <w:t>（1</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w:t>
            </w:r>
          </w:p>
        </w:tc>
        <w:tc>
          <w:tcPr>
            <w:tcW w:w="3969" w:type="dxa"/>
            <w:tcBorders>
              <w:top w:val="single" w:color="auto" w:sz="6" w:space="0"/>
              <w:left w:val="single" w:color="auto" w:sz="6" w:space="0"/>
              <w:bottom w:val="single" w:color="auto" w:sz="6" w:space="0"/>
              <w:right w:val="single" w:color="auto" w:sz="6" w:space="0"/>
            </w:tcBorders>
            <w:vAlign w:val="center"/>
          </w:tcPr>
          <w:p w14:paraId="0D19E51E">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1、堤防检查、堤防观测过程中有异常等情况须书面记录并及时上报。</w:t>
            </w:r>
          </w:p>
        </w:tc>
        <w:tc>
          <w:tcPr>
            <w:tcW w:w="3688" w:type="dxa"/>
            <w:tcBorders>
              <w:top w:val="single" w:color="auto" w:sz="6" w:space="0"/>
              <w:left w:val="single" w:color="auto" w:sz="6" w:space="0"/>
              <w:bottom w:val="single" w:color="auto" w:sz="6" w:space="0"/>
              <w:right w:val="single" w:color="auto" w:sz="6" w:space="0"/>
            </w:tcBorders>
            <w:vAlign w:val="center"/>
          </w:tcPr>
          <w:p w14:paraId="35776326">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否则，发现一次扣1分</w:t>
            </w:r>
          </w:p>
        </w:tc>
        <w:tc>
          <w:tcPr>
            <w:tcW w:w="668" w:type="dxa"/>
            <w:tcBorders>
              <w:top w:val="single" w:color="auto" w:sz="6" w:space="0"/>
              <w:left w:val="single" w:color="auto" w:sz="6" w:space="0"/>
              <w:bottom w:val="single" w:color="auto" w:sz="6" w:space="0"/>
              <w:right w:val="single" w:color="auto" w:sz="6" w:space="0"/>
            </w:tcBorders>
            <w:vAlign w:val="center"/>
          </w:tcPr>
          <w:p w14:paraId="40238BEF">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68" w:type="dxa"/>
            <w:tcBorders>
              <w:top w:val="single" w:color="auto" w:sz="6" w:space="0"/>
              <w:left w:val="single" w:color="auto" w:sz="6" w:space="0"/>
              <w:bottom w:val="single" w:color="auto" w:sz="6" w:space="0"/>
              <w:right w:val="single" w:color="auto" w:sz="4" w:space="0"/>
            </w:tcBorders>
            <w:vAlign w:val="center"/>
          </w:tcPr>
          <w:p w14:paraId="2EBC3594">
            <w:pPr>
              <w:spacing w:line="320" w:lineRule="exact"/>
              <w:jc w:val="left"/>
              <w:rPr>
                <w:rFonts w:hint="eastAsia" w:ascii="宋体" w:hAnsi="宋体" w:eastAsia="宋体" w:cs="宋体"/>
                <w:bCs/>
                <w:color w:val="auto"/>
                <w:szCs w:val="21"/>
                <w:highlight w:val="none"/>
              </w:rPr>
            </w:pPr>
          </w:p>
        </w:tc>
      </w:tr>
      <w:tr w14:paraId="6DF7751F">
        <w:tblPrEx>
          <w:tblCellMar>
            <w:top w:w="0" w:type="dxa"/>
            <w:left w:w="108" w:type="dxa"/>
            <w:bottom w:w="0" w:type="dxa"/>
            <w:right w:w="108" w:type="dxa"/>
          </w:tblCellMar>
        </w:tblPrEx>
        <w:trPr>
          <w:trHeight w:val="1118" w:hRule="atLeast"/>
        </w:trPr>
        <w:tc>
          <w:tcPr>
            <w:tcW w:w="1098" w:type="dxa"/>
            <w:vMerge w:val="continue"/>
            <w:tcBorders>
              <w:top w:val="single" w:color="auto" w:sz="4" w:space="0"/>
              <w:left w:val="single" w:color="auto" w:sz="4" w:space="0"/>
              <w:bottom w:val="single" w:color="auto" w:sz="4" w:space="0"/>
              <w:right w:val="single" w:color="auto" w:sz="6" w:space="0"/>
            </w:tcBorders>
            <w:vAlign w:val="center"/>
          </w:tcPr>
          <w:p w14:paraId="57E589F7">
            <w:pPr>
              <w:widowControl/>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1BEAAC2A">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2、按规定开展日常检查、定期检查、特别检查和专项检查，并形成书面报告上报。</w:t>
            </w:r>
          </w:p>
        </w:tc>
        <w:tc>
          <w:tcPr>
            <w:tcW w:w="3688" w:type="dxa"/>
            <w:tcBorders>
              <w:top w:val="single" w:color="auto" w:sz="6" w:space="0"/>
              <w:left w:val="single" w:color="auto" w:sz="6" w:space="0"/>
              <w:bottom w:val="single" w:color="auto" w:sz="6" w:space="0"/>
              <w:right w:val="single" w:color="auto" w:sz="6" w:space="0"/>
            </w:tcBorders>
            <w:vAlign w:val="center"/>
          </w:tcPr>
          <w:p w14:paraId="14DB7C29">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否则，每次每项扣2分</w:t>
            </w:r>
          </w:p>
        </w:tc>
        <w:tc>
          <w:tcPr>
            <w:tcW w:w="668" w:type="dxa"/>
            <w:tcBorders>
              <w:top w:val="single" w:color="auto" w:sz="6" w:space="0"/>
              <w:left w:val="single" w:color="auto" w:sz="6" w:space="0"/>
              <w:bottom w:val="single" w:color="auto" w:sz="6" w:space="0"/>
              <w:right w:val="single" w:color="auto" w:sz="6" w:space="0"/>
            </w:tcBorders>
            <w:vAlign w:val="center"/>
          </w:tcPr>
          <w:p w14:paraId="4336ED83">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668" w:type="dxa"/>
            <w:tcBorders>
              <w:top w:val="single" w:color="auto" w:sz="6" w:space="0"/>
              <w:left w:val="single" w:color="auto" w:sz="6" w:space="0"/>
              <w:bottom w:val="single" w:color="auto" w:sz="6" w:space="0"/>
              <w:right w:val="single" w:color="auto" w:sz="4" w:space="0"/>
            </w:tcBorders>
            <w:vAlign w:val="center"/>
          </w:tcPr>
          <w:p w14:paraId="2D429268">
            <w:pPr>
              <w:spacing w:line="320" w:lineRule="exact"/>
              <w:jc w:val="left"/>
              <w:rPr>
                <w:rFonts w:hint="eastAsia" w:ascii="宋体" w:hAnsi="宋体" w:eastAsia="宋体" w:cs="宋体"/>
                <w:bCs/>
                <w:color w:val="auto"/>
                <w:szCs w:val="21"/>
                <w:highlight w:val="none"/>
              </w:rPr>
            </w:pPr>
          </w:p>
        </w:tc>
      </w:tr>
      <w:tr w14:paraId="13CEBE3F">
        <w:tblPrEx>
          <w:tblCellMar>
            <w:top w:w="0" w:type="dxa"/>
            <w:left w:w="108" w:type="dxa"/>
            <w:bottom w:w="0" w:type="dxa"/>
            <w:right w:w="108" w:type="dxa"/>
          </w:tblCellMar>
        </w:tblPrEx>
        <w:tc>
          <w:tcPr>
            <w:tcW w:w="1098" w:type="dxa"/>
            <w:vMerge w:val="continue"/>
            <w:tcBorders>
              <w:top w:val="single" w:color="auto" w:sz="4" w:space="0"/>
              <w:left w:val="single" w:color="auto" w:sz="4" w:space="0"/>
              <w:bottom w:val="single" w:color="auto" w:sz="4" w:space="0"/>
              <w:right w:val="single" w:color="auto" w:sz="6" w:space="0"/>
            </w:tcBorders>
            <w:vAlign w:val="center"/>
          </w:tcPr>
          <w:p w14:paraId="49552231">
            <w:pPr>
              <w:widowControl/>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620D9C6C">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3、按规定进行堤防观测和分析，观测数据和观测记录须完整、规范。</w:t>
            </w:r>
          </w:p>
        </w:tc>
        <w:tc>
          <w:tcPr>
            <w:tcW w:w="3688" w:type="dxa"/>
            <w:tcBorders>
              <w:top w:val="single" w:color="auto" w:sz="6" w:space="0"/>
              <w:left w:val="single" w:color="auto" w:sz="6" w:space="0"/>
              <w:bottom w:val="single" w:color="auto" w:sz="6" w:space="0"/>
              <w:right w:val="single" w:color="auto" w:sz="6" w:space="0"/>
            </w:tcBorders>
            <w:vAlign w:val="center"/>
          </w:tcPr>
          <w:p w14:paraId="3F36C748">
            <w:pPr>
              <w:spacing w:line="320" w:lineRule="exact"/>
              <w:ind w:left="330" w:hanging="330" w:hangingChars="15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否则，每次每项扣2分</w:t>
            </w:r>
          </w:p>
        </w:tc>
        <w:tc>
          <w:tcPr>
            <w:tcW w:w="668" w:type="dxa"/>
            <w:tcBorders>
              <w:top w:val="single" w:color="auto" w:sz="6" w:space="0"/>
              <w:left w:val="single" w:color="auto" w:sz="6" w:space="0"/>
              <w:bottom w:val="single" w:color="auto" w:sz="6" w:space="0"/>
              <w:right w:val="single" w:color="auto" w:sz="6" w:space="0"/>
            </w:tcBorders>
            <w:vAlign w:val="center"/>
          </w:tcPr>
          <w:p w14:paraId="3387EC26">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668" w:type="dxa"/>
            <w:tcBorders>
              <w:top w:val="single" w:color="auto" w:sz="6" w:space="0"/>
              <w:left w:val="single" w:color="auto" w:sz="6" w:space="0"/>
              <w:bottom w:val="single" w:color="auto" w:sz="6" w:space="0"/>
              <w:right w:val="single" w:color="auto" w:sz="4" w:space="0"/>
            </w:tcBorders>
            <w:vAlign w:val="center"/>
          </w:tcPr>
          <w:p w14:paraId="007B433A">
            <w:pPr>
              <w:spacing w:line="320" w:lineRule="exact"/>
              <w:jc w:val="left"/>
              <w:rPr>
                <w:rFonts w:hint="eastAsia" w:ascii="宋体" w:hAnsi="宋体" w:eastAsia="宋体" w:cs="宋体"/>
                <w:bCs/>
                <w:color w:val="auto"/>
                <w:szCs w:val="21"/>
                <w:highlight w:val="none"/>
              </w:rPr>
            </w:pPr>
          </w:p>
        </w:tc>
      </w:tr>
      <w:tr w14:paraId="206FB9ED">
        <w:tblPrEx>
          <w:tblCellMar>
            <w:top w:w="0" w:type="dxa"/>
            <w:left w:w="108" w:type="dxa"/>
            <w:bottom w:w="0" w:type="dxa"/>
            <w:right w:w="108" w:type="dxa"/>
          </w:tblCellMar>
        </w:tblPrEx>
        <w:trPr>
          <w:trHeight w:val="1542" w:hRule="atLeast"/>
        </w:trPr>
        <w:tc>
          <w:tcPr>
            <w:tcW w:w="1098" w:type="dxa"/>
            <w:vMerge w:val="restart"/>
            <w:tcBorders>
              <w:top w:val="single" w:color="auto" w:sz="4" w:space="0"/>
              <w:left w:val="single" w:color="auto" w:sz="4" w:space="0"/>
              <w:bottom w:val="single" w:color="auto" w:sz="4" w:space="0"/>
              <w:right w:val="single" w:color="auto" w:sz="6" w:space="0"/>
            </w:tcBorders>
            <w:vAlign w:val="center"/>
          </w:tcPr>
          <w:p w14:paraId="7D6536E0">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四</w:t>
            </w:r>
            <w:r>
              <w:rPr>
                <w:rFonts w:hint="eastAsia" w:ascii="宋体" w:hAnsi="宋体" w:eastAsia="宋体" w:cs="宋体"/>
                <w:bCs/>
                <w:color w:val="auto"/>
                <w:szCs w:val="21"/>
                <w:highlight w:val="none"/>
              </w:rPr>
              <w:t>）管理制度落实情况（</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w:t>
            </w:r>
          </w:p>
        </w:tc>
        <w:tc>
          <w:tcPr>
            <w:tcW w:w="3969" w:type="dxa"/>
            <w:tcBorders>
              <w:top w:val="single" w:color="auto" w:sz="6" w:space="0"/>
              <w:left w:val="single" w:color="auto" w:sz="6" w:space="0"/>
              <w:bottom w:val="single" w:color="auto" w:sz="6" w:space="0"/>
              <w:right w:val="single" w:color="auto" w:sz="6" w:space="0"/>
            </w:tcBorders>
            <w:vAlign w:val="center"/>
          </w:tcPr>
          <w:p w14:paraId="2EF7195D">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1、绿化</w:t>
            </w:r>
            <w:r>
              <w:rPr>
                <w:rFonts w:hint="eastAsia" w:ascii="宋体" w:hAnsi="宋体" w:cs="宋体"/>
                <w:bCs/>
                <w:color w:val="auto"/>
                <w:szCs w:val="21"/>
                <w:highlight w:val="none"/>
                <w:lang w:eastAsia="zh-CN"/>
              </w:rPr>
              <w:t>维护</w:t>
            </w:r>
            <w:r>
              <w:rPr>
                <w:rFonts w:hint="eastAsia" w:ascii="宋体" w:hAnsi="宋体" w:eastAsia="宋体" w:cs="宋体"/>
                <w:bCs/>
                <w:color w:val="auto"/>
                <w:szCs w:val="21"/>
                <w:highlight w:val="none"/>
              </w:rPr>
              <w:t>、保洁、建筑设施维护等各类日常管理计划、台帐完善、齐全，并及时上报各类报表。</w:t>
            </w:r>
          </w:p>
        </w:tc>
        <w:tc>
          <w:tcPr>
            <w:tcW w:w="3688" w:type="dxa"/>
            <w:tcBorders>
              <w:top w:val="single" w:color="auto" w:sz="6" w:space="0"/>
              <w:left w:val="single" w:color="auto" w:sz="6" w:space="0"/>
              <w:bottom w:val="single" w:color="auto" w:sz="6" w:space="0"/>
              <w:right w:val="single" w:color="auto" w:sz="6" w:space="0"/>
            </w:tcBorders>
            <w:vAlign w:val="center"/>
          </w:tcPr>
          <w:p w14:paraId="5894C8E5">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计划、台账不完善不齐全，未按计划实施的发现一类扣2分；</w:t>
            </w:r>
          </w:p>
        </w:tc>
        <w:tc>
          <w:tcPr>
            <w:tcW w:w="668" w:type="dxa"/>
            <w:tcBorders>
              <w:top w:val="single" w:color="auto" w:sz="6" w:space="0"/>
              <w:left w:val="single" w:color="auto" w:sz="6" w:space="0"/>
              <w:bottom w:val="single" w:color="auto" w:sz="6" w:space="0"/>
              <w:right w:val="single" w:color="auto" w:sz="6" w:space="0"/>
            </w:tcBorders>
            <w:vAlign w:val="center"/>
          </w:tcPr>
          <w:p w14:paraId="5EEBD74D">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668" w:type="dxa"/>
            <w:tcBorders>
              <w:top w:val="single" w:color="auto" w:sz="6" w:space="0"/>
              <w:left w:val="single" w:color="auto" w:sz="6" w:space="0"/>
              <w:bottom w:val="single" w:color="auto" w:sz="6" w:space="0"/>
              <w:right w:val="single" w:color="auto" w:sz="4" w:space="0"/>
            </w:tcBorders>
            <w:vAlign w:val="center"/>
          </w:tcPr>
          <w:p w14:paraId="18AF8436">
            <w:pPr>
              <w:spacing w:line="320" w:lineRule="exact"/>
              <w:jc w:val="left"/>
              <w:rPr>
                <w:rFonts w:hint="eastAsia" w:ascii="宋体" w:hAnsi="宋体" w:eastAsia="宋体" w:cs="宋体"/>
                <w:bCs/>
                <w:color w:val="auto"/>
                <w:szCs w:val="21"/>
                <w:highlight w:val="none"/>
              </w:rPr>
            </w:pPr>
          </w:p>
        </w:tc>
      </w:tr>
      <w:tr w14:paraId="76B95EBA">
        <w:tblPrEx>
          <w:tblCellMar>
            <w:top w:w="0" w:type="dxa"/>
            <w:left w:w="108" w:type="dxa"/>
            <w:bottom w:w="0" w:type="dxa"/>
            <w:right w:w="108" w:type="dxa"/>
          </w:tblCellMar>
        </w:tblPrEx>
        <w:trPr>
          <w:trHeight w:val="2353" w:hRule="atLeast"/>
        </w:trPr>
        <w:tc>
          <w:tcPr>
            <w:tcW w:w="1098" w:type="dxa"/>
            <w:vMerge w:val="continue"/>
            <w:tcBorders>
              <w:top w:val="single" w:color="auto" w:sz="4" w:space="0"/>
              <w:left w:val="single" w:color="auto" w:sz="4" w:space="0"/>
              <w:bottom w:val="single" w:color="auto" w:sz="4" w:space="0"/>
              <w:right w:val="single" w:color="auto" w:sz="6" w:space="0"/>
            </w:tcBorders>
            <w:vAlign w:val="center"/>
          </w:tcPr>
          <w:p w14:paraId="793C7650">
            <w:pPr>
              <w:widowControl/>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1F93C444">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2、无责任安全事故，无群众投诉、媒体曝光事件，无领导批评事项。</w:t>
            </w:r>
          </w:p>
        </w:tc>
        <w:tc>
          <w:tcPr>
            <w:tcW w:w="3688" w:type="dxa"/>
            <w:tcBorders>
              <w:top w:val="single" w:color="auto" w:sz="6" w:space="0"/>
              <w:left w:val="single" w:color="auto" w:sz="6" w:space="0"/>
              <w:bottom w:val="single" w:color="auto" w:sz="6" w:space="0"/>
              <w:right w:val="single" w:color="auto" w:sz="6" w:space="0"/>
            </w:tcBorders>
            <w:vAlign w:val="center"/>
          </w:tcPr>
          <w:p w14:paraId="02DD1915">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有责任的伤亡事故扣6分；</w:t>
            </w:r>
          </w:p>
          <w:p w14:paraId="7717ECD4">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因服务工作不到位被群众投诉，每次扣3分；</w:t>
            </w:r>
          </w:p>
          <w:p w14:paraId="6BE575AE">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因服务工作不到位被媒体曝光，市级扣5分，县级扣3分；</w:t>
            </w:r>
          </w:p>
          <w:p w14:paraId="5CE07DEF">
            <w:pPr>
              <w:spacing w:line="320" w:lineRule="exact"/>
              <w:ind w:left="11" w:hanging="11" w:hangingChars="5"/>
              <w:jc w:val="left"/>
              <w:rPr>
                <w:rFonts w:hint="eastAsia" w:ascii="宋体" w:hAnsi="宋体" w:eastAsia="宋体" w:cs="宋体"/>
                <w:color w:val="auto"/>
                <w:sz w:val="18"/>
                <w:szCs w:val="18"/>
                <w:highlight w:val="none"/>
              </w:rPr>
            </w:pPr>
            <w:r>
              <w:rPr>
                <w:rFonts w:hint="eastAsia" w:ascii="宋体" w:hAnsi="宋体" w:eastAsia="宋体" w:cs="宋体"/>
                <w:bCs/>
                <w:color w:val="auto"/>
                <w:szCs w:val="21"/>
                <w:highlight w:val="none"/>
              </w:rPr>
              <w:t>因服务工作不到位被领导批评的，每次扣3分；</w:t>
            </w:r>
          </w:p>
        </w:tc>
        <w:tc>
          <w:tcPr>
            <w:tcW w:w="668" w:type="dxa"/>
            <w:tcBorders>
              <w:top w:val="single" w:color="auto" w:sz="6" w:space="0"/>
              <w:left w:val="single" w:color="auto" w:sz="6" w:space="0"/>
              <w:bottom w:val="single" w:color="auto" w:sz="6" w:space="0"/>
              <w:right w:val="single" w:color="auto" w:sz="6" w:space="0"/>
            </w:tcBorders>
            <w:vAlign w:val="center"/>
          </w:tcPr>
          <w:p w14:paraId="2B4C1F0E">
            <w:pPr>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668" w:type="dxa"/>
            <w:tcBorders>
              <w:top w:val="single" w:color="auto" w:sz="6" w:space="0"/>
              <w:left w:val="single" w:color="auto" w:sz="6" w:space="0"/>
              <w:bottom w:val="single" w:color="auto" w:sz="6" w:space="0"/>
              <w:right w:val="single" w:color="auto" w:sz="4" w:space="0"/>
            </w:tcBorders>
            <w:vAlign w:val="center"/>
          </w:tcPr>
          <w:p w14:paraId="22501EC6">
            <w:pPr>
              <w:spacing w:line="320" w:lineRule="exact"/>
              <w:jc w:val="left"/>
              <w:rPr>
                <w:rFonts w:hint="eastAsia" w:ascii="宋体" w:hAnsi="宋体" w:eastAsia="宋体" w:cs="宋体"/>
                <w:bCs/>
                <w:color w:val="auto"/>
                <w:szCs w:val="21"/>
                <w:highlight w:val="none"/>
              </w:rPr>
            </w:pPr>
          </w:p>
        </w:tc>
      </w:tr>
      <w:tr w14:paraId="3A4046F3">
        <w:tblPrEx>
          <w:tblCellMar>
            <w:top w:w="0" w:type="dxa"/>
            <w:left w:w="108" w:type="dxa"/>
            <w:bottom w:w="0" w:type="dxa"/>
            <w:right w:w="108" w:type="dxa"/>
          </w:tblCellMar>
        </w:tblPrEx>
        <w:trPr>
          <w:trHeight w:val="1598" w:hRule="atLeast"/>
        </w:trPr>
        <w:tc>
          <w:tcPr>
            <w:tcW w:w="1098" w:type="dxa"/>
            <w:vMerge w:val="continue"/>
            <w:tcBorders>
              <w:top w:val="single" w:color="auto" w:sz="4" w:space="0"/>
              <w:left w:val="single" w:color="auto" w:sz="4" w:space="0"/>
              <w:bottom w:val="single" w:color="auto" w:sz="4" w:space="0"/>
              <w:right w:val="single" w:color="auto" w:sz="6" w:space="0"/>
            </w:tcBorders>
            <w:vAlign w:val="center"/>
          </w:tcPr>
          <w:p w14:paraId="40740CBE">
            <w:pPr>
              <w:widowControl/>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3F19A293">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3、管理责任落实到人，及时做好责任范围内违规事项制止、汇报、处理等工作，配合业主做好各类活动等特殊情况应急处理工作。</w:t>
            </w:r>
          </w:p>
        </w:tc>
        <w:tc>
          <w:tcPr>
            <w:tcW w:w="3688" w:type="dxa"/>
            <w:tcBorders>
              <w:top w:val="single" w:color="auto" w:sz="6" w:space="0"/>
              <w:left w:val="single" w:color="auto" w:sz="6" w:space="0"/>
              <w:bottom w:val="single" w:color="auto" w:sz="6" w:space="0"/>
              <w:right w:val="single" w:color="auto" w:sz="6" w:space="0"/>
            </w:tcBorders>
            <w:vAlign w:val="center"/>
          </w:tcPr>
          <w:p w14:paraId="557EBB2A">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否则，发现一次扣1分；</w:t>
            </w:r>
          </w:p>
          <w:p w14:paraId="79DF2B52">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未及时配合的扣3分。</w:t>
            </w:r>
          </w:p>
        </w:tc>
        <w:tc>
          <w:tcPr>
            <w:tcW w:w="668" w:type="dxa"/>
            <w:tcBorders>
              <w:top w:val="single" w:color="auto" w:sz="6" w:space="0"/>
              <w:left w:val="single" w:color="auto" w:sz="6" w:space="0"/>
              <w:bottom w:val="single" w:color="auto" w:sz="6" w:space="0"/>
              <w:right w:val="single" w:color="auto" w:sz="6" w:space="0"/>
            </w:tcBorders>
            <w:vAlign w:val="center"/>
          </w:tcPr>
          <w:p w14:paraId="018DECAB">
            <w:pPr>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668" w:type="dxa"/>
            <w:tcBorders>
              <w:top w:val="single" w:color="auto" w:sz="6" w:space="0"/>
              <w:left w:val="single" w:color="auto" w:sz="6" w:space="0"/>
              <w:bottom w:val="single" w:color="auto" w:sz="6" w:space="0"/>
              <w:right w:val="single" w:color="auto" w:sz="4" w:space="0"/>
            </w:tcBorders>
            <w:vAlign w:val="center"/>
          </w:tcPr>
          <w:p w14:paraId="3CBD039C">
            <w:pPr>
              <w:spacing w:line="320" w:lineRule="exact"/>
              <w:jc w:val="left"/>
              <w:rPr>
                <w:rFonts w:hint="eastAsia" w:ascii="宋体" w:hAnsi="宋体" w:eastAsia="宋体" w:cs="宋体"/>
                <w:bCs/>
                <w:color w:val="auto"/>
                <w:szCs w:val="21"/>
                <w:highlight w:val="none"/>
              </w:rPr>
            </w:pPr>
          </w:p>
        </w:tc>
      </w:tr>
      <w:tr w14:paraId="561494F2">
        <w:tblPrEx>
          <w:tblCellMar>
            <w:top w:w="0" w:type="dxa"/>
            <w:left w:w="108" w:type="dxa"/>
            <w:bottom w:w="0" w:type="dxa"/>
            <w:right w:w="108" w:type="dxa"/>
          </w:tblCellMar>
        </w:tblPrEx>
        <w:trPr>
          <w:trHeight w:val="1406" w:hRule="atLeast"/>
        </w:trPr>
        <w:tc>
          <w:tcPr>
            <w:tcW w:w="1098" w:type="dxa"/>
            <w:vMerge w:val="continue"/>
            <w:tcBorders>
              <w:top w:val="single" w:color="auto" w:sz="4" w:space="0"/>
              <w:left w:val="single" w:color="auto" w:sz="4" w:space="0"/>
              <w:bottom w:val="single" w:color="auto" w:sz="4" w:space="0"/>
              <w:right w:val="single" w:color="auto" w:sz="6" w:space="0"/>
            </w:tcBorders>
            <w:vAlign w:val="center"/>
          </w:tcPr>
          <w:p w14:paraId="4EEE9DF6">
            <w:pPr>
              <w:widowControl/>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332EBD5C">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4、养管、保洁人员形象良好，服装、标志统一；投入设备和与承诺一致；作业操作符合规范。</w:t>
            </w:r>
          </w:p>
        </w:tc>
        <w:tc>
          <w:tcPr>
            <w:tcW w:w="3688" w:type="dxa"/>
            <w:tcBorders>
              <w:top w:val="single" w:color="auto" w:sz="6" w:space="0"/>
              <w:left w:val="single" w:color="auto" w:sz="6" w:space="0"/>
              <w:bottom w:val="single" w:color="auto" w:sz="6" w:space="0"/>
              <w:right w:val="single" w:color="auto" w:sz="6" w:space="0"/>
            </w:tcBorders>
            <w:vAlign w:val="center"/>
          </w:tcPr>
          <w:p w14:paraId="232347D8">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设施器具不到位或者操作不规范的扣2分。</w:t>
            </w:r>
          </w:p>
        </w:tc>
        <w:tc>
          <w:tcPr>
            <w:tcW w:w="668" w:type="dxa"/>
            <w:tcBorders>
              <w:top w:val="single" w:color="auto" w:sz="6" w:space="0"/>
              <w:left w:val="single" w:color="auto" w:sz="6" w:space="0"/>
              <w:bottom w:val="single" w:color="auto" w:sz="6" w:space="0"/>
              <w:right w:val="single" w:color="auto" w:sz="6" w:space="0"/>
            </w:tcBorders>
            <w:vAlign w:val="center"/>
          </w:tcPr>
          <w:p w14:paraId="1B87DFA5">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668" w:type="dxa"/>
            <w:tcBorders>
              <w:top w:val="single" w:color="auto" w:sz="6" w:space="0"/>
              <w:left w:val="single" w:color="auto" w:sz="6" w:space="0"/>
              <w:bottom w:val="single" w:color="auto" w:sz="6" w:space="0"/>
              <w:right w:val="single" w:color="auto" w:sz="4" w:space="0"/>
            </w:tcBorders>
            <w:vAlign w:val="center"/>
          </w:tcPr>
          <w:p w14:paraId="469B7CEE">
            <w:pPr>
              <w:spacing w:line="320" w:lineRule="exact"/>
              <w:jc w:val="left"/>
              <w:rPr>
                <w:rFonts w:hint="eastAsia" w:ascii="宋体" w:hAnsi="宋体" w:eastAsia="宋体" w:cs="宋体"/>
                <w:bCs/>
                <w:color w:val="auto"/>
                <w:szCs w:val="21"/>
                <w:highlight w:val="none"/>
              </w:rPr>
            </w:pPr>
          </w:p>
        </w:tc>
      </w:tr>
      <w:tr w14:paraId="5DB0D34E">
        <w:tblPrEx>
          <w:tblCellMar>
            <w:top w:w="0" w:type="dxa"/>
            <w:left w:w="108" w:type="dxa"/>
            <w:bottom w:w="0" w:type="dxa"/>
            <w:right w:w="108" w:type="dxa"/>
          </w:tblCellMar>
        </w:tblPrEx>
        <w:trPr>
          <w:trHeight w:val="2120" w:hRule="atLeast"/>
        </w:trPr>
        <w:tc>
          <w:tcPr>
            <w:tcW w:w="1098" w:type="dxa"/>
            <w:vMerge w:val="continue"/>
            <w:tcBorders>
              <w:top w:val="single" w:color="auto" w:sz="4" w:space="0"/>
              <w:left w:val="single" w:color="auto" w:sz="4" w:space="0"/>
              <w:bottom w:val="single" w:color="auto" w:sz="4" w:space="0"/>
              <w:right w:val="single" w:color="auto" w:sz="6" w:space="0"/>
            </w:tcBorders>
            <w:vAlign w:val="center"/>
          </w:tcPr>
          <w:p w14:paraId="6EA2E3A0">
            <w:pPr>
              <w:widowControl/>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7A03578C">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5、成立项目管理部，并配有人脸及指纹识别考勤机，人员并按照招标文件要求进行考勤。人员到位情况、投入设备和与承诺一致、无缺人、少人、不在岗情况。</w:t>
            </w:r>
          </w:p>
        </w:tc>
        <w:tc>
          <w:tcPr>
            <w:tcW w:w="3688" w:type="dxa"/>
            <w:tcBorders>
              <w:top w:val="single" w:color="auto" w:sz="6" w:space="0"/>
              <w:left w:val="single" w:color="auto" w:sz="6" w:space="0"/>
              <w:bottom w:val="single" w:color="auto" w:sz="6" w:space="0"/>
              <w:right w:val="single" w:color="auto" w:sz="6" w:space="0"/>
            </w:tcBorders>
            <w:vAlign w:val="center"/>
          </w:tcPr>
          <w:p w14:paraId="6D42A1C0">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未在管理现场设置项目管理部的扣3分；项目负责人不到位扣3分（未达到规定到场天数）；其他人员未在岗的，每人次扣1分。</w:t>
            </w:r>
          </w:p>
        </w:tc>
        <w:tc>
          <w:tcPr>
            <w:tcW w:w="668" w:type="dxa"/>
            <w:tcBorders>
              <w:top w:val="single" w:color="auto" w:sz="6" w:space="0"/>
              <w:left w:val="single" w:color="auto" w:sz="6" w:space="0"/>
              <w:bottom w:val="single" w:color="auto" w:sz="6" w:space="0"/>
              <w:right w:val="single" w:color="auto" w:sz="6" w:space="0"/>
            </w:tcBorders>
            <w:vAlign w:val="center"/>
          </w:tcPr>
          <w:p w14:paraId="30442163">
            <w:pPr>
              <w:spacing w:line="3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668" w:type="dxa"/>
            <w:tcBorders>
              <w:top w:val="single" w:color="auto" w:sz="6" w:space="0"/>
              <w:left w:val="single" w:color="auto" w:sz="6" w:space="0"/>
              <w:bottom w:val="single" w:color="auto" w:sz="6" w:space="0"/>
              <w:right w:val="single" w:color="auto" w:sz="4" w:space="0"/>
            </w:tcBorders>
            <w:vAlign w:val="center"/>
          </w:tcPr>
          <w:p w14:paraId="40C19653">
            <w:pPr>
              <w:spacing w:line="320" w:lineRule="exact"/>
              <w:jc w:val="left"/>
              <w:rPr>
                <w:rFonts w:hint="eastAsia" w:ascii="宋体" w:hAnsi="宋体" w:eastAsia="宋体" w:cs="宋体"/>
                <w:bCs/>
                <w:color w:val="auto"/>
                <w:szCs w:val="21"/>
                <w:highlight w:val="none"/>
              </w:rPr>
            </w:pPr>
          </w:p>
        </w:tc>
      </w:tr>
      <w:tr w14:paraId="5CCE0730">
        <w:tblPrEx>
          <w:tblCellMar>
            <w:top w:w="0" w:type="dxa"/>
            <w:left w:w="108" w:type="dxa"/>
            <w:bottom w:w="0" w:type="dxa"/>
            <w:right w:w="108" w:type="dxa"/>
          </w:tblCellMar>
        </w:tblPrEx>
        <w:trPr>
          <w:trHeight w:val="1258" w:hRule="atLeast"/>
        </w:trPr>
        <w:tc>
          <w:tcPr>
            <w:tcW w:w="1098" w:type="dxa"/>
            <w:vMerge w:val="continue"/>
            <w:tcBorders>
              <w:top w:val="single" w:color="auto" w:sz="4" w:space="0"/>
              <w:left w:val="single" w:color="auto" w:sz="4" w:space="0"/>
              <w:bottom w:val="single" w:color="auto" w:sz="4" w:space="0"/>
              <w:right w:val="single" w:color="auto" w:sz="6" w:space="0"/>
            </w:tcBorders>
            <w:vAlign w:val="center"/>
          </w:tcPr>
          <w:p w14:paraId="63A7396A">
            <w:pPr>
              <w:widowControl/>
              <w:spacing w:line="320" w:lineRule="exact"/>
              <w:jc w:val="left"/>
              <w:rPr>
                <w:rFonts w:hint="eastAsia" w:ascii="宋体" w:hAnsi="宋体" w:eastAsia="宋体" w:cs="宋体"/>
                <w:bCs/>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21528ECC">
            <w:pPr>
              <w:spacing w:line="320" w:lineRule="exact"/>
              <w:ind w:left="11" w:hanging="11" w:hangingChars="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6、整改通知执行情况：能按时按质按量完成。</w:t>
            </w:r>
          </w:p>
        </w:tc>
        <w:tc>
          <w:tcPr>
            <w:tcW w:w="3688" w:type="dxa"/>
            <w:tcBorders>
              <w:top w:val="single" w:color="auto" w:sz="6" w:space="0"/>
              <w:left w:val="single" w:color="auto" w:sz="6" w:space="0"/>
              <w:bottom w:val="single" w:color="auto" w:sz="6" w:space="0"/>
              <w:right w:val="single" w:color="auto" w:sz="6" w:space="0"/>
            </w:tcBorders>
            <w:vAlign w:val="center"/>
          </w:tcPr>
          <w:p w14:paraId="773CE22D">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未予执行的扣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分；未完成或未达到要求一次扣 2</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 xml:space="preserve"> 分,两次以上整改未达要求可以倒扣。</w:t>
            </w:r>
          </w:p>
        </w:tc>
        <w:tc>
          <w:tcPr>
            <w:tcW w:w="668" w:type="dxa"/>
            <w:tcBorders>
              <w:top w:val="single" w:color="auto" w:sz="6" w:space="0"/>
              <w:left w:val="single" w:color="auto" w:sz="6" w:space="0"/>
              <w:bottom w:val="single" w:color="auto" w:sz="6" w:space="0"/>
              <w:right w:val="single" w:color="auto" w:sz="6" w:space="0"/>
            </w:tcBorders>
            <w:vAlign w:val="center"/>
          </w:tcPr>
          <w:p w14:paraId="75BDCFC8">
            <w:pPr>
              <w:spacing w:line="32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68" w:type="dxa"/>
            <w:tcBorders>
              <w:top w:val="single" w:color="auto" w:sz="6" w:space="0"/>
              <w:left w:val="single" w:color="auto" w:sz="6" w:space="0"/>
              <w:bottom w:val="single" w:color="auto" w:sz="6" w:space="0"/>
              <w:right w:val="single" w:color="auto" w:sz="4" w:space="0"/>
            </w:tcBorders>
            <w:vAlign w:val="center"/>
          </w:tcPr>
          <w:p w14:paraId="0DD91A2E">
            <w:pPr>
              <w:spacing w:line="320" w:lineRule="exact"/>
              <w:jc w:val="left"/>
              <w:rPr>
                <w:rFonts w:hint="eastAsia" w:ascii="宋体" w:hAnsi="宋体" w:eastAsia="宋体" w:cs="宋体"/>
                <w:bCs/>
                <w:color w:val="auto"/>
                <w:szCs w:val="21"/>
                <w:highlight w:val="none"/>
              </w:rPr>
            </w:pPr>
          </w:p>
        </w:tc>
      </w:tr>
      <w:tr w14:paraId="73EB00C0">
        <w:tblPrEx>
          <w:tblCellMar>
            <w:top w:w="0" w:type="dxa"/>
            <w:left w:w="108" w:type="dxa"/>
            <w:bottom w:w="0" w:type="dxa"/>
            <w:right w:w="108" w:type="dxa"/>
          </w:tblCellMar>
        </w:tblPrEx>
        <w:trPr>
          <w:trHeight w:val="695" w:hRule="atLeast"/>
        </w:trPr>
        <w:tc>
          <w:tcPr>
            <w:tcW w:w="1098" w:type="dxa"/>
            <w:tcBorders>
              <w:top w:val="single" w:color="auto" w:sz="4" w:space="0"/>
              <w:left w:val="single" w:color="auto" w:sz="4" w:space="0"/>
              <w:bottom w:val="single" w:color="auto" w:sz="6" w:space="0"/>
              <w:right w:val="single" w:color="auto" w:sz="6" w:space="0"/>
            </w:tcBorders>
            <w:vAlign w:val="center"/>
          </w:tcPr>
          <w:p w14:paraId="66F6AA48">
            <w:pPr>
              <w:spacing w:line="320" w:lineRule="exact"/>
              <w:jc w:val="left"/>
              <w:rPr>
                <w:rFonts w:hint="eastAsia" w:ascii="宋体" w:hAnsi="宋体" w:eastAsia="宋体" w:cs="宋体"/>
                <w:color w:val="auto"/>
                <w:szCs w:val="21"/>
                <w:highlight w:val="none"/>
              </w:rPr>
            </w:pPr>
          </w:p>
        </w:tc>
        <w:tc>
          <w:tcPr>
            <w:tcW w:w="3969" w:type="dxa"/>
            <w:tcBorders>
              <w:top w:val="single" w:color="auto" w:sz="6" w:space="0"/>
              <w:left w:val="single" w:color="auto" w:sz="6" w:space="0"/>
              <w:bottom w:val="single" w:color="auto" w:sz="6" w:space="0"/>
              <w:right w:val="single" w:color="auto" w:sz="6" w:space="0"/>
            </w:tcBorders>
            <w:vAlign w:val="center"/>
          </w:tcPr>
          <w:p w14:paraId="1FEF70F0">
            <w:pPr>
              <w:spacing w:line="320" w:lineRule="exact"/>
              <w:jc w:val="left"/>
              <w:rPr>
                <w:rFonts w:hint="eastAsia" w:ascii="宋体" w:hAnsi="宋体" w:eastAsia="宋体" w:cs="宋体"/>
                <w:bCs/>
                <w:color w:val="auto"/>
                <w:szCs w:val="21"/>
                <w:highlight w:val="none"/>
              </w:rPr>
            </w:pPr>
          </w:p>
        </w:tc>
        <w:tc>
          <w:tcPr>
            <w:tcW w:w="3688" w:type="dxa"/>
            <w:tcBorders>
              <w:top w:val="single" w:color="auto" w:sz="6" w:space="0"/>
              <w:left w:val="single" w:color="auto" w:sz="6" w:space="0"/>
              <w:bottom w:val="single" w:color="auto" w:sz="6" w:space="0"/>
              <w:right w:val="single" w:color="auto" w:sz="6" w:space="0"/>
            </w:tcBorders>
            <w:vAlign w:val="center"/>
          </w:tcPr>
          <w:p w14:paraId="3FCC666D">
            <w:pPr>
              <w:spacing w:line="320" w:lineRule="exact"/>
              <w:jc w:val="left"/>
              <w:rPr>
                <w:rFonts w:hint="eastAsia" w:ascii="宋体" w:hAnsi="宋体" w:eastAsia="宋体" w:cs="宋体"/>
                <w:bCs/>
                <w:color w:val="auto"/>
                <w:szCs w:val="21"/>
                <w:highlight w:val="none"/>
              </w:rPr>
            </w:pPr>
          </w:p>
        </w:tc>
        <w:tc>
          <w:tcPr>
            <w:tcW w:w="668" w:type="dxa"/>
            <w:tcBorders>
              <w:top w:val="single" w:color="auto" w:sz="6" w:space="0"/>
              <w:left w:val="single" w:color="auto" w:sz="6" w:space="0"/>
              <w:bottom w:val="single" w:color="auto" w:sz="6" w:space="0"/>
              <w:right w:val="single" w:color="auto" w:sz="6" w:space="0"/>
            </w:tcBorders>
            <w:vAlign w:val="center"/>
          </w:tcPr>
          <w:p w14:paraId="1F824921">
            <w:pPr>
              <w:spacing w:line="32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100</w:t>
            </w:r>
          </w:p>
        </w:tc>
        <w:tc>
          <w:tcPr>
            <w:tcW w:w="668" w:type="dxa"/>
            <w:tcBorders>
              <w:top w:val="single" w:color="auto" w:sz="6" w:space="0"/>
              <w:left w:val="single" w:color="auto" w:sz="6" w:space="0"/>
              <w:bottom w:val="single" w:color="auto" w:sz="6" w:space="0"/>
              <w:right w:val="single" w:color="auto" w:sz="4" w:space="0"/>
            </w:tcBorders>
            <w:vAlign w:val="center"/>
          </w:tcPr>
          <w:p w14:paraId="643C2F2F">
            <w:pPr>
              <w:spacing w:line="320" w:lineRule="exact"/>
              <w:jc w:val="left"/>
              <w:rPr>
                <w:rFonts w:hint="eastAsia" w:ascii="宋体" w:hAnsi="宋体" w:eastAsia="宋体" w:cs="宋体"/>
                <w:bCs/>
                <w:color w:val="auto"/>
                <w:szCs w:val="21"/>
                <w:highlight w:val="none"/>
              </w:rPr>
            </w:pPr>
          </w:p>
        </w:tc>
      </w:tr>
    </w:tbl>
    <w:p w14:paraId="1988CE6C">
      <w:pPr>
        <w:pStyle w:val="18"/>
        <w:adjustRightInd w:val="0"/>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注：本考核评分表为试行考核内容，招标人有权在签订合同及合同运行过程中时，结合项目实际情况，对本考核办法进行调整。</w:t>
      </w:r>
    </w:p>
    <w:p w14:paraId="3063C4B3">
      <w:pPr>
        <w:pStyle w:val="18"/>
        <w:adjustRightInd w:val="0"/>
        <w:snapToGrid w:val="0"/>
        <w:spacing w:line="400" w:lineRule="exact"/>
        <w:rPr>
          <w:rFonts w:hint="eastAsia" w:ascii="宋体" w:hAnsi="宋体" w:eastAsia="宋体" w:cs="宋体"/>
          <w:color w:val="auto"/>
          <w:sz w:val="36"/>
          <w:highlight w:val="none"/>
          <w:lang w:val="zh-CN"/>
        </w:rPr>
      </w:pPr>
      <w:r>
        <w:rPr>
          <w:rFonts w:hint="eastAsia" w:ascii="宋体" w:hAnsi="宋体" w:eastAsia="宋体" w:cs="宋体"/>
          <w:color w:val="auto"/>
          <w:highlight w:val="none"/>
        </w:rPr>
        <w:t xml:space="preserve">考核单位：                            考核人:   </w:t>
      </w:r>
    </w:p>
    <w:p w14:paraId="3C866486">
      <w:pPr>
        <w:spacing w:line="420" w:lineRule="exact"/>
        <w:rPr>
          <w:rFonts w:hint="eastAsia" w:ascii="宋体" w:hAnsi="宋体" w:eastAsia="宋体" w:cs="宋体"/>
          <w:b/>
          <w:bCs/>
          <w:color w:val="auto"/>
          <w:kern w:val="0"/>
          <w:szCs w:val="22"/>
          <w:highlight w:val="none"/>
          <w:u w:val="single"/>
        </w:rPr>
      </w:pPr>
    </w:p>
    <w:p w14:paraId="3282960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ACB4106">
      <w:pPr>
        <w:pStyle w:val="3"/>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第三部分  供应商须知</w:t>
      </w:r>
    </w:p>
    <w:p w14:paraId="328A3C93">
      <w:pPr>
        <w:pStyle w:val="5"/>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一、说明</w:t>
      </w:r>
    </w:p>
    <w:p w14:paraId="7C42B27C">
      <w:pPr>
        <w:autoSpaceDE w:val="0"/>
        <w:autoSpaceDN w:val="0"/>
        <w:adjustRightInd w:val="0"/>
        <w:snapToGrid w:val="0"/>
        <w:spacing w:line="420" w:lineRule="exact"/>
        <w:ind w:firstLine="431" w:firstLineChars="196"/>
        <w:textAlignment w:val="bottom"/>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1、本次采购工作是按照《中华人民共和国政府采购法》、《中华人民共和国政府采购法实施条例》、《政府采购货物和服务招标投标管理办法》和《关于进一步规范政府采购活动的若干意见》及相关法律规章组织和实施。</w:t>
      </w:r>
    </w:p>
    <w:p w14:paraId="25C62C25">
      <w:pPr>
        <w:adjustRightInd w:val="0"/>
        <w:spacing w:line="420" w:lineRule="exact"/>
        <w:ind w:firstLine="433" w:firstLineChars="196"/>
        <w:rPr>
          <w:rFonts w:hint="eastAsia" w:ascii="宋体" w:hAnsi="宋体" w:eastAsia="宋体" w:cs="宋体"/>
          <w:b/>
          <w:color w:val="auto"/>
          <w:szCs w:val="22"/>
          <w:highlight w:val="none"/>
          <w:u w:val="single"/>
        </w:rPr>
      </w:pPr>
      <w:r>
        <w:rPr>
          <w:rFonts w:hint="eastAsia" w:ascii="宋体" w:hAnsi="宋体" w:eastAsia="宋体" w:cs="宋体"/>
          <w:b/>
          <w:color w:val="auto"/>
          <w:szCs w:val="22"/>
          <w:highlight w:val="none"/>
          <w:u w:val="single"/>
        </w:rPr>
        <w:t>2、本采购项目为</w:t>
      </w:r>
      <w:r>
        <w:rPr>
          <w:rFonts w:hint="eastAsia" w:ascii="宋体" w:hAnsi="宋体" w:cs="宋体"/>
          <w:b/>
          <w:color w:val="auto"/>
          <w:szCs w:val="22"/>
          <w:highlight w:val="none"/>
          <w:u w:val="single"/>
          <w:lang w:eastAsia="zh-CN"/>
        </w:rPr>
        <w:t>2025年度苍南县百里平水公园(灵溪段)及南塘长效管理项目（重）</w:t>
      </w:r>
      <w:r>
        <w:rPr>
          <w:rFonts w:hint="eastAsia" w:ascii="宋体" w:hAnsi="宋体" w:eastAsia="宋体" w:cs="宋体"/>
          <w:b/>
          <w:color w:val="auto"/>
          <w:szCs w:val="22"/>
          <w:highlight w:val="none"/>
          <w:u w:val="single"/>
        </w:rPr>
        <w:t>。供应商必须根据自己的技术和商务优势对此项目的全部内容进行投标，不得只投其中一部分内容，只对部分内容进行报价的供应商将按无效投标处理。</w:t>
      </w:r>
    </w:p>
    <w:p w14:paraId="3E984CE6">
      <w:pPr>
        <w:adjustRightInd w:val="0"/>
        <w:spacing w:line="420" w:lineRule="exact"/>
        <w:ind w:firstLine="431" w:firstLineChars="196"/>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3、无论投标过程中的作法和结果如何，供应商自行承担投标活动中所发生的全部费用，采购人有权选择中标供应商的供货及服务范围。</w:t>
      </w:r>
    </w:p>
    <w:p w14:paraId="73CAFC00">
      <w:pPr>
        <w:adjustRightInd w:val="0"/>
        <w:spacing w:line="420" w:lineRule="exact"/>
        <w:ind w:firstLine="431" w:firstLineChars="196"/>
        <w:rPr>
          <w:rFonts w:hint="eastAsia" w:ascii="宋体" w:hAnsi="宋体" w:eastAsia="宋体" w:cs="宋体"/>
          <w:b/>
          <w:color w:val="auto"/>
          <w:szCs w:val="22"/>
          <w:highlight w:val="none"/>
        </w:rPr>
      </w:pPr>
      <w:r>
        <w:rPr>
          <w:rFonts w:hint="eastAsia" w:ascii="宋体" w:hAnsi="宋体" w:eastAsia="宋体" w:cs="宋体"/>
          <w:bCs/>
          <w:color w:val="auto"/>
          <w:szCs w:val="22"/>
          <w:highlight w:val="none"/>
        </w:rPr>
        <w:t>4、本次采购采用资格响应文件、商务技术文件和报价文件分别评审。</w:t>
      </w:r>
      <w:r>
        <w:rPr>
          <w:rFonts w:hint="eastAsia" w:ascii="宋体" w:hAnsi="宋体" w:eastAsia="宋体" w:cs="宋体"/>
          <w:color w:val="auto"/>
          <w:szCs w:val="22"/>
          <w:highlight w:val="none"/>
        </w:rPr>
        <w:t>代理机构首先对资格响应文件进行审查，投标供应商资格审查合格后，</w:t>
      </w:r>
      <w:r>
        <w:rPr>
          <w:rFonts w:hint="eastAsia" w:ascii="宋体" w:hAnsi="宋体" w:eastAsia="宋体" w:cs="宋体"/>
          <w:b/>
          <w:bCs/>
          <w:color w:val="auto"/>
          <w:szCs w:val="22"/>
          <w:highlight w:val="none"/>
        </w:rPr>
        <w:t>由</w:t>
      </w:r>
      <w:r>
        <w:rPr>
          <w:rFonts w:hint="eastAsia" w:ascii="宋体" w:hAnsi="宋体" w:eastAsia="宋体" w:cs="宋体"/>
          <w:b/>
          <w:bCs/>
          <w:color w:val="auto"/>
          <w:szCs w:val="22"/>
          <w:highlight w:val="none"/>
          <w:u w:val="single"/>
        </w:rPr>
        <w:t>评标委员会评审供应商的商务技术文件，商务技术文件无效的供应商不进入报价文件评审。</w:t>
      </w:r>
      <w:r>
        <w:rPr>
          <w:rFonts w:hint="eastAsia" w:ascii="宋体" w:hAnsi="宋体" w:eastAsia="宋体" w:cs="宋体"/>
          <w:b/>
          <w:color w:val="auto"/>
          <w:szCs w:val="22"/>
          <w:highlight w:val="none"/>
          <w:u w:val="single"/>
        </w:rPr>
        <w:t>要求供应商商务技术文件（</w:t>
      </w:r>
      <w:r>
        <w:rPr>
          <w:rFonts w:hint="eastAsia" w:ascii="宋体" w:hAnsi="宋体" w:eastAsia="宋体" w:cs="宋体"/>
          <w:b/>
          <w:bCs/>
          <w:color w:val="auto"/>
          <w:szCs w:val="22"/>
          <w:highlight w:val="none"/>
          <w:u w:val="single"/>
        </w:rPr>
        <w:t>资格响应文件</w:t>
      </w:r>
      <w:r>
        <w:rPr>
          <w:rFonts w:hint="eastAsia" w:ascii="宋体" w:hAnsi="宋体" w:eastAsia="宋体" w:cs="宋体"/>
          <w:b/>
          <w:color w:val="auto"/>
          <w:szCs w:val="22"/>
          <w:highlight w:val="none"/>
          <w:u w:val="single"/>
        </w:rPr>
        <w:t>）中不得含产品报价，否则做无效投标处理。</w:t>
      </w:r>
    </w:p>
    <w:p w14:paraId="4D329425">
      <w:pPr>
        <w:autoSpaceDE w:val="0"/>
        <w:autoSpaceDN w:val="0"/>
        <w:adjustRightInd w:val="0"/>
        <w:snapToGrid w:val="0"/>
        <w:spacing w:line="420" w:lineRule="exact"/>
        <w:ind w:firstLine="431" w:firstLineChars="196"/>
        <w:textAlignment w:val="bottom"/>
        <w:rPr>
          <w:rFonts w:hint="eastAsia" w:ascii="宋体" w:hAnsi="宋体" w:eastAsia="宋体" w:cs="宋体"/>
          <w:bCs/>
          <w:color w:val="auto"/>
          <w:szCs w:val="22"/>
          <w:highlight w:val="none"/>
          <w:lang w:val="zh-CN"/>
        </w:rPr>
      </w:pPr>
      <w:r>
        <w:rPr>
          <w:rFonts w:hint="eastAsia" w:ascii="宋体" w:hAnsi="宋体" w:eastAsia="宋体" w:cs="宋体"/>
          <w:bCs/>
          <w:color w:val="auto"/>
          <w:szCs w:val="22"/>
          <w:highlight w:val="none"/>
        </w:rPr>
        <w:t>5、供应商须自费到采购人处现场踏勘，以了解采购人需求，取得准确的报价依据。</w:t>
      </w:r>
    </w:p>
    <w:p w14:paraId="286A2AEE">
      <w:pPr>
        <w:autoSpaceDE w:val="0"/>
        <w:autoSpaceDN w:val="0"/>
        <w:adjustRightInd w:val="0"/>
        <w:snapToGrid w:val="0"/>
        <w:spacing w:line="420" w:lineRule="exact"/>
        <w:ind w:firstLine="431" w:firstLineChars="196"/>
        <w:textAlignment w:val="bottom"/>
        <w:rPr>
          <w:rFonts w:hint="eastAsia" w:ascii="宋体" w:hAnsi="宋体" w:eastAsia="宋体" w:cs="宋体"/>
          <w:b/>
          <w:color w:val="auto"/>
          <w:szCs w:val="22"/>
          <w:highlight w:val="none"/>
          <w:u w:val="single"/>
        </w:rPr>
      </w:pPr>
      <w:r>
        <w:rPr>
          <w:rFonts w:hint="eastAsia" w:ascii="宋体" w:hAnsi="宋体" w:eastAsia="宋体" w:cs="宋体"/>
          <w:bCs/>
          <w:color w:val="auto"/>
          <w:szCs w:val="22"/>
          <w:highlight w:val="none"/>
        </w:rPr>
        <w:t>▲</w:t>
      </w:r>
      <w:r>
        <w:rPr>
          <w:rFonts w:hint="eastAsia" w:ascii="宋体" w:hAnsi="宋体" w:eastAsia="宋体" w:cs="宋体"/>
          <w:b/>
          <w:color w:val="auto"/>
          <w:szCs w:val="22"/>
          <w:highlight w:val="none"/>
          <w:u w:val="single"/>
        </w:rPr>
        <w:t>6、本项目最高限价见招标公告，某些（个）供应商投标报价超出最高限价的，则拒绝接受其该投标报价，该供应商投标按无效投标处理。</w:t>
      </w:r>
    </w:p>
    <w:p w14:paraId="0BFDBDFD">
      <w:pPr>
        <w:pStyle w:val="51"/>
        <w:spacing w:line="420" w:lineRule="exact"/>
        <w:ind w:firstLine="44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7、供应商所投主要技术参数、措施、配置等应在投标文件中明确，对采购文件的技术条款及要求应予以实质性响应，如有偏离应在偏离表中注明。</w:t>
      </w:r>
    </w:p>
    <w:p w14:paraId="3F672E78">
      <w:pPr>
        <w:adjustRightInd w:val="0"/>
        <w:spacing w:line="420" w:lineRule="exact"/>
        <w:ind w:firstLine="433" w:firstLineChars="196"/>
        <w:rPr>
          <w:rFonts w:hint="eastAsia" w:ascii="宋体" w:hAnsi="宋体" w:eastAsia="宋体" w:cs="宋体"/>
          <w:b/>
          <w:color w:val="auto"/>
          <w:szCs w:val="22"/>
          <w:highlight w:val="none"/>
        </w:rPr>
      </w:pPr>
      <w:r>
        <w:rPr>
          <w:rFonts w:hint="eastAsia" w:ascii="宋体" w:hAnsi="宋体" w:cs="宋体"/>
          <w:b/>
          <w:color w:val="auto"/>
          <w:szCs w:val="22"/>
          <w:highlight w:val="none"/>
          <w:lang w:val="en-US" w:eastAsia="zh-CN"/>
        </w:rPr>
        <w:t>8</w:t>
      </w:r>
      <w:r>
        <w:rPr>
          <w:rFonts w:hint="eastAsia" w:ascii="宋体" w:hAnsi="宋体" w:eastAsia="宋体" w:cs="宋体"/>
          <w:b/>
          <w:color w:val="auto"/>
          <w:szCs w:val="22"/>
          <w:highlight w:val="none"/>
        </w:rPr>
        <w:t>、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746E7C98">
      <w:pPr>
        <w:pStyle w:val="51"/>
        <w:spacing w:line="420" w:lineRule="exact"/>
        <w:ind w:firstLine="440" w:firstLineChars="200"/>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9</w:t>
      </w:r>
      <w:r>
        <w:rPr>
          <w:rFonts w:hint="eastAsia" w:ascii="宋体" w:hAnsi="宋体" w:eastAsia="宋体" w:cs="宋体"/>
          <w:color w:val="auto"/>
          <w:szCs w:val="22"/>
          <w:highlight w:val="none"/>
        </w:rPr>
        <w:t>、本项目在报价评审时对已注册正式进入浙江省政府采购供应商库且符合中小企业划型标准规定（工信部联企业[2011]300号）的小型和微型企业给予价格优惠扶持，用扣除后的报价参与报价分评审，详细规定见“投标通知(邀请)书”。</w:t>
      </w:r>
    </w:p>
    <w:p w14:paraId="4DAECC9A">
      <w:pPr>
        <w:autoSpaceDE w:val="0"/>
        <w:autoSpaceDN w:val="0"/>
        <w:adjustRightInd w:val="0"/>
        <w:snapToGrid w:val="0"/>
        <w:spacing w:before="156" w:beforeLines="50"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r>
        <w:rPr>
          <w:rFonts w:hint="eastAsia" w:ascii="宋体" w:hAnsi="宋体" w:cs="宋体"/>
          <w:color w:val="auto"/>
          <w:szCs w:val="22"/>
          <w:highlight w:val="none"/>
          <w:lang w:val="en-US" w:eastAsia="zh-CN"/>
        </w:rPr>
        <w:t>0</w:t>
      </w:r>
      <w:r>
        <w:rPr>
          <w:rFonts w:hint="eastAsia" w:ascii="宋体" w:hAnsi="宋体" w:eastAsia="宋体" w:cs="宋体"/>
          <w:color w:val="auto"/>
          <w:szCs w:val="22"/>
          <w:highlight w:val="none"/>
        </w:rPr>
        <w:t>、供应商资格的审查和认定</w:t>
      </w:r>
    </w:p>
    <w:p w14:paraId="45EC13AD">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r>
        <w:rPr>
          <w:rFonts w:hint="eastAsia" w:ascii="宋体" w:hAnsi="宋体" w:cs="宋体"/>
          <w:color w:val="auto"/>
          <w:szCs w:val="22"/>
          <w:highlight w:val="none"/>
          <w:lang w:val="en-US" w:eastAsia="zh-CN"/>
        </w:rPr>
        <w:t>0</w:t>
      </w:r>
      <w:r>
        <w:rPr>
          <w:rFonts w:hint="eastAsia" w:ascii="宋体" w:hAnsi="宋体" w:eastAsia="宋体" w:cs="宋体"/>
          <w:color w:val="auto"/>
          <w:szCs w:val="22"/>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BBA4A0">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r>
        <w:rPr>
          <w:rFonts w:hint="eastAsia" w:ascii="宋体" w:hAnsi="宋体" w:cs="宋体"/>
          <w:color w:val="auto"/>
          <w:szCs w:val="22"/>
          <w:highlight w:val="none"/>
          <w:lang w:val="en-US" w:eastAsia="zh-CN"/>
        </w:rPr>
        <w:t>0</w:t>
      </w:r>
      <w:r>
        <w:rPr>
          <w:rFonts w:hint="eastAsia" w:ascii="宋体" w:hAnsi="宋体" w:eastAsia="宋体" w:cs="宋体"/>
          <w:color w:val="auto"/>
          <w:szCs w:val="22"/>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A73A43">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10</w:t>
      </w:r>
      <w:r>
        <w:rPr>
          <w:rFonts w:hint="eastAsia" w:ascii="宋体" w:hAnsi="宋体" w:eastAsia="宋体" w:cs="宋体"/>
          <w:color w:val="auto"/>
          <w:szCs w:val="22"/>
          <w:highlight w:val="none"/>
        </w:rPr>
        <w:t>.3非单一产品采购项目中，作为关键核心部分的单一产品品牌、型号均相同且报价占项目总报价 50%以上（含本数，下同）的，视为提供的是同品牌同型号的产品；多家供应商中，有一家供应商的报价达到 50%以上，提供同品牌同型号产品的供应商均按一家供应商认定。多家投标人提供的核心产品品牌相同的，按前两款规定处理。</w:t>
      </w:r>
    </w:p>
    <w:p w14:paraId="4B72CF4A">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r>
        <w:rPr>
          <w:rFonts w:hint="eastAsia" w:ascii="宋体" w:hAnsi="宋体" w:cs="宋体"/>
          <w:color w:val="auto"/>
          <w:szCs w:val="22"/>
          <w:highlight w:val="none"/>
          <w:lang w:val="en-US" w:eastAsia="zh-CN"/>
        </w:rPr>
        <w:t>0</w:t>
      </w:r>
      <w:r>
        <w:rPr>
          <w:rFonts w:hint="eastAsia" w:ascii="宋体" w:hAnsi="宋体" w:eastAsia="宋体" w:cs="宋体"/>
          <w:color w:val="auto"/>
          <w:szCs w:val="22"/>
          <w:highlight w:val="none"/>
        </w:rPr>
        <w:t>.4本次项目为服务类项目，</w:t>
      </w:r>
      <w:r>
        <w:rPr>
          <w:rFonts w:hint="eastAsia" w:ascii="宋体" w:hAnsi="宋体" w:eastAsia="宋体" w:cs="宋体"/>
          <w:b/>
          <w:color w:val="auto"/>
          <w:szCs w:val="22"/>
          <w:highlight w:val="none"/>
        </w:rPr>
        <w:t>无核心产品</w:t>
      </w:r>
      <w:r>
        <w:rPr>
          <w:rFonts w:hint="eastAsia" w:ascii="宋体" w:hAnsi="宋体" w:eastAsia="宋体" w:cs="宋体"/>
          <w:color w:val="auto"/>
          <w:szCs w:val="22"/>
          <w:highlight w:val="none"/>
        </w:rPr>
        <w:t>。</w:t>
      </w:r>
    </w:p>
    <w:p w14:paraId="0E873782">
      <w:pPr>
        <w:pStyle w:val="2"/>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r>
        <w:rPr>
          <w:rFonts w:hint="eastAsia" w:ascii="宋体" w:hAnsi="宋体" w:cs="宋体"/>
          <w:color w:val="auto"/>
          <w:szCs w:val="22"/>
          <w:highlight w:val="none"/>
          <w:lang w:val="en-US" w:eastAsia="zh-CN"/>
        </w:rPr>
        <w:t>1</w:t>
      </w:r>
      <w:r>
        <w:rPr>
          <w:rFonts w:hint="eastAsia" w:ascii="宋体" w:hAnsi="宋体" w:eastAsia="宋体" w:cs="宋体"/>
          <w:color w:val="auto"/>
          <w:szCs w:val="22"/>
          <w:highlight w:val="none"/>
        </w:rPr>
        <w:t>、本项目招标文件如有补充、更正均见浙江政府采购网（http://www.zjzfcg.gov.cn/）。供应商须在投标截止前自行查看是否有补充、更正文件，并按补充、更正文件要求投标，否则责任自负。</w:t>
      </w:r>
    </w:p>
    <w:p w14:paraId="74691FBC">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1</w:t>
      </w:r>
      <w:r>
        <w:rPr>
          <w:rFonts w:hint="eastAsia" w:ascii="宋体" w:hAnsi="宋体" w:cs="宋体"/>
          <w:color w:val="auto"/>
          <w:szCs w:val="22"/>
          <w:highlight w:val="none"/>
          <w:lang w:val="en-US" w:eastAsia="zh-CN"/>
        </w:rPr>
        <w:t>2</w:t>
      </w:r>
      <w:r>
        <w:rPr>
          <w:rFonts w:hint="eastAsia" w:ascii="宋体" w:hAnsi="宋体" w:eastAsia="宋体" w:cs="宋体"/>
          <w:color w:val="auto"/>
          <w:szCs w:val="22"/>
          <w:highlight w:val="none"/>
        </w:rPr>
        <w:t>.定义</w:t>
      </w:r>
    </w:p>
    <w:p w14:paraId="7FF36142">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1</w:t>
      </w:r>
      <w:r>
        <w:rPr>
          <w:rFonts w:hint="eastAsia" w:ascii="宋体" w:hAnsi="宋体" w:cs="宋体"/>
          <w:color w:val="auto"/>
          <w:szCs w:val="22"/>
          <w:highlight w:val="none"/>
          <w:lang w:val="en-US" w:eastAsia="zh-CN"/>
        </w:rPr>
        <w:t>2</w:t>
      </w:r>
      <w:r>
        <w:rPr>
          <w:rFonts w:hint="eastAsia" w:ascii="宋体" w:hAnsi="宋体" w:eastAsia="宋体" w:cs="宋体"/>
          <w:color w:val="auto"/>
          <w:szCs w:val="22"/>
          <w:highlight w:val="none"/>
        </w:rPr>
        <w:t>.1“采购人” 系指对本招标文件中所列服务有需求的苍南县灵溪镇人民政府。</w:t>
      </w:r>
    </w:p>
    <w:p w14:paraId="36E72BD2">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“供应商”系指符合招标文件要求并且通过资格审查进入评审程序的供应商。</w:t>
      </w:r>
    </w:p>
    <w:p w14:paraId="5D88E118">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“采购代理机构”系指</w:t>
      </w:r>
      <w:r>
        <w:rPr>
          <w:rFonts w:hint="eastAsia" w:ascii="宋体" w:hAnsi="宋体" w:eastAsia="宋体" w:cs="宋体"/>
          <w:color w:val="auto"/>
          <w:szCs w:val="22"/>
          <w:highlight w:val="none"/>
          <w:lang w:eastAsia="zh-CN"/>
        </w:rPr>
        <w:t>浙江国信工程管理咨询有限公司</w:t>
      </w:r>
      <w:r>
        <w:rPr>
          <w:rFonts w:hint="eastAsia" w:ascii="宋体" w:hAnsi="宋体" w:eastAsia="宋体" w:cs="宋体"/>
          <w:color w:val="auto"/>
          <w:szCs w:val="22"/>
          <w:highlight w:val="none"/>
        </w:rPr>
        <w:t>；</w:t>
      </w:r>
    </w:p>
    <w:p w14:paraId="67302C55">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“响应文件”系指供应商为响应招标文件而编制、递交的投标文件。</w:t>
      </w:r>
    </w:p>
    <w:p w14:paraId="3E21B82F">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1</w:t>
      </w:r>
      <w:r>
        <w:rPr>
          <w:rFonts w:hint="eastAsia" w:ascii="宋体" w:hAnsi="宋体" w:cs="宋体"/>
          <w:color w:val="auto"/>
          <w:szCs w:val="22"/>
          <w:highlight w:val="none"/>
          <w:lang w:val="en-US" w:eastAsia="zh-CN"/>
        </w:rPr>
        <w:t>2</w:t>
      </w:r>
      <w:r>
        <w:rPr>
          <w:rFonts w:hint="eastAsia" w:ascii="宋体" w:hAnsi="宋体" w:eastAsia="宋体" w:cs="宋体"/>
          <w:color w:val="auto"/>
          <w:szCs w:val="22"/>
          <w:highlight w:val="none"/>
        </w:rPr>
        <w:t>.2“买方” 系指苍南县灵溪镇人民政府，“卖方” 系指中标供应商。</w:t>
      </w:r>
    </w:p>
    <w:p w14:paraId="2EA3ADDB">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1</w:t>
      </w:r>
      <w:r>
        <w:rPr>
          <w:rFonts w:hint="eastAsia" w:ascii="宋体" w:hAnsi="宋体" w:cs="宋体"/>
          <w:color w:val="auto"/>
          <w:szCs w:val="22"/>
          <w:highlight w:val="none"/>
          <w:lang w:val="en-US" w:eastAsia="zh-CN"/>
        </w:rPr>
        <w:t>2</w:t>
      </w:r>
      <w:r>
        <w:rPr>
          <w:rFonts w:hint="eastAsia" w:ascii="宋体" w:hAnsi="宋体" w:eastAsia="宋体" w:cs="宋体"/>
          <w:color w:val="auto"/>
          <w:szCs w:val="22"/>
          <w:highlight w:val="none"/>
        </w:rPr>
        <w:t>.3“合同”系指买卖双方签署规定买卖双方权利与义务的协议，以及所有的附件、附录和响应文件所提到的构成合同的所有文件。</w:t>
      </w:r>
    </w:p>
    <w:p w14:paraId="585168AC">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1</w:t>
      </w:r>
      <w:r>
        <w:rPr>
          <w:rFonts w:hint="eastAsia" w:ascii="宋体" w:hAnsi="宋体" w:cs="宋体"/>
          <w:color w:val="auto"/>
          <w:szCs w:val="22"/>
          <w:highlight w:val="none"/>
          <w:lang w:val="en-US" w:eastAsia="zh-CN"/>
        </w:rPr>
        <w:t>2</w:t>
      </w:r>
      <w:r>
        <w:rPr>
          <w:rFonts w:hint="eastAsia" w:ascii="宋体" w:hAnsi="宋体" w:eastAsia="宋体" w:cs="宋体"/>
          <w:color w:val="auto"/>
          <w:szCs w:val="22"/>
          <w:highlight w:val="none"/>
        </w:rPr>
        <w:t>.4 “货物”系指卖方按招标文件规定须向买方提供的一切设备、软件系统、手册及其它有关说明资料和材料（有购买货物的项目适用本条款）。</w:t>
      </w:r>
    </w:p>
    <w:p w14:paraId="46297E94">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1</w:t>
      </w:r>
      <w:r>
        <w:rPr>
          <w:rFonts w:hint="eastAsia" w:ascii="宋体" w:hAnsi="宋体" w:cs="宋体"/>
          <w:color w:val="auto"/>
          <w:szCs w:val="22"/>
          <w:highlight w:val="none"/>
          <w:lang w:val="en-US" w:eastAsia="zh-CN"/>
        </w:rPr>
        <w:t>2</w:t>
      </w:r>
      <w:r>
        <w:rPr>
          <w:rFonts w:hint="eastAsia" w:ascii="宋体" w:hAnsi="宋体" w:eastAsia="宋体" w:cs="宋体"/>
          <w:color w:val="auto"/>
          <w:szCs w:val="22"/>
          <w:highlight w:val="none"/>
        </w:rPr>
        <w:t>.5 “服务”系指服务类项目购买的服务或货物类项目根据本合同规定卖方必须承担的安装、调试、技术协助、技术培训以及其他类似的附随义务。</w:t>
      </w:r>
    </w:p>
    <w:p w14:paraId="40E9C36A">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1</w:t>
      </w:r>
      <w:r>
        <w:rPr>
          <w:rFonts w:hint="eastAsia" w:ascii="宋体" w:hAnsi="宋体" w:cs="宋体"/>
          <w:color w:val="auto"/>
          <w:szCs w:val="22"/>
          <w:highlight w:val="none"/>
          <w:lang w:val="en-US" w:eastAsia="zh-CN"/>
        </w:rPr>
        <w:t>2</w:t>
      </w:r>
      <w:r>
        <w:rPr>
          <w:rFonts w:hint="eastAsia" w:ascii="宋体" w:hAnsi="宋体" w:eastAsia="宋体" w:cs="宋体"/>
          <w:color w:val="auto"/>
          <w:szCs w:val="22"/>
          <w:highlight w:val="none"/>
        </w:rPr>
        <w:t>.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62FA9691">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1</w:t>
      </w:r>
      <w:r>
        <w:rPr>
          <w:rFonts w:hint="eastAsia" w:ascii="宋体" w:hAnsi="宋体" w:cs="宋体"/>
          <w:color w:val="auto"/>
          <w:szCs w:val="22"/>
          <w:highlight w:val="none"/>
          <w:lang w:val="en-US" w:eastAsia="zh-CN"/>
        </w:rPr>
        <w:t>3</w:t>
      </w:r>
      <w:r>
        <w:rPr>
          <w:rFonts w:hint="eastAsia" w:ascii="宋体" w:hAnsi="宋体" w:eastAsia="宋体" w:cs="宋体"/>
          <w:color w:val="auto"/>
          <w:szCs w:val="22"/>
          <w:highlight w:val="none"/>
        </w:rPr>
        <w:t>.本《招标文件》所称“关联企业”，是指存在关联关系的企业；“关联关系”的界定适用《中华人民共和国公司法》216条之规定。</w:t>
      </w:r>
    </w:p>
    <w:p w14:paraId="426F2971">
      <w:pPr>
        <w:pStyle w:val="31"/>
        <w:spacing w:after="0" w:line="420" w:lineRule="exact"/>
        <w:ind w:firstLine="220"/>
        <w:rPr>
          <w:rFonts w:hint="eastAsia" w:ascii="宋体" w:hAnsi="宋体" w:eastAsia="宋体" w:cs="宋体"/>
          <w:b/>
          <w:color w:val="auto"/>
          <w:szCs w:val="22"/>
          <w:highlight w:val="none"/>
        </w:rPr>
      </w:pPr>
      <w:r>
        <w:rPr>
          <w:rFonts w:hint="eastAsia" w:ascii="宋体" w:hAnsi="宋体" w:eastAsia="宋体" w:cs="宋体"/>
          <w:color w:val="auto"/>
          <w:szCs w:val="22"/>
          <w:highlight w:val="none"/>
        </w:rPr>
        <w:t xml:space="preserve">  1</w:t>
      </w:r>
      <w:r>
        <w:rPr>
          <w:rFonts w:hint="eastAsia" w:ascii="宋体" w:hAnsi="宋体" w:cs="宋体"/>
          <w:color w:val="auto"/>
          <w:szCs w:val="22"/>
          <w:highlight w:val="none"/>
          <w:lang w:val="en-US" w:eastAsia="zh-CN"/>
        </w:rPr>
        <w:t>3</w:t>
      </w:r>
      <w:r>
        <w:rPr>
          <w:rFonts w:hint="eastAsia" w:ascii="宋体" w:hAnsi="宋体" w:eastAsia="宋体" w:cs="宋体"/>
          <w:color w:val="auto"/>
          <w:szCs w:val="22"/>
          <w:highlight w:val="none"/>
        </w:rPr>
        <w:t>.1</w:t>
      </w:r>
      <w:r>
        <w:rPr>
          <w:rFonts w:hint="eastAsia" w:ascii="宋体" w:hAnsi="宋体" w:eastAsia="宋体" w:cs="宋体"/>
          <w:b/>
          <w:color w:val="auto"/>
          <w:szCs w:val="22"/>
          <w:highlight w:val="none"/>
        </w:rPr>
        <w:t xml:space="preserve">单位负责人为同一人或者存在直接控股、管理关系的不同供应商参加同一合同项下的政府采购活动的，相关投标均作无效标处理。 </w:t>
      </w:r>
    </w:p>
    <w:p w14:paraId="3D95BC0D">
      <w:pPr>
        <w:pStyle w:val="31"/>
        <w:spacing w:after="0" w:line="420" w:lineRule="exact"/>
        <w:ind w:firstLine="220"/>
        <w:rPr>
          <w:rFonts w:hint="eastAsia" w:ascii="宋体" w:hAnsi="宋体" w:eastAsia="宋体" w:cs="宋体"/>
          <w:b/>
          <w:color w:val="auto"/>
          <w:szCs w:val="22"/>
          <w:highlight w:val="none"/>
        </w:rPr>
      </w:pPr>
      <w:r>
        <w:rPr>
          <w:rFonts w:hint="eastAsia" w:ascii="宋体" w:hAnsi="宋体" w:eastAsia="宋体" w:cs="宋体"/>
          <w:color w:val="auto"/>
          <w:szCs w:val="22"/>
          <w:highlight w:val="none"/>
        </w:rPr>
        <w:t xml:space="preserve">  1</w:t>
      </w:r>
      <w:r>
        <w:rPr>
          <w:rFonts w:hint="eastAsia" w:ascii="宋体" w:hAnsi="宋体" w:cs="宋体"/>
          <w:color w:val="auto"/>
          <w:szCs w:val="22"/>
          <w:highlight w:val="none"/>
          <w:lang w:val="en-US" w:eastAsia="zh-CN"/>
        </w:rPr>
        <w:t>3</w:t>
      </w:r>
      <w:r>
        <w:rPr>
          <w:rFonts w:hint="eastAsia" w:ascii="宋体" w:hAnsi="宋体" w:eastAsia="宋体" w:cs="宋体"/>
          <w:color w:val="auto"/>
          <w:szCs w:val="22"/>
          <w:highlight w:val="none"/>
        </w:rPr>
        <w:t>.2</w:t>
      </w:r>
      <w:r>
        <w:rPr>
          <w:rFonts w:hint="eastAsia" w:ascii="宋体" w:hAnsi="宋体" w:eastAsia="宋体" w:cs="宋体"/>
          <w:b/>
          <w:color w:val="auto"/>
          <w:szCs w:val="22"/>
          <w:highlight w:val="none"/>
        </w:rPr>
        <w:t>不同供应商之间存在以下利害关系并且存在影响政府采购公平竞争行为的，不得参加同一合同项下的政府采购活动，相关投标均作无效标处理：</w:t>
      </w:r>
    </w:p>
    <w:p w14:paraId="345C1D0F">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（1）法定代表人或负责人或实际控制人是夫妻关系；</w:t>
      </w:r>
    </w:p>
    <w:p w14:paraId="4CD39639">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（2）法定代表人或负责人或实际控制人是直系血亲关系；</w:t>
      </w:r>
    </w:p>
    <w:p w14:paraId="6C36F760">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（3）法定代表人或负责人或实际控制人存在三代以内旁系血亲关系；</w:t>
      </w:r>
    </w:p>
    <w:p w14:paraId="13BD0295">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（4）法定代表人或负责人或实际控制人存在近姻亲关系；</w:t>
      </w:r>
    </w:p>
    <w:p w14:paraId="5518C666">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（5）法定代表人或负责人或实际控制人存在股份控制或实际控制关系；</w:t>
      </w:r>
    </w:p>
    <w:p w14:paraId="328020B4">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（6）存在共同直接或间接投资设立子公司、联营企业和合营企业情况；</w:t>
      </w:r>
    </w:p>
    <w:p w14:paraId="78737793">
      <w:pPr>
        <w:pStyle w:val="31"/>
        <w:spacing w:after="0" w:line="420" w:lineRule="exact"/>
        <w:ind w:firstLine="220"/>
        <w:rPr>
          <w:rFonts w:hint="eastAsia" w:ascii="宋体" w:hAnsi="宋体" w:eastAsia="宋体" w:cs="宋体"/>
          <w:color w:val="auto"/>
          <w:szCs w:val="22"/>
          <w:highlight w:val="none"/>
        </w:rPr>
      </w:pPr>
      <w:r>
        <w:rPr>
          <w:rFonts w:hint="eastAsia" w:ascii="宋体" w:hAnsi="宋体" w:eastAsia="宋体" w:cs="宋体"/>
          <w:color w:val="auto"/>
          <w:szCs w:val="22"/>
          <w:highlight w:val="none"/>
        </w:rPr>
        <w:t>（7）存在分级代理或代销关系、同一生产制造商关系、管理关系、重要业务（占主营业务收入 50%以上）或重要财务往来关系（如融资）等其他实质性控制关系。</w:t>
      </w:r>
    </w:p>
    <w:p w14:paraId="408592DB">
      <w:pPr>
        <w:pStyle w:val="5"/>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二、供应商资格要求</w:t>
      </w:r>
    </w:p>
    <w:p w14:paraId="5F5FBF83">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按招标公告要求</w:t>
      </w:r>
    </w:p>
    <w:p w14:paraId="7742F5BA">
      <w:pPr>
        <w:pStyle w:val="5"/>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三、招标文件</w:t>
      </w:r>
    </w:p>
    <w:p w14:paraId="5ED9EB69">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1、招标文件</w:t>
      </w:r>
    </w:p>
    <w:p w14:paraId="69290B4F">
      <w:pPr>
        <w:autoSpaceDE w:val="0"/>
        <w:autoSpaceDN w:val="0"/>
        <w:adjustRightInd w:val="0"/>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1.1招标文件发放</w:t>
      </w:r>
    </w:p>
    <w:p w14:paraId="66A3D2AD">
      <w:pPr>
        <w:autoSpaceDE w:val="0"/>
        <w:autoSpaceDN w:val="0"/>
        <w:adjustRightInd w:val="0"/>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1.1.1、本项目招标文件实行“政府采购云平台”在线获取，不提供招标文件纸质版。供应商获取招标文件前应先完成“政府采购云平台”的账号注册；</w:t>
      </w:r>
    </w:p>
    <w:p w14:paraId="35D63627">
      <w:pPr>
        <w:autoSpaceDE w:val="0"/>
        <w:autoSpaceDN w:val="0"/>
        <w:adjustRightInd w:val="0"/>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1.1.2、获取地点：政采云平台（https://www.zcygov.cn/）；</w:t>
      </w:r>
    </w:p>
    <w:p w14:paraId="75E840F2">
      <w:pPr>
        <w:autoSpaceDE w:val="0"/>
        <w:autoSpaceDN w:val="0"/>
        <w:adjustRightInd w:val="0"/>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1.1.3、获取方式：潜在供应商登陆政采云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6A106864">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1.1.4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281B480">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1.2招标文件约束力</w:t>
      </w:r>
    </w:p>
    <w:p w14:paraId="14F642C2">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u w:val="single"/>
        </w:rPr>
        <w:t>▲供应商一旦获取了本招标文件并参加投标，即被认为接受了本招标文件中所有条款和规定。</w:t>
      </w:r>
    </w:p>
    <w:p w14:paraId="466BBF0E">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1.3招标文件的组成</w:t>
      </w:r>
    </w:p>
    <w:p w14:paraId="2E8D46DE">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招标文件由招标文件总目录所列内容及补充资料等组成。</w:t>
      </w:r>
    </w:p>
    <w:p w14:paraId="7CE470C3">
      <w:pPr>
        <w:autoSpaceDE w:val="0"/>
        <w:autoSpaceDN w:val="0"/>
        <w:adjustRightInd w:val="0"/>
        <w:snapToGrid w:val="0"/>
        <w:spacing w:line="420" w:lineRule="exact"/>
        <w:textAlignment w:val="bottom"/>
        <w:outlineLvl w:val="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2、招标文件的澄清或者修改</w:t>
      </w:r>
    </w:p>
    <w:p w14:paraId="62C6D8EE">
      <w:pPr>
        <w:autoSpaceDE w:val="0"/>
        <w:autoSpaceDN w:val="0"/>
        <w:adjustRightInd w:val="0"/>
        <w:snapToGrid w:val="0"/>
        <w:spacing w:line="420" w:lineRule="exact"/>
        <w:textAlignment w:val="bottom"/>
        <w:outlineLvl w:val="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2.1、已获取招标文件的潜在投标人，若有问题需要澄清，应在投标通知(邀请)书规定时间之前，以纸质形式送达采购代理机构，采购代理机构与采购人研究后，对认为有必要回答的问题，将以公告形式发出。</w:t>
      </w:r>
    </w:p>
    <w:p w14:paraId="017D187A">
      <w:pPr>
        <w:autoSpaceDE w:val="0"/>
        <w:autoSpaceDN w:val="0"/>
        <w:adjustRightInd w:val="0"/>
        <w:snapToGrid w:val="0"/>
        <w:spacing w:line="420" w:lineRule="exact"/>
        <w:textAlignment w:val="bottom"/>
        <w:outlineLvl w:val="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2.2、投标人一旦参与本次采购活动，即被视为接受了本招标文件的所有内容，如有任何异议，均已在澄清截止时间前提出。</w:t>
      </w:r>
    </w:p>
    <w:p w14:paraId="3720B705">
      <w:pPr>
        <w:autoSpaceDE w:val="0"/>
        <w:autoSpaceDN w:val="0"/>
        <w:adjustRightInd w:val="0"/>
        <w:snapToGrid w:val="0"/>
        <w:spacing w:line="420" w:lineRule="exact"/>
        <w:textAlignment w:val="bottom"/>
        <w:outlineLvl w:val="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2.3、从招标文件发出至投标截止日期，采购代理机构可以对已发出的招标文件进行必要的澄清或者修改。澄清或者修改的内容将以公告形式发出。</w:t>
      </w:r>
    </w:p>
    <w:p w14:paraId="7D1A0538">
      <w:pPr>
        <w:autoSpaceDE w:val="0"/>
        <w:autoSpaceDN w:val="0"/>
        <w:adjustRightInd w:val="0"/>
        <w:snapToGrid w:val="0"/>
        <w:spacing w:line="420" w:lineRule="exact"/>
        <w:textAlignment w:val="bottom"/>
        <w:outlineLvl w:val="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2.4、澄清或者修改的内容可能影响投标文件编制的，采购代理机构将在投标截止时间 15 日前，以公告形式通知所有获取招标文件的潜在投标人；不足 15 日的，将相应延长提交投标文件的截止时间。</w:t>
      </w:r>
    </w:p>
    <w:p w14:paraId="6A4728CE">
      <w:pPr>
        <w:autoSpaceDE w:val="0"/>
        <w:autoSpaceDN w:val="0"/>
        <w:adjustRightInd w:val="0"/>
        <w:snapToGrid w:val="0"/>
        <w:spacing w:line="420" w:lineRule="exact"/>
        <w:textAlignment w:val="bottom"/>
        <w:outlineLvl w:val="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2.5、招标文件与招标文件的澄清、修改、补充通知就同一内容的表述不一致时，以最后发出的为准。</w:t>
      </w:r>
    </w:p>
    <w:p w14:paraId="46F56397">
      <w:pPr>
        <w:autoSpaceDE w:val="0"/>
        <w:autoSpaceDN w:val="0"/>
        <w:adjustRightInd w:val="0"/>
        <w:snapToGrid w:val="0"/>
        <w:spacing w:line="420" w:lineRule="exact"/>
        <w:textAlignment w:val="bottom"/>
        <w:outlineLvl w:val="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2.6、各投标人自行在指定信息发布媒体（http://zfcg.czt.zj.gov.cn）下载或查阅招标相关文件和资料等，恕不另行通知，如有遗漏采购人、代理机构概不负责。</w:t>
      </w:r>
    </w:p>
    <w:p w14:paraId="4EFA8241">
      <w:pPr>
        <w:pStyle w:val="5"/>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四、投标文件</w:t>
      </w:r>
    </w:p>
    <w:p w14:paraId="7B63CEC0">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1、投标文件</w:t>
      </w:r>
    </w:p>
    <w:p w14:paraId="3EFFA578">
      <w:pPr>
        <w:autoSpaceDE w:val="0"/>
        <w:autoSpaceDN w:val="0"/>
        <w:adjustRightInd w:val="0"/>
        <w:snapToGrid w:val="0"/>
        <w:spacing w:line="420" w:lineRule="exact"/>
        <w:ind w:firstLine="440" w:firstLineChars="200"/>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zh-CN"/>
        </w:rPr>
        <w:t>1.1</w:t>
      </w:r>
      <w:r>
        <w:rPr>
          <w:rFonts w:hint="eastAsia" w:ascii="宋体" w:hAnsi="宋体" w:eastAsia="宋体" w:cs="宋体"/>
          <w:color w:val="auto"/>
          <w:szCs w:val="22"/>
          <w:highlight w:val="none"/>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Pr>
          <w:rFonts w:hint="eastAsia" w:ascii="宋体" w:hAnsi="宋体" w:eastAsia="宋体" w:cs="宋体"/>
          <w:color w:val="auto"/>
          <w:highlight w:val="none"/>
        </w:rPr>
        <w:t>（是否为重大偏离由评标委员会判定）。</w:t>
      </w:r>
    </w:p>
    <w:p w14:paraId="707BC109">
      <w:pPr>
        <w:autoSpaceDE w:val="0"/>
        <w:autoSpaceDN w:val="0"/>
        <w:adjustRightInd w:val="0"/>
        <w:snapToGrid w:val="0"/>
        <w:spacing w:line="420" w:lineRule="exact"/>
        <w:ind w:firstLine="440" w:firstLineChars="200"/>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zh-CN"/>
        </w:rPr>
        <w:t>1.2</w:t>
      </w:r>
      <w:r>
        <w:rPr>
          <w:rFonts w:hint="eastAsia" w:ascii="宋体" w:hAnsi="宋体" w:eastAsia="宋体" w:cs="宋体"/>
          <w:color w:val="auto"/>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6A96B4E">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3C86850C">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2、投标文件的组成  </w:t>
      </w:r>
    </w:p>
    <w:p w14:paraId="0FAB04EA">
      <w:pPr>
        <w:autoSpaceDE w:val="0"/>
        <w:autoSpaceDN w:val="0"/>
        <w:adjustRightInd w:val="0"/>
        <w:snapToGrid w:val="0"/>
        <w:spacing w:line="420" w:lineRule="exact"/>
        <w:ind w:firstLine="431" w:firstLineChars="196"/>
        <w:textAlignment w:val="bottom"/>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u w:val="single"/>
        </w:rPr>
        <w:t>▲</w:t>
      </w:r>
      <w:r>
        <w:rPr>
          <w:rFonts w:hint="eastAsia" w:ascii="宋体" w:hAnsi="宋体" w:eastAsia="宋体" w:cs="宋体"/>
          <w:b/>
          <w:bCs/>
          <w:color w:val="auto"/>
          <w:szCs w:val="22"/>
          <w:highlight w:val="none"/>
          <w:u w:val="single"/>
        </w:rPr>
        <w:t>投标文件（包含电子投标文件和备份投标文件）由资格响应文件、商务技术文件、报价文件三部分组成，其中电子投标文件中所须加盖投标单位公章部分均采用CA签章。商务技术部分（含资格响应文件）不得</w:t>
      </w:r>
      <w:r>
        <w:rPr>
          <w:rFonts w:hint="eastAsia" w:ascii="宋体" w:hAnsi="宋体" w:eastAsia="宋体" w:cs="宋体"/>
          <w:b/>
          <w:bCs/>
          <w:color w:val="auto"/>
          <w:szCs w:val="22"/>
          <w:highlight w:val="none"/>
          <w:u w:val="single"/>
          <w:lang w:val="zh-CN"/>
        </w:rPr>
        <w:t>含报价，否则投标文件将被拒绝。</w:t>
      </w:r>
    </w:p>
    <w:tbl>
      <w:tblPr>
        <w:tblStyle w:val="32"/>
        <w:tblW w:w="9356"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796"/>
        <w:gridCol w:w="709"/>
      </w:tblGrid>
      <w:tr w14:paraId="711823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851" w:type="dxa"/>
            <w:tcBorders>
              <w:bottom w:val="single" w:color="auto" w:sz="6" w:space="0"/>
            </w:tcBorders>
            <w:shd w:val="clear" w:color="auto" w:fill="FFFFFF" w:themeFill="background1"/>
            <w:vAlign w:val="center"/>
          </w:tcPr>
          <w:p w14:paraId="70FB3F81">
            <w:pPr>
              <w:spacing w:line="420" w:lineRule="exact"/>
              <w:jc w:val="center"/>
              <w:rPr>
                <w:rFonts w:ascii="宋体" w:hAnsi="宋体"/>
                <w:b/>
                <w:color w:val="auto"/>
                <w:szCs w:val="22"/>
                <w:highlight w:val="none"/>
              </w:rPr>
            </w:pPr>
            <w:r>
              <w:rPr>
                <w:rFonts w:hint="eastAsia" w:ascii="宋体" w:hAnsi="宋体"/>
                <w:b/>
                <w:color w:val="auto"/>
                <w:szCs w:val="22"/>
                <w:highlight w:val="none"/>
              </w:rPr>
              <w:t>序号</w:t>
            </w:r>
          </w:p>
        </w:tc>
        <w:tc>
          <w:tcPr>
            <w:tcW w:w="7796" w:type="dxa"/>
            <w:tcBorders>
              <w:bottom w:val="single" w:color="auto" w:sz="6" w:space="0"/>
            </w:tcBorders>
            <w:shd w:val="clear" w:color="auto" w:fill="FFFFFF" w:themeFill="background1"/>
            <w:vAlign w:val="center"/>
          </w:tcPr>
          <w:p w14:paraId="32585F6E">
            <w:pPr>
              <w:spacing w:line="420" w:lineRule="exact"/>
              <w:jc w:val="center"/>
              <w:rPr>
                <w:rFonts w:ascii="宋体" w:hAnsi="宋体"/>
                <w:b/>
                <w:color w:val="auto"/>
                <w:szCs w:val="22"/>
                <w:highlight w:val="none"/>
              </w:rPr>
            </w:pPr>
            <w:r>
              <w:rPr>
                <w:rFonts w:hint="eastAsia" w:ascii="宋体" w:hAnsi="宋体"/>
                <w:b/>
                <w:color w:val="auto"/>
                <w:szCs w:val="22"/>
                <w:highlight w:val="none"/>
              </w:rPr>
              <w:t>投标文件组成内容</w:t>
            </w:r>
          </w:p>
        </w:tc>
        <w:tc>
          <w:tcPr>
            <w:tcW w:w="709" w:type="dxa"/>
            <w:tcBorders>
              <w:bottom w:val="single" w:color="auto" w:sz="6" w:space="0"/>
            </w:tcBorders>
            <w:shd w:val="clear" w:color="auto" w:fill="FFFFFF" w:themeFill="background1"/>
            <w:vAlign w:val="center"/>
          </w:tcPr>
          <w:p w14:paraId="2FDB805B">
            <w:pPr>
              <w:spacing w:line="420" w:lineRule="exact"/>
              <w:jc w:val="center"/>
              <w:rPr>
                <w:rFonts w:ascii="宋体" w:hAnsi="宋体"/>
                <w:b/>
                <w:color w:val="auto"/>
                <w:szCs w:val="22"/>
                <w:highlight w:val="none"/>
              </w:rPr>
            </w:pPr>
            <w:r>
              <w:rPr>
                <w:rFonts w:hint="eastAsia" w:ascii="宋体" w:hAnsi="宋体"/>
                <w:b/>
                <w:color w:val="auto"/>
                <w:szCs w:val="22"/>
                <w:highlight w:val="none"/>
              </w:rPr>
              <w:t>投标</w:t>
            </w:r>
          </w:p>
          <w:p w14:paraId="23DA96CA">
            <w:pPr>
              <w:spacing w:line="420" w:lineRule="exact"/>
              <w:jc w:val="center"/>
              <w:rPr>
                <w:rFonts w:ascii="宋体" w:hAnsi="宋体"/>
                <w:b/>
                <w:color w:val="auto"/>
                <w:szCs w:val="22"/>
                <w:highlight w:val="none"/>
              </w:rPr>
            </w:pPr>
            <w:r>
              <w:rPr>
                <w:rFonts w:hint="eastAsia" w:ascii="宋体" w:hAnsi="宋体"/>
                <w:b/>
                <w:color w:val="auto"/>
                <w:szCs w:val="22"/>
                <w:highlight w:val="none"/>
              </w:rPr>
              <w:t>格式</w:t>
            </w:r>
          </w:p>
        </w:tc>
      </w:tr>
      <w:tr w14:paraId="27D903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9356" w:type="dxa"/>
            <w:gridSpan w:val="3"/>
            <w:tcBorders>
              <w:top w:val="single" w:color="auto" w:sz="6" w:space="0"/>
              <w:bottom w:val="single" w:color="auto" w:sz="6" w:space="0"/>
            </w:tcBorders>
            <w:shd w:val="clear" w:color="auto" w:fill="FFFFFF" w:themeFill="background1"/>
            <w:vAlign w:val="center"/>
          </w:tcPr>
          <w:p w14:paraId="1A5C22EB">
            <w:pPr>
              <w:spacing w:line="420" w:lineRule="exact"/>
              <w:jc w:val="left"/>
              <w:rPr>
                <w:rFonts w:ascii="宋体" w:hAnsi="宋体"/>
                <w:b/>
                <w:color w:val="auto"/>
                <w:szCs w:val="22"/>
                <w:highlight w:val="none"/>
              </w:rPr>
            </w:pPr>
            <w:r>
              <w:rPr>
                <w:rFonts w:hint="eastAsia" w:ascii="宋体" w:hAnsi="宋体"/>
                <w:b/>
                <w:color w:val="auto"/>
                <w:szCs w:val="22"/>
                <w:highlight w:val="none"/>
              </w:rPr>
              <w:t>一、《资格响应文件》</w:t>
            </w:r>
            <w:r>
              <w:rPr>
                <w:rFonts w:hint="eastAsia" w:ascii="宋体" w:hAnsi="宋体" w:cs="Arial"/>
                <w:b/>
                <w:color w:val="auto"/>
                <w:szCs w:val="22"/>
                <w:highlight w:val="none"/>
              </w:rPr>
              <w:t>组成内容（格式见附件）（此项供应商必须提供，否则不能通过资格性审查的，责任自负）</w:t>
            </w:r>
          </w:p>
        </w:tc>
      </w:tr>
      <w:tr w14:paraId="0890FB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0A23B16E">
            <w:pPr>
              <w:spacing w:line="420" w:lineRule="exact"/>
              <w:jc w:val="center"/>
              <w:rPr>
                <w:rFonts w:ascii="宋体" w:hAnsi="宋体"/>
                <w:b/>
                <w:color w:val="auto"/>
                <w:szCs w:val="22"/>
                <w:highlight w:val="none"/>
              </w:rPr>
            </w:pPr>
            <w:r>
              <w:rPr>
                <w:rFonts w:hint="eastAsia" w:ascii="宋体" w:hAnsi="宋体"/>
                <w:b/>
                <w:color w:val="auto"/>
                <w:szCs w:val="22"/>
                <w:highlight w:val="none"/>
              </w:rPr>
              <w:t>1.1</w:t>
            </w:r>
          </w:p>
        </w:tc>
        <w:tc>
          <w:tcPr>
            <w:tcW w:w="7796" w:type="dxa"/>
            <w:tcBorders>
              <w:top w:val="single" w:color="auto" w:sz="6" w:space="0"/>
            </w:tcBorders>
            <w:vAlign w:val="center"/>
          </w:tcPr>
          <w:p w14:paraId="7AB31CA2">
            <w:pPr>
              <w:spacing w:line="420" w:lineRule="exact"/>
              <w:jc w:val="left"/>
              <w:rPr>
                <w:rFonts w:ascii="宋体" w:hAnsi="宋体"/>
                <w:b/>
                <w:color w:val="auto"/>
                <w:szCs w:val="22"/>
                <w:highlight w:val="none"/>
              </w:rPr>
            </w:pPr>
            <w:r>
              <w:rPr>
                <w:rFonts w:hint="eastAsia" w:ascii="宋体" w:hAnsi="宋体"/>
                <w:b/>
                <w:color w:val="auto"/>
                <w:szCs w:val="22"/>
                <w:highlight w:val="none"/>
              </w:rPr>
              <w:t>投标供应商参与政府采购活动投标资格声明函</w:t>
            </w:r>
          </w:p>
        </w:tc>
        <w:tc>
          <w:tcPr>
            <w:tcW w:w="709" w:type="dxa"/>
            <w:tcBorders>
              <w:top w:val="single" w:color="auto" w:sz="6" w:space="0"/>
            </w:tcBorders>
            <w:vAlign w:val="center"/>
          </w:tcPr>
          <w:p w14:paraId="22DBC84E">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4CC90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5DD231B2">
            <w:pPr>
              <w:spacing w:line="420" w:lineRule="exact"/>
              <w:jc w:val="center"/>
              <w:rPr>
                <w:rFonts w:ascii="宋体" w:hAnsi="宋体"/>
                <w:b/>
                <w:color w:val="auto"/>
                <w:szCs w:val="22"/>
                <w:highlight w:val="none"/>
              </w:rPr>
            </w:pPr>
            <w:r>
              <w:rPr>
                <w:rFonts w:hint="eastAsia" w:ascii="宋体" w:hAnsi="宋体"/>
                <w:b/>
                <w:color w:val="auto"/>
                <w:szCs w:val="22"/>
                <w:highlight w:val="none"/>
              </w:rPr>
              <w:t>1.2</w:t>
            </w:r>
          </w:p>
        </w:tc>
        <w:tc>
          <w:tcPr>
            <w:tcW w:w="7796" w:type="dxa"/>
            <w:tcBorders>
              <w:top w:val="single" w:color="auto" w:sz="6" w:space="0"/>
            </w:tcBorders>
            <w:vAlign w:val="center"/>
          </w:tcPr>
          <w:p w14:paraId="582084A0">
            <w:pPr>
              <w:spacing w:line="420" w:lineRule="exact"/>
              <w:jc w:val="left"/>
              <w:rPr>
                <w:rFonts w:ascii="宋体" w:hAnsi="宋体"/>
                <w:b/>
                <w:color w:val="auto"/>
                <w:szCs w:val="22"/>
                <w:highlight w:val="none"/>
              </w:rPr>
            </w:pPr>
            <w:r>
              <w:rPr>
                <w:rFonts w:hint="eastAsia" w:ascii="宋体" w:hAnsi="宋体" w:cs="Courier New"/>
                <w:bCs/>
                <w:color w:val="auto"/>
                <w:szCs w:val="21"/>
                <w:highlight w:val="none"/>
              </w:rPr>
              <w:t>投标供应商的营业执照、税务登记证（如为多证合一仅需提供营业执照，加盖公章）</w:t>
            </w:r>
          </w:p>
        </w:tc>
        <w:tc>
          <w:tcPr>
            <w:tcW w:w="709" w:type="dxa"/>
            <w:tcBorders>
              <w:top w:val="single" w:color="auto" w:sz="6" w:space="0"/>
            </w:tcBorders>
            <w:vAlign w:val="center"/>
          </w:tcPr>
          <w:p w14:paraId="093A1E3E">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无</w:t>
            </w:r>
          </w:p>
        </w:tc>
      </w:tr>
      <w:tr w14:paraId="50D41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0" w:hRule="atLeast"/>
        </w:trPr>
        <w:tc>
          <w:tcPr>
            <w:tcW w:w="851" w:type="dxa"/>
            <w:vAlign w:val="center"/>
          </w:tcPr>
          <w:p w14:paraId="2F427C75">
            <w:pPr>
              <w:spacing w:line="420" w:lineRule="exact"/>
              <w:jc w:val="center"/>
              <w:rPr>
                <w:rFonts w:ascii="宋体" w:hAnsi="宋体" w:cs="Arial"/>
                <w:b/>
                <w:color w:val="auto"/>
                <w:szCs w:val="22"/>
                <w:highlight w:val="none"/>
              </w:rPr>
            </w:pPr>
            <w:r>
              <w:rPr>
                <w:rFonts w:hint="eastAsia" w:ascii="宋体" w:hAnsi="宋体" w:cs="Arial"/>
                <w:b/>
                <w:color w:val="auto"/>
                <w:szCs w:val="22"/>
                <w:highlight w:val="none"/>
              </w:rPr>
              <w:t>1.3</w:t>
            </w:r>
          </w:p>
        </w:tc>
        <w:tc>
          <w:tcPr>
            <w:tcW w:w="7796" w:type="dxa"/>
          </w:tcPr>
          <w:p w14:paraId="7B6A0DF7">
            <w:pPr>
              <w:autoSpaceDE w:val="0"/>
              <w:autoSpaceDN w:val="0"/>
              <w:adjustRightInd w:val="0"/>
              <w:snapToGrid w:val="0"/>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供应商法定代表人授权书（非法定代表人参加时须提供）；如为法定代表人参与的只须提供法人身份证明。如为授权代表提供授权书及法人身份证明；（格式见附件）</w:t>
            </w:r>
          </w:p>
        </w:tc>
        <w:tc>
          <w:tcPr>
            <w:tcW w:w="709" w:type="dxa"/>
            <w:vAlign w:val="center"/>
          </w:tcPr>
          <w:p w14:paraId="23AA55A9">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7D4139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restart"/>
            <w:shd w:val="clear" w:color="auto" w:fill="FFFFFF" w:themeFill="background1"/>
            <w:vAlign w:val="center"/>
          </w:tcPr>
          <w:p w14:paraId="10232592">
            <w:pPr>
              <w:spacing w:line="420" w:lineRule="exact"/>
              <w:jc w:val="center"/>
              <w:rPr>
                <w:rFonts w:ascii="宋体" w:hAnsi="宋体" w:cs="Arial"/>
                <w:b/>
                <w:color w:val="auto"/>
                <w:szCs w:val="22"/>
                <w:highlight w:val="none"/>
              </w:rPr>
            </w:pPr>
            <w:r>
              <w:rPr>
                <w:rFonts w:hint="eastAsia" w:ascii="宋体" w:hAnsi="宋体" w:cs="Arial"/>
                <w:b/>
                <w:color w:val="auto"/>
                <w:szCs w:val="22"/>
                <w:highlight w:val="none"/>
              </w:rPr>
              <w:t>1</w:t>
            </w:r>
            <w:r>
              <w:rPr>
                <w:rFonts w:ascii="宋体" w:hAnsi="宋体" w:cs="Arial"/>
                <w:b/>
                <w:color w:val="auto"/>
                <w:szCs w:val="22"/>
                <w:highlight w:val="none"/>
              </w:rPr>
              <w:t>.4</w:t>
            </w:r>
          </w:p>
        </w:tc>
        <w:tc>
          <w:tcPr>
            <w:tcW w:w="7796" w:type="dxa"/>
            <w:shd w:val="clear" w:color="auto" w:fill="FFFFFF" w:themeFill="background1"/>
          </w:tcPr>
          <w:p w14:paraId="57DF3A8B">
            <w:pPr>
              <w:autoSpaceDE w:val="0"/>
              <w:autoSpaceDN w:val="0"/>
              <w:adjustRightInd w:val="0"/>
              <w:snapToGrid w:val="0"/>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落实政府采购政策需满足的资格要求：</w:t>
            </w:r>
          </w:p>
        </w:tc>
        <w:tc>
          <w:tcPr>
            <w:tcW w:w="709" w:type="dxa"/>
            <w:shd w:val="clear" w:color="auto" w:fill="FFFFFF" w:themeFill="background1"/>
            <w:vAlign w:val="center"/>
          </w:tcPr>
          <w:p w14:paraId="562E6805">
            <w:pPr>
              <w:spacing w:line="420" w:lineRule="exact"/>
              <w:jc w:val="center"/>
              <w:rPr>
                <w:rFonts w:ascii="宋体" w:hAnsi="宋体" w:cs="Arial"/>
                <w:color w:val="auto"/>
                <w:szCs w:val="22"/>
                <w:highlight w:val="none"/>
              </w:rPr>
            </w:pPr>
          </w:p>
        </w:tc>
      </w:tr>
      <w:tr w14:paraId="27B407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continue"/>
            <w:shd w:val="clear" w:color="auto" w:fill="FFFFFF" w:themeFill="background1"/>
            <w:vAlign w:val="center"/>
          </w:tcPr>
          <w:p w14:paraId="4C70A4E4">
            <w:pPr>
              <w:spacing w:line="420" w:lineRule="exact"/>
              <w:jc w:val="center"/>
              <w:rPr>
                <w:rFonts w:ascii="宋体" w:hAnsi="宋体" w:cs="Arial"/>
                <w:b/>
                <w:color w:val="auto"/>
                <w:szCs w:val="22"/>
                <w:highlight w:val="none"/>
              </w:rPr>
            </w:pPr>
          </w:p>
        </w:tc>
        <w:tc>
          <w:tcPr>
            <w:tcW w:w="7796" w:type="dxa"/>
            <w:shd w:val="clear" w:color="auto" w:fill="FFFFFF" w:themeFill="background1"/>
            <w:vAlign w:val="center"/>
          </w:tcPr>
          <w:p w14:paraId="3DD1D998">
            <w:pPr>
              <w:autoSpaceDE w:val="0"/>
              <w:autoSpaceDN w:val="0"/>
              <w:adjustRightInd w:val="0"/>
              <w:snapToGrid w:val="0"/>
              <w:spacing w:line="420" w:lineRule="exact"/>
              <w:jc w:val="left"/>
              <w:rPr>
                <w:rFonts w:ascii="宋体" w:hAnsi="宋体" w:cs="Arial"/>
                <w:b/>
                <w:color w:val="auto"/>
                <w:szCs w:val="22"/>
                <w:highlight w:val="none"/>
              </w:rPr>
            </w:pPr>
            <w:r>
              <w:rPr>
                <w:rFonts w:hint="eastAsia" w:ascii="宋体" w:hAnsi="宋体"/>
                <w:b/>
                <w:color w:val="auto"/>
                <w:szCs w:val="22"/>
                <w:highlight w:val="none"/>
              </w:rPr>
              <w:t>（1）中小企业声明函</w:t>
            </w:r>
            <w:r>
              <w:rPr>
                <w:rFonts w:hint="eastAsia" w:ascii="宋体" w:hAnsi="宋体"/>
                <w:color w:val="auto"/>
                <w:szCs w:val="22"/>
                <w:highlight w:val="none"/>
              </w:rPr>
              <w:t>（如是，请提供）</w:t>
            </w:r>
          </w:p>
        </w:tc>
        <w:tc>
          <w:tcPr>
            <w:tcW w:w="709" w:type="dxa"/>
            <w:shd w:val="clear" w:color="auto" w:fill="FFFFFF" w:themeFill="background1"/>
            <w:vAlign w:val="center"/>
          </w:tcPr>
          <w:p w14:paraId="7D4E8757">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1D501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continue"/>
            <w:shd w:val="clear" w:color="auto" w:fill="FFFFFF" w:themeFill="background1"/>
            <w:vAlign w:val="center"/>
          </w:tcPr>
          <w:p w14:paraId="250914DE">
            <w:pPr>
              <w:spacing w:line="420" w:lineRule="exact"/>
              <w:jc w:val="center"/>
              <w:rPr>
                <w:rFonts w:ascii="宋体" w:hAnsi="宋体" w:cs="Arial"/>
                <w:b/>
                <w:color w:val="auto"/>
                <w:szCs w:val="22"/>
                <w:highlight w:val="none"/>
              </w:rPr>
            </w:pPr>
          </w:p>
        </w:tc>
        <w:tc>
          <w:tcPr>
            <w:tcW w:w="7796" w:type="dxa"/>
            <w:shd w:val="clear" w:color="auto" w:fill="FFFFFF" w:themeFill="background1"/>
            <w:vAlign w:val="center"/>
          </w:tcPr>
          <w:p w14:paraId="5BAE8D58">
            <w:pPr>
              <w:autoSpaceDE w:val="0"/>
              <w:autoSpaceDN w:val="0"/>
              <w:adjustRightInd w:val="0"/>
              <w:snapToGrid w:val="0"/>
              <w:spacing w:line="420" w:lineRule="exact"/>
              <w:jc w:val="left"/>
              <w:rPr>
                <w:rFonts w:ascii="宋体" w:hAnsi="宋体" w:cs="Arial"/>
                <w:b/>
                <w:color w:val="auto"/>
                <w:szCs w:val="22"/>
                <w:highlight w:val="none"/>
              </w:rPr>
            </w:pPr>
            <w:r>
              <w:rPr>
                <w:rFonts w:hint="eastAsia" w:ascii="宋体" w:hAnsi="宋体"/>
                <w:b/>
                <w:color w:val="auto"/>
                <w:szCs w:val="22"/>
                <w:highlight w:val="none"/>
              </w:rPr>
              <w:t>（2）残疾人福利性单位声明函</w:t>
            </w:r>
            <w:r>
              <w:rPr>
                <w:rFonts w:hint="eastAsia" w:ascii="宋体" w:hAnsi="宋体"/>
                <w:color w:val="auto"/>
                <w:szCs w:val="22"/>
                <w:highlight w:val="none"/>
              </w:rPr>
              <w:t>（如是，请提供）</w:t>
            </w:r>
          </w:p>
        </w:tc>
        <w:tc>
          <w:tcPr>
            <w:tcW w:w="709" w:type="dxa"/>
            <w:shd w:val="clear" w:color="auto" w:fill="FFFFFF" w:themeFill="background1"/>
            <w:vAlign w:val="center"/>
          </w:tcPr>
          <w:p w14:paraId="531CB309">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74C02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continue"/>
            <w:shd w:val="clear" w:color="auto" w:fill="FFFFFF" w:themeFill="background1"/>
            <w:vAlign w:val="center"/>
          </w:tcPr>
          <w:p w14:paraId="3551F13A">
            <w:pPr>
              <w:spacing w:line="420" w:lineRule="exact"/>
              <w:jc w:val="center"/>
              <w:rPr>
                <w:rFonts w:ascii="宋体" w:hAnsi="宋体" w:cs="Arial"/>
                <w:b/>
                <w:color w:val="auto"/>
                <w:szCs w:val="22"/>
                <w:highlight w:val="none"/>
              </w:rPr>
            </w:pPr>
          </w:p>
        </w:tc>
        <w:tc>
          <w:tcPr>
            <w:tcW w:w="7796" w:type="dxa"/>
            <w:shd w:val="clear" w:color="auto" w:fill="FFFFFF" w:themeFill="background1"/>
            <w:vAlign w:val="center"/>
          </w:tcPr>
          <w:p w14:paraId="6D1F4A3F">
            <w:pPr>
              <w:autoSpaceDE w:val="0"/>
              <w:autoSpaceDN w:val="0"/>
              <w:adjustRightInd w:val="0"/>
              <w:snapToGrid w:val="0"/>
              <w:spacing w:line="420" w:lineRule="exact"/>
              <w:jc w:val="left"/>
              <w:rPr>
                <w:rFonts w:ascii="宋体" w:hAnsi="宋体" w:cs="Arial"/>
                <w:b/>
                <w:color w:val="auto"/>
                <w:szCs w:val="22"/>
                <w:highlight w:val="none"/>
              </w:rPr>
            </w:pPr>
            <w:r>
              <w:rPr>
                <w:rFonts w:hint="eastAsia" w:ascii="宋体" w:hAnsi="宋体"/>
                <w:b/>
                <w:color w:val="auto"/>
                <w:szCs w:val="22"/>
                <w:highlight w:val="none"/>
              </w:rPr>
              <w:t>（3）相关部门出具的监狱企业证明文件</w:t>
            </w:r>
            <w:r>
              <w:rPr>
                <w:rFonts w:hint="eastAsia" w:ascii="宋体" w:hAnsi="宋体"/>
                <w:color w:val="auto"/>
                <w:szCs w:val="22"/>
                <w:highlight w:val="none"/>
              </w:rPr>
              <w:t>（如是，提供</w:t>
            </w:r>
            <w:r>
              <w:rPr>
                <w:rFonts w:hint="eastAsia" w:ascii="宋体" w:hAnsi="宋体" w:cs="Arial"/>
                <w:color w:val="auto"/>
                <w:szCs w:val="22"/>
                <w:highlight w:val="none"/>
              </w:rPr>
              <w:t>扫描件</w:t>
            </w:r>
            <w:r>
              <w:rPr>
                <w:rFonts w:hint="eastAsia" w:ascii="宋体" w:hAnsi="宋体"/>
                <w:color w:val="auto"/>
                <w:szCs w:val="22"/>
                <w:highlight w:val="none"/>
              </w:rPr>
              <w:t>加盖供应商公章</w:t>
            </w:r>
            <w:r>
              <w:rPr>
                <w:rFonts w:hint="eastAsia" w:ascii="宋体" w:hAnsi="宋体" w:cs="Arial"/>
                <w:color w:val="auto"/>
                <w:szCs w:val="22"/>
                <w:highlight w:val="none"/>
              </w:rPr>
              <w:t>）</w:t>
            </w:r>
          </w:p>
        </w:tc>
        <w:tc>
          <w:tcPr>
            <w:tcW w:w="709" w:type="dxa"/>
            <w:shd w:val="clear" w:color="auto" w:fill="FFFFFF" w:themeFill="background1"/>
            <w:vAlign w:val="center"/>
          </w:tcPr>
          <w:p w14:paraId="69841772">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无</w:t>
            </w:r>
          </w:p>
        </w:tc>
      </w:tr>
      <w:tr w14:paraId="2740F3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9356" w:type="dxa"/>
            <w:gridSpan w:val="3"/>
            <w:tcBorders>
              <w:bottom w:val="single" w:color="auto" w:sz="6" w:space="0"/>
            </w:tcBorders>
            <w:shd w:val="clear" w:color="auto" w:fill="FFFFFF" w:themeFill="background1"/>
            <w:vAlign w:val="center"/>
          </w:tcPr>
          <w:p w14:paraId="516974E3">
            <w:pPr>
              <w:spacing w:line="420" w:lineRule="exact"/>
              <w:jc w:val="left"/>
              <w:rPr>
                <w:rFonts w:ascii="宋体" w:hAnsi="宋体" w:cs="Arial"/>
                <w:color w:val="auto"/>
                <w:szCs w:val="22"/>
                <w:highlight w:val="none"/>
              </w:rPr>
            </w:pPr>
            <w:r>
              <w:rPr>
                <w:color w:val="auto"/>
                <w:highlight w:val="none"/>
              </w:rPr>
              <w:t>▲</w:t>
            </w:r>
            <w:r>
              <w:rPr>
                <w:rFonts w:hint="eastAsia" w:ascii="宋体" w:hAnsi="宋体"/>
                <w:b/>
                <w:color w:val="auto"/>
                <w:szCs w:val="22"/>
                <w:highlight w:val="none"/>
              </w:rPr>
              <w:t>备注：上述</w:t>
            </w:r>
            <w:r>
              <w:rPr>
                <w:rFonts w:hint="eastAsia" w:ascii="宋体" w:hAnsi="宋体" w:cs="Arial"/>
                <w:b/>
                <w:color w:val="auto"/>
                <w:szCs w:val="22"/>
                <w:highlight w:val="none"/>
              </w:rPr>
              <w:t>资格证明文件未提供或提供的资格证明材料不齐全的，资格审查作不通过处理，不得进入评审程序。</w:t>
            </w:r>
          </w:p>
        </w:tc>
      </w:tr>
      <w:tr w14:paraId="64C065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356" w:type="dxa"/>
            <w:gridSpan w:val="3"/>
            <w:tcBorders>
              <w:top w:val="single" w:color="auto" w:sz="6" w:space="0"/>
              <w:bottom w:val="single" w:color="auto" w:sz="6" w:space="0"/>
            </w:tcBorders>
            <w:shd w:val="clear" w:color="auto" w:fill="FFFFFF" w:themeFill="background1"/>
            <w:vAlign w:val="center"/>
          </w:tcPr>
          <w:p w14:paraId="7E6C908E">
            <w:pPr>
              <w:spacing w:line="420" w:lineRule="exact"/>
              <w:jc w:val="left"/>
              <w:rPr>
                <w:rFonts w:ascii="宋体" w:hAnsi="宋体"/>
                <w:b/>
                <w:color w:val="auto"/>
                <w:szCs w:val="22"/>
                <w:highlight w:val="none"/>
              </w:rPr>
            </w:pPr>
            <w:r>
              <w:rPr>
                <w:rFonts w:hint="eastAsia" w:ascii="宋体" w:hAnsi="宋体"/>
                <w:b/>
                <w:color w:val="auto"/>
                <w:szCs w:val="22"/>
                <w:highlight w:val="none"/>
              </w:rPr>
              <w:t>二、</w:t>
            </w:r>
            <w:r>
              <w:rPr>
                <w:rFonts w:hint="eastAsia" w:ascii="宋体" w:hAnsi="宋体" w:cs="Arial"/>
                <w:b/>
                <w:color w:val="auto"/>
                <w:szCs w:val="22"/>
                <w:highlight w:val="none"/>
              </w:rPr>
              <w:t>《商务技术文件》组成内容</w:t>
            </w:r>
          </w:p>
        </w:tc>
      </w:tr>
      <w:tr w14:paraId="7335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shd w:val="clear" w:color="auto" w:fill="FFFFFF" w:themeFill="background1"/>
            <w:vAlign w:val="center"/>
          </w:tcPr>
          <w:p w14:paraId="3CC469CB">
            <w:pPr>
              <w:spacing w:line="420" w:lineRule="exact"/>
              <w:jc w:val="center"/>
              <w:rPr>
                <w:rFonts w:ascii="宋体" w:hAnsi="宋体"/>
                <w:b/>
                <w:color w:val="auto"/>
                <w:szCs w:val="22"/>
                <w:highlight w:val="none"/>
              </w:rPr>
            </w:pPr>
            <w:r>
              <w:rPr>
                <w:rFonts w:hint="eastAsia" w:ascii="宋体" w:hAnsi="宋体"/>
                <w:b/>
                <w:color w:val="auto"/>
                <w:szCs w:val="22"/>
                <w:highlight w:val="none"/>
              </w:rPr>
              <w:t>2.1</w:t>
            </w:r>
          </w:p>
        </w:tc>
        <w:tc>
          <w:tcPr>
            <w:tcW w:w="7796" w:type="dxa"/>
            <w:tcBorders>
              <w:top w:val="single" w:color="auto" w:sz="6" w:space="0"/>
            </w:tcBorders>
            <w:shd w:val="clear" w:color="auto" w:fill="FFFFFF" w:themeFill="background1"/>
            <w:vAlign w:val="center"/>
          </w:tcPr>
          <w:p w14:paraId="72D7D71B">
            <w:pPr>
              <w:spacing w:line="420" w:lineRule="exact"/>
              <w:jc w:val="left"/>
              <w:rPr>
                <w:rFonts w:ascii="宋体" w:hAnsi="宋体"/>
                <w:b/>
                <w:color w:val="auto"/>
                <w:szCs w:val="22"/>
                <w:highlight w:val="none"/>
              </w:rPr>
            </w:pPr>
            <w:r>
              <w:rPr>
                <w:rFonts w:hint="eastAsia" w:ascii="宋体" w:hAnsi="宋体" w:cs="Arial"/>
                <w:b/>
                <w:color w:val="auto"/>
                <w:szCs w:val="22"/>
                <w:highlight w:val="none"/>
              </w:rPr>
              <w:t>《商务技术文件》封面</w:t>
            </w:r>
          </w:p>
        </w:tc>
        <w:tc>
          <w:tcPr>
            <w:tcW w:w="709" w:type="dxa"/>
            <w:tcBorders>
              <w:top w:val="single" w:color="auto" w:sz="6" w:space="0"/>
            </w:tcBorders>
            <w:shd w:val="clear" w:color="auto" w:fill="FFFFFF" w:themeFill="background1"/>
            <w:vAlign w:val="center"/>
          </w:tcPr>
          <w:p w14:paraId="7528A518">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75711C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5EE89ED3">
            <w:pPr>
              <w:spacing w:line="420" w:lineRule="exact"/>
              <w:jc w:val="center"/>
              <w:rPr>
                <w:rFonts w:ascii="宋体" w:hAnsi="宋体"/>
                <w:b/>
                <w:color w:val="auto"/>
                <w:szCs w:val="22"/>
                <w:highlight w:val="none"/>
              </w:rPr>
            </w:pPr>
            <w:r>
              <w:rPr>
                <w:rFonts w:hint="eastAsia" w:ascii="宋体" w:hAnsi="宋体"/>
                <w:b/>
                <w:color w:val="auto"/>
                <w:szCs w:val="22"/>
                <w:highlight w:val="none"/>
              </w:rPr>
              <w:t>2.2</w:t>
            </w:r>
          </w:p>
        </w:tc>
        <w:tc>
          <w:tcPr>
            <w:tcW w:w="7796" w:type="dxa"/>
            <w:shd w:val="clear" w:color="auto" w:fill="FFFFFF" w:themeFill="background1"/>
            <w:vAlign w:val="center"/>
          </w:tcPr>
          <w:p w14:paraId="43AF21CB">
            <w:pPr>
              <w:spacing w:line="420" w:lineRule="exact"/>
              <w:jc w:val="left"/>
              <w:rPr>
                <w:rFonts w:ascii="宋体" w:hAnsi="宋体"/>
                <w:b/>
                <w:color w:val="auto"/>
                <w:szCs w:val="22"/>
                <w:highlight w:val="none"/>
              </w:rPr>
            </w:pPr>
            <w:r>
              <w:rPr>
                <w:rFonts w:hint="eastAsia" w:ascii="宋体" w:hAnsi="宋体" w:cs="Arial"/>
                <w:b/>
                <w:color w:val="auto"/>
                <w:szCs w:val="22"/>
                <w:highlight w:val="none"/>
              </w:rPr>
              <w:t>《商务技术文件》目录（带页码，自拟）</w:t>
            </w:r>
          </w:p>
        </w:tc>
        <w:tc>
          <w:tcPr>
            <w:tcW w:w="709" w:type="dxa"/>
            <w:shd w:val="clear" w:color="auto" w:fill="FFFFFF" w:themeFill="background1"/>
            <w:vAlign w:val="center"/>
          </w:tcPr>
          <w:p w14:paraId="489E0499">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无</w:t>
            </w:r>
          </w:p>
        </w:tc>
      </w:tr>
      <w:tr w14:paraId="3D478B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36E45086">
            <w:pPr>
              <w:spacing w:line="420" w:lineRule="exact"/>
              <w:jc w:val="center"/>
              <w:rPr>
                <w:rFonts w:ascii="宋体" w:hAnsi="宋体"/>
                <w:b/>
                <w:color w:val="auto"/>
                <w:szCs w:val="22"/>
                <w:highlight w:val="none"/>
              </w:rPr>
            </w:pPr>
            <w:r>
              <w:rPr>
                <w:rFonts w:hint="eastAsia" w:ascii="宋体" w:hAnsi="宋体"/>
                <w:b/>
                <w:color w:val="auto"/>
                <w:szCs w:val="22"/>
                <w:highlight w:val="none"/>
              </w:rPr>
              <w:t>2.3</w:t>
            </w:r>
          </w:p>
        </w:tc>
        <w:tc>
          <w:tcPr>
            <w:tcW w:w="7796" w:type="dxa"/>
            <w:shd w:val="clear" w:color="auto" w:fill="FFFFFF" w:themeFill="background1"/>
            <w:vAlign w:val="center"/>
          </w:tcPr>
          <w:p w14:paraId="30DC8EFD">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评分索引表（带页码，格式见附件也可自拟）</w:t>
            </w:r>
          </w:p>
        </w:tc>
        <w:tc>
          <w:tcPr>
            <w:tcW w:w="709" w:type="dxa"/>
            <w:shd w:val="clear" w:color="auto" w:fill="FFFFFF" w:themeFill="background1"/>
            <w:vAlign w:val="center"/>
          </w:tcPr>
          <w:p w14:paraId="521DAACD">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405C80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3D682B89">
            <w:pPr>
              <w:spacing w:line="420" w:lineRule="exact"/>
              <w:jc w:val="center"/>
              <w:rPr>
                <w:rFonts w:ascii="宋体" w:hAnsi="宋体"/>
                <w:b/>
                <w:color w:val="auto"/>
                <w:szCs w:val="22"/>
                <w:highlight w:val="none"/>
              </w:rPr>
            </w:pPr>
            <w:r>
              <w:rPr>
                <w:rFonts w:hint="eastAsia" w:ascii="宋体" w:hAnsi="宋体"/>
                <w:b/>
                <w:color w:val="auto"/>
                <w:szCs w:val="22"/>
                <w:highlight w:val="none"/>
              </w:rPr>
              <w:t>2.4</w:t>
            </w:r>
          </w:p>
        </w:tc>
        <w:tc>
          <w:tcPr>
            <w:tcW w:w="7796" w:type="dxa"/>
            <w:shd w:val="clear" w:color="auto" w:fill="FFFFFF" w:themeFill="background1"/>
            <w:vAlign w:val="center"/>
          </w:tcPr>
          <w:p w14:paraId="1B83E2CE">
            <w:pPr>
              <w:spacing w:line="420" w:lineRule="exact"/>
              <w:jc w:val="left"/>
              <w:rPr>
                <w:rFonts w:ascii="宋体" w:hAnsi="宋体"/>
                <w:b/>
                <w:color w:val="auto"/>
                <w:szCs w:val="22"/>
                <w:highlight w:val="none"/>
              </w:rPr>
            </w:pPr>
            <w:r>
              <w:rPr>
                <w:rFonts w:ascii="Arial" w:hAnsi="Arial" w:cs="Arial"/>
                <w:color w:val="auto"/>
                <w:highlight w:val="none"/>
              </w:rPr>
              <w:t>▲</w:t>
            </w:r>
            <w:r>
              <w:rPr>
                <w:rFonts w:hint="eastAsia" w:ascii="宋体" w:hAnsi="宋体" w:cs="Arial"/>
                <w:b/>
                <w:color w:val="auto"/>
                <w:szCs w:val="22"/>
                <w:highlight w:val="none"/>
              </w:rPr>
              <w:t>投标</w:t>
            </w:r>
            <w:r>
              <w:rPr>
                <w:rFonts w:ascii="宋体" w:hAnsi="宋体" w:cs="Arial"/>
                <w:b/>
                <w:color w:val="auto"/>
                <w:szCs w:val="22"/>
                <w:highlight w:val="none"/>
              </w:rPr>
              <w:t>函</w:t>
            </w:r>
            <w:r>
              <w:rPr>
                <w:rFonts w:hint="eastAsia" w:ascii="宋体" w:hAnsi="宋体" w:cs="Arial"/>
                <w:b/>
                <w:color w:val="auto"/>
                <w:szCs w:val="22"/>
                <w:highlight w:val="none"/>
              </w:rPr>
              <w:t>（格式见附件）</w:t>
            </w:r>
          </w:p>
        </w:tc>
        <w:tc>
          <w:tcPr>
            <w:tcW w:w="709" w:type="dxa"/>
            <w:shd w:val="clear" w:color="auto" w:fill="FFFFFF" w:themeFill="background1"/>
            <w:vAlign w:val="center"/>
          </w:tcPr>
          <w:p w14:paraId="61C83F57">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1C48D9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7C4CE3F1">
            <w:pPr>
              <w:spacing w:line="420" w:lineRule="exact"/>
              <w:jc w:val="center"/>
              <w:rPr>
                <w:rFonts w:ascii="宋体" w:hAnsi="宋体"/>
                <w:b/>
                <w:color w:val="auto"/>
                <w:szCs w:val="22"/>
                <w:highlight w:val="none"/>
              </w:rPr>
            </w:pPr>
            <w:r>
              <w:rPr>
                <w:rFonts w:hint="eastAsia" w:ascii="宋体" w:hAnsi="宋体"/>
                <w:b/>
                <w:color w:val="auto"/>
                <w:szCs w:val="22"/>
                <w:highlight w:val="none"/>
              </w:rPr>
              <w:t>2.</w:t>
            </w:r>
            <w:r>
              <w:rPr>
                <w:rFonts w:ascii="宋体" w:hAnsi="宋体"/>
                <w:b/>
                <w:color w:val="auto"/>
                <w:szCs w:val="22"/>
                <w:highlight w:val="none"/>
              </w:rPr>
              <w:t>5</w:t>
            </w:r>
          </w:p>
        </w:tc>
        <w:tc>
          <w:tcPr>
            <w:tcW w:w="7796" w:type="dxa"/>
            <w:shd w:val="clear" w:color="auto" w:fill="FFFFFF" w:themeFill="background1"/>
            <w:vAlign w:val="center"/>
          </w:tcPr>
          <w:p w14:paraId="073AC4BB">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投标供应商基本情况说明及其他资料</w:t>
            </w:r>
          </w:p>
        </w:tc>
        <w:tc>
          <w:tcPr>
            <w:tcW w:w="709" w:type="dxa"/>
            <w:shd w:val="clear" w:color="auto" w:fill="FFFFFF" w:themeFill="background1"/>
            <w:vAlign w:val="center"/>
          </w:tcPr>
          <w:p w14:paraId="6D2747C2">
            <w:pPr>
              <w:spacing w:line="420" w:lineRule="exact"/>
              <w:jc w:val="center"/>
              <w:rPr>
                <w:rFonts w:ascii="宋体" w:hAnsi="宋体" w:cs="Arial"/>
                <w:color w:val="auto"/>
                <w:szCs w:val="22"/>
                <w:highlight w:val="none"/>
              </w:rPr>
            </w:pPr>
          </w:p>
        </w:tc>
      </w:tr>
      <w:tr w14:paraId="6B7A08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65D763BC">
            <w:pPr>
              <w:spacing w:line="420" w:lineRule="exact"/>
              <w:jc w:val="center"/>
              <w:rPr>
                <w:rFonts w:ascii="宋体" w:hAnsi="宋体"/>
                <w:b/>
                <w:color w:val="auto"/>
                <w:szCs w:val="22"/>
                <w:highlight w:val="none"/>
              </w:rPr>
            </w:pPr>
            <w:r>
              <w:rPr>
                <w:rFonts w:hint="eastAsia" w:ascii="宋体" w:hAnsi="宋体"/>
                <w:color w:val="auto"/>
                <w:szCs w:val="22"/>
                <w:highlight w:val="none"/>
              </w:rPr>
              <w:t>2.5.1</w:t>
            </w:r>
          </w:p>
        </w:tc>
        <w:tc>
          <w:tcPr>
            <w:tcW w:w="7796" w:type="dxa"/>
            <w:shd w:val="clear" w:color="auto" w:fill="FFFFFF" w:themeFill="background1"/>
            <w:vAlign w:val="center"/>
          </w:tcPr>
          <w:p w14:paraId="55DD0421">
            <w:pPr>
              <w:spacing w:line="420" w:lineRule="exact"/>
              <w:jc w:val="left"/>
              <w:rPr>
                <w:rFonts w:ascii="宋体" w:hAnsi="宋体" w:cs="Arial"/>
                <w:b/>
                <w:color w:val="auto"/>
                <w:szCs w:val="22"/>
                <w:highlight w:val="none"/>
              </w:rPr>
            </w:pPr>
            <w:r>
              <w:rPr>
                <w:rFonts w:ascii="宋体" w:hAnsi="宋体" w:cs="Arial"/>
                <w:color w:val="auto"/>
                <w:szCs w:val="22"/>
                <w:highlight w:val="none"/>
              </w:rPr>
              <w:t>投标供应商</w:t>
            </w:r>
            <w:r>
              <w:rPr>
                <w:rFonts w:hint="eastAsia" w:ascii="宋体" w:hAnsi="宋体" w:cs="Arial"/>
                <w:color w:val="auto"/>
                <w:szCs w:val="22"/>
                <w:highlight w:val="none"/>
              </w:rPr>
              <w:t>基本</w:t>
            </w:r>
            <w:r>
              <w:rPr>
                <w:rFonts w:ascii="宋体" w:hAnsi="宋体" w:cs="Arial"/>
                <w:color w:val="auto"/>
                <w:szCs w:val="22"/>
                <w:highlight w:val="none"/>
              </w:rPr>
              <w:t>情况</w:t>
            </w:r>
            <w:r>
              <w:rPr>
                <w:rFonts w:hint="eastAsia" w:ascii="宋体" w:hAnsi="宋体" w:cs="Arial"/>
                <w:color w:val="auto"/>
                <w:szCs w:val="22"/>
                <w:highlight w:val="none"/>
              </w:rPr>
              <w:t>说明</w:t>
            </w:r>
          </w:p>
        </w:tc>
        <w:tc>
          <w:tcPr>
            <w:tcW w:w="709" w:type="dxa"/>
            <w:shd w:val="clear" w:color="auto" w:fill="FFFFFF" w:themeFill="background1"/>
            <w:vAlign w:val="center"/>
          </w:tcPr>
          <w:p w14:paraId="5B2DE7C4">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0283B1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56147268">
            <w:pPr>
              <w:spacing w:line="420" w:lineRule="exact"/>
              <w:jc w:val="center"/>
              <w:rPr>
                <w:rFonts w:ascii="宋体" w:hAnsi="宋体"/>
                <w:b/>
                <w:color w:val="auto"/>
                <w:szCs w:val="22"/>
                <w:highlight w:val="none"/>
              </w:rPr>
            </w:pPr>
            <w:r>
              <w:rPr>
                <w:rFonts w:hint="eastAsia" w:ascii="宋体" w:hAnsi="宋体"/>
                <w:color w:val="auto"/>
                <w:szCs w:val="22"/>
                <w:highlight w:val="none"/>
              </w:rPr>
              <w:t>2.5.2</w:t>
            </w:r>
          </w:p>
        </w:tc>
        <w:tc>
          <w:tcPr>
            <w:tcW w:w="7796" w:type="dxa"/>
            <w:shd w:val="clear" w:color="auto" w:fill="FFFFFF" w:themeFill="background1"/>
            <w:vAlign w:val="center"/>
          </w:tcPr>
          <w:p w14:paraId="37E0FD8A">
            <w:pPr>
              <w:spacing w:line="420" w:lineRule="exact"/>
              <w:jc w:val="left"/>
              <w:rPr>
                <w:rFonts w:ascii="宋体" w:hAnsi="宋体" w:cs="Arial"/>
                <w:b/>
                <w:color w:val="auto"/>
                <w:szCs w:val="22"/>
                <w:highlight w:val="none"/>
              </w:rPr>
            </w:pPr>
            <w:r>
              <w:rPr>
                <w:rFonts w:hint="eastAsia" w:ascii="宋体" w:hAnsi="宋体" w:cs="Arial"/>
                <w:color w:val="auto"/>
                <w:szCs w:val="22"/>
                <w:highlight w:val="none"/>
              </w:rPr>
              <w:t>投标供应商拟派项目负责人情况表</w:t>
            </w:r>
          </w:p>
        </w:tc>
        <w:tc>
          <w:tcPr>
            <w:tcW w:w="709" w:type="dxa"/>
            <w:shd w:val="clear" w:color="auto" w:fill="FFFFFF" w:themeFill="background1"/>
            <w:vAlign w:val="center"/>
          </w:tcPr>
          <w:p w14:paraId="552BD99B">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14C7B2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61981C34">
            <w:pPr>
              <w:spacing w:line="420" w:lineRule="exact"/>
              <w:jc w:val="center"/>
              <w:rPr>
                <w:rFonts w:ascii="宋体" w:hAnsi="宋体"/>
                <w:b/>
                <w:color w:val="auto"/>
                <w:szCs w:val="22"/>
                <w:highlight w:val="none"/>
              </w:rPr>
            </w:pPr>
            <w:r>
              <w:rPr>
                <w:rFonts w:hint="eastAsia" w:ascii="宋体" w:hAnsi="宋体"/>
                <w:color w:val="auto"/>
                <w:szCs w:val="22"/>
                <w:highlight w:val="none"/>
              </w:rPr>
              <w:t>2.5.3</w:t>
            </w:r>
          </w:p>
        </w:tc>
        <w:tc>
          <w:tcPr>
            <w:tcW w:w="7796" w:type="dxa"/>
            <w:shd w:val="clear" w:color="auto" w:fill="FFFFFF" w:themeFill="background1"/>
            <w:vAlign w:val="center"/>
          </w:tcPr>
          <w:p w14:paraId="32738DC1">
            <w:pPr>
              <w:spacing w:line="420" w:lineRule="exact"/>
              <w:jc w:val="left"/>
              <w:rPr>
                <w:rFonts w:ascii="宋体" w:hAnsi="宋体" w:cs="Arial"/>
                <w:b/>
                <w:color w:val="auto"/>
                <w:szCs w:val="22"/>
                <w:highlight w:val="none"/>
              </w:rPr>
            </w:pPr>
            <w:r>
              <w:rPr>
                <w:rFonts w:ascii="宋体" w:hAnsi="宋体" w:cs="Arial"/>
                <w:color w:val="auto"/>
                <w:szCs w:val="22"/>
                <w:highlight w:val="none"/>
              </w:rPr>
              <w:t>投标供应商</w:t>
            </w:r>
            <w:r>
              <w:rPr>
                <w:rFonts w:hint="eastAsia" w:ascii="宋体" w:hAnsi="宋体" w:cs="Arial"/>
                <w:color w:val="auto"/>
                <w:szCs w:val="22"/>
                <w:highlight w:val="none"/>
              </w:rPr>
              <w:t>项目组</w:t>
            </w:r>
            <w:r>
              <w:rPr>
                <w:rFonts w:ascii="宋体" w:hAnsi="宋体" w:cs="Arial"/>
                <w:color w:val="auto"/>
                <w:szCs w:val="22"/>
                <w:highlight w:val="none"/>
              </w:rPr>
              <w:t>人员情况及证明材料</w:t>
            </w:r>
          </w:p>
        </w:tc>
        <w:tc>
          <w:tcPr>
            <w:tcW w:w="709" w:type="dxa"/>
            <w:shd w:val="clear" w:color="auto" w:fill="FFFFFF" w:themeFill="background1"/>
            <w:vAlign w:val="center"/>
          </w:tcPr>
          <w:p w14:paraId="57419E01">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70760B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6F6F6329">
            <w:pPr>
              <w:spacing w:line="420" w:lineRule="exact"/>
              <w:jc w:val="center"/>
              <w:rPr>
                <w:rFonts w:ascii="宋体" w:hAnsi="宋体"/>
                <w:b/>
                <w:color w:val="auto"/>
                <w:szCs w:val="22"/>
                <w:highlight w:val="none"/>
              </w:rPr>
            </w:pPr>
            <w:r>
              <w:rPr>
                <w:rFonts w:hint="eastAsia" w:ascii="宋体" w:hAnsi="宋体"/>
                <w:color w:val="auto"/>
                <w:szCs w:val="22"/>
                <w:highlight w:val="none"/>
              </w:rPr>
              <w:t>2.5.4</w:t>
            </w:r>
          </w:p>
        </w:tc>
        <w:tc>
          <w:tcPr>
            <w:tcW w:w="7796" w:type="dxa"/>
            <w:shd w:val="clear" w:color="auto" w:fill="FFFFFF" w:themeFill="background1"/>
            <w:vAlign w:val="center"/>
          </w:tcPr>
          <w:p w14:paraId="3F13306B">
            <w:pPr>
              <w:spacing w:line="420" w:lineRule="exact"/>
              <w:jc w:val="left"/>
              <w:rPr>
                <w:rFonts w:ascii="宋体" w:hAnsi="宋体" w:cs="Arial"/>
                <w:b/>
                <w:color w:val="auto"/>
                <w:szCs w:val="22"/>
                <w:highlight w:val="none"/>
              </w:rPr>
            </w:pPr>
            <w:r>
              <w:rPr>
                <w:rFonts w:ascii="宋体" w:hAnsi="宋体" w:cs="Arial"/>
                <w:color w:val="auto"/>
                <w:szCs w:val="22"/>
                <w:highlight w:val="none"/>
              </w:rPr>
              <w:t>投标供应商现有车辆、</w:t>
            </w:r>
            <w:r>
              <w:rPr>
                <w:rFonts w:hint="eastAsia" w:ascii="宋体" w:hAnsi="宋体" w:cs="Arial"/>
                <w:color w:val="auto"/>
                <w:szCs w:val="22"/>
                <w:highlight w:val="none"/>
              </w:rPr>
              <w:t>船只、</w:t>
            </w:r>
            <w:r>
              <w:rPr>
                <w:rFonts w:ascii="宋体" w:hAnsi="宋体" w:cs="Arial"/>
                <w:color w:val="auto"/>
                <w:szCs w:val="22"/>
                <w:highlight w:val="none"/>
              </w:rPr>
              <w:t>设备</w:t>
            </w:r>
            <w:r>
              <w:rPr>
                <w:rFonts w:hint="eastAsia" w:ascii="宋体" w:hAnsi="宋体" w:cs="Arial"/>
                <w:color w:val="auto"/>
                <w:szCs w:val="22"/>
                <w:highlight w:val="none"/>
              </w:rPr>
              <w:t>清单</w:t>
            </w:r>
            <w:r>
              <w:rPr>
                <w:rFonts w:ascii="宋体" w:hAnsi="宋体" w:cs="Arial"/>
                <w:color w:val="auto"/>
                <w:szCs w:val="22"/>
                <w:highlight w:val="none"/>
              </w:rPr>
              <w:t>及证明材料</w:t>
            </w:r>
          </w:p>
        </w:tc>
        <w:tc>
          <w:tcPr>
            <w:tcW w:w="709" w:type="dxa"/>
            <w:shd w:val="clear" w:color="auto" w:fill="FFFFFF" w:themeFill="background1"/>
            <w:vAlign w:val="center"/>
          </w:tcPr>
          <w:p w14:paraId="541D59BF">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701E7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28D8D501">
            <w:pPr>
              <w:spacing w:line="420" w:lineRule="exact"/>
              <w:jc w:val="center"/>
              <w:rPr>
                <w:rFonts w:ascii="宋体" w:hAnsi="宋体"/>
                <w:b/>
                <w:color w:val="auto"/>
                <w:szCs w:val="22"/>
                <w:highlight w:val="none"/>
              </w:rPr>
            </w:pPr>
            <w:r>
              <w:rPr>
                <w:rFonts w:hint="eastAsia" w:ascii="宋体" w:hAnsi="宋体"/>
                <w:color w:val="auto"/>
                <w:szCs w:val="22"/>
                <w:highlight w:val="none"/>
              </w:rPr>
              <w:t>2.5.5</w:t>
            </w:r>
          </w:p>
        </w:tc>
        <w:tc>
          <w:tcPr>
            <w:tcW w:w="7796" w:type="dxa"/>
            <w:shd w:val="clear" w:color="auto" w:fill="FFFFFF" w:themeFill="background1"/>
            <w:vAlign w:val="center"/>
          </w:tcPr>
          <w:p w14:paraId="2EE83DFF">
            <w:pPr>
              <w:spacing w:line="420" w:lineRule="exact"/>
              <w:jc w:val="left"/>
              <w:rPr>
                <w:rFonts w:ascii="宋体" w:hAnsi="宋体" w:cs="Arial"/>
                <w:b/>
                <w:color w:val="auto"/>
                <w:szCs w:val="22"/>
                <w:highlight w:val="none"/>
              </w:rPr>
            </w:pPr>
            <w:r>
              <w:rPr>
                <w:rFonts w:ascii="宋体" w:hAnsi="宋体" w:cs="Arial"/>
                <w:color w:val="auto"/>
                <w:szCs w:val="22"/>
                <w:highlight w:val="none"/>
              </w:rPr>
              <w:t>投标供应商类似项目成功业绩及证明材料</w:t>
            </w:r>
            <w:r>
              <w:rPr>
                <w:rFonts w:hint="eastAsia" w:ascii="宋体" w:hAnsi="宋体" w:cs="Arial"/>
                <w:color w:val="auto"/>
                <w:szCs w:val="22"/>
                <w:highlight w:val="none"/>
              </w:rPr>
              <w:t xml:space="preserve"> (</w:t>
            </w:r>
            <w:r>
              <w:rPr>
                <w:rFonts w:ascii="宋体" w:hAnsi="宋体" w:cs="Arial"/>
                <w:color w:val="auto"/>
                <w:szCs w:val="22"/>
                <w:highlight w:val="none"/>
              </w:rPr>
              <w:t>无业绩的可以不提供</w:t>
            </w:r>
            <w:r>
              <w:rPr>
                <w:rFonts w:hint="eastAsia" w:ascii="宋体" w:hAnsi="宋体" w:cs="Arial"/>
                <w:color w:val="auto"/>
                <w:szCs w:val="22"/>
                <w:highlight w:val="none"/>
              </w:rPr>
              <w:t>,</w:t>
            </w:r>
            <w:r>
              <w:rPr>
                <w:rFonts w:ascii="宋体" w:hAnsi="宋体" w:cs="Arial"/>
                <w:color w:val="auto"/>
                <w:szCs w:val="22"/>
                <w:highlight w:val="none"/>
              </w:rPr>
              <w:t>有效证明材料详见第</w:t>
            </w:r>
            <w:r>
              <w:rPr>
                <w:rFonts w:hint="eastAsia" w:ascii="宋体" w:hAnsi="宋体" w:cs="Arial"/>
                <w:color w:val="auto"/>
                <w:szCs w:val="22"/>
                <w:highlight w:val="none"/>
              </w:rPr>
              <w:t>六部分</w:t>
            </w:r>
            <w:r>
              <w:rPr>
                <w:rFonts w:ascii="宋体" w:hAnsi="宋体" w:cs="Arial"/>
                <w:color w:val="auto"/>
                <w:szCs w:val="22"/>
                <w:highlight w:val="none"/>
              </w:rPr>
              <w:t>评</w:t>
            </w:r>
            <w:r>
              <w:rPr>
                <w:rFonts w:hint="eastAsia" w:ascii="宋体" w:hAnsi="宋体" w:cs="Arial"/>
                <w:color w:val="auto"/>
                <w:szCs w:val="22"/>
                <w:highlight w:val="none"/>
              </w:rPr>
              <w:t>审</w:t>
            </w:r>
            <w:r>
              <w:rPr>
                <w:rFonts w:ascii="宋体" w:hAnsi="宋体" w:cs="Arial"/>
                <w:color w:val="auto"/>
                <w:szCs w:val="22"/>
                <w:highlight w:val="none"/>
              </w:rPr>
              <w:t>办法</w:t>
            </w:r>
            <w:r>
              <w:rPr>
                <w:rFonts w:hint="eastAsia" w:ascii="宋体" w:hAnsi="宋体" w:cs="Arial"/>
                <w:color w:val="auto"/>
                <w:szCs w:val="22"/>
                <w:highlight w:val="none"/>
              </w:rPr>
              <w:t>)</w:t>
            </w:r>
          </w:p>
        </w:tc>
        <w:tc>
          <w:tcPr>
            <w:tcW w:w="709" w:type="dxa"/>
            <w:shd w:val="clear" w:color="auto" w:fill="FFFFFF" w:themeFill="background1"/>
            <w:vAlign w:val="center"/>
          </w:tcPr>
          <w:p w14:paraId="4AD4CEF3">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6653FF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5A90776A">
            <w:pPr>
              <w:spacing w:line="420" w:lineRule="exact"/>
              <w:jc w:val="center"/>
              <w:rPr>
                <w:rFonts w:ascii="宋体" w:hAnsi="宋体"/>
                <w:b/>
                <w:color w:val="auto"/>
                <w:szCs w:val="22"/>
                <w:highlight w:val="none"/>
              </w:rPr>
            </w:pPr>
            <w:r>
              <w:rPr>
                <w:rFonts w:hint="eastAsia" w:ascii="宋体" w:hAnsi="宋体"/>
                <w:color w:val="auto"/>
                <w:szCs w:val="22"/>
                <w:highlight w:val="none"/>
              </w:rPr>
              <w:t>2.5.6</w:t>
            </w:r>
          </w:p>
        </w:tc>
        <w:tc>
          <w:tcPr>
            <w:tcW w:w="7796" w:type="dxa"/>
            <w:shd w:val="clear" w:color="auto" w:fill="FFFFFF" w:themeFill="background1"/>
            <w:vAlign w:val="center"/>
          </w:tcPr>
          <w:p w14:paraId="6310D822">
            <w:pPr>
              <w:spacing w:line="420" w:lineRule="exact"/>
              <w:jc w:val="left"/>
              <w:rPr>
                <w:rFonts w:ascii="宋体" w:hAnsi="宋体" w:cs="Arial"/>
                <w:b/>
                <w:color w:val="auto"/>
                <w:szCs w:val="22"/>
                <w:highlight w:val="none"/>
              </w:rPr>
            </w:pPr>
            <w:r>
              <w:rPr>
                <w:rFonts w:ascii="宋体" w:hAnsi="宋体" w:cs="Arial"/>
                <w:color w:val="auto"/>
                <w:szCs w:val="22"/>
                <w:highlight w:val="none"/>
              </w:rPr>
              <w:t>投标供应商拟派项目负责人</w:t>
            </w:r>
            <w:r>
              <w:rPr>
                <w:rFonts w:hint="eastAsia" w:ascii="宋体" w:hAnsi="宋体" w:cs="Arial"/>
                <w:color w:val="auto"/>
                <w:szCs w:val="22"/>
                <w:highlight w:val="none"/>
              </w:rPr>
              <w:t>及项目组人员证书及社保证明</w:t>
            </w:r>
          </w:p>
        </w:tc>
        <w:tc>
          <w:tcPr>
            <w:tcW w:w="709" w:type="dxa"/>
            <w:shd w:val="clear" w:color="auto" w:fill="FFFFFF" w:themeFill="background1"/>
            <w:vAlign w:val="center"/>
          </w:tcPr>
          <w:p w14:paraId="7B2025A1">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无</w:t>
            </w:r>
          </w:p>
        </w:tc>
      </w:tr>
      <w:tr w14:paraId="1708FD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851" w:type="dxa"/>
            <w:shd w:val="clear" w:color="auto" w:fill="FFFFFF" w:themeFill="background1"/>
            <w:vAlign w:val="center"/>
          </w:tcPr>
          <w:p w14:paraId="2571DFCE">
            <w:pPr>
              <w:spacing w:line="420" w:lineRule="exact"/>
              <w:jc w:val="center"/>
              <w:rPr>
                <w:rFonts w:ascii="宋体" w:hAnsi="宋体"/>
                <w:b/>
                <w:color w:val="auto"/>
                <w:szCs w:val="22"/>
                <w:highlight w:val="none"/>
              </w:rPr>
            </w:pPr>
            <w:r>
              <w:rPr>
                <w:rFonts w:hint="eastAsia" w:ascii="宋体" w:hAnsi="宋体"/>
                <w:color w:val="auto"/>
                <w:szCs w:val="22"/>
                <w:highlight w:val="none"/>
              </w:rPr>
              <w:t>2.5.7</w:t>
            </w:r>
          </w:p>
        </w:tc>
        <w:tc>
          <w:tcPr>
            <w:tcW w:w="7796" w:type="dxa"/>
            <w:shd w:val="clear" w:color="auto" w:fill="FFFFFF" w:themeFill="background1"/>
            <w:vAlign w:val="center"/>
          </w:tcPr>
          <w:p w14:paraId="278D5539">
            <w:pPr>
              <w:spacing w:line="420" w:lineRule="exact"/>
              <w:jc w:val="left"/>
              <w:rPr>
                <w:rFonts w:ascii="宋体" w:hAnsi="宋体" w:cs="Arial"/>
                <w:b/>
                <w:color w:val="auto"/>
                <w:szCs w:val="22"/>
                <w:highlight w:val="none"/>
              </w:rPr>
            </w:pPr>
            <w:r>
              <w:rPr>
                <w:rFonts w:ascii="宋体" w:hAnsi="宋体" w:cs="Arial"/>
                <w:color w:val="auto"/>
                <w:szCs w:val="22"/>
                <w:highlight w:val="none"/>
              </w:rPr>
              <w:t>投标供应商体系认证证书</w:t>
            </w:r>
          </w:p>
        </w:tc>
        <w:tc>
          <w:tcPr>
            <w:tcW w:w="709" w:type="dxa"/>
            <w:shd w:val="clear" w:color="auto" w:fill="FFFFFF" w:themeFill="background1"/>
            <w:vAlign w:val="center"/>
          </w:tcPr>
          <w:p w14:paraId="3A98ACD8">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无</w:t>
            </w:r>
          </w:p>
        </w:tc>
      </w:tr>
      <w:tr w14:paraId="6C96EC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51" w:type="dxa"/>
            <w:shd w:val="clear" w:color="auto" w:fill="FFFFFF" w:themeFill="background1"/>
            <w:vAlign w:val="center"/>
          </w:tcPr>
          <w:p w14:paraId="3FEC31E7">
            <w:pPr>
              <w:spacing w:line="420" w:lineRule="exact"/>
              <w:jc w:val="center"/>
              <w:rPr>
                <w:rFonts w:ascii="宋体" w:hAnsi="宋体"/>
                <w:b/>
                <w:color w:val="auto"/>
                <w:szCs w:val="22"/>
                <w:highlight w:val="none"/>
              </w:rPr>
            </w:pPr>
            <w:r>
              <w:rPr>
                <w:rFonts w:hint="eastAsia" w:ascii="宋体" w:hAnsi="宋体"/>
                <w:color w:val="auto"/>
                <w:szCs w:val="22"/>
                <w:highlight w:val="none"/>
              </w:rPr>
              <w:t>2.5.8</w:t>
            </w:r>
          </w:p>
        </w:tc>
        <w:tc>
          <w:tcPr>
            <w:tcW w:w="7796" w:type="dxa"/>
            <w:shd w:val="clear" w:color="auto" w:fill="FFFFFF" w:themeFill="background1"/>
            <w:vAlign w:val="center"/>
          </w:tcPr>
          <w:p w14:paraId="3B0ECA46">
            <w:pPr>
              <w:spacing w:line="420" w:lineRule="exact"/>
              <w:jc w:val="left"/>
              <w:rPr>
                <w:rFonts w:ascii="宋体" w:hAnsi="宋体" w:cs="Arial"/>
                <w:b/>
                <w:color w:val="auto"/>
                <w:szCs w:val="22"/>
                <w:highlight w:val="none"/>
              </w:rPr>
            </w:pPr>
            <w:r>
              <w:rPr>
                <w:rFonts w:ascii="宋体" w:hAnsi="宋体" w:cs="Arial"/>
                <w:color w:val="auto"/>
                <w:szCs w:val="22"/>
                <w:highlight w:val="none"/>
              </w:rPr>
              <w:t>投标供应商</w:t>
            </w:r>
            <w:r>
              <w:rPr>
                <w:rFonts w:hint="eastAsia" w:ascii="宋体" w:hAnsi="宋体" w:cs="Arial"/>
                <w:color w:val="auto"/>
                <w:szCs w:val="22"/>
                <w:highlight w:val="none"/>
              </w:rPr>
              <w:t>的资格能力证书及获得过的荣誉证书等证明材料</w:t>
            </w:r>
          </w:p>
        </w:tc>
        <w:tc>
          <w:tcPr>
            <w:tcW w:w="709" w:type="dxa"/>
            <w:shd w:val="clear" w:color="auto" w:fill="FFFFFF" w:themeFill="background1"/>
            <w:vAlign w:val="center"/>
          </w:tcPr>
          <w:p w14:paraId="7CC294A5">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无</w:t>
            </w:r>
          </w:p>
        </w:tc>
      </w:tr>
      <w:tr w14:paraId="2CC1E4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55F81619">
            <w:pPr>
              <w:spacing w:line="420" w:lineRule="exact"/>
              <w:jc w:val="center"/>
              <w:rPr>
                <w:rFonts w:ascii="宋体" w:hAnsi="宋体"/>
                <w:b/>
                <w:color w:val="auto"/>
                <w:szCs w:val="22"/>
                <w:highlight w:val="none"/>
              </w:rPr>
            </w:pPr>
            <w:r>
              <w:rPr>
                <w:rFonts w:hint="eastAsia" w:ascii="宋体" w:hAnsi="宋体"/>
                <w:color w:val="auto"/>
                <w:szCs w:val="22"/>
                <w:highlight w:val="none"/>
              </w:rPr>
              <w:t>2.6</w:t>
            </w:r>
          </w:p>
        </w:tc>
        <w:tc>
          <w:tcPr>
            <w:tcW w:w="7796" w:type="dxa"/>
            <w:shd w:val="clear" w:color="auto" w:fill="FFFFFF" w:themeFill="background1"/>
            <w:vAlign w:val="center"/>
          </w:tcPr>
          <w:p w14:paraId="440A20EF">
            <w:pPr>
              <w:spacing w:line="420" w:lineRule="exact"/>
              <w:jc w:val="left"/>
              <w:rPr>
                <w:rFonts w:ascii="宋体" w:hAnsi="宋体" w:cs="Arial"/>
                <w:b/>
                <w:color w:val="auto"/>
                <w:szCs w:val="22"/>
                <w:highlight w:val="none"/>
              </w:rPr>
            </w:pPr>
            <w:r>
              <w:rPr>
                <w:rFonts w:hint="eastAsia" w:ascii="宋体"/>
                <w:b/>
                <w:color w:val="auto"/>
                <w:szCs w:val="22"/>
                <w:highlight w:val="none"/>
              </w:rPr>
              <w:t>拟派项目管理团队人员全程在岗承诺书(格式见附件也可自拟）</w:t>
            </w:r>
          </w:p>
        </w:tc>
        <w:tc>
          <w:tcPr>
            <w:tcW w:w="709" w:type="dxa"/>
            <w:shd w:val="clear" w:color="auto" w:fill="FFFFFF" w:themeFill="background1"/>
            <w:vAlign w:val="center"/>
          </w:tcPr>
          <w:p w14:paraId="06ADB352">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08A7B2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415AB124">
            <w:pPr>
              <w:spacing w:line="420" w:lineRule="exact"/>
              <w:jc w:val="center"/>
              <w:rPr>
                <w:rFonts w:ascii="宋体" w:hAnsi="宋体"/>
                <w:b/>
                <w:color w:val="auto"/>
                <w:szCs w:val="22"/>
                <w:highlight w:val="none"/>
              </w:rPr>
            </w:pPr>
            <w:r>
              <w:rPr>
                <w:rFonts w:hint="eastAsia" w:ascii="宋体" w:hAnsi="宋体"/>
                <w:color w:val="auto"/>
                <w:szCs w:val="22"/>
                <w:highlight w:val="none"/>
              </w:rPr>
              <w:t>2.7</w:t>
            </w:r>
          </w:p>
        </w:tc>
        <w:tc>
          <w:tcPr>
            <w:tcW w:w="7796" w:type="dxa"/>
            <w:shd w:val="clear" w:color="auto" w:fill="FFFFFF" w:themeFill="background1"/>
            <w:vAlign w:val="center"/>
          </w:tcPr>
          <w:p w14:paraId="10301F7C">
            <w:pPr>
              <w:spacing w:line="420" w:lineRule="exact"/>
              <w:jc w:val="left"/>
              <w:rPr>
                <w:rFonts w:ascii="宋体" w:hAnsi="宋体" w:cs="Arial"/>
                <w:b/>
                <w:color w:val="auto"/>
                <w:szCs w:val="22"/>
                <w:highlight w:val="none"/>
              </w:rPr>
            </w:pPr>
            <w:r>
              <w:rPr>
                <w:rFonts w:ascii="宋体"/>
                <w:b/>
                <w:color w:val="auto"/>
                <w:szCs w:val="22"/>
                <w:highlight w:val="none"/>
              </w:rPr>
              <w:t>人员、车辆</w:t>
            </w:r>
            <w:r>
              <w:rPr>
                <w:rFonts w:hint="eastAsia" w:ascii="宋体"/>
                <w:b/>
                <w:color w:val="auto"/>
                <w:szCs w:val="22"/>
                <w:highlight w:val="none"/>
              </w:rPr>
              <w:t>、</w:t>
            </w:r>
            <w:r>
              <w:rPr>
                <w:rFonts w:ascii="宋体"/>
                <w:b/>
                <w:color w:val="auto"/>
                <w:szCs w:val="22"/>
                <w:highlight w:val="none"/>
              </w:rPr>
              <w:t>设备</w:t>
            </w:r>
            <w:r>
              <w:rPr>
                <w:rFonts w:hint="eastAsia" w:ascii="宋体"/>
                <w:b/>
                <w:color w:val="auto"/>
                <w:szCs w:val="22"/>
                <w:highlight w:val="none"/>
              </w:rPr>
              <w:t>投入及</w:t>
            </w:r>
            <w:r>
              <w:rPr>
                <w:rFonts w:ascii="宋体"/>
                <w:b/>
                <w:color w:val="auto"/>
                <w:szCs w:val="22"/>
                <w:highlight w:val="none"/>
              </w:rPr>
              <w:t>到位承诺书</w:t>
            </w:r>
            <w:r>
              <w:rPr>
                <w:rFonts w:hint="eastAsia" w:ascii="宋体" w:hAnsi="宋体" w:cs="Arial"/>
                <w:b/>
                <w:color w:val="auto"/>
                <w:szCs w:val="22"/>
                <w:highlight w:val="none"/>
              </w:rPr>
              <w:t>(格式见附件也可自拟）</w:t>
            </w:r>
          </w:p>
        </w:tc>
        <w:tc>
          <w:tcPr>
            <w:tcW w:w="709" w:type="dxa"/>
            <w:shd w:val="clear" w:color="auto" w:fill="FFFFFF" w:themeFill="background1"/>
            <w:vAlign w:val="center"/>
          </w:tcPr>
          <w:p w14:paraId="29651792">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61B251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19C17C2E">
            <w:pPr>
              <w:spacing w:line="420" w:lineRule="exact"/>
              <w:jc w:val="center"/>
              <w:rPr>
                <w:rFonts w:hint="default" w:ascii="宋体" w:hAnsi="宋体" w:eastAsia="宋体"/>
                <w:color w:val="auto"/>
                <w:szCs w:val="22"/>
                <w:highlight w:val="none"/>
                <w:lang w:val="en-US" w:eastAsia="zh-CN"/>
              </w:rPr>
            </w:pPr>
            <w:r>
              <w:rPr>
                <w:rFonts w:hint="eastAsia" w:ascii="宋体" w:hAnsi="宋体"/>
                <w:color w:val="auto"/>
                <w:szCs w:val="22"/>
                <w:highlight w:val="none"/>
                <w:lang w:val="en-US" w:eastAsia="zh-CN"/>
              </w:rPr>
              <w:t>2.8</w:t>
            </w:r>
          </w:p>
        </w:tc>
        <w:tc>
          <w:tcPr>
            <w:tcW w:w="7796" w:type="dxa"/>
            <w:shd w:val="clear" w:color="auto" w:fill="FFFFFF" w:themeFill="background1"/>
            <w:vAlign w:val="center"/>
          </w:tcPr>
          <w:p w14:paraId="79FB1E23">
            <w:pPr>
              <w:spacing w:line="420" w:lineRule="exact"/>
              <w:jc w:val="left"/>
              <w:rPr>
                <w:rFonts w:hint="default" w:ascii="宋体" w:eastAsia="宋体"/>
                <w:b/>
                <w:color w:val="auto"/>
                <w:szCs w:val="22"/>
                <w:highlight w:val="none"/>
                <w:lang w:val="en-US" w:eastAsia="zh-CN"/>
              </w:rPr>
            </w:pPr>
            <w:r>
              <w:rPr>
                <w:rFonts w:hint="eastAsia" w:ascii="宋体"/>
                <w:b/>
                <w:color w:val="auto"/>
                <w:szCs w:val="22"/>
                <w:highlight w:val="none"/>
                <w:lang w:val="en-US" w:eastAsia="zh-CN"/>
              </w:rPr>
              <w:t>绿化养护承诺书</w:t>
            </w:r>
            <w:r>
              <w:rPr>
                <w:rFonts w:hint="eastAsia" w:ascii="宋体" w:hAnsi="宋体" w:cs="Arial"/>
                <w:b/>
                <w:color w:val="auto"/>
                <w:szCs w:val="22"/>
                <w:highlight w:val="none"/>
              </w:rPr>
              <w:t>(格式见附件也可自拟）</w:t>
            </w:r>
          </w:p>
        </w:tc>
        <w:tc>
          <w:tcPr>
            <w:tcW w:w="709" w:type="dxa"/>
            <w:shd w:val="clear" w:color="auto" w:fill="FFFFFF" w:themeFill="background1"/>
            <w:vAlign w:val="center"/>
          </w:tcPr>
          <w:p w14:paraId="1A396D22">
            <w:pPr>
              <w:spacing w:line="420" w:lineRule="exact"/>
              <w:jc w:val="center"/>
              <w:rPr>
                <w:rFonts w:hint="eastAsia" w:ascii="宋体" w:hAnsi="宋体" w:eastAsia="宋体" w:cs="Arial"/>
                <w:color w:val="auto"/>
                <w:szCs w:val="22"/>
                <w:highlight w:val="none"/>
                <w:lang w:val="en-US" w:eastAsia="zh-CN"/>
              </w:rPr>
            </w:pPr>
            <w:r>
              <w:rPr>
                <w:rFonts w:hint="eastAsia" w:ascii="宋体" w:hAnsi="宋体" w:cs="Arial"/>
                <w:color w:val="auto"/>
                <w:szCs w:val="22"/>
                <w:highlight w:val="none"/>
                <w:lang w:val="en-US" w:eastAsia="zh-CN"/>
              </w:rPr>
              <w:t>有</w:t>
            </w:r>
          </w:p>
        </w:tc>
      </w:tr>
      <w:tr w14:paraId="602C6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694465E7">
            <w:pPr>
              <w:spacing w:line="420" w:lineRule="exact"/>
              <w:jc w:val="center"/>
              <w:rPr>
                <w:rFonts w:ascii="宋体" w:hAnsi="宋体" w:eastAsia="宋体" w:cs="Times New Roman"/>
                <w:b/>
                <w:color w:val="auto"/>
                <w:kern w:val="2"/>
                <w:sz w:val="22"/>
                <w:szCs w:val="22"/>
                <w:highlight w:val="none"/>
                <w:lang w:val="en-US" w:eastAsia="zh-CN" w:bidi="ar-SA"/>
              </w:rPr>
            </w:pPr>
            <w:r>
              <w:rPr>
                <w:rFonts w:hint="eastAsia" w:ascii="宋体" w:hAnsi="宋体"/>
                <w:color w:val="auto"/>
                <w:szCs w:val="22"/>
                <w:highlight w:val="none"/>
              </w:rPr>
              <w:t>2.9</w:t>
            </w:r>
          </w:p>
        </w:tc>
        <w:tc>
          <w:tcPr>
            <w:tcW w:w="7796" w:type="dxa"/>
            <w:shd w:val="clear" w:color="auto" w:fill="FFFFFF" w:themeFill="background1"/>
            <w:vAlign w:val="center"/>
          </w:tcPr>
          <w:p w14:paraId="0A4F2EEC">
            <w:pPr>
              <w:spacing w:line="420" w:lineRule="exact"/>
              <w:jc w:val="left"/>
              <w:rPr>
                <w:rFonts w:ascii="宋体" w:hAnsi="宋体" w:cs="Arial"/>
                <w:b/>
                <w:color w:val="auto"/>
                <w:szCs w:val="22"/>
                <w:highlight w:val="none"/>
              </w:rPr>
            </w:pPr>
            <w:r>
              <w:rPr>
                <w:rFonts w:hint="eastAsia" w:ascii="宋体"/>
                <w:b/>
                <w:color w:val="auto"/>
                <w:szCs w:val="22"/>
                <w:highlight w:val="none"/>
              </w:rPr>
              <w:t>商务响应表、技术响应表</w:t>
            </w:r>
            <w:r>
              <w:rPr>
                <w:rFonts w:hint="eastAsia" w:ascii="宋体"/>
                <w:b/>
                <w:color w:val="auto"/>
                <w:szCs w:val="22"/>
                <w:highlight w:val="none"/>
                <w:u w:val="single"/>
              </w:rPr>
              <w:t>（如不填写，则视为完全响应采购文件的要求）</w:t>
            </w:r>
            <w:r>
              <w:rPr>
                <w:rFonts w:hint="eastAsia"/>
                <w:b/>
                <w:color w:val="auto"/>
                <w:szCs w:val="22"/>
                <w:highlight w:val="none"/>
                <w:u w:val="single"/>
              </w:rPr>
              <w:t>。</w:t>
            </w:r>
          </w:p>
        </w:tc>
        <w:tc>
          <w:tcPr>
            <w:tcW w:w="709" w:type="dxa"/>
            <w:shd w:val="clear" w:color="auto" w:fill="FFFFFF" w:themeFill="background1"/>
            <w:vAlign w:val="center"/>
          </w:tcPr>
          <w:p w14:paraId="22147CF2">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17D80C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shd w:val="clear" w:color="auto" w:fill="FFFFFF" w:themeFill="background1"/>
            <w:vAlign w:val="center"/>
          </w:tcPr>
          <w:p w14:paraId="794CBCEE">
            <w:pPr>
              <w:spacing w:line="420" w:lineRule="exact"/>
              <w:jc w:val="center"/>
              <w:rPr>
                <w:rFonts w:ascii="宋体" w:hAnsi="宋体" w:eastAsia="宋体" w:cs="Times New Roman"/>
                <w:b/>
                <w:color w:val="auto"/>
                <w:kern w:val="2"/>
                <w:sz w:val="22"/>
                <w:szCs w:val="22"/>
                <w:highlight w:val="none"/>
                <w:lang w:val="en-US" w:eastAsia="zh-CN" w:bidi="ar-SA"/>
              </w:rPr>
            </w:pPr>
            <w:r>
              <w:rPr>
                <w:rFonts w:hint="eastAsia" w:ascii="宋体" w:hAnsi="宋体"/>
                <w:color w:val="auto"/>
                <w:szCs w:val="22"/>
                <w:highlight w:val="none"/>
              </w:rPr>
              <w:t>2.10</w:t>
            </w:r>
          </w:p>
        </w:tc>
        <w:tc>
          <w:tcPr>
            <w:tcW w:w="7796" w:type="dxa"/>
            <w:shd w:val="clear" w:color="auto" w:fill="FFFFFF" w:themeFill="background1"/>
            <w:vAlign w:val="center"/>
          </w:tcPr>
          <w:p w14:paraId="0F165E24">
            <w:pPr>
              <w:spacing w:line="420" w:lineRule="exact"/>
              <w:jc w:val="left"/>
              <w:rPr>
                <w:rFonts w:hint="default" w:ascii="宋体" w:hAnsi="宋体" w:eastAsia="宋体" w:cs="Arial"/>
                <w:b/>
                <w:color w:val="auto"/>
                <w:szCs w:val="22"/>
                <w:highlight w:val="none"/>
                <w:lang w:val="en-US" w:eastAsia="zh-CN"/>
              </w:rPr>
            </w:pPr>
            <w:r>
              <w:rPr>
                <w:rFonts w:hint="eastAsia" w:ascii="宋体"/>
                <w:b/>
                <w:color w:val="auto"/>
                <w:szCs w:val="22"/>
                <w:highlight w:val="none"/>
                <w:lang w:val="en-US" w:eastAsia="zh-CN"/>
              </w:rPr>
              <w:t>技术方案</w:t>
            </w:r>
          </w:p>
        </w:tc>
        <w:tc>
          <w:tcPr>
            <w:tcW w:w="709" w:type="dxa"/>
            <w:shd w:val="clear" w:color="auto" w:fill="FFFFFF" w:themeFill="background1"/>
            <w:vAlign w:val="center"/>
          </w:tcPr>
          <w:p w14:paraId="7F26F80D">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无</w:t>
            </w:r>
          </w:p>
        </w:tc>
      </w:tr>
      <w:tr w14:paraId="2A6F2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1" w:type="dxa"/>
            <w:shd w:val="clear" w:color="auto" w:fill="FFFFFF" w:themeFill="background1"/>
            <w:vAlign w:val="center"/>
          </w:tcPr>
          <w:p w14:paraId="1E65C2C5">
            <w:pPr>
              <w:spacing w:line="420" w:lineRule="exact"/>
              <w:jc w:val="center"/>
              <w:rPr>
                <w:rFonts w:hint="default" w:ascii="宋体" w:hAnsi="宋体" w:eastAsia="宋体"/>
                <w:b/>
                <w:color w:val="auto"/>
                <w:szCs w:val="22"/>
                <w:highlight w:val="none"/>
                <w:lang w:val="en-US" w:eastAsia="zh-CN"/>
              </w:rPr>
            </w:pPr>
            <w:r>
              <w:rPr>
                <w:rFonts w:hint="eastAsia" w:ascii="宋体" w:hAnsi="宋体"/>
                <w:b/>
                <w:color w:val="auto"/>
                <w:szCs w:val="22"/>
                <w:highlight w:val="none"/>
                <w:lang w:val="en-US" w:eastAsia="zh-CN"/>
              </w:rPr>
              <w:t>2.11</w:t>
            </w:r>
          </w:p>
        </w:tc>
        <w:tc>
          <w:tcPr>
            <w:tcW w:w="7796" w:type="dxa"/>
            <w:shd w:val="clear" w:color="auto" w:fill="FFFFFF" w:themeFill="background1"/>
            <w:vAlign w:val="center"/>
          </w:tcPr>
          <w:p w14:paraId="518698AC">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政府采购活动现场确认声明书</w:t>
            </w:r>
          </w:p>
        </w:tc>
        <w:tc>
          <w:tcPr>
            <w:tcW w:w="709" w:type="dxa"/>
            <w:tcBorders>
              <w:bottom w:val="single" w:color="auto" w:sz="6" w:space="0"/>
            </w:tcBorders>
            <w:shd w:val="clear" w:color="auto" w:fill="FFFFFF" w:themeFill="background1"/>
            <w:vAlign w:val="center"/>
          </w:tcPr>
          <w:p w14:paraId="380ABD73">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262C5F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9356" w:type="dxa"/>
            <w:gridSpan w:val="3"/>
            <w:tcBorders>
              <w:top w:val="single" w:color="auto" w:sz="6" w:space="0"/>
              <w:bottom w:val="single" w:color="auto" w:sz="6" w:space="0"/>
            </w:tcBorders>
            <w:shd w:val="clear" w:color="auto" w:fill="FFFFFF" w:themeFill="background1"/>
            <w:vAlign w:val="center"/>
          </w:tcPr>
          <w:p w14:paraId="1FD207C3">
            <w:pPr>
              <w:spacing w:line="420" w:lineRule="exact"/>
              <w:jc w:val="left"/>
              <w:rPr>
                <w:rFonts w:ascii="宋体" w:hAnsi="宋体"/>
                <w:b/>
                <w:color w:val="auto"/>
                <w:szCs w:val="22"/>
                <w:highlight w:val="none"/>
              </w:rPr>
            </w:pPr>
            <w:r>
              <w:rPr>
                <w:rFonts w:hint="eastAsia" w:ascii="宋体" w:hAnsi="宋体"/>
                <w:b/>
                <w:color w:val="auto"/>
                <w:szCs w:val="22"/>
                <w:highlight w:val="none"/>
              </w:rPr>
              <w:t>三、</w:t>
            </w:r>
            <w:r>
              <w:rPr>
                <w:rFonts w:hint="eastAsia" w:ascii="宋体" w:hAnsi="宋体" w:cs="Arial"/>
                <w:b/>
                <w:color w:val="auto"/>
                <w:szCs w:val="22"/>
                <w:highlight w:val="none"/>
              </w:rPr>
              <w:t>《报价文件》组成内容</w:t>
            </w:r>
          </w:p>
        </w:tc>
      </w:tr>
      <w:tr w14:paraId="6D3357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shd w:val="clear" w:color="auto" w:fill="FFFFFF" w:themeFill="background1"/>
            <w:vAlign w:val="center"/>
          </w:tcPr>
          <w:p w14:paraId="26AF4AA1">
            <w:pPr>
              <w:spacing w:line="420" w:lineRule="exact"/>
              <w:jc w:val="center"/>
              <w:rPr>
                <w:rFonts w:ascii="宋体" w:hAnsi="宋体"/>
                <w:b/>
                <w:color w:val="auto"/>
                <w:szCs w:val="22"/>
                <w:highlight w:val="none"/>
              </w:rPr>
            </w:pPr>
            <w:r>
              <w:rPr>
                <w:rFonts w:hint="eastAsia" w:ascii="宋体" w:hAnsi="宋体"/>
                <w:b/>
                <w:color w:val="auto"/>
                <w:szCs w:val="22"/>
                <w:highlight w:val="none"/>
              </w:rPr>
              <w:t>3.1</w:t>
            </w:r>
          </w:p>
        </w:tc>
        <w:tc>
          <w:tcPr>
            <w:tcW w:w="7796" w:type="dxa"/>
            <w:tcBorders>
              <w:top w:val="single" w:color="auto" w:sz="6" w:space="0"/>
              <w:bottom w:val="single" w:color="auto" w:sz="6" w:space="0"/>
            </w:tcBorders>
            <w:shd w:val="clear" w:color="auto" w:fill="FFFFFF" w:themeFill="background1"/>
            <w:vAlign w:val="center"/>
          </w:tcPr>
          <w:p w14:paraId="4BDE79CF">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《报价文件》封面</w:t>
            </w:r>
          </w:p>
        </w:tc>
        <w:tc>
          <w:tcPr>
            <w:tcW w:w="709" w:type="dxa"/>
            <w:tcBorders>
              <w:top w:val="single" w:color="auto" w:sz="6" w:space="0"/>
              <w:bottom w:val="single" w:color="auto" w:sz="6" w:space="0"/>
            </w:tcBorders>
            <w:shd w:val="clear" w:color="auto" w:fill="FFFFFF" w:themeFill="background1"/>
            <w:vAlign w:val="center"/>
          </w:tcPr>
          <w:p w14:paraId="6AAAE855">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2DF06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shd w:val="clear" w:color="auto" w:fill="FFFFFF" w:themeFill="background1"/>
            <w:vAlign w:val="center"/>
          </w:tcPr>
          <w:p w14:paraId="5E30CF5D">
            <w:pPr>
              <w:spacing w:line="420" w:lineRule="exact"/>
              <w:jc w:val="center"/>
              <w:rPr>
                <w:rFonts w:ascii="宋体" w:hAnsi="宋体"/>
                <w:b/>
                <w:color w:val="auto"/>
                <w:szCs w:val="22"/>
                <w:highlight w:val="none"/>
              </w:rPr>
            </w:pPr>
            <w:r>
              <w:rPr>
                <w:rFonts w:hint="eastAsia" w:ascii="宋体" w:hAnsi="宋体"/>
                <w:b/>
                <w:color w:val="auto"/>
                <w:szCs w:val="22"/>
                <w:highlight w:val="none"/>
              </w:rPr>
              <w:t>3.2</w:t>
            </w:r>
          </w:p>
        </w:tc>
        <w:tc>
          <w:tcPr>
            <w:tcW w:w="7796" w:type="dxa"/>
            <w:tcBorders>
              <w:top w:val="single" w:color="auto" w:sz="6" w:space="0"/>
              <w:bottom w:val="single" w:color="auto" w:sz="6" w:space="0"/>
            </w:tcBorders>
            <w:shd w:val="clear" w:color="auto" w:fill="FFFFFF" w:themeFill="background1"/>
            <w:vAlign w:val="center"/>
          </w:tcPr>
          <w:p w14:paraId="4A11B3E2">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《报价文件》目录</w:t>
            </w:r>
            <w:r>
              <w:rPr>
                <w:rFonts w:hint="eastAsia" w:ascii="宋体" w:hAnsi="宋体" w:cs="Arial"/>
                <w:color w:val="auto"/>
                <w:szCs w:val="22"/>
                <w:highlight w:val="none"/>
              </w:rPr>
              <w:t>（格式自拟）</w:t>
            </w:r>
          </w:p>
        </w:tc>
        <w:tc>
          <w:tcPr>
            <w:tcW w:w="709" w:type="dxa"/>
            <w:tcBorders>
              <w:top w:val="single" w:color="auto" w:sz="6" w:space="0"/>
              <w:bottom w:val="single" w:color="auto" w:sz="6" w:space="0"/>
            </w:tcBorders>
            <w:shd w:val="clear" w:color="auto" w:fill="FFFFFF" w:themeFill="background1"/>
            <w:vAlign w:val="center"/>
          </w:tcPr>
          <w:p w14:paraId="6D868A3A">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无</w:t>
            </w:r>
          </w:p>
        </w:tc>
      </w:tr>
      <w:tr w14:paraId="46C4A0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shd w:val="clear" w:color="auto" w:fill="FFFFFF" w:themeFill="background1"/>
            <w:vAlign w:val="center"/>
          </w:tcPr>
          <w:p w14:paraId="5E24D88F">
            <w:pPr>
              <w:spacing w:line="420" w:lineRule="exact"/>
              <w:jc w:val="center"/>
              <w:rPr>
                <w:rFonts w:ascii="宋体" w:hAnsi="宋体"/>
                <w:b/>
                <w:color w:val="auto"/>
                <w:szCs w:val="22"/>
                <w:highlight w:val="none"/>
              </w:rPr>
            </w:pPr>
            <w:r>
              <w:rPr>
                <w:rFonts w:hint="eastAsia" w:ascii="宋体" w:hAnsi="宋体"/>
                <w:b/>
                <w:color w:val="auto"/>
                <w:szCs w:val="22"/>
                <w:highlight w:val="none"/>
              </w:rPr>
              <w:t>3.3</w:t>
            </w:r>
          </w:p>
        </w:tc>
        <w:tc>
          <w:tcPr>
            <w:tcW w:w="7796" w:type="dxa"/>
            <w:tcBorders>
              <w:top w:val="single" w:color="auto" w:sz="6" w:space="0"/>
              <w:bottom w:val="single" w:color="auto" w:sz="6" w:space="0"/>
            </w:tcBorders>
            <w:shd w:val="clear" w:color="auto" w:fill="FFFFFF" w:themeFill="background1"/>
            <w:vAlign w:val="center"/>
          </w:tcPr>
          <w:p w14:paraId="20ACFE53">
            <w:pPr>
              <w:spacing w:line="420" w:lineRule="exact"/>
              <w:jc w:val="left"/>
              <w:rPr>
                <w:rFonts w:ascii="宋体" w:hAnsi="宋体" w:cs="Arial"/>
                <w:b/>
                <w:color w:val="auto"/>
                <w:szCs w:val="22"/>
                <w:highlight w:val="none"/>
              </w:rPr>
            </w:pPr>
            <w:r>
              <w:rPr>
                <w:rFonts w:ascii="宋体" w:hAnsi="宋体" w:cs="Arial"/>
                <w:b/>
                <w:color w:val="auto"/>
                <w:szCs w:val="22"/>
                <w:highlight w:val="none"/>
              </w:rPr>
              <w:t>▲</w:t>
            </w:r>
            <w:r>
              <w:rPr>
                <w:rFonts w:hint="eastAsia" w:ascii="宋体" w:hAnsi="宋体" w:cs="Arial"/>
                <w:b/>
                <w:color w:val="auto"/>
                <w:szCs w:val="22"/>
                <w:highlight w:val="none"/>
              </w:rPr>
              <w:t>开标</w:t>
            </w:r>
            <w:r>
              <w:rPr>
                <w:rFonts w:ascii="宋体" w:hAnsi="宋体" w:cs="Arial"/>
                <w:b/>
                <w:color w:val="auto"/>
                <w:szCs w:val="22"/>
                <w:highlight w:val="none"/>
              </w:rPr>
              <w:t>一览表</w:t>
            </w:r>
          </w:p>
        </w:tc>
        <w:tc>
          <w:tcPr>
            <w:tcW w:w="709" w:type="dxa"/>
            <w:tcBorders>
              <w:top w:val="single" w:color="auto" w:sz="6" w:space="0"/>
              <w:bottom w:val="single" w:color="auto" w:sz="6" w:space="0"/>
            </w:tcBorders>
            <w:shd w:val="clear" w:color="auto" w:fill="FFFFFF" w:themeFill="background1"/>
            <w:vAlign w:val="center"/>
          </w:tcPr>
          <w:p w14:paraId="1C527299">
            <w:pPr>
              <w:spacing w:line="420" w:lineRule="exact"/>
              <w:jc w:val="center"/>
              <w:rPr>
                <w:rFonts w:ascii="宋体" w:hAnsi="宋体" w:cs="Arial"/>
                <w:color w:val="auto"/>
                <w:szCs w:val="22"/>
                <w:highlight w:val="none"/>
              </w:rPr>
            </w:pPr>
            <w:r>
              <w:rPr>
                <w:rFonts w:hint="eastAsia" w:ascii="宋体" w:hAnsi="宋体" w:cs="Arial"/>
                <w:color w:val="auto"/>
                <w:szCs w:val="22"/>
                <w:highlight w:val="none"/>
              </w:rPr>
              <w:t>有</w:t>
            </w:r>
          </w:p>
        </w:tc>
      </w:tr>
      <w:tr w14:paraId="2B07DF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shd w:val="clear" w:color="auto" w:fill="FFFFFF" w:themeFill="background1"/>
            <w:vAlign w:val="center"/>
          </w:tcPr>
          <w:p w14:paraId="553198BD">
            <w:pPr>
              <w:spacing w:line="420" w:lineRule="exact"/>
              <w:jc w:val="center"/>
              <w:rPr>
                <w:rFonts w:ascii="宋体" w:hAnsi="宋体"/>
                <w:b/>
                <w:color w:val="auto"/>
                <w:szCs w:val="22"/>
                <w:highlight w:val="none"/>
              </w:rPr>
            </w:pPr>
            <w:r>
              <w:rPr>
                <w:rFonts w:hint="eastAsia" w:ascii="宋体" w:hAnsi="宋体"/>
                <w:b/>
                <w:color w:val="auto"/>
                <w:szCs w:val="22"/>
                <w:highlight w:val="none"/>
              </w:rPr>
              <w:t>3.4</w:t>
            </w:r>
          </w:p>
        </w:tc>
        <w:tc>
          <w:tcPr>
            <w:tcW w:w="7796" w:type="dxa"/>
            <w:tcBorders>
              <w:top w:val="single" w:color="auto" w:sz="6" w:space="0"/>
              <w:bottom w:val="single" w:color="auto" w:sz="6" w:space="0"/>
            </w:tcBorders>
            <w:shd w:val="clear" w:color="auto" w:fill="FFFFFF" w:themeFill="background1"/>
            <w:vAlign w:val="center"/>
          </w:tcPr>
          <w:p w14:paraId="4856A5B5">
            <w:pPr>
              <w:spacing w:line="420" w:lineRule="exact"/>
              <w:jc w:val="left"/>
              <w:rPr>
                <w:rFonts w:ascii="宋体" w:hAnsi="宋体" w:cs="Arial"/>
                <w:b/>
                <w:color w:val="auto"/>
                <w:szCs w:val="22"/>
                <w:highlight w:val="none"/>
              </w:rPr>
            </w:pPr>
            <w:r>
              <w:rPr>
                <w:rFonts w:hint="eastAsia" w:ascii="宋体" w:hAnsi="宋体" w:cs="Arial"/>
                <w:b/>
                <w:color w:val="auto"/>
                <w:szCs w:val="22"/>
                <w:highlight w:val="none"/>
              </w:rPr>
              <w:t>投标报价组成表</w:t>
            </w:r>
          </w:p>
        </w:tc>
        <w:tc>
          <w:tcPr>
            <w:tcW w:w="709" w:type="dxa"/>
            <w:tcBorders>
              <w:top w:val="single" w:color="auto" w:sz="6" w:space="0"/>
              <w:bottom w:val="single" w:color="auto" w:sz="6" w:space="0"/>
            </w:tcBorders>
            <w:shd w:val="clear" w:color="auto" w:fill="FFFFFF" w:themeFill="background1"/>
          </w:tcPr>
          <w:p w14:paraId="482E9CEC">
            <w:pPr>
              <w:spacing w:line="420" w:lineRule="exact"/>
              <w:jc w:val="center"/>
              <w:rPr>
                <w:rFonts w:ascii="宋体" w:hAnsi="宋体" w:cs="Arial"/>
                <w:b/>
                <w:color w:val="auto"/>
                <w:szCs w:val="22"/>
                <w:highlight w:val="none"/>
              </w:rPr>
            </w:pPr>
            <w:r>
              <w:rPr>
                <w:rFonts w:hint="eastAsia" w:ascii="宋体" w:hAnsi="宋体" w:cs="Arial"/>
                <w:b/>
                <w:color w:val="auto"/>
                <w:szCs w:val="22"/>
                <w:highlight w:val="none"/>
              </w:rPr>
              <w:t>有</w:t>
            </w:r>
          </w:p>
        </w:tc>
      </w:tr>
      <w:tr w14:paraId="519FB4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3"/>
            <w:shd w:val="clear" w:color="auto" w:fill="FFFFFF" w:themeFill="background1"/>
            <w:vAlign w:val="center"/>
          </w:tcPr>
          <w:p w14:paraId="6DCD8A1F">
            <w:pPr>
              <w:spacing w:line="420" w:lineRule="exact"/>
              <w:jc w:val="center"/>
              <w:rPr>
                <w:rFonts w:ascii="宋体" w:hAnsi="宋体" w:cs="Arial"/>
                <w:color w:val="auto"/>
                <w:szCs w:val="22"/>
                <w:highlight w:val="none"/>
              </w:rPr>
            </w:pPr>
            <w:r>
              <w:rPr>
                <w:rFonts w:hint="eastAsia" w:ascii="宋体" w:hAnsi="宋体" w:cs="Arial"/>
                <w:b/>
                <w:color w:val="auto"/>
                <w:szCs w:val="22"/>
                <w:highlight w:val="none"/>
              </w:rPr>
              <w:t>备注说明</w:t>
            </w:r>
          </w:p>
        </w:tc>
      </w:tr>
      <w:tr w14:paraId="42D15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3"/>
            <w:shd w:val="clear" w:color="auto" w:fill="FFFFFF" w:themeFill="background1"/>
            <w:vAlign w:val="center"/>
          </w:tcPr>
          <w:p w14:paraId="4B4F985F">
            <w:pPr>
              <w:spacing w:line="420" w:lineRule="exact"/>
              <w:rPr>
                <w:rFonts w:ascii="宋体" w:hAnsi="宋体"/>
                <w:b/>
                <w:color w:val="auto"/>
                <w:szCs w:val="22"/>
                <w:highlight w:val="none"/>
              </w:rPr>
            </w:pPr>
            <w:r>
              <w:rPr>
                <w:rFonts w:hint="eastAsia" w:ascii="宋体" w:hAnsi="宋体"/>
                <w:b/>
                <w:color w:val="auto"/>
                <w:szCs w:val="22"/>
                <w:highlight w:val="none"/>
              </w:rPr>
              <w:t>（1）上述内容本文件《第五部分 投标文件格式》中有提供格式的，投标供应商须参照格式进行编制（格式中要求提供相关证明材料的还需后附相关证明材料），并按格式要求在指定位置根据要求进行签章，否则视为未提供；</w:t>
            </w:r>
          </w:p>
          <w:p w14:paraId="59093432">
            <w:pPr>
              <w:spacing w:line="420" w:lineRule="exact"/>
              <w:rPr>
                <w:rFonts w:ascii="宋体" w:hAnsi="宋体"/>
                <w:b/>
                <w:color w:val="auto"/>
                <w:szCs w:val="22"/>
                <w:highlight w:val="none"/>
              </w:rPr>
            </w:pPr>
            <w:r>
              <w:rPr>
                <w:rFonts w:hint="eastAsia" w:ascii="宋体" w:hAnsi="宋体"/>
                <w:b/>
                <w:color w:val="auto"/>
                <w:szCs w:val="22"/>
                <w:highlight w:val="none"/>
              </w:rPr>
              <w:t>（2）本文件《第五部分 投标文件格式》未提供格式的，请各投标单位自行拟定格式，并按招标文件要求进行电子签章（电子公章），否则视为未提供。</w:t>
            </w:r>
          </w:p>
          <w:p w14:paraId="7A3FB7C7">
            <w:pPr>
              <w:spacing w:line="420" w:lineRule="exact"/>
              <w:rPr>
                <w:rFonts w:ascii="宋体" w:hAnsi="宋体"/>
                <w:b/>
                <w:color w:val="auto"/>
                <w:szCs w:val="22"/>
                <w:highlight w:val="none"/>
              </w:rPr>
            </w:pPr>
            <w:r>
              <w:rPr>
                <w:rFonts w:hint="eastAsia" w:ascii="宋体" w:hAnsi="宋体"/>
                <w:b/>
                <w:color w:val="auto"/>
                <w:szCs w:val="22"/>
                <w:highlight w:val="none"/>
              </w:rPr>
              <w:t xml:space="preserve">（3）提供扫描件的相关证明材料必须加盖投标供应商电子公章，否则视为未提供。 </w:t>
            </w:r>
          </w:p>
          <w:p w14:paraId="5338FFC3">
            <w:pPr>
              <w:spacing w:line="420" w:lineRule="exact"/>
              <w:rPr>
                <w:rFonts w:ascii="宋体" w:hAnsi="宋体"/>
                <w:b/>
                <w:color w:val="auto"/>
                <w:szCs w:val="22"/>
                <w:highlight w:val="none"/>
              </w:rPr>
            </w:pPr>
            <w:r>
              <w:rPr>
                <w:rFonts w:hint="eastAsia" w:ascii="宋体" w:hAnsi="宋体" w:cs="Arial"/>
                <w:b/>
                <w:color w:val="auto"/>
                <w:szCs w:val="22"/>
                <w:highlight w:val="none"/>
              </w:rPr>
              <w:t>（4）以上内容中标注“</w:t>
            </w:r>
            <w:r>
              <w:rPr>
                <w:rFonts w:ascii="Arial" w:hAnsi="Arial" w:cs="Arial"/>
                <w:color w:val="auto"/>
                <w:highlight w:val="none"/>
              </w:rPr>
              <w:t>▲</w:t>
            </w:r>
            <w:r>
              <w:rPr>
                <w:rFonts w:hint="eastAsia" w:ascii="宋体" w:hAnsi="宋体" w:cs="Arial"/>
                <w:b/>
                <w:color w:val="auto"/>
                <w:szCs w:val="22"/>
                <w:highlight w:val="none"/>
              </w:rPr>
              <w:t>”的内容为必须提供的内容，未提供的投标无效。</w:t>
            </w:r>
          </w:p>
        </w:tc>
      </w:tr>
    </w:tbl>
    <w:p w14:paraId="53BF5D38">
      <w:pPr>
        <w:autoSpaceDE w:val="0"/>
        <w:autoSpaceDN w:val="0"/>
        <w:adjustRightInd w:val="0"/>
        <w:snapToGrid w:val="0"/>
        <w:spacing w:line="420" w:lineRule="exact"/>
        <w:ind w:firstLine="442" w:firstLineChars="200"/>
        <w:textAlignment w:val="bottom"/>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3、投标内容填写说明</w:t>
      </w:r>
    </w:p>
    <w:p w14:paraId="6F68218E">
      <w:pPr>
        <w:autoSpaceDE w:val="0"/>
        <w:autoSpaceDN w:val="0"/>
        <w:adjustRightInd w:val="0"/>
        <w:snapToGrid w:val="0"/>
        <w:spacing w:line="420" w:lineRule="exact"/>
        <w:ind w:firstLine="440" w:firstLineChars="200"/>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3.1、投标文件编制</w:t>
      </w:r>
    </w:p>
    <w:p w14:paraId="08DC3A3A">
      <w:pPr>
        <w:spacing w:line="420" w:lineRule="exact"/>
        <w:ind w:firstLine="440" w:firstLineChars="200"/>
        <w:rPr>
          <w:rFonts w:hint="eastAsia" w:ascii="宋体" w:hAnsi="宋体" w:eastAsia="宋体" w:cs="宋体"/>
          <w:b/>
          <w:color w:val="auto"/>
          <w:szCs w:val="22"/>
          <w:highlight w:val="none"/>
        </w:rPr>
      </w:pPr>
      <w:r>
        <w:rPr>
          <w:rFonts w:hint="eastAsia" w:ascii="宋体" w:hAnsi="宋体" w:eastAsia="宋体" w:cs="宋体"/>
          <w:color w:val="auto"/>
          <w:szCs w:val="22"/>
          <w:highlight w:val="none"/>
        </w:rPr>
        <w:t>1）</w:t>
      </w:r>
      <w:r>
        <w:rPr>
          <w:rFonts w:hint="eastAsia" w:ascii="宋体" w:hAnsi="宋体" w:eastAsia="宋体" w:cs="宋体"/>
          <w:b/>
          <w:color w:val="auto"/>
          <w:szCs w:val="22"/>
          <w:highlight w:val="none"/>
        </w:rPr>
        <w:t>本项目通过“政府采购云平台（www.zcygov.cn）”实行在线投标响应（电子投标）。供应商应通过“政采云电子交易客户端”，并按照本招标文件和“政府采购云平台”的要求编制并加密投标文件。未按规定加密的投标文件，电子交易平台将拒收。</w:t>
      </w:r>
    </w:p>
    <w:p w14:paraId="03B27D72">
      <w:pPr>
        <w:spacing w:line="420" w:lineRule="exact"/>
        <w:ind w:firstLine="387" w:firstLineChars="175"/>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2） 投标供应商应当按照本章节“投标文件组成”规定的内容及顺序在“政采云电子交易客户端”编制投标文件。其中《资格响应文件》、《商务技术文件》中不得出现本项目投标报价，如因投标人原因提前泄露投标报价，是投标人的责任。</w:t>
      </w:r>
    </w:p>
    <w:p w14:paraId="71831EA1">
      <w:pPr>
        <w:spacing w:line="420" w:lineRule="exact"/>
        <w:ind w:firstLine="387" w:firstLineChars="175"/>
        <w:rPr>
          <w:rFonts w:hint="eastAsia" w:ascii="宋体" w:hAnsi="宋体" w:eastAsia="宋体" w:cs="宋体"/>
          <w:color w:val="auto"/>
          <w:szCs w:val="22"/>
          <w:highlight w:val="none"/>
        </w:rPr>
      </w:pPr>
      <w:r>
        <w:rPr>
          <w:rFonts w:hint="eastAsia" w:ascii="宋体" w:hAnsi="宋体" w:eastAsia="宋体" w:cs="宋体"/>
          <w:b/>
          <w:color w:val="auto"/>
          <w:szCs w:val="22"/>
          <w:highlight w:val="none"/>
        </w:rPr>
        <w:t>3）本文件《第五部分 投标文件格式》中有提供格式的，投标供应商须参照格式进行编制（格式中要求提供相关证明材料的还需后附相关证明材料），并按格式要求在指定位置根据要求进行签章，否则视为未提供；本文件《第五部分 投标文件格式》未提供格式的，请各投标单位自行拟定格式，并按招标文件要求进行电子签章（电子公章），否则视为未提供。</w:t>
      </w:r>
    </w:p>
    <w:p w14:paraId="4E3B0ABC">
      <w:pPr>
        <w:spacing w:line="420" w:lineRule="exact"/>
        <w:ind w:firstLine="385" w:firstLineChars="175"/>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4） 投标文件内容不完整、编排混乱、未设置评审关联点或设置错误评审关联点导致投标文件被误读、漏读或者查找不到相关内容的，是投标供应商的责任。</w:t>
      </w:r>
    </w:p>
    <w:p w14:paraId="4A17BF10">
      <w:pPr>
        <w:spacing w:line="420" w:lineRule="exact"/>
        <w:ind w:firstLine="385" w:firstLineChars="175"/>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5） 投标文件因字迹潦草或表达不清所引起的后果由投标供应商负责。</w:t>
      </w:r>
    </w:p>
    <w:p w14:paraId="0C09B0D1">
      <w:pPr>
        <w:spacing w:line="420" w:lineRule="exact"/>
        <w:ind w:firstLine="385" w:firstLineChars="175"/>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6AD0F9E5">
      <w:pPr>
        <w:autoSpaceDE w:val="0"/>
        <w:autoSpaceDN w:val="0"/>
        <w:adjustRightInd w:val="0"/>
        <w:snapToGrid w:val="0"/>
        <w:spacing w:line="420" w:lineRule="exact"/>
        <w:ind w:firstLine="442" w:firstLineChars="200"/>
        <w:textAlignment w:val="bottom"/>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7） 投标文件所提供的相关材料的尺寸和清晰度应该能够在电脑上被阅读、识别和判断。投标文件内容无法阅读、识别和判断的，视为未提供。</w:t>
      </w:r>
    </w:p>
    <w:p w14:paraId="6E0FBA54">
      <w:pPr>
        <w:autoSpaceDE w:val="0"/>
        <w:autoSpaceDN w:val="0"/>
        <w:adjustRightInd w:val="0"/>
        <w:snapToGrid w:val="0"/>
        <w:spacing w:line="420" w:lineRule="exact"/>
        <w:ind w:left="418" w:leftChars="190"/>
        <w:textAlignment w:val="bottom"/>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8）投标文件的容量大小须符合电子交易平台规定。</w:t>
      </w:r>
    </w:p>
    <w:p w14:paraId="6C6C1755">
      <w:pPr>
        <w:autoSpaceDE w:val="0"/>
        <w:autoSpaceDN w:val="0"/>
        <w:adjustRightInd w:val="0"/>
        <w:snapToGrid w:val="0"/>
        <w:spacing w:line="420" w:lineRule="exact"/>
        <w:ind w:firstLine="442" w:firstLineChars="200"/>
        <w:textAlignment w:val="bottom"/>
        <w:rPr>
          <w:rFonts w:hint="eastAsia" w:ascii="宋体" w:hAnsi="宋体" w:eastAsia="宋体" w:cs="宋体"/>
          <w:color w:val="auto"/>
          <w:szCs w:val="22"/>
          <w:highlight w:val="none"/>
        </w:rPr>
      </w:pPr>
      <w:r>
        <w:rPr>
          <w:rFonts w:hint="eastAsia" w:ascii="宋体" w:hAnsi="宋体" w:eastAsia="宋体" w:cs="宋体"/>
          <w:b/>
          <w:bCs/>
          <w:color w:val="auto"/>
          <w:szCs w:val="22"/>
          <w:highlight w:val="none"/>
        </w:rPr>
        <w:t>9）投标人在使用电子交易平台进行投标的过程中遇到涉及平台使用的任何问题，可致电平台技术支持热线咨询，联系方式：</w:t>
      </w:r>
      <w:r>
        <w:rPr>
          <w:rFonts w:hint="eastAsia" w:ascii="宋体" w:hAnsi="宋体" w:cs="宋体"/>
          <w:b/>
          <w:bCs/>
          <w:color w:val="auto"/>
          <w:szCs w:val="22"/>
          <w:highlight w:val="none"/>
          <w:lang w:eastAsia="zh-CN"/>
        </w:rPr>
        <w:t>95763</w:t>
      </w:r>
      <w:r>
        <w:rPr>
          <w:rFonts w:hint="eastAsia" w:ascii="宋体" w:hAnsi="宋体" w:eastAsia="宋体" w:cs="宋体"/>
          <w:b/>
          <w:bCs/>
          <w:color w:val="auto"/>
          <w:szCs w:val="22"/>
          <w:highlight w:val="none"/>
        </w:rPr>
        <w:t>。</w:t>
      </w:r>
    </w:p>
    <w:p w14:paraId="09C80A99">
      <w:pPr>
        <w:autoSpaceDE w:val="0"/>
        <w:autoSpaceDN w:val="0"/>
        <w:adjustRightInd w:val="0"/>
        <w:snapToGrid w:val="0"/>
        <w:spacing w:line="420" w:lineRule="exact"/>
        <w:ind w:firstLine="440" w:firstLineChars="200"/>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3.2投标文件的签章</w:t>
      </w:r>
    </w:p>
    <w:p w14:paraId="5A4B46A7">
      <w:pPr>
        <w:spacing w:line="420" w:lineRule="exact"/>
        <w:ind w:firstLine="424" w:firstLineChars="192"/>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▲1）招标文件中要求公章签章，统一为电子签章（电子公章）。</w:t>
      </w:r>
    </w:p>
    <w:p w14:paraId="14E261EB">
      <w:pPr>
        <w:spacing w:line="420" w:lineRule="exact"/>
        <w:ind w:firstLine="424" w:firstLineChars="192"/>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2）商务技术文件、报价文件文件封面应盖投标供应商电子签章（电子公章）。</w:t>
      </w:r>
    </w:p>
    <w:p w14:paraId="4BD32167">
      <w:pPr>
        <w:pStyle w:val="51"/>
        <w:spacing w:line="420" w:lineRule="exact"/>
        <w:rPr>
          <w:rFonts w:hint="eastAsia" w:ascii="宋体" w:hAnsi="宋体" w:eastAsia="宋体" w:cs="宋体"/>
          <w:color w:val="auto"/>
          <w:szCs w:val="22"/>
          <w:highlight w:val="none"/>
        </w:rPr>
      </w:pPr>
      <w:r>
        <w:rPr>
          <w:rFonts w:hint="eastAsia" w:ascii="宋体" w:hAnsi="宋体" w:eastAsia="宋体" w:cs="宋体"/>
          <w:b/>
          <w:color w:val="auto"/>
          <w:kern w:val="0"/>
          <w:szCs w:val="22"/>
          <w:highlight w:val="none"/>
        </w:rPr>
        <w:t xml:space="preserve">    3）供应商应使用“政采云电子交易客户端”进行的电子签章并进行加密的投标文件，加密的投标文件中的电子公章款式是否跟实际公章一致，都是有效签章。</w:t>
      </w:r>
    </w:p>
    <w:p w14:paraId="7DB54C9F">
      <w:pPr>
        <w:pStyle w:val="17"/>
        <w:spacing w:line="420" w:lineRule="exact"/>
        <w:ind w:left="0" w:leftChars="0" w:firstLine="442" w:firstLineChars="200"/>
        <w:rPr>
          <w:rFonts w:hint="eastAsia" w:ascii="宋体" w:hAnsi="宋体" w:eastAsia="宋体" w:cs="宋体"/>
          <w:color w:val="auto"/>
          <w:highlight w:val="none"/>
        </w:rPr>
      </w:pPr>
      <w:r>
        <w:rPr>
          <w:rFonts w:hint="eastAsia" w:ascii="宋体" w:hAnsi="宋体" w:eastAsia="宋体" w:cs="宋体"/>
          <w:b/>
          <w:color w:val="auto"/>
          <w:kern w:val="0"/>
          <w:highlight w:val="none"/>
        </w:rPr>
        <w:t>4）投标文件应使用电子交易平台 CA 数字证书进行电子签章。电子交易平台 CA 数字证书仅限于本单位在电子交易活动中使用，不得转让和出借。申领流程：浙江政府采购网-下载专区-电子交易客户端-CA 驱动和申领流程。电子签章操作指南详见政府采购云平台---服务中心--帮助文档--项目采购--电子招投标--《政府采购项目电子交易管理操作指南-供应商》。</w:t>
      </w:r>
    </w:p>
    <w:p w14:paraId="2F4978A8">
      <w:pPr>
        <w:autoSpaceDE w:val="0"/>
        <w:autoSpaceDN w:val="0"/>
        <w:adjustRightInd w:val="0"/>
        <w:snapToGrid w:val="0"/>
        <w:spacing w:line="420" w:lineRule="exact"/>
        <w:ind w:firstLine="440" w:firstLineChars="200"/>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3.3投标文件的形式</w:t>
      </w:r>
    </w:p>
    <w:p w14:paraId="30A6997A">
      <w:pPr>
        <w:spacing w:line="420" w:lineRule="exact"/>
        <w:ind w:firstLine="389" w:firstLineChars="176"/>
        <w:rPr>
          <w:rFonts w:hint="eastAsia" w:ascii="宋体" w:hAnsi="宋体" w:eastAsia="宋体" w:cs="宋体"/>
          <w:color w:val="auto"/>
          <w:szCs w:val="22"/>
          <w:highlight w:val="none"/>
        </w:rPr>
      </w:pPr>
      <w:r>
        <w:rPr>
          <w:rFonts w:hint="eastAsia" w:ascii="宋体" w:hAnsi="宋体" w:eastAsia="宋体" w:cs="宋体"/>
          <w:b/>
          <w:color w:val="auto"/>
          <w:szCs w:val="22"/>
          <w:highlight w:val="none"/>
        </w:rPr>
        <w:t>1）投标文件的形式：见《投标通知(邀请)书》；</w:t>
      </w:r>
    </w:p>
    <w:p w14:paraId="025AAC00">
      <w:pPr>
        <w:spacing w:line="420" w:lineRule="exact"/>
        <w:ind w:firstLine="389" w:firstLineChars="176"/>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2）“电子加密投标文件”：“电子加密投标文件”是指通过“政采云电子交易客户端”完成投标文件编制后生成并加密的数据电文形式的投标文件。</w:t>
      </w:r>
    </w:p>
    <w:p w14:paraId="6B8524D5">
      <w:pPr>
        <w:spacing w:line="420" w:lineRule="exact"/>
        <w:ind w:firstLine="389" w:firstLineChars="176"/>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3）“备份投标文件”：“备份投标文件”是指与“电子加密投标文件”同时生成的数据电文形式的电子文件（备份标书），其他方式编制的“备份投标文件”视为无效的“备份投标文件”。通过电子交易平台成功上传递交的投标文件已按时解密的，备份投标文件自动失效。备份投标文件不是投标备选方案。</w:t>
      </w:r>
    </w:p>
    <w:p w14:paraId="6DE2FF5B">
      <w:pPr>
        <w:autoSpaceDE w:val="0"/>
        <w:autoSpaceDN w:val="0"/>
        <w:adjustRightInd w:val="0"/>
        <w:snapToGrid w:val="0"/>
        <w:spacing w:line="420" w:lineRule="exact"/>
        <w:ind w:firstLine="442" w:firstLineChars="200"/>
        <w:textAlignment w:val="bottom"/>
        <w:rPr>
          <w:rFonts w:hint="eastAsia" w:ascii="宋体" w:hAnsi="宋体" w:eastAsia="宋体" w:cs="宋体"/>
          <w:b/>
          <w:bCs/>
          <w:color w:val="auto"/>
          <w:szCs w:val="22"/>
          <w:highlight w:val="none"/>
        </w:rPr>
      </w:pPr>
      <w:r>
        <w:rPr>
          <w:rFonts w:hint="eastAsia" w:ascii="宋体" w:hAnsi="宋体" w:eastAsia="宋体" w:cs="宋体"/>
          <w:b/>
          <w:color w:val="auto"/>
          <w:szCs w:val="22"/>
          <w:highlight w:val="none"/>
        </w:rPr>
        <w:t>4）本项目实行电子交易。电子交易平台为浙江政府采购网政府采购云平台。投标人应通过电子交易平台实行在线投标响应。</w:t>
      </w:r>
    </w:p>
    <w:p w14:paraId="386B4044">
      <w:pPr>
        <w:autoSpaceDE w:val="0"/>
        <w:autoSpaceDN w:val="0"/>
        <w:adjustRightInd w:val="0"/>
        <w:snapToGrid w:val="0"/>
        <w:spacing w:line="420" w:lineRule="exact"/>
        <w:ind w:firstLine="422"/>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4、投标报价</w:t>
      </w:r>
    </w:p>
    <w:p w14:paraId="058D5470">
      <w:pPr>
        <w:autoSpaceDE w:val="0"/>
        <w:autoSpaceDN w:val="0"/>
        <w:adjustRightInd w:val="0"/>
        <w:snapToGrid w:val="0"/>
        <w:spacing w:line="420" w:lineRule="exact"/>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 xml:space="preserve">    4.1、供应商应按招标文件中提供的相关报价格式填写。</w:t>
      </w:r>
    </w:p>
    <w:p w14:paraId="19ECF719">
      <w:pPr>
        <w:autoSpaceDE w:val="0"/>
        <w:autoSpaceDN w:val="0"/>
        <w:adjustRightInd w:val="0"/>
        <w:snapToGrid w:val="0"/>
        <w:spacing w:line="420" w:lineRule="exact"/>
        <w:ind w:firstLine="442" w:firstLineChars="200"/>
        <w:textAlignment w:val="bottom"/>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4.2、本次招标只允许有一个报价，有选择的报价将不予接受。</w:t>
      </w:r>
    </w:p>
    <w:p w14:paraId="32D04C94">
      <w:pPr>
        <w:autoSpaceDE w:val="0"/>
        <w:autoSpaceDN w:val="0"/>
        <w:adjustRightInd w:val="0"/>
        <w:snapToGrid w:val="0"/>
        <w:spacing w:line="420" w:lineRule="exact"/>
        <w:ind w:firstLine="440" w:firstLineChars="200"/>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14:paraId="7C16A314">
      <w:pPr>
        <w:autoSpaceDE w:val="0"/>
        <w:autoSpaceDN w:val="0"/>
        <w:adjustRightInd w:val="0"/>
        <w:snapToGrid w:val="0"/>
        <w:spacing w:line="420" w:lineRule="exact"/>
        <w:ind w:firstLine="539" w:firstLineChars="245"/>
        <w:textAlignment w:val="bottom"/>
        <w:rPr>
          <w:rFonts w:hint="eastAsia" w:ascii="宋体" w:hAnsi="宋体" w:eastAsia="宋体" w:cs="宋体"/>
          <w:b/>
          <w:color w:val="auto"/>
          <w:szCs w:val="22"/>
          <w:highlight w:val="none"/>
          <w:u w:val="single"/>
        </w:rPr>
      </w:pPr>
      <w:r>
        <w:rPr>
          <w:rFonts w:hint="eastAsia" w:ascii="宋体" w:hAnsi="宋体" w:eastAsia="宋体" w:cs="宋体"/>
          <w:color w:val="auto"/>
          <w:szCs w:val="22"/>
          <w:highlight w:val="none"/>
          <w:u w:val="single"/>
        </w:rPr>
        <w:t>▲</w:t>
      </w:r>
      <w:r>
        <w:rPr>
          <w:rFonts w:hint="eastAsia" w:ascii="宋体" w:hAnsi="宋体" w:eastAsia="宋体" w:cs="宋体"/>
          <w:b/>
          <w:color w:val="auto"/>
          <w:szCs w:val="22"/>
          <w:highlight w:val="none"/>
          <w:u w:val="single"/>
        </w:rPr>
        <w:t>供应商在投标报价中应充分考虑所有可能发生的费用，否则采购人将视投标总价中已包括所有费用。</w:t>
      </w:r>
    </w:p>
    <w:p w14:paraId="0B7B23E4">
      <w:pPr>
        <w:autoSpaceDE w:val="0"/>
        <w:autoSpaceDN w:val="0"/>
        <w:adjustRightInd w:val="0"/>
        <w:snapToGrid w:val="0"/>
        <w:spacing w:line="420" w:lineRule="exact"/>
        <w:ind w:firstLine="539" w:firstLineChars="245"/>
        <w:textAlignment w:val="bottom"/>
        <w:rPr>
          <w:rFonts w:hint="eastAsia" w:ascii="宋体" w:hAnsi="宋体" w:eastAsia="宋体" w:cs="宋体"/>
          <w:color w:val="auto"/>
          <w:szCs w:val="22"/>
          <w:highlight w:val="none"/>
          <w:u w:val="single"/>
        </w:rPr>
      </w:pPr>
      <w:r>
        <w:rPr>
          <w:rFonts w:hint="eastAsia" w:ascii="宋体" w:hAnsi="宋体" w:eastAsia="宋体" w:cs="宋体"/>
          <w:color w:val="auto"/>
          <w:szCs w:val="22"/>
          <w:highlight w:val="none"/>
          <w:u w:val="single"/>
        </w:rPr>
        <w:t>供应商对在合同执行中，除上述费用及招标文件规定的由中标供应商负责的工作范围以外需要采购人协调或提供便利的工作应当在投标文件中说明。</w:t>
      </w:r>
    </w:p>
    <w:p w14:paraId="0E1C8B6B">
      <w:pPr>
        <w:autoSpaceDE w:val="0"/>
        <w:autoSpaceDN w:val="0"/>
        <w:adjustRightInd w:val="0"/>
        <w:snapToGrid w:val="0"/>
        <w:spacing w:line="420" w:lineRule="exact"/>
        <w:ind w:firstLine="539" w:firstLineChars="245"/>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填写报价表格时，各项费用应如实填写。采购人要求分类报价是为了方便评标，但在任何情况下不限制采购人以其认为最合适的条款签订合同的权利。</w:t>
      </w:r>
    </w:p>
    <w:p w14:paraId="781D3413">
      <w:pPr>
        <w:autoSpaceDE w:val="0"/>
        <w:autoSpaceDN w:val="0"/>
        <w:adjustRightInd w:val="0"/>
        <w:snapToGrid w:val="0"/>
        <w:spacing w:line="420" w:lineRule="exact"/>
        <w:ind w:firstLine="440" w:firstLineChars="200"/>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zh-CN"/>
        </w:rPr>
        <w:t>5、</w:t>
      </w:r>
      <w:r>
        <w:rPr>
          <w:rFonts w:hint="eastAsia" w:ascii="宋体" w:hAnsi="宋体" w:eastAsia="宋体" w:cs="宋体"/>
          <w:color w:val="auto"/>
          <w:szCs w:val="22"/>
          <w:highlight w:val="none"/>
        </w:rPr>
        <w:t>采购人要求分项报价是为了控制价格平衡，中标后签订合同时，将按各分项报价明确各项专题费用。</w:t>
      </w:r>
    </w:p>
    <w:p w14:paraId="1363C38D">
      <w:pPr>
        <w:autoSpaceDE w:val="0"/>
        <w:autoSpaceDN w:val="0"/>
        <w:adjustRightInd w:val="0"/>
        <w:snapToGrid w:val="0"/>
        <w:spacing w:line="420" w:lineRule="exact"/>
        <w:ind w:firstLine="440" w:firstLineChars="20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6、</w:t>
      </w:r>
      <w:r>
        <w:rPr>
          <w:rFonts w:hint="eastAsia" w:ascii="宋体" w:hAnsi="宋体" w:eastAsia="宋体" w:cs="宋体"/>
          <w:color w:val="auto"/>
          <w:szCs w:val="22"/>
          <w:highlight w:val="none"/>
        </w:rPr>
        <w:t>投标保证金</w:t>
      </w:r>
    </w:p>
    <w:p w14:paraId="7551BB6E">
      <w:pPr>
        <w:autoSpaceDE w:val="0"/>
        <w:autoSpaceDN w:val="0"/>
        <w:adjustRightInd w:val="0"/>
        <w:snapToGrid w:val="0"/>
        <w:spacing w:line="420" w:lineRule="exact"/>
        <w:ind w:firstLine="422"/>
        <w:textAlignment w:val="bottom"/>
        <w:rPr>
          <w:rFonts w:hint="eastAsia" w:ascii="宋体" w:hAnsi="宋体" w:eastAsia="宋体" w:cs="宋体"/>
          <w:color w:val="auto"/>
          <w:szCs w:val="22"/>
          <w:highlight w:val="none"/>
        </w:rPr>
      </w:pPr>
      <w:r>
        <w:rPr>
          <w:rFonts w:hint="eastAsia" w:ascii="宋体" w:hAnsi="宋体" w:eastAsia="宋体" w:cs="宋体"/>
          <w:color w:val="auto"/>
          <w:szCs w:val="22"/>
          <w:highlight w:val="none"/>
        </w:rPr>
        <w:t>按照《浙江省财政厅关于明确政府采购保证金管理工作的通知》浙财采监〔2019〕5号文件规定，投标人无需缴纳投标保证金。</w:t>
      </w:r>
    </w:p>
    <w:p w14:paraId="5B90688A">
      <w:pPr>
        <w:pStyle w:val="18"/>
        <w:adjustRightInd w:val="0"/>
        <w:snapToGrid w:val="0"/>
        <w:spacing w:line="420" w:lineRule="exact"/>
        <w:ind w:firstLine="440" w:firstLineChars="200"/>
        <w:rPr>
          <w:rFonts w:hint="eastAsia" w:ascii="宋体" w:hAnsi="宋体" w:eastAsia="宋体" w:cs="宋体"/>
          <w:color w:val="auto"/>
          <w:highlight w:val="none"/>
        </w:rPr>
      </w:pPr>
      <w:bookmarkStart w:id="20" w:name="_Toc132122414"/>
      <w:bookmarkStart w:id="21" w:name="_Toc132122117"/>
      <w:r>
        <w:rPr>
          <w:rFonts w:hint="eastAsia" w:ascii="宋体" w:hAnsi="宋体" w:eastAsia="宋体" w:cs="宋体"/>
          <w:color w:val="auto"/>
          <w:highlight w:val="none"/>
        </w:rPr>
        <w:t>7、投标文件的有效期</w:t>
      </w:r>
      <w:bookmarkEnd w:id="20"/>
      <w:bookmarkEnd w:id="21"/>
    </w:p>
    <w:p w14:paraId="4E076075">
      <w:pPr>
        <w:pStyle w:val="18"/>
        <w:adjustRightInd w:val="0"/>
        <w:snapToGrid w:val="0"/>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7.1自开标日起</w:t>
      </w:r>
      <w:r>
        <w:rPr>
          <w:rFonts w:hint="eastAsia" w:hAnsi="宋体" w:eastAsia="宋体" w:cs="宋体"/>
          <w:color w:val="auto"/>
          <w:highlight w:val="none"/>
          <w:lang w:val="en-US" w:eastAsia="zh-CN"/>
        </w:rPr>
        <w:t>90</w:t>
      </w:r>
      <w:r>
        <w:rPr>
          <w:rFonts w:hint="eastAsia" w:ascii="宋体" w:hAnsi="宋体" w:eastAsia="宋体" w:cs="宋体"/>
          <w:color w:val="auto"/>
          <w:highlight w:val="none"/>
        </w:rPr>
        <w:t>天内，投标文件应保持有效。有效期短于这个规定期限的投标将被拒绝。</w:t>
      </w:r>
    </w:p>
    <w:p w14:paraId="0C0C38AE">
      <w:pPr>
        <w:pStyle w:val="18"/>
        <w:adjustRightInd w:val="0"/>
        <w:snapToGrid w:val="0"/>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7.2在特殊情况下，采购人可与供应商协商延长投标文件的有效期，这种要求和答复均应以书面形式进行。</w:t>
      </w:r>
    </w:p>
    <w:p w14:paraId="21499949">
      <w:pPr>
        <w:pStyle w:val="5"/>
        <w:spacing w:line="420" w:lineRule="exact"/>
        <w:rPr>
          <w:rFonts w:hint="eastAsia" w:ascii="宋体" w:hAnsi="宋体" w:eastAsia="宋体" w:cs="宋体"/>
          <w:color w:val="auto"/>
          <w:szCs w:val="22"/>
          <w:highlight w:val="none"/>
        </w:rPr>
      </w:pPr>
      <w:r>
        <w:rPr>
          <w:rFonts w:hint="eastAsia" w:ascii="宋体" w:hAnsi="宋体" w:eastAsia="宋体" w:cs="宋体"/>
          <w:color w:val="auto"/>
          <w:highlight w:val="none"/>
        </w:rPr>
        <w:t>五、</w:t>
      </w:r>
      <w:r>
        <w:rPr>
          <w:rFonts w:hint="eastAsia" w:ascii="宋体" w:hAnsi="宋体" w:eastAsia="宋体" w:cs="宋体"/>
          <w:color w:val="auto"/>
          <w:szCs w:val="22"/>
          <w:highlight w:val="none"/>
        </w:rPr>
        <w:t>投标文件的上传与递交</w:t>
      </w:r>
    </w:p>
    <w:p w14:paraId="0CD2C4E7">
      <w:pPr>
        <w:spacing w:line="420" w:lineRule="exact"/>
        <w:ind w:firstLine="391" w:firstLineChars="177"/>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1、投标文件的上传与递交</w:t>
      </w:r>
    </w:p>
    <w:p w14:paraId="05DA9EA3">
      <w:pPr>
        <w:spacing w:line="420" w:lineRule="exact"/>
        <w:ind w:firstLine="391" w:firstLineChars="177"/>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（1）“电子加密投标文件”的上传、递交：</w:t>
      </w:r>
    </w:p>
    <w:p w14:paraId="13DF6EEB">
      <w:pPr>
        <w:spacing w:line="420" w:lineRule="exact"/>
        <w:ind w:firstLine="391" w:firstLineChars="177"/>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a.投标供应商应在投标截止时间前将“电子加密投标文件”成功上传递交至“政府采购云平台”，否则投标无效。</w:t>
      </w:r>
    </w:p>
    <w:p w14:paraId="06DBC6AD">
      <w:pPr>
        <w:spacing w:line="420" w:lineRule="exact"/>
        <w:ind w:firstLine="391" w:firstLineChars="177"/>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b.“电子加密投标文件”成功上传递交后，供应商可自行打印投标文件接收回执。</w:t>
      </w:r>
    </w:p>
    <w:p w14:paraId="0870B87F">
      <w:pPr>
        <w:spacing w:line="420" w:lineRule="exact"/>
        <w:ind w:firstLine="391" w:firstLineChars="177"/>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（2）“备份投标文件”的密封包装、递交：</w:t>
      </w:r>
    </w:p>
    <w:p w14:paraId="773AA3E9">
      <w:pPr>
        <w:spacing w:line="420" w:lineRule="exact"/>
        <w:ind w:firstLine="391" w:firstLineChars="177"/>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a.投标供应商在“政府采购云平台”完成“电子加密投标文件”的上传递交后，还可以（当面送达由代理单位签收或采用邮寄形式由代理单位签收）在投标截止时间前递交以介质（U盘）存储的 “备份投标文件”（一份）；</w:t>
      </w:r>
    </w:p>
    <w:p w14:paraId="42684551">
      <w:pPr>
        <w:spacing w:line="420" w:lineRule="exact"/>
        <w:ind w:firstLine="391" w:firstLineChars="177"/>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b.“备份投标文件”应当密封包装，并在包装上标注投标项目名称、投标单位名称并加盖公章。没有密封包装或者逾期送达至投标地点的“备份投标文件”将不予接收；</w:t>
      </w:r>
    </w:p>
    <w:p w14:paraId="56BF5169">
      <w:pPr>
        <w:spacing w:line="420" w:lineRule="exact"/>
        <w:ind w:firstLine="391" w:firstLineChars="177"/>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CEB1299">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2、投标截止时间</w:t>
      </w:r>
    </w:p>
    <w:p w14:paraId="6A84DABC">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2.1投标文件必须在投标文件递交截止时间前成功上传递交至“政府采购云平台”，否则投标无效。</w:t>
      </w:r>
    </w:p>
    <w:p w14:paraId="09288EC9">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2.2招标代理机构如因故推迟投标截止时间，应在投标截止日前以更正公告形式通知所有投标人。在这种情况下，投标人的权利和义务将受到新的截止时间的约束。</w:t>
      </w:r>
    </w:p>
    <w:p w14:paraId="6F650A6E">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3、投标文件的修改和撤回</w:t>
      </w:r>
    </w:p>
    <w:p w14:paraId="50A4DA70">
      <w:pPr>
        <w:spacing w:line="420" w:lineRule="exact"/>
        <w:ind w:firstLine="391" w:firstLineChars="177"/>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投标截止时间后，投标供应商不得撤回、修改投标文件。</w:t>
      </w:r>
    </w:p>
    <w:p w14:paraId="6D36DB8F">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4、投标文件的备选方案</w:t>
      </w:r>
    </w:p>
    <w:p w14:paraId="6896A573">
      <w:pPr>
        <w:spacing w:line="420" w:lineRule="exact"/>
        <w:ind w:firstLine="391" w:firstLineChars="177"/>
        <w:rPr>
          <w:rFonts w:hint="eastAsia" w:ascii="宋体" w:hAnsi="宋体" w:eastAsia="宋体" w:cs="宋体"/>
          <w:color w:val="auto"/>
          <w:szCs w:val="22"/>
          <w:highlight w:val="none"/>
        </w:rPr>
      </w:pPr>
      <w:r>
        <w:rPr>
          <w:rFonts w:hint="eastAsia" w:ascii="宋体" w:hAnsi="宋体" w:eastAsia="宋体" w:cs="宋体"/>
          <w:b/>
          <w:bCs/>
          <w:color w:val="auto"/>
          <w:szCs w:val="22"/>
          <w:highlight w:val="none"/>
        </w:rPr>
        <w:t>投标供应商不得递交任何的投标备选（替代）方案，否则其投标文件将作无效标处理。与“电子加密投标文件”同时生成的“备份投标文件”不是投标备选（替代）方案。</w:t>
      </w:r>
    </w:p>
    <w:p w14:paraId="3EB21742">
      <w:pPr>
        <w:pStyle w:val="5"/>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六、开标</w:t>
      </w:r>
    </w:p>
    <w:p w14:paraId="51331D03">
      <w:pPr>
        <w:pStyle w:val="18"/>
        <w:adjustRightInd w:val="0"/>
        <w:snapToGrid w:val="0"/>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1、开标形式</w:t>
      </w:r>
    </w:p>
    <w:p w14:paraId="30ECD45B">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1.1 采购组织机构将按照招标文件规定的时间通过“政府采购云平台”组织开标、开启投标文件，所有供应商均应当准时在线参加。</w:t>
      </w:r>
    </w:p>
    <w:p w14:paraId="089B7FDA">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2、开标准备</w:t>
      </w:r>
    </w:p>
    <w:p w14:paraId="50848B09">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2.1开标的准备工作由采购组织机构负责落实；</w:t>
      </w:r>
    </w:p>
    <w:p w14:paraId="07D6C4FF">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5500D41">
      <w:pPr>
        <w:pStyle w:val="18"/>
        <w:adjustRightInd w:val="0"/>
        <w:snapToGrid w:val="0"/>
        <w:spacing w:line="420" w:lineRule="exact"/>
        <w:ind w:firstLine="450"/>
        <w:rPr>
          <w:rFonts w:hint="eastAsia" w:ascii="宋体" w:hAnsi="宋体" w:eastAsia="宋体" w:cs="宋体"/>
          <w:color w:val="auto"/>
          <w:highlight w:val="none"/>
        </w:rPr>
      </w:pPr>
      <w:r>
        <w:rPr>
          <w:rFonts w:hint="eastAsia" w:ascii="宋体" w:hAnsi="宋体" w:eastAsia="宋体" w:cs="宋体"/>
          <w:color w:val="auto"/>
          <w:highlight w:val="none"/>
        </w:rPr>
        <w:t>3、开标流程</w:t>
      </w:r>
    </w:p>
    <w:p w14:paraId="7B194D4D">
      <w:pPr>
        <w:spacing w:line="420" w:lineRule="exact"/>
        <w:rPr>
          <w:rFonts w:hint="eastAsia" w:ascii="宋体" w:hAnsi="宋体" w:eastAsia="宋体" w:cs="宋体"/>
          <w:color w:val="auto"/>
          <w:szCs w:val="22"/>
          <w:highlight w:val="none"/>
        </w:rPr>
      </w:pPr>
      <w:r>
        <w:rPr>
          <w:rFonts w:hint="eastAsia" w:ascii="宋体" w:hAnsi="宋体" w:eastAsia="宋体" w:cs="宋体"/>
          <w:color w:val="auto"/>
          <w:kern w:val="0"/>
          <w:szCs w:val="22"/>
          <w:highlight w:val="none"/>
        </w:rPr>
        <w:t xml:space="preserve">     （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4B7893F">
      <w:pPr>
        <w:pStyle w:val="51"/>
        <w:spacing w:line="420" w:lineRule="exact"/>
        <w:rPr>
          <w:rFonts w:hint="eastAsia" w:ascii="宋体" w:hAnsi="宋体" w:eastAsia="宋体" w:cs="宋体"/>
          <w:b/>
          <w:color w:val="auto"/>
          <w:szCs w:val="22"/>
          <w:highlight w:val="none"/>
        </w:rPr>
      </w:pPr>
      <w:r>
        <w:rPr>
          <w:rFonts w:hint="eastAsia" w:ascii="宋体" w:hAnsi="宋体" w:eastAsia="宋体" w:cs="宋体"/>
          <w:color w:val="auto"/>
          <w:kern w:val="0"/>
          <w:szCs w:val="22"/>
          <w:highlight w:val="none"/>
        </w:rPr>
        <w:t xml:space="preserve">     </w:t>
      </w:r>
      <w:r>
        <w:rPr>
          <w:rFonts w:hint="eastAsia" w:ascii="宋体" w:hAnsi="宋体" w:eastAsia="宋体" w:cs="宋体"/>
          <w:b/>
          <w:color w:val="auto"/>
          <w:kern w:val="0"/>
          <w:szCs w:val="22"/>
          <w:highlight w:val="none"/>
        </w:rPr>
        <w:t>（2）投标响应文件解密结束，投标供应商通过邮件形式发送各自签署的《政府采购活动现场确认声明书》扫描件至</w:t>
      </w:r>
      <w:r>
        <w:rPr>
          <w:rFonts w:hint="eastAsia" w:ascii="宋体" w:hAnsi="宋体" w:eastAsia="宋体" w:cs="宋体"/>
          <w:b/>
          <w:color w:val="auto"/>
          <w:kern w:val="0"/>
          <w:szCs w:val="22"/>
          <w:highlight w:val="none"/>
          <w:lang w:eastAsia="zh-CN"/>
        </w:rPr>
        <w:t>1712108619</w:t>
      </w:r>
      <w:r>
        <w:rPr>
          <w:rFonts w:hint="eastAsia" w:ascii="宋体" w:hAnsi="宋体" w:eastAsia="宋体" w:cs="宋体"/>
          <w:b/>
          <w:color w:val="auto"/>
          <w:kern w:val="0"/>
          <w:szCs w:val="22"/>
          <w:highlight w:val="none"/>
        </w:rPr>
        <w:t>@qq.com</w:t>
      </w:r>
      <w:r>
        <w:rPr>
          <w:rFonts w:hint="eastAsia" w:ascii="宋体" w:hAnsi="宋体" w:eastAsia="宋体" w:cs="宋体"/>
          <w:b/>
          <w:bCs/>
          <w:color w:val="auto"/>
          <w:kern w:val="0"/>
          <w:szCs w:val="22"/>
          <w:highlight w:val="none"/>
        </w:rPr>
        <w:t>（《政府采购活动现场确认声明书》格式见“第五部分 投标文件格式”）；</w:t>
      </w:r>
    </w:p>
    <w:p w14:paraId="6018FC8B">
      <w:pPr>
        <w:spacing w:line="420" w:lineRule="exac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 xml:space="preserve">     （3）解密成功后，开启《投标文件》，进入资格审查；</w:t>
      </w:r>
      <w:r>
        <w:rPr>
          <w:rFonts w:hint="eastAsia" w:ascii="宋体" w:hAnsi="宋体" w:eastAsia="宋体" w:cs="宋体"/>
          <w:bCs/>
          <w:color w:val="auto"/>
          <w:szCs w:val="22"/>
          <w:highlight w:val="none"/>
        </w:rPr>
        <w:t>合格投标人不足3家的，不得评标。</w:t>
      </w:r>
    </w:p>
    <w:p w14:paraId="399D455A">
      <w:pPr>
        <w:spacing w:line="420" w:lineRule="exact"/>
        <w:ind w:firstLine="541" w:firstLineChars="245"/>
        <w:rPr>
          <w:rFonts w:hint="eastAsia" w:ascii="宋体" w:hAnsi="宋体" w:eastAsia="宋体" w:cs="宋体"/>
          <w:color w:val="auto"/>
          <w:kern w:val="0"/>
          <w:szCs w:val="22"/>
          <w:highlight w:val="none"/>
        </w:rPr>
      </w:pPr>
      <w:r>
        <w:rPr>
          <w:rFonts w:hint="eastAsia" w:ascii="宋体" w:hAnsi="宋体" w:eastAsia="宋体" w:cs="宋体"/>
          <w:b/>
          <w:color w:val="auto"/>
          <w:kern w:val="0"/>
          <w:szCs w:val="22"/>
          <w:highlight w:val="none"/>
        </w:rPr>
        <w:t>备注：开标结束后，采购人或采购代理机构将对依法对投标供应商的资格进行审查，资格审查结束后进入符合性审查和资信技术的评审工作，具体见本章节“投标供应商资格审查”相关规定。</w:t>
      </w:r>
    </w:p>
    <w:p w14:paraId="617A53E7">
      <w:pPr>
        <w:numPr>
          <w:ilvl w:val="0"/>
          <w:numId w:val="2"/>
        </w:numPr>
        <w:spacing w:line="420" w:lineRule="exact"/>
        <w:ind w:firstLine="539" w:firstLineChars="245"/>
        <w:rPr>
          <w:rFonts w:hint="eastAsia" w:ascii="宋体" w:hAnsi="宋体" w:eastAsia="宋体" w:cs="宋体"/>
          <w:color w:val="auto"/>
          <w:highlight w:val="none"/>
        </w:rPr>
      </w:pPr>
      <w:r>
        <w:rPr>
          <w:rFonts w:hint="eastAsia" w:ascii="宋体" w:hAnsi="宋体" w:eastAsia="宋体" w:cs="宋体"/>
          <w:color w:val="auto"/>
          <w:kern w:val="0"/>
          <w:szCs w:val="22"/>
          <w:highlight w:val="none"/>
        </w:rPr>
        <w:t>开启资格审查通过的投标供应商的商务技术文件进入符合性审查，</w:t>
      </w:r>
      <w:r>
        <w:rPr>
          <w:rFonts w:hint="eastAsia" w:ascii="宋体" w:hAnsi="宋体" w:eastAsia="宋体" w:cs="宋体"/>
          <w:bCs/>
          <w:color w:val="auto"/>
          <w:szCs w:val="22"/>
          <w:highlight w:val="none"/>
        </w:rPr>
        <w:t>以确定其是否满足招标文件的实质性要求，合格投标人不足3家的，不得评标。</w:t>
      </w:r>
    </w:p>
    <w:p w14:paraId="2CF1A654">
      <w:pPr>
        <w:spacing w:line="420" w:lineRule="exact"/>
        <w:rPr>
          <w:rFonts w:hint="eastAsia" w:ascii="宋体" w:hAnsi="宋体" w:eastAsia="宋体" w:cs="宋体"/>
          <w:b/>
          <w:color w:val="auto"/>
          <w:highlight w:val="none"/>
        </w:rPr>
      </w:pPr>
      <w:r>
        <w:rPr>
          <w:rFonts w:hint="eastAsia" w:ascii="宋体" w:hAnsi="宋体" w:eastAsia="宋体" w:cs="宋体"/>
          <w:bCs/>
          <w:color w:val="auto"/>
          <w:szCs w:val="22"/>
          <w:highlight w:val="none"/>
        </w:rPr>
        <w:t xml:space="preserve">     </w:t>
      </w:r>
      <w:r>
        <w:rPr>
          <w:rFonts w:hint="eastAsia" w:ascii="宋体" w:hAnsi="宋体" w:eastAsia="宋体" w:cs="宋体"/>
          <w:b/>
          <w:bCs/>
          <w:color w:val="auto"/>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4D869D16">
      <w:pPr>
        <w:pStyle w:val="51"/>
        <w:numPr>
          <w:ilvl w:val="0"/>
          <w:numId w:val="2"/>
        </w:numPr>
        <w:spacing w:line="420" w:lineRule="exact"/>
        <w:ind w:firstLine="539" w:firstLineChars="245"/>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对通过资格审查、符合性审查的合格供应商进行资信技术部分的评审。</w:t>
      </w:r>
    </w:p>
    <w:p w14:paraId="40453427">
      <w:pPr>
        <w:numPr>
          <w:ilvl w:val="0"/>
          <w:numId w:val="2"/>
        </w:numPr>
        <w:spacing w:line="420" w:lineRule="exact"/>
        <w:ind w:firstLine="539" w:firstLineChars="245"/>
        <w:rPr>
          <w:rFonts w:hint="eastAsia" w:ascii="宋体" w:hAnsi="宋体" w:eastAsia="宋体" w:cs="宋体"/>
          <w:bCs/>
          <w:color w:val="auto"/>
          <w:szCs w:val="22"/>
          <w:highlight w:val="none"/>
        </w:rPr>
      </w:pPr>
      <w:r>
        <w:rPr>
          <w:rFonts w:hint="eastAsia" w:ascii="宋体" w:hAnsi="宋体" w:eastAsia="宋体" w:cs="宋体"/>
          <w:color w:val="auto"/>
          <w:szCs w:val="22"/>
          <w:highlight w:val="none"/>
        </w:rPr>
        <w:t>符合性及商务技术部分评审结束后，公布各有效投标供应商商务技术得分。</w:t>
      </w:r>
    </w:p>
    <w:p w14:paraId="39EE89DF">
      <w:pPr>
        <w:snapToGrid w:val="0"/>
        <w:spacing w:line="420" w:lineRule="exact"/>
        <w:ind w:firstLine="541" w:firstLineChars="246"/>
        <w:rPr>
          <w:rFonts w:hint="eastAsia" w:ascii="宋体" w:hAnsi="宋体" w:eastAsia="宋体" w:cs="宋体"/>
          <w:color w:val="auto"/>
          <w:highlight w:val="none"/>
        </w:rPr>
      </w:pPr>
      <w:r>
        <w:rPr>
          <w:rFonts w:hint="eastAsia" w:ascii="宋体" w:hAnsi="宋体" w:eastAsia="宋体" w:cs="宋体"/>
          <w:color w:val="auto"/>
          <w:szCs w:val="22"/>
          <w:highlight w:val="none"/>
        </w:rPr>
        <w:t xml:space="preserve">（7）开启所有有效投标供应商的“报价文件”逐个评审。 </w:t>
      </w:r>
    </w:p>
    <w:p w14:paraId="0F2BF15A">
      <w:pPr>
        <w:spacing w:line="420" w:lineRule="exact"/>
        <w:ind w:firstLine="539" w:firstLineChars="245"/>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（8）评标委员会对报价的合理性、准确性等进行审查核实。</w:t>
      </w:r>
    </w:p>
    <w:p w14:paraId="23D6CC29">
      <w:pPr>
        <w:spacing w:line="420" w:lineRule="exact"/>
        <w:ind w:firstLine="539" w:firstLineChars="245"/>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（9）评审结束后，公布中标（成交）候选供应商名单及采购人最终确定中标或成交供应商名单的时间和公告方式等。</w:t>
      </w:r>
    </w:p>
    <w:p w14:paraId="0262F8CC">
      <w:pPr>
        <w:pStyle w:val="18"/>
        <w:adjustRightInd w:val="0"/>
        <w:snapToGrid w:val="0"/>
        <w:spacing w:line="420" w:lineRule="exact"/>
        <w:ind w:firstLine="45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特别说明：如遇“政府采购云平台”电子化开标或评审程序调整的，按调整后程序执行。</w:t>
      </w:r>
    </w:p>
    <w:p w14:paraId="29EF4A8E">
      <w:pPr>
        <w:spacing w:line="420" w:lineRule="exact"/>
        <w:ind w:firstLine="541" w:firstLineChars="245"/>
        <w:rPr>
          <w:rFonts w:hint="eastAsia" w:ascii="宋体" w:hAnsi="宋体" w:eastAsia="宋体" w:cs="宋体"/>
          <w:b/>
          <w:bCs/>
          <w:color w:val="auto"/>
          <w:szCs w:val="22"/>
          <w:highlight w:val="none"/>
        </w:rPr>
      </w:pPr>
      <w:bookmarkStart w:id="22" w:name="_Toc33194393"/>
      <w:bookmarkStart w:id="23" w:name="_Toc24550037"/>
      <w:r>
        <w:rPr>
          <w:rFonts w:hint="eastAsia" w:ascii="宋体" w:hAnsi="宋体" w:eastAsia="宋体" w:cs="宋体"/>
          <w:b/>
          <w:bCs/>
          <w:color w:val="auto"/>
          <w:szCs w:val="22"/>
          <w:highlight w:val="none"/>
        </w:rPr>
        <w:t>4、投标供应商资格审查</w:t>
      </w:r>
      <w:bookmarkEnd w:id="22"/>
      <w:bookmarkEnd w:id="23"/>
    </w:p>
    <w:p w14:paraId="5C0BF604">
      <w:pPr>
        <w:spacing w:line="420" w:lineRule="exact"/>
        <w:ind w:firstLine="541" w:firstLineChars="245"/>
        <w:rPr>
          <w:rFonts w:hint="eastAsia" w:ascii="宋体" w:hAnsi="宋体" w:eastAsia="宋体" w:cs="宋体"/>
          <w:color w:val="auto"/>
          <w:szCs w:val="22"/>
          <w:highlight w:val="none"/>
        </w:rPr>
      </w:pPr>
      <w:r>
        <w:rPr>
          <w:rFonts w:hint="eastAsia" w:ascii="宋体" w:hAnsi="宋体" w:eastAsia="宋体" w:cs="宋体"/>
          <w:b/>
          <w:color w:val="auto"/>
          <w:szCs w:val="22"/>
          <w:highlight w:val="none"/>
        </w:rPr>
        <w:t>4.1开标结束后，采购人或采购代理机构首先依法对各投标供应商的资格进行审查，审查各投标供应商的资格是否满足招标文件的要求。</w:t>
      </w:r>
      <w:r>
        <w:rPr>
          <w:rFonts w:hint="eastAsia" w:ascii="宋体" w:hAnsi="宋体" w:eastAsia="宋体" w:cs="宋体"/>
          <w:color w:val="auto"/>
          <w:szCs w:val="22"/>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51E9CC6C">
      <w:pPr>
        <w:spacing w:line="420" w:lineRule="exact"/>
        <w:ind w:firstLine="541" w:firstLineChars="245"/>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4.2投标供应商提交的资格证明材料无法证明其符合招标文件规定的“投标供应商资格要求”的，采购人或采购代理机构</w:t>
      </w:r>
      <w:r>
        <w:rPr>
          <w:rFonts w:hint="eastAsia" w:ascii="宋体" w:hAnsi="宋体" w:eastAsia="宋体" w:cs="宋体"/>
          <w:b/>
          <w:color w:val="auto"/>
          <w:kern w:val="0"/>
          <w:szCs w:val="22"/>
          <w:highlight w:val="none"/>
        </w:rPr>
        <w:t>将对其作资格审查不通过处理（无效投标），并不再将其投标提交评标委</w:t>
      </w:r>
      <w:r>
        <w:rPr>
          <w:rFonts w:hint="eastAsia" w:ascii="宋体" w:hAnsi="宋体" w:eastAsia="宋体" w:cs="宋体"/>
          <w:b/>
          <w:color w:val="auto"/>
          <w:szCs w:val="22"/>
          <w:highlight w:val="none"/>
        </w:rPr>
        <w:t>员会进行后续评审。</w:t>
      </w:r>
    </w:p>
    <w:p w14:paraId="11542454">
      <w:pPr>
        <w:spacing w:line="420" w:lineRule="exact"/>
        <w:ind w:firstLine="541" w:firstLineChars="245"/>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4.3单位负责人为同一人或者存在直接控股、管理关系的不同供应商参加同一合同项下的政府采购活动的，相关投标供应商均作资格无效处理。</w:t>
      </w:r>
    </w:p>
    <w:p w14:paraId="64025CDE">
      <w:pPr>
        <w:pStyle w:val="5"/>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七、评标</w:t>
      </w:r>
    </w:p>
    <w:p w14:paraId="49B18CE3">
      <w:pPr>
        <w:pStyle w:val="18"/>
        <w:adjustRightInd w:val="0"/>
        <w:snapToGrid w:val="0"/>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1、评审工作的组织</w:t>
      </w:r>
    </w:p>
    <w:p w14:paraId="3B76AAF2">
      <w:pPr>
        <w:spacing w:line="420" w:lineRule="exact"/>
        <w:ind w:firstLine="387" w:firstLineChars="176"/>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采购人或采购代理机构负责组织本项目的评审工作，并依据政府采购的相关规定履行职责。</w:t>
      </w:r>
    </w:p>
    <w:p w14:paraId="5288CE85">
      <w:pPr>
        <w:spacing w:line="420" w:lineRule="exact"/>
        <w:ind w:firstLine="387" w:firstLineChars="176"/>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2、</w:t>
      </w:r>
      <w:r>
        <w:rPr>
          <w:rFonts w:hint="eastAsia" w:ascii="宋体" w:hAnsi="宋体" w:eastAsia="宋体" w:cs="宋体"/>
          <w:color w:val="auto"/>
          <w:szCs w:val="22"/>
          <w:highlight w:val="none"/>
        </w:rPr>
        <w:t>评标委员会的组建</w:t>
      </w:r>
    </w:p>
    <w:p w14:paraId="65679E87">
      <w:pPr>
        <w:spacing w:line="420" w:lineRule="exact"/>
        <w:ind w:firstLine="387" w:firstLineChars="176"/>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1）评标委员会由采购人或采购代理机构依法组建，成员包括采购人代表和评审专家，成员人数为五人或以上单数，其中评审专家不少于成员总数的三分之二。</w:t>
      </w:r>
    </w:p>
    <w:p w14:paraId="5339958E">
      <w:pPr>
        <w:spacing w:line="420" w:lineRule="exact"/>
        <w:ind w:firstLine="387" w:firstLineChars="176"/>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2）评标委员会成员名单在评审结果（采购结果）公告前保密。</w:t>
      </w:r>
    </w:p>
    <w:p w14:paraId="632B53BB">
      <w:pPr>
        <w:spacing w:line="420" w:lineRule="exact"/>
        <w:ind w:firstLine="387" w:firstLineChars="176"/>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3、</w:t>
      </w:r>
      <w:r>
        <w:rPr>
          <w:rFonts w:hint="eastAsia" w:ascii="宋体" w:hAnsi="宋体" w:eastAsia="宋体" w:cs="宋体"/>
          <w:color w:val="auto"/>
          <w:szCs w:val="22"/>
          <w:highlight w:val="none"/>
        </w:rPr>
        <w:t>评标委员会的职责</w:t>
      </w:r>
    </w:p>
    <w:p w14:paraId="10382366">
      <w:pPr>
        <w:spacing w:line="420" w:lineRule="exact"/>
        <w:ind w:firstLine="389" w:firstLineChars="176"/>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评标委员会负责具体评审事务，并独立履行下列职责：</w:t>
      </w:r>
    </w:p>
    <w:p w14:paraId="54B2BA33">
      <w:pPr>
        <w:spacing w:line="420" w:lineRule="exact"/>
        <w:ind w:firstLine="387" w:firstLineChars="176"/>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（1）审查、评价投标文件是否符合招标文件的商务、技术等实质性要求；</w:t>
      </w:r>
    </w:p>
    <w:p w14:paraId="679E0E91">
      <w:pPr>
        <w:spacing w:line="420" w:lineRule="exact"/>
        <w:ind w:firstLine="387" w:firstLineChars="176"/>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（2）要求投标人对投标文件有关事项作出澄清或者说明；</w:t>
      </w:r>
    </w:p>
    <w:p w14:paraId="35A1BAED">
      <w:pPr>
        <w:spacing w:line="420" w:lineRule="exact"/>
        <w:ind w:firstLine="387" w:firstLineChars="176"/>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（3）对投标文件进行比较和评价；</w:t>
      </w:r>
    </w:p>
    <w:p w14:paraId="188CDF4E">
      <w:pPr>
        <w:spacing w:line="420" w:lineRule="exact"/>
        <w:ind w:firstLine="387" w:firstLineChars="176"/>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（4）确定中标候选人名单，以及根据采购人委托直接确定中标人；</w:t>
      </w:r>
    </w:p>
    <w:p w14:paraId="6F5F7891">
      <w:pPr>
        <w:spacing w:line="420" w:lineRule="exact"/>
        <w:ind w:firstLine="440" w:firstLineChars="200"/>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（5）向采购人、采购代理机构或者有关部门报告评审中发现的违法行为。</w:t>
      </w:r>
    </w:p>
    <w:p w14:paraId="3CA14C96">
      <w:pPr>
        <w:spacing w:line="420" w:lineRule="exact"/>
        <w:ind w:firstLine="440" w:firstLineChars="200"/>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4、</w:t>
      </w:r>
      <w:r>
        <w:rPr>
          <w:rFonts w:hint="eastAsia" w:ascii="宋体" w:hAnsi="宋体" w:eastAsia="宋体" w:cs="宋体"/>
          <w:color w:val="auto"/>
          <w:szCs w:val="22"/>
          <w:highlight w:val="none"/>
        </w:rPr>
        <w:t>评审原则</w:t>
      </w:r>
    </w:p>
    <w:p w14:paraId="1303DE5A">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（1）评审原则：</w:t>
      </w:r>
      <w:r>
        <w:rPr>
          <w:rFonts w:hint="eastAsia" w:ascii="宋体" w:hAnsi="宋体" w:eastAsia="宋体" w:cs="宋体"/>
          <w:color w:val="auto"/>
          <w:kern w:val="0"/>
          <w:szCs w:val="22"/>
          <w:highlight w:val="none"/>
        </w:rPr>
        <w:t>评标委员会</w:t>
      </w:r>
      <w:r>
        <w:rPr>
          <w:rFonts w:hint="eastAsia" w:ascii="宋体" w:hAnsi="宋体" w:eastAsia="宋体" w:cs="宋体"/>
          <w:color w:val="auto"/>
          <w:szCs w:val="22"/>
          <w:highlight w:val="none"/>
        </w:rPr>
        <w:t>按照客观、公正、审慎、择优的原则，根据招标文件规定的评审程序、评审方法和评审标准进行独立评审。</w:t>
      </w:r>
    </w:p>
    <w:p w14:paraId="1675DD98">
      <w:pPr>
        <w:spacing w:line="420" w:lineRule="exact"/>
        <w:ind w:firstLine="389" w:firstLineChars="177"/>
        <w:rPr>
          <w:rFonts w:hint="eastAsia" w:ascii="宋体" w:hAnsi="宋体" w:eastAsia="宋体" w:cs="宋体"/>
          <w:color w:val="auto"/>
          <w:kern w:val="0"/>
          <w:szCs w:val="22"/>
          <w:highlight w:val="none"/>
        </w:rPr>
      </w:pPr>
      <w:r>
        <w:rPr>
          <w:rFonts w:hint="eastAsia" w:ascii="宋体" w:hAnsi="宋体" w:eastAsia="宋体" w:cs="宋体"/>
          <w:color w:val="auto"/>
          <w:szCs w:val="22"/>
          <w:highlight w:val="none"/>
        </w:rPr>
        <w:t>（2）评审工作将依据</w:t>
      </w:r>
      <w:r>
        <w:rPr>
          <w:rFonts w:hint="eastAsia" w:ascii="宋体" w:hAnsi="宋体" w:eastAsia="宋体" w:cs="宋体"/>
          <w:color w:val="auto"/>
          <w:kern w:val="0"/>
          <w:szCs w:val="22"/>
          <w:highlight w:val="none"/>
        </w:rPr>
        <w:t>招标文件、投标文件及招标文件中事先已列明的内容进行（如现场方案讲解、演示等）。</w:t>
      </w:r>
    </w:p>
    <w:p w14:paraId="42C2BADA">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kern w:val="0"/>
          <w:szCs w:val="22"/>
          <w:highlight w:val="none"/>
        </w:rPr>
        <w:t>5、</w:t>
      </w:r>
      <w:r>
        <w:rPr>
          <w:rFonts w:hint="eastAsia" w:ascii="宋体" w:hAnsi="宋体" w:eastAsia="宋体" w:cs="宋体"/>
          <w:color w:val="auto"/>
          <w:szCs w:val="22"/>
          <w:highlight w:val="none"/>
        </w:rPr>
        <w:t>评审意见的争议处理</w:t>
      </w:r>
    </w:p>
    <w:p w14:paraId="43872499">
      <w:pPr>
        <w:spacing w:line="420" w:lineRule="exact"/>
        <w:ind w:firstLine="607" w:firstLineChars="276"/>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 xml:space="preserve">评标委员会成员对需要共同认定的事项存在争议的，按照少数服从多数的原则作出结论。持不同意见的评标委员会成员应当在评审报告上签署不同意见及理由，否则视为同意评审报告。 </w:t>
      </w:r>
    </w:p>
    <w:p w14:paraId="3293CE89">
      <w:pPr>
        <w:spacing w:line="420" w:lineRule="exact"/>
        <w:ind w:firstLine="607" w:firstLineChars="276"/>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6、</w:t>
      </w:r>
      <w:r>
        <w:rPr>
          <w:rFonts w:hint="eastAsia" w:ascii="宋体" w:hAnsi="宋体" w:eastAsia="宋体" w:cs="宋体"/>
          <w:color w:val="auto"/>
          <w:szCs w:val="22"/>
          <w:highlight w:val="none"/>
        </w:rPr>
        <w:t>评委纪律</w:t>
      </w:r>
    </w:p>
    <w:p w14:paraId="6B672626">
      <w:pPr>
        <w:spacing w:line="420" w:lineRule="exact"/>
        <w:ind w:firstLine="389" w:firstLineChars="177"/>
        <w:rPr>
          <w:rFonts w:hint="eastAsia" w:ascii="宋体" w:hAnsi="宋体" w:eastAsia="宋体" w:cs="宋体"/>
          <w:color w:val="auto"/>
          <w:kern w:val="0"/>
          <w:szCs w:val="22"/>
          <w:highlight w:val="none"/>
        </w:rPr>
      </w:pPr>
      <w:r>
        <w:rPr>
          <w:rFonts w:hint="eastAsia" w:ascii="宋体" w:hAnsi="宋体" w:eastAsia="宋体" w:cs="宋体"/>
          <w:color w:val="auto"/>
          <w:szCs w:val="22"/>
          <w:highlight w:val="none"/>
        </w:rPr>
        <w:t>评标委员会成员必须严格遵守保密规定，不得泄露评审的有关情况</w:t>
      </w:r>
      <w:r>
        <w:rPr>
          <w:rFonts w:hint="eastAsia" w:ascii="宋体" w:hAnsi="宋体" w:eastAsia="宋体" w:cs="宋体"/>
          <w:color w:val="auto"/>
          <w:kern w:val="0"/>
          <w:szCs w:val="22"/>
          <w:highlight w:val="none"/>
        </w:rPr>
        <w:t>，任何单位和个人不得干扰、影响评标的正常进行，评标委员会成员不得私下与投标供应商接触，不得出现《浙江省政府采购活动现场组织管理办法》中规定的其他禁止行为。</w:t>
      </w:r>
      <w:bookmarkStart w:id="24" w:name="_Toc24550044"/>
      <w:bookmarkStart w:id="25" w:name="_Toc33194395"/>
    </w:p>
    <w:p w14:paraId="6F2F6B79">
      <w:pPr>
        <w:spacing w:line="420" w:lineRule="exact"/>
        <w:ind w:firstLine="391" w:firstLineChars="177"/>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7、</w:t>
      </w:r>
      <w:r>
        <w:rPr>
          <w:rFonts w:hint="eastAsia" w:ascii="宋体" w:hAnsi="宋体" w:eastAsia="宋体" w:cs="宋体"/>
          <w:b/>
          <w:bCs/>
          <w:color w:val="auto"/>
          <w:szCs w:val="22"/>
          <w:highlight w:val="none"/>
        </w:rPr>
        <w:t>评审流程及内容</w:t>
      </w:r>
      <w:bookmarkEnd w:id="24"/>
      <w:bookmarkEnd w:id="25"/>
    </w:p>
    <w:p w14:paraId="093B01EA">
      <w:pPr>
        <w:spacing w:line="420" w:lineRule="exact"/>
        <w:ind w:firstLine="389" w:firstLineChars="176"/>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本项目具体的评审事务由评标委员会负责，评审流程及内容如下：</w:t>
      </w:r>
    </w:p>
    <w:p w14:paraId="37C51259">
      <w:pPr>
        <w:spacing w:line="420" w:lineRule="exact"/>
        <w:ind w:firstLine="387" w:firstLineChars="176"/>
        <w:rPr>
          <w:rFonts w:hint="eastAsia" w:ascii="宋体" w:hAnsi="宋体" w:eastAsia="宋体" w:cs="宋体"/>
          <w:color w:val="auto"/>
          <w:szCs w:val="22"/>
          <w:highlight w:val="none"/>
        </w:rPr>
      </w:pPr>
      <w:r>
        <w:rPr>
          <w:rFonts w:hint="eastAsia" w:ascii="宋体" w:hAnsi="宋体" w:eastAsia="宋体" w:cs="宋体"/>
          <w:color w:val="auto"/>
          <w:szCs w:val="22"/>
          <w:highlight w:val="none"/>
        </w:rPr>
        <w:t>7.1评审前准备</w:t>
      </w:r>
    </w:p>
    <w:p w14:paraId="1E5DBDD8">
      <w:pPr>
        <w:spacing w:line="420" w:lineRule="exact"/>
        <w:ind w:firstLine="440" w:firstLineChars="200"/>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7.1.1由评审专家推选评审委员会组长，采购人代表不得担任评审委员会组长。</w:t>
      </w:r>
    </w:p>
    <w:p w14:paraId="0D48D553">
      <w:pPr>
        <w:spacing w:line="420" w:lineRule="exact"/>
        <w:ind w:firstLine="389" w:firstLineChars="177"/>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7.1.2由评审委员会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E2C7A10">
      <w:pPr>
        <w:spacing w:line="420" w:lineRule="exact"/>
        <w:ind w:firstLine="389" w:firstLineChars="177"/>
        <w:rPr>
          <w:rFonts w:hint="eastAsia" w:ascii="宋体" w:hAnsi="宋体" w:eastAsia="宋体" w:cs="宋体"/>
          <w:b/>
          <w:color w:val="auto"/>
          <w:kern w:val="0"/>
          <w:szCs w:val="22"/>
          <w:highlight w:val="none"/>
        </w:rPr>
      </w:pPr>
      <w:r>
        <w:rPr>
          <w:rFonts w:hint="eastAsia" w:ascii="宋体" w:hAnsi="宋体" w:eastAsia="宋体" w:cs="宋体"/>
          <w:color w:val="auto"/>
          <w:kern w:val="0"/>
          <w:szCs w:val="22"/>
          <w:highlight w:val="none"/>
        </w:rPr>
        <w:t>7.2</w:t>
      </w:r>
      <w:r>
        <w:rPr>
          <w:rFonts w:hint="eastAsia" w:ascii="宋体" w:hAnsi="宋体" w:eastAsia="宋体" w:cs="宋体"/>
          <w:color w:val="auto"/>
          <w:szCs w:val="22"/>
          <w:highlight w:val="none"/>
        </w:rPr>
        <w:t>投标文件的初步审查、符合性审查</w:t>
      </w:r>
    </w:p>
    <w:p w14:paraId="4B539865">
      <w:pPr>
        <w:spacing w:line="420" w:lineRule="exact"/>
        <w:ind w:firstLine="391" w:firstLineChars="177"/>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对所有通过资格审查的投标供应商的投标文件进行初步审查，审查、评价投标文件是否符合招标文件的商务、技术、服务等实质性要求。</w:t>
      </w:r>
    </w:p>
    <w:p w14:paraId="610A39B3">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60546E27">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7.3投标文件的澄清、说明或补正</w:t>
      </w:r>
    </w:p>
    <w:p w14:paraId="2212BE1D">
      <w:pPr>
        <w:spacing w:line="420" w:lineRule="exact"/>
        <w:ind w:firstLine="389" w:firstLineChars="177"/>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7.3.1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414203F">
      <w:pPr>
        <w:spacing w:line="420" w:lineRule="exact"/>
        <w:ind w:firstLine="389" w:firstLineChars="177"/>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325F630">
      <w:pPr>
        <w:spacing w:line="420" w:lineRule="exact"/>
        <w:ind w:firstLine="389" w:firstLineChars="177"/>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7.4</w:t>
      </w:r>
      <w:r>
        <w:rPr>
          <w:rFonts w:hint="eastAsia" w:ascii="宋体" w:hAnsi="宋体" w:eastAsia="宋体" w:cs="宋体"/>
          <w:color w:val="auto"/>
          <w:szCs w:val="22"/>
          <w:highlight w:val="none"/>
        </w:rPr>
        <w:t>投标文件的错误修正</w:t>
      </w:r>
    </w:p>
    <w:p w14:paraId="72627F74">
      <w:pPr>
        <w:spacing w:line="420" w:lineRule="exact"/>
        <w:ind w:firstLine="387" w:firstLineChars="175"/>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7.4.1投标文件如果出现计算或表达上的错误，修正错误的原则如下：</w:t>
      </w:r>
    </w:p>
    <w:p w14:paraId="47C0742F">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（1）投标文件中开标一览表内容与投标文件中相应内容不一致的，以开标一览表为准。</w:t>
      </w:r>
    </w:p>
    <w:p w14:paraId="3D36106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（2）投标文件的大写金额和小写金额不一致的，以大写金额为准；</w:t>
      </w:r>
    </w:p>
    <w:p w14:paraId="5E203DBF">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（3）单价金额小数点或者百分比有明显错位的，应以开标一览表的总价为准，并修改单价；</w:t>
      </w:r>
    </w:p>
    <w:p w14:paraId="15EDABAB">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（4）总价金额与按单价汇总金额不一致的，以单价金额计算结果为准。</w:t>
      </w:r>
    </w:p>
    <w:p w14:paraId="59DF8C72">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（5）对不同文字文本投标文件的解释发生异议的，以中文文本为准。</w:t>
      </w:r>
    </w:p>
    <w:p w14:paraId="701BDCA2">
      <w:pPr>
        <w:pStyle w:val="18"/>
        <w:adjustRightInd w:val="0"/>
        <w:snapToGrid w:val="0"/>
        <w:spacing w:line="420" w:lineRule="exact"/>
        <w:ind w:firstLine="433" w:firstLineChars="196"/>
        <w:rPr>
          <w:rFonts w:hint="eastAsia" w:ascii="宋体" w:hAnsi="宋体" w:eastAsia="宋体" w:cs="宋体"/>
          <w:b/>
          <w:color w:val="auto"/>
          <w:highlight w:val="none"/>
        </w:rPr>
      </w:pPr>
      <w:r>
        <w:rPr>
          <w:rFonts w:hint="eastAsia" w:ascii="宋体" w:hAnsi="宋体" w:eastAsia="宋体" w:cs="宋体"/>
          <w:b/>
          <w:color w:val="auto"/>
          <w:kern w:val="0"/>
          <w:highlight w:val="none"/>
        </w:rPr>
        <w:t>7.4.2</w:t>
      </w:r>
      <w:r>
        <w:rPr>
          <w:rFonts w:hint="eastAsia" w:ascii="宋体" w:hAnsi="宋体" w:eastAsia="宋体" w:cs="宋体"/>
          <w:b/>
          <w:color w:val="auto"/>
          <w:highlight w:val="none"/>
        </w:rPr>
        <w:t>开启供应商商务报价文件后发现价格、数量有误，其投标价将按下述原则处理：</w:t>
      </w:r>
    </w:p>
    <w:p w14:paraId="77EC3047">
      <w:pPr>
        <w:adjustRightInd w:val="0"/>
        <w:snapToGrid w:val="0"/>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 任何有漏去一些小项货物或服务的投标将被视为其费用已包含在投标总价中，投标价格不予调整。如果供应商不接受上述处理方式，将做为无效投标。</w:t>
      </w:r>
    </w:p>
    <w:p w14:paraId="3B0516B1">
      <w:pPr>
        <w:adjustRightInd w:val="0"/>
        <w:snapToGrid w:val="0"/>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 任何有多报一些小项工程或货物的投标其投标价不予调整，如果该供应商中标，则合同价格必须为核减掉多报的一些小项工程或货物后的价格。如果供应商不接受上述处理方式，将做为无效投标。</w:t>
      </w:r>
    </w:p>
    <w:p w14:paraId="4D446ABA">
      <w:pPr>
        <w:adjustRightInd w:val="0"/>
        <w:snapToGrid w:val="0"/>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3）对于计算错误的其投标价不予调整，如果该供应商中标，如其投标价格计算错误导致多报者合同价格予以据实核减，少报者合同价格不予调整。如果供应商不接受上述处理方式，将做为无效投标。</w:t>
      </w:r>
    </w:p>
    <w:p w14:paraId="54BF4706">
      <w:pPr>
        <w:adjustRightInd w:val="0"/>
        <w:snapToGrid w:val="0"/>
        <w:spacing w:line="420" w:lineRule="exact"/>
        <w:ind w:firstLine="44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491488C5">
      <w:pPr>
        <w:pStyle w:val="18"/>
        <w:adjustRightInd w:val="0"/>
        <w:snapToGrid w:val="0"/>
        <w:spacing w:line="420" w:lineRule="exact"/>
        <w:ind w:firstLine="433" w:firstLineChars="196"/>
        <w:rPr>
          <w:rFonts w:hint="eastAsia" w:ascii="宋体" w:hAnsi="宋体" w:eastAsia="宋体" w:cs="宋体"/>
          <w:b/>
          <w:color w:val="auto"/>
          <w:highlight w:val="none"/>
          <w:u w:val="single"/>
        </w:rPr>
      </w:pPr>
      <w:r>
        <w:rPr>
          <w:rFonts w:hint="eastAsia" w:ascii="宋体" w:hAnsi="宋体" w:eastAsia="宋体" w:cs="宋体"/>
          <w:b/>
          <w:color w:val="auto"/>
          <w:highlight w:val="none"/>
        </w:rPr>
        <w:t>8、</w:t>
      </w:r>
      <w:r>
        <w:rPr>
          <w:rFonts w:hint="eastAsia" w:ascii="宋体" w:hAnsi="宋体" w:eastAsia="宋体" w:cs="宋体"/>
          <w:b/>
          <w:color w:val="auto"/>
          <w:highlight w:val="none"/>
          <w:u w:val="single"/>
        </w:rPr>
        <w:t>▲评标委员会发现投标文件有下列情形之一的属于重大偏差(评标委员会按少数服从多数原则认定),按照无效投标处理：</w:t>
      </w:r>
    </w:p>
    <w:p w14:paraId="33CFD45E">
      <w:pPr>
        <w:pStyle w:val="18"/>
        <w:adjustRightInd w:val="0"/>
        <w:snapToGrid w:val="0"/>
        <w:spacing w:line="420" w:lineRule="exact"/>
        <w:ind w:firstLine="431" w:firstLineChars="196"/>
        <w:rPr>
          <w:rFonts w:hint="eastAsia" w:ascii="宋体" w:hAnsi="宋体" w:eastAsia="宋体" w:cs="宋体"/>
          <w:color w:val="auto"/>
          <w:highlight w:val="none"/>
        </w:rPr>
      </w:pPr>
      <w:r>
        <w:rPr>
          <w:rFonts w:hint="eastAsia" w:ascii="宋体" w:hAnsi="宋体" w:eastAsia="宋体" w:cs="宋体"/>
          <w:color w:val="auto"/>
          <w:highlight w:val="none"/>
        </w:rPr>
        <w:t>1）未按招标文件要求编制或字迹模糊、辨认不清的投标文件；</w:t>
      </w:r>
    </w:p>
    <w:p w14:paraId="4712FC14">
      <w:pPr>
        <w:pStyle w:val="18"/>
        <w:adjustRightInd w:val="0"/>
        <w:snapToGrid w:val="0"/>
        <w:spacing w:line="420" w:lineRule="exact"/>
        <w:ind w:firstLine="431" w:firstLineChars="196"/>
        <w:rPr>
          <w:rFonts w:hint="eastAsia" w:ascii="宋体" w:hAnsi="宋体" w:eastAsia="宋体" w:cs="宋体"/>
          <w:color w:val="auto"/>
          <w:highlight w:val="none"/>
        </w:rPr>
      </w:pPr>
      <w:r>
        <w:rPr>
          <w:rFonts w:hint="eastAsia" w:ascii="宋体" w:hAnsi="宋体" w:eastAsia="宋体" w:cs="宋体"/>
          <w:color w:val="auto"/>
          <w:highlight w:val="none"/>
        </w:rPr>
        <w:t>2）供应商递交两份或两份以上内容不同的投标文件，未声明其中一份为有效的或同一投标文件中出现有选择性的报价，未声明以其中一个报价为准的；</w:t>
      </w:r>
    </w:p>
    <w:p w14:paraId="3E5D749D">
      <w:pPr>
        <w:pStyle w:val="18"/>
        <w:adjustRightInd w:val="0"/>
        <w:snapToGrid w:val="0"/>
        <w:spacing w:line="420" w:lineRule="exact"/>
        <w:ind w:firstLine="431" w:firstLineChars="196"/>
        <w:rPr>
          <w:rFonts w:hint="eastAsia" w:ascii="宋体" w:hAnsi="宋体" w:eastAsia="宋体" w:cs="宋体"/>
          <w:color w:val="auto"/>
          <w:highlight w:val="none"/>
        </w:rPr>
      </w:pPr>
      <w:r>
        <w:rPr>
          <w:rFonts w:hint="eastAsia" w:ascii="宋体" w:hAnsi="宋体" w:eastAsia="宋体" w:cs="宋体"/>
          <w:color w:val="auto"/>
          <w:highlight w:val="none"/>
        </w:rPr>
        <w:t>3）供应商资信技术投标文件中出现投标产品的商务报价的；</w:t>
      </w:r>
    </w:p>
    <w:p w14:paraId="224F93B6">
      <w:pPr>
        <w:pStyle w:val="18"/>
        <w:adjustRightInd w:val="0"/>
        <w:snapToGrid w:val="0"/>
        <w:spacing w:line="420" w:lineRule="exact"/>
        <w:ind w:firstLine="431" w:firstLineChars="196"/>
        <w:rPr>
          <w:rFonts w:hint="eastAsia" w:ascii="宋体" w:hAnsi="宋体" w:eastAsia="宋体" w:cs="宋体"/>
          <w:color w:val="auto"/>
          <w:highlight w:val="none"/>
        </w:rPr>
      </w:pPr>
      <w:r>
        <w:rPr>
          <w:rFonts w:hint="eastAsia" w:ascii="宋体" w:hAnsi="宋体" w:eastAsia="宋体" w:cs="宋体"/>
          <w:color w:val="auto"/>
          <w:highlight w:val="none"/>
        </w:rPr>
        <w:t>4）明显不符合技术标准要求或不满足采购文件技术要求的投标文件，供应商拒绝修正的；</w:t>
      </w:r>
    </w:p>
    <w:p w14:paraId="61E27D70">
      <w:pPr>
        <w:pStyle w:val="18"/>
        <w:adjustRightInd w:val="0"/>
        <w:snapToGrid w:val="0"/>
        <w:spacing w:line="420" w:lineRule="exact"/>
        <w:ind w:firstLine="431" w:firstLineChars="196"/>
        <w:rPr>
          <w:rFonts w:hint="eastAsia" w:ascii="宋体" w:hAnsi="宋体" w:eastAsia="宋体" w:cs="宋体"/>
          <w:color w:val="auto"/>
          <w:highlight w:val="none"/>
        </w:rPr>
      </w:pPr>
      <w:r>
        <w:rPr>
          <w:rFonts w:hint="eastAsia" w:ascii="宋体" w:hAnsi="宋体" w:eastAsia="宋体" w:cs="宋体"/>
          <w:color w:val="auto"/>
          <w:highlight w:val="none"/>
        </w:rPr>
        <w:t>5）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48F3271A">
      <w:pPr>
        <w:pStyle w:val="18"/>
        <w:adjustRightInd w:val="0"/>
        <w:snapToGrid w:val="0"/>
        <w:spacing w:line="420" w:lineRule="exact"/>
        <w:ind w:firstLine="431" w:firstLineChars="196"/>
        <w:rPr>
          <w:rFonts w:hint="eastAsia" w:ascii="宋体" w:hAnsi="宋体" w:eastAsia="宋体" w:cs="宋体"/>
          <w:color w:val="auto"/>
          <w:highlight w:val="none"/>
        </w:rPr>
      </w:pPr>
      <w:r>
        <w:rPr>
          <w:rFonts w:hint="eastAsia" w:ascii="宋体" w:hAnsi="宋体" w:eastAsia="宋体" w:cs="宋体"/>
          <w:color w:val="auto"/>
          <w:highlight w:val="none"/>
        </w:rPr>
        <w:t>6）存在串标、抬标或弄虚作假情况的；</w:t>
      </w:r>
    </w:p>
    <w:p w14:paraId="332FDC20">
      <w:pPr>
        <w:pStyle w:val="18"/>
        <w:adjustRightInd w:val="0"/>
        <w:snapToGrid w:val="0"/>
        <w:spacing w:line="420" w:lineRule="exact"/>
        <w:ind w:firstLine="431" w:firstLineChars="196"/>
        <w:rPr>
          <w:rFonts w:hint="eastAsia" w:ascii="宋体" w:hAnsi="宋体" w:eastAsia="宋体" w:cs="宋体"/>
          <w:color w:val="auto"/>
          <w:highlight w:val="none"/>
        </w:rPr>
      </w:pPr>
      <w:r>
        <w:rPr>
          <w:rFonts w:hint="eastAsia" w:ascii="宋体" w:hAnsi="宋体" w:eastAsia="宋体" w:cs="宋体"/>
          <w:color w:val="auto"/>
          <w:highlight w:val="none"/>
        </w:rPr>
        <w:t>7）对关键条文的偏离、保留或反对，例如关于适用法律、税及关税、质量保证期等其他内容；</w:t>
      </w:r>
    </w:p>
    <w:p w14:paraId="4E1C7CA2">
      <w:pPr>
        <w:pStyle w:val="18"/>
        <w:adjustRightInd w:val="0"/>
        <w:snapToGrid w:val="0"/>
        <w:spacing w:line="420" w:lineRule="exact"/>
        <w:ind w:firstLine="431" w:firstLineChars="196"/>
        <w:rPr>
          <w:rFonts w:hint="eastAsia" w:ascii="宋体" w:hAnsi="宋体" w:eastAsia="宋体" w:cs="宋体"/>
          <w:color w:val="auto"/>
          <w:highlight w:val="none"/>
        </w:rPr>
      </w:pPr>
      <w:r>
        <w:rPr>
          <w:rFonts w:hint="eastAsia" w:ascii="宋体" w:hAnsi="宋体" w:eastAsia="宋体" w:cs="宋体"/>
          <w:color w:val="auto"/>
          <w:highlight w:val="none"/>
        </w:rPr>
        <w:t>8) 投标报价超过采购预算（或最高限价）的；</w:t>
      </w:r>
    </w:p>
    <w:p w14:paraId="35E637DB">
      <w:pPr>
        <w:pStyle w:val="18"/>
        <w:adjustRightInd w:val="0"/>
        <w:snapToGrid w:val="0"/>
        <w:spacing w:line="420" w:lineRule="exact"/>
        <w:ind w:firstLine="431" w:firstLineChars="196"/>
        <w:rPr>
          <w:rFonts w:hint="eastAsia" w:ascii="宋体" w:hAnsi="宋体" w:eastAsia="宋体" w:cs="宋体"/>
          <w:color w:val="auto"/>
          <w:highlight w:val="none"/>
        </w:rPr>
      </w:pPr>
      <w:r>
        <w:rPr>
          <w:rFonts w:hint="eastAsia" w:ascii="宋体" w:hAnsi="宋体" w:eastAsia="宋体" w:cs="宋体"/>
          <w:color w:val="auto"/>
          <w:highlight w:val="none"/>
        </w:rPr>
        <w:t>9）投标人代表为授权代表而无法定代表人授权书的；</w:t>
      </w:r>
    </w:p>
    <w:p w14:paraId="5BF9A0B4">
      <w:pPr>
        <w:pStyle w:val="18"/>
        <w:adjustRightInd w:val="0"/>
        <w:snapToGrid w:val="0"/>
        <w:spacing w:line="420" w:lineRule="exact"/>
        <w:ind w:firstLine="43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10）不响应或擅自改变本采购文件要求或投标文件有采购人不能接受的附加条件的；</w:t>
      </w:r>
    </w:p>
    <w:p w14:paraId="54A060FF">
      <w:pPr>
        <w:pStyle w:val="18"/>
        <w:adjustRightInd w:val="0"/>
        <w:snapToGrid w:val="0"/>
        <w:spacing w:line="420" w:lineRule="exact"/>
        <w:ind w:firstLine="43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11）电子投标文件未按采购文件规定要求进行签章（指投标文件中涉及应加盖投标单位公章的地方）和或未按采购文件规定要求进行法定代表人（或授权代表）签字（或印章）的；</w:t>
      </w:r>
    </w:p>
    <w:p w14:paraId="29477BE7">
      <w:pPr>
        <w:pStyle w:val="18"/>
        <w:adjustRightInd w:val="0"/>
        <w:snapToGrid w:val="0"/>
        <w:spacing w:line="420" w:lineRule="exact"/>
        <w:ind w:firstLine="433" w:firstLineChars="196"/>
        <w:rPr>
          <w:rFonts w:hint="default" w:hAnsi="宋体" w:cs="Arial" w:eastAsiaTheme="minorEastAsia"/>
          <w:b/>
          <w:bCs/>
          <w:color w:val="auto"/>
          <w:highlight w:val="none"/>
          <w:lang w:val="en-US" w:eastAsia="zh-CN"/>
        </w:rPr>
      </w:pPr>
      <w:r>
        <w:rPr>
          <w:rFonts w:hint="eastAsia" w:hAnsi="宋体" w:cs="Arial"/>
          <w:b/>
          <w:bCs/>
          <w:color w:val="auto"/>
          <w:highlight w:val="none"/>
          <w:lang w:val="en-US" w:eastAsia="zh-CN"/>
        </w:rPr>
        <w:t>12）供应商之间存在IP、MAC、设备硬件等信息相同的。</w:t>
      </w:r>
    </w:p>
    <w:p w14:paraId="6513DA22">
      <w:pPr>
        <w:pStyle w:val="18"/>
        <w:adjustRightInd w:val="0"/>
        <w:snapToGrid w:val="0"/>
        <w:spacing w:line="420" w:lineRule="exact"/>
        <w:ind w:firstLine="431" w:firstLineChars="196"/>
        <w:rPr>
          <w:rFonts w:hAnsi="宋体" w:cs="Arial"/>
          <w:color w:val="auto"/>
          <w:highlight w:val="none"/>
        </w:rPr>
      </w:pPr>
      <w:r>
        <w:rPr>
          <w:rFonts w:hint="eastAsia" w:hAnsi="宋体" w:cs="Arial"/>
          <w:color w:val="auto"/>
          <w:highlight w:val="none"/>
        </w:rPr>
        <w:t>1</w:t>
      </w:r>
      <w:r>
        <w:rPr>
          <w:rFonts w:hint="eastAsia" w:hAnsi="宋体" w:cs="Arial"/>
          <w:color w:val="auto"/>
          <w:highlight w:val="none"/>
          <w:lang w:val="en-US" w:eastAsia="zh-CN"/>
        </w:rPr>
        <w:t>3</w:t>
      </w:r>
      <w:r>
        <w:rPr>
          <w:rFonts w:hint="eastAsia" w:hAnsi="宋体" w:cs="Arial"/>
          <w:color w:val="auto"/>
          <w:highlight w:val="none"/>
        </w:rPr>
        <w:t>）违反国家或政府部门相关法律、法规、文件规定的。</w:t>
      </w:r>
    </w:p>
    <w:p w14:paraId="1F775C2F">
      <w:pPr>
        <w:spacing w:before="156" w:beforeLines="50" w:line="420" w:lineRule="exact"/>
        <w:ind w:firstLine="389" w:firstLineChars="177"/>
        <w:rPr>
          <w:rFonts w:hint="eastAsia" w:ascii="宋体" w:hAnsi="宋体" w:eastAsia="宋体" w:cs="宋体"/>
          <w:b/>
          <w:color w:val="auto"/>
          <w:kern w:val="0"/>
          <w:szCs w:val="22"/>
          <w:highlight w:val="none"/>
        </w:rPr>
      </w:pPr>
      <w:r>
        <w:rPr>
          <w:rFonts w:hint="eastAsia" w:ascii="宋体" w:hAnsi="宋体" w:eastAsia="宋体" w:cs="宋体"/>
          <w:color w:val="auto"/>
          <w:szCs w:val="22"/>
          <w:highlight w:val="none"/>
        </w:rPr>
        <w:t>9、投标文件的评估、比较、评分</w:t>
      </w:r>
    </w:p>
    <w:p w14:paraId="411841EE">
      <w:pPr>
        <w:spacing w:line="420" w:lineRule="exact"/>
        <w:ind w:firstLine="389" w:firstLineChars="177"/>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5AA60C8B">
      <w:pPr>
        <w:spacing w:line="420" w:lineRule="exact"/>
        <w:ind w:firstLine="389" w:firstLineChars="177"/>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2）对采购组织机构工作人员汇总的评审结果进行确认。如发现分值汇总计算错误、分项评分超出评分标准范围、客观评分不一致以及存在畸高、畸低（其总评分偏离平均分30%以上的）情形的，评审委员会组长（评标委员会主任委员）应提醒相关评审人员当场改正或书面说明理由，拒不改正又不作书面说明的，由现场监督员如实记载后存入项目档案资料。</w:t>
      </w:r>
    </w:p>
    <w:p w14:paraId="2F3C1C78">
      <w:pPr>
        <w:spacing w:line="420" w:lineRule="exact"/>
        <w:ind w:firstLine="389" w:firstLineChars="177"/>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10、</w:t>
      </w:r>
      <w:r>
        <w:rPr>
          <w:rFonts w:hint="eastAsia" w:ascii="宋体" w:hAnsi="宋体" w:eastAsia="宋体" w:cs="宋体"/>
          <w:color w:val="auto"/>
          <w:szCs w:val="22"/>
          <w:highlight w:val="none"/>
        </w:rPr>
        <w:t>修改评审结果</w:t>
      </w:r>
    </w:p>
    <w:p w14:paraId="301CF79E">
      <w:pPr>
        <w:spacing w:line="420" w:lineRule="exact"/>
        <w:ind w:firstLine="391" w:firstLineChars="177"/>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10.</w:t>
      </w:r>
      <w:r>
        <w:rPr>
          <w:rFonts w:hint="eastAsia" w:ascii="宋体" w:hAnsi="宋体" w:eastAsia="宋体" w:cs="宋体"/>
          <w:b/>
          <w:color w:val="auto"/>
          <w:szCs w:val="22"/>
          <w:highlight w:val="none"/>
        </w:rPr>
        <w:t>1 评标结果汇总完成后，除下列情形外，任何人不得修改评标结果：</w:t>
      </w:r>
    </w:p>
    <w:p w14:paraId="625441F0">
      <w:pPr>
        <w:spacing w:line="420" w:lineRule="exact"/>
        <w:ind w:firstLine="444" w:firstLineChars="202"/>
        <w:rPr>
          <w:rFonts w:hint="eastAsia" w:ascii="宋体" w:hAnsi="宋体" w:eastAsia="宋体" w:cs="宋体"/>
          <w:color w:val="auto"/>
          <w:szCs w:val="22"/>
          <w:highlight w:val="none"/>
        </w:rPr>
      </w:pPr>
      <w:r>
        <w:rPr>
          <w:rFonts w:hint="eastAsia" w:ascii="宋体" w:hAnsi="宋体" w:eastAsia="宋体" w:cs="宋体"/>
          <w:color w:val="auto"/>
          <w:szCs w:val="22"/>
          <w:highlight w:val="none"/>
        </w:rPr>
        <w:t>（1）分值汇总计算错误的；</w:t>
      </w:r>
    </w:p>
    <w:p w14:paraId="55727059">
      <w:pPr>
        <w:spacing w:line="420" w:lineRule="exact"/>
        <w:ind w:firstLine="444" w:firstLineChars="202"/>
        <w:rPr>
          <w:rFonts w:hint="eastAsia" w:ascii="宋体" w:hAnsi="宋体" w:eastAsia="宋体" w:cs="宋体"/>
          <w:color w:val="auto"/>
          <w:szCs w:val="22"/>
          <w:highlight w:val="none"/>
        </w:rPr>
      </w:pPr>
      <w:r>
        <w:rPr>
          <w:rFonts w:hint="eastAsia" w:ascii="宋体" w:hAnsi="宋体" w:eastAsia="宋体" w:cs="宋体"/>
          <w:color w:val="auto"/>
          <w:szCs w:val="22"/>
          <w:highlight w:val="none"/>
        </w:rPr>
        <w:t>（2）分项评分超出评分标准范围的；</w:t>
      </w:r>
    </w:p>
    <w:p w14:paraId="224CF035">
      <w:pPr>
        <w:spacing w:line="420" w:lineRule="exact"/>
        <w:ind w:firstLine="444" w:firstLineChars="202"/>
        <w:rPr>
          <w:rFonts w:hint="eastAsia" w:ascii="宋体" w:hAnsi="宋体" w:eastAsia="宋体" w:cs="宋体"/>
          <w:color w:val="auto"/>
          <w:szCs w:val="22"/>
          <w:highlight w:val="none"/>
        </w:rPr>
      </w:pPr>
      <w:r>
        <w:rPr>
          <w:rFonts w:hint="eastAsia" w:ascii="宋体" w:hAnsi="宋体" w:eastAsia="宋体" w:cs="宋体"/>
          <w:color w:val="auto"/>
          <w:szCs w:val="22"/>
          <w:highlight w:val="none"/>
        </w:rPr>
        <w:t>（3）评标委员会成员对客观评审因素评分不一致的；</w:t>
      </w:r>
    </w:p>
    <w:p w14:paraId="7CA7EDFA">
      <w:pPr>
        <w:spacing w:line="420" w:lineRule="exact"/>
        <w:ind w:firstLine="444" w:firstLineChars="202"/>
        <w:rPr>
          <w:rFonts w:hint="eastAsia" w:ascii="宋体" w:hAnsi="宋体" w:eastAsia="宋体" w:cs="宋体"/>
          <w:color w:val="auto"/>
          <w:szCs w:val="22"/>
          <w:highlight w:val="none"/>
        </w:rPr>
      </w:pPr>
      <w:r>
        <w:rPr>
          <w:rFonts w:hint="eastAsia" w:ascii="宋体" w:hAnsi="宋体" w:eastAsia="宋体" w:cs="宋体"/>
          <w:color w:val="auto"/>
          <w:szCs w:val="22"/>
          <w:highlight w:val="none"/>
        </w:rPr>
        <w:t>（4）经评标委员会认定评分畸高、畸低的。</w:t>
      </w:r>
    </w:p>
    <w:p w14:paraId="51619006">
      <w:pPr>
        <w:spacing w:line="420" w:lineRule="exact"/>
        <w:ind w:firstLine="446" w:firstLineChars="202"/>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10.2 评标报告签署前，经复核发现存在以上情形之一的，评标委员会将当场修改评标结果，并在评标报告中记载。</w:t>
      </w:r>
    </w:p>
    <w:p w14:paraId="26DF07EE">
      <w:pPr>
        <w:spacing w:line="420" w:lineRule="exact"/>
        <w:ind w:firstLine="444" w:firstLineChars="202"/>
        <w:rPr>
          <w:rFonts w:hint="eastAsia" w:ascii="宋体" w:hAnsi="宋体" w:eastAsia="宋体" w:cs="宋体"/>
          <w:color w:val="auto"/>
          <w:szCs w:val="22"/>
          <w:highlight w:val="none"/>
        </w:rPr>
      </w:pPr>
      <w:r>
        <w:rPr>
          <w:rFonts w:hint="eastAsia" w:ascii="宋体" w:hAnsi="宋体" w:eastAsia="宋体" w:cs="宋体"/>
          <w:color w:val="auto"/>
          <w:szCs w:val="22"/>
          <w:highlight w:val="none"/>
        </w:rPr>
        <w:t>11、供应商排序及推荐中标（成交）候选供应商</w:t>
      </w:r>
    </w:p>
    <w:p w14:paraId="553FEF74">
      <w:pPr>
        <w:spacing w:line="420" w:lineRule="exact"/>
        <w:ind w:firstLine="391" w:firstLineChars="177"/>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评标委员会根据以下规定确定供应商排名并推荐中标（成交）候选供应商。</w:t>
      </w:r>
    </w:p>
    <w:p w14:paraId="10D2259C">
      <w:pPr>
        <w:spacing w:line="420" w:lineRule="exact"/>
        <w:ind w:firstLine="391" w:firstLineChars="177"/>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11.1评标委员会根据各投标供应商的综合得分（商务技术分与报价得分之和）从高到低依次进行排名排序。特殊情形按以下原则处理：</w:t>
      </w:r>
    </w:p>
    <w:p w14:paraId="68F99DCC">
      <w:pPr>
        <w:spacing w:line="420" w:lineRule="exact"/>
        <w:ind w:firstLine="424" w:firstLineChars="193"/>
        <w:rPr>
          <w:rFonts w:hint="eastAsia" w:ascii="宋体" w:hAnsi="宋体" w:eastAsia="宋体" w:cs="宋体"/>
          <w:color w:val="auto"/>
          <w:szCs w:val="22"/>
          <w:highlight w:val="none"/>
        </w:rPr>
      </w:pPr>
      <w:r>
        <w:rPr>
          <w:rFonts w:hint="eastAsia" w:ascii="宋体" w:hAnsi="宋体" w:eastAsia="宋体" w:cs="宋体"/>
          <w:color w:val="auto"/>
          <w:szCs w:val="22"/>
          <w:highlight w:val="none"/>
        </w:rPr>
        <w:t>（1）综合得分相同的，按投标报价低的优先原则确定排名；</w:t>
      </w:r>
    </w:p>
    <w:p w14:paraId="4B2789EE">
      <w:pPr>
        <w:spacing w:line="420" w:lineRule="exact"/>
        <w:ind w:firstLine="424" w:firstLineChars="193"/>
        <w:rPr>
          <w:rFonts w:hint="eastAsia" w:ascii="宋体" w:hAnsi="宋体" w:eastAsia="宋体" w:cs="宋体"/>
          <w:color w:val="auto"/>
          <w:szCs w:val="22"/>
          <w:highlight w:val="none"/>
        </w:rPr>
      </w:pPr>
      <w:r>
        <w:rPr>
          <w:rFonts w:hint="eastAsia" w:ascii="宋体" w:hAnsi="宋体" w:eastAsia="宋体" w:cs="宋体"/>
          <w:color w:val="auto"/>
          <w:szCs w:val="22"/>
          <w:highlight w:val="none"/>
        </w:rPr>
        <w:t>（2）综合得分和投标报价均相同的，按技术资信得分从高到低确定排名；</w:t>
      </w:r>
    </w:p>
    <w:p w14:paraId="46E33BBD">
      <w:pPr>
        <w:spacing w:line="420" w:lineRule="exact"/>
        <w:ind w:firstLine="424" w:firstLineChars="193"/>
        <w:rPr>
          <w:rFonts w:hint="eastAsia" w:ascii="宋体" w:hAnsi="宋体" w:eastAsia="宋体" w:cs="宋体"/>
          <w:color w:val="auto"/>
          <w:szCs w:val="22"/>
          <w:highlight w:val="none"/>
        </w:rPr>
      </w:pPr>
      <w:r>
        <w:rPr>
          <w:rFonts w:hint="eastAsia" w:ascii="宋体" w:hAnsi="宋体" w:eastAsia="宋体" w:cs="宋体"/>
          <w:color w:val="auto"/>
          <w:szCs w:val="22"/>
          <w:highlight w:val="none"/>
        </w:rPr>
        <w:t>（3）综合得分、投标报价和资信技术得分均相同的由评标委员会全体成员记名投票按少数服从多数的原则确定排名。</w:t>
      </w:r>
    </w:p>
    <w:p w14:paraId="1677980E">
      <w:pPr>
        <w:spacing w:line="420" w:lineRule="exact"/>
        <w:ind w:firstLine="391" w:firstLineChars="177"/>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12.2根据最终得分排序，通过书面评审报告的形式，向采购人推荐</w:t>
      </w:r>
      <w:r>
        <w:rPr>
          <w:rFonts w:hint="eastAsia" w:ascii="宋体" w:hAnsi="宋体" w:eastAsia="宋体" w:cs="宋体"/>
          <w:b/>
          <w:color w:val="auto"/>
          <w:kern w:val="0"/>
          <w:szCs w:val="22"/>
          <w:highlight w:val="none"/>
        </w:rPr>
        <w:t>排名第一的投标供应商为中标（成交）候选供应商</w:t>
      </w:r>
      <w:r>
        <w:rPr>
          <w:rFonts w:hint="eastAsia" w:ascii="宋体" w:hAnsi="宋体" w:eastAsia="宋体" w:cs="宋体"/>
          <w:b/>
          <w:color w:val="auto"/>
          <w:szCs w:val="22"/>
          <w:highlight w:val="none"/>
        </w:rPr>
        <w:t>。</w:t>
      </w:r>
    </w:p>
    <w:p w14:paraId="05111520">
      <w:pPr>
        <w:spacing w:line="420" w:lineRule="exact"/>
        <w:ind w:firstLine="389" w:firstLineChars="177"/>
        <w:rPr>
          <w:rFonts w:hint="eastAsia" w:ascii="宋体" w:hAnsi="宋体" w:eastAsia="宋体" w:cs="宋体"/>
          <w:color w:val="auto"/>
          <w:szCs w:val="22"/>
          <w:highlight w:val="none"/>
        </w:rPr>
      </w:pPr>
      <w:r>
        <w:rPr>
          <w:rFonts w:hint="eastAsia" w:ascii="宋体" w:hAnsi="宋体" w:eastAsia="宋体" w:cs="宋体"/>
          <w:color w:val="auto"/>
          <w:szCs w:val="22"/>
          <w:highlight w:val="none"/>
        </w:rPr>
        <w:t>13、起草、签署评审报告</w:t>
      </w:r>
    </w:p>
    <w:p w14:paraId="7B641D66">
      <w:pPr>
        <w:spacing w:line="420" w:lineRule="exact"/>
        <w:ind w:firstLine="424" w:firstLineChars="193"/>
        <w:rPr>
          <w:rFonts w:hint="eastAsia" w:ascii="宋体" w:hAnsi="宋体" w:eastAsia="宋体" w:cs="宋体"/>
          <w:color w:val="auto"/>
          <w:szCs w:val="22"/>
          <w:highlight w:val="none"/>
        </w:rPr>
      </w:pPr>
      <w:r>
        <w:rPr>
          <w:rFonts w:hint="eastAsia" w:ascii="宋体" w:hAnsi="宋体" w:eastAsia="宋体" w:cs="宋体"/>
          <w:color w:val="auto"/>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AC8DBC6">
      <w:pPr>
        <w:pStyle w:val="18"/>
        <w:snapToGrid w:val="0"/>
        <w:spacing w:before="156" w:beforeLines="50" w:line="420" w:lineRule="exact"/>
        <w:ind w:firstLine="442" w:firstLineChars="200"/>
        <w:rPr>
          <w:rFonts w:hint="eastAsia" w:ascii="宋体" w:hAnsi="宋体" w:eastAsia="宋体" w:cs="宋体"/>
          <w:b/>
          <w:color w:val="auto"/>
          <w:highlight w:val="none"/>
        </w:rPr>
      </w:pPr>
      <w:r>
        <w:rPr>
          <w:rFonts w:hint="eastAsia" w:ascii="宋体" w:hAnsi="宋体" w:eastAsia="宋体" w:cs="宋体"/>
          <w:b/>
          <w:color w:val="auto"/>
          <w:highlight w:val="none"/>
        </w:rPr>
        <w:t>14、评审办法：见招标文件“第六部分 评审办法”</w:t>
      </w:r>
    </w:p>
    <w:p w14:paraId="16A40F60">
      <w:pPr>
        <w:shd w:val="clear" w:color="auto" w:fill="FFFFFF"/>
        <w:snapToGrid w:val="0"/>
        <w:spacing w:line="420" w:lineRule="exact"/>
        <w:ind w:firstLine="442" w:firstLineChars="20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15、评标内容的保密</w:t>
      </w:r>
    </w:p>
    <w:p w14:paraId="2EEEA48D">
      <w:pPr>
        <w:shd w:val="clear" w:color="auto" w:fill="FFFFFF"/>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1、公开开标后，直到宣布中标单位止，凡属于审查、澄清、评价和比较投标的所有资料，都不应向投标人或与评标无关的其他人泄露。</w:t>
      </w:r>
    </w:p>
    <w:p w14:paraId="142B846D">
      <w:pPr>
        <w:shd w:val="clear" w:color="auto" w:fill="FFFFFF"/>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2、在投标文件的审查、澄清、评价和比较以及确定中标人过程中，投标人对招标人、招标代理机构和评标委员会施加影响的任何行为，都将导致取消资格。</w:t>
      </w:r>
    </w:p>
    <w:p w14:paraId="6483FCD9">
      <w:pPr>
        <w:shd w:val="clear" w:color="auto" w:fill="FFFFFF"/>
        <w:snapToGrid w:val="0"/>
        <w:spacing w:line="420" w:lineRule="exact"/>
        <w:ind w:firstLine="442" w:firstLineChars="20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16、废标</w:t>
      </w:r>
    </w:p>
    <w:p w14:paraId="3687F3F7">
      <w:pPr>
        <w:pStyle w:val="17"/>
        <w:snapToGrid w:val="0"/>
        <w:spacing w:after="0" w:line="420" w:lineRule="exact"/>
        <w:ind w:left="440"/>
        <w:rPr>
          <w:rFonts w:hint="eastAsia" w:ascii="宋体" w:hAnsi="宋体" w:eastAsia="宋体" w:cs="宋体"/>
          <w:b/>
          <w:color w:val="auto"/>
          <w:highlight w:val="none"/>
        </w:rPr>
      </w:pPr>
      <w:r>
        <w:rPr>
          <w:rFonts w:hint="eastAsia" w:ascii="宋体" w:hAnsi="宋体" w:eastAsia="宋体" w:cs="宋体"/>
          <w:b/>
          <w:color w:val="auto"/>
          <w:highlight w:val="none"/>
        </w:rPr>
        <w:t>在采购中，出现下列情形之一的，应予废标：</w:t>
      </w:r>
    </w:p>
    <w:p w14:paraId="18A70A1F">
      <w:pPr>
        <w:pStyle w:val="17"/>
        <w:snapToGrid w:val="0"/>
        <w:spacing w:after="0" w:line="420" w:lineRule="exact"/>
        <w:ind w:left="0" w:leftChars="0" w:firstLine="442" w:firstLineChars="200"/>
        <w:rPr>
          <w:rFonts w:hint="eastAsia" w:ascii="宋体" w:hAnsi="宋体" w:eastAsia="宋体" w:cs="宋体"/>
          <w:b/>
          <w:color w:val="auto"/>
          <w:highlight w:val="none"/>
        </w:rPr>
      </w:pPr>
      <w:r>
        <w:rPr>
          <w:rFonts w:hint="eastAsia" w:ascii="宋体" w:hAnsi="宋体" w:eastAsia="宋体" w:cs="宋体"/>
          <w:b/>
          <w:color w:val="auto"/>
          <w:highlight w:val="none"/>
        </w:rPr>
        <w:t>(1)符合专业条件的供应商或者对招标文件作实质响应的供应商不足3家的；</w:t>
      </w:r>
    </w:p>
    <w:p w14:paraId="5B3C145D">
      <w:pPr>
        <w:pStyle w:val="17"/>
        <w:snapToGrid w:val="0"/>
        <w:spacing w:after="0" w:line="420" w:lineRule="exact"/>
        <w:ind w:left="0" w:leftChars="0" w:firstLine="442" w:firstLineChars="200"/>
        <w:rPr>
          <w:rFonts w:hint="eastAsia" w:ascii="宋体" w:hAnsi="宋体" w:eastAsia="宋体" w:cs="宋体"/>
          <w:b/>
          <w:color w:val="auto"/>
          <w:highlight w:val="none"/>
        </w:rPr>
      </w:pPr>
      <w:r>
        <w:rPr>
          <w:rFonts w:hint="eastAsia" w:ascii="宋体" w:hAnsi="宋体" w:eastAsia="宋体" w:cs="宋体"/>
          <w:b/>
          <w:color w:val="auto"/>
          <w:highlight w:val="none"/>
        </w:rPr>
        <w:t>(2)出现影响采购公正的违法、违规行为的；</w:t>
      </w:r>
    </w:p>
    <w:p w14:paraId="2AE60A1B">
      <w:pPr>
        <w:pStyle w:val="17"/>
        <w:snapToGrid w:val="0"/>
        <w:spacing w:after="0" w:line="420" w:lineRule="exact"/>
        <w:ind w:left="0" w:leftChars="0" w:firstLine="442" w:firstLineChars="200"/>
        <w:rPr>
          <w:rFonts w:hint="eastAsia" w:ascii="宋体" w:hAnsi="宋体" w:eastAsia="宋体" w:cs="宋体"/>
          <w:b/>
          <w:color w:val="auto"/>
          <w:highlight w:val="none"/>
        </w:rPr>
      </w:pPr>
      <w:r>
        <w:rPr>
          <w:rFonts w:hint="eastAsia" w:ascii="宋体" w:hAnsi="宋体" w:eastAsia="宋体" w:cs="宋体"/>
          <w:b/>
          <w:color w:val="auto"/>
          <w:highlight w:val="none"/>
        </w:rPr>
        <w:t>(3)报价均超过最高限价，不能支付的；</w:t>
      </w:r>
    </w:p>
    <w:p w14:paraId="561E6AE0">
      <w:pPr>
        <w:shd w:val="clear" w:color="auto" w:fill="FFFFFF"/>
        <w:snapToGrid w:val="0"/>
        <w:spacing w:line="420" w:lineRule="exact"/>
        <w:ind w:firstLine="442"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(4)因重大变故，采购任务取消的。</w:t>
      </w:r>
    </w:p>
    <w:p w14:paraId="67F6EEA3">
      <w:pPr>
        <w:shd w:val="clear" w:color="auto" w:fill="FFFFFF"/>
        <w:snapToGrid w:val="0"/>
        <w:spacing w:line="420" w:lineRule="exact"/>
        <w:ind w:firstLine="442" w:firstLineChars="200"/>
        <w:rPr>
          <w:rFonts w:hint="eastAsia" w:ascii="宋体" w:hAnsi="宋体" w:eastAsia="宋体" w:cs="宋体"/>
          <w:b/>
          <w:bCs/>
          <w:color w:val="auto"/>
          <w:szCs w:val="22"/>
          <w:highlight w:val="none"/>
        </w:rPr>
      </w:pPr>
      <w:r>
        <w:rPr>
          <w:rFonts w:hint="eastAsia" w:ascii="宋体" w:hAnsi="宋体" w:eastAsia="宋体" w:cs="宋体"/>
          <w:b/>
          <w:color w:val="auto"/>
          <w:szCs w:val="22"/>
          <w:highlight w:val="none"/>
        </w:rPr>
        <w:t>17、可中止电子交易活动的情形</w:t>
      </w:r>
    </w:p>
    <w:p w14:paraId="072DC633">
      <w:pPr>
        <w:spacing w:line="420" w:lineRule="exact"/>
        <w:ind w:firstLine="389" w:firstLineChars="176"/>
        <w:rPr>
          <w:rFonts w:hint="eastAsia" w:ascii="宋体" w:hAnsi="宋体" w:eastAsia="宋体" w:cs="宋体"/>
          <w:color w:val="auto"/>
          <w:szCs w:val="22"/>
          <w:highlight w:val="none"/>
        </w:rPr>
      </w:pPr>
      <w:r>
        <w:rPr>
          <w:rFonts w:hint="eastAsia" w:ascii="宋体" w:hAnsi="宋体" w:eastAsia="宋体" w:cs="宋体"/>
          <w:b/>
          <w:color w:val="auto"/>
          <w:szCs w:val="22"/>
          <w:highlight w:val="none"/>
        </w:rPr>
        <w:t>采购过程中出现以下情形，导致电子交易平台无法正常运行，或者无法保证电子交易的公平、公正和安全时，采购组织机构可中止电子交易活动：</w:t>
      </w:r>
    </w:p>
    <w:p w14:paraId="021943FC">
      <w:pPr>
        <w:spacing w:line="420" w:lineRule="exact"/>
        <w:ind w:firstLine="387" w:firstLineChars="176"/>
        <w:rPr>
          <w:rFonts w:hint="eastAsia" w:ascii="宋体" w:hAnsi="宋体" w:eastAsia="宋体" w:cs="宋体"/>
          <w:color w:val="auto"/>
          <w:szCs w:val="22"/>
          <w:highlight w:val="none"/>
        </w:rPr>
      </w:pPr>
      <w:r>
        <w:rPr>
          <w:rFonts w:hint="eastAsia" w:ascii="宋体" w:hAnsi="宋体" w:eastAsia="宋体" w:cs="宋体"/>
          <w:color w:val="auto"/>
          <w:szCs w:val="22"/>
          <w:highlight w:val="none"/>
        </w:rPr>
        <w:t>（1）电子交易平台发生故障而无法登录访问的；</w:t>
      </w:r>
    </w:p>
    <w:p w14:paraId="1E51C988">
      <w:pPr>
        <w:spacing w:line="420" w:lineRule="exact"/>
        <w:ind w:firstLine="387" w:firstLineChars="176"/>
        <w:rPr>
          <w:rFonts w:hint="eastAsia" w:ascii="宋体" w:hAnsi="宋体" w:eastAsia="宋体" w:cs="宋体"/>
          <w:color w:val="auto"/>
          <w:szCs w:val="22"/>
          <w:highlight w:val="none"/>
        </w:rPr>
      </w:pPr>
      <w:r>
        <w:rPr>
          <w:rFonts w:hint="eastAsia" w:ascii="宋体" w:hAnsi="宋体" w:eastAsia="宋体" w:cs="宋体"/>
          <w:color w:val="auto"/>
          <w:szCs w:val="22"/>
          <w:highlight w:val="none"/>
        </w:rPr>
        <w:t>（2）电子交易平台应用或数据库出现错误，不能进行正常操作的；</w:t>
      </w:r>
    </w:p>
    <w:p w14:paraId="42AD159D">
      <w:pPr>
        <w:spacing w:line="420" w:lineRule="exact"/>
        <w:ind w:firstLine="387" w:firstLineChars="176"/>
        <w:rPr>
          <w:rFonts w:hint="eastAsia" w:ascii="宋体" w:hAnsi="宋体" w:eastAsia="宋体" w:cs="宋体"/>
          <w:color w:val="auto"/>
          <w:szCs w:val="22"/>
          <w:highlight w:val="none"/>
        </w:rPr>
      </w:pPr>
      <w:r>
        <w:rPr>
          <w:rFonts w:hint="eastAsia" w:ascii="宋体" w:hAnsi="宋体" w:eastAsia="宋体" w:cs="宋体"/>
          <w:color w:val="auto"/>
          <w:szCs w:val="22"/>
          <w:highlight w:val="none"/>
        </w:rPr>
        <w:t>（3）电子交易平台发现严重安全漏洞，有潜在泄密危险的；</w:t>
      </w:r>
    </w:p>
    <w:p w14:paraId="05230327">
      <w:pPr>
        <w:spacing w:line="420" w:lineRule="exact"/>
        <w:ind w:firstLine="387" w:firstLineChars="176"/>
        <w:rPr>
          <w:rFonts w:hint="eastAsia" w:ascii="宋体" w:hAnsi="宋体" w:eastAsia="宋体" w:cs="宋体"/>
          <w:color w:val="auto"/>
          <w:szCs w:val="22"/>
          <w:highlight w:val="none"/>
        </w:rPr>
      </w:pPr>
      <w:r>
        <w:rPr>
          <w:rFonts w:hint="eastAsia" w:ascii="宋体" w:hAnsi="宋体" w:eastAsia="宋体" w:cs="宋体"/>
          <w:color w:val="auto"/>
          <w:szCs w:val="22"/>
          <w:highlight w:val="none"/>
        </w:rPr>
        <w:t>（4）病毒发作导致不能进行正常操作的；</w:t>
      </w:r>
    </w:p>
    <w:p w14:paraId="2B3C9DDA">
      <w:pPr>
        <w:spacing w:line="420" w:lineRule="exact"/>
        <w:ind w:firstLine="387" w:firstLineChars="176"/>
        <w:rPr>
          <w:rFonts w:hint="eastAsia" w:ascii="宋体" w:hAnsi="宋体" w:eastAsia="宋体" w:cs="宋体"/>
          <w:color w:val="auto"/>
          <w:szCs w:val="22"/>
          <w:highlight w:val="none"/>
        </w:rPr>
      </w:pPr>
      <w:r>
        <w:rPr>
          <w:rFonts w:hint="eastAsia" w:ascii="宋体" w:hAnsi="宋体" w:eastAsia="宋体" w:cs="宋体"/>
          <w:color w:val="auto"/>
          <w:szCs w:val="22"/>
          <w:highlight w:val="none"/>
        </w:rPr>
        <w:t>（5）其他无法保证电子交易的公平、公正和安全的情况。</w:t>
      </w:r>
    </w:p>
    <w:p w14:paraId="4F806DE4">
      <w:pPr>
        <w:spacing w:line="420" w:lineRule="exact"/>
        <w:ind w:firstLine="389" w:firstLineChars="176"/>
        <w:rPr>
          <w:rFonts w:hint="eastAsia" w:ascii="宋体" w:hAnsi="宋体" w:eastAsia="宋体" w:cs="宋体"/>
          <w:color w:val="auto"/>
          <w:szCs w:val="22"/>
          <w:highlight w:val="none"/>
        </w:rPr>
      </w:pPr>
      <w:r>
        <w:rPr>
          <w:rFonts w:hint="eastAsia" w:ascii="宋体" w:hAnsi="宋体" w:eastAsia="宋体" w:cs="宋体"/>
          <w:b/>
          <w:color w:val="auto"/>
          <w:szCs w:val="22"/>
          <w:highlight w:val="none"/>
        </w:rPr>
        <w:t>出现前款规定情形，不影响采购公平、公正性的，采购组织机构可以待上述情形消除后继续组织电子交易活动；影响或可能影响采购公平、公正性的，应当重新采购。</w:t>
      </w:r>
    </w:p>
    <w:p w14:paraId="0D04986D">
      <w:pPr>
        <w:pStyle w:val="5"/>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八、授予合同</w:t>
      </w:r>
    </w:p>
    <w:p w14:paraId="3753E8CD">
      <w:pPr>
        <w:adjustRightInd w:val="0"/>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1、决标</w:t>
      </w:r>
    </w:p>
    <w:p w14:paraId="3375EB25">
      <w:pPr>
        <w:adjustRightInd w:val="0"/>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评标结束后，评标委员会按照招标文件确定的评标办法确定预中标候选人。</w:t>
      </w:r>
    </w:p>
    <w:p w14:paraId="3A11F4BC">
      <w:pPr>
        <w:adjustRightInd w:val="0"/>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2、中标通知书</w:t>
      </w:r>
    </w:p>
    <w:p w14:paraId="7E0BB0C8">
      <w:pPr>
        <w:adjustRightInd w:val="0"/>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2.1、招标机构在浙江省政府采购网和温州市公共资源交易网苍南县分网上公示中标结果，公示期结束，如无异议，将向预中标候选人发出中标通知书。如发现投标人资格无效，则重新组织招标。</w:t>
      </w:r>
    </w:p>
    <w:p w14:paraId="1A5A51BC">
      <w:pPr>
        <w:adjustRightInd w:val="0"/>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2.2、中标通知书对招标人和中标人具有法律约束力。中标通知书发出后，招标人改变中标结果或者中标人放弃中标的，应当承担法律责任。</w:t>
      </w:r>
    </w:p>
    <w:p w14:paraId="127BEFE5">
      <w:pPr>
        <w:adjustRightInd w:val="0"/>
        <w:snapToGrid w:val="0"/>
        <w:spacing w:line="420" w:lineRule="exact"/>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2.3、评标委员会对评标结果不负责解释。</w:t>
      </w:r>
    </w:p>
    <w:p w14:paraId="37AEF08B">
      <w:pPr>
        <w:pStyle w:val="18"/>
        <w:adjustRightInd w:val="0"/>
        <w:snapToGrid w:val="0"/>
        <w:spacing w:line="420" w:lineRule="exact"/>
        <w:ind w:firstLine="440" w:firstLineChars="200"/>
        <w:rPr>
          <w:rFonts w:hint="eastAsia" w:ascii="宋体" w:hAnsi="宋体" w:eastAsia="宋体" w:cs="宋体"/>
          <w:color w:val="auto"/>
          <w:highlight w:val="none"/>
        </w:rPr>
      </w:pPr>
      <w:bookmarkStart w:id="26" w:name="_Toc132122421"/>
      <w:bookmarkStart w:id="27" w:name="_Toc132122124"/>
      <w:r>
        <w:rPr>
          <w:rFonts w:hint="eastAsia" w:ascii="宋体" w:hAnsi="宋体" w:eastAsia="宋体" w:cs="宋体"/>
          <w:color w:val="auto"/>
          <w:highlight w:val="none"/>
        </w:rPr>
        <w:t>3、签订合同</w:t>
      </w:r>
      <w:bookmarkEnd w:id="26"/>
      <w:bookmarkEnd w:id="27"/>
    </w:p>
    <w:p w14:paraId="4D4EE1DB">
      <w:pPr>
        <w:pStyle w:val="18"/>
        <w:adjustRightInd w:val="0"/>
        <w:snapToGrid w:val="0"/>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中标公示发出后，招标代理机构向中标供应商发放中标通知书，中标供应商在领取中标通知书后30天内到采购人处与采购人签订合同。中标供应商未在规定时间内到采购人处与采购人签订合同，则视为拒签合同。</w:t>
      </w:r>
    </w:p>
    <w:p w14:paraId="663B74D5">
      <w:pPr>
        <w:pStyle w:val="18"/>
        <w:adjustRightInd w:val="0"/>
        <w:snapToGrid w:val="0"/>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3.2、招标文件、中标供应商的投标文件及投标修改文件、评标过程中有关澄清文件及经双方签字的询标纪要（承诺）和中标通知书均作为合同附件。</w:t>
      </w:r>
    </w:p>
    <w:p w14:paraId="11FE0D43">
      <w:pPr>
        <w:pStyle w:val="18"/>
        <w:adjustRightInd w:val="0"/>
        <w:snapToGrid w:val="0"/>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3.3、拒签合同的责任</w:t>
      </w:r>
    </w:p>
    <w:p w14:paraId="5A4F7CCF">
      <w:pPr>
        <w:pStyle w:val="18"/>
        <w:adjustRightInd w:val="0"/>
        <w:snapToGrid w:val="0"/>
        <w:spacing w:line="420" w:lineRule="exact"/>
        <w:ind w:firstLine="442" w:firstLineChars="200"/>
        <w:rPr>
          <w:rFonts w:hint="eastAsia" w:ascii="宋体" w:hAnsi="宋体" w:eastAsia="宋体" w:cs="宋体"/>
          <w:color w:val="auto"/>
          <w:highlight w:val="none"/>
        </w:rPr>
      </w:pPr>
      <w:r>
        <w:rPr>
          <w:rFonts w:hint="eastAsia" w:ascii="宋体" w:hAnsi="宋体" w:eastAsia="宋体" w:cs="宋体"/>
          <w:b/>
          <w:bCs/>
          <w:color w:val="auto"/>
          <w:szCs w:val="21"/>
          <w:highlight w:val="none"/>
        </w:rPr>
        <w:t>中标供应商接到中标通知书后，在30日内借故否认已经承诺的条件而拒签合同，以投标违约处理，并赔偿采购人由此造成的直接经济损失；采购人重新组织招标的，所需费用由原中标供应商承担。</w:t>
      </w:r>
    </w:p>
    <w:p w14:paraId="40E5B3D9">
      <w:pPr>
        <w:snapToGrid w:val="0"/>
        <w:spacing w:line="360" w:lineRule="exact"/>
        <w:ind w:firstLine="541" w:firstLineChars="246"/>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4、采购代理服务费 </w:t>
      </w:r>
    </w:p>
    <w:p w14:paraId="47315915">
      <w:pPr>
        <w:snapToGrid w:val="0"/>
        <w:spacing w:line="360" w:lineRule="exact"/>
        <w:ind w:firstLine="541" w:firstLineChars="246"/>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中标（成交）供应商中标后，须按以下金额一次性向采购组织机构支付采购代理服务费，招标代理服务费包含在投标总价中。</w:t>
      </w:r>
    </w:p>
    <w:p w14:paraId="4B335EE2">
      <w:pPr>
        <w:snapToGrid w:val="0"/>
        <w:spacing w:line="360" w:lineRule="exact"/>
        <w:ind w:firstLine="541" w:firstLineChars="246"/>
        <w:rPr>
          <w:rFonts w:hint="eastAsia" w:ascii="宋体" w:hAnsi="宋体" w:eastAsia="宋体" w:cs="宋体"/>
          <w:color w:val="auto"/>
          <w:szCs w:val="22"/>
          <w:highlight w:val="none"/>
        </w:rPr>
      </w:pPr>
      <w:r>
        <w:rPr>
          <w:rFonts w:hint="eastAsia" w:ascii="宋体" w:hAnsi="宋体" w:eastAsia="宋体" w:cs="宋体"/>
          <w:color w:val="auto"/>
          <w:szCs w:val="22"/>
          <w:highlight w:val="none"/>
        </w:rPr>
        <w:t>全程代理服务费参照市场取费，招标代理费为</w:t>
      </w:r>
      <w:r>
        <w:rPr>
          <w:rFonts w:hint="eastAsia" w:ascii="宋体" w:hAnsi="宋体" w:eastAsia="宋体" w:cs="宋体"/>
          <w:color w:val="auto"/>
          <w:szCs w:val="22"/>
          <w:highlight w:val="none"/>
          <w:u w:val="single"/>
          <w:lang w:val="en-US" w:eastAsia="zh-CN"/>
        </w:rPr>
        <w:t xml:space="preserve"> 2</w:t>
      </w:r>
      <w:r>
        <w:rPr>
          <w:rFonts w:hint="eastAsia" w:ascii="宋体" w:hAnsi="宋体" w:cs="宋体"/>
          <w:color w:val="auto"/>
          <w:szCs w:val="22"/>
          <w:highlight w:val="none"/>
          <w:u w:val="single"/>
          <w:lang w:val="en-US" w:eastAsia="zh-CN"/>
        </w:rPr>
        <w:t>18</w:t>
      </w:r>
      <w:r>
        <w:rPr>
          <w:rFonts w:hint="eastAsia" w:ascii="宋体" w:hAnsi="宋体" w:eastAsia="宋体" w:cs="宋体"/>
          <w:color w:val="auto"/>
          <w:szCs w:val="22"/>
          <w:highlight w:val="none"/>
          <w:u w:val="single"/>
          <w:lang w:val="en-US" w:eastAsia="zh-CN"/>
        </w:rPr>
        <w:t>0</w:t>
      </w:r>
      <w:r>
        <w:rPr>
          <w:rFonts w:hint="eastAsia" w:ascii="宋体" w:hAnsi="宋体" w:cs="宋体"/>
          <w:color w:val="auto"/>
          <w:szCs w:val="22"/>
          <w:highlight w:val="none"/>
          <w:u w:val="single"/>
          <w:lang w:val="en-US" w:eastAsia="zh-CN"/>
        </w:rPr>
        <w:t>0</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元。</w:t>
      </w:r>
    </w:p>
    <w:p w14:paraId="0CCBDF4B">
      <w:pPr>
        <w:snapToGrid w:val="0"/>
        <w:spacing w:line="360" w:lineRule="exact"/>
        <w:ind w:firstLine="541" w:firstLineChars="246"/>
        <w:rPr>
          <w:rFonts w:hint="eastAsia" w:ascii="宋体" w:hAnsi="宋体" w:eastAsia="宋体" w:cs="宋体"/>
          <w:color w:val="auto"/>
          <w:szCs w:val="22"/>
          <w:highlight w:val="none"/>
        </w:rPr>
      </w:pPr>
      <w:r>
        <w:rPr>
          <w:rFonts w:hint="eastAsia" w:ascii="宋体" w:hAnsi="宋体" w:eastAsia="宋体" w:cs="宋体"/>
          <w:color w:val="auto"/>
          <w:szCs w:val="22"/>
          <w:highlight w:val="none"/>
        </w:rPr>
        <w:t>招标代理服务费汇入以下帐号：</w:t>
      </w:r>
    </w:p>
    <w:p w14:paraId="0441F5E6">
      <w:pPr>
        <w:snapToGrid w:val="0"/>
        <w:spacing w:line="360" w:lineRule="exact"/>
        <w:ind w:firstLine="541" w:firstLineChars="246"/>
        <w:rPr>
          <w:rFonts w:hint="eastAsia" w:ascii="宋体" w:hAnsi="宋体" w:eastAsia="宋体" w:cs="宋体"/>
          <w:color w:val="auto"/>
          <w:szCs w:val="22"/>
          <w:highlight w:val="none"/>
        </w:rPr>
      </w:pPr>
      <w:r>
        <w:rPr>
          <w:rFonts w:hint="eastAsia" w:ascii="宋体" w:hAnsi="宋体" w:eastAsia="宋体" w:cs="宋体"/>
          <w:color w:val="auto"/>
          <w:szCs w:val="22"/>
          <w:highlight w:val="none"/>
        </w:rPr>
        <w:t>户  名：</w:t>
      </w:r>
      <w:r>
        <w:rPr>
          <w:rFonts w:hint="eastAsia" w:ascii="宋体" w:hAnsi="宋体" w:eastAsia="宋体" w:cs="宋体"/>
          <w:color w:val="auto"/>
          <w:szCs w:val="22"/>
          <w:highlight w:val="none"/>
          <w:lang w:eastAsia="zh-CN"/>
        </w:rPr>
        <w:t>浙江国信工程管理咨询有限公司</w:t>
      </w:r>
      <w:r>
        <w:rPr>
          <w:rFonts w:hint="eastAsia" w:ascii="宋体" w:hAnsi="宋体" w:eastAsia="宋体" w:cs="宋体"/>
          <w:color w:val="auto"/>
          <w:szCs w:val="22"/>
          <w:highlight w:val="none"/>
        </w:rPr>
        <w:t>苍南分公司</w:t>
      </w:r>
    </w:p>
    <w:p w14:paraId="71832E20">
      <w:pPr>
        <w:snapToGrid w:val="0"/>
        <w:spacing w:line="360" w:lineRule="exact"/>
        <w:ind w:firstLine="541" w:firstLineChars="246"/>
        <w:rPr>
          <w:rFonts w:hint="eastAsia" w:ascii="宋体" w:hAnsi="宋体" w:eastAsia="宋体" w:cs="宋体"/>
          <w:color w:val="auto"/>
          <w:szCs w:val="22"/>
          <w:highlight w:val="none"/>
        </w:rPr>
      </w:pPr>
      <w:r>
        <w:rPr>
          <w:rFonts w:hint="eastAsia" w:ascii="宋体" w:hAnsi="宋体" w:eastAsia="宋体" w:cs="宋体"/>
          <w:color w:val="auto"/>
          <w:szCs w:val="22"/>
          <w:highlight w:val="none"/>
        </w:rPr>
        <w:t>帐  号：33050162727300000212</w:t>
      </w:r>
    </w:p>
    <w:p w14:paraId="508D7CF5">
      <w:pPr>
        <w:snapToGrid w:val="0"/>
        <w:spacing w:line="360" w:lineRule="exact"/>
        <w:ind w:firstLine="541" w:firstLineChars="246"/>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开户行：中国建设银行苍南横阳支行</w:t>
      </w:r>
    </w:p>
    <w:p w14:paraId="0CE5720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E46DB57">
      <w:pPr>
        <w:pStyle w:val="3"/>
        <w:spacing w:line="420" w:lineRule="exact"/>
        <w:rPr>
          <w:rFonts w:hint="eastAsia" w:ascii="宋体" w:hAnsi="宋体" w:eastAsia="宋体" w:cs="宋体"/>
          <w:color w:val="auto"/>
          <w:sz w:val="30"/>
          <w:highlight w:val="none"/>
        </w:rPr>
      </w:pPr>
      <w:r>
        <w:rPr>
          <w:rFonts w:hint="eastAsia" w:ascii="宋体" w:hAnsi="宋体" w:eastAsia="宋体" w:cs="宋体"/>
          <w:color w:val="auto"/>
          <w:highlight w:val="none"/>
        </w:rPr>
        <w:t>第四部分  政府采购合同（参考）</w:t>
      </w:r>
    </w:p>
    <w:p w14:paraId="2F598A33">
      <w:pPr>
        <w:snapToGrid w:val="0"/>
        <w:spacing w:line="420" w:lineRule="exact"/>
        <w:ind w:firstLine="541" w:firstLineChars="246"/>
        <w:rPr>
          <w:rFonts w:hint="eastAsia" w:ascii="宋体" w:hAnsi="宋体" w:eastAsia="宋体" w:cs="宋体"/>
          <w:color w:val="auto"/>
          <w:szCs w:val="22"/>
          <w:highlight w:val="none"/>
        </w:rPr>
      </w:pPr>
      <w:r>
        <w:rPr>
          <w:rFonts w:hint="eastAsia" w:ascii="宋体" w:hAnsi="宋体" w:eastAsia="宋体" w:cs="宋体"/>
          <w:color w:val="auto"/>
          <w:szCs w:val="22"/>
          <w:highlight w:val="none"/>
        </w:rPr>
        <w:t>说明：如甲、乙双方同意，合同格式也可以按照其他形式。但合同条款的基本内容应与合同主要条款要求的内容相一致。</w:t>
      </w:r>
    </w:p>
    <w:p w14:paraId="19178818">
      <w:pPr>
        <w:autoSpaceDE w:val="0"/>
        <w:autoSpaceDN w:val="0"/>
        <w:adjustRightInd w:val="0"/>
        <w:spacing w:line="42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苍南县政府采购合同</w:t>
      </w:r>
    </w:p>
    <w:p w14:paraId="36CCB1B9">
      <w:pPr>
        <w:wordWrap w:val="0"/>
        <w:autoSpaceDE w:val="0"/>
        <w:autoSpaceDN w:val="0"/>
        <w:adjustRightInd w:val="0"/>
        <w:spacing w:line="420" w:lineRule="exact"/>
        <w:jc w:val="right"/>
        <w:rPr>
          <w:rFonts w:hint="default" w:ascii="宋体" w:hAnsi="宋体" w:eastAsia="宋体" w:cs="宋体"/>
          <w:b/>
          <w:color w:val="auto"/>
          <w:kern w:val="0"/>
          <w:szCs w:val="22"/>
          <w:highlight w:val="none"/>
          <w:lang w:val="en-US"/>
        </w:rPr>
      </w:pPr>
      <w:r>
        <w:rPr>
          <w:rFonts w:hint="eastAsia" w:ascii="宋体" w:hAnsi="宋体" w:eastAsia="宋体" w:cs="宋体"/>
          <w:b/>
          <w:color w:val="auto"/>
          <w:kern w:val="0"/>
          <w:szCs w:val="22"/>
          <w:highlight w:val="none"/>
        </w:rPr>
        <w:t>合同编号：</w:t>
      </w:r>
      <w:r>
        <w:rPr>
          <w:rFonts w:hint="eastAsia" w:ascii="宋体" w:hAnsi="宋体" w:cs="宋体"/>
          <w:b/>
          <w:color w:val="auto"/>
          <w:kern w:val="0"/>
          <w:szCs w:val="22"/>
          <w:highlight w:val="none"/>
          <w:lang w:val="en-US" w:eastAsia="zh-CN"/>
        </w:rPr>
        <w:t xml:space="preserve">     </w:t>
      </w:r>
    </w:p>
    <w:p w14:paraId="65CAD81A">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甲方（采购人）：苍南县灵溪镇人民政府</w:t>
      </w:r>
    </w:p>
    <w:p w14:paraId="31D14BBE">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乙方（中标人）：</w:t>
      </w:r>
    </w:p>
    <w:p w14:paraId="42A9141A">
      <w:pPr>
        <w:spacing w:line="360" w:lineRule="auto"/>
        <w:ind w:firstLine="442" w:firstLineChars="200"/>
        <w:rPr>
          <w:rFonts w:hint="eastAsia" w:ascii="宋体" w:hAnsi="宋体"/>
          <w:b/>
          <w:bCs/>
          <w:color w:val="auto"/>
          <w:szCs w:val="21"/>
          <w:highlight w:val="none"/>
        </w:rPr>
      </w:pPr>
      <w:r>
        <w:rPr>
          <w:rFonts w:hint="eastAsia" w:ascii="宋体" w:hAnsi="宋体"/>
          <w:b/>
          <w:bCs/>
          <w:color w:val="auto"/>
          <w:szCs w:val="21"/>
          <w:highlight w:val="none"/>
        </w:rPr>
        <w:t>按照《中华人民共和国民法典》、《中华人民共和国政府采购法》等国家有关法律法规之规定和《</w:t>
      </w:r>
      <w:r>
        <w:rPr>
          <w:rFonts w:hint="eastAsia" w:ascii="宋体" w:hAnsi="宋体"/>
          <w:b/>
          <w:bCs/>
          <w:color w:val="auto"/>
          <w:szCs w:val="21"/>
          <w:highlight w:val="none"/>
          <w:lang w:eastAsia="zh-CN"/>
        </w:rPr>
        <w:t>2025年度苍南县百里平水公园(灵溪段)及南塘长效管理项目（重）</w:t>
      </w:r>
      <w:r>
        <w:rPr>
          <w:rFonts w:hint="eastAsia" w:ascii="宋体" w:hAnsi="宋体"/>
          <w:b/>
          <w:bCs/>
          <w:color w:val="auto"/>
          <w:szCs w:val="21"/>
          <w:highlight w:val="none"/>
        </w:rPr>
        <w:t>采购招标文件》的原则及规定，甲、乙双方根据采购编号：</w:t>
      </w:r>
      <w:r>
        <w:rPr>
          <w:rFonts w:hint="eastAsia" w:ascii="宋体" w:hAnsi="宋体"/>
          <w:b/>
          <w:bCs/>
          <w:color w:val="auto"/>
          <w:szCs w:val="21"/>
          <w:highlight w:val="none"/>
          <w:lang w:eastAsia="zh-CN"/>
        </w:rPr>
        <w:t>CNDL2025101</w:t>
      </w:r>
      <w:r>
        <w:rPr>
          <w:rFonts w:hint="eastAsia" w:ascii="宋体" w:hAnsi="宋体"/>
          <w:b/>
          <w:bCs/>
          <w:color w:val="auto"/>
          <w:szCs w:val="21"/>
          <w:highlight w:val="none"/>
        </w:rPr>
        <w:t>，</w:t>
      </w:r>
      <w:r>
        <w:rPr>
          <w:rFonts w:hint="eastAsia" w:ascii="宋体" w:hAnsi="宋体"/>
          <w:b/>
          <w:bCs/>
          <w:color w:val="auto"/>
          <w:szCs w:val="21"/>
          <w:highlight w:val="none"/>
          <w:lang w:eastAsia="zh-CN"/>
        </w:rPr>
        <w:t>2025年度苍南县百里平水公园(灵溪段)及南塘长效管理项目（重）</w:t>
      </w:r>
      <w:r>
        <w:rPr>
          <w:rFonts w:hint="eastAsia" w:ascii="宋体" w:hAnsi="宋体"/>
          <w:b/>
          <w:bCs/>
          <w:color w:val="auto"/>
          <w:szCs w:val="21"/>
          <w:highlight w:val="none"/>
        </w:rPr>
        <w:t xml:space="preserve">的招标结果，经双方协商一致，签署本合同。 </w:t>
      </w:r>
    </w:p>
    <w:p w14:paraId="42DA2EB4">
      <w:pPr>
        <w:spacing w:line="360"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第一条   本协议项目基本情况</w:t>
      </w:r>
    </w:p>
    <w:p w14:paraId="510CDB5E">
      <w:pPr>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一、项目类型：百里平水公园管理区域：以标书服务范围为准</w:t>
      </w:r>
    </w:p>
    <w:p w14:paraId="3BA39C57">
      <w:pPr>
        <w:snapToGrid w:val="0"/>
        <w:spacing w:line="360" w:lineRule="auto"/>
        <w:ind w:firstLine="431" w:firstLineChars="196"/>
        <w:rPr>
          <w:rFonts w:hint="eastAsia" w:ascii="宋体" w:hAnsi="宋体" w:eastAsia="宋体" w:cs="宋体"/>
          <w:color w:val="auto"/>
          <w:szCs w:val="22"/>
          <w:highlight w:val="none"/>
        </w:rPr>
      </w:pPr>
      <w:r>
        <w:rPr>
          <w:rFonts w:hint="eastAsia" w:ascii="宋体" w:hAnsi="宋体" w:eastAsia="宋体" w:cs="宋体"/>
          <w:color w:val="auto"/>
          <w:szCs w:val="22"/>
          <w:highlight w:val="none"/>
        </w:rPr>
        <w:t>二、坐落位置：苍南县百里平水公园（以标书描述为准）。</w:t>
      </w:r>
    </w:p>
    <w:p w14:paraId="29148B4B">
      <w:pPr>
        <w:spacing w:line="360" w:lineRule="auto"/>
        <w:rPr>
          <w:rFonts w:ascii="宋体" w:hAnsi="宋体"/>
          <w:b w:val="0"/>
          <w:color w:val="auto"/>
          <w:szCs w:val="21"/>
          <w:highlight w:val="none"/>
        </w:rPr>
      </w:pPr>
      <w:r>
        <w:rPr>
          <w:rFonts w:hint="eastAsia" w:ascii="宋体" w:hAnsi="宋体"/>
          <w:b/>
          <w:bCs/>
          <w:color w:val="auto"/>
          <w:szCs w:val="21"/>
          <w:highlight w:val="none"/>
        </w:rPr>
        <w:t>第二条  承包内容</w:t>
      </w:r>
    </w:p>
    <w:p w14:paraId="031B69F9">
      <w:pPr>
        <w:spacing w:line="360" w:lineRule="auto"/>
        <w:ind w:firstLine="440" w:firstLineChars="200"/>
        <w:rPr>
          <w:rFonts w:hint="eastAsia" w:ascii="宋体" w:hAnsi="宋体"/>
          <w:b w:val="0"/>
          <w:color w:val="auto"/>
          <w:szCs w:val="21"/>
          <w:highlight w:val="none"/>
        </w:rPr>
      </w:pPr>
      <w:r>
        <w:rPr>
          <w:rFonts w:hint="eastAsia" w:ascii="宋体" w:hAnsi="宋体"/>
          <w:b w:val="0"/>
          <w:color w:val="auto"/>
          <w:szCs w:val="21"/>
          <w:highlight w:val="none"/>
        </w:rPr>
        <w:t>详见</w:t>
      </w:r>
      <w:r>
        <w:rPr>
          <w:rFonts w:hint="eastAsia" w:ascii="宋体" w:hAnsi="宋体"/>
          <w:b w:val="0"/>
          <w:color w:val="auto"/>
          <w:szCs w:val="21"/>
          <w:highlight w:val="none"/>
          <w:lang w:val="en-US" w:eastAsia="zh-CN"/>
        </w:rPr>
        <w:t>采购</w:t>
      </w:r>
      <w:r>
        <w:rPr>
          <w:rFonts w:hint="eastAsia" w:ascii="宋体" w:hAnsi="宋体"/>
          <w:b w:val="0"/>
          <w:color w:val="auto"/>
          <w:szCs w:val="21"/>
          <w:highlight w:val="none"/>
        </w:rPr>
        <w:t>文件第</w:t>
      </w:r>
      <w:r>
        <w:rPr>
          <w:rFonts w:hint="eastAsia" w:ascii="宋体" w:hAnsi="宋体"/>
          <w:b w:val="0"/>
          <w:color w:val="auto"/>
          <w:szCs w:val="21"/>
          <w:highlight w:val="none"/>
          <w:lang w:val="en-US" w:eastAsia="zh-CN"/>
        </w:rPr>
        <w:t>二</w:t>
      </w:r>
      <w:r>
        <w:rPr>
          <w:rFonts w:hint="eastAsia" w:ascii="宋体" w:hAnsi="宋体"/>
          <w:b w:val="0"/>
          <w:color w:val="auto"/>
          <w:szCs w:val="21"/>
          <w:highlight w:val="none"/>
        </w:rPr>
        <w:t>部分内容。</w:t>
      </w:r>
    </w:p>
    <w:p w14:paraId="1DE3A0AD">
      <w:pPr>
        <w:pStyle w:val="17"/>
        <w:ind w:left="0" w:leftChars="0" w:firstLine="440" w:firstLineChars="200"/>
        <w:rPr>
          <w:color w:val="auto"/>
          <w:highlight w:val="none"/>
        </w:rPr>
      </w:pPr>
      <w:r>
        <w:rPr>
          <w:rFonts w:hint="eastAsia" w:eastAsia="宋体"/>
          <w:color w:val="auto"/>
          <w:highlight w:val="none"/>
          <w:lang w:val="en-US" w:eastAsia="zh-CN"/>
        </w:rPr>
        <w:t>在合同期内，因市政建设或其他需要征用、临时占用、地理环境原因造成的保洁面积减少等需要调整乙方保洁面积时，应按实际保洁面积结算，乙方须无条件服从。</w:t>
      </w:r>
    </w:p>
    <w:p w14:paraId="2C364F28">
      <w:pPr>
        <w:spacing w:line="360" w:lineRule="auto"/>
        <w:rPr>
          <w:rFonts w:ascii="宋体" w:hAnsi="宋体"/>
          <w:b/>
          <w:bCs/>
          <w:color w:val="auto"/>
          <w:szCs w:val="21"/>
          <w:highlight w:val="none"/>
        </w:rPr>
      </w:pPr>
      <w:r>
        <w:rPr>
          <w:rFonts w:hint="eastAsia" w:ascii="宋体" w:hAnsi="宋体"/>
          <w:b/>
          <w:bCs/>
          <w:color w:val="auto"/>
          <w:szCs w:val="21"/>
          <w:highlight w:val="none"/>
        </w:rPr>
        <w:t>第三条  承包期限</w:t>
      </w:r>
    </w:p>
    <w:p w14:paraId="12467EE1">
      <w:pPr>
        <w:spacing w:line="360" w:lineRule="auto"/>
        <w:ind w:firstLine="442" w:firstLineChars="200"/>
        <w:rPr>
          <w:rFonts w:hint="eastAsia" w:ascii="宋体" w:hAnsi="宋体" w:eastAsia="宋体"/>
          <w:b/>
          <w:bCs/>
          <w:color w:val="auto"/>
          <w:szCs w:val="21"/>
          <w:highlight w:val="none"/>
          <w:lang w:eastAsia="zh-CN"/>
        </w:rPr>
      </w:pPr>
      <w:r>
        <w:rPr>
          <w:rFonts w:hint="eastAsia" w:ascii="宋体" w:hAnsi="宋体" w:eastAsia="宋体"/>
          <w:b/>
          <w:bCs/>
          <w:color w:val="auto"/>
          <w:szCs w:val="21"/>
          <w:highlight w:val="none"/>
          <w:lang w:eastAsia="zh-CN"/>
        </w:rPr>
        <w:t>服务期限：本项目服务期限为合同生效后1年（202</w:t>
      </w:r>
      <w:r>
        <w:rPr>
          <w:rFonts w:hint="eastAsia" w:ascii="宋体" w:hAnsi="宋体" w:eastAsia="宋体"/>
          <w:b/>
          <w:bCs/>
          <w:color w:val="auto"/>
          <w:szCs w:val="21"/>
          <w:highlight w:val="none"/>
          <w:lang w:val="en-US" w:eastAsia="zh-CN"/>
        </w:rPr>
        <w:t xml:space="preserve"> </w:t>
      </w:r>
      <w:r>
        <w:rPr>
          <w:rFonts w:hint="eastAsia" w:ascii="宋体" w:hAnsi="宋体" w:eastAsia="宋体"/>
          <w:b/>
          <w:bCs/>
          <w:color w:val="auto"/>
          <w:szCs w:val="21"/>
          <w:highlight w:val="none"/>
          <w:lang w:eastAsia="zh-CN"/>
        </w:rPr>
        <w:t>年    月    日起至 202</w:t>
      </w:r>
      <w:r>
        <w:rPr>
          <w:rFonts w:hint="eastAsia" w:ascii="宋体" w:hAnsi="宋体" w:eastAsia="宋体"/>
          <w:b/>
          <w:bCs/>
          <w:color w:val="auto"/>
          <w:szCs w:val="21"/>
          <w:highlight w:val="none"/>
          <w:lang w:val="en-US" w:eastAsia="zh-CN"/>
        </w:rPr>
        <w:t xml:space="preserve"> </w:t>
      </w:r>
      <w:r>
        <w:rPr>
          <w:rFonts w:hint="eastAsia" w:ascii="宋体" w:hAnsi="宋体" w:eastAsia="宋体"/>
          <w:b/>
          <w:bCs/>
          <w:color w:val="auto"/>
          <w:szCs w:val="21"/>
          <w:highlight w:val="none"/>
          <w:lang w:eastAsia="zh-CN"/>
        </w:rPr>
        <w:t>年   月   日止）</w:t>
      </w:r>
      <w:r>
        <w:rPr>
          <w:rFonts w:hint="eastAsia" w:ascii="宋体" w:hAnsi="宋体"/>
          <w:b/>
          <w:bCs/>
          <w:color w:val="auto"/>
          <w:szCs w:val="21"/>
          <w:highlight w:val="none"/>
          <w:lang w:eastAsia="zh-CN"/>
        </w:rPr>
        <w:t>。</w:t>
      </w:r>
    </w:p>
    <w:p w14:paraId="19A161FC">
      <w:pPr>
        <w:spacing w:line="360" w:lineRule="auto"/>
        <w:rPr>
          <w:rFonts w:ascii="宋体" w:hAnsi="宋体"/>
          <w:b/>
          <w:bCs/>
          <w:color w:val="auto"/>
          <w:szCs w:val="21"/>
          <w:highlight w:val="none"/>
        </w:rPr>
      </w:pPr>
      <w:r>
        <w:rPr>
          <w:rFonts w:hint="eastAsia" w:ascii="宋体" w:hAnsi="宋体"/>
          <w:b/>
          <w:bCs/>
          <w:color w:val="auto"/>
          <w:szCs w:val="21"/>
          <w:highlight w:val="none"/>
        </w:rPr>
        <w:t>第四条  合同金额</w:t>
      </w:r>
    </w:p>
    <w:p w14:paraId="5717290F">
      <w:pPr>
        <w:spacing w:line="360" w:lineRule="auto"/>
        <w:ind w:firstLine="440" w:firstLineChars="200"/>
        <w:rPr>
          <w:rFonts w:hint="eastAsia" w:ascii="宋体" w:hAnsi="宋体"/>
          <w:b w:val="0"/>
          <w:color w:val="auto"/>
          <w:szCs w:val="21"/>
          <w:highlight w:val="none"/>
          <w:lang w:eastAsia="zh-CN"/>
        </w:rPr>
      </w:pPr>
      <w:r>
        <w:rPr>
          <w:rFonts w:hint="eastAsia" w:ascii="宋体" w:hAnsi="宋体"/>
          <w:b w:val="0"/>
          <w:color w:val="auto"/>
          <w:szCs w:val="21"/>
          <w:highlight w:val="none"/>
        </w:rPr>
        <w:t>（一）年合同金额：</w:t>
      </w:r>
      <w:r>
        <w:rPr>
          <w:rFonts w:hint="eastAsia" w:ascii="宋体" w:hAnsi="宋体"/>
          <w:b w:val="0"/>
          <w:color w:val="auto"/>
          <w:szCs w:val="21"/>
          <w:highlight w:val="none"/>
          <w:u w:val="single"/>
        </w:rPr>
        <w:t xml:space="preserve">   </w:t>
      </w:r>
      <w:r>
        <w:rPr>
          <w:rFonts w:hint="eastAsia" w:ascii="宋体" w:hAnsi="宋体"/>
          <w:b w:val="0"/>
          <w:color w:val="auto"/>
          <w:szCs w:val="21"/>
          <w:highlight w:val="none"/>
          <w:u w:val="single"/>
          <w:lang w:val="en-US" w:eastAsia="zh-CN"/>
        </w:rPr>
        <w:t xml:space="preserve">   </w:t>
      </w:r>
      <w:r>
        <w:rPr>
          <w:rFonts w:hint="eastAsia" w:ascii="宋体" w:hAnsi="宋体"/>
          <w:b w:val="0"/>
          <w:color w:val="auto"/>
          <w:szCs w:val="21"/>
          <w:highlight w:val="none"/>
          <w:u w:val="single"/>
        </w:rPr>
        <w:t xml:space="preserve">  </w:t>
      </w:r>
      <w:r>
        <w:rPr>
          <w:rFonts w:hint="eastAsia" w:ascii="宋体" w:hAnsi="宋体"/>
          <w:b w:val="0"/>
          <w:color w:val="auto"/>
          <w:szCs w:val="21"/>
          <w:highlight w:val="none"/>
        </w:rPr>
        <w:t xml:space="preserve"> 元（人民币大写：</w:t>
      </w:r>
      <w:r>
        <w:rPr>
          <w:rFonts w:hint="eastAsia" w:ascii="宋体" w:hAnsi="宋体"/>
          <w:b w:val="0"/>
          <w:color w:val="auto"/>
          <w:szCs w:val="21"/>
          <w:highlight w:val="none"/>
          <w:u w:val="single"/>
          <w:lang w:val="en-US" w:eastAsia="zh-CN"/>
        </w:rPr>
        <w:t xml:space="preserve">                          </w:t>
      </w:r>
      <w:r>
        <w:rPr>
          <w:rFonts w:hint="eastAsia" w:ascii="宋体" w:hAnsi="宋体"/>
          <w:b w:val="0"/>
          <w:color w:val="auto"/>
          <w:szCs w:val="21"/>
          <w:highlight w:val="none"/>
          <w:lang w:val="en-US" w:eastAsia="zh-CN"/>
        </w:rPr>
        <w:t xml:space="preserve"> </w:t>
      </w:r>
      <w:r>
        <w:rPr>
          <w:rFonts w:hint="eastAsia" w:ascii="宋体" w:hAnsi="宋体"/>
          <w:b w:val="0"/>
          <w:color w:val="auto"/>
          <w:szCs w:val="21"/>
          <w:highlight w:val="none"/>
        </w:rPr>
        <w:t>）</w:t>
      </w:r>
      <w:r>
        <w:rPr>
          <w:rFonts w:hint="eastAsia" w:ascii="宋体" w:hAnsi="宋体"/>
          <w:b w:val="0"/>
          <w:color w:val="auto"/>
          <w:szCs w:val="21"/>
          <w:highlight w:val="none"/>
          <w:lang w:eastAsia="zh-CN"/>
        </w:rPr>
        <w:t>；</w:t>
      </w:r>
    </w:p>
    <w:p w14:paraId="7138215B">
      <w:pPr>
        <w:spacing w:line="360" w:lineRule="auto"/>
        <w:ind w:firstLine="440" w:firstLineChars="200"/>
        <w:rPr>
          <w:rFonts w:hint="eastAsia" w:ascii="宋体" w:hAnsi="宋体" w:eastAsia="宋体"/>
          <w:b w:val="0"/>
          <w:color w:val="auto"/>
          <w:szCs w:val="21"/>
          <w:highlight w:val="none"/>
          <w:lang w:val="en-US" w:eastAsia="zh-CN"/>
        </w:rPr>
      </w:pPr>
      <w:r>
        <w:rPr>
          <w:rFonts w:hint="eastAsia" w:ascii="宋体" w:hAnsi="宋体"/>
          <w:b w:val="0"/>
          <w:color w:val="auto"/>
          <w:szCs w:val="21"/>
          <w:highlight w:val="none"/>
          <w:lang w:val="en-US" w:eastAsia="zh-CN"/>
        </w:rPr>
        <w:t>其中暂列金额：</w:t>
      </w:r>
      <w:r>
        <w:rPr>
          <w:rFonts w:hint="eastAsia" w:ascii="宋体" w:hAnsi="宋体"/>
          <w:b w:val="0"/>
          <w:color w:val="auto"/>
          <w:szCs w:val="21"/>
          <w:highlight w:val="none"/>
          <w:u w:val="single"/>
          <w:lang w:val="en-US" w:eastAsia="zh-CN"/>
        </w:rPr>
        <w:t xml:space="preserve">       </w:t>
      </w:r>
      <w:r>
        <w:rPr>
          <w:rFonts w:hint="eastAsia" w:ascii="宋体" w:hAnsi="宋体"/>
          <w:b w:val="0"/>
          <w:color w:val="auto"/>
          <w:szCs w:val="21"/>
          <w:highlight w:val="none"/>
          <w:lang w:val="en-US" w:eastAsia="zh-CN"/>
        </w:rPr>
        <w:t>元</w:t>
      </w:r>
      <w:r>
        <w:rPr>
          <w:rFonts w:hint="eastAsia" w:ascii="宋体" w:hAnsi="宋体"/>
          <w:b w:val="0"/>
          <w:color w:val="auto"/>
          <w:szCs w:val="21"/>
          <w:highlight w:val="none"/>
        </w:rPr>
        <w:t>（人民币大写：</w:t>
      </w:r>
      <w:r>
        <w:rPr>
          <w:rFonts w:hint="eastAsia" w:ascii="宋体" w:hAnsi="宋体"/>
          <w:b w:val="0"/>
          <w:color w:val="auto"/>
          <w:szCs w:val="21"/>
          <w:highlight w:val="none"/>
          <w:u w:val="single"/>
          <w:lang w:val="en-US" w:eastAsia="zh-CN"/>
        </w:rPr>
        <w:t xml:space="preserve">                          </w:t>
      </w:r>
      <w:r>
        <w:rPr>
          <w:rFonts w:hint="eastAsia" w:ascii="宋体" w:hAnsi="宋体"/>
          <w:b w:val="0"/>
          <w:color w:val="auto"/>
          <w:szCs w:val="21"/>
          <w:highlight w:val="none"/>
          <w:lang w:val="en-US" w:eastAsia="zh-CN"/>
        </w:rPr>
        <w:t xml:space="preserve"> </w:t>
      </w:r>
      <w:r>
        <w:rPr>
          <w:rFonts w:hint="eastAsia" w:ascii="宋体" w:hAnsi="宋体"/>
          <w:b w:val="0"/>
          <w:color w:val="auto"/>
          <w:szCs w:val="21"/>
          <w:highlight w:val="none"/>
        </w:rPr>
        <w:t>）</w:t>
      </w:r>
      <w:r>
        <w:rPr>
          <w:rFonts w:hint="eastAsia" w:ascii="宋体" w:hAnsi="宋体"/>
          <w:b w:val="0"/>
          <w:color w:val="auto"/>
          <w:szCs w:val="21"/>
          <w:highlight w:val="none"/>
          <w:lang w:eastAsia="zh-CN"/>
        </w:rPr>
        <w:t>（</w:t>
      </w:r>
      <w:r>
        <w:rPr>
          <w:rFonts w:hint="eastAsia" w:ascii="宋体" w:hAnsi="宋体"/>
          <w:b w:val="0"/>
          <w:color w:val="auto"/>
          <w:szCs w:val="21"/>
          <w:highlight w:val="none"/>
          <w:lang w:val="en-US" w:eastAsia="zh-CN"/>
        </w:rPr>
        <w:t>实报实销</w:t>
      </w:r>
      <w:r>
        <w:rPr>
          <w:rFonts w:hint="eastAsia" w:ascii="宋体" w:hAnsi="宋体"/>
          <w:b w:val="0"/>
          <w:color w:val="auto"/>
          <w:szCs w:val="21"/>
          <w:highlight w:val="none"/>
          <w:lang w:eastAsia="zh-CN"/>
        </w:rPr>
        <w:t>）。</w:t>
      </w:r>
    </w:p>
    <w:p w14:paraId="36182E04">
      <w:pPr>
        <w:spacing w:line="360" w:lineRule="auto"/>
        <w:ind w:firstLine="440" w:firstLineChars="200"/>
        <w:rPr>
          <w:rFonts w:ascii="宋体" w:hAnsi="宋体"/>
          <w:b w:val="0"/>
          <w:color w:val="auto"/>
          <w:szCs w:val="21"/>
          <w:highlight w:val="none"/>
        </w:rPr>
      </w:pPr>
      <w:r>
        <w:rPr>
          <w:rFonts w:hint="eastAsia" w:ascii="宋体" w:hAnsi="宋体"/>
          <w:b w:val="0"/>
          <w:color w:val="auto"/>
          <w:szCs w:val="21"/>
          <w:highlight w:val="none"/>
        </w:rPr>
        <w:t>（二）合同金额包括为完成本项目服务可能发生的全部费用及投标供应商的利润和应交纳的税金等（包括保洁、</w:t>
      </w:r>
      <w:r>
        <w:rPr>
          <w:rFonts w:hint="eastAsia" w:ascii="宋体" w:hAnsi="宋体"/>
          <w:b w:val="0"/>
          <w:color w:val="auto"/>
          <w:szCs w:val="21"/>
          <w:highlight w:val="none"/>
          <w:lang w:val="en-US" w:eastAsia="zh-CN"/>
        </w:rPr>
        <w:t>绿化养护、</w:t>
      </w:r>
      <w:r>
        <w:rPr>
          <w:rFonts w:hint="eastAsia" w:ascii="宋体" w:hAnsi="宋体"/>
          <w:b w:val="0"/>
          <w:color w:val="auto"/>
          <w:szCs w:val="21"/>
          <w:highlight w:val="none"/>
        </w:rPr>
        <w:t>电工、堤防标准化管理、建筑、设施维运及其他所有服务所需的一切人员工资、奖金、各种加班费、夜餐费、各种社会保险、食宿与交通、专用设备及工具、器械、完成服务所需的消耗材料（物料）、服装、安全、仓储、运输（包括垃圾外运）、维修、管理费用、税费、招标代理服务费、利润、完成合同所需的一切本身和不可或缺的所有工作开支等）。</w:t>
      </w:r>
    </w:p>
    <w:p w14:paraId="37F0C745">
      <w:pPr>
        <w:spacing w:line="360" w:lineRule="auto"/>
        <w:ind w:firstLine="440" w:firstLineChars="200"/>
        <w:rPr>
          <w:rFonts w:ascii="宋体" w:hAnsi="宋体"/>
          <w:b w:val="0"/>
          <w:color w:val="auto"/>
          <w:szCs w:val="21"/>
          <w:highlight w:val="none"/>
        </w:rPr>
      </w:pPr>
      <w:r>
        <w:rPr>
          <w:rFonts w:hint="eastAsia" w:ascii="宋体" w:hAnsi="宋体"/>
          <w:b w:val="0"/>
          <w:color w:val="auto"/>
          <w:szCs w:val="21"/>
          <w:highlight w:val="none"/>
        </w:rPr>
        <w:t>（三）承包经费按项目进度、检查验收结果和资金到账情况分次核拨，由乙方按甲方业务要求支配使用。</w:t>
      </w:r>
    </w:p>
    <w:p w14:paraId="68ED4F4F">
      <w:pPr>
        <w:spacing w:line="360" w:lineRule="auto"/>
        <w:ind w:firstLine="440" w:firstLineChars="200"/>
        <w:rPr>
          <w:rFonts w:hint="eastAsia" w:ascii="宋体" w:hAnsi="宋体"/>
          <w:b w:val="0"/>
          <w:color w:val="auto"/>
          <w:szCs w:val="21"/>
          <w:highlight w:val="none"/>
        </w:rPr>
      </w:pPr>
      <w:r>
        <w:rPr>
          <w:rFonts w:hint="eastAsia" w:ascii="宋体" w:hAnsi="宋体"/>
          <w:b w:val="0"/>
          <w:color w:val="auto"/>
          <w:szCs w:val="21"/>
          <w:highlight w:val="none"/>
        </w:rPr>
        <w:t>（四）承包经费最终结算价依据中标通知书、招投标文件、验收考核等要求计算。</w:t>
      </w:r>
    </w:p>
    <w:p w14:paraId="587852E5">
      <w:pPr>
        <w:autoSpaceDE w:val="0"/>
        <w:autoSpaceDN w:val="0"/>
        <w:snapToGrid w:val="0"/>
        <w:spacing w:before="100" w:after="100" w:line="360" w:lineRule="auto"/>
        <w:ind w:firstLine="440" w:firstLineChars="200"/>
        <w:jc w:val="left"/>
        <w:rPr>
          <w:rFonts w:hint="default" w:eastAsia="宋体"/>
          <w:color w:val="auto"/>
          <w:sz w:val="22"/>
          <w:szCs w:val="22"/>
          <w:highlight w:val="none"/>
          <w:lang w:val="en-US" w:eastAsia="zh-CN"/>
        </w:rPr>
      </w:pPr>
      <w:r>
        <w:rPr>
          <w:rFonts w:hint="eastAsia" w:ascii="宋体"/>
          <w:color w:val="auto"/>
          <w:sz w:val="22"/>
          <w:szCs w:val="22"/>
          <w:highlight w:val="none"/>
          <w:lang w:val="en-US" w:eastAsia="zh-CN"/>
        </w:rPr>
        <w:t>（五）</w:t>
      </w:r>
      <w:r>
        <w:rPr>
          <w:rFonts w:hint="eastAsia" w:ascii="宋体" w:hAnsi="宋体" w:eastAsia="宋体" w:cs="宋体"/>
          <w:b w:val="0"/>
          <w:bCs w:val="0"/>
          <w:color w:val="auto"/>
          <w:sz w:val="22"/>
          <w:szCs w:val="22"/>
          <w:highlight w:val="none"/>
          <w:lang w:val="en-US" w:eastAsia="zh-CN"/>
        </w:rPr>
        <w:t>绿化养护按业主需求进场，每次以实际发生的人工计算。</w:t>
      </w:r>
      <w:r>
        <w:rPr>
          <w:rFonts w:hint="eastAsia" w:ascii="宋体" w:hAnsi="宋体" w:cs="宋体"/>
          <w:b w:val="0"/>
          <w:bCs w:val="0"/>
          <w:color w:val="auto"/>
          <w:sz w:val="22"/>
          <w:szCs w:val="22"/>
          <w:highlight w:val="none"/>
          <w:lang w:val="en-US" w:eastAsia="zh-CN"/>
        </w:rPr>
        <w:t>绿化养护人员</w:t>
      </w:r>
      <w:r>
        <w:rPr>
          <w:rFonts w:hint="eastAsia" w:ascii="宋体" w:hAnsi="宋体" w:eastAsia="宋体" w:cs="宋体"/>
          <w:b w:val="0"/>
          <w:bCs w:val="0"/>
          <w:color w:val="auto"/>
          <w:sz w:val="22"/>
          <w:szCs w:val="22"/>
          <w:highlight w:val="none"/>
          <w:lang w:val="en-US" w:eastAsia="zh-CN"/>
        </w:rPr>
        <w:t>费用为220元/工日/人</w:t>
      </w:r>
      <w:r>
        <w:rPr>
          <w:rFonts w:hint="eastAsia" w:ascii="宋体" w:hAnsi="宋体" w:cs="宋体"/>
          <w:b w:val="0"/>
          <w:bCs w:val="0"/>
          <w:color w:val="auto"/>
          <w:sz w:val="22"/>
          <w:szCs w:val="22"/>
          <w:highlight w:val="none"/>
          <w:lang w:val="en-US" w:eastAsia="zh-CN"/>
        </w:rPr>
        <w:t>（含绿化养护机械设备）</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工日的时间为：早上8：00-18:00。 晚上计算时间：18:00-24:00为半个工日，00:00-8:00为半个工日。</w:t>
      </w:r>
      <w:r>
        <w:rPr>
          <w:rFonts w:hint="eastAsia" w:ascii="宋体" w:eastAsia="宋体"/>
          <w:b w:val="0"/>
          <w:bCs w:val="0"/>
          <w:color w:val="auto"/>
          <w:sz w:val="22"/>
          <w:szCs w:val="22"/>
          <w:highlight w:val="none"/>
        </w:rPr>
        <w:t>含</w:t>
      </w:r>
      <w:r>
        <w:rPr>
          <w:rFonts w:hint="eastAsia" w:ascii="宋体" w:eastAsia="宋体"/>
          <w:b w:val="0"/>
          <w:bCs w:val="0"/>
          <w:color w:val="auto"/>
          <w:sz w:val="22"/>
          <w:szCs w:val="22"/>
          <w:highlight w:val="none"/>
          <w:lang w:val="en-US" w:eastAsia="zh-CN"/>
        </w:rPr>
        <w:t>绿化养护人员</w:t>
      </w:r>
      <w:r>
        <w:rPr>
          <w:rFonts w:hint="eastAsia" w:ascii="宋体" w:eastAsia="宋体"/>
          <w:b w:val="0"/>
          <w:bCs w:val="0"/>
          <w:color w:val="auto"/>
          <w:sz w:val="22"/>
          <w:szCs w:val="22"/>
          <w:highlight w:val="none"/>
        </w:rPr>
        <w:t>抵达和离开</w:t>
      </w:r>
      <w:r>
        <w:rPr>
          <w:rFonts w:hint="eastAsia" w:ascii="宋体" w:eastAsia="宋体"/>
          <w:b w:val="0"/>
          <w:bCs w:val="0"/>
          <w:color w:val="auto"/>
          <w:sz w:val="22"/>
          <w:szCs w:val="22"/>
          <w:highlight w:val="none"/>
          <w:lang w:val="en-US" w:eastAsia="zh-CN"/>
        </w:rPr>
        <w:t>养护</w:t>
      </w:r>
      <w:r>
        <w:rPr>
          <w:rFonts w:hint="eastAsia" w:ascii="宋体" w:eastAsia="宋体"/>
          <w:b w:val="0"/>
          <w:bCs w:val="0"/>
          <w:color w:val="auto"/>
          <w:sz w:val="22"/>
          <w:szCs w:val="22"/>
          <w:highlight w:val="none"/>
        </w:rPr>
        <w:t>现场交通费用</w:t>
      </w:r>
      <w:r>
        <w:rPr>
          <w:rFonts w:hint="eastAsia" w:ascii="宋体" w:eastAsia="宋体"/>
          <w:b w:val="0"/>
          <w:bCs w:val="0"/>
          <w:color w:val="auto"/>
          <w:sz w:val="22"/>
          <w:szCs w:val="22"/>
          <w:highlight w:val="none"/>
          <w:lang w:val="en-US" w:eastAsia="zh-CN"/>
        </w:rPr>
        <w:t>、</w:t>
      </w:r>
      <w:r>
        <w:rPr>
          <w:rFonts w:hint="eastAsia" w:ascii="宋体" w:eastAsia="宋体"/>
          <w:b w:val="0"/>
          <w:bCs w:val="0"/>
          <w:color w:val="auto"/>
          <w:sz w:val="22"/>
          <w:szCs w:val="22"/>
          <w:highlight w:val="none"/>
        </w:rPr>
        <w:t>临时加班补贴</w:t>
      </w:r>
      <w:r>
        <w:rPr>
          <w:rFonts w:hint="eastAsia" w:ascii="宋体"/>
          <w:b w:val="0"/>
          <w:bCs w:val="0"/>
          <w:color w:val="auto"/>
          <w:sz w:val="22"/>
          <w:szCs w:val="22"/>
          <w:highlight w:val="none"/>
          <w:lang w:eastAsia="zh-CN"/>
        </w:rPr>
        <w:t>、</w:t>
      </w:r>
      <w:r>
        <w:rPr>
          <w:rFonts w:hint="eastAsia" w:ascii="宋体" w:eastAsia="宋体"/>
          <w:b w:val="0"/>
          <w:bCs w:val="0"/>
          <w:color w:val="auto"/>
          <w:sz w:val="22"/>
          <w:szCs w:val="22"/>
          <w:highlight w:val="none"/>
        </w:rPr>
        <w:t>工人的餐费，饮用水费等全部费用</w:t>
      </w:r>
      <w:r>
        <w:rPr>
          <w:rFonts w:hint="eastAsia" w:ascii="宋体"/>
          <w:b w:val="0"/>
          <w:bCs w:val="0"/>
          <w:color w:val="auto"/>
          <w:sz w:val="22"/>
          <w:szCs w:val="22"/>
          <w:highlight w:val="none"/>
          <w:lang w:eastAsia="zh-CN"/>
        </w:rPr>
        <w:t>。</w:t>
      </w:r>
    </w:p>
    <w:p w14:paraId="1081216A">
      <w:pPr>
        <w:autoSpaceDE w:val="0"/>
        <w:autoSpaceDN w:val="0"/>
        <w:adjustRightInd w:val="0"/>
        <w:snapToGrid w:val="0"/>
        <w:spacing w:line="240" w:lineRule="auto"/>
        <w:textAlignment w:val="bottom"/>
        <w:rPr>
          <w:rFonts w:hint="eastAsia" w:ascii="宋体"/>
          <w:b/>
          <w:bCs/>
          <w:color w:val="auto"/>
          <w:sz w:val="22"/>
          <w:szCs w:val="22"/>
          <w:highlight w:val="none"/>
        </w:rPr>
      </w:pPr>
      <w:r>
        <w:rPr>
          <w:rFonts w:hint="eastAsia" w:ascii="宋体"/>
          <w:b/>
          <w:bCs/>
          <w:color w:val="auto"/>
          <w:sz w:val="22"/>
          <w:szCs w:val="22"/>
          <w:highlight w:val="none"/>
        </w:rPr>
        <w:t xml:space="preserve">备注： </w:t>
      </w:r>
    </w:p>
    <w:p w14:paraId="3B183127">
      <w:pPr>
        <w:spacing w:line="360" w:lineRule="auto"/>
        <w:ind w:firstLine="442"/>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 xml:space="preserve">① </w:t>
      </w:r>
      <w:r>
        <w:rPr>
          <w:rFonts w:hint="eastAsia" w:ascii="新宋体" w:hAnsi="新宋体" w:eastAsia="新宋体" w:cs="新宋体"/>
          <w:b w:val="0"/>
          <w:bCs w:val="0"/>
          <w:color w:val="auto"/>
          <w:sz w:val="22"/>
          <w:szCs w:val="22"/>
          <w:highlight w:val="none"/>
        </w:rPr>
        <w:t>供应商应根据采购人的任务情况及要求配备</w:t>
      </w:r>
      <w:r>
        <w:rPr>
          <w:rFonts w:hint="eastAsia" w:ascii="新宋体" w:hAnsi="新宋体" w:eastAsia="新宋体" w:cs="新宋体"/>
          <w:b w:val="0"/>
          <w:bCs w:val="0"/>
          <w:color w:val="auto"/>
          <w:sz w:val="22"/>
          <w:szCs w:val="22"/>
          <w:highlight w:val="none"/>
          <w:lang w:val="en-US" w:eastAsia="zh-CN"/>
        </w:rPr>
        <w:t>绿化养护</w:t>
      </w:r>
      <w:r>
        <w:rPr>
          <w:rFonts w:hint="eastAsia" w:ascii="新宋体" w:hAnsi="新宋体" w:eastAsia="新宋体" w:cs="新宋体"/>
          <w:b w:val="0"/>
          <w:bCs w:val="0"/>
          <w:color w:val="auto"/>
          <w:sz w:val="22"/>
          <w:szCs w:val="22"/>
          <w:highlight w:val="none"/>
        </w:rPr>
        <w:t>人员，人员个数</w:t>
      </w:r>
      <w:r>
        <w:rPr>
          <w:rFonts w:hint="eastAsia" w:ascii="新宋体" w:hAnsi="新宋体" w:eastAsia="新宋体" w:cs="新宋体"/>
          <w:b w:val="0"/>
          <w:bCs w:val="0"/>
          <w:color w:val="auto"/>
          <w:sz w:val="22"/>
          <w:szCs w:val="22"/>
          <w:highlight w:val="none"/>
          <w:lang w:val="en-US" w:eastAsia="zh-CN"/>
        </w:rPr>
        <w:t>由</w:t>
      </w:r>
      <w:r>
        <w:rPr>
          <w:rFonts w:hint="eastAsia" w:ascii="新宋体" w:hAnsi="新宋体" w:eastAsia="新宋体" w:cs="新宋体"/>
          <w:b w:val="0"/>
          <w:bCs w:val="0"/>
          <w:color w:val="auto"/>
          <w:sz w:val="22"/>
          <w:szCs w:val="22"/>
          <w:highlight w:val="none"/>
        </w:rPr>
        <w:t>采购人</w:t>
      </w:r>
      <w:r>
        <w:rPr>
          <w:rFonts w:hint="eastAsia" w:ascii="新宋体" w:hAnsi="新宋体" w:eastAsia="新宋体" w:cs="新宋体"/>
          <w:b w:val="0"/>
          <w:bCs w:val="0"/>
          <w:color w:val="auto"/>
          <w:sz w:val="22"/>
          <w:szCs w:val="22"/>
          <w:highlight w:val="none"/>
          <w:lang w:eastAsia="zh-CN"/>
        </w:rPr>
        <w:t>与中标人</w:t>
      </w:r>
      <w:r>
        <w:rPr>
          <w:rFonts w:hint="eastAsia" w:ascii="新宋体" w:hAnsi="新宋体" w:eastAsia="新宋体" w:cs="新宋体"/>
          <w:b w:val="0"/>
          <w:bCs w:val="0"/>
          <w:color w:val="auto"/>
          <w:sz w:val="22"/>
          <w:szCs w:val="22"/>
          <w:highlight w:val="none"/>
        </w:rPr>
        <w:t>根据实际任务情况配备。</w:t>
      </w:r>
    </w:p>
    <w:p w14:paraId="69E5D856">
      <w:pPr>
        <w:spacing w:line="360" w:lineRule="auto"/>
        <w:ind w:firstLine="442"/>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 xml:space="preserve">② </w:t>
      </w:r>
      <w:r>
        <w:rPr>
          <w:rFonts w:hint="eastAsia" w:ascii="新宋体" w:hAnsi="新宋体" w:eastAsia="新宋体" w:cs="新宋体"/>
          <w:b w:val="0"/>
          <w:bCs w:val="0"/>
          <w:color w:val="auto"/>
          <w:sz w:val="22"/>
          <w:szCs w:val="22"/>
          <w:highlight w:val="none"/>
        </w:rPr>
        <w:t>中标供应商在执行任务时应提供割草机、割灌机、绿篱机、草坪梳草机、打药机、清运等绿化养护必备设备、材料，费用</w:t>
      </w:r>
      <w:r>
        <w:rPr>
          <w:rFonts w:hint="eastAsia" w:ascii="新宋体" w:hAnsi="新宋体" w:eastAsia="新宋体" w:cs="新宋体"/>
          <w:b w:val="0"/>
          <w:bCs w:val="0"/>
          <w:color w:val="auto"/>
          <w:sz w:val="22"/>
          <w:szCs w:val="22"/>
          <w:highlight w:val="none"/>
          <w:lang w:eastAsia="zh-CN"/>
        </w:rPr>
        <w:t>已含在养护人员工资中</w:t>
      </w:r>
      <w:r>
        <w:rPr>
          <w:rFonts w:hint="eastAsia" w:ascii="新宋体" w:hAnsi="新宋体" w:eastAsia="新宋体" w:cs="新宋体"/>
          <w:b w:val="0"/>
          <w:bCs w:val="0"/>
          <w:color w:val="auto"/>
          <w:sz w:val="22"/>
          <w:szCs w:val="22"/>
          <w:highlight w:val="none"/>
        </w:rPr>
        <w:t>。</w:t>
      </w:r>
    </w:p>
    <w:p w14:paraId="1E8A2499">
      <w:pPr>
        <w:spacing w:line="360" w:lineRule="auto"/>
        <w:ind w:firstLine="442"/>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③ 采购人有权根据实际情况安排工作时间。</w:t>
      </w:r>
    </w:p>
    <w:p w14:paraId="22F62BAC">
      <w:pPr>
        <w:spacing w:line="360" w:lineRule="auto"/>
        <w:ind w:firstLine="442"/>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④ 采购人有权根据实际情况签证半个工日，具体价格按照上表工日的价格减半计算。</w:t>
      </w:r>
    </w:p>
    <w:p w14:paraId="14D7E885">
      <w:pPr>
        <w:spacing w:line="360" w:lineRule="auto"/>
        <w:ind w:firstLine="442"/>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⑤ 业主安排绿化养护工作时，供应商须在业主规定的时间内进行绿化养护，所有参与养护的人员均不可消极怠工，在规定的期限内绿化养护工作一次未达到要求，业主将给予警告，第二次仍未达到要求，按1000~5000元进行扣罚，第三次还未达到要求，业主则有权直接安排人员进行绿化养护，相关费用由供应商进行支付。</w:t>
      </w:r>
    </w:p>
    <w:p w14:paraId="18A839FF">
      <w:pPr>
        <w:spacing w:line="360" w:lineRule="auto"/>
        <w:ind w:firstLine="442"/>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⑥ 绿化养护响应时间：接到采购人通知后在半小时内作出响应，并在指定时间达到现场。</w:t>
      </w:r>
    </w:p>
    <w:p w14:paraId="5CD7C91F">
      <w:pPr>
        <w:spacing w:line="360" w:lineRule="auto"/>
        <w:ind w:firstLine="442"/>
        <w:rPr>
          <w:rFonts w:hint="eastAsia" w:ascii="宋体" w:hAnsi="宋体" w:eastAsia="宋体" w:cs="宋体"/>
          <w:color w:val="auto"/>
          <w:kern w:val="0"/>
          <w:szCs w:val="22"/>
          <w:highlight w:val="none"/>
        </w:rPr>
      </w:pPr>
      <w:r>
        <w:rPr>
          <w:rFonts w:hint="eastAsia" w:ascii="新宋体" w:hAnsi="新宋体" w:eastAsia="新宋体" w:cs="新宋体"/>
          <w:b w:val="0"/>
          <w:bCs w:val="0"/>
          <w:color w:val="auto"/>
          <w:sz w:val="22"/>
          <w:szCs w:val="22"/>
          <w:highlight w:val="none"/>
          <w:lang w:val="en-US" w:eastAsia="zh-CN"/>
        </w:rPr>
        <w:t>⑦ 绿化养护人员年龄要求≤60周岁，且无违法违纪档案记录。</w:t>
      </w:r>
    </w:p>
    <w:p w14:paraId="134EC9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color w:val="auto"/>
          <w:szCs w:val="21"/>
          <w:highlight w:val="none"/>
        </w:rPr>
      </w:pPr>
      <w:r>
        <w:rPr>
          <w:rFonts w:hint="eastAsia" w:ascii="宋体" w:hAnsi="宋体"/>
          <w:b/>
          <w:bCs/>
          <w:color w:val="auto"/>
          <w:szCs w:val="21"/>
          <w:highlight w:val="none"/>
        </w:rPr>
        <w:t>第</w:t>
      </w:r>
      <w:r>
        <w:rPr>
          <w:rFonts w:hint="eastAsia" w:ascii="宋体" w:hAnsi="宋体"/>
          <w:b/>
          <w:bCs/>
          <w:color w:val="auto"/>
          <w:szCs w:val="21"/>
          <w:highlight w:val="none"/>
          <w:lang w:val="en-US" w:eastAsia="zh-CN"/>
        </w:rPr>
        <w:t>五</w:t>
      </w:r>
      <w:r>
        <w:rPr>
          <w:rFonts w:hint="eastAsia" w:ascii="宋体" w:hAnsi="宋体"/>
          <w:b/>
          <w:bCs/>
          <w:color w:val="auto"/>
          <w:szCs w:val="21"/>
          <w:highlight w:val="none"/>
        </w:rPr>
        <w:t>条  商务条款</w:t>
      </w:r>
    </w:p>
    <w:p w14:paraId="19587DD0">
      <w:pPr>
        <w:spacing w:line="360" w:lineRule="auto"/>
        <w:ind w:firstLine="440" w:firstLineChars="200"/>
        <w:rPr>
          <w:rFonts w:hint="default" w:ascii="宋体" w:hAnsi="宋体" w:eastAsia="宋体"/>
          <w:b w:val="0"/>
          <w:color w:val="auto"/>
          <w:szCs w:val="21"/>
          <w:highlight w:val="none"/>
          <w:lang w:val="en-US" w:eastAsia="zh-CN"/>
        </w:rPr>
      </w:pPr>
      <w:r>
        <w:rPr>
          <w:rFonts w:hint="eastAsia" w:ascii="宋体" w:hAnsi="宋体"/>
          <w:b w:val="0"/>
          <w:color w:val="auto"/>
          <w:szCs w:val="21"/>
          <w:highlight w:val="none"/>
        </w:rPr>
        <w:t>（</w:t>
      </w:r>
      <w:r>
        <w:rPr>
          <w:rFonts w:hint="eastAsia" w:ascii="宋体" w:hAnsi="宋体"/>
          <w:b w:val="0"/>
          <w:color w:val="auto"/>
          <w:szCs w:val="21"/>
          <w:highlight w:val="none"/>
          <w:lang w:val="en-US" w:eastAsia="zh-CN"/>
        </w:rPr>
        <w:t>一</w:t>
      </w:r>
      <w:r>
        <w:rPr>
          <w:rFonts w:hint="eastAsia" w:ascii="宋体" w:hAnsi="宋体"/>
          <w:b w:val="0"/>
          <w:color w:val="auto"/>
          <w:szCs w:val="21"/>
          <w:highlight w:val="none"/>
        </w:rPr>
        <w:t>）</w:t>
      </w:r>
      <w:r>
        <w:rPr>
          <w:rFonts w:hint="eastAsia" w:ascii="宋体" w:hAnsi="宋体"/>
          <w:b w:val="0"/>
          <w:color w:val="auto"/>
          <w:szCs w:val="21"/>
          <w:highlight w:val="none"/>
          <w:lang w:val="en-US" w:eastAsia="zh-CN"/>
        </w:rPr>
        <w:t>履约保证金</w:t>
      </w:r>
    </w:p>
    <w:p w14:paraId="06C89B00">
      <w:pPr>
        <w:widowControl/>
        <w:spacing w:line="420" w:lineRule="exact"/>
        <w:ind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rPr>
        <w:t>1、成交供应商在</w:t>
      </w:r>
      <w:r>
        <w:rPr>
          <w:rFonts w:hint="eastAsia" w:ascii="宋体" w:hAnsi="宋体" w:eastAsia="宋体" w:cs="宋体"/>
          <w:bCs/>
          <w:color w:val="auto"/>
          <w:kern w:val="0"/>
          <w:szCs w:val="22"/>
          <w:highlight w:val="none"/>
          <w:lang w:eastAsia="zh-CN"/>
        </w:rPr>
        <w:t>中标</w:t>
      </w:r>
      <w:r>
        <w:rPr>
          <w:rFonts w:hint="eastAsia" w:ascii="宋体" w:hAnsi="宋体" w:eastAsia="宋体" w:cs="宋体"/>
          <w:bCs/>
          <w:color w:val="auto"/>
          <w:kern w:val="0"/>
          <w:szCs w:val="22"/>
          <w:highlight w:val="none"/>
        </w:rPr>
        <w:t>公示期结束后</w:t>
      </w:r>
      <w:r>
        <w:rPr>
          <w:rFonts w:hint="eastAsia" w:ascii="宋体" w:hAnsi="宋体" w:cs="宋体"/>
          <w:bCs/>
          <w:color w:val="auto"/>
          <w:kern w:val="0"/>
          <w:szCs w:val="22"/>
          <w:highlight w:val="none"/>
          <w:lang w:val="en-US" w:eastAsia="zh-CN"/>
        </w:rPr>
        <w:t>2</w:t>
      </w:r>
      <w:r>
        <w:rPr>
          <w:rFonts w:hint="eastAsia" w:ascii="宋体" w:hAnsi="宋体" w:eastAsia="宋体" w:cs="宋体"/>
          <w:bCs/>
          <w:color w:val="auto"/>
          <w:kern w:val="0"/>
          <w:szCs w:val="22"/>
          <w:highlight w:val="none"/>
          <w:lang w:val="en-US" w:eastAsia="zh-CN"/>
        </w:rPr>
        <w:t>0</w:t>
      </w:r>
      <w:r>
        <w:rPr>
          <w:rFonts w:hint="eastAsia" w:ascii="宋体" w:hAnsi="宋体" w:eastAsia="宋体" w:cs="宋体"/>
          <w:bCs/>
          <w:color w:val="auto"/>
          <w:kern w:val="0"/>
          <w:szCs w:val="22"/>
          <w:highlight w:val="none"/>
        </w:rPr>
        <w:t>日内，需向采购人提供合同总价1％的履约保证金。履约保证金可采用银行转账/</w:t>
      </w:r>
      <w:r>
        <w:rPr>
          <w:rFonts w:hint="eastAsia" w:ascii="宋体" w:hAnsi="宋体" w:eastAsia="宋体" w:cs="宋体"/>
          <w:bCs/>
          <w:color w:val="auto"/>
          <w:kern w:val="0"/>
          <w:szCs w:val="22"/>
          <w:highlight w:val="none"/>
          <w:lang w:eastAsia="zh-CN"/>
        </w:rPr>
        <w:t>转账支票</w:t>
      </w:r>
      <w:r>
        <w:rPr>
          <w:rFonts w:hint="eastAsia" w:ascii="宋体" w:hAnsi="宋体" w:eastAsia="宋体" w:cs="宋体"/>
          <w:bCs/>
          <w:color w:val="auto"/>
          <w:kern w:val="0"/>
          <w:szCs w:val="22"/>
          <w:highlight w:val="none"/>
        </w:rPr>
        <w:t>/银行汇票/银行、保险公司出具的保函等非现金方式。</w:t>
      </w:r>
    </w:p>
    <w:p w14:paraId="16D6A98C">
      <w:pPr>
        <w:widowControl/>
        <w:spacing w:line="42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kern w:val="0"/>
          <w:szCs w:val="22"/>
          <w:highlight w:val="none"/>
        </w:rPr>
        <w:t>注：采用银行、保险公司出具的保函形式提交至采购人，应满足以下几个条件：</w:t>
      </w:r>
      <w:r>
        <w:rPr>
          <w:rFonts w:hint="eastAsia" w:ascii="宋体" w:hAnsi="宋体" w:eastAsia="宋体" w:cs="宋体"/>
          <w:b/>
          <w:bCs/>
          <w:color w:val="auto"/>
          <w:kern w:val="0"/>
          <w:szCs w:val="22"/>
          <w:highlight w:val="none"/>
          <w:lang w:eastAsia="zh-CN"/>
        </w:rPr>
        <w:t>①保函必须是</w:t>
      </w:r>
      <w:r>
        <w:rPr>
          <w:rFonts w:hint="eastAsia" w:ascii="宋体" w:hAnsi="宋体" w:eastAsia="宋体" w:cs="宋体"/>
          <w:b/>
          <w:bCs/>
          <w:color w:val="auto"/>
          <w:sz w:val="22"/>
          <w:szCs w:val="22"/>
          <w:highlight w:val="none"/>
          <w:u w:val="single"/>
        </w:rPr>
        <w:t>见索即付的无条件独立保函</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kern w:val="0"/>
          <w:szCs w:val="22"/>
          <w:highlight w:val="none"/>
          <w:lang w:eastAsia="zh-CN"/>
        </w:rPr>
        <w:t>②</w:t>
      </w:r>
      <w:r>
        <w:rPr>
          <w:rFonts w:hint="eastAsia" w:ascii="宋体" w:hAnsi="宋体" w:eastAsia="宋体" w:cs="宋体"/>
          <w:b/>
          <w:bCs/>
          <w:color w:val="auto"/>
          <w:kern w:val="0"/>
          <w:szCs w:val="22"/>
          <w:highlight w:val="none"/>
        </w:rPr>
        <w:t>保函期限：自合同生效之日起至服务期满之日后30日历天止；</w:t>
      </w:r>
      <w:r>
        <w:rPr>
          <w:rFonts w:hint="eastAsia" w:ascii="宋体" w:hAnsi="宋体" w:eastAsia="宋体" w:cs="宋体"/>
          <w:b/>
          <w:bCs/>
          <w:color w:val="auto"/>
          <w:kern w:val="0"/>
          <w:szCs w:val="22"/>
          <w:highlight w:val="none"/>
          <w:lang w:eastAsia="zh-CN"/>
        </w:rPr>
        <w:t>③</w:t>
      </w:r>
      <w:r>
        <w:rPr>
          <w:rFonts w:hint="eastAsia" w:ascii="宋体" w:hAnsi="宋体" w:eastAsia="宋体" w:cs="宋体"/>
          <w:b/>
          <w:bCs/>
          <w:color w:val="auto"/>
          <w:kern w:val="0"/>
          <w:szCs w:val="22"/>
          <w:highlight w:val="none"/>
        </w:rPr>
        <w:t>如果银行、保险公司要求分期出具保函的，则在前一份保函有效期满之日2个月前必须重新出具相同内容的保函</w:t>
      </w:r>
      <w:r>
        <w:rPr>
          <w:rFonts w:hint="eastAsia" w:ascii="宋体" w:hAnsi="宋体" w:eastAsia="宋体" w:cs="宋体"/>
          <w:b/>
          <w:bCs/>
          <w:color w:val="auto"/>
          <w:kern w:val="0"/>
          <w:szCs w:val="22"/>
          <w:highlight w:val="none"/>
          <w:lang w:eastAsia="zh-CN"/>
        </w:rPr>
        <w:t>；④</w:t>
      </w:r>
      <w:r>
        <w:rPr>
          <w:rFonts w:hint="eastAsia" w:ascii="宋体" w:hAnsi="宋体" w:eastAsia="宋体" w:cs="宋体"/>
          <w:color w:val="auto"/>
          <w:sz w:val="22"/>
          <w:szCs w:val="22"/>
          <w:highlight w:val="none"/>
        </w:rPr>
        <w:t>采购人提取履约保证金，但未达到解除合同条件的，</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须在扣罚之日起7日历天内补齐合同履约保证金至合同款的</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％。拒不缴纳补齐的，采购人有权扣罚全部履约保证金，并无条件解除合同。</w:t>
      </w:r>
    </w:p>
    <w:p w14:paraId="70EC22C5">
      <w:pPr>
        <w:widowControl/>
        <w:spacing w:line="420" w:lineRule="exact"/>
        <w:ind w:firstLine="440" w:firstLineChars="200"/>
        <w:rPr>
          <w:rFonts w:hint="eastAsia" w:ascii="宋体" w:hAnsi="宋体" w:eastAsia="宋体" w:cs="宋体"/>
          <w:bCs/>
          <w:color w:val="auto"/>
          <w:kern w:val="0"/>
          <w:szCs w:val="22"/>
          <w:highlight w:val="none"/>
        </w:rPr>
      </w:pPr>
      <w:r>
        <w:rPr>
          <w:rFonts w:hint="eastAsia" w:ascii="宋体" w:hAnsi="宋体" w:eastAsia="宋体" w:cs="宋体"/>
          <w:bCs/>
          <w:color w:val="auto"/>
          <w:kern w:val="0"/>
          <w:szCs w:val="22"/>
          <w:highlight w:val="none"/>
          <w:lang w:val="en-US" w:eastAsia="zh-CN"/>
        </w:rPr>
        <w:t>2</w:t>
      </w:r>
      <w:r>
        <w:rPr>
          <w:rFonts w:hint="eastAsia" w:ascii="宋体" w:hAnsi="宋体" w:eastAsia="宋体" w:cs="宋体"/>
          <w:bCs/>
          <w:color w:val="auto"/>
          <w:kern w:val="0"/>
          <w:szCs w:val="22"/>
          <w:highlight w:val="none"/>
        </w:rPr>
        <w:t>、承包任务完成并验收移交采购人后5个工作日内，采购人无息退还中标供应商剩余的合同履约保证金。</w:t>
      </w:r>
    </w:p>
    <w:p w14:paraId="0B47088D">
      <w:pPr>
        <w:autoSpaceDE w:val="0"/>
        <w:autoSpaceDN w:val="0"/>
        <w:adjustRightInd w:val="0"/>
        <w:snapToGrid w:val="0"/>
        <w:spacing w:line="360" w:lineRule="auto"/>
        <w:ind w:firstLine="440" w:firstLineChars="200"/>
        <w:rPr>
          <w:rFonts w:hint="default" w:ascii="宋体" w:hAnsi="宋体" w:eastAsia="宋体"/>
          <w:b w:val="0"/>
          <w:bCs/>
          <w:color w:val="auto"/>
          <w:szCs w:val="22"/>
          <w:highlight w:val="none"/>
          <w:lang w:val="en-US" w:eastAsia="zh-CN"/>
        </w:rPr>
      </w:pPr>
      <w:r>
        <w:rPr>
          <w:rFonts w:hint="eastAsia" w:ascii="宋体" w:hAnsi="宋体"/>
          <w:b w:val="0"/>
          <w:color w:val="auto"/>
          <w:szCs w:val="21"/>
          <w:highlight w:val="none"/>
        </w:rPr>
        <w:t>（</w:t>
      </w:r>
      <w:r>
        <w:rPr>
          <w:rFonts w:hint="eastAsia" w:ascii="宋体" w:hAnsi="宋体"/>
          <w:b w:val="0"/>
          <w:color w:val="auto"/>
          <w:szCs w:val="21"/>
          <w:highlight w:val="none"/>
          <w:lang w:val="en-US" w:eastAsia="zh-CN"/>
        </w:rPr>
        <w:t>二</w:t>
      </w:r>
      <w:r>
        <w:rPr>
          <w:rFonts w:hint="eastAsia" w:ascii="宋体" w:hAnsi="宋体"/>
          <w:b w:val="0"/>
          <w:color w:val="auto"/>
          <w:szCs w:val="21"/>
          <w:highlight w:val="none"/>
        </w:rPr>
        <w:t>）</w:t>
      </w:r>
      <w:r>
        <w:rPr>
          <w:rFonts w:hint="eastAsia" w:ascii="宋体" w:hAnsi="宋体"/>
          <w:b w:val="0"/>
          <w:color w:val="auto"/>
          <w:szCs w:val="21"/>
          <w:highlight w:val="none"/>
          <w:lang w:val="en-US" w:eastAsia="zh-CN"/>
        </w:rPr>
        <w:t>付款方式</w:t>
      </w:r>
    </w:p>
    <w:p w14:paraId="69DD2F1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b w:val="0"/>
          <w:color w:val="auto"/>
          <w:szCs w:val="21"/>
          <w:highlight w:val="none"/>
        </w:rPr>
      </w:pPr>
      <w:r>
        <w:rPr>
          <w:rFonts w:hint="eastAsia" w:ascii="宋体" w:hAnsi="宋体"/>
          <w:b w:val="0"/>
          <w:color w:val="auto"/>
          <w:szCs w:val="21"/>
          <w:highlight w:val="none"/>
        </w:rPr>
        <w:t xml:space="preserve">1、付款方式为先服务后支付,由采购人根据前一季度的考核结果，于每季度后15日（内遇节假日顺延）将上季度承包款划拨到承包人指定帐户。 </w:t>
      </w:r>
    </w:p>
    <w:p w14:paraId="4657EC2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b w:val="0"/>
          <w:color w:val="auto"/>
          <w:szCs w:val="21"/>
          <w:highlight w:val="none"/>
        </w:rPr>
      </w:pPr>
      <w:r>
        <w:rPr>
          <w:rFonts w:hint="eastAsia" w:ascii="宋体" w:hAnsi="宋体"/>
          <w:b w:val="0"/>
          <w:color w:val="auto"/>
          <w:szCs w:val="21"/>
          <w:highlight w:val="none"/>
        </w:rPr>
        <w:t>2、中标供应商按每季度的综合考核结果向采购人结算，采购人凭中标供应商开具的正式发票及一线现场服务人员工资册进行支付。计算方式：上季度服务费用款=</w:t>
      </w:r>
      <w:r>
        <w:rPr>
          <w:rFonts w:hint="eastAsia" w:ascii="宋体" w:hAnsi="宋体"/>
          <w:b w:val="0"/>
          <w:color w:val="auto"/>
          <w:szCs w:val="21"/>
          <w:highlight w:val="none"/>
          <w:lang w:eastAsia="zh-CN"/>
        </w:rPr>
        <w:t>（</w:t>
      </w:r>
      <w:r>
        <w:rPr>
          <w:rFonts w:hint="eastAsia" w:ascii="宋体" w:hAnsi="宋体"/>
          <w:b w:val="0"/>
          <w:color w:val="auto"/>
          <w:szCs w:val="21"/>
          <w:highlight w:val="none"/>
        </w:rPr>
        <w:t>中标供应商投标报价</w:t>
      </w:r>
      <w:r>
        <w:rPr>
          <w:rFonts w:hint="eastAsia" w:ascii="宋体" w:hAnsi="宋体"/>
          <w:b w:val="0"/>
          <w:color w:val="auto"/>
          <w:szCs w:val="21"/>
          <w:highlight w:val="none"/>
          <w:lang w:val="en-US" w:eastAsia="zh-CN"/>
        </w:rPr>
        <w:t>-</w:t>
      </w:r>
      <w:r>
        <w:rPr>
          <w:rFonts w:hint="eastAsia" w:ascii="宋体" w:hAnsi="宋体"/>
          <w:b w:val="0"/>
          <w:color w:val="auto"/>
          <w:szCs w:val="21"/>
          <w:highlight w:val="none"/>
        </w:rPr>
        <w:t>暂列金）/4-每季度考核扣款+按时结算的暂列金。</w:t>
      </w:r>
    </w:p>
    <w:p w14:paraId="2761310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b w:val="0"/>
          <w:color w:val="auto"/>
          <w:szCs w:val="21"/>
          <w:highlight w:val="none"/>
        </w:rPr>
      </w:pPr>
      <w:r>
        <w:rPr>
          <w:rFonts w:hint="eastAsia" w:ascii="宋体" w:hAnsi="宋体"/>
          <w:b w:val="0"/>
          <w:color w:val="auto"/>
          <w:szCs w:val="21"/>
          <w:highlight w:val="none"/>
        </w:rPr>
        <w:t>3、采购人作出的考核结果，汇总考核结算清单，并告知中标供应商。违约金额按月直接在付款额中扣除。承包到期后根据考核结果将余款一次付清。</w:t>
      </w:r>
    </w:p>
    <w:p w14:paraId="5729DF0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b w:val="0"/>
          <w:color w:val="auto"/>
          <w:szCs w:val="21"/>
          <w:highlight w:val="none"/>
        </w:rPr>
      </w:pPr>
      <w:r>
        <w:rPr>
          <w:rFonts w:hint="eastAsia" w:ascii="宋体" w:hAnsi="宋体"/>
          <w:b w:val="0"/>
          <w:color w:val="auto"/>
          <w:szCs w:val="21"/>
          <w:highlight w:val="none"/>
        </w:rPr>
        <w:t>4、由于本采购项目实施以人工投入为主，在每年度合同签订且具备实施条件后15日历天内采购人向中标供应商支付</w:t>
      </w:r>
      <w:r>
        <w:rPr>
          <w:rFonts w:hint="eastAsia" w:ascii="宋体" w:hAnsi="宋体"/>
          <w:b w:val="0"/>
          <w:color w:val="auto"/>
          <w:szCs w:val="21"/>
          <w:highlight w:val="none"/>
          <w:lang w:eastAsia="zh-CN"/>
        </w:rPr>
        <w:t>（合同金额</w:t>
      </w:r>
      <w:r>
        <w:rPr>
          <w:rFonts w:hint="eastAsia" w:ascii="宋体" w:hAnsi="宋体"/>
          <w:b w:val="0"/>
          <w:color w:val="auto"/>
          <w:szCs w:val="21"/>
          <w:highlight w:val="none"/>
        </w:rPr>
        <w:t>-暂列金）的20%作为预付款，在签订合同时，供应商明确表示无需预付款或者主动要求降低预付款比例的，采购人可不适用前述规定。在每季度支付的服务款中，同比例扣回预付款。</w:t>
      </w:r>
    </w:p>
    <w:p w14:paraId="57A0C265">
      <w:pPr>
        <w:pStyle w:val="2"/>
        <w:ind w:firstLine="440" w:firstLineChars="200"/>
        <w:rPr>
          <w:rFonts w:hint="eastAsia" w:ascii="宋体" w:hAnsi="宋体"/>
          <w:b w:val="0"/>
          <w:color w:val="auto"/>
          <w:szCs w:val="21"/>
          <w:highlight w:val="none"/>
          <w:lang w:eastAsia="zh-CN"/>
        </w:rPr>
      </w:pPr>
      <w:r>
        <w:rPr>
          <w:rFonts w:hint="eastAsia" w:ascii="宋体" w:hAnsi="宋体"/>
          <w:b w:val="0"/>
          <w:color w:val="auto"/>
          <w:szCs w:val="21"/>
          <w:highlight w:val="none"/>
          <w:lang w:eastAsia="zh-CN"/>
        </w:rPr>
        <w:t>（</w:t>
      </w:r>
      <w:r>
        <w:rPr>
          <w:rFonts w:hint="eastAsia" w:ascii="宋体" w:hAnsi="宋体"/>
          <w:b w:val="0"/>
          <w:color w:val="auto"/>
          <w:szCs w:val="21"/>
          <w:highlight w:val="none"/>
          <w:lang w:val="en-US" w:eastAsia="zh-CN"/>
        </w:rPr>
        <w:t>三</w:t>
      </w:r>
      <w:r>
        <w:rPr>
          <w:rFonts w:hint="eastAsia" w:ascii="宋体" w:hAnsi="宋体"/>
          <w:b w:val="0"/>
          <w:color w:val="auto"/>
          <w:szCs w:val="21"/>
          <w:highlight w:val="none"/>
          <w:lang w:eastAsia="zh-CN"/>
        </w:rPr>
        <w:t>）其他要求</w:t>
      </w:r>
    </w:p>
    <w:p w14:paraId="52A05ABC">
      <w:pPr>
        <w:adjustRightInd w:val="0"/>
        <w:snapToGrid w:val="0"/>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rPr>
        <w:t>所有人员必须专职为百里平水公园服务，不得兼职。中标后若人员（所有岗位）需要更换，须及时上报招标人，经招标人认可后方可更换。项目负责人更换一次罚款2万元，业主要求更换不予罚款。项目负责人每月出勤不得少于22天，执行人脸识别打卡，每少出勤一天罚款2000元。连续3个月出勤率达不到80%，业主有权终止合同。项目负责人职称证书需执行押证管理，项目服务期满后退还。</w:t>
      </w:r>
    </w:p>
    <w:p w14:paraId="2413A56A">
      <w:pPr>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rPr>
        <w:t>以上为满足本项目需要的最低人数要求，投标人可根据实际情况自行增加配置，但低于该人员配置的投标文件将被废标。中标后，中标供应商须向业主报备人员信息花名册。</w:t>
      </w:r>
    </w:p>
    <w:p w14:paraId="077B1B0F">
      <w:pPr>
        <w:pStyle w:val="51"/>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3</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rPr>
        <w:t>项目其他人员每周按业主指定时间到项目管理部指纹打卡签到一次，每少出勤每人每次罚款1000元。</w:t>
      </w:r>
    </w:p>
    <w:p w14:paraId="6CA0C4DC">
      <w:pPr>
        <w:spacing w:line="360" w:lineRule="auto"/>
        <w:rPr>
          <w:rFonts w:ascii="宋体" w:hAnsi="宋体"/>
          <w:b/>
          <w:bCs/>
          <w:color w:val="auto"/>
          <w:szCs w:val="21"/>
          <w:highlight w:val="none"/>
        </w:rPr>
      </w:pPr>
      <w:r>
        <w:rPr>
          <w:rFonts w:hint="eastAsia" w:ascii="宋体" w:hAnsi="宋体"/>
          <w:b/>
          <w:bCs/>
          <w:color w:val="auto"/>
          <w:szCs w:val="21"/>
          <w:highlight w:val="none"/>
        </w:rPr>
        <w:t>第</w:t>
      </w:r>
      <w:r>
        <w:rPr>
          <w:rFonts w:hint="eastAsia" w:ascii="宋体" w:hAnsi="宋体"/>
          <w:b/>
          <w:bCs/>
          <w:color w:val="auto"/>
          <w:szCs w:val="21"/>
          <w:highlight w:val="none"/>
          <w:lang w:val="en-US" w:eastAsia="zh-CN"/>
        </w:rPr>
        <w:t>六</w:t>
      </w:r>
      <w:r>
        <w:rPr>
          <w:rFonts w:hint="eastAsia" w:ascii="宋体" w:hAnsi="宋体"/>
          <w:b/>
          <w:bCs/>
          <w:color w:val="auto"/>
          <w:szCs w:val="21"/>
          <w:highlight w:val="none"/>
        </w:rPr>
        <w:t>条  工作要求和质量标准</w:t>
      </w:r>
    </w:p>
    <w:p w14:paraId="1951D7E1">
      <w:pPr>
        <w:spacing w:line="360" w:lineRule="auto"/>
        <w:ind w:firstLine="440" w:firstLineChars="200"/>
        <w:rPr>
          <w:rFonts w:ascii="宋体" w:hAnsi="宋体"/>
          <w:b w:val="0"/>
          <w:color w:val="auto"/>
          <w:szCs w:val="21"/>
          <w:highlight w:val="none"/>
        </w:rPr>
      </w:pPr>
      <w:r>
        <w:rPr>
          <w:rFonts w:hint="eastAsia" w:ascii="宋体" w:hAnsi="宋体"/>
          <w:b w:val="0"/>
          <w:color w:val="auto"/>
          <w:szCs w:val="21"/>
          <w:highlight w:val="none"/>
          <w:lang w:eastAsia="zh-CN"/>
        </w:rPr>
        <w:t>2025年度苍南县百里平水公园(灵溪段)及南塘长效管理项目（重）</w:t>
      </w:r>
      <w:r>
        <w:rPr>
          <w:rFonts w:hint="eastAsia" w:ascii="宋体" w:hAnsi="宋体"/>
          <w:b w:val="0"/>
          <w:color w:val="auto"/>
          <w:szCs w:val="21"/>
          <w:highlight w:val="none"/>
        </w:rPr>
        <w:t>各项具体工作的质量标准和作业规范按甲方具体要求及《</w:t>
      </w:r>
      <w:r>
        <w:rPr>
          <w:rFonts w:hint="eastAsia" w:ascii="宋体" w:hAnsi="宋体"/>
          <w:b w:val="0"/>
          <w:color w:val="auto"/>
          <w:szCs w:val="21"/>
          <w:highlight w:val="none"/>
          <w:lang w:val="en-US" w:eastAsia="zh-CN"/>
        </w:rPr>
        <w:t>采购</w:t>
      </w:r>
      <w:r>
        <w:rPr>
          <w:rFonts w:hint="eastAsia" w:ascii="宋体" w:hAnsi="宋体"/>
          <w:b w:val="0"/>
          <w:color w:val="auto"/>
          <w:szCs w:val="21"/>
          <w:highlight w:val="none"/>
        </w:rPr>
        <w:t>文件》中所规定的执行。</w:t>
      </w:r>
    </w:p>
    <w:p w14:paraId="06F7E2B6">
      <w:pPr>
        <w:spacing w:line="360" w:lineRule="auto"/>
        <w:rPr>
          <w:rFonts w:ascii="宋体" w:hAnsi="宋体"/>
          <w:b/>
          <w:bCs/>
          <w:color w:val="auto"/>
          <w:szCs w:val="21"/>
          <w:highlight w:val="none"/>
        </w:rPr>
      </w:pPr>
      <w:r>
        <w:rPr>
          <w:rFonts w:hint="eastAsia" w:ascii="宋体" w:hAnsi="宋体"/>
          <w:b/>
          <w:bCs/>
          <w:color w:val="auto"/>
          <w:szCs w:val="21"/>
          <w:highlight w:val="none"/>
        </w:rPr>
        <w:t>第</w:t>
      </w:r>
      <w:r>
        <w:rPr>
          <w:rFonts w:hint="eastAsia" w:ascii="宋体" w:hAnsi="宋体"/>
          <w:b/>
          <w:bCs/>
          <w:color w:val="auto"/>
          <w:szCs w:val="21"/>
          <w:highlight w:val="none"/>
          <w:lang w:val="en-US" w:eastAsia="zh-CN"/>
        </w:rPr>
        <w:t>七</w:t>
      </w:r>
      <w:r>
        <w:rPr>
          <w:rFonts w:hint="eastAsia" w:ascii="宋体" w:hAnsi="宋体"/>
          <w:b/>
          <w:bCs/>
          <w:color w:val="auto"/>
          <w:szCs w:val="21"/>
          <w:highlight w:val="none"/>
        </w:rPr>
        <w:t>条  检查考评办法</w:t>
      </w:r>
    </w:p>
    <w:p w14:paraId="057F535D">
      <w:pPr>
        <w:spacing w:line="360" w:lineRule="auto"/>
        <w:ind w:firstLine="440" w:firstLineChars="200"/>
        <w:rPr>
          <w:rFonts w:ascii="宋体" w:hAnsi="宋体"/>
          <w:b w:val="0"/>
          <w:color w:val="auto"/>
          <w:szCs w:val="21"/>
          <w:highlight w:val="none"/>
        </w:rPr>
      </w:pPr>
      <w:r>
        <w:rPr>
          <w:rFonts w:hint="eastAsia" w:ascii="宋体" w:hAnsi="宋体"/>
          <w:b w:val="0"/>
          <w:color w:val="auto"/>
          <w:szCs w:val="21"/>
          <w:highlight w:val="none"/>
        </w:rPr>
        <w:t>具体的检查验收方法、内容、程序等按《</w:t>
      </w:r>
      <w:r>
        <w:rPr>
          <w:rFonts w:hint="eastAsia" w:ascii="宋体" w:hAnsi="宋体"/>
          <w:b w:val="0"/>
          <w:color w:val="auto"/>
          <w:szCs w:val="21"/>
          <w:highlight w:val="none"/>
          <w:lang w:eastAsia="zh-CN"/>
        </w:rPr>
        <w:t>2025年度苍南县百里平水公园(灵溪段)及南塘长效管理项目（重）</w:t>
      </w:r>
      <w:r>
        <w:rPr>
          <w:rFonts w:hint="eastAsia" w:ascii="宋体" w:hAnsi="宋体"/>
          <w:b w:val="0"/>
          <w:color w:val="auto"/>
          <w:szCs w:val="21"/>
          <w:highlight w:val="none"/>
        </w:rPr>
        <w:t>》</w:t>
      </w:r>
      <w:r>
        <w:rPr>
          <w:rFonts w:hint="eastAsia" w:ascii="宋体" w:hAnsi="宋体"/>
          <w:b w:val="0"/>
          <w:color w:val="auto"/>
          <w:szCs w:val="21"/>
          <w:highlight w:val="none"/>
          <w:lang w:val="en-US" w:eastAsia="zh-CN"/>
        </w:rPr>
        <w:t>采购</w:t>
      </w:r>
      <w:r>
        <w:rPr>
          <w:rFonts w:hint="eastAsia" w:ascii="宋体" w:hAnsi="宋体"/>
          <w:b w:val="0"/>
          <w:color w:val="auto"/>
          <w:szCs w:val="21"/>
          <w:highlight w:val="none"/>
        </w:rPr>
        <w:t>文件执行。</w:t>
      </w:r>
    </w:p>
    <w:p w14:paraId="13161178">
      <w:pPr>
        <w:spacing w:line="360" w:lineRule="auto"/>
        <w:rPr>
          <w:rFonts w:ascii="宋体" w:hAnsi="宋体"/>
          <w:b/>
          <w:bCs/>
          <w:color w:val="auto"/>
          <w:szCs w:val="21"/>
          <w:highlight w:val="none"/>
        </w:rPr>
      </w:pPr>
      <w:r>
        <w:rPr>
          <w:rFonts w:hint="eastAsia" w:ascii="宋体" w:hAnsi="宋体"/>
          <w:b/>
          <w:bCs/>
          <w:color w:val="auto"/>
          <w:szCs w:val="21"/>
          <w:highlight w:val="none"/>
        </w:rPr>
        <w:t>第</w:t>
      </w:r>
      <w:r>
        <w:rPr>
          <w:rFonts w:hint="eastAsia" w:ascii="宋体" w:hAnsi="宋体"/>
          <w:b/>
          <w:bCs/>
          <w:color w:val="auto"/>
          <w:szCs w:val="21"/>
          <w:highlight w:val="none"/>
          <w:lang w:val="en-US" w:eastAsia="zh-CN"/>
        </w:rPr>
        <w:t>八</w:t>
      </w:r>
      <w:r>
        <w:rPr>
          <w:rFonts w:hint="eastAsia" w:ascii="宋体" w:hAnsi="宋体"/>
          <w:b/>
          <w:bCs/>
          <w:color w:val="auto"/>
          <w:szCs w:val="21"/>
          <w:highlight w:val="none"/>
        </w:rPr>
        <w:t>条  考评办法</w:t>
      </w:r>
    </w:p>
    <w:p w14:paraId="7E90CECB">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1、管理责任单位苍南县灵溪镇人民政府对公园</w:t>
      </w:r>
      <w:r>
        <w:rPr>
          <w:rFonts w:hint="eastAsia" w:ascii="宋体" w:hAnsi="宋体" w:cs="Times New Roman"/>
          <w:b w:val="0"/>
          <w:color w:val="auto"/>
          <w:szCs w:val="21"/>
          <w:highlight w:val="none"/>
          <w:lang w:eastAsia="zh-CN"/>
        </w:rPr>
        <w:t>维护</w:t>
      </w:r>
      <w:r>
        <w:rPr>
          <w:rFonts w:hint="eastAsia" w:ascii="宋体" w:hAnsi="宋体" w:eastAsia="宋体" w:cs="Times New Roman"/>
          <w:b w:val="0"/>
          <w:color w:val="auto"/>
          <w:szCs w:val="21"/>
          <w:highlight w:val="none"/>
        </w:rPr>
        <w:t>质量进行检查考评，管理责任单位每月考核一次，每季综合考评一次。</w:t>
      </w:r>
    </w:p>
    <w:p w14:paraId="67DE8A41">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2、责任单位根据每季考核结果进行综合评分（每季度中的三个月考核的平均分），每季考核综合评分一次,并按考核结果支付每季的日常管理服务费，90分（含）以上为合格,发放全额季度的日常管理服务费，85分（含）-90分（不含）,每下降1分,扣季度的日常管理服务费的3000元；80分（含）-85分（不含）,每下降1分,扣季度的日常管理服务费的5000元；服务质量月考核连续三次或累计四次低于80分的取消服务合同。</w:t>
      </w:r>
    </w:p>
    <w:p w14:paraId="76CA6783">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3、在日常管理中，被乡镇或水利局或县领导发现问题或群众举报，经核查属实的，根据问题的严重程度，每一次扣除1000-3000元；上述情况，未在规定时间内及时整改的，罚款翻倍。涉及的问题指水域或堤防保洁不到位、路灯不亮未及时维修、绿化养护不及时等情况。</w:t>
      </w:r>
    </w:p>
    <w:p w14:paraId="1CB99793">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cs="Times New Roman"/>
          <w:b w:val="0"/>
          <w:color w:val="auto"/>
          <w:szCs w:val="21"/>
          <w:highlight w:val="none"/>
          <w:lang w:val="en-US" w:eastAsia="zh-CN"/>
        </w:rPr>
        <w:t>4</w:t>
      </w:r>
      <w:r>
        <w:rPr>
          <w:rFonts w:hint="eastAsia" w:ascii="宋体" w:hAnsi="宋体" w:eastAsia="宋体" w:cs="Times New Roman"/>
          <w:b w:val="0"/>
          <w:color w:val="auto"/>
          <w:szCs w:val="21"/>
          <w:highlight w:val="none"/>
          <w:lang w:eastAsia="zh-CN"/>
        </w:rPr>
        <w:t>、</w:t>
      </w:r>
      <w:r>
        <w:rPr>
          <w:rFonts w:hint="eastAsia" w:ascii="宋体" w:hAnsi="宋体" w:eastAsia="宋体" w:cs="Times New Roman"/>
          <w:b w:val="0"/>
          <w:color w:val="auto"/>
          <w:szCs w:val="21"/>
          <w:highlight w:val="none"/>
        </w:rPr>
        <w:t>乙方按</w:t>
      </w:r>
      <w:r>
        <w:rPr>
          <w:rFonts w:hint="eastAsia" w:ascii="宋体" w:hAnsi="宋体" w:eastAsia="宋体" w:cs="Times New Roman"/>
          <w:b w:val="0"/>
          <w:color w:val="auto"/>
          <w:szCs w:val="21"/>
          <w:highlight w:val="none"/>
          <w:lang w:val="en-US" w:eastAsia="zh-CN"/>
        </w:rPr>
        <w:t>采购</w:t>
      </w:r>
      <w:r>
        <w:rPr>
          <w:rFonts w:hint="eastAsia" w:ascii="宋体" w:hAnsi="宋体" w:eastAsia="宋体" w:cs="Times New Roman"/>
          <w:b w:val="0"/>
          <w:color w:val="auto"/>
          <w:szCs w:val="21"/>
          <w:highlight w:val="none"/>
        </w:rPr>
        <w:t>文件中拟派的本项目负责人需每日到业主单位签到，无正当理由不得更换，如确需更换须征得甲方同意才能更换；未经甲方同意，乙方擅自调换项目负责人且拒不改正的，</w:t>
      </w:r>
      <w:r>
        <w:rPr>
          <w:rFonts w:hint="eastAsia" w:ascii="宋体" w:hAnsi="宋体"/>
          <w:b w:val="0"/>
          <w:color w:val="auto"/>
          <w:szCs w:val="21"/>
          <w:highlight w:val="none"/>
          <w:lang w:val="en-US" w:eastAsia="zh-CN"/>
        </w:rPr>
        <w:t>甲方</w:t>
      </w:r>
      <w:r>
        <w:rPr>
          <w:rFonts w:hint="eastAsia" w:ascii="宋体" w:hAnsi="宋体" w:eastAsia="宋体" w:cs="Times New Roman"/>
          <w:b w:val="0"/>
          <w:color w:val="auto"/>
          <w:szCs w:val="21"/>
          <w:highlight w:val="none"/>
        </w:rPr>
        <w:t>给予相应处罚。</w:t>
      </w:r>
    </w:p>
    <w:p w14:paraId="1B17F544">
      <w:pPr>
        <w:spacing w:line="360" w:lineRule="auto"/>
        <w:rPr>
          <w:rFonts w:ascii="宋体" w:hAnsi="宋体"/>
          <w:b/>
          <w:bCs/>
          <w:color w:val="auto"/>
          <w:szCs w:val="21"/>
          <w:highlight w:val="none"/>
        </w:rPr>
      </w:pPr>
      <w:r>
        <w:rPr>
          <w:rFonts w:hint="eastAsia" w:ascii="宋体" w:hAnsi="宋体"/>
          <w:b/>
          <w:bCs/>
          <w:color w:val="auto"/>
          <w:szCs w:val="21"/>
          <w:highlight w:val="none"/>
        </w:rPr>
        <w:t>第</w:t>
      </w:r>
      <w:r>
        <w:rPr>
          <w:rFonts w:hint="eastAsia" w:ascii="宋体" w:hAnsi="宋体"/>
          <w:b/>
          <w:bCs/>
          <w:color w:val="auto"/>
          <w:szCs w:val="21"/>
          <w:highlight w:val="none"/>
          <w:lang w:val="en-US" w:eastAsia="zh-CN"/>
        </w:rPr>
        <w:t>九</w:t>
      </w:r>
      <w:r>
        <w:rPr>
          <w:rFonts w:hint="eastAsia" w:ascii="宋体" w:hAnsi="宋体"/>
          <w:b/>
          <w:bCs/>
          <w:color w:val="auto"/>
          <w:szCs w:val="21"/>
          <w:highlight w:val="none"/>
        </w:rPr>
        <w:t>条  权利和义务</w:t>
      </w:r>
    </w:p>
    <w:p w14:paraId="3AF921FB">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（一）甲方权利与义务</w:t>
      </w:r>
    </w:p>
    <w:p w14:paraId="6B3BE957">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1、甲方对乙方的保洁业务进行全面的技术指导、检查、管理和监督，对检查中发现的环境卫生质量问题及时向乙方提出书面或口头改进意见。</w:t>
      </w:r>
    </w:p>
    <w:p w14:paraId="7D592D3B">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2、甲方对乙方违反招标文件中规定的行为进行惩罚。</w:t>
      </w:r>
    </w:p>
    <w:p w14:paraId="3D4AC694">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3、甲方监督检查乙方落实安全生产措施（包括防台、防火）。</w:t>
      </w:r>
    </w:p>
    <w:p w14:paraId="477DDCD8">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4、甲方监督检查乙方对员工进行培训的情况，以提高保洁服务的技术水平。</w:t>
      </w:r>
    </w:p>
    <w:p w14:paraId="7164478E">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5、甲方应按保洁质量和检查验收结果计算经费，扣除乙方因检查不合格应扣款后，将经费按期支付给乙方。</w:t>
      </w:r>
    </w:p>
    <w:p w14:paraId="508E06E9">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6、甲方可要求乙方调整不合格员工。</w:t>
      </w:r>
    </w:p>
    <w:p w14:paraId="53546931">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cs="Times New Roman"/>
          <w:b w:val="0"/>
          <w:color w:val="auto"/>
          <w:szCs w:val="21"/>
          <w:highlight w:val="none"/>
          <w:lang w:val="en-US" w:eastAsia="zh-CN"/>
        </w:rPr>
        <w:t>7</w:t>
      </w:r>
      <w:r>
        <w:rPr>
          <w:rFonts w:hint="eastAsia" w:ascii="宋体" w:hAnsi="宋体" w:eastAsia="宋体" w:cs="Times New Roman"/>
          <w:b w:val="0"/>
          <w:color w:val="auto"/>
          <w:szCs w:val="21"/>
          <w:highlight w:val="none"/>
        </w:rPr>
        <w:t>、甲方应按时支付款项。本合同的经费由政府拨款，如因政策影响，拨款未能及时到位，乙方不得以此为由而不履行本合同规定的义务。否则，甲方按规定扣罚。</w:t>
      </w:r>
    </w:p>
    <w:p w14:paraId="62D4974E">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（二）乙方权利和义务</w:t>
      </w:r>
    </w:p>
    <w:p w14:paraId="754CE4F6">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1、乙方有权根据承包合同按期领取承包经费。</w:t>
      </w:r>
    </w:p>
    <w:p w14:paraId="77E050AE">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2、乙方有权对管理工作提出建议。</w:t>
      </w:r>
    </w:p>
    <w:p w14:paraId="44D8ED19">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3、乙方履行承诺的义务，并参加由甲方组织的检查和综合考评。</w:t>
      </w:r>
    </w:p>
    <w:p w14:paraId="5EF0988D">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4、乙方应接受甲方的检查监督及指导。</w:t>
      </w:r>
    </w:p>
    <w:p w14:paraId="5298DBE3">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5、按甲方的要求开展工作，如有改变，乙方应提出书面申请，并征得甲方的书面同意。</w:t>
      </w:r>
    </w:p>
    <w:p w14:paraId="16DF5CEB">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 xml:space="preserve">6、特殊情况下（台风和暴雨等），乙方除应做好管辖地段保护工作外，还应服从甲方的统一指挥和调动，参加抢险救灾工作。 </w:t>
      </w:r>
    </w:p>
    <w:p w14:paraId="36C2EF9D">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7、乙方根据本合同所承担的服务内容，按实际上岗人数自行到有关部门申办用工手续、员工劳动保险手续和办暂住证手续。安排好属下人员的住宿和教育管理工作，如发生违纪事件，由乙方承担一切经济责任和法律责任。</w:t>
      </w:r>
    </w:p>
    <w:p w14:paraId="4752CC2D">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8、必须按规定比例为员工购买养老保险、医疗保险、工伤保险、失业保险、人身意外保险。</w:t>
      </w:r>
    </w:p>
    <w:p w14:paraId="6F8E4AD9">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9、乙方应按甲方要求，为上岗工人购买统一的工作服及反光背心。</w:t>
      </w:r>
    </w:p>
    <w:p w14:paraId="040A70E8">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1</w:t>
      </w:r>
      <w:r>
        <w:rPr>
          <w:rFonts w:hint="eastAsia" w:ascii="宋体" w:hAnsi="宋体" w:cs="Times New Roman"/>
          <w:b w:val="0"/>
          <w:color w:val="auto"/>
          <w:szCs w:val="21"/>
          <w:highlight w:val="none"/>
          <w:lang w:val="en-US" w:eastAsia="zh-CN"/>
        </w:rPr>
        <w:t>0</w:t>
      </w:r>
      <w:r>
        <w:rPr>
          <w:rFonts w:hint="eastAsia" w:ascii="宋体" w:hAnsi="宋体" w:eastAsia="宋体" w:cs="Times New Roman"/>
          <w:b w:val="0"/>
          <w:color w:val="auto"/>
          <w:szCs w:val="21"/>
          <w:highlight w:val="none"/>
        </w:rPr>
        <w:t>、乙方负责安排骨干参加业务技术的培训学习。</w:t>
      </w:r>
    </w:p>
    <w:p w14:paraId="46BBC744">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1</w:t>
      </w:r>
      <w:r>
        <w:rPr>
          <w:rFonts w:hint="eastAsia" w:ascii="宋体" w:hAnsi="宋体" w:cs="Times New Roman"/>
          <w:b w:val="0"/>
          <w:color w:val="auto"/>
          <w:szCs w:val="21"/>
          <w:highlight w:val="none"/>
          <w:lang w:val="en-US" w:eastAsia="zh-CN"/>
        </w:rPr>
        <w:t>1</w:t>
      </w:r>
      <w:r>
        <w:rPr>
          <w:rFonts w:hint="eastAsia" w:ascii="宋体" w:hAnsi="宋体" w:eastAsia="宋体" w:cs="Times New Roman"/>
          <w:b w:val="0"/>
          <w:color w:val="auto"/>
          <w:szCs w:val="21"/>
          <w:highlight w:val="none"/>
        </w:rPr>
        <w:t>、乙方负责作业过程中的事故处理和一切费用，乙方在合同履行过程中必须做好安全保障工作，不因项目实施而危及自身及第三方人员、财产安全；若发生任何安全事故，由乙方自行承担一切责任并赔偿损失。</w:t>
      </w:r>
    </w:p>
    <w:p w14:paraId="39E66E79">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1</w:t>
      </w:r>
      <w:r>
        <w:rPr>
          <w:rFonts w:hint="eastAsia" w:ascii="宋体" w:hAnsi="宋体" w:cs="Times New Roman"/>
          <w:b w:val="0"/>
          <w:color w:val="auto"/>
          <w:szCs w:val="21"/>
          <w:highlight w:val="none"/>
          <w:lang w:val="en-US" w:eastAsia="zh-CN"/>
        </w:rPr>
        <w:t>2</w:t>
      </w:r>
      <w:r>
        <w:rPr>
          <w:rFonts w:hint="eastAsia" w:ascii="宋体" w:hAnsi="宋体" w:eastAsia="宋体" w:cs="Times New Roman"/>
          <w:b w:val="0"/>
          <w:color w:val="auto"/>
          <w:szCs w:val="21"/>
          <w:highlight w:val="none"/>
        </w:rPr>
        <w:t>、乙方应严格遵守国家法律、法规的规定，做好社会治安综合治理和计划生育等工作，不得违反国家法律、法规和温州市的有关规定。</w:t>
      </w:r>
    </w:p>
    <w:p w14:paraId="120D3C4E">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1</w:t>
      </w:r>
      <w:r>
        <w:rPr>
          <w:rFonts w:hint="eastAsia" w:ascii="宋体" w:hAnsi="宋体" w:cs="Times New Roman"/>
          <w:b w:val="0"/>
          <w:color w:val="auto"/>
          <w:szCs w:val="21"/>
          <w:highlight w:val="none"/>
          <w:lang w:val="en-US" w:eastAsia="zh-CN"/>
        </w:rPr>
        <w:t>3</w:t>
      </w:r>
      <w:r>
        <w:rPr>
          <w:rFonts w:hint="eastAsia" w:ascii="宋体" w:hAnsi="宋体" w:eastAsia="宋体" w:cs="Times New Roman"/>
          <w:b w:val="0"/>
          <w:color w:val="auto"/>
          <w:szCs w:val="21"/>
          <w:highlight w:val="none"/>
        </w:rPr>
        <w:t>、在合同期内，因国家建设需要调整乙方管理任务和管理级别时，乙方要服从大局，相应增减承包面积及经费。由此造成的经济损失，甲方不负赔偿责任。</w:t>
      </w:r>
    </w:p>
    <w:p w14:paraId="04CE7124">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1</w:t>
      </w:r>
      <w:r>
        <w:rPr>
          <w:rFonts w:hint="eastAsia" w:ascii="宋体" w:hAnsi="宋体" w:cs="Times New Roman"/>
          <w:b w:val="0"/>
          <w:color w:val="auto"/>
          <w:szCs w:val="21"/>
          <w:highlight w:val="none"/>
          <w:lang w:val="en-US" w:eastAsia="zh-CN"/>
        </w:rPr>
        <w:t>4</w:t>
      </w:r>
      <w:r>
        <w:rPr>
          <w:rFonts w:hint="eastAsia" w:ascii="宋体" w:hAnsi="宋体" w:eastAsia="宋体" w:cs="Times New Roman"/>
          <w:b w:val="0"/>
          <w:color w:val="auto"/>
          <w:szCs w:val="21"/>
          <w:highlight w:val="none"/>
        </w:rPr>
        <w:t>、乙方应遵守法律、法规和政策的规定，因以上原因使合同性质发生改变，甲方不负赔偿责任。</w:t>
      </w:r>
    </w:p>
    <w:p w14:paraId="4D6B02E7">
      <w:pPr>
        <w:spacing w:line="360" w:lineRule="auto"/>
        <w:rPr>
          <w:rFonts w:ascii="宋体" w:hAnsi="宋体"/>
          <w:b w:val="0"/>
          <w:color w:val="auto"/>
          <w:szCs w:val="21"/>
          <w:highlight w:val="none"/>
        </w:rPr>
      </w:pPr>
      <w:r>
        <w:rPr>
          <w:rFonts w:hint="eastAsia" w:ascii="宋体" w:hAnsi="宋体"/>
          <w:b/>
          <w:bCs/>
          <w:color w:val="auto"/>
          <w:szCs w:val="21"/>
          <w:highlight w:val="none"/>
        </w:rPr>
        <w:t>第十条  合同组成</w:t>
      </w:r>
    </w:p>
    <w:p w14:paraId="68C8CBC6">
      <w:pPr>
        <w:spacing w:line="360" w:lineRule="auto"/>
        <w:ind w:firstLine="440" w:firstLineChars="200"/>
        <w:rPr>
          <w:rFonts w:ascii="宋体" w:hAnsi="宋体"/>
          <w:b w:val="0"/>
          <w:color w:val="auto"/>
          <w:szCs w:val="21"/>
          <w:highlight w:val="none"/>
        </w:rPr>
      </w:pPr>
      <w:r>
        <w:rPr>
          <w:rFonts w:hint="eastAsia" w:ascii="宋体" w:hAnsi="宋体"/>
          <w:b w:val="0"/>
          <w:color w:val="auto"/>
          <w:szCs w:val="21"/>
          <w:highlight w:val="none"/>
        </w:rPr>
        <w:t>承包合同由《招标文件》、《投标文件》、《</w:t>
      </w:r>
      <w:r>
        <w:rPr>
          <w:rFonts w:hint="eastAsia" w:ascii="宋体" w:hAnsi="宋体"/>
          <w:b w:val="0"/>
          <w:color w:val="auto"/>
          <w:szCs w:val="21"/>
          <w:highlight w:val="none"/>
          <w:lang w:eastAsia="zh-CN"/>
        </w:rPr>
        <w:t>2025年度苍南县百里平水公园(灵溪段)及南塘长效管理</w:t>
      </w:r>
      <w:r>
        <w:rPr>
          <w:rFonts w:hint="eastAsia" w:ascii="宋体" w:hAnsi="宋体"/>
          <w:b w:val="0"/>
          <w:color w:val="auto"/>
          <w:szCs w:val="21"/>
          <w:highlight w:val="none"/>
        </w:rPr>
        <w:t>务考核评分表（考核评分表）》及附件为本合同的有效组成部分。</w:t>
      </w:r>
    </w:p>
    <w:p w14:paraId="27A85D42">
      <w:pPr>
        <w:spacing w:line="360" w:lineRule="auto"/>
        <w:rPr>
          <w:rFonts w:ascii="宋体" w:hAnsi="宋体"/>
          <w:b/>
          <w:bCs/>
          <w:color w:val="auto"/>
          <w:szCs w:val="21"/>
          <w:highlight w:val="none"/>
        </w:rPr>
      </w:pPr>
      <w:r>
        <w:rPr>
          <w:rFonts w:hint="eastAsia" w:ascii="宋体" w:hAnsi="宋体"/>
          <w:b/>
          <w:bCs/>
          <w:color w:val="auto"/>
          <w:szCs w:val="21"/>
          <w:highlight w:val="none"/>
        </w:rPr>
        <w:t>第十</w:t>
      </w:r>
      <w:r>
        <w:rPr>
          <w:rFonts w:hint="eastAsia" w:ascii="宋体" w:hAnsi="宋体"/>
          <w:b/>
          <w:bCs/>
          <w:color w:val="auto"/>
          <w:szCs w:val="21"/>
          <w:highlight w:val="none"/>
          <w:lang w:val="en-US" w:eastAsia="zh-CN"/>
        </w:rPr>
        <w:t>一</w:t>
      </w:r>
      <w:r>
        <w:rPr>
          <w:rFonts w:hint="eastAsia" w:ascii="宋体" w:hAnsi="宋体"/>
          <w:b/>
          <w:bCs/>
          <w:color w:val="auto"/>
          <w:szCs w:val="21"/>
          <w:highlight w:val="none"/>
        </w:rPr>
        <w:t>条  违约责任</w:t>
      </w:r>
    </w:p>
    <w:p w14:paraId="6CEF157E">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w:t>
      </w:r>
    </w:p>
    <w:p w14:paraId="0A094A61">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（二）乙方如出现连续</w:t>
      </w:r>
      <w:r>
        <w:rPr>
          <w:rFonts w:hint="eastAsia" w:ascii="宋体" w:hAnsi="宋体" w:cs="Times New Roman"/>
          <w:b w:val="0"/>
          <w:color w:val="auto"/>
          <w:szCs w:val="21"/>
          <w:highlight w:val="none"/>
          <w:lang w:val="en-US" w:eastAsia="zh-CN"/>
        </w:rPr>
        <w:t>3</w:t>
      </w:r>
      <w:r>
        <w:rPr>
          <w:rFonts w:hint="eastAsia" w:ascii="宋体" w:hAnsi="宋体" w:eastAsia="宋体" w:cs="Times New Roman"/>
          <w:b w:val="0"/>
          <w:color w:val="auto"/>
          <w:szCs w:val="21"/>
          <w:highlight w:val="none"/>
        </w:rPr>
        <w:t>次考核或累计</w:t>
      </w:r>
      <w:r>
        <w:rPr>
          <w:rFonts w:hint="eastAsia" w:ascii="宋体" w:hAnsi="宋体" w:cs="Times New Roman"/>
          <w:b w:val="0"/>
          <w:color w:val="auto"/>
          <w:szCs w:val="21"/>
          <w:highlight w:val="none"/>
          <w:lang w:val="en-US" w:eastAsia="zh-CN"/>
        </w:rPr>
        <w:t>4</w:t>
      </w:r>
      <w:r>
        <w:rPr>
          <w:rFonts w:hint="eastAsia" w:ascii="宋体" w:hAnsi="宋体" w:eastAsia="宋体" w:cs="Times New Roman"/>
          <w:b w:val="0"/>
          <w:color w:val="auto"/>
          <w:szCs w:val="21"/>
          <w:highlight w:val="none"/>
        </w:rPr>
        <w:t>次考核评分不合格的，采购人有权取消承包合同。</w:t>
      </w:r>
    </w:p>
    <w:p w14:paraId="0FD0220E">
      <w:pPr>
        <w:spacing w:line="360" w:lineRule="auto"/>
        <w:rPr>
          <w:rFonts w:ascii="宋体" w:hAnsi="宋体"/>
          <w:b/>
          <w:bCs/>
          <w:color w:val="auto"/>
          <w:szCs w:val="21"/>
          <w:highlight w:val="none"/>
        </w:rPr>
      </w:pPr>
      <w:r>
        <w:rPr>
          <w:rFonts w:hint="eastAsia" w:ascii="宋体" w:hAnsi="宋体"/>
          <w:b/>
          <w:bCs/>
          <w:color w:val="auto"/>
          <w:szCs w:val="21"/>
          <w:highlight w:val="none"/>
        </w:rPr>
        <w:t>第十</w:t>
      </w: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条  验收移交</w:t>
      </w:r>
    </w:p>
    <w:p w14:paraId="11915E3F">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（一）在合同终止前十个工作日内，由乙方书面向甲方提出移交验收申请。</w:t>
      </w:r>
    </w:p>
    <w:p w14:paraId="063689BC">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（二）合同期满，乙方必须将全部清扫保洁业务及时移交甲方。未经甲方许可，合同期满，乙方不及时移交管理工程给甲方，每超过一天扣除最后一期服务费的10%。</w:t>
      </w:r>
    </w:p>
    <w:p w14:paraId="7DF55BFE">
      <w:pPr>
        <w:spacing w:line="360" w:lineRule="auto"/>
        <w:rPr>
          <w:rFonts w:ascii="宋体" w:hAnsi="宋体"/>
          <w:b/>
          <w:bCs/>
          <w:color w:val="auto"/>
          <w:szCs w:val="21"/>
          <w:highlight w:val="none"/>
        </w:rPr>
      </w:pPr>
      <w:r>
        <w:rPr>
          <w:rFonts w:hint="eastAsia" w:ascii="宋体" w:hAnsi="宋体"/>
          <w:b/>
          <w:bCs/>
          <w:color w:val="auto"/>
          <w:szCs w:val="21"/>
          <w:highlight w:val="none"/>
        </w:rPr>
        <w:t>第十</w:t>
      </w:r>
      <w:r>
        <w:rPr>
          <w:rFonts w:hint="eastAsia" w:ascii="宋体" w:hAnsi="宋体"/>
          <w:b/>
          <w:bCs/>
          <w:color w:val="auto"/>
          <w:szCs w:val="21"/>
          <w:highlight w:val="none"/>
          <w:lang w:val="en-US" w:eastAsia="zh-CN"/>
        </w:rPr>
        <w:t>三</w:t>
      </w:r>
      <w:r>
        <w:rPr>
          <w:rFonts w:hint="eastAsia" w:ascii="宋体" w:hAnsi="宋体"/>
          <w:b/>
          <w:bCs/>
          <w:color w:val="auto"/>
          <w:szCs w:val="21"/>
          <w:highlight w:val="none"/>
        </w:rPr>
        <w:t>条  争议的解决</w:t>
      </w:r>
    </w:p>
    <w:p w14:paraId="1548C1FB">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合同未尽事宜，应双方友好协调解决。协商不一致，任何一方均可提起仲裁或诉讼，仲裁或诉讼按合同履行地原则。</w:t>
      </w:r>
    </w:p>
    <w:p w14:paraId="5BD75329">
      <w:pPr>
        <w:spacing w:line="360" w:lineRule="auto"/>
        <w:rPr>
          <w:rFonts w:ascii="宋体" w:hAnsi="宋体"/>
          <w:b/>
          <w:bCs/>
          <w:color w:val="auto"/>
          <w:szCs w:val="21"/>
          <w:highlight w:val="none"/>
        </w:rPr>
      </w:pPr>
      <w:r>
        <w:rPr>
          <w:rFonts w:hint="eastAsia" w:ascii="宋体" w:hAnsi="宋体"/>
          <w:b/>
          <w:bCs/>
          <w:color w:val="auto"/>
          <w:szCs w:val="21"/>
          <w:highlight w:val="none"/>
        </w:rPr>
        <w:t>第十</w:t>
      </w:r>
      <w:r>
        <w:rPr>
          <w:rFonts w:hint="eastAsia" w:ascii="宋体" w:hAnsi="宋体"/>
          <w:b/>
          <w:bCs/>
          <w:color w:val="auto"/>
          <w:szCs w:val="21"/>
          <w:highlight w:val="none"/>
          <w:lang w:val="en-US" w:eastAsia="zh-CN"/>
        </w:rPr>
        <w:t>四</w:t>
      </w:r>
      <w:r>
        <w:rPr>
          <w:rFonts w:hint="eastAsia" w:ascii="宋体" w:hAnsi="宋体"/>
          <w:b/>
          <w:bCs/>
          <w:color w:val="auto"/>
          <w:szCs w:val="21"/>
          <w:highlight w:val="none"/>
        </w:rPr>
        <w:t>条  合同生效及终止</w:t>
      </w:r>
    </w:p>
    <w:p w14:paraId="5549518C">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（一）合同生效：本合同自甲乙双方法定代表人签字、盖章之日起生效。</w:t>
      </w:r>
    </w:p>
    <w:p w14:paraId="3414C9DF">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（二）合同终止：本合同出现以下情况时终止。</w:t>
      </w:r>
    </w:p>
    <w:p w14:paraId="12FD3B91">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1、期限届满时自行终止。</w:t>
      </w:r>
    </w:p>
    <w:p w14:paraId="2358961C">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2、根据《</w:t>
      </w:r>
      <w:r>
        <w:rPr>
          <w:rFonts w:hint="eastAsia" w:ascii="宋体" w:hAnsi="宋体" w:eastAsia="宋体" w:cs="Times New Roman"/>
          <w:b w:val="0"/>
          <w:color w:val="auto"/>
          <w:szCs w:val="21"/>
          <w:highlight w:val="none"/>
          <w:lang w:eastAsia="zh-CN"/>
        </w:rPr>
        <w:t>2025年度苍南县百里平水公园(灵溪段)及南塘长效管理</w:t>
      </w:r>
      <w:r>
        <w:rPr>
          <w:rFonts w:hint="eastAsia" w:ascii="宋体" w:hAnsi="宋体" w:eastAsia="宋体" w:cs="Times New Roman"/>
          <w:b w:val="0"/>
          <w:color w:val="auto"/>
          <w:szCs w:val="21"/>
          <w:highlight w:val="none"/>
        </w:rPr>
        <w:t>务考核评分表（考核评分表）》进行检查考评，不符合相关规定需终止合同的。</w:t>
      </w:r>
    </w:p>
    <w:p w14:paraId="43F9C6BB">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3、有以下行为之一的：</w:t>
      </w:r>
    </w:p>
    <w:p w14:paraId="1E7B262D">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（1）违反管理规定，造成重大伤亡或重大损失。</w:t>
      </w:r>
    </w:p>
    <w:p w14:paraId="647EAE55">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（2）因管理不善造成恶劣影响。</w:t>
      </w:r>
    </w:p>
    <w:p w14:paraId="0713D258">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（3）擅自将合同转包给第三者。</w:t>
      </w:r>
    </w:p>
    <w:p w14:paraId="7B8AFDC4">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（4）违反劳动法或其他相关法律法规，造成恶劣影响。</w:t>
      </w:r>
    </w:p>
    <w:p w14:paraId="2B2C78A5">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（5）弄虚作假及其他不正当行为。</w:t>
      </w:r>
    </w:p>
    <w:p w14:paraId="3AC7CF9E">
      <w:pPr>
        <w:spacing w:line="360" w:lineRule="auto"/>
        <w:ind w:firstLine="44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4、法律规定的终止事由。</w:t>
      </w:r>
    </w:p>
    <w:p w14:paraId="06D804F3">
      <w:pPr>
        <w:spacing w:line="360" w:lineRule="auto"/>
        <w:rPr>
          <w:rFonts w:ascii="宋体" w:hAnsi="宋体"/>
          <w:b/>
          <w:bCs/>
          <w:color w:val="auto"/>
          <w:szCs w:val="21"/>
          <w:highlight w:val="none"/>
        </w:rPr>
      </w:pPr>
      <w:r>
        <w:rPr>
          <w:rFonts w:hint="eastAsia" w:ascii="宋体" w:hAnsi="宋体"/>
          <w:b/>
          <w:bCs/>
          <w:color w:val="auto"/>
          <w:szCs w:val="21"/>
          <w:highlight w:val="none"/>
        </w:rPr>
        <w:t>第十</w:t>
      </w:r>
      <w:r>
        <w:rPr>
          <w:rFonts w:hint="eastAsia" w:ascii="宋体" w:hAnsi="宋体"/>
          <w:b/>
          <w:bCs/>
          <w:color w:val="auto"/>
          <w:szCs w:val="21"/>
          <w:highlight w:val="none"/>
          <w:lang w:val="en-US" w:eastAsia="zh-CN"/>
        </w:rPr>
        <w:t>五</w:t>
      </w:r>
      <w:r>
        <w:rPr>
          <w:rFonts w:hint="eastAsia" w:ascii="宋体" w:hAnsi="宋体"/>
          <w:b/>
          <w:bCs/>
          <w:color w:val="auto"/>
          <w:szCs w:val="21"/>
          <w:highlight w:val="none"/>
        </w:rPr>
        <w:t>条  合同的解释</w:t>
      </w:r>
    </w:p>
    <w:p w14:paraId="572E5AC8">
      <w:pPr>
        <w:spacing w:line="360" w:lineRule="auto"/>
        <w:ind w:firstLine="440" w:firstLineChars="200"/>
        <w:rPr>
          <w:rFonts w:ascii="宋体" w:hAnsi="宋体"/>
          <w:b w:val="0"/>
          <w:color w:val="auto"/>
          <w:szCs w:val="21"/>
          <w:highlight w:val="none"/>
        </w:rPr>
      </w:pPr>
      <w:r>
        <w:rPr>
          <w:rFonts w:hint="eastAsia" w:ascii="宋体" w:hAnsi="宋体"/>
          <w:b w:val="0"/>
          <w:color w:val="auto"/>
          <w:szCs w:val="21"/>
          <w:highlight w:val="none"/>
        </w:rPr>
        <w:t>本合同的解释权在</w:t>
      </w:r>
      <w:r>
        <w:rPr>
          <w:rFonts w:hint="eastAsia" w:ascii="宋体" w:hAnsi="宋体"/>
          <w:b w:val="0"/>
          <w:color w:val="auto"/>
          <w:szCs w:val="21"/>
          <w:highlight w:val="none"/>
          <w:lang w:val="en-US" w:eastAsia="zh-CN"/>
        </w:rPr>
        <w:t>灵溪镇</w:t>
      </w:r>
      <w:r>
        <w:rPr>
          <w:rFonts w:hint="eastAsia" w:ascii="宋体" w:hAnsi="宋体"/>
          <w:b w:val="0"/>
          <w:color w:val="auto"/>
          <w:szCs w:val="21"/>
          <w:highlight w:val="none"/>
        </w:rPr>
        <w:t xml:space="preserve">人民政府。         </w:t>
      </w:r>
    </w:p>
    <w:p w14:paraId="1F4BF9DC">
      <w:pPr>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第十</w:t>
      </w:r>
      <w:r>
        <w:rPr>
          <w:rFonts w:hint="eastAsia" w:ascii="宋体" w:hAnsi="宋体" w:cs="宋体"/>
          <w:color w:val="auto"/>
          <w:szCs w:val="22"/>
          <w:highlight w:val="none"/>
          <w:lang w:val="en-US" w:eastAsia="zh-CN"/>
        </w:rPr>
        <w:t>七</w:t>
      </w:r>
      <w:r>
        <w:rPr>
          <w:rFonts w:hint="eastAsia" w:ascii="宋体" w:hAnsi="宋体" w:eastAsia="宋体" w:cs="宋体"/>
          <w:color w:val="auto"/>
          <w:szCs w:val="22"/>
          <w:highlight w:val="none"/>
        </w:rPr>
        <w:t>条  本协议一式肆份，甲乙双方各执贰份，具有同等法律效力。</w:t>
      </w:r>
    </w:p>
    <w:p w14:paraId="40BD3860">
      <w:pPr>
        <w:spacing w:line="360" w:lineRule="auto"/>
        <w:ind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第十</w:t>
      </w:r>
      <w:r>
        <w:rPr>
          <w:rFonts w:hint="eastAsia" w:ascii="宋体" w:hAnsi="宋体" w:cs="宋体"/>
          <w:color w:val="auto"/>
          <w:szCs w:val="22"/>
          <w:highlight w:val="none"/>
          <w:lang w:val="en-US" w:eastAsia="zh-CN"/>
        </w:rPr>
        <w:t>八</w:t>
      </w:r>
      <w:r>
        <w:rPr>
          <w:rFonts w:hint="eastAsia" w:ascii="宋体" w:hAnsi="宋体" w:eastAsia="宋体" w:cs="宋体"/>
          <w:color w:val="auto"/>
          <w:szCs w:val="22"/>
          <w:highlight w:val="none"/>
        </w:rPr>
        <w:t>条  本合同自双方签字盖章之日起生效。</w:t>
      </w:r>
    </w:p>
    <w:p w14:paraId="42897504">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p>
    <w:p w14:paraId="2E5AF03F">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甲方（盖章）：                        乙方（盖章）：</w:t>
      </w:r>
    </w:p>
    <w:p w14:paraId="71BF79E6">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全权代表（签字或盖章）：              全权代表（签字或盖章）： </w:t>
      </w:r>
    </w:p>
    <w:p w14:paraId="59B464AA">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开户银行：                           开户银行： </w:t>
      </w:r>
    </w:p>
    <w:p w14:paraId="7886AE30">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银行账户：                           银行账户： </w:t>
      </w:r>
    </w:p>
    <w:p w14:paraId="61D55EDF">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电话：                               电话： </w:t>
      </w:r>
    </w:p>
    <w:p w14:paraId="51A57F88">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传真：                               传真： </w:t>
      </w:r>
    </w:p>
    <w:p w14:paraId="551A5B2C">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地址：                               地址：</w:t>
      </w:r>
    </w:p>
    <w:p w14:paraId="6F288DDC">
      <w:pPr>
        <w:autoSpaceDE w:val="0"/>
        <w:autoSpaceDN w:val="0"/>
        <w:adjustRightInd w:val="0"/>
        <w:spacing w:line="42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日期：                               日期： </w:t>
      </w:r>
    </w:p>
    <w:p w14:paraId="77D1164A">
      <w:pPr>
        <w:pStyle w:val="28"/>
        <w:rPr>
          <w:rFonts w:hint="eastAsia" w:ascii="宋体" w:hAnsi="宋体" w:eastAsia="宋体" w:cs="宋体"/>
          <w:color w:val="auto"/>
          <w:highlight w:val="none"/>
        </w:rPr>
      </w:pPr>
    </w:p>
    <w:p w14:paraId="6A1E8B5D">
      <w:pPr>
        <w:rPr>
          <w:rFonts w:hint="eastAsia" w:ascii="宋体" w:hAnsi="宋体" w:eastAsia="宋体" w:cs="宋体"/>
          <w:bCs/>
          <w:color w:val="auto"/>
          <w:highlight w:val="none"/>
        </w:rPr>
      </w:pPr>
      <w:r>
        <w:rPr>
          <w:rFonts w:hint="eastAsia" w:ascii="宋体" w:hAnsi="宋体" w:eastAsia="宋体" w:cs="宋体"/>
          <w:bCs/>
          <w:color w:val="auto"/>
          <w:highlight w:val="none"/>
        </w:rPr>
        <w:br w:type="page"/>
      </w:r>
    </w:p>
    <w:p w14:paraId="2531F05A">
      <w:pPr>
        <w:pStyle w:val="18"/>
        <w:snapToGrid w:val="0"/>
        <w:ind w:firstLine="44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合同附件：</w:t>
      </w:r>
    </w:p>
    <w:p w14:paraId="07DE6CC3">
      <w:pPr>
        <w:spacing w:line="360" w:lineRule="auto"/>
        <w:ind w:right="56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服务安全生产责任书</w:t>
      </w:r>
    </w:p>
    <w:p w14:paraId="7AFF33ED">
      <w:pPr>
        <w:spacing w:line="360" w:lineRule="auto"/>
        <w:ind w:right="56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 xml:space="preserve">   甲方： </w:t>
      </w:r>
    </w:p>
    <w:p w14:paraId="2B78090E">
      <w:pPr>
        <w:spacing w:line="360" w:lineRule="auto"/>
        <w:rPr>
          <w:rFonts w:hint="eastAsia" w:ascii="宋体" w:hAnsi="宋体" w:eastAsia="宋体" w:cs="宋体"/>
          <w:b/>
          <w:color w:val="auto"/>
          <w:szCs w:val="22"/>
          <w:highlight w:val="none"/>
        </w:rPr>
      </w:pPr>
      <w:r>
        <w:rPr>
          <w:rFonts w:hint="eastAsia" w:ascii="宋体" w:hAnsi="宋体" w:eastAsia="宋体" w:cs="宋体"/>
          <w:bCs/>
          <w:color w:val="auto"/>
          <w:szCs w:val="22"/>
          <w:highlight w:val="none"/>
        </w:rPr>
        <w:t xml:space="preserve">   乙方：</w:t>
      </w:r>
    </w:p>
    <w:p w14:paraId="37001E9A">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为确保本项目服务工作的顺利进行，贯彻“以人为本、安全第一、预防为主、综合治理”的方针，根据《中华人民共和国建筑法》、《中华人民共和国安全生产法》、《建设工程安全生产管理条例》的相关规定，甲乙双方签订本安全生产责任书。</w:t>
      </w:r>
    </w:p>
    <w:p w14:paraId="1AA2BC7C">
      <w:pPr>
        <w:widowControl/>
        <w:spacing w:line="500" w:lineRule="exact"/>
        <w:ind w:left="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一、安全生产目标</w:t>
      </w:r>
    </w:p>
    <w:p w14:paraId="70259FE9">
      <w:pPr>
        <w:widowControl/>
        <w:spacing w:line="50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全面加强安全生产工作，确保服务过程中零事故、零损失、零投诉的目标。</w:t>
      </w:r>
    </w:p>
    <w:p w14:paraId="6E7496B1">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二、责任内容</w:t>
      </w:r>
    </w:p>
    <w:p w14:paraId="09C5F79E">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1、乙方应认真学习并执行《安全生产法》、《安全生产管理条例》，严格遵守服务安全技术规程和各项安全生产规章制度；服务运输车辆和驾驶员严格遵守《道路交通安全法》的相关规定，做到遵守交规、文明行车。</w:t>
      </w:r>
    </w:p>
    <w:p w14:paraId="0AB930DC">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2、乙方应定期、不定期的开展安全生产检查工作，密切注意项目服务区域内存在的安全隐患，并做好检查记录和安全整改记录并及时上报。</w:t>
      </w:r>
    </w:p>
    <w:p w14:paraId="7D940DD5">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3、乙方须对所属服务人员进行安全教育，提高服务人员的安全意识，营造人人讲安全的氛围，并保存好与安全教育相关的资料。</w:t>
      </w:r>
    </w:p>
    <w:p w14:paraId="33E3A123">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4、乙方必须加强对特种作业人员的安全教育培训，特种作业人员必须持证上岗。</w:t>
      </w:r>
    </w:p>
    <w:p w14:paraId="3EA97FD3">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5、乙方应认真落实各类突发事件应急预案，正确分析、判断和处理各种事故隐患；发生事故要正确处理，及时、如实的向甲方报告，并保护好现场，做好详细记录。</w:t>
      </w:r>
    </w:p>
    <w:p w14:paraId="07999FC4">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6、乙方积极配合甲方组织的各项安全检查，参加甲方组织的安全教育培训。</w:t>
      </w:r>
    </w:p>
    <w:p w14:paraId="2B92DB13">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7、乙方绿化修剪、补种、喷药等日常养护作业尽量避开人流高峰，特别是在繁忙时间段作业，要避开行人、车辆等，防治发生安全事故。作业现场设置安全维护和警示牌，提醒或疏散行人、车辆。作业人员必须佩戴安全带、安全帽、穿警示服。</w:t>
      </w:r>
    </w:p>
    <w:p w14:paraId="3BEB3C92">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8、乙方作业人员在使用各类工具、设备前，应仔细了解机具的性能、使用方法、注意事项，严格按照设备的使用说明进行操作，使用前做好必要的防护措施。</w:t>
      </w:r>
    </w:p>
    <w:p w14:paraId="4A7F909E">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9、加强农药的保管，农药使用完毕后，严格按规定进行无害化处理，杜绝应农药管理不善造成的各类安全事故。做好喷药作业人员自身防护和周边环境的警示工作。</w:t>
      </w:r>
    </w:p>
    <w:p w14:paraId="1ADBE69A">
      <w:pPr>
        <w:widowControl/>
        <w:spacing w:line="500" w:lineRule="exact"/>
        <w:ind w:firstLine="57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10、未尽事项双方协商解决。</w:t>
      </w:r>
    </w:p>
    <w:p w14:paraId="012A5653">
      <w:pPr>
        <w:spacing w:line="460" w:lineRule="exact"/>
        <w:rPr>
          <w:rFonts w:hint="eastAsia" w:ascii="宋体" w:hAnsi="宋体" w:eastAsia="宋体" w:cs="宋体"/>
          <w:color w:val="auto"/>
          <w:sz w:val="24"/>
          <w:highlight w:val="none"/>
        </w:rPr>
      </w:pPr>
    </w:p>
    <w:p w14:paraId="0E55149C">
      <w:pPr>
        <w:spacing w:line="460" w:lineRule="exact"/>
        <w:rPr>
          <w:rFonts w:hint="eastAsia" w:ascii="宋体" w:hAnsi="宋体" w:eastAsia="宋体" w:cs="宋体"/>
          <w:color w:val="auto"/>
          <w:sz w:val="24"/>
          <w:highlight w:val="none"/>
        </w:rPr>
      </w:pPr>
    </w:p>
    <w:p w14:paraId="71046482">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5090C623">
      <w:pPr>
        <w:spacing w:line="460" w:lineRule="exact"/>
        <w:rPr>
          <w:rFonts w:hint="eastAsia" w:ascii="宋体" w:hAnsi="宋体" w:eastAsia="宋体" w:cs="宋体"/>
          <w:color w:val="auto"/>
          <w:sz w:val="24"/>
          <w:highlight w:val="none"/>
        </w:rPr>
      </w:pPr>
    </w:p>
    <w:p w14:paraId="5D0E10BE">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法人代表（签字）：                 法人代表（签字）：</w:t>
      </w:r>
    </w:p>
    <w:p w14:paraId="7FA535AA">
      <w:pPr>
        <w:spacing w:line="460" w:lineRule="exact"/>
        <w:rPr>
          <w:rFonts w:hint="eastAsia" w:ascii="宋体" w:hAnsi="宋体" w:eastAsia="宋体" w:cs="宋体"/>
          <w:color w:val="auto"/>
          <w:sz w:val="24"/>
          <w:highlight w:val="none"/>
        </w:rPr>
      </w:pPr>
    </w:p>
    <w:p w14:paraId="0008C980">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               委托代理人（签字）：</w:t>
      </w:r>
    </w:p>
    <w:p w14:paraId="6C26E806">
      <w:pPr>
        <w:spacing w:line="460" w:lineRule="exact"/>
        <w:ind w:right="560"/>
        <w:rPr>
          <w:rFonts w:hint="eastAsia" w:ascii="宋体" w:hAnsi="宋体" w:eastAsia="宋体" w:cs="宋体"/>
          <w:color w:val="auto"/>
          <w:sz w:val="24"/>
          <w:highlight w:val="none"/>
        </w:rPr>
      </w:pPr>
    </w:p>
    <w:p w14:paraId="2BA014AF">
      <w:pPr>
        <w:spacing w:line="460" w:lineRule="exact"/>
        <w:ind w:right="56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年   月  日</w:t>
      </w:r>
    </w:p>
    <w:p w14:paraId="35879158">
      <w:pPr>
        <w:spacing w:line="420" w:lineRule="exact"/>
        <w:rPr>
          <w:rFonts w:hint="eastAsia" w:ascii="宋体" w:hAnsi="宋体" w:eastAsia="宋体" w:cs="宋体"/>
          <w:color w:val="auto"/>
          <w:highlight w:val="none"/>
        </w:rPr>
      </w:pPr>
    </w:p>
    <w:p w14:paraId="32BC714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br w:type="page"/>
      </w:r>
    </w:p>
    <w:p w14:paraId="25BC0D67">
      <w:pPr>
        <w:pStyle w:val="51"/>
        <w:spacing w:line="420" w:lineRule="exact"/>
        <w:rPr>
          <w:rFonts w:hint="eastAsia" w:ascii="宋体" w:hAnsi="宋体" w:eastAsia="宋体" w:cs="宋体"/>
          <w:color w:val="auto"/>
          <w:kern w:val="0"/>
          <w:sz w:val="24"/>
          <w:highlight w:val="none"/>
        </w:rPr>
      </w:pPr>
    </w:p>
    <w:p w14:paraId="7470D2E2">
      <w:pPr>
        <w:pStyle w:val="3"/>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第五部分  投标文件格式</w:t>
      </w:r>
    </w:p>
    <w:p w14:paraId="27570F94">
      <w:pPr>
        <w:spacing w:line="4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（未提供格式的由供应商自拟）</w:t>
      </w:r>
    </w:p>
    <w:p w14:paraId="51FD74C2">
      <w:pPr>
        <w:pStyle w:val="5"/>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一、“资格响应文件”</w:t>
      </w:r>
      <w:r>
        <w:rPr>
          <w:rFonts w:hint="eastAsia" w:ascii="宋体" w:hAnsi="宋体" w:eastAsia="宋体" w:cs="宋体"/>
          <w:color w:val="auto"/>
          <w:kern w:val="0"/>
          <w:highlight w:val="none"/>
        </w:rPr>
        <w:t>部分格式</w:t>
      </w:r>
    </w:p>
    <w:p w14:paraId="03752812">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1.1、投标供应商参与政府采购活动投标资格声明函</w:t>
      </w:r>
    </w:p>
    <w:p w14:paraId="408EFC1A">
      <w:pPr>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投标供应商参与政府采购活动投标资格声明函</w:t>
      </w:r>
    </w:p>
    <w:p w14:paraId="486A48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苍南县灵溪镇人民政府：</w:t>
      </w:r>
    </w:p>
    <w:p w14:paraId="307825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）】政府采购活动，郑重承诺：</w:t>
      </w:r>
    </w:p>
    <w:p w14:paraId="0C41E7CD">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76665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E4A61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67CA3A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69FED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05E96E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7D1160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B4613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A6BFD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BEBD4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1416C9C">
      <w:pPr>
        <w:snapToGrid w:val="0"/>
        <w:spacing w:line="360" w:lineRule="auto"/>
        <w:ind w:firstLine="442" w:firstLineChars="200"/>
        <w:rPr>
          <w:rFonts w:hint="eastAsia" w:ascii="宋体" w:hAnsi="宋体" w:eastAsia="宋体" w:cs="宋体"/>
          <w:color w:val="auto"/>
          <w:sz w:val="24"/>
          <w:highlight w:val="none"/>
        </w:rPr>
      </w:pPr>
      <w:r>
        <w:rPr>
          <w:rFonts w:hint="eastAsia" w:ascii="宋体" w:hAnsi="宋体" w:eastAsia="宋体" w:cs="宋体"/>
          <w:b/>
          <w:color w:val="auto"/>
          <w:szCs w:val="22"/>
          <w:highlight w:val="none"/>
        </w:rPr>
        <w:t>本公司所提交的声明和陈述均是真实的、准确的。若与真实情况不符，本公司愿意承担由此而产生的一切后果。</w:t>
      </w:r>
    </w:p>
    <w:p w14:paraId="15F05E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p>
    <w:p w14:paraId="416D3A63">
      <w:pPr>
        <w:pStyle w:val="18"/>
        <w:adjustRightInd w:val="0"/>
        <w:snapToGrid w:val="0"/>
        <w:spacing w:before="156" w:beforeLines="50" w:after="156" w:afterLines="50"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w:t>
      </w:r>
    </w:p>
    <w:p w14:paraId="1665C78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8DCE4A5">
      <w:pPr>
        <w:rPr>
          <w:rFonts w:hint="eastAsia"/>
          <w:color w:val="auto"/>
          <w:highlight w:val="none"/>
        </w:rPr>
      </w:pPr>
    </w:p>
    <w:p w14:paraId="59A343AE">
      <w:pPr>
        <w:pStyle w:val="5"/>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1.3、法定代表人授权书</w:t>
      </w:r>
    </w:p>
    <w:p w14:paraId="67683D4E">
      <w:pPr>
        <w:pStyle w:val="18"/>
        <w:adjustRightInd w:val="0"/>
        <w:snapToGrid w:val="0"/>
        <w:spacing w:before="156" w:beforeLines="50" w:after="156" w:afterLines="50" w:line="42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法定代表人授权书</w:t>
      </w:r>
    </w:p>
    <w:p w14:paraId="2504C409">
      <w:pPr>
        <w:tabs>
          <w:tab w:val="left" w:pos="1080"/>
        </w:tabs>
        <w:autoSpaceDE w:val="0"/>
        <w:autoSpaceDN w:val="0"/>
        <w:adjustRightInd w:val="0"/>
        <w:spacing w:line="420" w:lineRule="exact"/>
        <w:outlineLvl w:val="0"/>
        <w:rPr>
          <w:rFonts w:hint="eastAsia" w:ascii="宋体" w:hAnsi="宋体" w:eastAsia="宋体" w:cs="宋体"/>
          <w:b/>
          <w:color w:val="auto"/>
          <w:sz w:val="24"/>
          <w:highlight w:val="none"/>
          <w:lang w:val="zh-CN"/>
        </w:rPr>
      </w:pPr>
    </w:p>
    <w:p w14:paraId="42E159EC">
      <w:pPr>
        <w:pStyle w:val="18"/>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苍南县灵溪镇人民政府</w:t>
      </w:r>
      <w:r>
        <w:rPr>
          <w:rFonts w:hint="eastAsia" w:ascii="宋体" w:hAnsi="宋体" w:eastAsia="宋体" w:cs="宋体"/>
          <w:color w:val="auto"/>
          <w:sz w:val="24"/>
          <w:szCs w:val="24"/>
          <w:highlight w:val="none"/>
        </w:rPr>
        <w:t>：</w:t>
      </w:r>
    </w:p>
    <w:p w14:paraId="5A43859B">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（法定代表人姓名）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 应 商 名 称）  </w:t>
      </w:r>
      <w:r>
        <w:rPr>
          <w:rFonts w:hint="eastAsia" w:ascii="宋体" w:hAnsi="宋体" w:eastAsia="宋体" w:cs="宋体"/>
          <w:color w:val="auto"/>
          <w:sz w:val="24"/>
          <w:highlight w:val="none"/>
        </w:rPr>
        <w:t>的法定代表人，现授权委托本单位在职职工</w:t>
      </w:r>
      <w:r>
        <w:rPr>
          <w:rFonts w:hint="eastAsia" w:ascii="宋体" w:hAnsi="宋体" w:eastAsia="宋体" w:cs="宋体"/>
          <w:color w:val="auto"/>
          <w:sz w:val="24"/>
          <w:highlight w:val="none"/>
          <w:u w:val="single"/>
        </w:rPr>
        <w:t xml:space="preserve">  （授权代表姓名、身份证号）  </w:t>
      </w:r>
      <w:r>
        <w:rPr>
          <w:rFonts w:hint="eastAsia" w:ascii="宋体" w:hAnsi="宋体" w:eastAsia="宋体" w:cs="宋体"/>
          <w:color w:val="auto"/>
          <w:sz w:val="24"/>
          <w:highlight w:val="none"/>
        </w:rPr>
        <w:t>为我公司法定代表人授权代表，参加贵处组织的</w:t>
      </w:r>
      <w:r>
        <w:rPr>
          <w:rFonts w:hint="eastAsia" w:ascii="宋体" w:hAnsi="宋体" w:eastAsia="宋体" w:cs="宋体"/>
          <w:color w:val="auto"/>
          <w:sz w:val="24"/>
          <w:highlight w:val="none"/>
          <w:u w:val="single"/>
        </w:rPr>
        <w:t xml:space="preserve">  （招标项目名称，括号中填写项目编号）  </w:t>
      </w:r>
      <w:r>
        <w:rPr>
          <w:rFonts w:hint="eastAsia" w:ascii="宋体" w:hAnsi="宋体" w:eastAsia="宋体" w:cs="宋体"/>
          <w:color w:val="auto"/>
          <w:sz w:val="24"/>
          <w:highlight w:val="none"/>
        </w:rPr>
        <w:t>项目投标，全权处理本次招投标活动中的一切事宜，我承认授权代表全权代表我所签署的本项目的投标文件的内容。</w:t>
      </w:r>
    </w:p>
    <w:p w14:paraId="6B696119">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授权代表无转授权，特此授权。</w:t>
      </w:r>
    </w:p>
    <w:p w14:paraId="44BEFB76">
      <w:pPr>
        <w:snapToGrid w:val="0"/>
        <w:spacing w:line="420" w:lineRule="exact"/>
        <w:ind w:left="1260"/>
        <w:rPr>
          <w:rFonts w:hint="eastAsia" w:ascii="宋体" w:hAnsi="宋体" w:eastAsia="宋体" w:cs="宋体"/>
          <w:color w:val="auto"/>
          <w:sz w:val="24"/>
          <w:highlight w:val="none"/>
        </w:rPr>
      </w:pPr>
    </w:p>
    <w:p w14:paraId="6DC1AF9D">
      <w:pPr>
        <w:snapToGrid w:val="0"/>
        <w:spacing w:line="420" w:lineRule="exact"/>
        <w:ind w:left="2124" w:leftChars="247" w:hanging="1581" w:hangingChars="659"/>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single"/>
        </w:rPr>
        <w:t xml:space="preserve">   （签字）  </w:t>
      </w:r>
      <w:r>
        <w:rPr>
          <w:rFonts w:hint="eastAsia" w:ascii="宋体" w:hAnsi="宋体" w:eastAsia="宋体" w:cs="宋体"/>
          <w:color w:val="auto"/>
          <w:sz w:val="24"/>
          <w:highlight w:val="none"/>
        </w:rPr>
        <w:t xml:space="preserve"> 性别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A7AFA65">
      <w:pPr>
        <w:snapToGrid w:val="0"/>
        <w:spacing w:line="420" w:lineRule="exact"/>
        <w:ind w:left="2124" w:leftChars="247" w:hanging="1581" w:hangingChars="65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1AE4BEF3">
      <w:pPr>
        <w:snapToGrid w:val="0"/>
        <w:spacing w:line="420" w:lineRule="exact"/>
        <w:ind w:left="2124" w:leftChars="247" w:hanging="1581" w:hangingChars="65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详细通讯地址：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邮政编码：</w:t>
      </w:r>
      <w:r>
        <w:rPr>
          <w:rFonts w:hint="eastAsia" w:ascii="宋体" w:hAnsi="宋体" w:eastAsia="宋体" w:cs="宋体"/>
          <w:color w:val="auto"/>
          <w:sz w:val="24"/>
          <w:highlight w:val="none"/>
          <w:u w:val="single"/>
        </w:rPr>
        <w:t xml:space="preserve">           </w:t>
      </w:r>
    </w:p>
    <w:p w14:paraId="547E23FA">
      <w:pPr>
        <w:snapToGrid w:val="0"/>
        <w:spacing w:line="420" w:lineRule="exact"/>
        <w:ind w:left="2124" w:leftChars="247" w:hanging="1581" w:hangingChars="65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14:paraId="06371467">
      <w:pPr>
        <w:snapToGrid w:val="0"/>
        <w:spacing w:line="420" w:lineRule="exact"/>
        <w:ind w:left="2124" w:leftChars="247" w:hanging="1581" w:hangingChars="65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（电子签章）</w:t>
      </w:r>
    </w:p>
    <w:p w14:paraId="0A165A16">
      <w:pPr>
        <w:snapToGrid w:val="0"/>
        <w:spacing w:line="420" w:lineRule="exact"/>
        <w:ind w:left="2124" w:leftChars="247" w:hanging="1581" w:hangingChars="65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w:t>
      </w:r>
    </w:p>
    <w:p w14:paraId="168AA6FB">
      <w:pPr>
        <w:snapToGrid w:val="0"/>
        <w:spacing w:line="420" w:lineRule="exact"/>
        <w:ind w:left="2968" w:leftChars="1349" w:firstLine="2400" w:firstLineChars="1000"/>
        <w:rPr>
          <w:rFonts w:hint="eastAsia" w:ascii="宋体" w:hAnsi="宋体" w:eastAsia="宋体" w:cs="宋体"/>
          <w:color w:val="auto"/>
          <w:sz w:val="24"/>
          <w:highlight w:val="none"/>
        </w:rPr>
      </w:pPr>
    </w:p>
    <w:p w14:paraId="6034AC5F">
      <w:pPr>
        <w:snapToGrid w:val="0"/>
        <w:spacing w:line="420" w:lineRule="exact"/>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FC59366">
      <w:pPr>
        <w:spacing w:line="420" w:lineRule="exact"/>
        <w:ind w:firstLine="3614" w:firstLineChars="1500"/>
        <w:jc w:val="right"/>
        <w:rPr>
          <w:rFonts w:hint="eastAsia" w:ascii="宋体" w:hAnsi="宋体" w:eastAsia="宋体" w:cs="宋体"/>
          <w:b/>
          <w:color w:val="auto"/>
          <w:sz w:val="24"/>
          <w:highlight w:val="none"/>
        </w:rPr>
      </w:pPr>
    </w:p>
    <w:tbl>
      <w:tblPr>
        <w:tblStyle w:val="32"/>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072"/>
      </w:tblGrid>
      <w:tr w14:paraId="5F2A69B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224" w:hRule="atLeast"/>
        </w:trPr>
        <w:tc>
          <w:tcPr>
            <w:tcW w:w="9072" w:type="dxa"/>
          </w:tcPr>
          <w:p w14:paraId="39B4968F">
            <w:pPr>
              <w:pStyle w:val="18"/>
              <w:adjustRightInd w:val="0"/>
              <w:snapToGrid w:val="0"/>
              <w:spacing w:line="420" w:lineRule="exact"/>
              <w:rPr>
                <w:rFonts w:hint="eastAsia" w:ascii="宋体" w:hAnsi="宋体" w:eastAsia="宋体" w:cs="宋体"/>
                <w:iCs/>
                <w:color w:val="auto"/>
                <w:sz w:val="36"/>
                <w:szCs w:val="24"/>
                <w:highlight w:val="none"/>
                <w:u w:val="single"/>
              </w:rPr>
            </w:pPr>
          </w:p>
          <w:p w14:paraId="6000B201">
            <w:pPr>
              <w:pStyle w:val="18"/>
              <w:adjustRightInd w:val="0"/>
              <w:snapToGrid w:val="0"/>
              <w:spacing w:line="420" w:lineRule="exact"/>
              <w:rPr>
                <w:rFonts w:hint="eastAsia" w:ascii="宋体" w:hAnsi="宋体" w:eastAsia="宋体" w:cs="宋体"/>
                <w:iCs/>
                <w:color w:val="auto"/>
                <w:sz w:val="36"/>
                <w:szCs w:val="24"/>
                <w:highlight w:val="none"/>
                <w:u w:val="single"/>
              </w:rPr>
            </w:pPr>
          </w:p>
          <w:p w14:paraId="15B9CA33">
            <w:pPr>
              <w:pStyle w:val="18"/>
              <w:adjustRightInd w:val="0"/>
              <w:snapToGrid w:val="0"/>
              <w:spacing w:line="420" w:lineRule="exact"/>
              <w:jc w:val="center"/>
              <w:rPr>
                <w:rFonts w:hint="eastAsia" w:ascii="宋体" w:hAnsi="宋体" w:eastAsia="宋体" w:cs="宋体"/>
                <w:iCs/>
                <w:color w:val="auto"/>
                <w:sz w:val="36"/>
                <w:szCs w:val="24"/>
                <w:highlight w:val="none"/>
                <w:u w:val="single"/>
              </w:rPr>
            </w:pPr>
            <w:r>
              <w:rPr>
                <w:rFonts w:hint="eastAsia" w:ascii="宋体" w:hAnsi="宋体" w:eastAsia="宋体" w:cs="宋体"/>
                <w:b/>
                <w:iCs/>
                <w:color w:val="auto"/>
                <w:sz w:val="24"/>
                <w:szCs w:val="24"/>
                <w:highlight w:val="none"/>
              </w:rPr>
              <w:t>法人代表身份证</w:t>
            </w:r>
          </w:p>
          <w:p w14:paraId="138EC758">
            <w:pPr>
              <w:pStyle w:val="18"/>
              <w:adjustRightInd w:val="0"/>
              <w:snapToGrid w:val="0"/>
              <w:spacing w:line="420" w:lineRule="exact"/>
              <w:jc w:val="center"/>
              <w:rPr>
                <w:rFonts w:hint="eastAsia" w:ascii="宋体" w:hAnsi="宋体" w:eastAsia="宋体" w:cs="宋体"/>
                <w:b/>
                <w:iCs/>
                <w:color w:val="auto"/>
                <w:sz w:val="24"/>
                <w:szCs w:val="24"/>
                <w:highlight w:val="none"/>
              </w:rPr>
            </w:pPr>
            <w:r>
              <w:rPr>
                <w:rFonts w:hint="eastAsia" w:ascii="宋体" w:hAnsi="宋体" w:eastAsia="宋体" w:cs="宋体"/>
                <w:b/>
                <w:iCs/>
                <w:color w:val="auto"/>
                <w:sz w:val="24"/>
                <w:szCs w:val="24"/>
                <w:highlight w:val="none"/>
              </w:rPr>
              <w:t>扫描件或复印件（正反面均须提供）</w:t>
            </w:r>
          </w:p>
          <w:p w14:paraId="67823303">
            <w:pPr>
              <w:spacing w:line="420" w:lineRule="exact"/>
              <w:rPr>
                <w:rFonts w:hint="eastAsia" w:ascii="宋体" w:hAnsi="宋体" w:eastAsia="宋体" w:cs="宋体"/>
                <w:color w:val="auto"/>
                <w:sz w:val="18"/>
                <w:szCs w:val="18"/>
                <w:highlight w:val="none"/>
              </w:rPr>
            </w:pPr>
          </w:p>
          <w:p w14:paraId="08EBF533">
            <w:pPr>
              <w:pStyle w:val="51"/>
              <w:spacing w:line="420" w:lineRule="exact"/>
              <w:rPr>
                <w:rFonts w:hint="eastAsia" w:ascii="宋体" w:hAnsi="宋体" w:eastAsia="宋体" w:cs="宋体"/>
                <w:color w:val="auto"/>
                <w:sz w:val="18"/>
                <w:szCs w:val="18"/>
                <w:highlight w:val="none"/>
              </w:rPr>
            </w:pPr>
          </w:p>
        </w:tc>
      </w:tr>
      <w:tr w14:paraId="46086B5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74" w:hRule="atLeast"/>
        </w:trPr>
        <w:tc>
          <w:tcPr>
            <w:tcW w:w="9072" w:type="dxa"/>
          </w:tcPr>
          <w:p w14:paraId="79265031">
            <w:pPr>
              <w:pStyle w:val="18"/>
              <w:adjustRightInd w:val="0"/>
              <w:snapToGrid w:val="0"/>
              <w:spacing w:line="420" w:lineRule="exact"/>
              <w:jc w:val="center"/>
              <w:rPr>
                <w:rFonts w:hint="eastAsia" w:ascii="宋体" w:hAnsi="宋体" w:eastAsia="宋体" w:cs="宋体"/>
                <w:b/>
                <w:iCs/>
                <w:color w:val="auto"/>
                <w:sz w:val="24"/>
                <w:szCs w:val="24"/>
                <w:highlight w:val="none"/>
              </w:rPr>
            </w:pPr>
          </w:p>
          <w:p w14:paraId="4DDF6947">
            <w:pPr>
              <w:pStyle w:val="18"/>
              <w:adjustRightInd w:val="0"/>
              <w:snapToGrid w:val="0"/>
              <w:spacing w:line="420" w:lineRule="exact"/>
              <w:jc w:val="center"/>
              <w:rPr>
                <w:rFonts w:hint="eastAsia" w:ascii="宋体" w:hAnsi="宋体" w:eastAsia="宋体" w:cs="宋体"/>
                <w:b/>
                <w:iCs/>
                <w:color w:val="auto"/>
                <w:sz w:val="24"/>
                <w:szCs w:val="24"/>
                <w:highlight w:val="none"/>
              </w:rPr>
            </w:pPr>
          </w:p>
          <w:p w14:paraId="0ED69DD7">
            <w:pPr>
              <w:pStyle w:val="18"/>
              <w:adjustRightInd w:val="0"/>
              <w:snapToGrid w:val="0"/>
              <w:spacing w:line="420" w:lineRule="exact"/>
              <w:jc w:val="center"/>
              <w:rPr>
                <w:rFonts w:hint="eastAsia" w:ascii="宋体" w:hAnsi="宋体" w:eastAsia="宋体" w:cs="宋体"/>
                <w:iCs/>
                <w:color w:val="auto"/>
                <w:sz w:val="36"/>
                <w:szCs w:val="24"/>
                <w:highlight w:val="none"/>
                <w:u w:val="single"/>
              </w:rPr>
            </w:pPr>
            <w:r>
              <w:rPr>
                <w:rFonts w:hint="eastAsia" w:ascii="宋体" w:hAnsi="宋体" w:eastAsia="宋体" w:cs="宋体"/>
                <w:b/>
                <w:iCs/>
                <w:color w:val="auto"/>
                <w:sz w:val="24"/>
                <w:szCs w:val="24"/>
                <w:highlight w:val="none"/>
              </w:rPr>
              <w:t>被授权人（授权代表）身份证</w:t>
            </w:r>
          </w:p>
          <w:p w14:paraId="5A71FACD">
            <w:pPr>
              <w:pStyle w:val="18"/>
              <w:adjustRightInd w:val="0"/>
              <w:snapToGrid w:val="0"/>
              <w:spacing w:line="420" w:lineRule="exact"/>
              <w:jc w:val="center"/>
              <w:rPr>
                <w:rFonts w:hint="eastAsia" w:ascii="宋体" w:hAnsi="宋体" w:eastAsia="宋体" w:cs="宋体"/>
                <w:b/>
                <w:iCs/>
                <w:color w:val="auto"/>
                <w:sz w:val="24"/>
                <w:szCs w:val="24"/>
                <w:highlight w:val="none"/>
              </w:rPr>
            </w:pPr>
            <w:r>
              <w:rPr>
                <w:rFonts w:hint="eastAsia" w:ascii="宋体" w:hAnsi="宋体" w:eastAsia="宋体" w:cs="宋体"/>
                <w:b/>
                <w:iCs/>
                <w:color w:val="auto"/>
                <w:sz w:val="24"/>
                <w:szCs w:val="24"/>
                <w:highlight w:val="none"/>
              </w:rPr>
              <w:t>扫描件或复印件（正反面均须提供）</w:t>
            </w:r>
          </w:p>
          <w:p w14:paraId="61AF5F11">
            <w:pPr>
              <w:pStyle w:val="28"/>
              <w:spacing w:line="420" w:lineRule="exact"/>
              <w:ind w:left="440"/>
              <w:rPr>
                <w:rFonts w:hint="eastAsia" w:ascii="宋体" w:hAnsi="宋体" w:eastAsia="宋体" w:cs="宋体"/>
                <w:color w:val="auto"/>
                <w:sz w:val="18"/>
                <w:szCs w:val="18"/>
                <w:highlight w:val="none"/>
              </w:rPr>
            </w:pPr>
          </w:p>
          <w:p w14:paraId="1FDEEBCA">
            <w:pPr>
              <w:pStyle w:val="51"/>
              <w:spacing w:line="420" w:lineRule="exact"/>
              <w:rPr>
                <w:rFonts w:hint="eastAsia" w:ascii="宋体" w:hAnsi="宋体" w:eastAsia="宋体" w:cs="宋体"/>
                <w:color w:val="auto"/>
                <w:sz w:val="18"/>
                <w:szCs w:val="18"/>
                <w:highlight w:val="none"/>
              </w:rPr>
            </w:pPr>
          </w:p>
        </w:tc>
      </w:tr>
    </w:tbl>
    <w:p w14:paraId="4C0AC2F8">
      <w:pPr>
        <w:spacing w:before="312" w:beforeLines="100" w:line="420" w:lineRule="exact"/>
        <w:jc w:val="center"/>
        <w:rPr>
          <w:rFonts w:hint="eastAsia" w:ascii="宋体" w:hAnsi="宋体" w:eastAsia="宋体" w:cs="宋体"/>
          <w:b/>
          <w:color w:val="auto"/>
          <w:sz w:val="36"/>
          <w:szCs w:val="36"/>
          <w:highlight w:val="none"/>
          <w:lang w:val="zh-CN"/>
        </w:rPr>
      </w:pPr>
      <w:r>
        <w:rPr>
          <w:rFonts w:hint="eastAsia" w:ascii="宋体" w:hAnsi="宋体" w:eastAsia="宋体" w:cs="宋体"/>
          <w:color w:val="auto"/>
          <w:sz w:val="30"/>
          <w:highlight w:val="none"/>
        </w:rPr>
        <w:br w:type="page"/>
      </w:r>
      <w:r>
        <w:rPr>
          <w:rFonts w:hint="eastAsia" w:ascii="宋体" w:hAnsi="宋体" w:eastAsia="宋体" w:cs="宋体"/>
          <w:b/>
          <w:color w:val="auto"/>
          <w:sz w:val="36"/>
          <w:szCs w:val="36"/>
          <w:highlight w:val="none"/>
        </w:rPr>
        <w:t>法定代表人身份证明</w:t>
      </w:r>
    </w:p>
    <w:p w14:paraId="53E6802E">
      <w:pPr>
        <w:spacing w:line="420" w:lineRule="exact"/>
        <w:rPr>
          <w:rFonts w:hint="eastAsia" w:ascii="宋体" w:hAnsi="宋体" w:eastAsia="宋体" w:cs="宋体"/>
          <w:color w:val="auto"/>
          <w:sz w:val="36"/>
          <w:szCs w:val="36"/>
          <w:highlight w:val="none"/>
          <w:lang w:val="zh-CN"/>
        </w:rPr>
      </w:pPr>
    </w:p>
    <w:p w14:paraId="4CD0479E">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p>
    <w:p w14:paraId="6D58493E">
      <w:pPr>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6EFECF59">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4065850A">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1ADA647">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4DD0BCDF">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5BEA9100">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50C98C9C">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14:paraId="5F240DD1">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5330044">
      <w:pPr>
        <w:spacing w:line="420" w:lineRule="exact"/>
        <w:rPr>
          <w:rFonts w:hint="eastAsia" w:ascii="宋体" w:hAnsi="宋体" w:eastAsia="宋体" w:cs="宋体"/>
          <w:color w:val="auto"/>
          <w:szCs w:val="21"/>
          <w:highlight w:val="none"/>
        </w:rPr>
      </w:pPr>
    </w:p>
    <w:tbl>
      <w:tblPr>
        <w:tblStyle w:val="3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2"/>
      </w:tblGrid>
      <w:tr w14:paraId="043E1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8" w:hRule="atLeast"/>
        </w:trPr>
        <w:tc>
          <w:tcPr>
            <w:tcW w:w="9072" w:type="dxa"/>
          </w:tcPr>
          <w:p w14:paraId="109DF56A">
            <w:pPr>
              <w:spacing w:line="420" w:lineRule="exact"/>
              <w:rPr>
                <w:rFonts w:hint="eastAsia" w:ascii="宋体" w:hAnsi="宋体" w:eastAsia="宋体" w:cs="宋体"/>
                <w:color w:val="auto"/>
                <w:szCs w:val="21"/>
                <w:highlight w:val="none"/>
              </w:rPr>
            </w:pPr>
          </w:p>
          <w:p w14:paraId="16DCACA4">
            <w:pPr>
              <w:spacing w:line="420" w:lineRule="exact"/>
              <w:rPr>
                <w:rFonts w:hint="eastAsia" w:ascii="宋体" w:hAnsi="宋体" w:eastAsia="宋体" w:cs="宋体"/>
                <w:color w:val="auto"/>
                <w:szCs w:val="21"/>
                <w:highlight w:val="none"/>
              </w:rPr>
            </w:pPr>
          </w:p>
          <w:p w14:paraId="2AD7CDD8">
            <w:pPr>
              <w:spacing w:line="420" w:lineRule="exact"/>
              <w:rPr>
                <w:rFonts w:hint="eastAsia" w:ascii="宋体" w:hAnsi="宋体" w:eastAsia="宋体" w:cs="宋体"/>
                <w:color w:val="auto"/>
                <w:szCs w:val="21"/>
                <w:highlight w:val="none"/>
              </w:rPr>
            </w:pPr>
          </w:p>
          <w:p w14:paraId="3400AF23">
            <w:pPr>
              <w:spacing w:line="420" w:lineRule="exact"/>
              <w:jc w:val="center"/>
              <w:rPr>
                <w:rFonts w:hint="eastAsia" w:ascii="宋体" w:hAnsi="宋体" w:eastAsia="宋体" w:cs="宋体"/>
                <w:color w:val="auto"/>
                <w:highlight w:val="none"/>
              </w:rPr>
            </w:pPr>
          </w:p>
          <w:p w14:paraId="194B9920">
            <w:pPr>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附法定代表人身份证复印件（正反两面）</w:t>
            </w:r>
          </w:p>
        </w:tc>
      </w:tr>
    </w:tbl>
    <w:p w14:paraId="5D2E5443">
      <w:pPr>
        <w:spacing w:line="420" w:lineRule="exact"/>
        <w:rPr>
          <w:rFonts w:hint="eastAsia" w:ascii="宋体" w:hAnsi="宋体" w:eastAsia="宋体" w:cs="宋体"/>
          <w:color w:val="auto"/>
          <w:szCs w:val="21"/>
          <w:highlight w:val="none"/>
        </w:rPr>
      </w:pPr>
    </w:p>
    <w:p w14:paraId="5563737E">
      <w:pPr>
        <w:spacing w:line="420" w:lineRule="exact"/>
        <w:rPr>
          <w:rFonts w:hint="eastAsia" w:ascii="宋体" w:hAnsi="宋体" w:eastAsia="宋体" w:cs="宋体"/>
          <w:color w:val="auto"/>
          <w:szCs w:val="21"/>
          <w:highlight w:val="none"/>
        </w:rPr>
      </w:pPr>
    </w:p>
    <w:p w14:paraId="63528ADA">
      <w:pPr>
        <w:spacing w:line="420" w:lineRule="exact"/>
        <w:rPr>
          <w:rFonts w:hint="eastAsia" w:ascii="宋体" w:hAnsi="宋体" w:eastAsia="宋体" w:cs="宋体"/>
          <w:color w:val="auto"/>
          <w:szCs w:val="21"/>
          <w:highlight w:val="none"/>
        </w:rPr>
      </w:pPr>
    </w:p>
    <w:p w14:paraId="70A5C47A">
      <w:pPr>
        <w:spacing w:line="420" w:lineRule="exact"/>
        <w:ind w:right="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14:paraId="226F831E">
      <w:pPr>
        <w:spacing w:line="420" w:lineRule="exact"/>
        <w:jc w:val="right"/>
        <w:rPr>
          <w:rFonts w:hint="eastAsia" w:ascii="宋体" w:hAnsi="宋体" w:eastAsia="宋体" w:cs="宋体"/>
          <w:color w:val="auto"/>
          <w:szCs w:val="21"/>
          <w:highlight w:val="none"/>
        </w:rPr>
      </w:pPr>
    </w:p>
    <w:p w14:paraId="2B05E70C">
      <w:pPr>
        <w:spacing w:line="4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04EA6296">
      <w:pPr>
        <w:pStyle w:val="3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ED4BF5A">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1.4、落实政府采购政策需满足的资格要求</w:t>
      </w:r>
    </w:p>
    <w:p w14:paraId="32BDB5A4">
      <w:pPr>
        <w:spacing w:line="4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中小企业声明函（工程、服务）</w:t>
      </w:r>
    </w:p>
    <w:p w14:paraId="32EE152B">
      <w:pPr>
        <w:spacing w:line="420" w:lineRule="exact"/>
        <w:ind w:firstLine="440" w:firstLineChars="200"/>
        <w:jc w:val="lef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本公司（联合体）郑重声明，根据《政府采购促进中小企业发展管理办法》（财库﹝2020﹞46号）的规定，本公司（联合体）参加</w:t>
      </w:r>
      <w:r>
        <w:rPr>
          <w:rFonts w:hint="eastAsia" w:ascii="宋体" w:hAnsi="宋体" w:eastAsia="宋体" w:cs="宋体"/>
          <w:bCs/>
          <w:color w:val="auto"/>
          <w:szCs w:val="22"/>
          <w:highlight w:val="none"/>
          <w:u w:val="single"/>
        </w:rPr>
        <w:t xml:space="preserve"> （采购人）  </w:t>
      </w:r>
      <w:r>
        <w:rPr>
          <w:rFonts w:hint="eastAsia" w:ascii="宋体" w:hAnsi="宋体" w:eastAsia="宋体" w:cs="宋体"/>
          <w:bCs/>
          <w:color w:val="auto"/>
          <w:szCs w:val="22"/>
          <w:highlight w:val="none"/>
        </w:rPr>
        <w:t>的</w:t>
      </w:r>
      <w:r>
        <w:rPr>
          <w:rFonts w:hint="eastAsia" w:ascii="宋体" w:hAnsi="宋体" w:eastAsia="宋体" w:cs="宋体"/>
          <w:bCs/>
          <w:color w:val="auto"/>
          <w:szCs w:val="22"/>
          <w:highlight w:val="none"/>
          <w:u w:val="single"/>
        </w:rPr>
        <w:t>（项目名称）</w:t>
      </w:r>
      <w:r>
        <w:rPr>
          <w:rFonts w:hint="eastAsia" w:ascii="宋体" w:hAnsi="宋体" w:eastAsia="宋体" w:cs="宋体"/>
          <w:bCs/>
          <w:color w:val="auto"/>
          <w:szCs w:val="22"/>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72AEDC1F">
      <w:pPr>
        <w:spacing w:line="420" w:lineRule="exact"/>
        <w:jc w:val="lef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1.</w:t>
      </w:r>
      <w:r>
        <w:rPr>
          <w:rFonts w:hint="eastAsia" w:ascii="宋体" w:hAnsi="宋体" w:eastAsia="宋体" w:cs="宋体"/>
          <w:bCs/>
          <w:color w:val="auto"/>
          <w:szCs w:val="22"/>
          <w:highlight w:val="none"/>
          <w:u w:val="single"/>
        </w:rPr>
        <w:t>（标的名称）</w:t>
      </w:r>
      <w:r>
        <w:rPr>
          <w:rFonts w:hint="eastAsia" w:ascii="宋体" w:hAnsi="宋体" w:eastAsia="宋体" w:cs="宋体"/>
          <w:bCs/>
          <w:color w:val="auto"/>
          <w:szCs w:val="22"/>
          <w:highlight w:val="none"/>
        </w:rPr>
        <w:t>，属于</w:t>
      </w:r>
      <w:r>
        <w:rPr>
          <w:rFonts w:hint="eastAsia" w:ascii="宋体" w:hAnsi="宋体" w:eastAsia="宋体" w:cs="宋体"/>
          <w:bCs/>
          <w:color w:val="auto"/>
          <w:szCs w:val="22"/>
          <w:highlight w:val="none"/>
          <w:u w:val="single"/>
        </w:rPr>
        <w:t>（其他未列明行业）</w:t>
      </w:r>
      <w:r>
        <w:rPr>
          <w:rFonts w:hint="eastAsia" w:ascii="宋体" w:hAnsi="宋体" w:eastAsia="宋体" w:cs="宋体"/>
          <w:bCs/>
          <w:color w:val="auto"/>
          <w:szCs w:val="22"/>
          <w:highlight w:val="none"/>
        </w:rPr>
        <w:t>；承建（承接）企业为</w:t>
      </w:r>
      <w:r>
        <w:rPr>
          <w:rFonts w:hint="eastAsia" w:ascii="宋体" w:hAnsi="宋体" w:eastAsia="宋体" w:cs="宋体"/>
          <w:bCs/>
          <w:color w:val="auto"/>
          <w:szCs w:val="22"/>
          <w:highlight w:val="none"/>
          <w:u w:val="single"/>
        </w:rPr>
        <w:t xml:space="preserve">（企业名称） </w:t>
      </w:r>
      <w:r>
        <w:rPr>
          <w:rFonts w:hint="eastAsia" w:ascii="宋体" w:hAnsi="宋体" w:eastAsia="宋体" w:cs="宋体"/>
          <w:bCs/>
          <w:color w:val="auto"/>
          <w:szCs w:val="22"/>
          <w:highlight w:val="none"/>
        </w:rPr>
        <w:t>，从业人员</w:t>
      </w:r>
      <w:r>
        <w:rPr>
          <w:rFonts w:hint="eastAsia" w:ascii="宋体" w:hAnsi="宋体" w:eastAsia="宋体" w:cs="宋体"/>
          <w:bCs/>
          <w:color w:val="auto"/>
          <w:szCs w:val="22"/>
          <w:highlight w:val="none"/>
          <w:u w:val="single"/>
        </w:rPr>
        <w:t xml:space="preserve">   </w:t>
      </w:r>
      <w:r>
        <w:rPr>
          <w:rFonts w:hint="eastAsia" w:ascii="宋体" w:hAnsi="宋体" w:eastAsia="宋体" w:cs="宋体"/>
          <w:bCs/>
          <w:color w:val="auto"/>
          <w:szCs w:val="22"/>
          <w:highlight w:val="none"/>
        </w:rPr>
        <w:t>人，营业收入为</w:t>
      </w:r>
      <w:r>
        <w:rPr>
          <w:rFonts w:hint="eastAsia" w:ascii="宋体" w:hAnsi="宋体" w:eastAsia="宋体" w:cs="宋体"/>
          <w:bCs/>
          <w:color w:val="auto"/>
          <w:szCs w:val="22"/>
          <w:highlight w:val="none"/>
          <w:u w:val="single"/>
        </w:rPr>
        <w:t xml:space="preserve">  </w:t>
      </w:r>
      <w:r>
        <w:rPr>
          <w:rFonts w:hint="eastAsia" w:ascii="宋体" w:hAnsi="宋体" w:eastAsia="宋体" w:cs="宋体"/>
          <w:bCs/>
          <w:color w:val="auto"/>
          <w:szCs w:val="22"/>
          <w:highlight w:val="none"/>
        </w:rPr>
        <w:t>万元，资产总额为</w:t>
      </w:r>
      <w:r>
        <w:rPr>
          <w:rFonts w:hint="eastAsia" w:ascii="宋体" w:hAnsi="宋体" w:eastAsia="宋体" w:cs="宋体"/>
          <w:bCs/>
          <w:color w:val="auto"/>
          <w:szCs w:val="22"/>
          <w:highlight w:val="none"/>
          <w:u w:val="single"/>
        </w:rPr>
        <w:t xml:space="preserve">  </w:t>
      </w:r>
      <w:r>
        <w:rPr>
          <w:rFonts w:hint="eastAsia" w:ascii="宋体" w:hAnsi="宋体" w:eastAsia="宋体" w:cs="宋体"/>
          <w:bCs/>
          <w:color w:val="auto"/>
          <w:szCs w:val="22"/>
          <w:highlight w:val="none"/>
        </w:rPr>
        <w:t>万元 ，属于</w:t>
      </w:r>
      <w:r>
        <w:rPr>
          <w:rFonts w:hint="eastAsia" w:ascii="宋体" w:hAnsi="宋体" w:eastAsia="宋体" w:cs="宋体"/>
          <w:bCs/>
          <w:color w:val="auto"/>
          <w:szCs w:val="22"/>
          <w:highlight w:val="none"/>
          <w:u w:val="single"/>
        </w:rPr>
        <w:t>（中型企业、小型企业、微型企业）</w:t>
      </w:r>
      <w:r>
        <w:rPr>
          <w:rFonts w:hint="eastAsia" w:ascii="宋体" w:hAnsi="宋体" w:eastAsia="宋体" w:cs="宋体"/>
          <w:bCs/>
          <w:color w:val="auto"/>
          <w:szCs w:val="22"/>
          <w:highlight w:val="none"/>
        </w:rPr>
        <w:t xml:space="preserve"> ；</w:t>
      </w:r>
    </w:p>
    <w:p w14:paraId="393F98BC">
      <w:pPr>
        <w:spacing w:line="420" w:lineRule="exact"/>
        <w:jc w:val="lef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2.</w:t>
      </w:r>
      <w:r>
        <w:rPr>
          <w:rFonts w:hint="eastAsia" w:ascii="宋体" w:hAnsi="宋体" w:eastAsia="宋体" w:cs="宋体"/>
          <w:bCs/>
          <w:color w:val="auto"/>
          <w:szCs w:val="22"/>
          <w:highlight w:val="none"/>
          <w:u w:val="single"/>
        </w:rPr>
        <w:t>（标的名称）</w:t>
      </w:r>
      <w:r>
        <w:rPr>
          <w:rFonts w:hint="eastAsia" w:ascii="宋体" w:hAnsi="宋体" w:eastAsia="宋体" w:cs="宋体"/>
          <w:bCs/>
          <w:color w:val="auto"/>
          <w:szCs w:val="22"/>
          <w:highlight w:val="none"/>
        </w:rPr>
        <w:t>，属于</w:t>
      </w:r>
      <w:r>
        <w:rPr>
          <w:rFonts w:hint="eastAsia" w:ascii="宋体" w:hAnsi="宋体" w:eastAsia="宋体" w:cs="宋体"/>
          <w:bCs/>
          <w:color w:val="auto"/>
          <w:szCs w:val="22"/>
          <w:highlight w:val="none"/>
          <w:u w:val="single"/>
        </w:rPr>
        <w:t>（其他未列明行业）</w:t>
      </w:r>
      <w:r>
        <w:rPr>
          <w:rFonts w:hint="eastAsia" w:ascii="宋体" w:hAnsi="宋体" w:eastAsia="宋体" w:cs="宋体"/>
          <w:bCs/>
          <w:color w:val="auto"/>
          <w:szCs w:val="22"/>
          <w:highlight w:val="none"/>
        </w:rPr>
        <w:t>；承建（承接）企业为</w:t>
      </w:r>
      <w:r>
        <w:rPr>
          <w:rFonts w:hint="eastAsia" w:ascii="宋体" w:hAnsi="宋体" w:eastAsia="宋体" w:cs="宋体"/>
          <w:bCs/>
          <w:color w:val="auto"/>
          <w:szCs w:val="22"/>
          <w:highlight w:val="none"/>
          <w:u w:val="single"/>
        </w:rPr>
        <w:t xml:space="preserve">（企业名称） </w:t>
      </w:r>
      <w:r>
        <w:rPr>
          <w:rFonts w:hint="eastAsia" w:ascii="宋体" w:hAnsi="宋体" w:eastAsia="宋体" w:cs="宋体"/>
          <w:bCs/>
          <w:color w:val="auto"/>
          <w:szCs w:val="22"/>
          <w:highlight w:val="none"/>
        </w:rPr>
        <w:t>，从业人员</w:t>
      </w:r>
      <w:r>
        <w:rPr>
          <w:rFonts w:hint="eastAsia" w:ascii="宋体" w:hAnsi="宋体" w:eastAsia="宋体" w:cs="宋体"/>
          <w:bCs/>
          <w:color w:val="auto"/>
          <w:szCs w:val="22"/>
          <w:highlight w:val="none"/>
          <w:u w:val="single"/>
        </w:rPr>
        <w:t xml:space="preserve">   </w:t>
      </w:r>
      <w:r>
        <w:rPr>
          <w:rFonts w:hint="eastAsia" w:ascii="宋体" w:hAnsi="宋体" w:eastAsia="宋体" w:cs="宋体"/>
          <w:bCs/>
          <w:color w:val="auto"/>
          <w:szCs w:val="22"/>
          <w:highlight w:val="none"/>
        </w:rPr>
        <w:t>人，营业收入为</w:t>
      </w:r>
      <w:r>
        <w:rPr>
          <w:rFonts w:hint="eastAsia" w:ascii="宋体" w:hAnsi="宋体" w:eastAsia="宋体" w:cs="宋体"/>
          <w:bCs/>
          <w:color w:val="auto"/>
          <w:szCs w:val="22"/>
          <w:highlight w:val="none"/>
          <w:u w:val="single"/>
        </w:rPr>
        <w:t xml:space="preserve">  </w:t>
      </w:r>
      <w:r>
        <w:rPr>
          <w:rFonts w:hint="eastAsia" w:ascii="宋体" w:hAnsi="宋体" w:eastAsia="宋体" w:cs="宋体"/>
          <w:bCs/>
          <w:color w:val="auto"/>
          <w:szCs w:val="22"/>
          <w:highlight w:val="none"/>
        </w:rPr>
        <w:t>万元，资产总额为</w:t>
      </w:r>
      <w:r>
        <w:rPr>
          <w:rFonts w:hint="eastAsia" w:ascii="宋体" w:hAnsi="宋体" w:eastAsia="宋体" w:cs="宋体"/>
          <w:bCs/>
          <w:color w:val="auto"/>
          <w:szCs w:val="22"/>
          <w:highlight w:val="none"/>
          <w:u w:val="single"/>
        </w:rPr>
        <w:t xml:space="preserve">  </w:t>
      </w:r>
      <w:r>
        <w:rPr>
          <w:rFonts w:hint="eastAsia" w:ascii="宋体" w:hAnsi="宋体" w:eastAsia="宋体" w:cs="宋体"/>
          <w:bCs/>
          <w:color w:val="auto"/>
          <w:szCs w:val="22"/>
          <w:highlight w:val="none"/>
        </w:rPr>
        <w:t>万元 ，属于</w:t>
      </w:r>
      <w:r>
        <w:rPr>
          <w:rFonts w:hint="eastAsia" w:ascii="宋体" w:hAnsi="宋体" w:eastAsia="宋体" w:cs="宋体"/>
          <w:bCs/>
          <w:color w:val="auto"/>
          <w:szCs w:val="22"/>
          <w:highlight w:val="none"/>
          <w:u w:val="single"/>
        </w:rPr>
        <w:t>（中型企业、小型企业、微型企业）</w:t>
      </w:r>
      <w:r>
        <w:rPr>
          <w:rFonts w:hint="eastAsia" w:ascii="宋体" w:hAnsi="宋体" w:eastAsia="宋体" w:cs="宋体"/>
          <w:bCs/>
          <w:color w:val="auto"/>
          <w:szCs w:val="22"/>
          <w:highlight w:val="none"/>
        </w:rPr>
        <w:t xml:space="preserve"> ；</w:t>
      </w:r>
    </w:p>
    <w:p w14:paraId="57D3275B">
      <w:pPr>
        <w:spacing w:line="420" w:lineRule="exact"/>
        <w:ind w:firstLine="440" w:firstLineChars="200"/>
        <w:jc w:val="lef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 xml:space="preserve">…… </w:t>
      </w:r>
    </w:p>
    <w:p w14:paraId="5A99BDB3">
      <w:pPr>
        <w:spacing w:line="420" w:lineRule="exact"/>
        <w:ind w:firstLine="440" w:firstLineChars="200"/>
        <w:jc w:val="lef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以上企业，不属于大企业的分支机构，不存在控股股东为大企业的情形，也不存在与大企业的负责人为同一人的情形。</w:t>
      </w:r>
    </w:p>
    <w:p w14:paraId="570F6E97">
      <w:pPr>
        <w:spacing w:line="420" w:lineRule="exact"/>
        <w:ind w:firstLine="440" w:firstLineChars="200"/>
        <w:jc w:val="lef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本企业对上述声明内容的真实性负责。如有虚假，将依法承担相应责任。</w:t>
      </w:r>
    </w:p>
    <w:p w14:paraId="06128CA6">
      <w:pPr>
        <w:spacing w:line="420" w:lineRule="exact"/>
        <w:ind w:firstLine="5390" w:firstLineChars="2450"/>
        <w:jc w:val="left"/>
        <w:rPr>
          <w:rFonts w:hint="eastAsia" w:ascii="宋体" w:hAnsi="宋体" w:eastAsia="宋体" w:cs="宋体"/>
          <w:bCs/>
          <w:color w:val="auto"/>
          <w:szCs w:val="22"/>
          <w:highlight w:val="none"/>
        </w:rPr>
      </w:pPr>
    </w:p>
    <w:p w14:paraId="10AA5E1A">
      <w:pPr>
        <w:spacing w:line="420" w:lineRule="exac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 xml:space="preserve">                                         企业名称（盖章）： </w:t>
      </w:r>
    </w:p>
    <w:p w14:paraId="72E8BBD9">
      <w:pPr>
        <w:widowControl/>
        <w:spacing w:line="420" w:lineRule="exact"/>
        <w:ind w:firstLine="4510" w:firstLineChars="2050"/>
        <w:jc w:val="lef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日期：</w:t>
      </w:r>
      <w:r>
        <w:rPr>
          <w:rFonts w:hint="eastAsia" w:ascii="宋体" w:hAnsi="宋体" w:eastAsia="宋体" w:cs="宋体"/>
          <w:bCs/>
          <w:color w:val="auto"/>
          <w:szCs w:val="22"/>
          <w:highlight w:val="none"/>
          <w:u w:val="single"/>
        </w:rPr>
        <w:t xml:space="preserve">     </w:t>
      </w:r>
      <w:r>
        <w:rPr>
          <w:rFonts w:hint="eastAsia" w:ascii="宋体" w:hAnsi="宋体" w:eastAsia="宋体" w:cs="宋体"/>
          <w:bCs/>
          <w:color w:val="auto"/>
          <w:szCs w:val="22"/>
          <w:highlight w:val="none"/>
        </w:rPr>
        <w:t>年</w:t>
      </w:r>
      <w:r>
        <w:rPr>
          <w:rFonts w:hint="eastAsia" w:ascii="宋体" w:hAnsi="宋体" w:eastAsia="宋体" w:cs="宋体"/>
          <w:bCs/>
          <w:color w:val="auto"/>
          <w:szCs w:val="22"/>
          <w:highlight w:val="none"/>
          <w:u w:val="single"/>
        </w:rPr>
        <w:t xml:space="preserve">   </w:t>
      </w:r>
      <w:r>
        <w:rPr>
          <w:rFonts w:hint="eastAsia" w:ascii="宋体" w:hAnsi="宋体" w:eastAsia="宋体" w:cs="宋体"/>
          <w:bCs/>
          <w:color w:val="auto"/>
          <w:szCs w:val="22"/>
          <w:highlight w:val="none"/>
        </w:rPr>
        <w:t>月</w:t>
      </w:r>
      <w:r>
        <w:rPr>
          <w:rFonts w:hint="eastAsia" w:ascii="宋体" w:hAnsi="宋体" w:eastAsia="宋体" w:cs="宋体"/>
          <w:bCs/>
          <w:color w:val="auto"/>
          <w:szCs w:val="22"/>
          <w:highlight w:val="none"/>
          <w:u w:val="single"/>
        </w:rPr>
        <w:t xml:space="preserve">   </w:t>
      </w:r>
      <w:r>
        <w:rPr>
          <w:rFonts w:hint="eastAsia" w:ascii="宋体" w:hAnsi="宋体" w:eastAsia="宋体" w:cs="宋体"/>
          <w:bCs/>
          <w:color w:val="auto"/>
          <w:szCs w:val="22"/>
          <w:highlight w:val="none"/>
        </w:rPr>
        <w:t>日</w:t>
      </w:r>
    </w:p>
    <w:p w14:paraId="46E239D0">
      <w:pPr>
        <w:spacing w:line="420" w:lineRule="exact"/>
        <w:rPr>
          <w:rFonts w:hint="eastAsia" w:ascii="宋体" w:hAnsi="宋体" w:eastAsia="宋体" w:cs="宋体"/>
          <w:b/>
          <w:color w:val="auto"/>
          <w:szCs w:val="22"/>
          <w:highlight w:val="none"/>
        </w:rPr>
      </w:pPr>
    </w:p>
    <w:p w14:paraId="4F2F5DC4">
      <w:pPr>
        <w:spacing w:line="420" w:lineRule="exac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从业人员、营业收入、资产总额填报上一年度数据，无上一年度数据的新成立企业可不填报。</w:t>
      </w:r>
    </w:p>
    <w:p w14:paraId="7FD44E45">
      <w:pPr>
        <w:spacing w:line="360" w:lineRule="auto"/>
        <w:ind w:right="420"/>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w:t>
      </w:r>
    </w:p>
    <w:p w14:paraId="0ECB99CA">
      <w:pPr>
        <w:spacing w:line="360" w:lineRule="auto"/>
        <w:ind w:right="420" w:firstLine="44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D63BD4">
      <w:pPr>
        <w:pStyle w:val="2"/>
        <w:spacing w:line="42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C2C7A7">
      <w:pPr>
        <w:pStyle w:val="2"/>
        <w:spacing w:line="420" w:lineRule="exact"/>
        <w:rPr>
          <w:rFonts w:hint="eastAsia" w:ascii="宋体" w:hAnsi="宋体" w:eastAsia="宋体" w:cs="宋体"/>
          <w:color w:val="auto"/>
          <w:szCs w:val="22"/>
          <w:highlight w:val="none"/>
        </w:rPr>
      </w:pPr>
    </w:p>
    <w:p w14:paraId="4C97422E">
      <w:pPr>
        <w:pStyle w:val="18"/>
        <w:adjustRightInd w:val="0"/>
        <w:snapToGrid w:val="0"/>
        <w:spacing w:before="156" w:beforeLines="50" w:after="156" w:afterLines="50" w:line="42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bookmarkStart w:id="28" w:name="_Toc32178"/>
      <w:bookmarkStart w:id="29" w:name="_Toc1729"/>
      <w:bookmarkStart w:id="30" w:name="_Toc27994"/>
      <w:bookmarkStart w:id="31" w:name="_Toc25928"/>
      <w:r>
        <w:rPr>
          <w:rFonts w:hint="eastAsia" w:ascii="宋体" w:hAnsi="宋体" w:eastAsia="宋体" w:cs="宋体"/>
          <w:b/>
          <w:color w:val="auto"/>
          <w:kern w:val="0"/>
          <w:sz w:val="36"/>
          <w:szCs w:val="36"/>
          <w:highlight w:val="none"/>
        </w:rPr>
        <w:t>残疾人福利性单位声明函（如是）</w:t>
      </w:r>
      <w:bookmarkEnd w:id="28"/>
      <w:bookmarkEnd w:id="29"/>
      <w:bookmarkEnd w:id="30"/>
      <w:bookmarkEnd w:id="31"/>
    </w:p>
    <w:p w14:paraId="61D2B600">
      <w:pPr>
        <w:widowControl/>
        <w:spacing w:before="100" w:beforeAutospacing="1" w:after="100" w:afterAutospacing="1" w:line="420" w:lineRule="exact"/>
        <w:ind w:firstLine="770" w:firstLineChars="350"/>
        <w:jc w:val="lef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bCs/>
          <w:color w:val="auto"/>
          <w:szCs w:val="22"/>
          <w:highlight w:val="none"/>
          <w:u w:val="single"/>
        </w:rPr>
        <w:t xml:space="preserve">    （项目名称）（项目编号） </w:t>
      </w:r>
      <w:r>
        <w:rPr>
          <w:rFonts w:hint="eastAsia" w:ascii="宋体" w:hAnsi="宋体" w:eastAsia="宋体" w:cs="宋体"/>
          <w:bCs/>
          <w:color w:val="auto"/>
          <w:szCs w:val="22"/>
          <w:highlight w:val="none"/>
        </w:rPr>
        <w:t>采购活动提供本单位制造的货物（由本单位承担工程/提供服务），或者提供其他残疾人福利性单位制造的货物（不包括使用非残疾人福利性单位注册商标的货物）。</w:t>
      </w:r>
    </w:p>
    <w:p w14:paraId="6B9D0F4A">
      <w:pPr>
        <w:widowControl/>
        <w:spacing w:before="100" w:beforeAutospacing="1" w:after="100" w:afterAutospacing="1" w:line="420" w:lineRule="exact"/>
        <w:ind w:firstLine="330" w:firstLineChars="150"/>
        <w:jc w:val="left"/>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本单位对上述声明的真实性负责。如有虚假，将依法承担相应责任。</w:t>
      </w:r>
    </w:p>
    <w:p w14:paraId="03607C4D">
      <w:pPr>
        <w:pStyle w:val="2"/>
        <w:spacing w:line="420" w:lineRule="exact"/>
        <w:rPr>
          <w:rFonts w:hint="eastAsia" w:ascii="宋体" w:hAnsi="宋体" w:eastAsia="宋体" w:cs="宋体"/>
          <w:bCs/>
          <w:color w:val="auto"/>
          <w:szCs w:val="22"/>
          <w:highlight w:val="none"/>
          <w:u w:val="single"/>
        </w:rPr>
      </w:pPr>
      <w:r>
        <w:rPr>
          <w:rFonts w:hint="eastAsia" w:ascii="宋体" w:hAnsi="宋体" w:eastAsia="宋体" w:cs="宋体"/>
          <w:bCs/>
          <w:color w:val="auto"/>
          <w:szCs w:val="22"/>
          <w:highlight w:val="none"/>
        </w:rPr>
        <w:t>投标供应商名称（电子签章）：</w:t>
      </w:r>
      <w:r>
        <w:rPr>
          <w:rFonts w:hint="eastAsia" w:ascii="宋体" w:hAnsi="宋体" w:eastAsia="宋体" w:cs="宋体"/>
          <w:bCs/>
          <w:color w:val="auto"/>
          <w:szCs w:val="22"/>
          <w:highlight w:val="none"/>
          <w:u w:val="none"/>
        </w:rPr>
        <w:t>____________________________________________</w:t>
      </w:r>
    </w:p>
    <w:p w14:paraId="278D5789">
      <w:pPr>
        <w:pStyle w:val="2"/>
        <w:spacing w:line="420" w:lineRule="exact"/>
        <w:rPr>
          <w:rFonts w:hint="eastAsia" w:ascii="宋体" w:hAnsi="宋体" w:eastAsia="宋体" w:cs="宋体"/>
          <w:bCs/>
          <w:color w:val="auto"/>
          <w:szCs w:val="22"/>
          <w:highlight w:val="none"/>
          <w:u w:val="single"/>
        </w:rPr>
      </w:pPr>
      <w:r>
        <w:rPr>
          <w:rFonts w:hint="eastAsia" w:ascii="宋体" w:hAnsi="宋体" w:eastAsia="宋体" w:cs="宋体"/>
          <w:bCs/>
          <w:color w:val="auto"/>
          <w:szCs w:val="22"/>
          <w:highlight w:val="none"/>
        </w:rPr>
        <w:t>日期：________年____月____日</w:t>
      </w:r>
    </w:p>
    <w:p w14:paraId="7463FA22">
      <w:pPr>
        <w:pStyle w:val="2"/>
        <w:spacing w:line="420" w:lineRule="exact"/>
        <w:rPr>
          <w:rFonts w:hint="eastAsia" w:ascii="宋体" w:hAnsi="宋体" w:eastAsia="宋体" w:cs="宋体"/>
          <w:color w:val="auto"/>
          <w:szCs w:val="22"/>
          <w:highlight w:val="none"/>
        </w:rPr>
      </w:pPr>
    </w:p>
    <w:p w14:paraId="3A7FE29D">
      <w:pPr>
        <w:pStyle w:val="2"/>
        <w:spacing w:line="420" w:lineRule="exac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注：</w:t>
      </w:r>
    </w:p>
    <w:p w14:paraId="5725690A">
      <w:pPr>
        <w:pStyle w:val="2"/>
        <w:spacing w:after="0" w:line="420" w:lineRule="exac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 xml:space="preserve">   1、如中标，将在中标公示中将此残疾人福利性单位声明函予以公示，接受社会监督；</w:t>
      </w:r>
    </w:p>
    <w:p w14:paraId="513B93D3">
      <w:pPr>
        <w:pStyle w:val="2"/>
        <w:spacing w:after="0" w:line="420" w:lineRule="exac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 xml:space="preserve">   2、供应商提供的《残疾人福利性单位声明函》与事实不符的，依照《政府采购法》第七十七条第一款的规定追究法律责任。</w:t>
      </w:r>
    </w:p>
    <w:p w14:paraId="75A2F4C5">
      <w:pPr>
        <w:pStyle w:val="2"/>
        <w:spacing w:line="420" w:lineRule="exact"/>
        <w:rPr>
          <w:rFonts w:hint="eastAsia" w:ascii="宋体" w:hAnsi="宋体" w:eastAsia="宋体" w:cs="宋体"/>
          <w:color w:val="auto"/>
          <w:szCs w:val="22"/>
          <w:highlight w:val="none"/>
        </w:rPr>
      </w:pPr>
    </w:p>
    <w:p w14:paraId="0163673F">
      <w:pPr>
        <w:pStyle w:val="2"/>
        <w:spacing w:line="420" w:lineRule="exact"/>
        <w:rPr>
          <w:rFonts w:hint="eastAsia" w:ascii="宋体" w:hAnsi="宋体" w:eastAsia="宋体" w:cs="宋体"/>
          <w:color w:val="auto"/>
          <w:szCs w:val="22"/>
          <w:highlight w:val="none"/>
        </w:rPr>
      </w:pPr>
    </w:p>
    <w:p w14:paraId="079511B8">
      <w:pPr>
        <w:pStyle w:val="2"/>
        <w:spacing w:line="420" w:lineRule="exact"/>
        <w:rPr>
          <w:rFonts w:hint="eastAsia" w:ascii="宋体" w:hAnsi="宋体" w:eastAsia="宋体" w:cs="宋体"/>
          <w:color w:val="auto"/>
          <w:szCs w:val="22"/>
          <w:highlight w:val="none"/>
        </w:rPr>
      </w:pPr>
    </w:p>
    <w:p w14:paraId="7CD585E6">
      <w:pPr>
        <w:pStyle w:val="18"/>
        <w:adjustRightInd w:val="0"/>
        <w:snapToGrid w:val="0"/>
        <w:spacing w:before="156" w:beforeLines="50" w:after="156" w:afterLines="50" w:line="420" w:lineRule="exact"/>
        <w:jc w:val="center"/>
        <w:rPr>
          <w:rFonts w:hint="eastAsia" w:ascii="宋体" w:hAnsi="宋体" w:eastAsia="宋体" w:cs="宋体"/>
          <w:b/>
          <w:color w:val="auto"/>
          <w:kern w:val="0"/>
          <w:sz w:val="36"/>
          <w:szCs w:val="36"/>
          <w:highlight w:val="none"/>
        </w:rPr>
      </w:pPr>
      <w:bookmarkStart w:id="32" w:name="_Toc695"/>
      <w:bookmarkStart w:id="33" w:name="_Toc29279"/>
      <w:bookmarkStart w:id="34" w:name="_Toc5599"/>
      <w:bookmarkStart w:id="35" w:name="_Toc24042"/>
      <w:r>
        <w:rPr>
          <w:rFonts w:hint="eastAsia" w:ascii="宋体" w:hAnsi="宋体" w:eastAsia="宋体" w:cs="宋体"/>
          <w:b/>
          <w:color w:val="auto"/>
          <w:kern w:val="0"/>
          <w:sz w:val="36"/>
          <w:szCs w:val="36"/>
          <w:highlight w:val="none"/>
        </w:rPr>
        <w:t>监狱企业证明文件</w:t>
      </w:r>
      <w:bookmarkEnd w:id="32"/>
      <w:bookmarkEnd w:id="33"/>
      <w:bookmarkEnd w:id="34"/>
      <w:bookmarkEnd w:id="35"/>
    </w:p>
    <w:p w14:paraId="267EC264">
      <w:pPr>
        <w:spacing w:line="420" w:lineRule="exact"/>
        <w:ind w:firstLine="440" w:firstLineChars="200"/>
        <w:rPr>
          <w:rFonts w:hint="eastAsia" w:ascii="宋体" w:hAnsi="宋体" w:eastAsia="宋体" w:cs="宋体"/>
          <w:bCs/>
          <w:color w:val="auto"/>
          <w:szCs w:val="22"/>
          <w:highlight w:val="none"/>
          <w:u w:val="single"/>
        </w:rPr>
      </w:pPr>
      <w:r>
        <w:rPr>
          <w:rFonts w:hint="eastAsia" w:ascii="宋体" w:hAnsi="宋体" w:eastAsia="宋体" w:cs="宋体"/>
          <w:bCs/>
          <w:color w:val="auto"/>
          <w:szCs w:val="22"/>
          <w:highlight w:val="none"/>
          <w:u w:val="single"/>
        </w:rPr>
        <w:t>监狱企业证明文件：（1）省级或以上监狱管理局、戒毒管理局（含新疆生产建设兵团）出具的属于监狱企业的证明文件。（2）如果提供其他监狱企业制造的货物，还须同时提供该企业为监狱企业的证明文件。</w:t>
      </w:r>
      <w:r>
        <w:rPr>
          <w:rFonts w:hint="eastAsia" w:ascii="宋体" w:hAnsi="宋体" w:eastAsia="宋体" w:cs="宋体"/>
          <w:b/>
          <w:color w:val="auto"/>
          <w:szCs w:val="22"/>
          <w:highlight w:val="none"/>
          <w:u w:val="single"/>
        </w:rPr>
        <w:t>（需上传原件扫描件，扫描件需电子签章）</w:t>
      </w:r>
    </w:p>
    <w:p w14:paraId="67F4374A">
      <w:pPr>
        <w:spacing w:line="420" w:lineRule="exact"/>
        <w:rPr>
          <w:rFonts w:hint="eastAsia" w:ascii="宋体" w:hAnsi="宋体" w:eastAsia="宋体" w:cs="宋体"/>
          <w:color w:val="auto"/>
          <w:highlight w:val="none"/>
        </w:rPr>
      </w:pPr>
    </w:p>
    <w:p w14:paraId="1EF9FE3B">
      <w:pPr>
        <w:spacing w:line="420" w:lineRule="exact"/>
        <w:rPr>
          <w:rFonts w:hint="eastAsia" w:ascii="宋体" w:hAnsi="宋体" w:eastAsia="宋体" w:cs="宋体"/>
          <w:color w:val="auto"/>
          <w:highlight w:val="none"/>
        </w:rPr>
      </w:pPr>
    </w:p>
    <w:p w14:paraId="1C7D8656">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D1FBAC7">
      <w:pPr>
        <w:spacing w:line="420" w:lineRule="exact"/>
        <w:rPr>
          <w:rFonts w:hint="eastAsia" w:ascii="宋体" w:hAnsi="宋体" w:eastAsia="宋体" w:cs="宋体"/>
          <w:color w:val="auto"/>
          <w:sz w:val="24"/>
          <w:highlight w:val="none"/>
        </w:rPr>
      </w:pPr>
    </w:p>
    <w:p w14:paraId="169755F4">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sz w:val="30"/>
          <w:highlight w:val="none"/>
        </w:rPr>
        <w:t>二</w:t>
      </w:r>
      <w:r>
        <w:rPr>
          <w:rFonts w:hint="eastAsia" w:ascii="宋体" w:hAnsi="宋体" w:eastAsia="宋体" w:cs="宋体"/>
          <w:color w:val="auto"/>
          <w:kern w:val="0"/>
          <w:highlight w:val="none"/>
        </w:rPr>
        <w:t>、“商务技术文件”部分格式</w:t>
      </w:r>
    </w:p>
    <w:p w14:paraId="46C93AC5">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2.1、“商务技术文件”封面</w:t>
      </w:r>
    </w:p>
    <w:p w14:paraId="30E07C32">
      <w:pPr>
        <w:pStyle w:val="51"/>
        <w:spacing w:line="420" w:lineRule="exact"/>
        <w:rPr>
          <w:rFonts w:hint="eastAsia" w:ascii="宋体" w:hAnsi="宋体" w:eastAsia="宋体" w:cs="宋体"/>
          <w:color w:val="auto"/>
          <w:sz w:val="18"/>
          <w:szCs w:val="18"/>
          <w:highlight w:val="none"/>
        </w:rPr>
      </w:pPr>
    </w:p>
    <w:p w14:paraId="2F0961D5">
      <w:pPr>
        <w:autoSpaceDE w:val="0"/>
        <w:autoSpaceDN w:val="0"/>
        <w:adjustRightInd w:val="0"/>
        <w:spacing w:line="420" w:lineRule="exact"/>
        <w:jc w:val="center"/>
        <w:rPr>
          <w:rFonts w:hint="eastAsia" w:ascii="宋体" w:hAnsi="宋体" w:eastAsia="宋体" w:cs="宋体"/>
          <w:b/>
          <w:color w:val="auto"/>
          <w:spacing w:val="-4"/>
          <w:kern w:val="0"/>
          <w:sz w:val="36"/>
          <w:szCs w:val="36"/>
          <w:highlight w:val="none"/>
          <w:lang w:eastAsia="zh-CN"/>
        </w:rPr>
      </w:pPr>
      <w:r>
        <w:rPr>
          <w:rFonts w:hint="eastAsia" w:ascii="宋体" w:hAnsi="宋体" w:cs="宋体"/>
          <w:b/>
          <w:color w:val="auto"/>
          <w:spacing w:val="-4"/>
          <w:kern w:val="0"/>
          <w:sz w:val="36"/>
          <w:szCs w:val="36"/>
          <w:highlight w:val="none"/>
          <w:lang w:eastAsia="zh-CN"/>
        </w:rPr>
        <w:t>2025年度苍南县百里平水公园(灵溪段)及南塘长效管理项目（重）</w:t>
      </w:r>
    </w:p>
    <w:p w14:paraId="15FAEFCA">
      <w:pPr>
        <w:autoSpaceDE w:val="0"/>
        <w:autoSpaceDN w:val="0"/>
        <w:adjustRightInd w:val="0"/>
        <w:spacing w:line="420" w:lineRule="exact"/>
        <w:jc w:val="center"/>
        <w:rPr>
          <w:rFonts w:hint="eastAsia" w:ascii="宋体" w:hAnsi="宋体" w:eastAsia="宋体" w:cs="宋体"/>
          <w:color w:val="auto"/>
          <w:kern w:val="0"/>
          <w:sz w:val="44"/>
          <w:szCs w:val="44"/>
          <w:highlight w:val="none"/>
        </w:rPr>
      </w:pPr>
    </w:p>
    <w:p w14:paraId="56CDCFD4">
      <w:pPr>
        <w:pStyle w:val="51"/>
        <w:spacing w:line="360" w:lineRule="auto"/>
        <w:rPr>
          <w:rFonts w:hint="eastAsia" w:ascii="宋体" w:hAnsi="宋体" w:eastAsia="宋体" w:cs="宋体"/>
          <w:color w:val="auto"/>
          <w:highlight w:val="none"/>
        </w:rPr>
      </w:pPr>
    </w:p>
    <w:p w14:paraId="30AAE1BE">
      <w:pPr>
        <w:spacing w:line="72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 标 文 件</w:t>
      </w:r>
    </w:p>
    <w:p w14:paraId="26A2F4D1">
      <w:pPr>
        <w:spacing w:line="72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5496B1A5">
      <w:pPr>
        <w:spacing w:line="420" w:lineRule="exact"/>
        <w:jc w:val="center"/>
        <w:rPr>
          <w:rFonts w:hint="eastAsia" w:ascii="宋体" w:hAnsi="宋体" w:eastAsia="宋体" w:cs="宋体"/>
          <w:b/>
          <w:color w:val="auto"/>
          <w:sz w:val="44"/>
          <w:szCs w:val="44"/>
          <w:highlight w:val="none"/>
        </w:rPr>
      </w:pPr>
    </w:p>
    <w:p w14:paraId="3429D7DD">
      <w:pPr>
        <w:spacing w:line="420" w:lineRule="exact"/>
        <w:jc w:val="center"/>
        <w:rPr>
          <w:rFonts w:hint="eastAsia" w:ascii="宋体" w:hAnsi="宋体" w:eastAsia="宋体" w:cs="宋体"/>
          <w:color w:val="auto"/>
          <w:kern w:val="0"/>
          <w:sz w:val="40"/>
          <w:szCs w:val="40"/>
          <w:highlight w:val="none"/>
        </w:rPr>
      </w:pPr>
    </w:p>
    <w:p w14:paraId="444B19B8">
      <w:pPr>
        <w:pStyle w:val="51"/>
        <w:spacing w:line="420" w:lineRule="exact"/>
        <w:rPr>
          <w:rFonts w:hint="eastAsia" w:ascii="宋体" w:hAnsi="宋体" w:eastAsia="宋体" w:cs="宋体"/>
          <w:color w:val="auto"/>
          <w:sz w:val="18"/>
          <w:szCs w:val="18"/>
          <w:highlight w:val="none"/>
        </w:rPr>
      </w:pPr>
    </w:p>
    <w:p w14:paraId="102678EB">
      <w:pPr>
        <w:spacing w:line="420" w:lineRule="exact"/>
        <w:jc w:val="center"/>
        <w:rPr>
          <w:rFonts w:hint="eastAsia" w:ascii="宋体" w:hAnsi="宋体" w:eastAsia="宋体" w:cs="宋体"/>
          <w:color w:val="auto"/>
          <w:kern w:val="0"/>
          <w:sz w:val="68"/>
          <w:szCs w:val="68"/>
          <w:highlight w:val="none"/>
        </w:rPr>
      </w:pPr>
    </w:p>
    <w:p w14:paraId="2EF99761">
      <w:pPr>
        <w:spacing w:line="600" w:lineRule="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项目编号：</w:t>
      </w:r>
      <w:r>
        <w:rPr>
          <w:rFonts w:hint="eastAsia" w:ascii="宋体" w:hAnsi="宋体" w:eastAsia="宋体" w:cs="宋体"/>
          <w:color w:val="auto"/>
          <w:kern w:val="0"/>
          <w:sz w:val="32"/>
          <w:szCs w:val="32"/>
          <w:highlight w:val="none"/>
          <w:u w:val="single"/>
        </w:rPr>
        <w:t xml:space="preserve">             </w:t>
      </w:r>
      <w:r>
        <w:rPr>
          <w:rFonts w:hint="eastAsia" w:ascii="宋体" w:hAnsi="宋体" w:cs="宋体"/>
          <w:color w:val="auto"/>
          <w:kern w:val="0"/>
          <w:sz w:val="32"/>
          <w:szCs w:val="32"/>
          <w:highlight w:val="none"/>
          <w:u w:val="single"/>
          <w:lang w:eastAsia="zh-CN"/>
        </w:rPr>
        <w:t>CNDL2025101</w:t>
      </w:r>
      <w:r>
        <w:rPr>
          <w:rFonts w:hint="eastAsia" w:ascii="宋体" w:hAnsi="宋体" w:eastAsia="宋体" w:cs="宋体"/>
          <w:color w:val="auto"/>
          <w:kern w:val="0"/>
          <w:sz w:val="32"/>
          <w:szCs w:val="32"/>
          <w:highlight w:val="none"/>
          <w:u w:val="single"/>
        </w:rPr>
        <w:t xml:space="preserve">               </w:t>
      </w:r>
    </w:p>
    <w:p w14:paraId="38312D12">
      <w:pPr>
        <w:spacing w:line="600" w:lineRule="auto"/>
        <w:rPr>
          <w:rFonts w:hint="eastAsia"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rPr>
        <w:t xml:space="preserve">供应商名称（电子签章）： </w:t>
      </w:r>
      <w:r>
        <w:rPr>
          <w:rFonts w:hint="eastAsia" w:ascii="宋体" w:hAnsi="宋体" w:eastAsia="宋体" w:cs="宋体"/>
          <w:color w:val="auto"/>
          <w:kern w:val="0"/>
          <w:sz w:val="32"/>
          <w:szCs w:val="32"/>
          <w:highlight w:val="none"/>
          <w:u w:val="single"/>
        </w:rPr>
        <w:t xml:space="preserve">                          </w:t>
      </w:r>
    </w:p>
    <w:p w14:paraId="519AD44B">
      <w:pPr>
        <w:spacing w:line="600" w:lineRule="auto"/>
        <w:rPr>
          <w:rFonts w:hint="eastAsia"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rPr>
        <w:t>地址：</w:t>
      </w:r>
      <w:r>
        <w:rPr>
          <w:rFonts w:hint="eastAsia" w:ascii="宋体" w:hAnsi="宋体" w:eastAsia="宋体" w:cs="宋体"/>
          <w:color w:val="auto"/>
          <w:kern w:val="0"/>
          <w:sz w:val="32"/>
          <w:szCs w:val="32"/>
          <w:highlight w:val="none"/>
          <w:u w:val="single"/>
        </w:rPr>
        <w:t xml:space="preserve">                                             </w:t>
      </w:r>
    </w:p>
    <w:p w14:paraId="3BCF2966">
      <w:pPr>
        <w:spacing w:line="600" w:lineRule="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法定代表人或其授权代表（签字或盖章）：</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 xml:space="preserve">  </w:t>
      </w:r>
    </w:p>
    <w:p w14:paraId="1573F3F7">
      <w:pPr>
        <w:spacing w:line="600" w:lineRule="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日期：</w:t>
      </w:r>
      <w:r>
        <w:rPr>
          <w:rFonts w:hint="eastAsia" w:ascii="宋体" w:hAnsi="宋体" w:eastAsia="宋体" w:cs="宋体"/>
          <w:color w:val="auto"/>
          <w:kern w:val="0"/>
          <w:sz w:val="32"/>
          <w:szCs w:val="32"/>
          <w:highlight w:val="none"/>
          <w:u w:val="single"/>
        </w:rPr>
        <w:t xml:space="preserve">                                             </w:t>
      </w:r>
    </w:p>
    <w:p w14:paraId="1C631044">
      <w:pPr>
        <w:pStyle w:val="18"/>
        <w:adjustRightInd w:val="0"/>
        <w:snapToGrid w:val="0"/>
        <w:spacing w:line="360" w:lineRule="auto"/>
        <w:rPr>
          <w:rFonts w:hint="eastAsia" w:ascii="宋体" w:hAnsi="宋体" w:eastAsia="宋体" w:cs="宋体"/>
          <w:color w:val="auto"/>
          <w:sz w:val="30"/>
          <w:highlight w:val="none"/>
        </w:rPr>
      </w:pPr>
    </w:p>
    <w:p w14:paraId="1F73C9C3">
      <w:pPr>
        <w:pStyle w:val="18"/>
        <w:adjustRightInd w:val="0"/>
        <w:snapToGrid w:val="0"/>
        <w:spacing w:line="420" w:lineRule="exact"/>
        <w:rPr>
          <w:rFonts w:hint="eastAsia" w:ascii="宋体" w:hAnsi="宋体" w:eastAsia="宋体" w:cs="宋体"/>
          <w:color w:val="auto"/>
          <w:sz w:val="30"/>
          <w:highlight w:val="none"/>
        </w:rPr>
      </w:pPr>
    </w:p>
    <w:p w14:paraId="380FF523">
      <w:pPr>
        <w:pStyle w:val="18"/>
        <w:adjustRightInd w:val="0"/>
        <w:snapToGrid w:val="0"/>
        <w:spacing w:line="420" w:lineRule="exact"/>
        <w:rPr>
          <w:rFonts w:hint="eastAsia" w:ascii="宋体" w:hAnsi="宋体" w:eastAsia="宋体" w:cs="宋体"/>
          <w:color w:val="auto"/>
          <w:sz w:val="30"/>
          <w:highlight w:val="none"/>
        </w:rPr>
      </w:pPr>
    </w:p>
    <w:p w14:paraId="573C1B80">
      <w:pPr>
        <w:spacing w:line="420" w:lineRule="exact"/>
        <w:rPr>
          <w:rFonts w:hint="eastAsia" w:ascii="宋体" w:hAnsi="宋体" w:eastAsia="宋体" w:cs="宋体"/>
          <w:color w:val="auto"/>
          <w:highlight w:val="none"/>
        </w:rPr>
      </w:pPr>
    </w:p>
    <w:p w14:paraId="37F7EAE5">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CFB3486">
      <w:pPr>
        <w:spacing w:line="420" w:lineRule="exact"/>
        <w:rPr>
          <w:rFonts w:hint="eastAsia" w:ascii="宋体" w:hAnsi="宋体" w:eastAsia="宋体" w:cs="宋体"/>
          <w:color w:val="auto"/>
          <w:highlight w:val="none"/>
        </w:rPr>
      </w:pPr>
    </w:p>
    <w:p w14:paraId="0C1AD0A6">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2.3、评分索引表</w:t>
      </w:r>
    </w:p>
    <w:p w14:paraId="7BC32D38">
      <w:pPr>
        <w:spacing w:line="420" w:lineRule="exact"/>
        <w:rPr>
          <w:rFonts w:hint="eastAsia" w:ascii="宋体" w:hAnsi="宋体" w:eastAsia="宋体" w:cs="宋体"/>
          <w:color w:val="auto"/>
          <w:highlight w:val="none"/>
        </w:rPr>
      </w:pPr>
    </w:p>
    <w:tbl>
      <w:tblPr>
        <w:tblStyle w:val="32"/>
        <w:tblW w:w="9180" w:type="dxa"/>
        <w:tblInd w:w="0" w:type="dxa"/>
        <w:tblLayout w:type="fixed"/>
        <w:tblCellMar>
          <w:top w:w="0" w:type="dxa"/>
          <w:left w:w="0" w:type="dxa"/>
          <w:bottom w:w="0" w:type="dxa"/>
          <w:right w:w="0" w:type="dxa"/>
        </w:tblCellMar>
      </w:tblPr>
      <w:tblGrid>
        <w:gridCol w:w="1095"/>
        <w:gridCol w:w="6384"/>
        <w:gridCol w:w="1701"/>
      </w:tblGrid>
      <w:tr w14:paraId="0E33FDA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AAB109">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566B20">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评分项目</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58A80E">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投标文件索引（页码）</w:t>
            </w:r>
          </w:p>
        </w:tc>
      </w:tr>
      <w:tr w14:paraId="1D7AAE5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95A31C">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9F6E05">
            <w:pPr>
              <w:widowControl/>
              <w:snapToGrid w:val="0"/>
              <w:spacing w:line="420" w:lineRule="exact"/>
              <w:jc w:val="center"/>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4C919B">
            <w:pPr>
              <w:widowControl/>
              <w:snapToGrid w:val="0"/>
              <w:spacing w:line="420" w:lineRule="exact"/>
              <w:jc w:val="center"/>
              <w:rPr>
                <w:rFonts w:hint="eastAsia" w:ascii="宋体" w:hAnsi="宋体" w:eastAsia="宋体" w:cs="宋体"/>
                <w:color w:val="auto"/>
                <w:highlight w:val="none"/>
              </w:rPr>
            </w:pPr>
          </w:p>
        </w:tc>
      </w:tr>
      <w:tr w14:paraId="5D4F1F1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7F20F1">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1F6F27">
            <w:pPr>
              <w:widowControl/>
              <w:snapToGrid w:val="0"/>
              <w:spacing w:line="420" w:lineRule="exact"/>
              <w:jc w:val="center"/>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F80E74">
            <w:pPr>
              <w:widowControl/>
              <w:snapToGrid w:val="0"/>
              <w:spacing w:line="420" w:lineRule="exact"/>
              <w:jc w:val="center"/>
              <w:rPr>
                <w:rFonts w:hint="eastAsia" w:ascii="宋体" w:hAnsi="宋体" w:eastAsia="宋体" w:cs="宋体"/>
                <w:color w:val="auto"/>
                <w:highlight w:val="none"/>
              </w:rPr>
            </w:pPr>
          </w:p>
        </w:tc>
      </w:tr>
      <w:tr w14:paraId="6856FE1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6913AB">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245E30">
            <w:pPr>
              <w:widowControl/>
              <w:snapToGrid w:val="0"/>
              <w:spacing w:line="420" w:lineRule="exact"/>
              <w:jc w:val="center"/>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3E33D3">
            <w:pPr>
              <w:widowControl/>
              <w:snapToGrid w:val="0"/>
              <w:spacing w:line="420" w:lineRule="exact"/>
              <w:jc w:val="center"/>
              <w:rPr>
                <w:rFonts w:hint="eastAsia" w:ascii="宋体" w:hAnsi="宋体" w:eastAsia="宋体" w:cs="宋体"/>
                <w:color w:val="auto"/>
                <w:highlight w:val="none"/>
              </w:rPr>
            </w:pPr>
          </w:p>
        </w:tc>
      </w:tr>
      <w:tr w14:paraId="50FC5A4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5DB8E6">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8B50E1">
            <w:pPr>
              <w:widowControl/>
              <w:snapToGrid w:val="0"/>
              <w:spacing w:line="420" w:lineRule="exact"/>
              <w:jc w:val="center"/>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AAB55C">
            <w:pPr>
              <w:widowControl/>
              <w:snapToGrid w:val="0"/>
              <w:spacing w:line="420" w:lineRule="exact"/>
              <w:jc w:val="center"/>
              <w:rPr>
                <w:rFonts w:hint="eastAsia" w:ascii="宋体" w:hAnsi="宋体" w:eastAsia="宋体" w:cs="宋体"/>
                <w:color w:val="auto"/>
                <w:highlight w:val="none"/>
              </w:rPr>
            </w:pPr>
          </w:p>
        </w:tc>
      </w:tr>
      <w:tr w14:paraId="4B093A5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0E135">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6CB906">
            <w:pPr>
              <w:widowControl/>
              <w:snapToGrid w:val="0"/>
              <w:spacing w:line="420" w:lineRule="exact"/>
              <w:jc w:val="center"/>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02DDF1">
            <w:pPr>
              <w:widowControl/>
              <w:snapToGrid w:val="0"/>
              <w:spacing w:line="420" w:lineRule="exact"/>
              <w:jc w:val="center"/>
              <w:rPr>
                <w:rFonts w:hint="eastAsia" w:ascii="宋体" w:hAnsi="宋体" w:eastAsia="宋体" w:cs="宋体"/>
                <w:color w:val="auto"/>
                <w:highlight w:val="none"/>
              </w:rPr>
            </w:pPr>
          </w:p>
        </w:tc>
      </w:tr>
      <w:tr w14:paraId="2165F77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0F387A">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66E3F">
            <w:pPr>
              <w:widowControl/>
              <w:snapToGrid w:val="0"/>
              <w:spacing w:line="420" w:lineRule="exact"/>
              <w:jc w:val="center"/>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F03D21">
            <w:pPr>
              <w:widowControl/>
              <w:snapToGrid w:val="0"/>
              <w:spacing w:line="420" w:lineRule="exact"/>
              <w:jc w:val="center"/>
              <w:rPr>
                <w:rFonts w:hint="eastAsia" w:ascii="宋体" w:hAnsi="宋体" w:eastAsia="宋体" w:cs="宋体"/>
                <w:color w:val="auto"/>
                <w:highlight w:val="none"/>
              </w:rPr>
            </w:pPr>
          </w:p>
        </w:tc>
      </w:tr>
      <w:tr w14:paraId="368FEDB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D2D629">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EC580">
            <w:pPr>
              <w:widowControl/>
              <w:snapToGrid w:val="0"/>
              <w:spacing w:line="420" w:lineRule="exact"/>
              <w:jc w:val="center"/>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B9AD6">
            <w:pPr>
              <w:widowControl/>
              <w:snapToGrid w:val="0"/>
              <w:spacing w:line="420" w:lineRule="exact"/>
              <w:jc w:val="center"/>
              <w:rPr>
                <w:rFonts w:hint="eastAsia" w:ascii="宋体" w:hAnsi="宋体" w:eastAsia="宋体" w:cs="宋体"/>
                <w:color w:val="auto"/>
                <w:highlight w:val="none"/>
              </w:rPr>
            </w:pPr>
          </w:p>
        </w:tc>
      </w:tr>
      <w:tr w14:paraId="142408A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9E72FF">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E765B">
            <w:pPr>
              <w:widowControl/>
              <w:snapToGrid w:val="0"/>
              <w:spacing w:line="420" w:lineRule="exact"/>
              <w:jc w:val="center"/>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F531B">
            <w:pPr>
              <w:widowControl/>
              <w:snapToGrid w:val="0"/>
              <w:spacing w:line="420" w:lineRule="exact"/>
              <w:jc w:val="center"/>
              <w:rPr>
                <w:rFonts w:hint="eastAsia" w:ascii="宋体" w:hAnsi="宋体" w:eastAsia="宋体" w:cs="宋体"/>
                <w:color w:val="auto"/>
                <w:highlight w:val="none"/>
              </w:rPr>
            </w:pPr>
          </w:p>
        </w:tc>
      </w:tr>
      <w:tr w14:paraId="2B4CD5A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6DB4D5">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BF1D02">
            <w:pPr>
              <w:widowControl/>
              <w:snapToGrid w:val="0"/>
              <w:spacing w:line="420" w:lineRule="exact"/>
              <w:jc w:val="center"/>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C89018">
            <w:pPr>
              <w:widowControl/>
              <w:snapToGrid w:val="0"/>
              <w:spacing w:line="420" w:lineRule="exact"/>
              <w:jc w:val="center"/>
              <w:rPr>
                <w:rFonts w:hint="eastAsia" w:ascii="宋体" w:hAnsi="宋体" w:eastAsia="宋体" w:cs="宋体"/>
                <w:color w:val="auto"/>
                <w:highlight w:val="none"/>
              </w:rPr>
            </w:pPr>
          </w:p>
        </w:tc>
      </w:tr>
      <w:tr w14:paraId="7E75D5F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DB8CB">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971C03">
            <w:pPr>
              <w:widowControl/>
              <w:snapToGrid w:val="0"/>
              <w:spacing w:line="420" w:lineRule="exact"/>
              <w:jc w:val="center"/>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1A77E1">
            <w:pPr>
              <w:widowControl/>
              <w:snapToGrid w:val="0"/>
              <w:spacing w:line="420" w:lineRule="exact"/>
              <w:jc w:val="center"/>
              <w:rPr>
                <w:rFonts w:hint="eastAsia" w:ascii="宋体" w:hAnsi="宋体" w:eastAsia="宋体" w:cs="宋体"/>
                <w:color w:val="auto"/>
                <w:highlight w:val="none"/>
              </w:rPr>
            </w:pPr>
          </w:p>
        </w:tc>
      </w:tr>
      <w:tr w14:paraId="2B1F72B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9D6B46">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29257B">
            <w:pPr>
              <w:widowControl/>
              <w:snapToGrid w:val="0"/>
              <w:spacing w:line="420" w:lineRule="exact"/>
              <w:jc w:val="left"/>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8FE3B6">
            <w:pPr>
              <w:widowControl/>
              <w:snapToGrid w:val="0"/>
              <w:spacing w:line="420" w:lineRule="exact"/>
              <w:jc w:val="center"/>
              <w:rPr>
                <w:rFonts w:hint="eastAsia" w:ascii="宋体" w:hAnsi="宋体" w:eastAsia="宋体" w:cs="宋体"/>
                <w:color w:val="auto"/>
                <w:highlight w:val="none"/>
              </w:rPr>
            </w:pPr>
          </w:p>
        </w:tc>
      </w:tr>
      <w:tr w14:paraId="7320BF3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FC545">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FCCA8">
            <w:pPr>
              <w:widowControl/>
              <w:snapToGrid w:val="0"/>
              <w:spacing w:line="420" w:lineRule="exact"/>
              <w:jc w:val="left"/>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B3083">
            <w:pPr>
              <w:widowControl/>
              <w:snapToGrid w:val="0"/>
              <w:spacing w:line="420" w:lineRule="exact"/>
              <w:jc w:val="center"/>
              <w:rPr>
                <w:rFonts w:hint="eastAsia" w:ascii="宋体" w:hAnsi="宋体" w:eastAsia="宋体" w:cs="宋体"/>
                <w:color w:val="auto"/>
                <w:highlight w:val="none"/>
              </w:rPr>
            </w:pPr>
          </w:p>
        </w:tc>
      </w:tr>
      <w:tr w14:paraId="0AFD69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54B8EF">
            <w:pPr>
              <w:widowControl/>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4790C0">
            <w:pPr>
              <w:widowControl/>
              <w:snapToGrid w:val="0"/>
              <w:spacing w:line="420" w:lineRule="exact"/>
              <w:jc w:val="left"/>
              <w:rPr>
                <w:rFonts w:hint="eastAsia"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88ED1D">
            <w:pPr>
              <w:widowControl/>
              <w:snapToGrid w:val="0"/>
              <w:spacing w:line="420" w:lineRule="exact"/>
              <w:jc w:val="center"/>
              <w:rPr>
                <w:rFonts w:hint="eastAsia" w:ascii="宋体" w:hAnsi="宋体" w:eastAsia="宋体" w:cs="宋体"/>
                <w:color w:val="auto"/>
                <w:highlight w:val="none"/>
              </w:rPr>
            </w:pPr>
          </w:p>
        </w:tc>
      </w:tr>
    </w:tbl>
    <w:p w14:paraId="36D07F0B">
      <w:pPr>
        <w:spacing w:line="420" w:lineRule="exact"/>
        <w:rPr>
          <w:rFonts w:hint="eastAsia" w:ascii="宋体" w:hAnsi="宋体" w:eastAsia="宋体" w:cs="宋体"/>
          <w:color w:val="auto"/>
          <w:highlight w:val="none"/>
        </w:rPr>
      </w:pPr>
    </w:p>
    <w:p w14:paraId="77A68ADB">
      <w:pPr>
        <w:spacing w:line="420" w:lineRule="exact"/>
        <w:rPr>
          <w:rFonts w:hint="eastAsia" w:ascii="宋体" w:hAnsi="宋体" w:eastAsia="宋体" w:cs="宋体"/>
          <w:color w:val="auto"/>
          <w:sz w:val="32"/>
          <w:highlight w:val="none"/>
        </w:rPr>
      </w:pPr>
    </w:p>
    <w:p w14:paraId="4B29E6CC">
      <w:pPr>
        <w:pStyle w:val="30"/>
        <w:spacing w:line="420" w:lineRule="exact"/>
        <w:rPr>
          <w:rFonts w:hint="eastAsia" w:ascii="宋体" w:hAnsi="宋体" w:eastAsia="宋体" w:cs="宋体"/>
          <w:color w:val="auto"/>
          <w:highlight w:val="none"/>
        </w:rPr>
      </w:pPr>
    </w:p>
    <w:p w14:paraId="21880809">
      <w:pPr>
        <w:spacing w:line="420" w:lineRule="exact"/>
        <w:rPr>
          <w:rFonts w:hint="eastAsia" w:ascii="宋体" w:hAnsi="宋体" w:eastAsia="宋体" w:cs="宋体"/>
          <w:color w:val="auto"/>
          <w:highlight w:val="none"/>
        </w:rPr>
      </w:pPr>
    </w:p>
    <w:p w14:paraId="7AA918A2">
      <w:pPr>
        <w:pStyle w:val="30"/>
        <w:spacing w:line="420" w:lineRule="exact"/>
        <w:rPr>
          <w:rFonts w:hint="eastAsia" w:ascii="宋体" w:hAnsi="宋体" w:eastAsia="宋体" w:cs="宋体"/>
          <w:color w:val="auto"/>
          <w:highlight w:val="none"/>
        </w:rPr>
      </w:pPr>
    </w:p>
    <w:p w14:paraId="4422F71D">
      <w:pPr>
        <w:spacing w:line="420" w:lineRule="exact"/>
        <w:rPr>
          <w:rFonts w:hint="eastAsia" w:ascii="宋体" w:hAnsi="宋体" w:eastAsia="宋体" w:cs="宋体"/>
          <w:color w:val="auto"/>
          <w:highlight w:val="none"/>
        </w:rPr>
      </w:pPr>
    </w:p>
    <w:p w14:paraId="0C6EDB8B">
      <w:pPr>
        <w:pStyle w:val="30"/>
        <w:spacing w:line="420" w:lineRule="exact"/>
        <w:rPr>
          <w:rFonts w:hint="eastAsia" w:ascii="宋体" w:hAnsi="宋体" w:eastAsia="宋体" w:cs="宋体"/>
          <w:color w:val="auto"/>
          <w:highlight w:val="none"/>
        </w:rPr>
      </w:pPr>
    </w:p>
    <w:p w14:paraId="13E92C54">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2.4、投标函</w:t>
      </w:r>
    </w:p>
    <w:p w14:paraId="73565B45">
      <w:pPr>
        <w:pStyle w:val="18"/>
        <w:adjustRightInd w:val="0"/>
        <w:snapToGrid w:val="0"/>
        <w:spacing w:before="156" w:beforeLines="50" w:after="156" w:afterLines="50" w:line="42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投标函</w:t>
      </w:r>
    </w:p>
    <w:p w14:paraId="52F84E37">
      <w:pPr>
        <w:autoSpaceDE w:val="0"/>
        <w:autoSpaceDN w:val="0"/>
        <w:adjustRightInd w:val="0"/>
        <w:spacing w:line="420" w:lineRule="exact"/>
        <w:jc w:val="left"/>
        <w:rPr>
          <w:rFonts w:hint="eastAsia" w:ascii="宋体" w:hAnsi="宋体" w:eastAsia="宋体" w:cs="宋体"/>
          <w:b/>
          <w:color w:val="auto"/>
          <w:kern w:val="0"/>
          <w:sz w:val="24"/>
          <w:highlight w:val="none"/>
          <w:u w:val="single"/>
        </w:rPr>
      </w:pPr>
      <w:r>
        <w:rPr>
          <w:rFonts w:hint="eastAsia" w:ascii="宋体" w:hAnsi="宋体" w:eastAsia="宋体" w:cs="宋体"/>
          <w:b/>
          <w:color w:val="auto"/>
          <w:kern w:val="0"/>
          <w:sz w:val="24"/>
          <w:highlight w:val="none"/>
          <w:u w:val="single"/>
        </w:rPr>
        <w:t>苍南县灵溪镇人民政府：</w:t>
      </w:r>
    </w:p>
    <w:p w14:paraId="1ADD8068">
      <w:pPr>
        <w:autoSpaceDE w:val="0"/>
        <w:autoSpaceDN w:val="0"/>
        <w:adjustRightInd w:val="0"/>
        <w:spacing w:line="420" w:lineRule="exact"/>
        <w:ind w:firstLine="600" w:firstLineChars="2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根据贵方组织的</w:t>
      </w:r>
      <w:r>
        <w:rPr>
          <w:rFonts w:hint="eastAsia" w:ascii="宋体" w:hAnsi="宋体" w:eastAsia="宋体" w:cs="宋体"/>
          <w:color w:val="auto"/>
          <w:kern w:val="0"/>
          <w:sz w:val="24"/>
          <w:highlight w:val="none"/>
          <w:u w:val="single"/>
        </w:rPr>
        <w:t xml:space="preserve"> </w:t>
      </w:r>
      <w:r>
        <w:rPr>
          <w:rFonts w:hint="eastAsia" w:ascii="宋体" w:hAnsi="宋体" w:cs="宋体"/>
          <w:b/>
          <w:color w:val="auto"/>
          <w:kern w:val="0"/>
          <w:sz w:val="24"/>
          <w:highlight w:val="none"/>
          <w:u w:val="single"/>
          <w:lang w:eastAsia="zh-CN"/>
        </w:rPr>
        <w:t>2025年度苍南县百里平水公园(灵溪段)及南塘长效管理项目（重）</w:t>
      </w:r>
      <w:r>
        <w:rPr>
          <w:rFonts w:hint="eastAsia" w:ascii="宋体" w:hAnsi="宋体" w:eastAsia="宋体" w:cs="宋体"/>
          <w:b/>
          <w:color w:val="auto"/>
          <w:kern w:val="0"/>
          <w:sz w:val="24"/>
          <w:highlight w:val="none"/>
          <w:u w:val="single"/>
        </w:rPr>
        <w:t xml:space="preserve"> </w:t>
      </w:r>
      <w:r>
        <w:rPr>
          <w:rFonts w:hint="eastAsia" w:ascii="宋体" w:hAnsi="宋体" w:eastAsia="宋体" w:cs="宋体"/>
          <w:color w:val="auto"/>
          <w:kern w:val="0"/>
          <w:sz w:val="24"/>
          <w:highlight w:val="none"/>
        </w:rPr>
        <w:t>（</w:t>
      </w:r>
      <w:r>
        <w:rPr>
          <w:rFonts w:hint="eastAsia" w:ascii="宋体" w:hAnsi="宋体" w:eastAsia="宋体" w:cs="宋体"/>
          <w:b/>
          <w:color w:val="auto"/>
          <w:kern w:val="0"/>
          <w:sz w:val="24"/>
          <w:highlight w:val="none"/>
        </w:rPr>
        <w:t>项目编号：</w:t>
      </w:r>
      <w:r>
        <w:rPr>
          <w:rFonts w:hint="eastAsia" w:ascii="宋体" w:hAnsi="宋体" w:cs="宋体"/>
          <w:b/>
          <w:color w:val="auto"/>
          <w:kern w:val="0"/>
          <w:sz w:val="24"/>
          <w:highlight w:val="none"/>
          <w:lang w:eastAsia="zh-CN"/>
        </w:rPr>
        <w:t>CNDL2025101</w:t>
      </w:r>
      <w:r>
        <w:rPr>
          <w:rFonts w:hint="eastAsia" w:ascii="宋体" w:hAnsi="宋体" w:eastAsia="宋体" w:cs="宋体"/>
          <w:color w:val="auto"/>
          <w:kern w:val="0"/>
          <w:sz w:val="24"/>
          <w:highlight w:val="none"/>
        </w:rPr>
        <w:t>）招标项目，</w:t>
      </w:r>
      <w:r>
        <w:rPr>
          <w:rFonts w:hint="eastAsia" w:ascii="宋体" w:hAnsi="宋体" w:eastAsia="宋体" w:cs="宋体"/>
          <w:color w:val="auto"/>
          <w:kern w:val="0"/>
          <w:sz w:val="24"/>
          <w:highlight w:val="none"/>
          <w:u w:val="single"/>
        </w:rPr>
        <w:t xml:space="preserve">  （投标供应商名称）    </w:t>
      </w:r>
      <w:r>
        <w:rPr>
          <w:rFonts w:hint="eastAsia" w:ascii="宋体" w:hAnsi="宋体" w:eastAsia="宋体" w:cs="宋体"/>
          <w:color w:val="auto"/>
          <w:kern w:val="0"/>
          <w:sz w:val="24"/>
          <w:highlight w:val="none"/>
        </w:rPr>
        <w:t>正式授权</w:t>
      </w:r>
      <w:r>
        <w:rPr>
          <w:rFonts w:hint="eastAsia" w:ascii="宋体" w:hAnsi="宋体" w:eastAsia="宋体" w:cs="宋体"/>
          <w:color w:val="auto"/>
          <w:kern w:val="0"/>
          <w:sz w:val="24"/>
          <w:highlight w:val="none"/>
          <w:u w:val="single"/>
        </w:rPr>
        <w:t xml:space="preserve">    （被授权人名字）  </w:t>
      </w:r>
      <w:r>
        <w:rPr>
          <w:rFonts w:hint="eastAsia" w:ascii="宋体" w:hAnsi="宋体" w:eastAsia="宋体" w:cs="宋体"/>
          <w:color w:val="auto"/>
          <w:kern w:val="0"/>
          <w:sz w:val="24"/>
          <w:highlight w:val="none"/>
        </w:rPr>
        <w:t>为全权代表，代表本公司参加贵方组织的此次招标的有关活动，并提交按“供应商须知”要求编制的投标文件。</w:t>
      </w:r>
    </w:p>
    <w:p w14:paraId="3E93C2E3">
      <w:pPr>
        <w:autoSpaceDE w:val="0"/>
        <w:autoSpaceDN w:val="0"/>
        <w:adjustRightInd w:val="0"/>
        <w:spacing w:line="420" w:lineRule="exact"/>
        <w:ind w:firstLine="602" w:firstLineChars="25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据此函，签字代表宣布同意如下： </w:t>
      </w:r>
    </w:p>
    <w:p w14:paraId="45A865A4">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1、我方提供的投标文件资料真实可靠，凡存在欺骗、隐瞒等行为的，贵方可取消其中标资格或中止合同的执行，我方对此不会提出异议；</w:t>
      </w:r>
    </w:p>
    <w:p w14:paraId="685022FC">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2、我方在投标之前已经与贵方进行了充分的沟通，完全理解并接受《招标文件》的各项规定和要求，对《招标文件》的合理性、合法性不再有异议； </w:t>
      </w:r>
    </w:p>
    <w:p w14:paraId="655B18A7">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3、我方将按《招标文件》的规定履行合同责任和义务；</w:t>
      </w:r>
    </w:p>
    <w:p w14:paraId="72CDA937">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4、我方项目报价以“报价文件”中《投标一览表》所列投标报价（大写）为准；</w:t>
      </w:r>
    </w:p>
    <w:p w14:paraId="56E1880F">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5、我方报价包含履行合同所有相关服务所需的服务费用和所有的税费；</w:t>
      </w:r>
    </w:p>
    <w:p w14:paraId="252D82A4">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6、本投标文件有效期为自投标截止之日起</w:t>
      </w:r>
      <w:r>
        <w:rPr>
          <w:rFonts w:hint="eastAsia" w:ascii="宋体" w:hAnsi="宋体" w:cs="宋体"/>
          <w:color w:val="auto"/>
          <w:kern w:val="0"/>
          <w:sz w:val="24"/>
          <w:highlight w:val="none"/>
          <w:lang w:val="en-US" w:eastAsia="zh-CN"/>
        </w:rPr>
        <w:t>90</w:t>
      </w:r>
      <w:r>
        <w:rPr>
          <w:rFonts w:hint="eastAsia" w:ascii="宋体" w:hAnsi="宋体" w:eastAsia="宋体" w:cs="宋体"/>
          <w:color w:val="auto"/>
          <w:kern w:val="0"/>
          <w:sz w:val="24"/>
          <w:highlight w:val="none"/>
        </w:rPr>
        <w:t xml:space="preserve">个日历日；如中标，有效期将延至合同终止日为止。 </w:t>
      </w:r>
    </w:p>
    <w:p w14:paraId="5DF9833A">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7、我方已详细研究了招标文件的所有内容包括补充（更正）文件（如有）和所有已提供的参考资料以及有关附件并完全明白, 我方放弃在此方面提出含糊意见或误解的一切权力。</w:t>
      </w:r>
    </w:p>
    <w:p w14:paraId="482C2402">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8、我方如果中标，将保证履行招标文件以及补充（更正）文件（如有）中的全部责任和义务，按质、按量、按期完成《合同》中的全部任务。</w:t>
      </w:r>
    </w:p>
    <w:p w14:paraId="606E35B2">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9、我方同意按照贵方要求提供与投标有关的一切数据或资料。</w:t>
      </w:r>
    </w:p>
    <w:p w14:paraId="7F0EC6C0">
      <w:pPr>
        <w:pStyle w:val="18"/>
        <w:adjustRightInd w:val="0"/>
        <w:snapToGrid w:val="0"/>
        <w:spacing w:line="420" w:lineRule="exact"/>
        <w:rPr>
          <w:rFonts w:hint="eastAsia" w:ascii="宋体" w:hAnsi="宋体" w:eastAsia="宋体" w:cs="宋体"/>
          <w:color w:val="auto"/>
          <w:kern w:val="0"/>
          <w:sz w:val="24"/>
          <w:szCs w:val="24"/>
          <w:highlight w:val="none"/>
        </w:rPr>
      </w:pPr>
    </w:p>
    <w:p w14:paraId="74EBB2D3">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投标供应商名称（电子签章）：</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11384B41">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法定代表人或授权代表姓名：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xml:space="preserve">                       </w:t>
      </w:r>
    </w:p>
    <w:p w14:paraId="37ABC72B">
      <w:pPr>
        <w:pStyle w:val="18"/>
        <w:adjustRightInd w:val="0"/>
        <w:snapToGrid w:val="0"/>
        <w:spacing w:line="42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法定代表人或授权代表签字（或盖章）：</w:t>
      </w:r>
      <w:r>
        <w:rPr>
          <w:rFonts w:hint="eastAsia" w:ascii="宋体" w:hAnsi="宋体" w:eastAsia="宋体" w:cs="宋体"/>
          <w:color w:val="auto"/>
          <w:kern w:val="0"/>
          <w:sz w:val="24"/>
          <w:szCs w:val="24"/>
          <w:highlight w:val="none"/>
          <w:u w:val="single"/>
        </w:rPr>
        <w:t xml:space="preserve">                        </w:t>
      </w:r>
    </w:p>
    <w:p w14:paraId="54048C32">
      <w:pPr>
        <w:pStyle w:val="18"/>
        <w:adjustRightInd w:val="0"/>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法定代表人或授权代表手机号码：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D833042">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单位地址：</w:t>
      </w:r>
      <w:r>
        <w:rPr>
          <w:rFonts w:hint="eastAsia" w:ascii="宋体" w:hAnsi="宋体" w:eastAsia="宋体" w:cs="宋体"/>
          <w:color w:val="auto"/>
          <w:kern w:val="0"/>
          <w:sz w:val="24"/>
          <w:highlight w:val="none"/>
          <w:u w:val="single"/>
        </w:rPr>
        <w:t xml:space="preserve">                                     </w:t>
      </w:r>
    </w:p>
    <w:p w14:paraId="3CDF2280">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单位电话： </w:t>
      </w:r>
      <w:r>
        <w:rPr>
          <w:rFonts w:hint="eastAsia" w:ascii="宋体" w:hAnsi="宋体" w:eastAsia="宋体" w:cs="宋体"/>
          <w:color w:val="auto"/>
          <w:kern w:val="0"/>
          <w:sz w:val="24"/>
          <w:highlight w:val="none"/>
          <w:u w:val="single"/>
        </w:rPr>
        <w:t xml:space="preserve">                                    </w:t>
      </w:r>
    </w:p>
    <w:p w14:paraId="573B7020">
      <w:pPr>
        <w:pStyle w:val="18"/>
        <w:adjustRightInd w:val="0"/>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银行帐号：</w:t>
      </w:r>
      <w:r>
        <w:rPr>
          <w:rFonts w:hint="eastAsia" w:ascii="宋体" w:hAnsi="宋体" w:eastAsia="宋体" w:cs="宋体"/>
          <w:color w:val="auto"/>
          <w:kern w:val="0"/>
          <w:sz w:val="24"/>
          <w:szCs w:val="24"/>
          <w:highlight w:val="none"/>
          <w:u w:val="single"/>
        </w:rPr>
        <w:t xml:space="preserve">                        </w:t>
      </w:r>
    </w:p>
    <w:p w14:paraId="1E495D7C">
      <w:pPr>
        <w:pStyle w:val="18"/>
        <w:adjustRightInd w:val="0"/>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402DAE56">
      <w:pPr>
        <w:pStyle w:val="18"/>
        <w:adjustRightInd w:val="0"/>
        <w:snapToGrid w:val="0"/>
        <w:spacing w:line="340" w:lineRule="atLeast"/>
        <w:rPr>
          <w:rFonts w:hint="eastAsia" w:ascii="宋体" w:hAnsi="宋体" w:eastAsia="宋体" w:cs="宋体"/>
          <w:color w:val="auto"/>
          <w:kern w:val="0"/>
          <w:sz w:val="28"/>
          <w:szCs w:val="28"/>
          <w:highlight w:val="none"/>
        </w:rPr>
      </w:pPr>
    </w:p>
    <w:p w14:paraId="3385FB40">
      <w:pPr>
        <w:pStyle w:val="5"/>
        <w:rPr>
          <w:rFonts w:hint="eastAsia" w:ascii="宋体" w:hAnsi="宋体" w:eastAsia="宋体" w:cs="宋体"/>
          <w:color w:val="auto"/>
          <w:highlight w:val="none"/>
        </w:rPr>
      </w:pPr>
      <w:r>
        <w:rPr>
          <w:rFonts w:hint="eastAsia" w:ascii="宋体" w:hAnsi="宋体" w:eastAsia="宋体" w:cs="宋体"/>
          <w:color w:val="auto"/>
          <w:kern w:val="0"/>
          <w:highlight w:val="none"/>
        </w:rPr>
        <w:t>2.5、</w:t>
      </w:r>
      <w:r>
        <w:rPr>
          <w:rFonts w:hint="eastAsia" w:ascii="宋体" w:hAnsi="宋体" w:eastAsia="宋体" w:cs="宋体"/>
          <w:color w:val="auto"/>
          <w:highlight w:val="none"/>
        </w:rPr>
        <w:t>投标供应商基本情况说明及其他资料</w:t>
      </w:r>
    </w:p>
    <w:p w14:paraId="36049035">
      <w:pPr>
        <w:pStyle w:val="5"/>
        <w:rPr>
          <w:rFonts w:hint="eastAsia" w:ascii="宋体" w:hAnsi="宋体" w:eastAsia="宋体" w:cs="宋体"/>
          <w:color w:val="auto"/>
          <w:highlight w:val="none"/>
        </w:rPr>
      </w:pPr>
      <w:r>
        <w:rPr>
          <w:rFonts w:hint="eastAsia" w:ascii="宋体" w:hAnsi="宋体" w:eastAsia="宋体" w:cs="宋体"/>
          <w:color w:val="auto"/>
          <w:highlight w:val="none"/>
        </w:rPr>
        <w:t>2.5.1投标供应商基本情况说明</w:t>
      </w:r>
    </w:p>
    <w:p w14:paraId="681CFF71">
      <w:pPr>
        <w:pStyle w:val="18"/>
        <w:adjustRightInd w:val="0"/>
        <w:snapToGrid w:val="0"/>
        <w:spacing w:before="156" w:beforeLines="50" w:after="156" w:afterLines="50" w:line="276"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投标供应商基本情况说明</w:t>
      </w:r>
    </w:p>
    <w:p w14:paraId="3B80891D">
      <w:pPr>
        <w:pStyle w:val="18"/>
        <w:adjustRightInd w:val="0"/>
        <w:snapToGrid w:val="0"/>
        <w:spacing w:line="160" w:lineRule="exact"/>
        <w:rPr>
          <w:rFonts w:hint="eastAsia" w:ascii="宋体" w:hAnsi="宋体" w:eastAsia="宋体" w:cs="宋体"/>
          <w:b/>
          <w:color w:val="auto"/>
          <w:kern w:val="0"/>
          <w:sz w:val="36"/>
          <w:szCs w:val="36"/>
          <w:highlight w:val="none"/>
        </w:rPr>
      </w:pPr>
    </w:p>
    <w:p w14:paraId="4D18E910">
      <w:pPr>
        <w:spacing w:line="460" w:lineRule="exac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名称及概况：</w:t>
      </w:r>
    </w:p>
    <w:p w14:paraId="4FB1E83F">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（1）投标供应商名称：</w:t>
      </w:r>
      <w:r>
        <w:rPr>
          <w:rFonts w:hint="eastAsia" w:ascii="宋体" w:hAnsi="宋体" w:eastAsia="宋体" w:cs="宋体"/>
          <w:color w:val="auto"/>
          <w:sz w:val="24"/>
          <w:szCs w:val="24"/>
          <w:highlight w:val="none"/>
          <w:u w:val="single"/>
        </w:rPr>
        <w:t xml:space="preserve">                           </w:t>
      </w:r>
    </w:p>
    <w:p w14:paraId="7727A621">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（2）单位组织形式：</w:t>
      </w:r>
      <w:r>
        <w:rPr>
          <w:rFonts w:hint="eastAsia" w:ascii="宋体" w:hAnsi="宋体" w:eastAsia="宋体" w:cs="宋体"/>
          <w:color w:val="auto"/>
          <w:sz w:val="24"/>
          <w:szCs w:val="24"/>
          <w:highlight w:val="none"/>
          <w:u w:val="single"/>
        </w:rPr>
        <w:t xml:space="preserve">                             </w:t>
      </w:r>
    </w:p>
    <w:p w14:paraId="471D39BF">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（3）法定代表人姓名：</w:t>
      </w:r>
      <w:r>
        <w:rPr>
          <w:rFonts w:hint="eastAsia" w:ascii="宋体" w:hAnsi="宋体" w:eastAsia="宋体" w:cs="宋体"/>
          <w:color w:val="auto"/>
          <w:sz w:val="24"/>
          <w:szCs w:val="24"/>
          <w:highlight w:val="none"/>
          <w:u w:val="single"/>
        </w:rPr>
        <w:t xml:space="preserve">                           </w:t>
      </w:r>
    </w:p>
    <w:p w14:paraId="473D34AB">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（4）单位地址：</w:t>
      </w:r>
      <w:r>
        <w:rPr>
          <w:rFonts w:hint="eastAsia" w:ascii="宋体" w:hAnsi="宋体" w:eastAsia="宋体" w:cs="宋体"/>
          <w:color w:val="auto"/>
          <w:sz w:val="24"/>
          <w:szCs w:val="24"/>
          <w:highlight w:val="none"/>
          <w:u w:val="single"/>
        </w:rPr>
        <w:t xml:space="preserve">                                 </w:t>
      </w:r>
    </w:p>
    <w:p w14:paraId="121A6DA0">
      <w:pPr>
        <w:spacing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（5）单位传真/电话号码：</w:t>
      </w:r>
      <w:r>
        <w:rPr>
          <w:rFonts w:hint="eastAsia" w:ascii="宋体" w:hAnsi="宋体" w:eastAsia="宋体" w:cs="宋体"/>
          <w:color w:val="auto"/>
          <w:sz w:val="24"/>
          <w:szCs w:val="24"/>
          <w:highlight w:val="none"/>
          <w:u w:val="single"/>
        </w:rPr>
        <w:t xml:space="preserve">                           </w:t>
      </w:r>
    </w:p>
    <w:p w14:paraId="1AEC3D03">
      <w:pPr>
        <w:spacing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（6）成立或工商注册日期：</w:t>
      </w:r>
      <w:r>
        <w:rPr>
          <w:rFonts w:hint="eastAsia" w:ascii="宋体" w:hAnsi="宋体" w:eastAsia="宋体" w:cs="宋体"/>
          <w:color w:val="auto"/>
          <w:sz w:val="24"/>
          <w:szCs w:val="24"/>
          <w:highlight w:val="none"/>
          <w:u w:val="single"/>
        </w:rPr>
        <w:t xml:space="preserve">                           </w:t>
      </w:r>
    </w:p>
    <w:p w14:paraId="73ED642B">
      <w:pPr>
        <w:spacing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（6）实收资本：</w:t>
      </w:r>
      <w:r>
        <w:rPr>
          <w:rFonts w:hint="eastAsia" w:ascii="宋体" w:hAnsi="宋体" w:eastAsia="宋体" w:cs="宋体"/>
          <w:color w:val="auto"/>
          <w:sz w:val="24"/>
          <w:szCs w:val="24"/>
          <w:highlight w:val="none"/>
          <w:u w:val="single"/>
        </w:rPr>
        <w:t xml:space="preserve">                                 </w:t>
      </w:r>
    </w:p>
    <w:p w14:paraId="7528BBC8">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（8）近期资产负债表（到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14:paraId="36B8D2BB">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1）固定资产：</w:t>
      </w:r>
      <w:r>
        <w:rPr>
          <w:rFonts w:hint="eastAsia" w:ascii="宋体" w:hAnsi="宋体" w:eastAsia="宋体" w:cs="宋体"/>
          <w:color w:val="auto"/>
          <w:sz w:val="24"/>
          <w:szCs w:val="24"/>
          <w:highlight w:val="none"/>
          <w:u w:val="single"/>
        </w:rPr>
        <w:t xml:space="preserve">               </w:t>
      </w:r>
    </w:p>
    <w:p w14:paraId="6B791923">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w:t>
      </w:r>
      <w:r>
        <w:rPr>
          <w:rFonts w:hint="eastAsia" w:ascii="宋体" w:hAnsi="宋体" w:eastAsia="宋体" w:cs="宋体"/>
          <w:color w:val="auto"/>
          <w:sz w:val="24"/>
          <w:szCs w:val="24"/>
          <w:highlight w:val="none"/>
          <w:u w:val="single"/>
        </w:rPr>
        <w:t xml:space="preserve">               </w:t>
      </w:r>
    </w:p>
    <w:p w14:paraId="1FC63F50">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w:t>
      </w:r>
      <w:r>
        <w:rPr>
          <w:rFonts w:hint="eastAsia" w:ascii="宋体" w:hAnsi="宋体" w:eastAsia="宋体" w:cs="宋体"/>
          <w:color w:val="auto"/>
          <w:sz w:val="24"/>
          <w:szCs w:val="24"/>
          <w:highlight w:val="none"/>
          <w:u w:val="single"/>
        </w:rPr>
        <w:t xml:space="preserve">               </w:t>
      </w:r>
    </w:p>
    <w:p w14:paraId="1377B39C">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w:t>
      </w:r>
      <w:r>
        <w:rPr>
          <w:rFonts w:hint="eastAsia" w:ascii="宋体" w:hAnsi="宋体" w:eastAsia="宋体" w:cs="宋体"/>
          <w:color w:val="auto"/>
          <w:sz w:val="24"/>
          <w:szCs w:val="24"/>
          <w:highlight w:val="none"/>
          <w:u w:val="single"/>
        </w:rPr>
        <w:t xml:space="preserve">               </w:t>
      </w:r>
    </w:p>
    <w:p w14:paraId="72322F73">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5）净    值：</w:t>
      </w:r>
      <w:r>
        <w:rPr>
          <w:rFonts w:hint="eastAsia" w:ascii="宋体" w:hAnsi="宋体" w:eastAsia="宋体" w:cs="宋体"/>
          <w:color w:val="auto"/>
          <w:sz w:val="24"/>
          <w:szCs w:val="24"/>
          <w:highlight w:val="none"/>
          <w:u w:val="single"/>
        </w:rPr>
        <w:t xml:space="preserve">               </w:t>
      </w:r>
    </w:p>
    <w:p w14:paraId="0A534F6F">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（6）主要负责人姓名：</w:t>
      </w:r>
      <w:r>
        <w:rPr>
          <w:rFonts w:hint="eastAsia" w:ascii="宋体" w:hAnsi="宋体" w:eastAsia="宋体" w:cs="宋体"/>
          <w:color w:val="auto"/>
          <w:sz w:val="24"/>
          <w:szCs w:val="24"/>
          <w:highlight w:val="none"/>
          <w:u w:val="single"/>
        </w:rPr>
        <w:t xml:space="preserve">                      </w:t>
      </w:r>
    </w:p>
    <w:p w14:paraId="391B0428">
      <w:pPr>
        <w:spacing w:line="460" w:lineRule="exact"/>
        <w:ind w:left="723" w:hanging="723" w:hangingChars="3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2．企业现有专用作业车辆、船只、设备情况： </w:t>
      </w:r>
      <w:r>
        <w:rPr>
          <w:rFonts w:hint="eastAsia" w:ascii="宋体" w:hAnsi="宋体" w:eastAsia="宋体" w:cs="宋体"/>
          <w:color w:val="auto"/>
          <w:sz w:val="24"/>
          <w:szCs w:val="24"/>
          <w:highlight w:val="none"/>
          <w:u w:val="single"/>
        </w:rPr>
        <w:t xml:space="preserve">   可附页说明     </w:t>
      </w:r>
    </w:p>
    <w:p w14:paraId="5C7B3A29">
      <w:pPr>
        <w:spacing w:line="460" w:lineRule="exact"/>
        <w:ind w:left="723" w:hanging="723" w:hangingChars="3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3．企业现有在聘人员情况：</w:t>
      </w:r>
      <w:r>
        <w:rPr>
          <w:rFonts w:hint="eastAsia" w:ascii="宋体" w:hAnsi="宋体" w:eastAsia="宋体" w:cs="宋体"/>
          <w:color w:val="auto"/>
          <w:sz w:val="24"/>
          <w:szCs w:val="24"/>
          <w:highlight w:val="none"/>
        </w:rPr>
        <w:t xml:space="preserve">在聘人员____________人 </w:t>
      </w:r>
    </w:p>
    <w:p w14:paraId="7E73299B">
      <w:pPr>
        <w:spacing w:line="460" w:lineRule="exact"/>
        <w:ind w:left="723" w:hanging="723" w:hangingChars="300"/>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近三年的年营业总额：</w:t>
      </w:r>
      <w:r>
        <w:rPr>
          <w:rFonts w:hint="eastAsia" w:ascii="宋体" w:hAnsi="宋体" w:eastAsia="宋体" w:cs="宋体"/>
          <w:b/>
          <w:color w:val="auto"/>
          <w:sz w:val="24"/>
          <w:szCs w:val="24"/>
          <w:highlight w:val="none"/>
          <w:u w:val="single"/>
        </w:rPr>
        <w:t xml:space="preserve">                       </w:t>
      </w:r>
    </w:p>
    <w:p w14:paraId="23102309">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兹证明上述声明是真实、正确的、并提供了全部能提供的资料和数据，我们同意遵照公开招标采购文件要求出示有关证明文件。 </w:t>
      </w:r>
    </w:p>
    <w:p w14:paraId="3D1CD055">
      <w:pPr>
        <w:spacing w:line="460" w:lineRule="exact"/>
        <w:rPr>
          <w:rFonts w:hint="eastAsia" w:ascii="宋体" w:hAnsi="宋体" w:eastAsia="宋体" w:cs="宋体"/>
          <w:color w:val="auto"/>
          <w:sz w:val="24"/>
          <w:szCs w:val="24"/>
          <w:highlight w:val="none"/>
        </w:rPr>
      </w:pPr>
    </w:p>
    <w:p w14:paraId="15713256">
      <w:pPr>
        <w:pStyle w:val="18"/>
        <w:adjustRightInd w:val="0"/>
        <w:snapToGrid w:val="0"/>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投标供应商名称（盖章）：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2A4BE79">
      <w:pPr>
        <w:pStyle w:val="18"/>
        <w:adjustRightInd w:val="0"/>
        <w:snapToGrid w:val="0"/>
        <w:spacing w:line="46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法定代表人或其授权代表（签字或盖章）：</w:t>
      </w:r>
      <w:r>
        <w:rPr>
          <w:rFonts w:hint="eastAsia" w:ascii="宋体" w:hAnsi="宋体" w:eastAsia="宋体" w:cs="宋体"/>
          <w:color w:val="auto"/>
          <w:kern w:val="0"/>
          <w:sz w:val="24"/>
          <w:szCs w:val="24"/>
          <w:highlight w:val="none"/>
          <w:u w:val="single"/>
        </w:rPr>
        <w:t xml:space="preserve">              </w:t>
      </w:r>
    </w:p>
    <w:p w14:paraId="752BE864">
      <w:pPr>
        <w:pStyle w:val="18"/>
        <w:adjustRightInd w:val="0"/>
        <w:snapToGrid w:val="0"/>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日期：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07F4CA0">
      <w:pPr>
        <w:pStyle w:val="18"/>
        <w:snapToGrid w:val="0"/>
        <w:spacing w:line="340" w:lineRule="atLeast"/>
        <w:rPr>
          <w:rFonts w:hint="eastAsia" w:ascii="宋体" w:hAnsi="宋体" w:eastAsia="宋体" w:cs="宋体"/>
          <w:color w:val="auto"/>
          <w:kern w:val="0"/>
          <w:sz w:val="28"/>
          <w:szCs w:val="28"/>
          <w:highlight w:val="none"/>
        </w:rPr>
      </w:pPr>
    </w:p>
    <w:p w14:paraId="1EAB5930">
      <w:pPr>
        <w:pStyle w:val="18"/>
        <w:snapToGrid w:val="0"/>
        <w:spacing w:line="34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2E894FB8">
      <w:pPr>
        <w:pStyle w:val="5"/>
        <w:rPr>
          <w:rFonts w:hint="eastAsia" w:ascii="宋体" w:hAnsi="宋体" w:eastAsia="宋体" w:cs="宋体"/>
          <w:color w:val="auto"/>
          <w:kern w:val="0"/>
          <w:highlight w:val="none"/>
        </w:rPr>
      </w:pPr>
      <w:r>
        <w:rPr>
          <w:rFonts w:hint="eastAsia" w:ascii="宋体" w:hAnsi="宋体" w:eastAsia="宋体" w:cs="宋体"/>
          <w:color w:val="auto"/>
          <w:kern w:val="0"/>
          <w:highlight w:val="none"/>
        </w:rPr>
        <w:t>2.5.2、投标供应商拟派项目管理团队汇总表</w:t>
      </w:r>
    </w:p>
    <w:p w14:paraId="67B7582C">
      <w:pPr>
        <w:pStyle w:val="18"/>
        <w:adjustRightInd w:val="0"/>
        <w:snapToGrid w:val="0"/>
        <w:spacing w:before="156" w:beforeLines="50" w:after="156" w:afterLines="50" w:line="276"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投标供应商拟派项目负责人情况表</w:t>
      </w:r>
    </w:p>
    <w:tbl>
      <w:tblPr>
        <w:tblStyle w:val="32"/>
        <w:tblW w:w="946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18"/>
        <w:gridCol w:w="1050"/>
        <w:gridCol w:w="1323"/>
        <w:gridCol w:w="1229"/>
        <w:gridCol w:w="1715"/>
        <w:gridCol w:w="1225"/>
        <w:gridCol w:w="887"/>
      </w:tblGrid>
      <w:tr w14:paraId="136FE5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817" w:type="dxa"/>
            <w:vAlign w:val="center"/>
          </w:tcPr>
          <w:p w14:paraId="7FBE8D1C">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218" w:type="dxa"/>
            <w:vAlign w:val="center"/>
          </w:tcPr>
          <w:p w14:paraId="4C387869">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050" w:type="dxa"/>
            <w:vAlign w:val="center"/>
          </w:tcPr>
          <w:p w14:paraId="2D703D1F">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1323" w:type="dxa"/>
            <w:vAlign w:val="center"/>
          </w:tcPr>
          <w:p w14:paraId="45E59418">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身份证号</w:t>
            </w:r>
          </w:p>
        </w:tc>
        <w:tc>
          <w:tcPr>
            <w:tcW w:w="1229" w:type="dxa"/>
            <w:vAlign w:val="center"/>
          </w:tcPr>
          <w:p w14:paraId="136F41A6">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出生年月</w:t>
            </w:r>
          </w:p>
        </w:tc>
        <w:tc>
          <w:tcPr>
            <w:tcW w:w="1715" w:type="dxa"/>
            <w:vAlign w:val="center"/>
          </w:tcPr>
          <w:p w14:paraId="2E364A7B">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本单位社保缴纳起始时间</w:t>
            </w:r>
          </w:p>
        </w:tc>
        <w:tc>
          <w:tcPr>
            <w:tcW w:w="1225" w:type="dxa"/>
            <w:vAlign w:val="center"/>
          </w:tcPr>
          <w:p w14:paraId="73D42DF7">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拟任岗位</w:t>
            </w:r>
          </w:p>
        </w:tc>
        <w:tc>
          <w:tcPr>
            <w:tcW w:w="887" w:type="dxa"/>
            <w:vAlign w:val="center"/>
          </w:tcPr>
          <w:p w14:paraId="2DF46267">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拟任标项</w:t>
            </w:r>
          </w:p>
        </w:tc>
      </w:tr>
      <w:tr w14:paraId="5EA0A7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46B3298B">
            <w:pPr>
              <w:autoSpaceDE w:val="0"/>
              <w:autoSpaceDN w:val="0"/>
              <w:adjustRightInd w:val="0"/>
              <w:jc w:val="center"/>
              <w:rPr>
                <w:rFonts w:hint="eastAsia" w:ascii="宋体" w:hAnsi="宋体" w:eastAsia="宋体" w:cs="宋体"/>
                <w:color w:val="auto"/>
                <w:kern w:val="0"/>
                <w:sz w:val="24"/>
                <w:highlight w:val="none"/>
              </w:rPr>
            </w:pPr>
          </w:p>
        </w:tc>
        <w:tc>
          <w:tcPr>
            <w:tcW w:w="1218" w:type="dxa"/>
            <w:vAlign w:val="center"/>
          </w:tcPr>
          <w:p w14:paraId="624DA311">
            <w:pPr>
              <w:autoSpaceDE w:val="0"/>
              <w:autoSpaceDN w:val="0"/>
              <w:adjustRightInd w:val="0"/>
              <w:jc w:val="center"/>
              <w:rPr>
                <w:rFonts w:hint="eastAsia" w:ascii="宋体" w:hAnsi="宋体" w:eastAsia="宋体" w:cs="宋体"/>
                <w:color w:val="auto"/>
                <w:kern w:val="0"/>
                <w:sz w:val="24"/>
                <w:highlight w:val="none"/>
              </w:rPr>
            </w:pPr>
          </w:p>
        </w:tc>
        <w:tc>
          <w:tcPr>
            <w:tcW w:w="1050" w:type="dxa"/>
            <w:vAlign w:val="center"/>
          </w:tcPr>
          <w:p w14:paraId="5775C0C1">
            <w:pPr>
              <w:autoSpaceDE w:val="0"/>
              <w:autoSpaceDN w:val="0"/>
              <w:adjustRightInd w:val="0"/>
              <w:jc w:val="center"/>
              <w:rPr>
                <w:rFonts w:hint="eastAsia" w:ascii="宋体" w:hAnsi="宋体" w:eastAsia="宋体" w:cs="宋体"/>
                <w:color w:val="auto"/>
                <w:kern w:val="0"/>
                <w:sz w:val="24"/>
                <w:highlight w:val="none"/>
              </w:rPr>
            </w:pPr>
          </w:p>
        </w:tc>
        <w:tc>
          <w:tcPr>
            <w:tcW w:w="1323" w:type="dxa"/>
            <w:vAlign w:val="center"/>
          </w:tcPr>
          <w:p w14:paraId="5B70966F">
            <w:pPr>
              <w:autoSpaceDE w:val="0"/>
              <w:autoSpaceDN w:val="0"/>
              <w:adjustRightInd w:val="0"/>
              <w:jc w:val="center"/>
              <w:rPr>
                <w:rFonts w:hint="eastAsia" w:ascii="宋体" w:hAnsi="宋体" w:eastAsia="宋体" w:cs="宋体"/>
                <w:color w:val="auto"/>
                <w:kern w:val="0"/>
                <w:sz w:val="24"/>
                <w:highlight w:val="none"/>
              </w:rPr>
            </w:pPr>
          </w:p>
        </w:tc>
        <w:tc>
          <w:tcPr>
            <w:tcW w:w="1229" w:type="dxa"/>
            <w:vAlign w:val="center"/>
          </w:tcPr>
          <w:p w14:paraId="094816DD">
            <w:pPr>
              <w:autoSpaceDE w:val="0"/>
              <w:autoSpaceDN w:val="0"/>
              <w:adjustRightInd w:val="0"/>
              <w:jc w:val="center"/>
              <w:rPr>
                <w:rFonts w:hint="eastAsia" w:ascii="宋体" w:hAnsi="宋体" w:eastAsia="宋体" w:cs="宋体"/>
                <w:color w:val="auto"/>
                <w:kern w:val="0"/>
                <w:sz w:val="24"/>
                <w:highlight w:val="none"/>
              </w:rPr>
            </w:pPr>
          </w:p>
        </w:tc>
        <w:tc>
          <w:tcPr>
            <w:tcW w:w="1715" w:type="dxa"/>
            <w:vAlign w:val="center"/>
          </w:tcPr>
          <w:p w14:paraId="2DA1DD66">
            <w:pPr>
              <w:autoSpaceDE w:val="0"/>
              <w:autoSpaceDN w:val="0"/>
              <w:adjustRightInd w:val="0"/>
              <w:jc w:val="center"/>
              <w:rPr>
                <w:rFonts w:hint="eastAsia" w:ascii="宋体" w:hAnsi="宋体" w:eastAsia="宋体" w:cs="宋体"/>
                <w:color w:val="auto"/>
                <w:kern w:val="0"/>
                <w:sz w:val="24"/>
                <w:highlight w:val="none"/>
              </w:rPr>
            </w:pPr>
          </w:p>
        </w:tc>
        <w:tc>
          <w:tcPr>
            <w:tcW w:w="1225" w:type="dxa"/>
            <w:vAlign w:val="center"/>
          </w:tcPr>
          <w:p w14:paraId="35B765FA">
            <w:pPr>
              <w:autoSpaceDE w:val="0"/>
              <w:autoSpaceDN w:val="0"/>
              <w:adjustRightInd w:val="0"/>
              <w:jc w:val="center"/>
              <w:rPr>
                <w:rFonts w:hint="eastAsia" w:ascii="宋体" w:hAnsi="宋体" w:eastAsia="宋体" w:cs="宋体"/>
                <w:color w:val="auto"/>
                <w:kern w:val="0"/>
                <w:sz w:val="24"/>
                <w:highlight w:val="none"/>
              </w:rPr>
            </w:pPr>
          </w:p>
        </w:tc>
        <w:tc>
          <w:tcPr>
            <w:tcW w:w="887" w:type="dxa"/>
            <w:vAlign w:val="center"/>
          </w:tcPr>
          <w:p w14:paraId="57CFEC14">
            <w:pPr>
              <w:autoSpaceDE w:val="0"/>
              <w:autoSpaceDN w:val="0"/>
              <w:adjustRightInd w:val="0"/>
              <w:jc w:val="center"/>
              <w:rPr>
                <w:rFonts w:hint="eastAsia" w:ascii="宋体" w:hAnsi="宋体" w:eastAsia="宋体" w:cs="宋体"/>
                <w:color w:val="auto"/>
                <w:kern w:val="0"/>
                <w:sz w:val="24"/>
                <w:highlight w:val="none"/>
              </w:rPr>
            </w:pPr>
          </w:p>
        </w:tc>
      </w:tr>
      <w:tr w14:paraId="79723A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543F7F0E">
            <w:pPr>
              <w:autoSpaceDE w:val="0"/>
              <w:autoSpaceDN w:val="0"/>
              <w:adjustRightInd w:val="0"/>
              <w:jc w:val="center"/>
              <w:rPr>
                <w:rFonts w:hint="eastAsia" w:ascii="宋体" w:hAnsi="宋体" w:eastAsia="宋体" w:cs="宋体"/>
                <w:color w:val="auto"/>
                <w:kern w:val="0"/>
                <w:sz w:val="24"/>
                <w:highlight w:val="none"/>
              </w:rPr>
            </w:pPr>
          </w:p>
        </w:tc>
        <w:tc>
          <w:tcPr>
            <w:tcW w:w="1218" w:type="dxa"/>
            <w:vAlign w:val="center"/>
          </w:tcPr>
          <w:p w14:paraId="22FA1182">
            <w:pPr>
              <w:autoSpaceDE w:val="0"/>
              <w:autoSpaceDN w:val="0"/>
              <w:adjustRightInd w:val="0"/>
              <w:jc w:val="center"/>
              <w:rPr>
                <w:rFonts w:hint="eastAsia" w:ascii="宋体" w:hAnsi="宋体" w:eastAsia="宋体" w:cs="宋体"/>
                <w:color w:val="auto"/>
                <w:kern w:val="0"/>
                <w:sz w:val="24"/>
                <w:highlight w:val="none"/>
              </w:rPr>
            </w:pPr>
          </w:p>
        </w:tc>
        <w:tc>
          <w:tcPr>
            <w:tcW w:w="1050" w:type="dxa"/>
            <w:vAlign w:val="center"/>
          </w:tcPr>
          <w:p w14:paraId="6E7E5E66">
            <w:pPr>
              <w:autoSpaceDE w:val="0"/>
              <w:autoSpaceDN w:val="0"/>
              <w:adjustRightInd w:val="0"/>
              <w:jc w:val="center"/>
              <w:rPr>
                <w:rFonts w:hint="eastAsia" w:ascii="宋体" w:hAnsi="宋体" w:eastAsia="宋体" w:cs="宋体"/>
                <w:color w:val="auto"/>
                <w:kern w:val="0"/>
                <w:sz w:val="24"/>
                <w:highlight w:val="none"/>
              </w:rPr>
            </w:pPr>
          </w:p>
        </w:tc>
        <w:tc>
          <w:tcPr>
            <w:tcW w:w="1323" w:type="dxa"/>
            <w:vAlign w:val="center"/>
          </w:tcPr>
          <w:p w14:paraId="00F85569">
            <w:pPr>
              <w:autoSpaceDE w:val="0"/>
              <w:autoSpaceDN w:val="0"/>
              <w:adjustRightInd w:val="0"/>
              <w:jc w:val="center"/>
              <w:rPr>
                <w:rFonts w:hint="eastAsia" w:ascii="宋体" w:hAnsi="宋体" w:eastAsia="宋体" w:cs="宋体"/>
                <w:color w:val="auto"/>
                <w:kern w:val="0"/>
                <w:sz w:val="24"/>
                <w:highlight w:val="none"/>
              </w:rPr>
            </w:pPr>
          </w:p>
        </w:tc>
        <w:tc>
          <w:tcPr>
            <w:tcW w:w="1229" w:type="dxa"/>
            <w:vAlign w:val="center"/>
          </w:tcPr>
          <w:p w14:paraId="51F1556A">
            <w:pPr>
              <w:autoSpaceDE w:val="0"/>
              <w:autoSpaceDN w:val="0"/>
              <w:adjustRightInd w:val="0"/>
              <w:jc w:val="center"/>
              <w:rPr>
                <w:rFonts w:hint="eastAsia" w:ascii="宋体" w:hAnsi="宋体" w:eastAsia="宋体" w:cs="宋体"/>
                <w:color w:val="auto"/>
                <w:kern w:val="0"/>
                <w:sz w:val="24"/>
                <w:highlight w:val="none"/>
              </w:rPr>
            </w:pPr>
          </w:p>
        </w:tc>
        <w:tc>
          <w:tcPr>
            <w:tcW w:w="1715" w:type="dxa"/>
            <w:vAlign w:val="center"/>
          </w:tcPr>
          <w:p w14:paraId="3266AD29">
            <w:pPr>
              <w:autoSpaceDE w:val="0"/>
              <w:autoSpaceDN w:val="0"/>
              <w:adjustRightInd w:val="0"/>
              <w:jc w:val="center"/>
              <w:rPr>
                <w:rFonts w:hint="eastAsia" w:ascii="宋体" w:hAnsi="宋体" w:eastAsia="宋体" w:cs="宋体"/>
                <w:color w:val="auto"/>
                <w:kern w:val="0"/>
                <w:sz w:val="24"/>
                <w:highlight w:val="none"/>
              </w:rPr>
            </w:pPr>
          </w:p>
        </w:tc>
        <w:tc>
          <w:tcPr>
            <w:tcW w:w="1225" w:type="dxa"/>
            <w:vAlign w:val="center"/>
          </w:tcPr>
          <w:p w14:paraId="280DC12F">
            <w:pPr>
              <w:autoSpaceDE w:val="0"/>
              <w:autoSpaceDN w:val="0"/>
              <w:adjustRightInd w:val="0"/>
              <w:jc w:val="center"/>
              <w:rPr>
                <w:rFonts w:hint="eastAsia" w:ascii="宋体" w:hAnsi="宋体" w:eastAsia="宋体" w:cs="宋体"/>
                <w:color w:val="auto"/>
                <w:kern w:val="0"/>
                <w:sz w:val="24"/>
                <w:highlight w:val="none"/>
              </w:rPr>
            </w:pPr>
          </w:p>
        </w:tc>
        <w:tc>
          <w:tcPr>
            <w:tcW w:w="887" w:type="dxa"/>
            <w:vAlign w:val="center"/>
          </w:tcPr>
          <w:p w14:paraId="32B8DFE6">
            <w:pPr>
              <w:autoSpaceDE w:val="0"/>
              <w:autoSpaceDN w:val="0"/>
              <w:adjustRightInd w:val="0"/>
              <w:jc w:val="center"/>
              <w:rPr>
                <w:rFonts w:hint="eastAsia" w:ascii="宋体" w:hAnsi="宋体" w:eastAsia="宋体" w:cs="宋体"/>
                <w:color w:val="auto"/>
                <w:kern w:val="0"/>
                <w:sz w:val="24"/>
                <w:highlight w:val="none"/>
              </w:rPr>
            </w:pPr>
          </w:p>
        </w:tc>
      </w:tr>
      <w:tr w14:paraId="764BC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2E37053E">
            <w:pPr>
              <w:autoSpaceDE w:val="0"/>
              <w:autoSpaceDN w:val="0"/>
              <w:adjustRightInd w:val="0"/>
              <w:jc w:val="center"/>
              <w:rPr>
                <w:rFonts w:hint="eastAsia" w:ascii="宋体" w:hAnsi="宋体" w:eastAsia="宋体" w:cs="宋体"/>
                <w:color w:val="auto"/>
                <w:kern w:val="0"/>
                <w:sz w:val="24"/>
                <w:highlight w:val="none"/>
              </w:rPr>
            </w:pPr>
          </w:p>
        </w:tc>
        <w:tc>
          <w:tcPr>
            <w:tcW w:w="1218" w:type="dxa"/>
            <w:vAlign w:val="center"/>
          </w:tcPr>
          <w:p w14:paraId="0FD0D931">
            <w:pPr>
              <w:autoSpaceDE w:val="0"/>
              <w:autoSpaceDN w:val="0"/>
              <w:adjustRightInd w:val="0"/>
              <w:jc w:val="center"/>
              <w:rPr>
                <w:rFonts w:hint="eastAsia" w:ascii="宋体" w:hAnsi="宋体" w:eastAsia="宋体" w:cs="宋体"/>
                <w:color w:val="auto"/>
                <w:kern w:val="0"/>
                <w:sz w:val="24"/>
                <w:highlight w:val="none"/>
              </w:rPr>
            </w:pPr>
          </w:p>
        </w:tc>
        <w:tc>
          <w:tcPr>
            <w:tcW w:w="1050" w:type="dxa"/>
            <w:vAlign w:val="center"/>
          </w:tcPr>
          <w:p w14:paraId="5A28F315">
            <w:pPr>
              <w:autoSpaceDE w:val="0"/>
              <w:autoSpaceDN w:val="0"/>
              <w:adjustRightInd w:val="0"/>
              <w:jc w:val="center"/>
              <w:rPr>
                <w:rFonts w:hint="eastAsia" w:ascii="宋体" w:hAnsi="宋体" w:eastAsia="宋体" w:cs="宋体"/>
                <w:color w:val="auto"/>
                <w:kern w:val="0"/>
                <w:sz w:val="24"/>
                <w:highlight w:val="none"/>
              </w:rPr>
            </w:pPr>
          </w:p>
        </w:tc>
        <w:tc>
          <w:tcPr>
            <w:tcW w:w="1323" w:type="dxa"/>
            <w:vAlign w:val="center"/>
          </w:tcPr>
          <w:p w14:paraId="70025500">
            <w:pPr>
              <w:autoSpaceDE w:val="0"/>
              <w:autoSpaceDN w:val="0"/>
              <w:adjustRightInd w:val="0"/>
              <w:jc w:val="center"/>
              <w:rPr>
                <w:rFonts w:hint="eastAsia" w:ascii="宋体" w:hAnsi="宋体" w:eastAsia="宋体" w:cs="宋体"/>
                <w:color w:val="auto"/>
                <w:kern w:val="0"/>
                <w:sz w:val="24"/>
                <w:highlight w:val="none"/>
              </w:rPr>
            </w:pPr>
          </w:p>
        </w:tc>
        <w:tc>
          <w:tcPr>
            <w:tcW w:w="1229" w:type="dxa"/>
            <w:vAlign w:val="center"/>
          </w:tcPr>
          <w:p w14:paraId="2483E22E">
            <w:pPr>
              <w:autoSpaceDE w:val="0"/>
              <w:autoSpaceDN w:val="0"/>
              <w:adjustRightInd w:val="0"/>
              <w:jc w:val="center"/>
              <w:rPr>
                <w:rFonts w:hint="eastAsia" w:ascii="宋体" w:hAnsi="宋体" w:eastAsia="宋体" w:cs="宋体"/>
                <w:color w:val="auto"/>
                <w:kern w:val="0"/>
                <w:sz w:val="24"/>
                <w:highlight w:val="none"/>
              </w:rPr>
            </w:pPr>
          </w:p>
        </w:tc>
        <w:tc>
          <w:tcPr>
            <w:tcW w:w="1715" w:type="dxa"/>
            <w:vAlign w:val="center"/>
          </w:tcPr>
          <w:p w14:paraId="7288B7E1">
            <w:pPr>
              <w:autoSpaceDE w:val="0"/>
              <w:autoSpaceDN w:val="0"/>
              <w:adjustRightInd w:val="0"/>
              <w:jc w:val="center"/>
              <w:rPr>
                <w:rFonts w:hint="eastAsia" w:ascii="宋体" w:hAnsi="宋体" w:eastAsia="宋体" w:cs="宋体"/>
                <w:color w:val="auto"/>
                <w:kern w:val="0"/>
                <w:sz w:val="24"/>
                <w:highlight w:val="none"/>
              </w:rPr>
            </w:pPr>
          </w:p>
        </w:tc>
        <w:tc>
          <w:tcPr>
            <w:tcW w:w="1225" w:type="dxa"/>
            <w:vAlign w:val="center"/>
          </w:tcPr>
          <w:p w14:paraId="02032349">
            <w:pPr>
              <w:autoSpaceDE w:val="0"/>
              <w:autoSpaceDN w:val="0"/>
              <w:adjustRightInd w:val="0"/>
              <w:jc w:val="center"/>
              <w:rPr>
                <w:rFonts w:hint="eastAsia" w:ascii="宋体" w:hAnsi="宋体" w:eastAsia="宋体" w:cs="宋体"/>
                <w:color w:val="auto"/>
                <w:kern w:val="0"/>
                <w:sz w:val="24"/>
                <w:highlight w:val="none"/>
              </w:rPr>
            </w:pPr>
          </w:p>
        </w:tc>
        <w:tc>
          <w:tcPr>
            <w:tcW w:w="887" w:type="dxa"/>
            <w:vAlign w:val="center"/>
          </w:tcPr>
          <w:p w14:paraId="4D6D5467">
            <w:pPr>
              <w:autoSpaceDE w:val="0"/>
              <w:autoSpaceDN w:val="0"/>
              <w:adjustRightInd w:val="0"/>
              <w:jc w:val="center"/>
              <w:rPr>
                <w:rFonts w:hint="eastAsia" w:ascii="宋体" w:hAnsi="宋体" w:eastAsia="宋体" w:cs="宋体"/>
                <w:color w:val="auto"/>
                <w:kern w:val="0"/>
                <w:sz w:val="24"/>
                <w:highlight w:val="none"/>
              </w:rPr>
            </w:pPr>
          </w:p>
        </w:tc>
      </w:tr>
      <w:tr w14:paraId="7A06A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53EBF2B6">
            <w:pPr>
              <w:autoSpaceDE w:val="0"/>
              <w:autoSpaceDN w:val="0"/>
              <w:adjustRightInd w:val="0"/>
              <w:jc w:val="center"/>
              <w:rPr>
                <w:rFonts w:hint="eastAsia" w:ascii="宋体" w:hAnsi="宋体" w:eastAsia="宋体" w:cs="宋体"/>
                <w:color w:val="auto"/>
                <w:kern w:val="0"/>
                <w:sz w:val="24"/>
                <w:highlight w:val="none"/>
              </w:rPr>
            </w:pPr>
          </w:p>
        </w:tc>
        <w:tc>
          <w:tcPr>
            <w:tcW w:w="1218" w:type="dxa"/>
            <w:vAlign w:val="center"/>
          </w:tcPr>
          <w:p w14:paraId="1DCB2109">
            <w:pPr>
              <w:autoSpaceDE w:val="0"/>
              <w:autoSpaceDN w:val="0"/>
              <w:adjustRightInd w:val="0"/>
              <w:jc w:val="center"/>
              <w:rPr>
                <w:rFonts w:hint="eastAsia" w:ascii="宋体" w:hAnsi="宋体" w:eastAsia="宋体" w:cs="宋体"/>
                <w:color w:val="auto"/>
                <w:kern w:val="0"/>
                <w:sz w:val="24"/>
                <w:highlight w:val="none"/>
              </w:rPr>
            </w:pPr>
          </w:p>
        </w:tc>
        <w:tc>
          <w:tcPr>
            <w:tcW w:w="1050" w:type="dxa"/>
            <w:vAlign w:val="center"/>
          </w:tcPr>
          <w:p w14:paraId="14BF25D9">
            <w:pPr>
              <w:autoSpaceDE w:val="0"/>
              <w:autoSpaceDN w:val="0"/>
              <w:adjustRightInd w:val="0"/>
              <w:jc w:val="center"/>
              <w:rPr>
                <w:rFonts w:hint="eastAsia" w:ascii="宋体" w:hAnsi="宋体" w:eastAsia="宋体" w:cs="宋体"/>
                <w:color w:val="auto"/>
                <w:kern w:val="0"/>
                <w:sz w:val="24"/>
                <w:highlight w:val="none"/>
              </w:rPr>
            </w:pPr>
          </w:p>
        </w:tc>
        <w:tc>
          <w:tcPr>
            <w:tcW w:w="1323" w:type="dxa"/>
            <w:vAlign w:val="center"/>
          </w:tcPr>
          <w:p w14:paraId="041BA591">
            <w:pPr>
              <w:autoSpaceDE w:val="0"/>
              <w:autoSpaceDN w:val="0"/>
              <w:adjustRightInd w:val="0"/>
              <w:jc w:val="center"/>
              <w:rPr>
                <w:rFonts w:hint="eastAsia" w:ascii="宋体" w:hAnsi="宋体" w:eastAsia="宋体" w:cs="宋体"/>
                <w:color w:val="auto"/>
                <w:kern w:val="0"/>
                <w:sz w:val="24"/>
                <w:highlight w:val="none"/>
              </w:rPr>
            </w:pPr>
          </w:p>
        </w:tc>
        <w:tc>
          <w:tcPr>
            <w:tcW w:w="1229" w:type="dxa"/>
            <w:vAlign w:val="center"/>
          </w:tcPr>
          <w:p w14:paraId="33AB53D7">
            <w:pPr>
              <w:autoSpaceDE w:val="0"/>
              <w:autoSpaceDN w:val="0"/>
              <w:adjustRightInd w:val="0"/>
              <w:jc w:val="center"/>
              <w:rPr>
                <w:rFonts w:hint="eastAsia" w:ascii="宋体" w:hAnsi="宋体" w:eastAsia="宋体" w:cs="宋体"/>
                <w:color w:val="auto"/>
                <w:kern w:val="0"/>
                <w:sz w:val="24"/>
                <w:highlight w:val="none"/>
              </w:rPr>
            </w:pPr>
          </w:p>
        </w:tc>
        <w:tc>
          <w:tcPr>
            <w:tcW w:w="1715" w:type="dxa"/>
            <w:vAlign w:val="center"/>
          </w:tcPr>
          <w:p w14:paraId="4EBC205E">
            <w:pPr>
              <w:autoSpaceDE w:val="0"/>
              <w:autoSpaceDN w:val="0"/>
              <w:adjustRightInd w:val="0"/>
              <w:jc w:val="center"/>
              <w:rPr>
                <w:rFonts w:hint="eastAsia" w:ascii="宋体" w:hAnsi="宋体" w:eastAsia="宋体" w:cs="宋体"/>
                <w:color w:val="auto"/>
                <w:kern w:val="0"/>
                <w:sz w:val="24"/>
                <w:highlight w:val="none"/>
              </w:rPr>
            </w:pPr>
          </w:p>
        </w:tc>
        <w:tc>
          <w:tcPr>
            <w:tcW w:w="1225" w:type="dxa"/>
            <w:vAlign w:val="center"/>
          </w:tcPr>
          <w:p w14:paraId="22329802">
            <w:pPr>
              <w:autoSpaceDE w:val="0"/>
              <w:autoSpaceDN w:val="0"/>
              <w:adjustRightInd w:val="0"/>
              <w:jc w:val="center"/>
              <w:rPr>
                <w:rFonts w:hint="eastAsia" w:ascii="宋体" w:hAnsi="宋体" w:eastAsia="宋体" w:cs="宋体"/>
                <w:color w:val="auto"/>
                <w:kern w:val="0"/>
                <w:sz w:val="24"/>
                <w:highlight w:val="none"/>
              </w:rPr>
            </w:pPr>
          </w:p>
        </w:tc>
        <w:tc>
          <w:tcPr>
            <w:tcW w:w="887" w:type="dxa"/>
            <w:vAlign w:val="center"/>
          </w:tcPr>
          <w:p w14:paraId="09FE40BF">
            <w:pPr>
              <w:autoSpaceDE w:val="0"/>
              <w:autoSpaceDN w:val="0"/>
              <w:adjustRightInd w:val="0"/>
              <w:jc w:val="center"/>
              <w:rPr>
                <w:rFonts w:hint="eastAsia" w:ascii="宋体" w:hAnsi="宋体" w:eastAsia="宋体" w:cs="宋体"/>
                <w:color w:val="auto"/>
                <w:kern w:val="0"/>
                <w:sz w:val="24"/>
                <w:highlight w:val="none"/>
              </w:rPr>
            </w:pPr>
          </w:p>
        </w:tc>
      </w:tr>
      <w:tr w14:paraId="0B23C3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6C14393C">
            <w:pPr>
              <w:autoSpaceDE w:val="0"/>
              <w:autoSpaceDN w:val="0"/>
              <w:adjustRightInd w:val="0"/>
              <w:jc w:val="center"/>
              <w:rPr>
                <w:rFonts w:hint="eastAsia" w:ascii="宋体" w:hAnsi="宋体" w:eastAsia="宋体" w:cs="宋体"/>
                <w:color w:val="auto"/>
                <w:kern w:val="0"/>
                <w:sz w:val="24"/>
                <w:highlight w:val="none"/>
              </w:rPr>
            </w:pPr>
          </w:p>
        </w:tc>
        <w:tc>
          <w:tcPr>
            <w:tcW w:w="1218" w:type="dxa"/>
            <w:vAlign w:val="center"/>
          </w:tcPr>
          <w:p w14:paraId="5EE4ABCE">
            <w:pPr>
              <w:autoSpaceDE w:val="0"/>
              <w:autoSpaceDN w:val="0"/>
              <w:adjustRightInd w:val="0"/>
              <w:jc w:val="center"/>
              <w:rPr>
                <w:rFonts w:hint="eastAsia" w:ascii="宋体" w:hAnsi="宋体" w:eastAsia="宋体" w:cs="宋体"/>
                <w:color w:val="auto"/>
                <w:kern w:val="0"/>
                <w:sz w:val="24"/>
                <w:highlight w:val="none"/>
              </w:rPr>
            </w:pPr>
          </w:p>
        </w:tc>
        <w:tc>
          <w:tcPr>
            <w:tcW w:w="1050" w:type="dxa"/>
            <w:vAlign w:val="center"/>
          </w:tcPr>
          <w:p w14:paraId="059FE52A">
            <w:pPr>
              <w:autoSpaceDE w:val="0"/>
              <w:autoSpaceDN w:val="0"/>
              <w:adjustRightInd w:val="0"/>
              <w:jc w:val="center"/>
              <w:rPr>
                <w:rFonts w:hint="eastAsia" w:ascii="宋体" w:hAnsi="宋体" w:eastAsia="宋体" w:cs="宋体"/>
                <w:color w:val="auto"/>
                <w:kern w:val="0"/>
                <w:sz w:val="24"/>
                <w:highlight w:val="none"/>
              </w:rPr>
            </w:pPr>
          </w:p>
        </w:tc>
        <w:tc>
          <w:tcPr>
            <w:tcW w:w="1323" w:type="dxa"/>
            <w:vAlign w:val="center"/>
          </w:tcPr>
          <w:p w14:paraId="6227423D">
            <w:pPr>
              <w:autoSpaceDE w:val="0"/>
              <w:autoSpaceDN w:val="0"/>
              <w:adjustRightInd w:val="0"/>
              <w:jc w:val="center"/>
              <w:rPr>
                <w:rFonts w:hint="eastAsia" w:ascii="宋体" w:hAnsi="宋体" w:eastAsia="宋体" w:cs="宋体"/>
                <w:color w:val="auto"/>
                <w:kern w:val="0"/>
                <w:sz w:val="24"/>
                <w:highlight w:val="none"/>
              </w:rPr>
            </w:pPr>
          </w:p>
        </w:tc>
        <w:tc>
          <w:tcPr>
            <w:tcW w:w="1229" w:type="dxa"/>
            <w:vAlign w:val="center"/>
          </w:tcPr>
          <w:p w14:paraId="17251107">
            <w:pPr>
              <w:autoSpaceDE w:val="0"/>
              <w:autoSpaceDN w:val="0"/>
              <w:adjustRightInd w:val="0"/>
              <w:jc w:val="center"/>
              <w:rPr>
                <w:rFonts w:hint="eastAsia" w:ascii="宋体" w:hAnsi="宋体" w:eastAsia="宋体" w:cs="宋体"/>
                <w:color w:val="auto"/>
                <w:kern w:val="0"/>
                <w:sz w:val="24"/>
                <w:highlight w:val="none"/>
              </w:rPr>
            </w:pPr>
          </w:p>
        </w:tc>
        <w:tc>
          <w:tcPr>
            <w:tcW w:w="1715" w:type="dxa"/>
            <w:vAlign w:val="center"/>
          </w:tcPr>
          <w:p w14:paraId="040AFE7B">
            <w:pPr>
              <w:autoSpaceDE w:val="0"/>
              <w:autoSpaceDN w:val="0"/>
              <w:adjustRightInd w:val="0"/>
              <w:jc w:val="center"/>
              <w:rPr>
                <w:rFonts w:hint="eastAsia" w:ascii="宋体" w:hAnsi="宋体" w:eastAsia="宋体" w:cs="宋体"/>
                <w:color w:val="auto"/>
                <w:kern w:val="0"/>
                <w:sz w:val="24"/>
                <w:highlight w:val="none"/>
              </w:rPr>
            </w:pPr>
          </w:p>
        </w:tc>
        <w:tc>
          <w:tcPr>
            <w:tcW w:w="1225" w:type="dxa"/>
            <w:vAlign w:val="center"/>
          </w:tcPr>
          <w:p w14:paraId="34D16C5B">
            <w:pPr>
              <w:autoSpaceDE w:val="0"/>
              <w:autoSpaceDN w:val="0"/>
              <w:adjustRightInd w:val="0"/>
              <w:jc w:val="center"/>
              <w:rPr>
                <w:rFonts w:hint="eastAsia" w:ascii="宋体" w:hAnsi="宋体" w:eastAsia="宋体" w:cs="宋体"/>
                <w:color w:val="auto"/>
                <w:kern w:val="0"/>
                <w:sz w:val="24"/>
                <w:highlight w:val="none"/>
              </w:rPr>
            </w:pPr>
          </w:p>
        </w:tc>
        <w:tc>
          <w:tcPr>
            <w:tcW w:w="887" w:type="dxa"/>
            <w:vAlign w:val="center"/>
          </w:tcPr>
          <w:p w14:paraId="6136B753">
            <w:pPr>
              <w:autoSpaceDE w:val="0"/>
              <w:autoSpaceDN w:val="0"/>
              <w:adjustRightInd w:val="0"/>
              <w:jc w:val="center"/>
              <w:rPr>
                <w:rFonts w:hint="eastAsia" w:ascii="宋体" w:hAnsi="宋体" w:eastAsia="宋体" w:cs="宋体"/>
                <w:color w:val="auto"/>
                <w:kern w:val="0"/>
                <w:sz w:val="24"/>
                <w:highlight w:val="none"/>
              </w:rPr>
            </w:pPr>
          </w:p>
        </w:tc>
      </w:tr>
      <w:tr w14:paraId="2405E6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7620D7C1">
            <w:pPr>
              <w:autoSpaceDE w:val="0"/>
              <w:autoSpaceDN w:val="0"/>
              <w:adjustRightInd w:val="0"/>
              <w:jc w:val="center"/>
              <w:rPr>
                <w:rFonts w:hint="eastAsia" w:ascii="宋体" w:hAnsi="宋体" w:eastAsia="宋体" w:cs="宋体"/>
                <w:color w:val="auto"/>
                <w:kern w:val="0"/>
                <w:sz w:val="24"/>
                <w:highlight w:val="none"/>
              </w:rPr>
            </w:pPr>
          </w:p>
        </w:tc>
        <w:tc>
          <w:tcPr>
            <w:tcW w:w="1218" w:type="dxa"/>
            <w:vAlign w:val="center"/>
          </w:tcPr>
          <w:p w14:paraId="6501F3D5">
            <w:pPr>
              <w:autoSpaceDE w:val="0"/>
              <w:autoSpaceDN w:val="0"/>
              <w:adjustRightInd w:val="0"/>
              <w:jc w:val="center"/>
              <w:rPr>
                <w:rFonts w:hint="eastAsia" w:ascii="宋体" w:hAnsi="宋体" w:eastAsia="宋体" w:cs="宋体"/>
                <w:color w:val="auto"/>
                <w:kern w:val="0"/>
                <w:sz w:val="24"/>
                <w:highlight w:val="none"/>
              </w:rPr>
            </w:pPr>
          </w:p>
        </w:tc>
        <w:tc>
          <w:tcPr>
            <w:tcW w:w="1050" w:type="dxa"/>
            <w:vAlign w:val="center"/>
          </w:tcPr>
          <w:p w14:paraId="16F421CD">
            <w:pPr>
              <w:autoSpaceDE w:val="0"/>
              <w:autoSpaceDN w:val="0"/>
              <w:adjustRightInd w:val="0"/>
              <w:jc w:val="center"/>
              <w:rPr>
                <w:rFonts w:hint="eastAsia" w:ascii="宋体" w:hAnsi="宋体" w:eastAsia="宋体" w:cs="宋体"/>
                <w:color w:val="auto"/>
                <w:kern w:val="0"/>
                <w:sz w:val="24"/>
                <w:highlight w:val="none"/>
              </w:rPr>
            </w:pPr>
          </w:p>
        </w:tc>
        <w:tc>
          <w:tcPr>
            <w:tcW w:w="1323" w:type="dxa"/>
            <w:vAlign w:val="center"/>
          </w:tcPr>
          <w:p w14:paraId="2EC16CC5">
            <w:pPr>
              <w:autoSpaceDE w:val="0"/>
              <w:autoSpaceDN w:val="0"/>
              <w:adjustRightInd w:val="0"/>
              <w:jc w:val="center"/>
              <w:rPr>
                <w:rFonts w:hint="eastAsia" w:ascii="宋体" w:hAnsi="宋体" w:eastAsia="宋体" w:cs="宋体"/>
                <w:color w:val="auto"/>
                <w:kern w:val="0"/>
                <w:sz w:val="24"/>
                <w:highlight w:val="none"/>
              </w:rPr>
            </w:pPr>
          </w:p>
        </w:tc>
        <w:tc>
          <w:tcPr>
            <w:tcW w:w="1229" w:type="dxa"/>
            <w:vAlign w:val="center"/>
          </w:tcPr>
          <w:p w14:paraId="4D769D5A">
            <w:pPr>
              <w:autoSpaceDE w:val="0"/>
              <w:autoSpaceDN w:val="0"/>
              <w:adjustRightInd w:val="0"/>
              <w:jc w:val="center"/>
              <w:rPr>
                <w:rFonts w:hint="eastAsia" w:ascii="宋体" w:hAnsi="宋体" w:eastAsia="宋体" w:cs="宋体"/>
                <w:color w:val="auto"/>
                <w:kern w:val="0"/>
                <w:sz w:val="24"/>
                <w:highlight w:val="none"/>
              </w:rPr>
            </w:pPr>
          </w:p>
        </w:tc>
        <w:tc>
          <w:tcPr>
            <w:tcW w:w="1715" w:type="dxa"/>
            <w:vAlign w:val="center"/>
          </w:tcPr>
          <w:p w14:paraId="5A7F7317">
            <w:pPr>
              <w:autoSpaceDE w:val="0"/>
              <w:autoSpaceDN w:val="0"/>
              <w:adjustRightInd w:val="0"/>
              <w:jc w:val="center"/>
              <w:rPr>
                <w:rFonts w:hint="eastAsia" w:ascii="宋体" w:hAnsi="宋体" w:eastAsia="宋体" w:cs="宋体"/>
                <w:color w:val="auto"/>
                <w:kern w:val="0"/>
                <w:sz w:val="24"/>
                <w:highlight w:val="none"/>
              </w:rPr>
            </w:pPr>
          </w:p>
        </w:tc>
        <w:tc>
          <w:tcPr>
            <w:tcW w:w="1225" w:type="dxa"/>
            <w:vAlign w:val="center"/>
          </w:tcPr>
          <w:p w14:paraId="666F1AAF">
            <w:pPr>
              <w:autoSpaceDE w:val="0"/>
              <w:autoSpaceDN w:val="0"/>
              <w:adjustRightInd w:val="0"/>
              <w:jc w:val="center"/>
              <w:rPr>
                <w:rFonts w:hint="eastAsia" w:ascii="宋体" w:hAnsi="宋体" w:eastAsia="宋体" w:cs="宋体"/>
                <w:color w:val="auto"/>
                <w:kern w:val="0"/>
                <w:sz w:val="24"/>
                <w:highlight w:val="none"/>
              </w:rPr>
            </w:pPr>
          </w:p>
        </w:tc>
        <w:tc>
          <w:tcPr>
            <w:tcW w:w="887" w:type="dxa"/>
            <w:vAlign w:val="center"/>
          </w:tcPr>
          <w:p w14:paraId="4F5FA9E7">
            <w:pPr>
              <w:autoSpaceDE w:val="0"/>
              <w:autoSpaceDN w:val="0"/>
              <w:adjustRightInd w:val="0"/>
              <w:jc w:val="center"/>
              <w:rPr>
                <w:rFonts w:hint="eastAsia" w:ascii="宋体" w:hAnsi="宋体" w:eastAsia="宋体" w:cs="宋体"/>
                <w:color w:val="auto"/>
                <w:kern w:val="0"/>
                <w:sz w:val="24"/>
                <w:highlight w:val="none"/>
              </w:rPr>
            </w:pPr>
          </w:p>
        </w:tc>
      </w:tr>
    </w:tbl>
    <w:p w14:paraId="115CFFDB">
      <w:pPr>
        <w:autoSpaceDE w:val="0"/>
        <w:autoSpaceDN w:val="0"/>
        <w:adjustRightInd w:val="0"/>
        <w:jc w:val="left"/>
        <w:rPr>
          <w:rFonts w:hint="eastAsia" w:ascii="宋体" w:hAnsi="宋体" w:eastAsia="宋体" w:cs="宋体"/>
          <w:color w:val="auto"/>
          <w:kern w:val="0"/>
          <w:sz w:val="24"/>
          <w:highlight w:val="none"/>
        </w:rPr>
      </w:pPr>
    </w:p>
    <w:p w14:paraId="37D0396B">
      <w:pPr>
        <w:autoSpaceDE w:val="0"/>
        <w:autoSpaceDN w:val="0"/>
        <w:adjustRightInd w:val="0"/>
        <w:spacing w:line="46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备注：后附证明材料，详见第六部分  评审办法。</w:t>
      </w:r>
    </w:p>
    <w:p w14:paraId="4A3794F0">
      <w:pPr>
        <w:pStyle w:val="18"/>
        <w:adjustRightInd w:val="0"/>
        <w:snapToGrid w:val="0"/>
        <w:spacing w:line="460" w:lineRule="exact"/>
        <w:rPr>
          <w:rFonts w:hint="eastAsia" w:ascii="宋体" w:hAnsi="宋体" w:eastAsia="宋体" w:cs="宋体"/>
          <w:color w:val="auto"/>
          <w:kern w:val="0"/>
          <w:sz w:val="28"/>
          <w:szCs w:val="28"/>
          <w:highlight w:val="none"/>
        </w:rPr>
      </w:pPr>
    </w:p>
    <w:p w14:paraId="51599793">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投标供应商名称（电子签章）：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7518BAD1">
      <w:pPr>
        <w:pStyle w:val="18"/>
        <w:adjustRightInd w:val="0"/>
        <w:snapToGrid w:val="0"/>
        <w:spacing w:line="460" w:lineRule="exac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法定代表人或其授权代表（签字或盖章）：</w:t>
      </w:r>
      <w:r>
        <w:rPr>
          <w:rFonts w:hint="eastAsia" w:ascii="宋体" w:hAnsi="宋体" w:eastAsia="宋体" w:cs="宋体"/>
          <w:color w:val="auto"/>
          <w:kern w:val="0"/>
          <w:sz w:val="28"/>
          <w:szCs w:val="28"/>
          <w:highlight w:val="none"/>
          <w:u w:val="single"/>
        </w:rPr>
        <w:t xml:space="preserve">              </w:t>
      </w:r>
    </w:p>
    <w:p w14:paraId="50C3CAA7">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日期：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024243B6">
      <w:pPr>
        <w:pStyle w:val="18"/>
        <w:snapToGrid w:val="0"/>
        <w:spacing w:line="34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432C44D4">
      <w:pPr>
        <w:pStyle w:val="5"/>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2.5.3、投标供应商现有人员情况及证明材料 </w:t>
      </w:r>
    </w:p>
    <w:p w14:paraId="4FEED708">
      <w:pPr>
        <w:pStyle w:val="18"/>
        <w:adjustRightInd w:val="0"/>
        <w:snapToGrid w:val="0"/>
        <w:spacing w:before="156" w:beforeLines="50" w:after="156" w:afterLines="50" w:line="276"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投标供应商项目组人员情况及证明材料</w:t>
      </w: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1369"/>
        <w:gridCol w:w="830"/>
        <w:gridCol w:w="2101"/>
        <w:gridCol w:w="1434"/>
        <w:gridCol w:w="1394"/>
        <w:gridCol w:w="1276"/>
      </w:tblGrid>
      <w:tr w14:paraId="4E7EC2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918" w:type="dxa"/>
            <w:vAlign w:val="center"/>
          </w:tcPr>
          <w:p w14:paraId="18BC2A4C">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369" w:type="dxa"/>
            <w:vAlign w:val="center"/>
          </w:tcPr>
          <w:p w14:paraId="05AF57AA">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830" w:type="dxa"/>
            <w:vAlign w:val="center"/>
          </w:tcPr>
          <w:p w14:paraId="32C2D51F">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101" w:type="dxa"/>
            <w:vAlign w:val="center"/>
          </w:tcPr>
          <w:p w14:paraId="7776E139">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身份证号</w:t>
            </w:r>
          </w:p>
        </w:tc>
        <w:tc>
          <w:tcPr>
            <w:tcW w:w="1434" w:type="dxa"/>
            <w:vAlign w:val="center"/>
          </w:tcPr>
          <w:p w14:paraId="26AB352E">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出生年月</w:t>
            </w:r>
          </w:p>
        </w:tc>
        <w:tc>
          <w:tcPr>
            <w:tcW w:w="1394" w:type="dxa"/>
            <w:vAlign w:val="center"/>
          </w:tcPr>
          <w:p w14:paraId="1123E7BA">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本单位社保缴纳起始时间</w:t>
            </w:r>
          </w:p>
        </w:tc>
        <w:tc>
          <w:tcPr>
            <w:tcW w:w="1276" w:type="dxa"/>
            <w:vAlign w:val="center"/>
          </w:tcPr>
          <w:p w14:paraId="297D7F06">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本项目担任岗位</w:t>
            </w:r>
          </w:p>
        </w:tc>
      </w:tr>
      <w:tr w14:paraId="2D4FA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6FF2C0DF">
            <w:pPr>
              <w:autoSpaceDE w:val="0"/>
              <w:autoSpaceDN w:val="0"/>
              <w:adjustRightInd w:val="0"/>
              <w:jc w:val="center"/>
              <w:rPr>
                <w:rFonts w:hint="eastAsia" w:ascii="宋体" w:hAnsi="宋体" w:eastAsia="宋体" w:cs="宋体"/>
                <w:color w:val="auto"/>
                <w:kern w:val="0"/>
                <w:sz w:val="24"/>
                <w:highlight w:val="none"/>
              </w:rPr>
            </w:pPr>
          </w:p>
        </w:tc>
        <w:tc>
          <w:tcPr>
            <w:tcW w:w="1369" w:type="dxa"/>
            <w:vAlign w:val="center"/>
          </w:tcPr>
          <w:p w14:paraId="4EDE2478">
            <w:pPr>
              <w:autoSpaceDE w:val="0"/>
              <w:autoSpaceDN w:val="0"/>
              <w:adjustRightInd w:val="0"/>
              <w:jc w:val="center"/>
              <w:rPr>
                <w:rFonts w:hint="eastAsia" w:ascii="宋体" w:hAnsi="宋体" w:eastAsia="宋体" w:cs="宋体"/>
                <w:color w:val="auto"/>
                <w:kern w:val="0"/>
                <w:sz w:val="24"/>
                <w:highlight w:val="none"/>
              </w:rPr>
            </w:pPr>
          </w:p>
        </w:tc>
        <w:tc>
          <w:tcPr>
            <w:tcW w:w="830" w:type="dxa"/>
            <w:vAlign w:val="center"/>
          </w:tcPr>
          <w:p w14:paraId="3B29FA5E">
            <w:pPr>
              <w:autoSpaceDE w:val="0"/>
              <w:autoSpaceDN w:val="0"/>
              <w:adjustRightInd w:val="0"/>
              <w:jc w:val="center"/>
              <w:rPr>
                <w:rFonts w:hint="eastAsia" w:ascii="宋体" w:hAnsi="宋体" w:eastAsia="宋体" w:cs="宋体"/>
                <w:color w:val="auto"/>
                <w:kern w:val="0"/>
                <w:sz w:val="24"/>
                <w:highlight w:val="none"/>
              </w:rPr>
            </w:pPr>
          </w:p>
        </w:tc>
        <w:tc>
          <w:tcPr>
            <w:tcW w:w="2101" w:type="dxa"/>
            <w:vAlign w:val="center"/>
          </w:tcPr>
          <w:p w14:paraId="5476BBC4">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6A0E4350">
            <w:pPr>
              <w:autoSpaceDE w:val="0"/>
              <w:autoSpaceDN w:val="0"/>
              <w:adjustRightInd w:val="0"/>
              <w:jc w:val="center"/>
              <w:rPr>
                <w:rFonts w:hint="eastAsia" w:ascii="宋体" w:hAnsi="宋体" w:eastAsia="宋体" w:cs="宋体"/>
                <w:color w:val="auto"/>
                <w:kern w:val="0"/>
                <w:sz w:val="24"/>
                <w:highlight w:val="none"/>
              </w:rPr>
            </w:pPr>
          </w:p>
        </w:tc>
        <w:tc>
          <w:tcPr>
            <w:tcW w:w="1394" w:type="dxa"/>
            <w:vAlign w:val="center"/>
          </w:tcPr>
          <w:p w14:paraId="40395098">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71D5ACB6">
            <w:pPr>
              <w:autoSpaceDE w:val="0"/>
              <w:autoSpaceDN w:val="0"/>
              <w:adjustRightInd w:val="0"/>
              <w:jc w:val="center"/>
              <w:rPr>
                <w:rFonts w:hint="eastAsia" w:ascii="宋体" w:hAnsi="宋体" w:eastAsia="宋体" w:cs="宋体"/>
                <w:color w:val="auto"/>
                <w:kern w:val="0"/>
                <w:sz w:val="24"/>
                <w:highlight w:val="none"/>
              </w:rPr>
            </w:pPr>
          </w:p>
        </w:tc>
      </w:tr>
      <w:tr w14:paraId="30F8A7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6391A6FE">
            <w:pPr>
              <w:autoSpaceDE w:val="0"/>
              <w:autoSpaceDN w:val="0"/>
              <w:adjustRightInd w:val="0"/>
              <w:jc w:val="center"/>
              <w:rPr>
                <w:rFonts w:hint="eastAsia" w:ascii="宋体" w:hAnsi="宋体" w:eastAsia="宋体" w:cs="宋体"/>
                <w:color w:val="auto"/>
                <w:kern w:val="0"/>
                <w:sz w:val="24"/>
                <w:highlight w:val="none"/>
              </w:rPr>
            </w:pPr>
          </w:p>
        </w:tc>
        <w:tc>
          <w:tcPr>
            <w:tcW w:w="1369" w:type="dxa"/>
            <w:vAlign w:val="center"/>
          </w:tcPr>
          <w:p w14:paraId="65C03D21">
            <w:pPr>
              <w:autoSpaceDE w:val="0"/>
              <w:autoSpaceDN w:val="0"/>
              <w:adjustRightInd w:val="0"/>
              <w:jc w:val="center"/>
              <w:rPr>
                <w:rFonts w:hint="eastAsia" w:ascii="宋体" w:hAnsi="宋体" w:eastAsia="宋体" w:cs="宋体"/>
                <w:color w:val="auto"/>
                <w:kern w:val="0"/>
                <w:sz w:val="24"/>
                <w:highlight w:val="none"/>
              </w:rPr>
            </w:pPr>
          </w:p>
        </w:tc>
        <w:tc>
          <w:tcPr>
            <w:tcW w:w="830" w:type="dxa"/>
            <w:vAlign w:val="center"/>
          </w:tcPr>
          <w:p w14:paraId="1AF6198B">
            <w:pPr>
              <w:autoSpaceDE w:val="0"/>
              <w:autoSpaceDN w:val="0"/>
              <w:adjustRightInd w:val="0"/>
              <w:jc w:val="center"/>
              <w:rPr>
                <w:rFonts w:hint="eastAsia" w:ascii="宋体" w:hAnsi="宋体" w:eastAsia="宋体" w:cs="宋体"/>
                <w:color w:val="auto"/>
                <w:kern w:val="0"/>
                <w:sz w:val="24"/>
                <w:highlight w:val="none"/>
              </w:rPr>
            </w:pPr>
          </w:p>
        </w:tc>
        <w:tc>
          <w:tcPr>
            <w:tcW w:w="2101" w:type="dxa"/>
            <w:vAlign w:val="center"/>
          </w:tcPr>
          <w:p w14:paraId="6E3EBB51">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77A4F9C0">
            <w:pPr>
              <w:autoSpaceDE w:val="0"/>
              <w:autoSpaceDN w:val="0"/>
              <w:adjustRightInd w:val="0"/>
              <w:jc w:val="center"/>
              <w:rPr>
                <w:rFonts w:hint="eastAsia" w:ascii="宋体" w:hAnsi="宋体" w:eastAsia="宋体" w:cs="宋体"/>
                <w:color w:val="auto"/>
                <w:kern w:val="0"/>
                <w:sz w:val="24"/>
                <w:highlight w:val="none"/>
              </w:rPr>
            </w:pPr>
          </w:p>
        </w:tc>
        <w:tc>
          <w:tcPr>
            <w:tcW w:w="1394" w:type="dxa"/>
            <w:vAlign w:val="center"/>
          </w:tcPr>
          <w:p w14:paraId="0F0E272D">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2D019688">
            <w:pPr>
              <w:autoSpaceDE w:val="0"/>
              <w:autoSpaceDN w:val="0"/>
              <w:adjustRightInd w:val="0"/>
              <w:jc w:val="center"/>
              <w:rPr>
                <w:rFonts w:hint="eastAsia" w:ascii="宋体" w:hAnsi="宋体" w:eastAsia="宋体" w:cs="宋体"/>
                <w:color w:val="auto"/>
                <w:kern w:val="0"/>
                <w:sz w:val="24"/>
                <w:highlight w:val="none"/>
              </w:rPr>
            </w:pPr>
          </w:p>
        </w:tc>
      </w:tr>
      <w:tr w14:paraId="2F3717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4E32B6BA">
            <w:pPr>
              <w:autoSpaceDE w:val="0"/>
              <w:autoSpaceDN w:val="0"/>
              <w:adjustRightInd w:val="0"/>
              <w:jc w:val="center"/>
              <w:rPr>
                <w:rFonts w:hint="eastAsia" w:ascii="宋体" w:hAnsi="宋体" w:eastAsia="宋体" w:cs="宋体"/>
                <w:color w:val="auto"/>
                <w:kern w:val="0"/>
                <w:sz w:val="24"/>
                <w:highlight w:val="none"/>
              </w:rPr>
            </w:pPr>
          </w:p>
        </w:tc>
        <w:tc>
          <w:tcPr>
            <w:tcW w:w="1369" w:type="dxa"/>
            <w:vAlign w:val="center"/>
          </w:tcPr>
          <w:p w14:paraId="0A98D2B1">
            <w:pPr>
              <w:autoSpaceDE w:val="0"/>
              <w:autoSpaceDN w:val="0"/>
              <w:adjustRightInd w:val="0"/>
              <w:jc w:val="center"/>
              <w:rPr>
                <w:rFonts w:hint="eastAsia" w:ascii="宋体" w:hAnsi="宋体" w:eastAsia="宋体" w:cs="宋体"/>
                <w:color w:val="auto"/>
                <w:kern w:val="0"/>
                <w:sz w:val="24"/>
                <w:highlight w:val="none"/>
              </w:rPr>
            </w:pPr>
          </w:p>
        </w:tc>
        <w:tc>
          <w:tcPr>
            <w:tcW w:w="830" w:type="dxa"/>
            <w:vAlign w:val="center"/>
          </w:tcPr>
          <w:p w14:paraId="23D790F7">
            <w:pPr>
              <w:autoSpaceDE w:val="0"/>
              <w:autoSpaceDN w:val="0"/>
              <w:adjustRightInd w:val="0"/>
              <w:jc w:val="center"/>
              <w:rPr>
                <w:rFonts w:hint="eastAsia" w:ascii="宋体" w:hAnsi="宋体" w:eastAsia="宋体" w:cs="宋体"/>
                <w:color w:val="auto"/>
                <w:kern w:val="0"/>
                <w:sz w:val="24"/>
                <w:highlight w:val="none"/>
              </w:rPr>
            </w:pPr>
          </w:p>
        </w:tc>
        <w:tc>
          <w:tcPr>
            <w:tcW w:w="2101" w:type="dxa"/>
            <w:vAlign w:val="center"/>
          </w:tcPr>
          <w:p w14:paraId="1FE12435">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1B36BBE1">
            <w:pPr>
              <w:autoSpaceDE w:val="0"/>
              <w:autoSpaceDN w:val="0"/>
              <w:adjustRightInd w:val="0"/>
              <w:jc w:val="center"/>
              <w:rPr>
                <w:rFonts w:hint="eastAsia" w:ascii="宋体" w:hAnsi="宋体" w:eastAsia="宋体" w:cs="宋体"/>
                <w:color w:val="auto"/>
                <w:kern w:val="0"/>
                <w:sz w:val="24"/>
                <w:highlight w:val="none"/>
              </w:rPr>
            </w:pPr>
          </w:p>
        </w:tc>
        <w:tc>
          <w:tcPr>
            <w:tcW w:w="1394" w:type="dxa"/>
            <w:vAlign w:val="center"/>
          </w:tcPr>
          <w:p w14:paraId="1DD26A2D">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2C40061C">
            <w:pPr>
              <w:autoSpaceDE w:val="0"/>
              <w:autoSpaceDN w:val="0"/>
              <w:adjustRightInd w:val="0"/>
              <w:jc w:val="center"/>
              <w:rPr>
                <w:rFonts w:hint="eastAsia" w:ascii="宋体" w:hAnsi="宋体" w:eastAsia="宋体" w:cs="宋体"/>
                <w:color w:val="auto"/>
                <w:kern w:val="0"/>
                <w:sz w:val="24"/>
                <w:highlight w:val="none"/>
              </w:rPr>
            </w:pPr>
          </w:p>
        </w:tc>
      </w:tr>
      <w:tr w14:paraId="49862F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6F97B1DC">
            <w:pPr>
              <w:autoSpaceDE w:val="0"/>
              <w:autoSpaceDN w:val="0"/>
              <w:adjustRightInd w:val="0"/>
              <w:jc w:val="center"/>
              <w:rPr>
                <w:rFonts w:hint="eastAsia" w:ascii="宋体" w:hAnsi="宋体" w:eastAsia="宋体" w:cs="宋体"/>
                <w:color w:val="auto"/>
                <w:kern w:val="0"/>
                <w:sz w:val="24"/>
                <w:highlight w:val="none"/>
              </w:rPr>
            </w:pPr>
          </w:p>
        </w:tc>
        <w:tc>
          <w:tcPr>
            <w:tcW w:w="1369" w:type="dxa"/>
            <w:vAlign w:val="center"/>
          </w:tcPr>
          <w:p w14:paraId="298F4833">
            <w:pPr>
              <w:autoSpaceDE w:val="0"/>
              <w:autoSpaceDN w:val="0"/>
              <w:adjustRightInd w:val="0"/>
              <w:jc w:val="center"/>
              <w:rPr>
                <w:rFonts w:hint="eastAsia" w:ascii="宋体" w:hAnsi="宋体" w:eastAsia="宋体" w:cs="宋体"/>
                <w:color w:val="auto"/>
                <w:kern w:val="0"/>
                <w:sz w:val="24"/>
                <w:highlight w:val="none"/>
              </w:rPr>
            </w:pPr>
          </w:p>
        </w:tc>
        <w:tc>
          <w:tcPr>
            <w:tcW w:w="830" w:type="dxa"/>
            <w:vAlign w:val="center"/>
          </w:tcPr>
          <w:p w14:paraId="78D188FE">
            <w:pPr>
              <w:autoSpaceDE w:val="0"/>
              <w:autoSpaceDN w:val="0"/>
              <w:adjustRightInd w:val="0"/>
              <w:jc w:val="center"/>
              <w:rPr>
                <w:rFonts w:hint="eastAsia" w:ascii="宋体" w:hAnsi="宋体" w:eastAsia="宋体" w:cs="宋体"/>
                <w:color w:val="auto"/>
                <w:kern w:val="0"/>
                <w:sz w:val="24"/>
                <w:highlight w:val="none"/>
              </w:rPr>
            </w:pPr>
          </w:p>
        </w:tc>
        <w:tc>
          <w:tcPr>
            <w:tcW w:w="2101" w:type="dxa"/>
            <w:vAlign w:val="center"/>
          </w:tcPr>
          <w:p w14:paraId="19816885">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14936DB1">
            <w:pPr>
              <w:autoSpaceDE w:val="0"/>
              <w:autoSpaceDN w:val="0"/>
              <w:adjustRightInd w:val="0"/>
              <w:jc w:val="center"/>
              <w:rPr>
                <w:rFonts w:hint="eastAsia" w:ascii="宋体" w:hAnsi="宋体" w:eastAsia="宋体" w:cs="宋体"/>
                <w:color w:val="auto"/>
                <w:kern w:val="0"/>
                <w:sz w:val="24"/>
                <w:highlight w:val="none"/>
              </w:rPr>
            </w:pPr>
          </w:p>
        </w:tc>
        <w:tc>
          <w:tcPr>
            <w:tcW w:w="1394" w:type="dxa"/>
            <w:vAlign w:val="center"/>
          </w:tcPr>
          <w:p w14:paraId="76E3DBB1">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1E6FFE94">
            <w:pPr>
              <w:autoSpaceDE w:val="0"/>
              <w:autoSpaceDN w:val="0"/>
              <w:adjustRightInd w:val="0"/>
              <w:jc w:val="center"/>
              <w:rPr>
                <w:rFonts w:hint="eastAsia" w:ascii="宋体" w:hAnsi="宋体" w:eastAsia="宋体" w:cs="宋体"/>
                <w:color w:val="auto"/>
                <w:kern w:val="0"/>
                <w:sz w:val="24"/>
                <w:highlight w:val="none"/>
              </w:rPr>
            </w:pPr>
          </w:p>
        </w:tc>
      </w:tr>
      <w:tr w14:paraId="198AE8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3BCCF97D">
            <w:pPr>
              <w:autoSpaceDE w:val="0"/>
              <w:autoSpaceDN w:val="0"/>
              <w:adjustRightInd w:val="0"/>
              <w:jc w:val="center"/>
              <w:rPr>
                <w:rFonts w:hint="eastAsia" w:ascii="宋体" w:hAnsi="宋体" w:eastAsia="宋体" w:cs="宋体"/>
                <w:color w:val="auto"/>
                <w:kern w:val="0"/>
                <w:sz w:val="24"/>
                <w:highlight w:val="none"/>
              </w:rPr>
            </w:pPr>
          </w:p>
        </w:tc>
        <w:tc>
          <w:tcPr>
            <w:tcW w:w="1369" w:type="dxa"/>
            <w:vAlign w:val="center"/>
          </w:tcPr>
          <w:p w14:paraId="418BFAF7">
            <w:pPr>
              <w:autoSpaceDE w:val="0"/>
              <w:autoSpaceDN w:val="0"/>
              <w:adjustRightInd w:val="0"/>
              <w:jc w:val="center"/>
              <w:rPr>
                <w:rFonts w:hint="eastAsia" w:ascii="宋体" w:hAnsi="宋体" w:eastAsia="宋体" w:cs="宋体"/>
                <w:color w:val="auto"/>
                <w:kern w:val="0"/>
                <w:sz w:val="24"/>
                <w:highlight w:val="none"/>
              </w:rPr>
            </w:pPr>
          </w:p>
        </w:tc>
        <w:tc>
          <w:tcPr>
            <w:tcW w:w="830" w:type="dxa"/>
            <w:vAlign w:val="center"/>
          </w:tcPr>
          <w:p w14:paraId="3227A54E">
            <w:pPr>
              <w:autoSpaceDE w:val="0"/>
              <w:autoSpaceDN w:val="0"/>
              <w:adjustRightInd w:val="0"/>
              <w:jc w:val="center"/>
              <w:rPr>
                <w:rFonts w:hint="eastAsia" w:ascii="宋体" w:hAnsi="宋体" w:eastAsia="宋体" w:cs="宋体"/>
                <w:color w:val="auto"/>
                <w:kern w:val="0"/>
                <w:sz w:val="24"/>
                <w:highlight w:val="none"/>
              </w:rPr>
            </w:pPr>
          </w:p>
        </w:tc>
        <w:tc>
          <w:tcPr>
            <w:tcW w:w="2101" w:type="dxa"/>
            <w:vAlign w:val="center"/>
          </w:tcPr>
          <w:p w14:paraId="35FD776E">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57DB857C">
            <w:pPr>
              <w:autoSpaceDE w:val="0"/>
              <w:autoSpaceDN w:val="0"/>
              <w:adjustRightInd w:val="0"/>
              <w:jc w:val="center"/>
              <w:rPr>
                <w:rFonts w:hint="eastAsia" w:ascii="宋体" w:hAnsi="宋体" w:eastAsia="宋体" w:cs="宋体"/>
                <w:color w:val="auto"/>
                <w:kern w:val="0"/>
                <w:sz w:val="24"/>
                <w:highlight w:val="none"/>
              </w:rPr>
            </w:pPr>
          </w:p>
        </w:tc>
        <w:tc>
          <w:tcPr>
            <w:tcW w:w="1394" w:type="dxa"/>
            <w:vAlign w:val="center"/>
          </w:tcPr>
          <w:p w14:paraId="1B9CCDAD">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698B2157">
            <w:pPr>
              <w:autoSpaceDE w:val="0"/>
              <w:autoSpaceDN w:val="0"/>
              <w:adjustRightInd w:val="0"/>
              <w:jc w:val="center"/>
              <w:rPr>
                <w:rFonts w:hint="eastAsia" w:ascii="宋体" w:hAnsi="宋体" w:eastAsia="宋体" w:cs="宋体"/>
                <w:color w:val="auto"/>
                <w:kern w:val="0"/>
                <w:sz w:val="24"/>
                <w:highlight w:val="none"/>
              </w:rPr>
            </w:pPr>
          </w:p>
        </w:tc>
      </w:tr>
      <w:tr w14:paraId="50E328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118F859">
            <w:pPr>
              <w:autoSpaceDE w:val="0"/>
              <w:autoSpaceDN w:val="0"/>
              <w:adjustRightInd w:val="0"/>
              <w:jc w:val="center"/>
              <w:rPr>
                <w:rFonts w:hint="eastAsia" w:ascii="宋体" w:hAnsi="宋体" w:eastAsia="宋体" w:cs="宋体"/>
                <w:color w:val="auto"/>
                <w:kern w:val="0"/>
                <w:sz w:val="24"/>
                <w:highlight w:val="none"/>
              </w:rPr>
            </w:pPr>
          </w:p>
        </w:tc>
        <w:tc>
          <w:tcPr>
            <w:tcW w:w="1369" w:type="dxa"/>
            <w:vAlign w:val="center"/>
          </w:tcPr>
          <w:p w14:paraId="35FC17EB">
            <w:pPr>
              <w:autoSpaceDE w:val="0"/>
              <w:autoSpaceDN w:val="0"/>
              <w:adjustRightInd w:val="0"/>
              <w:jc w:val="center"/>
              <w:rPr>
                <w:rFonts w:hint="eastAsia" w:ascii="宋体" w:hAnsi="宋体" w:eastAsia="宋体" w:cs="宋体"/>
                <w:color w:val="auto"/>
                <w:kern w:val="0"/>
                <w:sz w:val="24"/>
                <w:highlight w:val="none"/>
              </w:rPr>
            </w:pPr>
          </w:p>
        </w:tc>
        <w:tc>
          <w:tcPr>
            <w:tcW w:w="830" w:type="dxa"/>
            <w:vAlign w:val="center"/>
          </w:tcPr>
          <w:p w14:paraId="232E64F2">
            <w:pPr>
              <w:autoSpaceDE w:val="0"/>
              <w:autoSpaceDN w:val="0"/>
              <w:adjustRightInd w:val="0"/>
              <w:jc w:val="center"/>
              <w:rPr>
                <w:rFonts w:hint="eastAsia" w:ascii="宋体" w:hAnsi="宋体" w:eastAsia="宋体" w:cs="宋体"/>
                <w:color w:val="auto"/>
                <w:kern w:val="0"/>
                <w:sz w:val="24"/>
                <w:highlight w:val="none"/>
              </w:rPr>
            </w:pPr>
          </w:p>
        </w:tc>
        <w:tc>
          <w:tcPr>
            <w:tcW w:w="2101" w:type="dxa"/>
            <w:vAlign w:val="center"/>
          </w:tcPr>
          <w:p w14:paraId="45E35D4C">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3E7F0E17">
            <w:pPr>
              <w:autoSpaceDE w:val="0"/>
              <w:autoSpaceDN w:val="0"/>
              <w:adjustRightInd w:val="0"/>
              <w:jc w:val="center"/>
              <w:rPr>
                <w:rFonts w:hint="eastAsia" w:ascii="宋体" w:hAnsi="宋体" w:eastAsia="宋体" w:cs="宋体"/>
                <w:color w:val="auto"/>
                <w:kern w:val="0"/>
                <w:sz w:val="24"/>
                <w:highlight w:val="none"/>
              </w:rPr>
            </w:pPr>
          </w:p>
        </w:tc>
        <w:tc>
          <w:tcPr>
            <w:tcW w:w="1394" w:type="dxa"/>
            <w:vAlign w:val="center"/>
          </w:tcPr>
          <w:p w14:paraId="2B4C6E42">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2E2EB504">
            <w:pPr>
              <w:autoSpaceDE w:val="0"/>
              <w:autoSpaceDN w:val="0"/>
              <w:adjustRightInd w:val="0"/>
              <w:jc w:val="center"/>
              <w:rPr>
                <w:rFonts w:hint="eastAsia" w:ascii="宋体" w:hAnsi="宋体" w:eastAsia="宋体" w:cs="宋体"/>
                <w:color w:val="auto"/>
                <w:kern w:val="0"/>
                <w:sz w:val="24"/>
                <w:highlight w:val="none"/>
              </w:rPr>
            </w:pPr>
          </w:p>
        </w:tc>
      </w:tr>
      <w:tr w14:paraId="59C8D8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3596A739">
            <w:pPr>
              <w:autoSpaceDE w:val="0"/>
              <w:autoSpaceDN w:val="0"/>
              <w:adjustRightInd w:val="0"/>
              <w:jc w:val="center"/>
              <w:rPr>
                <w:rFonts w:hint="eastAsia" w:ascii="宋体" w:hAnsi="宋体" w:eastAsia="宋体" w:cs="宋体"/>
                <w:color w:val="auto"/>
                <w:kern w:val="0"/>
                <w:sz w:val="24"/>
                <w:highlight w:val="none"/>
              </w:rPr>
            </w:pPr>
          </w:p>
        </w:tc>
        <w:tc>
          <w:tcPr>
            <w:tcW w:w="1369" w:type="dxa"/>
            <w:vAlign w:val="center"/>
          </w:tcPr>
          <w:p w14:paraId="6F9A09ED">
            <w:pPr>
              <w:autoSpaceDE w:val="0"/>
              <w:autoSpaceDN w:val="0"/>
              <w:adjustRightInd w:val="0"/>
              <w:jc w:val="center"/>
              <w:rPr>
                <w:rFonts w:hint="eastAsia" w:ascii="宋体" w:hAnsi="宋体" w:eastAsia="宋体" w:cs="宋体"/>
                <w:color w:val="auto"/>
                <w:kern w:val="0"/>
                <w:sz w:val="24"/>
                <w:highlight w:val="none"/>
              </w:rPr>
            </w:pPr>
          </w:p>
        </w:tc>
        <w:tc>
          <w:tcPr>
            <w:tcW w:w="830" w:type="dxa"/>
            <w:vAlign w:val="center"/>
          </w:tcPr>
          <w:p w14:paraId="037BA93C">
            <w:pPr>
              <w:autoSpaceDE w:val="0"/>
              <w:autoSpaceDN w:val="0"/>
              <w:adjustRightInd w:val="0"/>
              <w:jc w:val="center"/>
              <w:rPr>
                <w:rFonts w:hint="eastAsia" w:ascii="宋体" w:hAnsi="宋体" w:eastAsia="宋体" w:cs="宋体"/>
                <w:color w:val="auto"/>
                <w:kern w:val="0"/>
                <w:sz w:val="24"/>
                <w:highlight w:val="none"/>
              </w:rPr>
            </w:pPr>
          </w:p>
        </w:tc>
        <w:tc>
          <w:tcPr>
            <w:tcW w:w="2101" w:type="dxa"/>
            <w:vAlign w:val="center"/>
          </w:tcPr>
          <w:p w14:paraId="3A181812">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496049FF">
            <w:pPr>
              <w:autoSpaceDE w:val="0"/>
              <w:autoSpaceDN w:val="0"/>
              <w:adjustRightInd w:val="0"/>
              <w:jc w:val="center"/>
              <w:rPr>
                <w:rFonts w:hint="eastAsia" w:ascii="宋体" w:hAnsi="宋体" w:eastAsia="宋体" w:cs="宋体"/>
                <w:color w:val="auto"/>
                <w:kern w:val="0"/>
                <w:sz w:val="24"/>
                <w:highlight w:val="none"/>
              </w:rPr>
            </w:pPr>
          </w:p>
        </w:tc>
        <w:tc>
          <w:tcPr>
            <w:tcW w:w="1394" w:type="dxa"/>
            <w:vAlign w:val="center"/>
          </w:tcPr>
          <w:p w14:paraId="0E03A537">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3CE5DFD6">
            <w:pPr>
              <w:autoSpaceDE w:val="0"/>
              <w:autoSpaceDN w:val="0"/>
              <w:adjustRightInd w:val="0"/>
              <w:jc w:val="center"/>
              <w:rPr>
                <w:rFonts w:hint="eastAsia" w:ascii="宋体" w:hAnsi="宋体" w:eastAsia="宋体" w:cs="宋体"/>
                <w:color w:val="auto"/>
                <w:kern w:val="0"/>
                <w:sz w:val="24"/>
                <w:highlight w:val="none"/>
              </w:rPr>
            </w:pPr>
          </w:p>
        </w:tc>
      </w:tr>
      <w:tr w14:paraId="24DF7B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92E4191">
            <w:pPr>
              <w:autoSpaceDE w:val="0"/>
              <w:autoSpaceDN w:val="0"/>
              <w:adjustRightInd w:val="0"/>
              <w:jc w:val="center"/>
              <w:rPr>
                <w:rFonts w:hint="eastAsia" w:ascii="宋体" w:hAnsi="宋体" w:eastAsia="宋体" w:cs="宋体"/>
                <w:color w:val="auto"/>
                <w:kern w:val="0"/>
                <w:sz w:val="24"/>
                <w:highlight w:val="none"/>
              </w:rPr>
            </w:pPr>
          </w:p>
        </w:tc>
        <w:tc>
          <w:tcPr>
            <w:tcW w:w="1369" w:type="dxa"/>
            <w:vAlign w:val="center"/>
          </w:tcPr>
          <w:p w14:paraId="4E9618CA">
            <w:pPr>
              <w:autoSpaceDE w:val="0"/>
              <w:autoSpaceDN w:val="0"/>
              <w:adjustRightInd w:val="0"/>
              <w:jc w:val="center"/>
              <w:rPr>
                <w:rFonts w:hint="eastAsia" w:ascii="宋体" w:hAnsi="宋体" w:eastAsia="宋体" w:cs="宋体"/>
                <w:color w:val="auto"/>
                <w:kern w:val="0"/>
                <w:sz w:val="24"/>
                <w:highlight w:val="none"/>
              </w:rPr>
            </w:pPr>
          </w:p>
        </w:tc>
        <w:tc>
          <w:tcPr>
            <w:tcW w:w="830" w:type="dxa"/>
            <w:vAlign w:val="center"/>
          </w:tcPr>
          <w:p w14:paraId="6F41D14D">
            <w:pPr>
              <w:autoSpaceDE w:val="0"/>
              <w:autoSpaceDN w:val="0"/>
              <w:adjustRightInd w:val="0"/>
              <w:jc w:val="center"/>
              <w:rPr>
                <w:rFonts w:hint="eastAsia" w:ascii="宋体" w:hAnsi="宋体" w:eastAsia="宋体" w:cs="宋体"/>
                <w:color w:val="auto"/>
                <w:kern w:val="0"/>
                <w:sz w:val="24"/>
                <w:highlight w:val="none"/>
              </w:rPr>
            </w:pPr>
          </w:p>
        </w:tc>
        <w:tc>
          <w:tcPr>
            <w:tcW w:w="2101" w:type="dxa"/>
            <w:vAlign w:val="center"/>
          </w:tcPr>
          <w:p w14:paraId="4B076198">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7537F056">
            <w:pPr>
              <w:autoSpaceDE w:val="0"/>
              <w:autoSpaceDN w:val="0"/>
              <w:adjustRightInd w:val="0"/>
              <w:jc w:val="center"/>
              <w:rPr>
                <w:rFonts w:hint="eastAsia" w:ascii="宋体" w:hAnsi="宋体" w:eastAsia="宋体" w:cs="宋体"/>
                <w:color w:val="auto"/>
                <w:kern w:val="0"/>
                <w:sz w:val="24"/>
                <w:highlight w:val="none"/>
              </w:rPr>
            </w:pPr>
          </w:p>
        </w:tc>
        <w:tc>
          <w:tcPr>
            <w:tcW w:w="1394" w:type="dxa"/>
            <w:vAlign w:val="center"/>
          </w:tcPr>
          <w:p w14:paraId="7E0C1790">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30F0E720">
            <w:pPr>
              <w:autoSpaceDE w:val="0"/>
              <w:autoSpaceDN w:val="0"/>
              <w:adjustRightInd w:val="0"/>
              <w:jc w:val="center"/>
              <w:rPr>
                <w:rFonts w:hint="eastAsia" w:ascii="宋体" w:hAnsi="宋体" w:eastAsia="宋体" w:cs="宋体"/>
                <w:color w:val="auto"/>
                <w:kern w:val="0"/>
                <w:sz w:val="24"/>
                <w:highlight w:val="none"/>
              </w:rPr>
            </w:pPr>
          </w:p>
        </w:tc>
      </w:tr>
    </w:tbl>
    <w:p w14:paraId="2C859BA2">
      <w:pPr>
        <w:autoSpaceDE w:val="0"/>
        <w:autoSpaceDN w:val="0"/>
        <w:adjustRightInd w:val="0"/>
        <w:jc w:val="left"/>
        <w:rPr>
          <w:rFonts w:hint="eastAsia" w:ascii="宋体" w:hAnsi="宋体" w:eastAsia="宋体" w:cs="宋体"/>
          <w:color w:val="auto"/>
          <w:kern w:val="0"/>
          <w:sz w:val="24"/>
          <w:highlight w:val="none"/>
        </w:rPr>
      </w:pPr>
    </w:p>
    <w:p w14:paraId="1CB05C5D">
      <w:pPr>
        <w:autoSpaceDE w:val="0"/>
        <w:autoSpaceDN w:val="0"/>
        <w:adjustRightInd w:val="0"/>
        <w:spacing w:line="460" w:lineRule="exact"/>
        <w:ind w:firstLine="241" w:firstLineChars="1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备注：后附证明材料，详见第六部分  评审办法。 </w:t>
      </w:r>
    </w:p>
    <w:p w14:paraId="34D40C57">
      <w:pPr>
        <w:autoSpaceDE w:val="0"/>
        <w:autoSpaceDN w:val="0"/>
        <w:adjustRightInd w:val="0"/>
        <w:jc w:val="left"/>
        <w:rPr>
          <w:rFonts w:hint="eastAsia" w:ascii="宋体" w:hAnsi="宋体" w:eastAsia="宋体" w:cs="宋体"/>
          <w:color w:val="auto"/>
          <w:kern w:val="0"/>
          <w:sz w:val="24"/>
          <w:highlight w:val="none"/>
        </w:rPr>
      </w:pPr>
    </w:p>
    <w:p w14:paraId="45EA340E">
      <w:pPr>
        <w:pStyle w:val="18"/>
        <w:adjustRightInd w:val="0"/>
        <w:snapToGrid w:val="0"/>
        <w:spacing w:line="460" w:lineRule="exact"/>
        <w:rPr>
          <w:rFonts w:hint="eastAsia" w:ascii="宋体" w:hAnsi="宋体" w:eastAsia="宋体" w:cs="宋体"/>
          <w:color w:val="auto"/>
          <w:kern w:val="0"/>
          <w:sz w:val="28"/>
          <w:szCs w:val="28"/>
          <w:highlight w:val="none"/>
        </w:rPr>
      </w:pPr>
    </w:p>
    <w:p w14:paraId="44DBDDBE">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投标供应商名称（电子签章）：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41D6A800">
      <w:pPr>
        <w:pStyle w:val="18"/>
        <w:adjustRightInd w:val="0"/>
        <w:snapToGrid w:val="0"/>
        <w:spacing w:line="460" w:lineRule="exac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法定代表人或其授权代表（签字或盖章）：</w:t>
      </w:r>
      <w:r>
        <w:rPr>
          <w:rFonts w:hint="eastAsia" w:ascii="宋体" w:hAnsi="宋体" w:eastAsia="宋体" w:cs="宋体"/>
          <w:color w:val="auto"/>
          <w:kern w:val="0"/>
          <w:sz w:val="28"/>
          <w:szCs w:val="28"/>
          <w:highlight w:val="none"/>
          <w:u w:val="single"/>
        </w:rPr>
        <w:t xml:space="preserve">              </w:t>
      </w:r>
    </w:p>
    <w:p w14:paraId="62F7EA01">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日期：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5BD918AE">
      <w:pPr>
        <w:autoSpaceDE w:val="0"/>
        <w:autoSpaceDN w:val="0"/>
        <w:adjustRightInd w:val="0"/>
        <w:jc w:val="left"/>
        <w:rPr>
          <w:rFonts w:hint="eastAsia" w:ascii="宋体" w:hAnsi="宋体" w:eastAsia="宋体" w:cs="宋体"/>
          <w:color w:val="auto"/>
          <w:kern w:val="0"/>
          <w:sz w:val="24"/>
          <w:highlight w:val="none"/>
        </w:rPr>
      </w:pPr>
    </w:p>
    <w:p w14:paraId="3294AFC4">
      <w:pPr>
        <w:autoSpaceDE w:val="0"/>
        <w:autoSpaceDN w:val="0"/>
        <w:adjustRightInd w:val="0"/>
        <w:jc w:val="left"/>
        <w:rPr>
          <w:rFonts w:hint="eastAsia" w:ascii="宋体" w:hAnsi="宋体" w:eastAsia="宋体" w:cs="宋体"/>
          <w:color w:val="auto"/>
          <w:kern w:val="0"/>
          <w:sz w:val="24"/>
          <w:highlight w:val="none"/>
        </w:rPr>
      </w:pPr>
    </w:p>
    <w:p w14:paraId="0D27C2E8">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0B42E671">
      <w:pPr>
        <w:pStyle w:val="28"/>
        <w:rPr>
          <w:rFonts w:hint="eastAsia"/>
          <w:color w:val="auto"/>
          <w:highlight w:val="none"/>
        </w:rPr>
      </w:pPr>
    </w:p>
    <w:p w14:paraId="496CE372">
      <w:pPr>
        <w:pStyle w:val="5"/>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2.5.4、投标供应商现有车辆、船只等设备清单及证明材料 </w:t>
      </w:r>
    </w:p>
    <w:p w14:paraId="715E69D9">
      <w:pPr>
        <w:pStyle w:val="18"/>
        <w:adjustRightInd w:val="0"/>
        <w:snapToGrid w:val="0"/>
        <w:spacing w:before="156" w:beforeLines="50" w:after="156" w:afterLines="50" w:line="276"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投标供应商现有车辆、船只等设备清单及证明材料</w:t>
      </w:r>
    </w:p>
    <w:p w14:paraId="44DF2642">
      <w:pPr>
        <w:autoSpaceDE w:val="0"/>
        <w:autoSpaceDN w:val="0"/>
        <w:adjustRightInd w:val="0"/>
        <w:jc w:val="left"/>
        <w:rPr>
          <w:rFonts w:hint="eastAsia" w:ascii="宋体" w:hAnsi="宋体" w:eastAsia="宋体" w:cs="宋体"/>
          <w:color w:val="auto"/>
          <w:kern w:val="0"/>
          <w:sz w:val="24"/>
          <w:highlight w:val="none"/>
        </w:rPr>
      </w:pP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1600"/>
        <w:gridCol w:w="1559"/>
        <w:gridCol w:w="1141"/>
        <w:gridCol w:w="1434"/>
        <w:gridCol w:w="1253"/>
        <w:gridCol w:w="1275"/>
      </w:tblGrid>
      <w:tr w14:paraId="5F005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918" w:type="dxa"/>
            <w:vAlign w:val="center"/>
          </w:tcPr>
          <w:p w14:paraId="3FCB8718">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600" w:type="dxa"/>
            <w:vAlign w:val="center"/>
          </w:tcPr>
          <w:p w14:paraId="7E0A8ABE">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设备名称</w:t>
            </w:r>
          </w:p>
        </w:tc>
        <w:tc>
          <w:tcPr>
            <w:tcW w:w="1559" w:type="dxa"/>
            <w:vAlign w:val="center"/>
          </w:tcPr>
          <w:p w14:paraId="757991DB">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主要规格</w:t>
            </w:r>
          </w:p>
        </w:tc>
        <w:tc>
          <w:tcPr>
            <w:tcW w:w="1141" w:type="dxa"/>
            <w:vAlign w:val="center"/>
          </w:tcPr>
          <w:p w14:paraId="53DD820F">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434" w:type="dxa"/>
            <w:vAlign w:val="center"/>
          </w:tcPr>
          <w:p w14:paraId="73D34AE5">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品牌</w:t>
            </w:r>
          </w:p>
        </w:tc>
        <w:tc>
          <w:tcPr>
            <w:tcW w:w="1253" w:type="dxa"/>
            <w:vAlign w:val="center"/>
          </w:tcPr>
          <w:p w14:paraId="0BED1E0B">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来源</w:t>
            </w:r>
          </w:p>
        </w:tc>
        <w:tc>
          <w:tcPr>
            <w:tcW w:w="1275" w:type="dxa"/>
            <w:vAlign w:val="center"/>
          </w:tcPr>
          <w:p w14:paraId="22A64060">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其他说明</w:t>
            </w:r>
          </w:p>
        </w:tc>
      </w:tr>
      <w:tr w14:paraId="433BC0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2ACCAE91">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0951C366">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20C1E7EA">
            <w:pPr>
              <w:autoSpaceDE w:val="0"/>
              <w:autoSpaceDN w:val="0"/>
              <w:adjustRightInd w:val="0"/>
              <w:jc w:val="center"/>
              <w:rPr>
                <w:rFonts w:hint="eastAsia" w:ascii="宋体" w:hAnsi="宋体" w:eastAsia="宋体" w:cs="宋体"/>
                <w:color w:val="auto"/>
                <w:kern w:val="0"/>
                <w:sz w:val="24"/>
                <w:highlight w:val="none"/>
              </w:rPr>
            </w:pPr>
          </w:p>
        </w:tc>
        <w:tc>
          <w:tcPr>
            <w:tcW w:w="1141" w:type="dxa"/>
            <w:vAlign w:val="center"/>
          </w:tcPr>
          <w:p w14:paraId="49EAB6E7">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4C778CEA">
            <w:pPr>
              <w:autoSpaceDE w:val="0"/>
              <w:autoSpaceDN w:val="0"/>
              <w:adjustRightInd w:val="0"/>
              <w:jc w:val="center"/>
              <w:rPr>
                <w:rFonts w:hint="eastAsia" w:ascii="宋体" w:hAnsi="宋体" w:eastAsia="宋体" w:cs="宋体"/>
                <w:color w:val="auto"/>
                <w:kern w:val="0"/>
                <w:sz w:val="24"/>
                <w:highlight w:val="none"/>
              </w:rPr>
            </w:pPr>
          </w:p>
        </w:tc>
        <w:tc>
          <w:tcPr>
            <w:tcW w:w="1253" w:type="dxa"/>
            <w:vAlign w:val="center"/>
          </w:tcPr>
          <w:p w14:paraId="2165D469">
            <w:pPr>
              <w:autoSpaceDE w:val="0"/>
              <w:autoSpaceDN w:val="0"/>
              <w:adjustRightInd w:val="0"/>
              <w:jc w:val="center"/>
              <w:rPr>
                <w:rFonts w:hint="eastAsia" w:ascii="宋体" w:hAnsi="宋体" w:eastAsia="宋体" w:cs="宋体"/>
                <w:color w:val="auto"/>
                <w:kern w:val="0"/>
                <w:sz w:val="24"/>
                <w:highlight w:val="none"/>
              </w:rPr>
            </w:pPr>
          </w:p>
        </w:tc>
        <w:tc>
          <w:tcPr>
            <w:tcW w:w="1275" w:type="dxa"/>
            <w:vAlign w:val="center"/>
          </w:tcPr>
          <w:p w14:paraId="5A928D18">
            <w:pPr>
              <w:autoSpaceDE w:val="0"/>
              <w:autoSpaceDN w:val="0"/>
              <w:adjustRightInd w:val="0"/>
              <w:jc w:val="center"/>
              <w:rPr>
                <w:rFonts w:hint="eastAsia" w:ascii="宋体" w:hAnsi="宋体" w:eastAsia="宋体" w:cs="宋体"/>
                <w:color w:val="auto"/>
                <w:kern w:val="0"/>
                <w:sz w:val="24"/>
                <w:highlight w:val="none"/>
              </w:rPr>
            </w:pPr>
          </w:p>
        </w:tc>
      </w:tr>
      <w:tr w14:paraId="18E063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66535A8A">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26C53AA6">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7767B5F6">
            <w:pPr>
              <w:autoSpaceDE w:val="0"/>
              <w:autoSpaceDN w:val="0"/>
              <w:adjustRightInd w:val="0"/>
              <w:jc w:val="center"/>
              <w:rPr>
                <w:rFonts w:hint="eastAsia" w:ascii="宋体" w:hAnsi="宋体" w:eastAsia="宋体" w:cs="宋体"/>
                <w:color w:val="auto"/>
                <w:kern w:val="0"/>
                <w:sz w:val="24"/>
                <w:highlight w:val="none"/>
              </w:rPr>
            </w:pPr>
          </w:p>
        </w:tc>
        <w:tc>
          <w:tcPr>
            <w:tcW w:w="1141" w:type="dxa"/>
            <w:vAlign w:val="center"/>
          </w:tcPr>
          <w:p w14:paraId="60BC9F64">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3F3BB770">
            <w:pPr>
              <w:autoSpaceDE w:val="0"/>
              <w:autoSpaceDN w:val="0"/>
              <w:adjustRightInd w:val="0"/>
              <w:jc w:val="center"/>
              <w:rPr>
                <w:rFonts w:hint="eastAsia" w:ascii="宋体" w:hAnsi="宋体" w:eastAsia="宋体" w:cs="宋体"/>
                <w:color w:val="auto"/>
                <w:kern w:val="0"/>
                <w:sz w:val="24"/>
                <w:highlight w:val="none"/>
              </w:rPr>
            </w:pPr>
          </w:p>
        </w:tc>
        <w:tc>
          <w:tcPr>
            <w:tcW w:w="1253" w:type="dxa"/>
            <w:vAlign w:val="center"/>
          </w:tcPr>
          <w:p w14:paraId="70F9240B">
            <w:pPr>
              <w:autoSpaceDE w:val="0"/>
              <w:autoSpaceDN w:val="0"/>
              <w:adjustRightInd w:val="0"/>
              <w:jc w:val="center"/>
              <w:rPr>
                <w:rFonts w:hint="eastAsia" w:ascii="宋体" w:hAnsi="宋体" w:eastAsia="宋体" w:cs="宋体"/>
                <w:color w:val="auto"/>
                <w:kern w:val="0"/>
                <w:sz w:val="24"/>
                <w:highlight w:val="none"/>
              </w:rPr>
            </w:pPr>
          </w:p>
        </w:tc>
        <w:tc>
          <w:tcPr>
            <w:tcW w:w="1275" w:type="dxa"/>
            <w:vAlign w:val="center"/>
          </w:tcPr>
          <w:p w14:paraId="20E8AA77">
            <w:pPr>
              <w:autoSpaceDE w:val="0"/>
              <w:autoSpaceDN w:val="0"/>
              <w:adjustRightInd w:val="0"/>
              <w:jc w:val="center"/>
              <w:rPr>
                <w:rFonts w:hint="eastAsia" w:ascii="宋体" w:hAnsi="宋体" w:eastAsia="宋体" w:cs="宋体"/>
                <w:color w:val="auto"/>
                <w:kern w:val="0"/>
                <w:sz w:val="24"/>
                <w:highlight w:val="none"/>
              </w:rPr>
            </w:pPr>
          </w:p>
        </w:tc>
      </w:tr>
      <w:tr w14:paraId="6635F4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735368BF">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61E655E7">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5C7A7C1F">
            <w:pPr>
              <w:autoSpaceDE w:val="0"/>
              <w:autoSpaceDN w:val="0"/>
              <w:adjustRightInd w:val="0"/>
              <w:jc w:val="center"/>
              <w:rPr>
                <w:rFonts w:hint="eastAsia" w:ascii="宋体" w:hAnsi="宋体" w:eastAsia="宋体" w:cs="宋体"/>
                <w:color w:val="auto"/>
                <w:kern w:val="0"/>
                <w:sz w:val="24"/>
                <w:highlight w:val="none"/>
              </w:rPr>
            </w:pPr>
          </w:p>
        </w:tc>
        <w:tc>
          <w:tcPr>
            <w:tcW w:w="1141" w:type="dxa"/>
            <w:vAlign w:val="center"/>
          </w:tcPr>
          <w:p w14:paraId="61F89F1B">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19FCB397">
            <w:pPr>
              <w:autoSpaceDE w:val="0"/>
              <w:autoSpaceDN w:val="0"/>
              <w:adjustRightInd w:val="0"/>
              <w:jc w:val="center"/>
              <w:rPr>
                <w:rFonts w:hint="eastAsia" w:ascii="宋体" w:hAnsi="宋体" w:eastAsia="宋体" w:cs="宋体"/>
                <w:color w:val="auto"/>
                <w:kern w:val="0"/>
                <w:sz w:val="24"/>
                <w:highlight w:val="none"/>
              </w:rPr>
            </w:pPr>
          </w:p>
        </w:tc>
        <w:tc>
          <w:tcPr>
            <w:tcW w:w="1253" w:type="dxa"/>
            <w:vAlign w:val="center"/>
          </w:tcPr>
          <w:p w14:paraId="0E826719">
            <w:pPr>
              <w:autoSpaceDE w:val="0"/>
              <w:autoSpaceDN w:val="0"/>
              <w:adjustRightInd w:val="0"/>
              <w:jc w:val="center"/>
              <w:rPr>
                <w:rFonts w:hint="eastAsia" w:ascii="宋体" w:hAnsi="宋体" w:eastAsia="宋体" w:cs="宋体"/>
                <w:color w:val="auto"/>
                <w:kern w:val="0"/>
                <w:sz w:val="24"/>
                <w:highlight w:val="none"/>
              </w:rPr>
            </w:pPr>
          </w:p>
        </w:tc>
        <w:tc>
          <w:tcPr>
            <w:tcW w:w="1275" w:type="dxa"/>
            <w:vAlign w:val="center"/>
          </w:tcPr>
          <w:p w14:paraId="3BB9E93F">
            <w:pPr>
              <w:autoSpaceDE w:val="0"/>
              <w:autoSpaceDN w:val="0"/>
              <w:adjustRightInd w:val="0"/>
              <w:jc w:val="center"/>
              <w:rPr>
                <w:rFonts w:hint="eastAsia" w:ascii="宋体" w:hAnsi="宋体" w:eastAsia="宋体" w:cs="宋体"/>
                <w:color w:val="auto"/>
                <w:kern w:val="0"/>
                <w:sz w:val="24"/>
                <w:highlight w:val="none"/>
              </w:rPr>
            </w:pPr>
          </w:p>
        </w:tc>
      </w:tr>
      <w:tr w14:paraId="14C205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3EEF9C18">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09442707">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1699F703">
            <w:pPr>
              <w:autoSpaceDE w:val="0"/>
              <w:autoSpaceDN w:val="0"/>
              <w:adjustRightInd w:val="0"/>
              <w:jc w:val="center"/>
              <w:rPr>
                <w:rFonts w:hint="eastAsia" w:ascii="宋体" w:hAnsi="宋体" w:eastAsia="宋体" w:cs="宋体"/>
                <w:color w:val="auto"/>
                <w:kern w:val="0"/>
                <w:sz w:val="24"/>
                <w:highlight w:val="none"/>
              </w:rPr>
            </w:pPr>
          </w:p>
        </w:tc>
        <w:tc>
          <w:tcPr>
            <w:tcW w:w="1141" w:type="dxa"/>
            <w:vAlign w:val="center"/>
          </w:tcPr>
          <w:p w14:paraId="2BA5DBCC">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14EDF34F">
            <w:pPr>
              <w:autoSpaceDE w:val="0"/>
              <w:autoSpaceDN w:val="0"/>
              <w:adjustRightInd w:val="0"/>
              <w:jc w:val="center"/>
              <w:rPr>
                <w:rFonts w:hint="eastAsia" w:ascii="宋体" w:hAnsi="宋体" w:eastAsia="宋体" w:cs="宋体"/>
                <w:color w:val="auto"/>
                <w:kern w:val="0"/>
                <w:sz w:val="24"/>
                <w:highlight w:val="none"/>
              </w:rPr>
            </w:pPr>
          </w:p>
        </w:tc>
        <w:tc>
          <w:tcPr>
            <w:tcW w:w="1253" w:type="dxa"/>
            <w:vAlign w:val="center"/>
          </w:tcPr>
          <w:p w14:paraId="079BDB25">
            <w:pPr>
              <w:autoSpaceDE w:val="0"/>
              <w:autoSpaceDN w:val="0"/>
              <w:adjustRightInd w:val="0"/>
              <w:jc w:val="center"/>
              <w:rPr>
                <w:rFonts w:hint="eastAsia" w:ascii="宋体" w:hAnsi="宋体" w:eastAsia="宋体" w:cs="宋体"/>
                <w:color w:val="auto"/>
                <w:kern w:val="0"/>
                <w:sz w:val="24"/>
                <w:highlight w:val="none"/>
              </w:rPr>
            </w:pPr>
          </w:p>
        </w:tc>
        <w:tc>
          <w:tcPr>
            <w:tcW w:w="1275" w:type="dxa"/>
            <w:vAlign w:val="center"/>
          </w:tcPr>
          <w:p w14:paraId="0132CBD3">
            <w:pPr>
              <w:autoSpaceDE w:val="0"/>
              <w:autoSpaceDN w:val="0"/>
              <w:adjustRightInd w:val="0"/>
              <w:jc w:val="center"/>
              <w:rPr>
                <w:rFonts w:hint="eastAsia" w:ascii="宋体" w:hAnsi="宋体" w:eastAsia="宋体" w:cs="宋体"/>
                <w:color w:val="auto"/>
                <w:kern w:val="0"/>
                <w:sz w:val="24"/>
                <w:highlight w:val="none"/>
              </w:rPr>
            </w:pPr>
          </w:p>
        </w:tc>
      </w:tr>
      <w:tr w14:paraId="16443B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72602472">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6D631F03">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0EA9A669">
            <w:pPr>
              <w:autoSpaceDE w:val="0"/>
              <w:autoSpaceDN w:val="0"/>
              <w:adjustRightInd w:val="0"/>
              <w:jc w:val="center"/>
              <w:rPr>
                <w:rFonts w:hint="eastAsia" w:ascii="宋体" w:hAnsi="宋体" w:eastAsia="宋体" w:cs="宋体"/>
                <w:color w:val="auto"/>
                <w:kern w:val="0"/>
                <w:sz w:val="24"/>
                <w:highlight w:val="none"/>
              </w:rPr>
            </w:pPr>
          </w:p>
        </w:tc>
        <w:tc>
          <w:tcPr>
            <w:tcW w:w="1141" w:type="dxa"/>
            <w:vAlign w:val="center"/>
          </w:tcPr>
          <w:p w14:paraId="1D61C86A">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4B523BCF">
            <w:pPr>
              <w:autoSpaceDE w:val="0"/>
              <w:autoSpaceDN w:val="0"/>
              <w:adjustRightInd w:val="0"/>
              <w:jc w:val="center"/>
              <w:rPr>
                <w:rFonts w:hint="eastAsia" w:ascii="宋体" w:hAnsi="宋体" w:eastAsia="宋体" w:cs="宋体"/>
                <w:color w:val="auto"/>
                <w:kern w:val="0"/>
                <w:sz w:val="24"/>
                <w:highlight w:val="none"/>
              </w:rPr>
            </w:pPr>
          </w:p>
        </w:tc>
        <w:tc>
          <w:tcPr>
            <w:tcW w:w="1253" w:type="dxa"/>
            <w:vAlign w:val="center"/>
          </w:tcPr>
          <w:p w14:paraId="2CCD61F8">
            <w:pPr>
              <w:autoSpaceDE w:val="0"/>
              <w:autoSpaceDN w:val="0"/>
              <w:adjustRightInd w:val="0"/>
              <w:jc w:val="center"/>
              <w:rPr>
                <w:rFonts w:hint="eastAsia" w:ascii="宋体" w:hAnsi="宋体" w:eastAsia="宋体" w:cs="宋体"/>
                <w:color w:val="auto"/>
                <w:kern w:val="0"/>
                <w:sz w:val="24"/>
                <w:highlight w:val="none"/>
              </w:rPr>
            </w:pPr>
          </w:p>
        </w:tc>
        <w:tc>
          <w:tcPr>
            <w:tcW w:w="1275" w:type="dxa"/>
            <w:vAlign w:val="center"/>
          </w:tcPr>
          <w:p w14:paraId="5E3444E7">
            <w:pPr>
              <w:autoSpaceDE w:val="0"/>
              <w:autoSpaceDN w:val="0"/>
              <w:adjustRightInd w:val="0"/>
              <w:jc w:val="center"/>
              <w:rPr>
                <w:rFonts w:hint="eastAsia" w:ascii="宋体" w:hAnsi="宋体" w:eastAsia="宋体" w:cs="宋体"/>
                <w:color w:val="auto"/>
                <w:kern w:val="0"/>
                <w:sz w:val="24"/>
                <w:highlight w:val="none"/>
              </w:rPr>
            </w:pPr>
          </w:p>
        </w:tc>
      </w:tr>
      <w:tr w14:paraId="588856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52B0E7BB">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67B6D303">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6BCA1160">
            <w:pPr>
              <w:autoSpaceDE w:val="0"/>
              <w:autoSpaceDN w:val="0"/>
              <w:adjustRightInd w:val="0"/>
              <w:jc w:val="center"/>
              <w:rPr>
                <w:rFonts w:hint="eastAsia" w:ascii="宋体" w:hAnsi="宋体" w:eastAsia="宋体" w:cs="宋体"/>
                <w:color w:val="auto"/>
                <w:kern w:val="0"/>
                <w:sz w:val="24"/>
                <w:highlight w:val="none"/>
              </w:rPr>
            </w:pPr>
          </w:p>
        </w:tc>
        <w:tc>
          <w:tcPr>
            <w:tcW w:w="1141" w:type="dxa"/>
            <w:vAlign w:val="center"/>
          </w:tcPr>
          <w:p w14:paraId="4209704F">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7F2657D8">
            <w:pPr>
              <w:autoSpaceDE w:val="0"/>
              <w:autoSpaceDN w:val="0"/>
              <w:adjustRightInd w:val="0"/>
              <w:jc w:val="center"/>
              <w:rPr>
                <w:rFonts w:hint="eastAsia" w:ascii="宋体" w:hAnsi="宋体" w:eastAsia="宋体" w:cs="宋体"/>
                <w:color w:val="auto"/>
                <w:kern w:val="0"/>
                <w:sz w:val="24"/>
                <w:highlight w:val="none"/>
              </w:rPr>
            </w:pPr>
          </w:p>
        </w:tc>
        <w:tc>
          <w:tcPr>
            <w:tcW w:w="1253" w:type="dxa"/>
            <w:vAlign w:val="center"/>
          </w:tcPr>
          <w:p w14:paraId="7D04EECE">
            <w:pPr>
              <w:autoSpaceDE w:val="0"/>
              <w:autoSpaceDN w:val="0"/>
              <w:adjustRightInd w:val="0"/>
              <w:jc w:val="center"/>
              <w:rPr>
                <w:rFonts w:hint="eastAsia" w:ascii="宋体" w:hAnsi="宋体" w:eastAsia="宋体" w:cs="宋体"/>
                <w:color w:val="auto"/>
                <w:kern w:val="0"/>
                <w:sz w:val="24"/>
                <w:highlight w:val="none"/>
              </w:rPr>
            </w:pPr>
          </w:p>
        </w:tc>
        <w:tc>
          <w:tcPr>
            <w:tcW w:w="1275" w:type="dxa"/>
            <w:vAlign w:val="center"/>
          </w:tcPr>
          <w:p w14:paraId="414A400F">
            <w:pPr>
              <w:autoSpaceDE w:val="0"/>
              <w:autoSpaceDN w:val="0"/>
              <w:adjustRightInd w:val="0"/>
              <w:jc w:val="center"/>
              <w:rPr>
                <w:rFonts w:hint="eastAsia" w:ascii="宋体" w:hAnsi="宋体" w:eastAsia="宋体" w:cs="宋体"/>
                <w:color w:val="auto"/>
                <w:kern w:val="0"/>
                <w:sz w:val="24"/>
                <w:highlight w:val="none"/>
              </w:rPr>
            </w:pPr>
          </w:p>
        </w:tc>
      </w:tr>
      <w:tr w14:paraId="343D9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16EC237">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111D65EA">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2FDB82C0">
            <w:pPr>
              <w:autoSpaceDE w:val="0"/>
              <w:autoSpaceDN w:val="0"/>
              <w:adjustRightInd w:val="0"/>
              <w:jc w:val="center"/>
              <w:rPr>
                <w:rFonts w:hint="eastAsia" w:ascii="宋体" w:hAnsi="宋体" w:eastAsia="宋体" w:cs="宋体"/>
                <w:color w:val="auto"/>
                <w:kern w:val="0"/>
                <w:sz w:val="24"/>
                <w:highlight w:val="none"/>
              </w:rPr>
            </w:pPr>
          </w:p>
        </w:tc>
        <w:tc>
          <w:tcPr>
            <w:tcW w:w="1141" w:type="dxa"/>
            <w:vAlign w:val="center"/>
          </w:tcPr>
          <w:p w14:paraId="1333BC55">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42CCCA07">
            <w:pPr>
              <w:autoSpaceDE w:val="0"/>
              <w:autoSpaceDN w:val="0"/>
              <w:adjustRightInd w:val="0"/>
              <w:jc w:val="center"/>
              <w:rPr>
                <w:rFonts w:hint="eastAsia" w:ascii="宋体" w:hAnsi="宋体" w:eastAsia="宋体" w:cs="宋体"/>
                <w:color w:val="auto"/>
                <w:kern w:val="0"/>
                <w:sz w:val="24"/>
                <w:highlight w:val="none"/>
              </w:rPr>
            </w:pPr>
          </w:p>
        </w:tc>
        <w:tc>
          <w:tcPr>
            <w:tcW w:w="1253" w:type="dxa"/>
            <w:vAlign w:val="center"/>
          </w:tcPr>
          <w:p w14:paraId="456F5921">
            <w:pPr>
              <w:autoSpaceDE w:val="0"/>
              <w:autoSpaceDN w:val="0"/>
              <w:adjustRightInd w:val="0"/>
              <w:jc w:val="center"/>
              <w:rPr>
                <w:rFonts w:hint="eastAsia" w:ascii="宋体" w:hAnsi="宋体" w:eastAsia="宋体" w:cs="宋体"/>
                <w:color w:val="auto"/>
                <w:kern w:val="0"/>
                <w:sz w:val="24"/>
                <w:highlight w:val="none"/>
              </w:rPr>
            </w:pPr>
          </w:p>
        </w:tc>
        <w:tc>
          <w:tcPr>
            <w:tcW w:w="1275" w:type="dxa"/>
            <w:vAlign w:val="center"/>
          </w:tcPr>
          <w:p w14:paraId="5BBB1C68">
            <w:pPr>
              <w:autoSpaceDE w:val="0"/>
              <w:autoSpaceDN w:val="0"/>
              <w:adjustRightInd w:val="0"/>
              <w:jc w:val="center"/>
              <w:rPr>
                <w:rFonts w:hint="eastAsia" w:ascii="宋体" w:hAnsi="宋体" w:eastAsia="宋体" w:cs="宋体"/>
                <w:color w:val="auto"/>
                <w:kern w:val="0"/>
                <w:sz w:val="24"/>
                <w:highlight w:val="none"/>
              </w:rPr>
            </w:pPr>
          </w:p>
        </w:tc>
      </w:tr>
      <w:tr w14:paraId="0C6F1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3AEF6FC7">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0EA003C8">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2BBDC502">
            <w:pPr>
              <w:autoSpaceDE w:val="0"/>
              <w:autoSpaceDN w:val="0"/>
              <w:adjustRightInd w:val="0"/>
              <w:jc w:val="center"/>
              <w:rPr>
                <w:rFonts w:hint="eastAsia" w:ascii="宋体" w:hAnsi="宋体" w:eastAsia="宋体" w:cs="宋体"/>
                <w:color w:val="auto"/>
                <w:kern w:val="0"/>
                <w:sz w:val="24"/>
                <w:highlight w:val="none"/>
              </w:rPr>
            </w:pPr>
          </w:p>
        </w:tc>
        <w:tc>
          <w:tcPr>
            <w:tcW w:w="1141" w:type="dxa"/>
            <w:vAlign w:val="center"/>
          </w:tcPr>
          <w:p w14:paraId="2A3B9DCB">
            <w:pPr>
              <w:autoSpaceDE w:val="0"/>
              <w:autoSpaceDN w:val="0"/>
              <w:adjustRightInd w:val="0"/>
              <w:jc w:val="center"/>
              <w:rPr>
                <w:rFonts w:hint="eastAsia" w:ascii="宋体" w:hAnsi="宋体" w:eastAsia="宋体" w:cs="宋体"/>
                <w:color w:val="auto"/>
                <w:kern w:val="0"/>
                <w:sz w:val="24"/>
                <w:highlight w:val="none"/>
              </w:rPr>
            </w:pPr>
          </w:p>
        </w:tc>
        <w:tc>
          <w:tcPr>
            <w:tcW w:w="1434" w:type="dxa"/>
            <w:vAlign w:val="center"/>
          </w:tcPr>
          <w:p w14:paraId="4C2133D6">
            <w:pPr>
              <w:autoSpaceDE w:val="0"/>
              <w:autoSpaceDN w:val="0"/>
              <w:adjustRightInd w:val="0"/>
              <w:jc w:val="center"/>
              <w:rPr>
                <w:rFonts w:hint="eastAsia" w:ascii="宋体" w:hAnsi="宋体" w:eastAsia="宋体" w:cs="宋体"/>
                <w:color w:val="auto"/>
                <w:kern w:val="0"/>
                <w:sz w:val="24"/>
                <w:highlight w:val="none"/>
              </w:rPr>
            </w:pPr>
          </w:p>
        </w:tc>
        <w:tc>
          <w:tcPr>
            <w:tcW w:w="1253" w:type="dxa"/>
            <w:vAlign w:val="center"/>
          </w:tcPr>
          <w:p w14:paraId="30CE7056">
            <w:pPr>
              <w:autoSpaceDE w:val="0"/>
              <w:autoSpaceDN w:val="0"/>
              <w:adjustRightInd w:val="0"/>
              <w:jc w:val="center"/>
              <w:rPr>
                <w:rFonts w:hint="eastAsia" w:ascii="宋体" w:hAnsi="宋体" w:eastAsia="宋体" w:cs="宋体"/>
                <w:color w:val="auto"/>
                <w:kern w:val="0"/>
                <w:sz w:val="24"/>
                <w:highlight w:val="none"/>
              </w:rPr>
            </w:pPr>
          </w:p>
        </w:tc>
        <w:tc>
          <w:tcPr>
            <w:tcW w:w="1275" w:type="dxa"/>
            <w:vAlign w:val="center"/>
          </w:tcPr>
          <w:p w14:paraId="7AB853AD">
            <w:pPr>
              <w:autoSpaceDE w:val="0"/>
              <w:autoSpaceDN w:val="0"/>
              <w:adjustRightInd w:val="0"/>
              <w:jc w:val="center"/>
              <w:rPr>
                <w:rFonts w:hint="eastAsia" w:ascii="宋体" w:hAnsi="宋体" w:eastAsia="宋体" w:cs="宋体"/>
                <w:color w:val="auto"/>
                <w:kern w:val="0"/>
                <w:sz w:val="24"/>
                <w:highlight w:val="none"/>
              </w:rPr>
            </w:pPr>
          </w:p>
        </w:tc>
      </w:tr>
    </w:tbl>
    <w:p w14:paraId="1D977A81">
      <w:pPr>
        <w:autoSpaceDE w:val="0"/>
        <w:autoSpaceDN w:val="0"/>
        <w:adjustRightInd w:val="0"/>
        <w:jc w:val="left"/>
        <w:rPr>
          <w:rFonts w:hint="eastAsia" w:ascii="宋体" w:hAnsi="宋体" w:eastAsia="宋体" w:cs="宋体"/>
          <w:color w:val="auto"/>
          <w:kern w:val="0"/>
          <w:sz w:val="24"/>
          <w:highlight w:val="none"/>
        </w:rPr>
      </w:pPr>
    </w:p>
    <w:p w14:paraId="20F2DCF2">
      <w:pPr>
        <w:autoSpaceDE w:val="0"/>
        <w:autoSpaceDN w:val="0"/>
        <w:adjustRightInd w:val="0"/>
        <w:spacing w:line="460" w:lineRule="exact"/>
        <w:ind w:firstLine="241" w:firstLineChars="100"/>
        <w:jc w:val="left"/>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rPr>
        <w:t>备注：</w:t>
      </w:r>
      <w:r>
        <w:rPr>
          <w:rFonts w:hint="eastAsia" w:ascii="宋体" w:hAnsi="宋体" w:cs="宋体"/>
          <w:b/>
          <w:color w:val="auto"/>
          <w:kern w:val="0"/>
          <w:sz w:val="24"/>
          <w:highlight w:val="none"/>
          <w:lang w:val="en-US" w:eastAsia="zh-CN"/>
        </w:rPr>
        <w:t>1</w:t>
      </w:r>
      <w:r>
        <w:rPr>
          <w:rFonts w:hint="eastAsia" w:ascii="宋体" w:hAnsi="宋体" w:eastAsia="宋体" w:cs="宋体"/>
          <w:b/>
          <w:color w:val="auto"/>
          <w:kern w:val="0"/>
          <w:sz w:val="24"/>
          <w:highlight w:val="none"/>
        </w:rPr>
        <w:t>、表格中必须注明车辆的持有形式(自有已上牌或购买、现已租赁、承诺中标后购买、承诺中标后租赁)，并按</w:t>
      </w:r>
      <w:r>
        <w:rPr>
          <w:rFonts w:hint="eastAsia" w:ascii="宋体" w:hAnsi="宋体" w:cs="宋体"/>
          <w:b/>
          <w:color w:val="auto"/>
          <w:kern w:val="0"/>
          <w:sz w:val="24"/>
          <w:highlight w:val="none"/>
          <w:lang w:val="en-US" w:eastAsia="zh-CN"/>
        </w:rPr>
        <w:t>持有方式提供证明。</w:t>
      </w:r>
    </w:p>
    <w:p w14:paraId="57437024">
      <w:pPr>
        <w:autoSpaceDE w:val="0"/>
        <w:autoSpaceDN w:val="0"/>
        <w:adjustRightInd w:val="0"/>
        <w:spacing w:line="460" w:lineRule="exact"/>
        <w:ind w:firstLine="241" w:firstLineChars="100"/>
        <w:jc w:val="left"/>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lang w:val="en-US" w:eastAsia="zh-CN"/>
        </w:rPr>
        <w:t>2</w:t>
      </w:r>
      <w:r>
        <w:rPr>
          <w:rFonts w:hint="eastAsia" w:ascii="宋体" w:hAnsi="宋体" w:eastAsia="宋体" w:cs="宋体"/>
          <w:b/>
          <w:color w:val="auto"/>
          <w:kern w:val="0"/>
          <w:sz w:val="24"/>
          <w:highlight w:val="none"/>
        </w:rPr>
        <w:t xml:space="preserve">、此表仅提供了表格形式，投标人可按此表格复制。 </w:t>
      </w:r>
    </w:p>
    <w:p w14:paraId="513207A5">
      <w:pPr>
        <w:autoSpaceDE w:val="0"/>
        <w:autoSpaceDN w:val="0"/>
        <w:adjustRightInd w:val="0"/>
        <w:jc w:val="left"/>
        <w:rPr>
          <w:rFonts w:hint="eastAsia" w:ascii="宋体" w:hAnsi="宋体" w:eastAsia="宋体" w:cs="宋体"/>
          <w:color w:val="auto"/>
          <w:kern w:val="0"/>
          <w:sz w:val="24"/>
          <w:highlight w:val="none"/>
        </w:rPr>
      </w:pPr>
    </w:p>
    <w:p w14:paraId="075C145F">
      <w:pPr>
        <w:pStyle w:val="18"/>
        <w:adjustRightInd w:val="0"/>
        <w:snapToGrid w:val="0"/>
        <w:spacing w:line="460" w:lineRule="exact"/>
        <w:rPr>
          <w:rFonts w:hint="eastAsia" w:ascii="宋体" w:hAnsi="宋体" w:eastAsia="宋体" w:cs="宋体"/>
          <w:color w:val="auto"/>
          <w:kern w:val="0"/>
          <w:sz w:val="28"/>
          <w:szCs w:val="28"/>
          <w:highlight w:val="none"/>
        </w:rPr>
      </w:pPr>
    </w:p>
    <w:p w14:paraId="7286224D">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投标供应商名称（电子签章）：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1EDEE11B">
      <w:pPr>
        <w:pStyle w:val="18"/>
        <w:adjustRightInd w:val="0"/>
        <w:snapToGrid w:val="0"/>
        <w:spacing w:line="460" w:lineRule="exac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法定代表人或其授权代表（签字或盖章）：</w:t>
      </w:r>
      <w:r>
        <w:rPr>
          <w:rFonts w:hint="eastAsia" w:ascii="宋体" w:hAnsi="宋体" w:eastAsia="宋体" w:cs="宋体"/>
          <w:color w:val="auto"/>
          <w:kern w:val="0"/>
          <w:sz w:val="28"/>
          <w:szCs w:val="28"/>
          <w:highlight w:val="none"/>
          <w:u w:val="single"/>
        </w:rPr>
        <w:t xml:space="preserve">              </w:t>
      </w:r>
    </w:p>
    <w:p w14:paraId="676E8978">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日期：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169CB76F">
      <w:pPr>
        <w:autoSpaceDE w:val="0"/>
        <w:autoSpaceDN w:val="0"/>
        <w:adjustRightInd w:val="0"/>
        <w:jc w:val="left"/>
        <w:rPr>
          <w:rFonts w:hint="eastAsia" w:ascii="宋体" w:hAnsi="宋体" w:eastAsia="宋体" w:cs="宋体"/>
          <w:color w:val="auto"/>
          <w:kern w:val="0"/>
          <w:sz w:val="24"/>
          <w:highlight w:val="none"/>
        </w:rPr>
      </w:pPr>
    </w:p>
    <w:p w14:paraId="19BD363E">
      <w:pPr>
        <w:pStyle w:val="5"/>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2.5.5、投标供应商类似成功项目业绩及证明材料 </w:t>
      </w:r>
    </w:p>
    <w:p w14:paraId="0AD6A020">
      <w:pPr>
        <w:pStyle w:val="18"/>
        <w:adjustRightInd w:val="0"/>
        <w:snapToGrid w:val="0"/>
        <w:spacing w:before="156" w:beforeLines="50" w:after="156" w:afterLines="50" w:line="276"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投标供应商类似项目业绩表</w:t>
      </w:r>
    </w:p>
    <w:p w14:paraId="7FA382C0">
      <w:pPr>
        <w:autoSpaceDE w:val="0"/>
        <w:autoSpaceDN w:val="0"/>
        <w:adjustRightInd w:val="0"/>
        <w:jc w:val="left"/>
        <w:rPr>
          <w:rFonts w:hint="eastAsia" w:ascii="宋体" w:hAnsi="宋体" w:eastAsia="宋体" w:cs="宋体"/>
          <w:color w:val="auto"/>
          <w:kern w:val="0"/>
          <w:sz w:val="24"/>
          <w:highlight w:val="none"/>
        </w:rPr>
      </w:pP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1600"/>
        <w:gridCol w:w="1559"/>
        <w:gridCol w:w="1276"/>
        <w:gridCol w:w="1299"/>
        <w:gridCol w:w="1111"/>
        <w:gridCol w:w="1417"/>
      </w:tblGrid>
      <w:tr w14:paraId="761718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918" w:type="dxa"/>
            <w:vAlign w:val="center"/>
          </w:tcPr>
          <w:p w14:paraId="3EDBEFFE">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600" w:type="dxa"/>
            <w:vAlign w:val="center"/>
          </w:tcPr>
          <w:p w14:paraId="1692C103">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甲方单位</w:t>
            </w:r>
          </w:p>
        </w:tc>
        <w:tc>
          <w:tcPr>
            <w:tcW w:w="1559" w:type="dxa"/>
            <w:vAlign w:val="center"/>
          </w:tcPr>
          <w:p w14:paraId="17034C7C">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1276" w:type="dxa"/>
            <w:vAlign w:val="center"/>
          </w:tcPr>
          <w:p w14:paraId="7499F3F4">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单个年度合同金额</w:t>
            </w:r>
          </w:p>
        </w:tc>
        <w:tc>
          <w:tcPr>
            <w:tcW w:w="1299" w:type="dxa"/>
            <w:vAlign w:val="center"/>
          </w:tcPr>
          <w:p w14:paraId="5130DFB6">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合同主要内容</w:t>
            </w:r>
          </w:p>
        </w:tc>
        <w:tc>
          <w:tcPr>
            <w:tcW w:w="1111" w:type="dxa"/>
            <w:vAlign w:val="center"/>
          </w:tcPr>
          <w:p w14:paraId="5B031D8F">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合同讫止时间</w:t>
            </w:r>
          </w:p>
        </w:tc>
        <w:tc>
          <w:tcPr>
            <w:tcW w:w="1417" w:type="dxa"/>
            <w:vAlign w:val="center"/>
          </w:tcPr>
          <w:p w14:paraId="2191EBFD">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甲方联系人及联系电话</w:t>
            </w:r>
          </w:p>
        </w:tc>
      </w:tr>
      <w:tr w14:paraId="51886A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6F04C3C9">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24D7D927">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07B26CA3">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62FE56EB">
            <w:pPr>
              <w:autoSpaceDE w:val="0"/>
              <w:autoSpaceDN w:val="0"/>
              <w:adjustRightInd w:val="0"/>
              <w:jc w:val="center"/>
              <w:rPr>
                <w:rFonts w:hint="eastAsia" w:ascii="宋体" w:hAnsi="宋体" w:eastAsia="宋体" w:cs="宋体"/>
                <w:color w:val="auto"/>
                <w:kern w:val="0"/>
                <w:sz w:val="24"/>
                <w:highlight w:val="none"/>
              </w:rPr>
            </w:pPr>
          </w:p>
        </w:tc>
        <w:tc>
          <w:tcPr>
            <w:tcW w:w="1299" w:type="dxa"/>
            <w:vAlign w:val="center"/>
          </w:tcPr>
          <w:p w14:paraId="52596DEE">
            <w:pPr>
              <w:autoSpaceDE w:val="0"/>
              <w:autoSpaceDN w:val="0"/>
              <w:adjustRightInd w:val="0"/>
              <w:jc w:val="center"/>
              <w:rPr>
                <w:rFonts w:hint="eastAsia" w:ascii="宋体" w:hAnsi="宋体" w:eastAsia="宋体" w:cs="宋体"/>
                <w:color w:val="auto"/>
                <w:kern w:val="0"/>
                <w:sz w:val="24"/>
                <w:highlight w:val="none"/>
              </w:rPr>
            </w:pPr>
          </w:p>
        </w:tc>
        <w:tc>
          <w:tcPr>
            <w:tcW w:w="1111" w:type="dxa"/>
            <w:vAlign w:val="center"/>
          </w:tcPr>
          <w:p w14:paraId="4BDB2744">
            <w:pPr>
              <w:autoSpaceDE w:val="0"/>
              <w:autoSpaceDN w:val="0"/>
              <w:adjustRightInd w:val="0"/>
              <w:jc w:val="center"/>
              <w:rPr>
                <w:rFonts w:hint="eastAsia" w:ascii="宋体" w:hAnsi="宋体" w:eastAsia="宋体" w:cs="宋体"/>
                <w:color w:val="auto"/>
                <w:kern w:val="0"/>
                <w:sz w:val="24"/>
                <w:highlight w:val="none"/>
              </w:rPr>
            </w:pPr>
          </w:p>
        </w:tc>
        <w:tc>
          <w:tcPr>
            <w:tcW w:w="1417" w:type="dxa"/>
            <w:vAlign w:val="center"/>
          </w:tcPr>
          <w:p w14:paraId="317E3372">
            <w:pPr>
              <w:autoSpaceDE w:val="0"/>
              <w:autoSpaceDN w:val="0"/>
              <w:adjustRightInd w:val="0"/>
              <w:jc w:val="center"/>
              <w:rPr>
                <w:rFonts w:hint="eastAsia" w:ascii="宋体" w:hAnsi="宋体" w:eastAsia="宋体" w:cs="宋体"/>
                <w:color w:val="auto"/>
                <w:kern w:val="0"/>
                <w:sz w:val="24"/>
                <w:highlight w:val="none"/>
              </w:rPr>
            </w:pPr>
          </w:p>
        </w:tc>
      </w:tr>
      <w:tr w14:paraId="44B7A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7975A112">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30B119A4">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153163D9">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22D0494F">
            <w:pPr>
              <w:autoSpaceDE w:val="0"/>
              <w:autoSpaceDN w:val="0"/>
              <w:adjustRightInd w:val="0"/>
              <w:jc w:val="center"/>
              <w:rPr>
                <w:rFonts w:hint="eastAsia" w:ascii="宋体" w:hAnsi="宋体" w:eastAsia="宋体" w:cs="宋体"/>
                <w:color w:val="auto"/>
                <w:kern w:val="0"/>
                <w:sz w:val="24"/>
                <w:highlight w:val="none"/>
              </w:rPr>
            </w:pPr>
          </w:p>
        </w:tc>
        <w:tc>
          <w:tcPr>
            <w:tcW w:w="1299" w:type="dxa"/>
            <w:vAlign w:val="center"/>
          </w:tcPr>
          <w:p w14:paraId="2B992E7F">
            <w:pPr>
              <w:autoSpaceDE w:val="0"/>
              <w:autoSpaceDN w:val="0"/>
              <w:adjustRightInd w:val="0"/>
              <w:jc w:val="center"/>
              <w:rPr>
                <w:rFonts w:hint="eastAsia" w:ascii="宋体" w:hAnsi="宋体" w:eastAsia="宋体" w:cs="宋体"/>
                <w:color w:val="auto"/>
                <w:kern w:val="0"/>
                <w:sz w:val="24"/>
                <w:highlight w:val="none"/>
              </w:rPr>
            </w:pPr>
          </w:p>
        </w:tc>
        <w:tc>
          <w:tcPr>
            <w:tcW w:w="1111" w:type="dxa"/>
            <w:vAlign w:val="center"/>
          </w:tcPr>
          <w:p w14:paraId="2E998CF6">
            <w:pPr>
              <w:autoSpaceDE w:val="0"/>
              <w:autoSpaceDN w:val="0"/>
              <w:adjustRightInd w:val="0"/>
              <w:jc w:val="center"/>
              <w:rPr>
                <w:rFonts w:hint="eastAsia" w:ascii="宋体" w:hAnsi="宋体" w:eastAsia="宋体" w:cs="宋体"/>
                <w:color w:val="auto"/>
                <w:kern w:val="0"/>
                <w:sz w:val="24"/>
                <w:highlight w:val="none"/>
              </w:rPr>
            </w:pPr>
          </w:p>
        </w:tc>
        <w:tc>
          <w:tcPr>
            <w:tcW w:w="1417" w:type="dxa"/>
            <w:vAlign w:val="center"/>
          </w:tcPr>
          <w:p w14:paraId="53C19681">
            <w:pPr>
              <w:autoSpaceDE w:val="0"/>
              <w:autoSpaceDN w:val="0"/>
              <w:adjustRightInd w:val="0"/>
              <w:jc w:val="center"/>
              <w:rPr>
                <w:rFonts w:hint="eastAsia" w:ascii="宋体" w:hAnsi="宋体" w:eastAsia="宋体" w:cs="宋体"/>
                <w:color w:val="auto"/>
                <w:kern w:val="0"/>
                <w:sz w:val="24"/>
                <w:highlight w:val="none"/>
              </w:rPr>
            </w:pPr>
          </w:p>
        </w:tc>
      </w:tr>
      <w:tr w14:paraId="54FF2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542475AD">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15C34C8F">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005CD435">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0445A8F5">
            <w:pPr>
              <w:autoSpaceDE w:val="0"/>
              <w:autoSpaceDN w:val="0"/>
              <w:adjustRightInd w:val="0"/>
              <w:jc w:val="center"/>
              <w:rPr>
                <w:rFonts w:hint="eastAsia" w:ascii="宋体" w:hAnsi="宋体" w:eastAsia="宋体" w:cs="宋体"/>
                <w:color w:val="auto"/>
                <w:kern w:val="0"/>
                <w:sz w:val="24"/>
                <w:highlight w:val="none"/>
              </w:rPr>
            </w:pPr>
          </w:p>
        </w:tc>
        <w:tc>
          <w:tcPr>
            <w:tcW w:w="1299" w:type="dxa"/>
            <w:vAlign w:val="center"/>
          </w:tcPr>
          <w:p w14:paraId="7F6F7F37">
            <w:pPr>
              <w:autoSpaceDE w:val="0"/>
              <w:autoSpaceDN w:val="0"/>
              <w:adjustRightInd w:val="0"/>
              <w:jc w:val="center"/>
              <w:rPr>
                <w:rFonts w:hint="eastAsia" w:ascii="宋体" w:hAnsi="宋体" w:eastAsia="宋体" w:cs="宋体"/>
                <w:color w:val="auto"/>
                <w:kern w:val="0"/>
                <w:sz w:val="24"/>
                <w:highlight w:val="none"/>
              </w:rPr>
            </w:pPr>
          </w:p>
        </w:tc>
        <w:tc>
          <w:tcPr>
            <w:tcW w:w="1111" w:type="dxa"/>
            <w:vAlign w:val="center"/>
          </w:tcPr>
          <w:p w14:paraId="737062BD">
            <w:pPr>
              <w:autoSpaceDE w:val="0"/>
              <w:autoSpaceDN w:val="0"/>
              <w:adjustRightInd w:val="0"/>
              <w:jc w:val="center"/>
              <w:rPr>
                <w:rFonts w:hint="eastAsia" w:ascii="宋体" w:hAnsi="宋体" w:eastAsia="宋体" w:cs="宋体"/>
                <w:color w:val="auto"/>
                <w:kern w:val="0"/>
                <w:sz w:val="24"/>
                <w:highlight w:val="none"/>
              </w:rPr>
            </w:pPr>
          </w:p>
        </w:tc>
        <w:tc>
          <w:tcPr>
            <w:tcW w:w="1417" w:type="dxa"/>
            <w:vAlign w:val="center"/>
          </w:tcPr>
          <w:p w14:paraId="3988ED2A">
            <w:pPr>
              <w:autoSpaceDE w:val="0"/>
              <w:autoSpaceDN w:val="0"/>
              <w:adjustRightInd w:val="0"/>
              <w:jc w:val="center"/>
              <w:rPr>
                <w:rFonts w:hint="eastAsia" w:ascii="宋体" w:hAnsi="宋体" w:eastAsia="宋体" w:cs="宋体"/>
                <w:color w:val="auto"/>
                <w:kern w:val="0"/>
                <w:sz w:val="24"/>
                <w:highlight w:val="none"/>
              </w:rPr>
            </w:pPr>
          </w:p>
        </w:tc>
      </w:tr>
      <w:tr w14:paraId="340D98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5C3536D3">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00852E9F">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105A47CE">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72816C98">
            <w:pPr>
              <w:autoSpaceDE w:val="0"/>
              <w:autoSpaceDN w:val="0"/>
              <w:adjustRightInd w:val="0"/>
              <w:jc w:val="center"/>
              <w:rPr>
                <w:rFonts w:hint="eastAsia" w:ascii="宋体" w:hAnsi="宋体" w:eastAsia="宋体" w:cs="宋体"/>
                <w:color w:val="auto"/>
                <w:kern w:val="0"/>
                <w:sz w:val="24"/>
                <w:highlight w:val="none"/>
              </w:rPr>
            </w:pPr>
          </w:p>
        </w:tc>
        <w:tc>
          <w:tcPr>
            <w:tcW w:w="1299" w:type="dxa"/>
            <w:vAlign w:val="center"/>
          </w:tcPr>
          <w:p w14:paraId="6A3008DA">
            <w:pPr>
              <w:autoSpaceDE w:val="0"/>
              <w:autoSpaceDN w:val="0"/>
              <w:adjustRightInd w:val="0"/>
              <w:jc w:val="center"/>
              <w:rPr>
                <w:rFonts w:hint="eastAsia" w:ascii="宋体" w:hAnsi="宋体" w:eastAsia="宋体" w:cs="宋体"/>
                <w:color w:val="auto"/>
                <w:kern w:val="0"/>
                <w:sz w:val="24"/>
                <w:highlight w:val="none"/>
              </w:rPr>
            </w:pPr>
          </w:p>
        </w:tc>
        <w:tc>
          <w:tcPr>
            <w:tcW w:w="1111" w:type="dxa"/>
            <w:vAlign w:val="center"/>
          </w:tcPr>
          <w:p w14:paraId="4FD07E91">
            <w:pPr>
              <w:autoSpaceDE w:val="0"/>
              <w:autoSpaceDN w:val="0"/>
              <w:adjustRightInd w:val="0"/>
              <w:jc w:val="center"/>
              <w:rPr>
                <w:rFonts w:hint="eastAsia" w:ascii="宋体" w:hAnsi="宋体" w:eastAsia="宋体" w:cs="宋体"/>
                <w:color w:val="auto"/>
                <w:kern w:val="0"/>
                <w:sz w:val="24"/>
                <w:highlight w:val="none"/>
              </w:rPr>
            </w:pPr>
          </w:p>
        </w:tc>
        <w:tc>
          <w:tcPr>
            <w:tcW w:w="1417" w:type="dxa"/>
            <w:vAlign w:val="center"/>
          </w:tcPr>
          <w:p w14:paraId="0C9465AF">
            <w:pPr>
              <w:autoSpaceDE w:val="0"/>
              <w:autoSpaceDN w:val="0"/>
              <w:adjustRightInd w:val="0"/>
              <w:jc w:val="center"/>
              <w:rPr>
                <w:rFonts w:hint="eastAsia" w:ascii="宋体" w:hAnsi="宋体" w:eastAsia="宋体" w:cs="宋体"/>
                <w:color w:val="auto"/>
                <w:kern w:val="0"/>
                <w:sz w:val="24"/>
                <w:highlight w:val="none"/>
              </w:rPr>
            </w:pPr>
          </w:p>
        </w:tc>
      </w:tr>
      <w:tr w14:paraId="71E6E9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89AB43A">
            <w:pPr>
              <w:autoSpaceDE w:val="0"/>
              <w:autoSpaceDN w:val="0"/>
              <w:adjustRightInd w:val="0"/>
              <w:jc w:val="center"/>
              <w:rPr>
                <w:rFonts w:hint="eastAsia" w:ascii="宋体" w:hAnsi="宋体" w:eastAsia="宋体" w:cs="宋体"/>
                <w:color w:val="auto"/>
                <w:kern w:val="0"/>
                <w:sz w:val="24"/>
                <w:highlight w:val="none"/>
              </w:rPr>
            </w:pPr>
          </w:p>
        </w:tc>
        <w:tc>
          <w:tcPr>
            <w:tcW w:w="1600" w:type="dxa"/>
            <w:vAlign w:val="center"/>
          </w:tcPr>
          <w:p w14:paraId="3200CE64">
            <w:pPr>
              <w:autoSpaceDE w:val="0"/>
              <w:autoSpaceDN w:val="0"/>
              <w:adjustRightInd w:val="0"/>
              <w:jc w:val="center"/>
              <w:rPr>
                <w:rFonts w:hint="eastAsia" w:ascii="宋体" w:hAnsi="宋体" w:eastAsia="宋体" w:cs="宋体"/>
                <w:color w:val="auto"/>
                <w:kern w:val="0"/>
                <w:sz w:val="24"/>
                <w:highlight w:val="none"/>
              </w:rPr>
            </w:pPr>
          </w:p>
        </w:tc>
        <w:tc>
          <w:tcPr>
            <w:tcW w:w="1559" w:type="dxa"/>
            <w:vAlign w:val="center"/>
          </w:tcPr>
          <w:p w14:paraId="63FAAA71">
            <w:pPr>
              <w:autoSpaceDE w:val="0"/>
              <w:autoSpaceDN w:val="0"/>
              <w:adjustRightInd w:val="0"/>
              <w:jc w:val="center"/>
              <w:rPr>
                <w:rFonts w:hint="eastAsia" w:ascii="宋体" w:hAnsi="宋体" w:eastAsia="宋体" w:cs="宋体"/>
                <w:color w:val="auto"/>
                <w:kern w:val="0"/>
                <w:sz w:val="24"/>
                <w:highlight w:val="none"/>
              </w:rPr>
            </w:pPr>
          </w:p>
        </w:tc>
        <w:tc>
          <w:tcPr>
            <w:tcW w:w="1276" w:type="dxa"/>
            <w:vAlign w:val="center"/>
          </w:tcPr>
          <w:p w14:paraId="2269A245">
            <w:pPr>
              <w:autoSpaceDE w:val="0"/>
              <w:autoSpaceDN w:val="0"/>
              <w:adjustRightInd w:val="0"/>
              <w:jc w:val="center"/>
              <w:rPr>
                <w:rFonts w:hint="eastAsia" w:ascii="宋体" w:hAnsi="宋体" w:eastAsia="宋体" w:cs="宋体"/>
                <w:color w:val="auto"/>
                <w:kern w:val="0"/>
                <w:sz w:val="24"/>
                <w:highlight w:val="none"/>
              </w:rPr>
            </w:pPr>
          </w:p>
        </w:tc>
        <w:tc>
          <w:tcPr>
            <w:tcW w:w="1299" w:type="dxa"/>
            <w:vAlign w:val="center"/>
          </w:tcPr>
          <w:p w14:paraId="4982F626">
            <w:pPr>
              <w:autoSpaceDE w:val="0"/>
              <w:autoSpaceDN w:val="0"/>
              <w:adjustRightInd w:val="0"/>
              <w:jc w:val="center"/>
              <w:rPr>
                <w:rFonts w:hint="eastAsia" w:ascii="宋体" w:hAnsi="宋体" w:eastAsia="宋体" w:cs="宋体"/>
                <w:color w:val="auto"/>
                <w:kern w:val="0"/>
                <w:sz w:val="24"/>
                <w:highlight w:val="none"/>
              </w:rPr>
            </w:pPr>
          </w:p>
        </w:tc>
        <w:tc>
          <w:tcPr>
            <w:tcW w:w="1111" w:type="dxa"/>
            <w:vAlign w:val="center"/>
          </w:tcPr>
          <w:p w14:paraId="4029FBC7">
            <w:pPr>
              <w:autoSpaceDE w:val="0"/>
              <w:autoSpaceDN w:val="0"/>
              <w:adjustRightInd w:val="0"/>
              <w:jc w:val="center"/>
              <w:rPr>
                <w:rFonts w:hint="eastAsia" w:ascii="宋体" w:hAnsi="宋体" w:eastAsia="宋体" w:cs="宋体"/>
                <w:color w:val="auto"/>
                <w:kern w:val="0"/>
                <w:sz w:val="24"/>
                <w:highlight w:val="none"/>
              </w:rPr>
            </w:pPr>
          </w:p>
        </w:tc>
        <w:tc>
          <w:tcPr>
            <w:tcW w:w="1417" w:type="dxa"/>
            <w:vAlign w:val="center"/>
          </w:tcPr>
          <w:p w14:paraId="25ACD151">
            <w:pPr>
              <w:autoSpaceDE w:val="0"/>
              <w:autoSpaceDN w:val="0"/>
              <w:adjustRightInd w:val="0"/>
              <w:jc w:val="center"/>
              <w:rPr>
                <w:rFonts w:hint="eastAsia" w:ascii="宋体" w:hAnsi="宋体" w:eastAsia="宋体" w:cs="宋体"/>
                <w:color w:val="auto"/>
                <w:kern w:val="0"/>
                <w:sz w:val="24"/>
                <w:highlight w:val="none"/>
              </w:rPr>
            </w:pPr>
          </w:p>
        </w:tc>
      </w:tr>
    </w:tbl>
    <w:p w14:paraId="42AA84E4">
      <w:pPr>
        <w:autoSpaceDE w:val="0"/>
        <w:autoSpaceDN w:val="0"/>
        <w:adjustRightInd w:val="0"/>
        <w:jc w:val="left"/>
        <w:rPr>
          <w:rFonts w:hint="eastAsia" w:ascii="宋体" w:hAnsi="宋体" w:eastAsia="宋体" w:cs="宋体"/>
          <w:color w:val="auto"/>
          <w:kern w:val="0"/>
          <w:sz w:val="24"/>
          <w:highlight w:val="none"/>
        </w:rPr>
      </w:pPr>
    </w:p>
    <w:p w14:paraId="4989B853">
      <w:pPr>
        <w:pStyle w:val="18"/>
        <w:adjustRightInd w:val="0"/>
        <w:snapToGrid w:val="0"/>
        <w:spacing w:line="460" w:lineRule="exact"/>
        <w:ind w:firstLine="442" w:firstLineChars="20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备注：</w:t>
      </w:r>
    </w:p>
    <w:p w14:paraId="43712716">
      <w:pPr>
        <w:pStyle w:val="18"/>
        <w:adjustRightInd w:val="0"/>
        <w:snapToGrid w:val="0"/>
        <w:spacing w:line="460" w:lineRule="exact"/>
        <w:ind w:firstLine="442" w:firstLineChars="20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（1）按第六章评审办法提供证明材料；</w:t>
      </w:r>
    </w:p>
    <w:p w14:paraId="6FF9D701">
      <w:pPr>
        <w:pStyle w:val="18"/>
        <w:adjustRightInd w:val="0"/>
        <w:snapToGrid w:val="0"/>
        <w:spacing w:line="460" w:lineRule="exact"/>
        <w:ind w:firstLine="442" w:firstLineChars="20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（2）没有类似业绩的，此表可以不提供。</w:t>
      </w:r>
    </w:p>
    <w:p w14:paraId="5EBA331A">
      <w:pPr>
        <w:pStyle w:val="18"/>
        <w:adjustRightInd w:val="0"/>
        <w:snapToGrid w:val="0"/>
        <w:spacing w:line="460" w:lineRule="exact"/>
        <w:ind w:firstLine="482" w:firstLineChars="200"/>
        <w:rPr>
          <w:rFonts w:hint="eastAsia" w:ascii="宋体" w:hAnsi="宋体" w:eastAsia="宋体" w:cs="宋体"/>
          <w:b/>
          <w:color w:val="auto"/>
          <w:kern w:val="0"/>
          <w:sz w:val="24"/>
          <w:szCs w:val="24"/>
          <w:highlight w:val="none"/>
        </w:rPr>
      </w:pPr>
    </w:p>
    <w:p w14:paraId="28476276">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投标供应商名称（电子签章）：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5598FF90">
      <w:pPr>
        <w:pStyle w:val="18"/>
        <w:adjustRightInd w:val="0"/>
        <w:snapToGrid w:val="0"/>
        <w:spacing w:line="460" w:lineRule="exac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法定代表人或其授权代表（签字或盖章）：</w:t>
      </w:r>
      <w:r>
        <w:rPr>
          <w:rFonts w:hint="eastAsia" w:ascii="宋体" w:hAnsi="宋体" w:eastAsia="宋体" w:cs="宋体"/>
          <w:color w:val="auto"/>
          <w:kern w:val="0"/>
          <w:sz w:val="28"/>
          <w:szCs w:val="28"/>
          <w:highlight w:val="none"/>
          <w:u w:val="single"/>
        </w:rPr>
        <w:t xml:space="preserve">              </w:t>
      </w:r>
    </w:p>
    <w:p w14:paraId="69912814">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日期：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00BB6F45">
      <w:pPr>
        <w:autoSpaceDE w:val="0"/>
        <w:autoSpaceDN w:val="0"/>
        <w:adjustRightInd w:val="0"/>
        <w:jc w:val="left"/>
        <w:rPr>
          <w:rFonts w:hint="eastAsia" w:ascii="宋体" w:hAnsi="宋体" w:eastAsia="宋体" w:cs="宋体"/>
          <w:color w:val="auto"/>
          <w:kern w:val="0"/>
          <w:sz w:val="24"/>
          <w:highlight w:val="none"/>
        </w:rPr>
      </w:pPr>
    </w:p>
    <w:p w14:paraId="31A8620A">
      <w:pPr>
        <w:autoSpaceDE w:val="0"/>
        <w:autoSpaceDN w:val="0"/>
        <w:adjustRightInd w:val="0"/>
        <w:jc w:val="left"/>
        <w:rPr>
          <w:rFonts w:hint="eastAsia" w:ascii="宋体" w:hAnsi="宋体" w:eastAsia="宋体" w:cs="宋体"/>
          <w:color w:val="auto"/>
          <w:kern w:val="0"/>
          <w:sz w:val="24"/>
          <w:highlight w:val="none"/>
        </w:rPr>
      </w:pPr>
    </w:p>
    <w:p w14:paraId="23C5E769">
      <w:pPr>
        <w:autoSpaceDE w:val="0"/>
        <w:autoSpaceDN w:val="0"/>
        <w:adjustRightInd w:val="0"/>
        <w:jc w:val="left"/>
        <w:rPr>
          <w:rFonts w:hint="eastAsia" w:ascii="宋体" w:hAnsi="宋体" w:eastAsia="宋体" w:cs="宋体"/>
          <w:color w:val="auto"/>
          <w:kern w:val="0"/>
          <w:sz w:val="24"/>
          <w:highlight w:val="none"/>
        </w:rPr>
      </w:pPr>
    </w:p>
    <w:p w14:paraId="7A4B7AF3">
      <w:pPr>
        <w:rPr>
          <w:rFonts w:hint="eastAsia" w:ascii="宋体" w:hAnsi="宋体" w:eastAsia="宋体" w:cs="宋体"/>
          <w:color w:val="auto"/>
          <w:highlight w:val="none"/>
        </w:rPr>
      </w:pPr>
    </w:p>
    <w:p w14:paraId="5690A359">
      <w:pPr>
        <w:pStyle w:val="30"/>
        <w:rPr>
          <w:rFonts w:hint="eastAsia" w:ascii="宋体" w:hAnsi="宋体" w:eastAsia="宋体" w:cs="宋体"/>
          <w:color w:val="auto"/>
          <w:highlight w:val="none"/>
        </w:rPr>
      </w:pPr>
    </w:p>
    <w:p w14:paraId="35DCBACB">
      <w:pPr>
        <w:rPr>
          <w:rFonts w:hint="eastAsia" w:ascii="宋体" w:hAnsi="宋体" w:eastAsia="宋体" w:cs="宋体"/>
          <w:color w:val="auto"/>
          <w:highlight w:val="none"/>
        </w:rPr>
      </w:pPr>
    </w:p>
    <w:p w14:paraId="68DF4803">
      <w:pPr>
        <w:pStyle w:val="30"/>
        <w:rPr>
          <w:rFonts w:hint="eastAsia" w:ascii="宋体" w:hAnsi="宋体" w:eastAsia="宋体" w:cs="宋体"/>
          <w:color w:val="auto"/>
          <w:highlight w:val="none"/>
        </w:rPr>
      </w:pPr>
    </w:p>
    <w:p w14:paraId="3CB8AFA1">
      <w:pPr>
        <w:pStyle w:val="5"/>
        <w:rPr>
          <w:rFonts w:hint="eastAsia" w:ascii="宋体" w:hAnsi="宋体" w:eastAsia="宋体" w:cs="宋体"/>
          <w:color w:val="auto"/>
          <w:kern w:val="0"/>
          <w:highlight w:val="none"/>
        </w:rPr>
      </w:pPr>
      <w:r>
        <w:rPr>
          <w:rFonts w:hint="eastAsia" w:ascii="宋体" w:hAnsi="宋体" w:eastAsia="宋体" w:cs="宋体"/>
          <w:color w:val="auto"/>
          <w:kern w:val="0"/>
          <w:highlight w:val="none"/>
        </w:rPr>
        <w:t>2.6、拟派项目管理团队人员全程在岗承诺书</w:t>
      </w:r>
    </w:p>
    <w:p w14:paraId="14369293">
      <w:pPr>
        <w:autoSpaceDE w:val="0"/>
        <w:autoSpaceDN w:val="0"/>
        <w:adjustRightInd w:val="0"/>
        <w:jc w:val="left"/>
        <w:rPr>
          <w:rFonts w:hint="eastAsia" w:ascii="宋体" w:hAnsi="宋体" w:eastAsia="宋体" w:cs="宋体"/>
          <w:color w:val="auto"/>
          <w:kern w:val="0"/>
          <w:sz w:val="24"/>
          <w:highlight w:val="none"/>
        </w:rPr>
      </w:pPr>
    </w:p>
    <w:p w14:paraId="0CA1D823">
      <w:pPr>
        <w:pStyle w:val="18"/>
        <w:adjustRightInd w:val="0"/>
        <w:snapToGrid w:val="0"/>
        <w:spacing w:before="156" w:beforeLines="50" w:after="156" w:afterLines="50" w:line="276"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拟派项目管理团队人员全程在岗承诺书</w:t>
      </w:r>
    </w:p>
    <w:p w14:paraId="37ED7C2D">
      <w:pPr>
        <w:autoSpaceDE w:val="0"/>
        <w:autoSpaceDN w:val="0"/>
        <w:adjustRightInd w:val="0"/>
        <w:jc w:val="left"/>
        <w:rPr>
          <w:rFonts w:hint="eastAsia" w:ascii="宋体" w:hAnsi="宋体" w:eastAsia="宋体" w:cs="宋体"/>
          <w:color w:val="auto"/>
          <w:kern w:val="0"/>
          <w:sz w:val="24"/>
          <w:highlight w:val="none"/>
        </w:rPr>
      </w:pPr>
    </w:p>
    <w:p w14:paraId="2CC18C70">
      <w:pPr>
        <w:autoSpaceDE w:val="0"/>
        <w:autoSpaceDN w:val="0"/>
        <w:adjustRightInd w:val="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苍南县灵溪镇人民政府：</w:t>
      </w:r>
    </w:p>
    <w:p w14:paraId="1835601C">
      <w:pPr>
        <w:autoSpaceDE w:val="0"/>
        <w:autoSpaceDN w:val="0"/>
        <w:adjustRightInd w:val="0"/>
        <w:jc w:val="left"/>
        <w:rPr>
          <w:rFonts w:hint="eastAsia" w:ascii="宋体" w:hAnsi="宋体" w:eastAsia="宋体" w:cs="宋体"/>
          <w:b/>
          <w:color w:val="auto"/>
          <w:kern w:val="0"/>
          <w:sz w:val="28"/>
          <w:szCs w:val="28"/>
          <w:highlight w:val="none"/>
        </w:rPr>
      </w:pPr>
    </w:p>
    <w:p w14:paraId="52B4C738">
      <w:pPr>
        <w:autoSpaceDE w:val="0"/>
        <w:autoSpaceDN w:val="0"/>
        <w:adjustRightInd w:val="0"/>
        <w:spacing w:line="460" w:lineRule="exact"/>
        <w:ind w:firstLine="700" w:firstLineChars="2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根据</w:t>
      </w:r>
      <w:r>
        <w:rPr>
          <w:rFonts w:hint="eastAsia" w:ascii="宋体" w:hAnsi="宋体" w:cs="宋体"/>
          <w:color w:val="auto"/>
          <w:kern w:val="0"/>
          <w:sz w:val="28"/>
          <w:szCs w:val="28"/>
          <w:highlight w:val="none"/>
          <w:u w:val="single"/>
          <w:lang w:eastAsia="zh-CN"/>
        </w:rPr>
        <w:t>2025年度苍南县百里平水公园(灵溪段)及南塘长效管理项目（重）</w:t>
      </w:r>
      <w:r>
        <w:rPr>
          <w:rFonts w:hint="eastAsia" w:ascii="宋体" w:hAnsi="宋体" w:eastAsia="宋体" w:cs="宋体"/>
          <w:color w:val="auto"/>
          <w:kern w:val="0"/>
          <w:sz w:val="28"/>
          <w:szCs w:val="28"/>
          <w:highlight w:val="none"/>
          <w:u w:val="single"/>
        </w:rPr>
        <w:t>（项目编号：</w:t>
      </w:r>
      <w:r>
        <w:rPr>
          <w:rFonts w:hint="eastAsia" w:ascii="宋体" w:hAnsi="宋体" w:cs="宋体"/>
          <w:color w:val="auto"/>
          <w:kern w:val="0"/>
          <w:sz w:val="28"/>
          <w:szCs w:val="28"/>
          <w:highlight w:val="none"/>
          <w:u w:val="single"/>
          <w:lang w:eastAsia="zh-CN"/>
        </w:rPr>
        <w:t>CNDL2025101</w:t>
      </w:r>
      <w:r>
        <w:rPr>
          <w:rFonts w:hint="eastAsia" w:ascii="宋体" w:hAnsi="宋体" w:eastAsia="宋体" w:cs="宋体"/>
          <w:color w:val="auto"/>
          <w:kern w:val="0"/>
          <w:sz w:val="28"/>
          <w:szCs w:val="28"/>
          <w:highlight w:val="none"/>
          <w:u w:val="single"/>
        </w:rPr>
        <w:t>）</w:t>
      </w:r>
      <w:r>
        <w:rPr>
          <w:rFonts w:hint="eastAsia" w:ascii="宋体" w:hAnsi="宋体" w:eastAsia="宋体" w:cs="宋体"/>
          <w:color w:val="auto"/>
          <w:kern w:val="0"/>
          <w:sz w:val="28"/>
          <w:szCs w:val="28"/>
          <w:highlight w:val="none"/>
        </w:rPr>
        <w:t>公开招标文件的相关要求，我公司郑重承诺：</w:t>
      </w:r>
      <w:r>
        <w:rPr>
          <w:rFonts w:hint="eastAsia" w:ascii="宋体" w:hAnsi="宋体" w:eastAsia="宋体" w:cs="宋体"/>
          <w:b/>
          <w:color w:val="auto"/>
          <w:kern w:val="0"/>
          <w:sz w:val="28"/>
          <w:szCs w:val="28"/>
          <w:highlight w:val="none"/>
        </w:rPr>
        <w:t>如中标，我公司投标文件所列拟派项目管理团队所有人员自合同签订之日起至合同履行完毕止全程在岗（在岗率100%），并无其他在管项目。</w:t>
      </w:r>
      <w:r>
        <w:rPr>
          <w:rFonts w:hint="eastAsia" w:ascii="宋体" w:hAnsi="宋体" w:eastAsia="宋体" w:cs="宋体"/>
          <w:color w:val="auto"/>
          <w:kern w:val="0"/>
          <w:sz w:val="28"/>
          <w:szCs w:val="28"/>
          <w:highlight w:val="none"/>
        </w:rPr>
        <w:t xml:space="preserve">如有违反，愿承担一切后果。 </w:t>
      </w:r>
    </w:p>
    <w:p w14:paraId="7C4BA042">
      <w:pPr>
        <w:autoSpaceDE w:val="0"/>
        <w:autoSpaceDN w:val="0"/>
        <w:adjustRightIn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特此承诺！</w:t>
      </w:r>
    </w:p>
    <w:p w14:paraId="7C4FF9E9">
      <w:pPr>
        <w:autoSpaceDE w:val="0"/>
        <w:autoSpaceDN w:val="0"/>
        <w:adjustRightInd w:val="0"/>
        <w:spacing w:line="460" w:lineRule="exact"/>
        <w:jc w:val="left"/>
        <w:rPr>
          <w:rFonts w:hint="eastAsia" w:ascii="宋体" w:hAnsi="宋体" w:eastAsia="宋体" w:cs="宋体"/>
          <w:color w:val="auto"/>
          <w:kern w:val="0"/>
          <w:sz w:val="28"/>
          <w:szCs w:val="28"/>
          <w:highlight w:val="none"/>
        </w:rPr>
      </w:pPr>
    </w:p>
    <w:p w14:paraId="23335C41">
      <w:pPr>
        <w:autoSpaceDE w:val="0"/>
        <w:autoSpaceDN w:val="0"/>
        <w:adjustRightInd w:val="0"/>
        <w:jc w:val="left"/>
        <w:rPr>
          <w:rFonts w:hint="eastAsia" w:ascii="宋体" w:hAnsi="宋体" w:eastAsia="宋体" w:cs="宋体"/>
          <w:color w:val="auto"/>
          <w:kern w:val="0"/>
          <w:sz w:val="24"/>
          <w:highlight w:val="none"/>
        </w:rPr>
      </w:pPr>
    </w:p>
    <w:p w14:paraId="0466DFCA">
      <w:pPr>
        <w:pStyle w:val="18"/>
        <w:adjustRightInd w:val="0"/>
        <w:snapToGrid w:val="0"/>
        <w:spacing w:line="460" w:lineRule="exact"/>
        <w:ind w:firstLine="482" w:firstLineChars="200"/>
        <w:rPr>
          <w:rFonts w:hint="eastAsia" w:ascii="宋体" w:hAnsi="宋体" w:eastAsia="宋体" w:cs="宋体"/>
          <w:b/>
          <w:color w:val="auto"/>
          <w:kern w:val="0"/>
          <w:sz w:val="24"/>
          <w:szCs w:val="24"/>
          <w:highlight w:val="none"/>
        </w:rPr>
      </w:pPr>
    </w:p>
    <w:p w14:paraId="79A4085E">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投标供应商名称（电子签章）：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24E20300">
      <w:pPr>
        <w:pStyle w:val="18"/>
        <w:adjustRightInd w:val="0"/>
        <w:snapToGrid w:val="0"/>
        <w:spacing w:line="460" w:lineRule="exac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法定代表人或其授权代表（签字或盖章）：</w:t>
      </w:r>
      <w:r>
        <w:rPr>
          <w:rFonts w:hint="eastAsia" w:ascii="宋体" w:hAnsi="宋体" w:eastAsia="宋体" w:cs="宋体"/>
          <w:color w:val="auto"/>
          <w:kern w:val="0"/>
          <w:sz w:val="28"/>
          <w:szCs w:val="28"/>
          <w:highlight w:val="none"/>
          <w:u w:val="single"/>
        </w:rPr>
        <w:t xml:space="preserve">              </w:t>
      </w:r>
    </w:p>
    <w:p w14:paraId="0D99CC6D">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日期：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604438A1">
      <w:pPr>
        <w:autoSpaceDE w:val="0"/>
        <w:autoSpaceDN w:val="0"/>
        <w:adjustRightInd w:val="0"/>
        <w:jc w:val="left"/>
        <w:rPr>
          <w:rFonts w:hint="eastAsia" w:ascii="宋体" w:hAnsi="宋体" w:eastAsia="宋体" w:cs="宋体"/>
          <w:color w:val="auto"/>
          <w:kern w:val="0"/>
          <w:sz w:val="24"/>
          <w:highlight w:val="none"/>
        </w:rPr>
      </w:pPr>
    </w:p>
    <w:p w14:paraId="343D59D2">
      <w:pPr>
        <w:autoSpaceDE w:val="0"/>
        <w:autoSpaceDN w:val="0"/>
        <w:adjustRightInd w:val="0"/>
        <w:jc w:val="left"/>
        <w:rPr>
          <w:rFonts w:hint="eastAsia" w:ascii="宋体" w:hAnsi="宋体" w:eastAsia="宋体" w:cs="宋体"/>
          <w:color w:val="auto"/>
          <w:kern w:val="0"/>
          <w:sz w:val="24"/>
          <w:highlight w:val="none"/>
        </w:rPr>
      </w:pPr>
    </w:p>
    <w:p w14:paraId="30ABA542">
      <w:pPr>
        <w:autoSpaceDE w:val="0"/>
        <w:autoSpaceDN w:val="0"/>
        <w:adjustRightInd w:val="0"/>
        <w:jc w:val="left"/>
        <w:rPr>
          <w:rFonts w:hint="eastAsia" w:ascii="宋体" w:hAnsi="宋体" w:eastAsia="宋体" w:cs="宋体"/>
          <w:color w:val="auto"/>
          <w:kern w:val="0"/>
          <w:sz w:val="24"/>
          <w:highlight w:val="none"/>
        </w:rPr>
      </w:pPr>
    </w:p>
    <w:p w14:paraId="43EF91E5">
      <w:pPr>
        <w:autoSpaceDE w:val="0"/>
        <w:autoSpaceDN w:val="0"/>
        <w:adjustRightInd w:val="0"/>
        <w:jc w:val="left"/>
        <w:rPr>
          <w:rFonts w:hint="eastAsia" w:ascii="宋体" w:hAnsi="宋体" w:eastAsia="宋体" w:cs="宋体"/>
          <w:color w:val="auto"/>
          <w:kern w:val="0"/>
          <w:sz w:val="24"/>
          <w:highlight w:val="none"/>
        </w:rPr>
      </w:pPr>
    </w:p>
    <w:p w14:paraId="58BCCB84">
      <w:pPr>
        <w:autoSpaceDE w:val="0"/>
        <w:autoSpaceDN w:val="0"/>
        <w:adjustRightInd w:val="0"/>
        <w:jc w:val="left"/>
        <w:rPr>
          <w:rFonts w:hint="eastAsia" w:ascii="宋体" w:hAnsi="宋体" w:eastAsia="宋体" w:cs="宋体"/>
          <w:color w:val="auto"/>
          <w:kern w:val="0"/>
          <w:sz w:val="24"/>
          <w:highlight w:val="none"/>
        </w:rPr>
      </w:pPr>
    </w:p>
    <w:p w14:paraId="5DD8722D">
      <w:pPr>
        <w:autoSpaceDE w:val="0"/>
        <w:autoSpaceDN w:val="0"/>
        <w:adjustRightInd w:val="0"/>
        <w:jc w:val="left"/>
        <w:rPr>
          <w:rFonts w:hint="eastAsia" w:ascii="宋体" w:hAnsi="宋体" w:eastAsia="宋体" w:cs="宋体"/>
          <w:color w:val="auto"/>
          <w:kern w:val="0"/>
          <w:sz w:val="24"/>
          <w:highlight w:val="none"/>
        </w:rPr>
      </w:pPr>
    </w:p>
    <w:p w14:paraId="53A0FF6A">
      <w:pPr>
        <w:autoSpaceDE w:val="0"/>
        <w:autoSpaceDN w:val="0"/>
        <w:adjustRightInd w:val="0"/>
        <w:jc w:val="left"/>
        <w:rPr>
          <w:rFonts w:hint="eastAsia" w:ascii="宋体" w:hAnsi="宋体" w:eastAsia="宋体" w:cs="宋体"/>
          <w:color w:val="auto"/>
          <w:kern w:val="0"/>
          <w:sz w:val="24"/>
          <w:highlight w:val="none"/>
        </w:rPr>
      </w:pPr>
    </w:p>
    <w:p w14:paraId="627361E5">
      <w:pPr>
        <w:autoSpaceDE w:val="0"/>
        <w:autoSpaceDN w:val="0"/>
        <w:adjustRightInd w:val="0"/>
        <w:jc w:val="left"/>
        <w:rPr>
          <w:rFonts w:hint="eastAsia" w:ascii="宋体" w:hAnsi="宋体" w:eastAsia="宋体" w:cs="宋体"/>
          <w:color w:val="auto"/>
          <w:kern w:val="0"/>
          <w:sz w:val="24"/>
          <w:highlight w:val="none"/>
        </w:rPr>
      </w:pPr>
    </w:p>
    <w:p w14:paraId="7F7F669A">
      <w:pPr>
        <w:autoSpaceDE w:val="0"/>
        <w:autoSpaceDN w:val="0"/>
        <w:adjustRightInd w:val="0"/>
        <w:jc w:val="left"/>
        <w:rPr>
          <w:rFonts w:hint="eastAsia" w:ascii="宋体" w:hAnsi="宋体" w:eastAsia="宋体" w:cs="宋体"/>
          <w:color w:val="auto"/>
          <w:kern w:val="0"/>
          <w:sz w:val="24"/>
          <w:highlight w:val="none"/>
        </w:rPr>
      </w:pPr>
    </w:p>
    <w:p w14:paraId="55902F09">
      <w:pPr>
        <w:autoSpaceDE w:val="0"/>
        <w:autoSpaceDN w:val="0"/>
        <w:adjustRightInd w:val="0"/>
        <w:jc w:val="left"/>
        <w:rPr>
          <w:rFonts w:hint="eastAsia" w:ascii="宋体" w:hAnsi="宋体" w:eastAsia="宋体" w:cs="宋体"/>
          <w:color w:val="auto"/>
          <w:kern w:val="0"/>
          <w:sz w:val="24"/>
          <w:highlight w:val="none"/>
        </w:rPr>
      </w:pPr>
    </w:p>
    <w:p w14:paraId="1769474F">
      <w:pPr>
        <w:autoSpaceDE w:val="0"/>
        <w:autoSpaceDN w:val="0"/>
        <w:adjustRightInd w:val="0"/>
        <w:jc w:val="left"/>
        <w:rPr>
          <w:rFonts w:hint="eastAsia" w:ascii="宋体" w:hAnsi="宋体" w:eastAsia="宋体" w:cs="宋体"/>
          <w:color w:val="auto"/>
          <w:kern w:val="0"/>
          <w:sz w:val="24"/>
          <w:highlight w:val="none"/>
        </w:rPr>
      </w:pPr>
    </w:p>
    <w:p w14:paraId="3CE16FC6">
      <w:pPr>
        <w:autoSpaceDE w:val="0"/>
        <w:autoSpaceDN w:val="0"/>
        <w:adjustRightInd w:val="0"/>
        <w:jc w:val="left"/>
        <w:rPr>
          <w:rFonts w:hint="eastAsia" w:ascii="宋体" w:hAnsi="宋体" w:eastAsia="宋体" w:cs="宋体"/>
          <w:color w:val="auto"/>
          <w:kern w:val="0"/>
          <w:sz w:val="24"/>
          <w:highlight w:val="none"/>
        </w:rPr>
      </w:pPr>
    </w:p>
    <w:p w14:paraId="2F89E31C">
      <w:pPr>
        <w:autoSpaceDE w:val="0"/>
        <w:autoSpaceDN w:val="0"/>
        <w:adjustRightInd w:val="0"/>
        <w:jc w:val="left"/>
        <w:rPr>
          <w:rFonts w:hint="eastAsia" w:ascii="宋体" w:hAnsi="宋体" w:eastAsia="宋体" w:cs="宋体"/>
          <w:color w:val="auto"/>
          <w:kern w:val="0"/>
          <w:sz w:val="24"/>
          <w:highlight w:val="none"/>
        </w:rPr>
      </w:pPr>
    </w:p>
    <w:p w14:paraId="57DA7D64">
      <w:pPr>
        <w:autoSpaceDE w:val="0"/>
        <w:autoSpaceDN w:val="0"/>
        <w:adjustRightInd w:val="0"/>
        <w:jc w:val="left"/>
        <w:rPr>
          <w:rFonts w:hint="eastAsia" w:ascii="宋体" w:hAnsi="宋体" w:eastAsia="宋体" w:cs="宋体"/>
          <w:color w:val="auto"/>
          <w:kern w:val="0"/>
          <w:sz w:val="24"/>
          <w:highlight w:val="none"/>
        </w:rPr>
      </w:pPr>
    </w:p>
    <w:p w14:paraId="74094575">
      <w:pPr>
        <w:autoSpaceDE w:val="0"/>
        <w:autoSpaceDN w:val="0"/>
        <w:adjustRightInd w:val="0"/>
        <w:jc w:val="left"/>
        <w:rPr>
          <w:rFonts w:hint="eastAsia" w:ascii="宋体" w:hAnsi="宋体" w:eastAsia="宋体" w:cs="宋体"/>
          <w:color w:val="auto"/>
          <w:kern w:val="0"/>
          <w:sz w:val="24"/>
          <w:highlight w:val="none"/>
        </w:rPr>
      </w:pPr>
    </w:p>
    <w:p w14:paraId="22BA9B6F">
      <w:pPr>
        <w:autoSpaceDE w:val="0"/>
        <w:autoSpaceDN w:val="0"/>
        <w:adjustRightInd w:val="0"/>
        <w:jc w:val="left"/>
        <w:rPr>
          <w:rFonts w:hint="eastAsia" w:ascii="宋体" w:hAnsi="宋体" w:eastAsia="宋体" w:cs="宋体"/>
          <w:color w:val="auto"/>
          <w:kern w:val="0"/>
          <w:sz w:val="24"/>
          <w:highlight w:val="none"/>
        </w:rPr>
      </w:pPr>
    </w:p>
    <w:p w14:paraId="6BE9A399">
      <w:pPr>
        <w:pStyle w:val="18"/>
        <w:adjustRightInd w:val="0"/>
        <w:snapToGrid w:val="0"/>
        <w:spacing w:line="340" w:lineRule="atLeast"/>
        <w:rPr>
          <w:rFonts w:hint="eastAsia" w:ascii="宋体" w:hAnsi="宋体" w:eastAsia="宋体" w:cs="宋体"/>
          <w:color w:val="auto"/>
          <w:kern w:val="0"/>
          <w:sz w:val="28"/>
          <w:szCs w:val="28"/>
          <w:highlight w:val="none"/>
        </w:rPr>
      </w:pPr>
    </w:p>
    <w:p w14:paraId="7D362036">
      <w:pPr>
        <w:pStyle w:val="5"/>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2.7、人员、车辆、设备投入及到位承诺</w:t>
      </w:r>
      <w:r>
        <w:rPr>
          <w:rFonts w:hint="eastAsia" w:ascii="宋体" w:hAnsi="宋体" w:cs="宋体"/>
          <w:color w:val="auto"/>
          <w:kern w:val="0"/>
          <w:highlight w:val="none"/>
          <w:lang w:val="en-US" w:eastAsia="zh-CN"/>
        </w:rPr>
        <w:t>书</w:t>
      </w:r>
    </w:p>
    <w:p w14:paraId="207EACBB">
      <w:pPr>
        <w:pStyle w:val="18"/>
        <w:adjustRightInd w:val="0"/>
        <w:snapToGrid w:val="0"/>
        <w:spacing w:line="340" w:lineRule="atLeast"/>
        <w:rPr>
          <w:rFonts w:hint="eastAsia" w:ascii="宋体" w:hAnsi="宋体" w:eastAsia="宋体" w:cs="宋体"/>
          <w:color w:val="auto"/>
          <w:kern w:val="0"/>
          <w:sz w:val="28"/>
          <w:szCs w:val="28"/>
          <w:highlight w:val="none"/>
        </w:rPr>
      </w:pPr>
    </w:p>
    <w:p w14:paraId="36B5582D">
      <w:pPr>
        <w:pStyle w:val="18"/>
        <w:adjustRightInd w:val="0"/>
        <w:snapToGrid w:val="0"/>
        <w:spacing w:before="156" w:beforeLines="50" w:after="156" w:afterLines="50" w:line="276" w:lineRule="auto"/>
        <w:jc w:val="center"/>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rPr>
        <w:t>人员、车辆、设备投入及到位承诺</w:t>
      </w:r>
      <w:r>
        <w:rPr>
          <w:rFonts w:hint="eastAsia" w:hAnsi="宋体" w:eastAsia="宋体" w:cs="宋体"/>
          <w:b/>
          <w:color w:val="auto"/>
          <w:kern w:val="0"/>
          <w:sz w:val="36"/>
          <w:szCs w:val="36"/>
          <w:highlight w:val="none"/>
          <w:lang w:val="en-US" w:eastAsia="zh-CN"/>
        </w:rPr>
        <w:t>书</w:t>
      </w:r>
    </w:p>
    <w:p w14:paraId="660492CF">
      <w:pPr>
        <w:pStyle w:val="18"/>
        <w:adjustRightInd w:val="0"/>
        <w:snapToGrid w:val="0"/>
        <w:spacing w:line="340" w:lineRule="atLeast"/>
        <w:rPr>
          <w:rFonts w:hint="eastAsia" w:ascii="宋体" w:hAnsi="宋体" w:eastAsia="宋体" w:cs="宋体"/>
          <w:color w:val="auto"/>
          <w:kern w:val="0"/>
          <w:sz w:val="28"/>
          <w:szCs w:val="28"/>
          <w:highlight w:val="none"/>
        </w:rPr>
      </w:pPr>
    </w:p>
    <w:p w14:paraId="5880EE95">
      <w:pPr>
        <w:pStyle w:val="18"/>
        <w:adjustRightInd w:val="0"/>
        <w:snapToGrid w:val="0"/>
        <w:spacing w:line="340" w:lineRule="atLeas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hAnsi="宋体" w:eastAsia="宋体" w:cs="宋体"/>
          <w:color w:val="auto"/>
          <w:spacing w:val="-4"/>
          <w:kern w:val="0"/>
          <w:sz w:val="24"/>
          <w:szCs w:val="24"/>
          <w:highlight w:val="none"/>
          <w:lang w:eastAsia="zh-CN"/>
        </w:rPr>
        <w:t>2025年度苍南县百里平水公园(灵溪段)及南塘长效管理项目（重）</w:t>
      </w:r>
    </w:p>
    <w:p w14:paraId="654DACBC">
      <w:pPr>
        <w:autoSpaceDE w:val="0"/>
        <w:autoSpaceDN w:val="0"/>
        <w:adjustRightInd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项目编号：</w:t>
      </w:r>
      <w:r>
        <w:rPr>
          <w:rFonts w:hint="eastAsia" w:ascii="宋体" w:hAnsi="宋体" w:cs="宋体"/>
          <w:color w:val="auto"/>
          <w:kern w:val="0"/>
          <w:sz w:val="24"/>
          <w:highlight w:val="none"/>
          <w:lang w:eastAsia="zh-CN"/>
        </w:rPr>
        <w:t>CNDL2025101</w:t>
      </w:r>
    </w:p>
    <w:p w14:paraId="6FE883A2">
      <w:pPr>
        <w:autoSpaceDE w:val="0"/>
        <w:autoSpaceDN w:val="0"/>
        <w:adjustRightInd w:val="0"/>
        <w:jc w:val="left"/>
        <w:rPr>
          <w:rFonts w:hint="eastAsia" w:ascii="宋体" w:hAnsi="宋体" w:eastAsia="宋体" w:cs="宋体"/>
          <w:color w:val="auto"/>
          <w:kern w:val="0"/>
          <w:sz w:val="24"/>
          <w:highlight w:val="none"/>
        </w:rPr>
      </w:pPr>
    </w:p>
    <w:tbl>
      <w:tblPr>
        <w:tblStyle w:val="32"/>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039"/>
      </w:tblGrid>
      <w:tr w14:paraId="3A5461F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138" w:hRule="atLeast"/>
        </w:trPr>
        <w:tc>
          <w:tcPr>
            <w:tcW w:w="9039" w:type="dxa"/>
          </w:tcPr>
          <w:p w14:paraId="460EC7CD">
            <w:pPr>
              <w:autoSpaceDE w:val="0"/>
              <w:autoSpaceDN w:val="0"/>
              <w:adjustRightInd w:val="0"/>
              <w:jc w:val="left"/>
              <w:rPr>
                <w:rFonts w:hint="eastAsia" w:ascii="宋体" w:hAnsi="宋体" w:eastAsia="宋体" w:cs="宋体"/>
                <w:color w:val="auto"/>
                <w:kern w:val="0"/>
                <w:sz w:val="24"/>
                <w:highlight w:val="none"/>
              </w:rPr>
            </w:pPr>
          </w:p>
          <w:p w14:paraId="4013D751">
            <w:pPr>
              <w:autoSpaceDE w:val="0"/>
              <w:autoSpaceDN w:val="0"/>
              <w:adjustRightInd w:val="0"/>
              <w:jc w:val="left"/>
              <w:rPr>
                <w:rFonts w:hint="eastAsia" w:ascii="宋体" w:hAnsi="宋体" w:eastAsia="宋体" w:cs="宋体"/>
                <w:color w:val="auto"/>
                <w:kern w:val="0"/>
                <w:sz w:val="24"/>
                <w:highlight w:val="none"/>
              </w:rPr>
            </w:pPr>
          </w:p>
          <w:p w14:paraId="54382214">
            <w:pPr>
              <w:autoSpaceDE w:val="0"/>
              <w:autoSpaceDN w:val="0"/>
              <w:adjustRightInd w:val="0"/>
              <w:jc w:val="left"/>
              <w:rPr>
                <w:rFonts w:hint="eastAsia" w:ascii="宋体" w:hAnsi="宋体" w:eastAsia="宋体" w:cs="宋体"/>
                <w:color w:val="auto"/>
                <w:kern w:val="0"/>
                <w:sz w:val="24"/>
                <w:highlight w:val="none"/>
              </w:rPr>
            </w:pPr>
          </w:p>
          <w:p w14:paraId="08804970">
            <w:pPr>
              <w:autoSpaceDE w:val="0"/>
              <w:autoSpaceDN w:val="0"/>
              <w:adjustRightInd w:val="0"/>
              <w:jc w:val="left"/>
              <w:rPr>
                <w:rFonts w:hint="eastAsia" w:ascii="宋体" w:hAnsi="宋体" w:eastAsia="宋体" w:cs="宋体"/>
                <w:color w:val="auto"/>
                <w:kern w:val="0"/>
                <w:sz w:val="24"/>
                <w:highlight w:val="none"/>
              </w:rPr>
            </w:pPr>
          </w:p>
          <w:p w14:paraId="3C8DFDF1">
            <w:pPr>
              <w:autoSpaceDE w:val="0"/>
              <w:autoSpaceDN w:val="0"/>
              <w:adjustRightInd w:val="0"/>
              <w:jc w:val="left"/>
              <w:rPr>
                <w:rFonts w:hint="eastAsia" w:ascii="宋体" w:hAnsi="宋体" w:eastAsia="宋体" w:cs="宋体"/>
                <w:color w:val="auto"/>
                <w:kern w:val="0"/>
                <w:sz w:val="24"/>
                <w:highlight w:val="none"/>
              </w:rPr>
            </w:pPr>
          </w:p>
          <w:p w14:paraId="2E53DF7E">
            <w:pPr>
              <w:autoSpaceDE w:val="0"/>
              <w:autoSpaceDN w:val="0"/>
              <w:adjustRightInd w:val="0"/>
              <w:jc w:val="left"/>
              <w:rPr>
                <w:rFonts w:hint="eastAsia" w:ascii="宋体" w:hAnsi="宋体" w:eastAsia="宋体" w:cs="宋体"/>
                <w:color w:val="auto"/>
                <w:kern w:val="0"/>
                <w:sz w:val="24"/>
                <w:highlight w:val="none"/>
              </w:rPr>
            </w:pPr>
          </w:p>
          <w:p w14:paraId="62B1AF8D">
            <w:pPr>
              <w:autoSpaceDE w:val="0"/>
              <w:autoSpaceDN w:val="0"/>
              <w:adjustRightInd w:val="0"/>
              <w:jc w:val="left"/>
              <w:rPr>
                <w:rFonts w:hint="eastAsia" w:ascii="宋体" w:hAnsi="宋体" w:eastAsia="宋体" w:cs="宋体"/>
                <w:color w:val="auto"/>
                <w:kern w:val="0"/>
                <w:sz w:val="24"/>
                <w:highlight w:val="none"/>
              </w:rPr>
            </w:pPr>
          </w:p>
          <w:p w14:paraId="55A898B3">
            <w:pPr>
              <w:autoSpaceDE w:val="0"/>
              <w:autoSpaceDN w:val="0"/>
              <w:adjustRightInd w:val="0"/>
              <w:jc w:val="left"/>
              <w:rPr>
                <w:rFonts w:hint="eastAsia" w:ascii="宋体" w:hAnsi="宋体" w:eastAsia="宋体" w:cs="宋体"/>
                <w:color w:val="auto"/>
                <w:kern w:val="0"/>
                <w:sz w:val="24"/>
                <w:highlight w:val="none"/>
              </w:rPr>
            </w:pPr>
          </w:p>
          <w:p w14:paraId="3FF6FB1F">
            <w:pPr>
              <w:autoSpaceDE w:val="0"/>
              <w:autoSpaceDN w:val="0"/>
              <w:adjustRightInd w:val="0"/>
              <w:jc w:val="left"/>
              <w:rPr>
                <w:rFonts w:hint="eastAsia" w:ascii="宋体" w:hAnsi="宋体" w:eastAsia="宋体" w:cs="宋体"/>
                <w:color w:val="auto"/>
                <w:kern w:val="0"/>
                <w:sz w:val="24"/>
                <w:highlight w:val="none"/>
              </w:rPr>
            </w:pPr>
          </w:p>
          <w:p w14:paraId="010CA3EA">
            <w:pPr>
              <w:autoSpaceDE w:val="0"/>
              <w:autoSpaceDN w:val="0"/>
              <w:adjustRightInd w:val="0"/>
              <w:jc w:val="left"/>
              <w:rPr>
                <w:rFonts w:hint="eastAsia" w:ascii="宋体" w:hAnsi="宋体" w:eastAsia="宋体" w:cs="宋体"/>
                <w:color w:val="auto"/>
                <w:kern w:val="0"/>
                <w:sz w:val="24"/>
                <w:highlight w:val="none"/>
              </w:rPr>
            </w:pPr>
          </w:p>
          <w:p w14:paraId="5CF8FEB4">
            <w:pPr>
              <w:autoSpaceDE w:val="0"/>
              <w:autoSpaceDN w:val="0"/>
              <w:adjustRightInd w:val="0"/>
              <w:jc w:val="left"/>
              <w:rPr>
                <w:rFonts w:hint="eastAsia" w:ascii="宋体" w:hAnsi="宋体" w:eastAsia="宋体" w:cs="宋体"/>
                <w:color w:val="auto"/>
                <w:kern w:val="0"/>
                <w:sz w:val="24"/>
                <w:highlight w:val="none"/>
              </w:rPr>
            </w:pPr>
          </w:p>
          <w:p w14:paraId="57503028">
            <w:pPr>
              <w:autoSpaceDE w:val="0"/>
              <w:autoSpaceDN w:val="0"/>
              <w:adjustRightInd w:val="0"/>
              <w:spacing w:line="460" w:lineRule="exact"/>
              <w:jc w:val="center"/>
              <w:rPr>
                <w:rFonts w:hint="eastAsia" w:ascii="宋体" w:hAnsi="宋体" w:eastAsia="宋体" w:cs="宋体"/>
                <w:color w:val="auto"/>
                <w:kern w:val="0"/>
                <w:sz w:val="24"/>
                <w:highlight w:val="none"/>
              </w:rPr>
            </w:pPr>
          </w:p>
        </w:tc>
      </w:tr>
    </w:tbl>
    <w:p w14:paraId="524049F4">
      <w:pPr>
        <w:autoSpaceDE w:val="0"/>
        <w:autoSpaceDN w:val="0"/>
        <w:adjustRightInd w:val="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注：本承诺书已含河道保洁人员会游泳，且年龄小于60周岁。</w:t>
      </w:r>
    </w:p>
    <w:p w14:paraId="0761F913">
      <w:pPr>
        <w:pStyle w:val="18"/>
        <w:adjustRightInd w:val="0"/>
        <w:snapToGrid w:val="0"/>
        <w:spacing w:line="340" w:lineRule="atLeast"/>
        <w:rPr>
          <w:rFonts w:hint="eastAsia" w:ascii="宋体" w:hAnsi="宋体" w:eastAsia="宋体" w:cs="宋体"/>
          <w:color w:val="auto"/>
          <w:kern w:val="0"/>
          <w:sz w:val="28"/>
          <w:szCs w:val="28"/>
          <w:highlight w:val="none"/>
        </w:rPr>
      </w:pPr>
    </w:p>
    <w:p w14:paraId="549D02CD">
      <w:pPr>
        <w:pStyle w:val="18"/>
        <w:adjustRightInd w:val="0"/>
        <w:snapToGrid w:val="0"/>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投标供应商名称（电子签章）：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26815574">
      <w:pPr>
        <w:pStyle w:val="18"/>
        <w:adjustRightInd w:val="0"/>
        <w:snapToGrid w:val="0"/>
        <w:spacing w:line="460" w:lineRule="exac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法定代表人或其授权代表（签字或盖章）：</w:t>
      </w:r>
      <w:r>
        <w:rPr>
          <w:rFonts w:hint="eastAsia" w:ascii="宋体" w:hAnsi="宋体" w:eastAsia="宋体" w:cs="宋体"/>
          <w:color w:val="auto"/>
          <w:kern w:val="0"/>
          <w:sz w:val="28"/>
          <w:szCs w:val="28"/>
          <w:highlight w:val="none"/>
          <w:u w:val="single"/>
        </w:rPr>
        <w:t xml:space="preserve">              </w:t>
      </w:r>
    </w:p>
    <w:p w14:paraId="4AB81AF5">
      <w:pPr>
        <w:pStyle w:val="18"/>
        <w:adjustRightInd w:val="0"/>
        <w:snapToGrid w:val="0"/>
        <w:spacing w:line="34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日期：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56CA2AA5">
      <w:pPr>
        <w:pStyle w:val="5"/>
        <w:rPr>
          <w:rFonts w:hint="eastAsia" w:ascii="宋体" w:hAnsi="宋体" w:eastAsia="宋体" w:cs="宋体"/>
          <w:color w:val="auto"/>
          <w:kern w:val="0"/>
          <w:highlight w:val="none"/>
          <w:lang w:val="en-US" w:eastAsia="zh-CN"/>
        </w:rPr>
      </w:pPr>
      <w:r>
        <w:rPr>
          <w:rFonts w:hint="eastAsia" w:ascii="宋体" w:hAnsi="宋体" w:eastAsia="宋体" w:cs="宋体"/>
          <w:color w:val="auto"/>
          <w:kern w:val="0"/>
          <w:sz w:val="28"/>
          <w:szCs w:val="28"/>
          <w:highlight w:val="none"/>
        </w:rPr>
        <w:br w:type="page"/>
      </w:r>
      <w:r>
        <w:rPr>
          <w:rFonts w:hint="eastAsia" w:ascii="宋体" w:hAnsi="宋体" w:eastAsia="宋体" w:cs="宋体"/>
          <w:color w:val="auto"/>
          <w:kern w:val="0"/>
          <w:highlight w:val="none"/>
        </w:rPr>
        <w:t xml:space="preserve"> 2.</w:t>
      </w:r>
      <w:r>
        <w:rPr>
          <w:rFonts w:hint="eastAsia" w:ascii="宋体" w:hAnsi="宋体" w:eastAsia="宋体" w:cs="宋体"/>
          <w:color w:val="auto"/>
          <w:kern w:val="0"/>
          <w:highlight w:val="none"/>
          <w:lang w:val="en-US" w:eastAsia="zh-CN"/>
        </w:rPr>
        <w:t>8绿化养护承诺书</w:t>
      </w:r>
    </w:p>
    <w:p w14:paraId="049FDA4F">
      <w:pPr>
        <w:pStyle w:val="18"/>
        <w:adjustRightInd w:val="0"/>
        <w:snapToGrid w:val="0"/>
        <w:spacing w:before="156" w:beforeLines="50" w:after="156" w:afterLines="50" w:line="276" w:lineRule="auto"/>
        <w:jc w:val="center"/>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lang w:val="en-US" w:eastAsia="zh-CN"/>
        </w:rPr>
        <w:t>绿化养护承诺书</w:t>
      </w:r>
    </w:p>
    <w:p w14:paraId="5C3BCE44">
      <w:pPr>
        <w:autoSpaceDE w:val="0"/>
        <w:autoSpaceDN w:val="0"/>
        <w:adjustRightInd w:val="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苍南县灵溪镇人民政府：</w:t>
      </w:r>
    </w:p>
    <w:p w14:paraId="5D5E326C">
      <w:pPr>
        <w:autoSpaceDE w:val="0"/>
        <w:autoSpaceDN w:val="0"/>
        <w:snapToGrid w:val="0"/>
        <w:spacing w:before="100" w:after="100" w:line="360" w:lineRule="auto"/>
        <w:ind w:firstLine="480" w:firstLineChars="200"/>
        <w:jc w:val="left"/>
        <w:rPr>
          <w:rFonts w:hint="eastAsia" w:ascii="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cs="宋体"/>
          <w:b w:val="0"/>
          <w:bCs w:val="0"/>
          <w:color w:val="auto"/>
          <w:sz w:val="24"/>
          <w:szCs w:val="24"/>
          <w:highlight w:val="none"/>
          <w:u w:val="single"/>
          <w:lang w:val="en-US" w:eastAsia="zh-CN"/>
        </w:rPr>
        <w:t>2025年度苍南县百里平水公园(灵溪段)及南塘长效管理项目（重）</w:t>
      </w:r>
      <w:r>
        <w:rPr>
          <w:rFonts w:hint="eastAsia" w:ascii="宋体" w:hAnsi="宋体" w:eastAsia="宋体" w:cs="宋体"/>
          <w:b w:val="0"/>
          <w:bCs w:val="0"/>
          <w:color w:val="auto"/>
          <w:sz w:val="24"/>
          <w:szCs w:val="24"/>
          <w:highlight w:val="none"/>
          <w:u w:val="single"/>
          <w:lang w:val="en-US" w:eastAsia="zh-CN"/>
        </w:rPr>
        <w:t>（项目编号：</w:t>
      </w:r>
      <w:r>
        <w:rPr>
          <w:rFonts w:hint="eastAsia" w:ascii="宋体" w:hAnsi="宋体" w:cs="宋体"/>
          <w:b w:val="0"/>
          <w:bCs w:val="0"/>
          <w:color w:val="auto"/>
          <w:sz w:val="24"/>
          <w:szCs w:val="24"/>
          <w:highlight w:val="none"/>
          <w:u w:val="single"/>
          <w:lang w:val="en-US" w:eastAsia="zh-CN"/>
        </w:rPr>
        <w:t>CNDL2025101</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lang w:val="en-US" w:eastAsia="zh-CN"/>
        </w:rPr>
        <w:t>公开招标文件的相关要求，我公司郑重承诺：如中标，绿化养护</w:t>
      </w:r>
      <w:r>
        <w:rPr>
          <w:rFonts w:hint="eastAsia" w:ascii="宋体" w:hAnsi="宋体"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lang w:val="en-US" w:eastAsia="zh-CN"/>
        </w:rPr>
        <w:t>按业主需求进场，每次以实际发生的人工计算。</w:t>
      </w:r>
      <w:r>
        <w:rPr>
          <w:rFonts w:hint="eastAsia" w:ascii="宋体" w:hAnsi="宋体" w:cs="宋体"/>
          <w:b w:val="0"/>
          <w:bCs w:val="0"/>
          <w:color w:val="auto"/>
          <w:sz w:val="24"/>
          <w:szCs w:val="24"/>
          <w:highlight w:val="none"/>
          <w:lang w:val="en-US" w:eastAsia="zh-CN"/>
        </w:rPr>
        <w:t>绿化养护人员</w:t>
      </w:r>
      <w:r>
        <w:rPr>
          <w:rFonts w:hint="eastAsia" w:ascii="宋体" w:hAnsi="宋体" w:eastAsia="宋体" w:cs="宋体"/>
          <w:b w:val="0"/>
          <w:bCs w:val="0"/>
          <w:color w:val="auto"/>
          <w:sz w:val="24"/>
          <w:szCs w:val="24"/>
          <w:highlight w:val="none"/>
          <w:lang w:val="en-US" w:eastAsia="zh-CN"/>
        </w:rPr>
        <w:t>费用为220元/工日/人</w:t>
      </w:r>
      <w:r>
        <w:rPr>
          <w:rFonts w:hint="eastAsia" w:ascii="宋体" w:hAnsi="宋体" w:cs="宋体"/>
          <w:b w:val="0"/>
          <w:bCs w:val="0"/>
          <w:color w:val="auto"/>
          <w:sz w:val="24"/>
          <w:szCs w:val="24"/>
          <w:highlight w:val="none"/>
          <w:lang w:val="en-US" w:eastAsia="zh-CN"/>
        </w:rPr>
        <w:t>（含绿化养护机械设备）</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工日的时间为：早上8：00-18:00。 晚上计算时间：18:00-24:00为半个工日，00:00-8:00为半个工日。</w:t>
      </w:r>
      <w:r>
        <w:rPr>
          <w:rFonts w:hint="eastAsia" w:ascii="宋体" w:eastAsia="宋体"/>
          <w:b w:val="0"/>
          <w:bCs w:val="0"/>
          <w:color w:val="auto"/>
          <w:sz w:val="24"/>
          <w:szCs w:val="24"/>
          <w:highlight w:val="none"/>
        </w:rPr>
        <w:t>含</w:t>
      </w:r>
      <w:r>
        <w:rPr>
          <w:rFonts w:hint="eastAsia" w:ascii="宋体" w:eastAsia="宋体"/>
          <w:b w:val="0"/>
          <w:bCs w:val="0"/>
          <w:color w:val="auto"/>
          <w:sz w:val="24"/>
          <w:szCs w:val="24"/>
          <w:highlight w:val="none"/>
          <w:lang w:val="en-US" w:eastAsia="zh-CN"/>
        </w:rPr>
        <w:t>绿化养护人员</w:t>
      </w:r>
      <w:r>
        <w:rPr>
          <w:rFonts w:hint="eastAsia" w:ascii="宋体" w:eastAsia="宋体"/>
          <w:b w:val="0"/>
          <w:bCs w:val="0"/>
          <w:color w:val="auto"/>
          <w:sz w:val="24"/>
          <w:szCs w:val="24"/>
          <w:highlight w:val="none"/>
        </w:rPr>
        <w:t>抵达和离开</w:t>
      </w:r>
      <w:r>
        <w:rPr>
          <w:rFonts w:hint="eastAsia" w:ascii="宋体" w:eastAsia="宋体"/>
          <w:b w:val="0"/>
          <w:bCs w:val="0"/>
          <w:color w:val="auto"/>
          <w:sz w:val="24"/>
          <w:szCs w:val="24"/>
          <w:highlight w:val="none"/>
          <w:lang w:val="en-US" w:eastAsia="zh-CN"/>
        </w:rPr>
        <w:t>养护</w:t>
      </w:r>
      <w:r>
        <w:rPr>
          <w:rFonts w:hint="eastAsia" w:ascii="宋体" w:eastAsia="宋体"/>
          <w:b w:val="0"/>
          <w:bCs w:val="0"/>
          <w:color w:val="auto"/>
          <w:sz w:val="24"/>
          <w:szCs w:val="24"/>
          <w:highlight w:val="none"/>
        </w:rPr>
        <w:t>现场交通费用</w:t>
      </w:r>
      <w:r>
        <w:rPr>
          <w:rFonts w:hint="eastAsia" w:ascii="宋体" w:eastAsia="宋体"/>
          <w:b w:val="0"/>
          <w:bCs w:val="0"/>
          <w:color w:val="auto"/>
          <w:sz w:val="24"/>
          <w:szCs w:val="24"/>
          <w:highlight w:val="none"/>
          <w:lang w:val="en-US" w:eastAsia="zh-CN"/>
        </w:rPr>
        <w:t>、</w:t>
      </w:r>
      <w:r>
        <w:rPr>
          <w:rFonts w:hint="eastAsia" w:ascii="宋体" w:eastAsia="宋体"/>
          <w:b w:val="0"/>
          <w:bCs w:val="0"/>
          <w:color w:val="auto"/>
          <w:sz w:val="24"/>
          <w:szCs w:val="24"/>
          <w:highlight w:val="none"/>
        </w:rPr>
        <w:t>临时加班补贴</w:t>
      </w:r>
      <w:r>
        <w:rPr>
          <w:rFonts w:hint="eastAsia" w:ascii="宋体"/>
          <w:b w:val="0"/>
          <w:bCs w:val="0"/>
          <w:color w:val="auto"/>
          <w:sz w:val="24"/>
          <w:szCs w:val="24"/>
          <w:highlight w:val="none"/>
          <w:lang w:eastAsia="zh-CN"/>
        </w:rPr>
        <w:t>、</w:t>
      </w:r>
      <w:r>
        <w:rPr>
          <w:rFonts w:hint="eastAsia" w:ascii="宋体" w:eastAsia="宋体"/>
          <w:b w:val="0"/>
          <w:bCs w:val="0"/>
          <w:color w:val="auto"/>
          <w:sz w:val="24"/>
          <w:szCs w:val="24"/>
          <w:highlight w:val="none"/>
        </w:rPr>
        <w:t>工人的餐费，饮用水费等全部费用</w:t>
      </w:r>
      <w:r>
        <w:rPr>
          <w:rFonts w:hint="eastAsia" w:ascii="宋体"/>
          <w:b w:val="0"/>
          <w:bCs w:val="0"/>
          <w:color w:val="auto"/>
          <w:sz w:val="24"/>
          <w:szCs w:val="24"/>
          <w:highlight w:val="none"/>
          <w:lang w:eastAsia="zh-CN"/>
        </w:rPr>
        <w:t xml:space="preserve">。如有违反，愿承担一切后果。 </w:t>
      </w:r>
    </w:p>
    <w:p w14:paraId="7B7D7268">
      <w:pPr>
        <w:autoSpaceDE w:val="0"/>
        <w:autoSpaceDN w:val="0"/>
        <w:snapToGrid w:val="0"/>
        <w:spacing w:before="100" w:after="100" w:line="360" w:lineRule="auto"/>
        <w:ind w:firstLine="480" w:firstLineChars="200"/>
        <w:jc w:val="left"/>
        <w:rPr>
          <w:rFonts w:hint="eastAsia" w:ascii="宋体"/>
          <w:b w:val="0"/>
          <w:bCs w:val="0"/>
          <w:color w:val="auto"/>
          <w:sz w:val="24"/>
          <w:szCs w:val="24"/>
          <w:highlight w:val="none"/>
          <w:lang w:eastAsia="zh-CN"/>
        </w:rPr>
      </w:pPr>
      <w:r>
        <w:rPr>
          <w:rFonts w:hint="eastAsia" w:ascii="宋体"/>
          <w:b w:val="0"/>
          <w:bCs w:val="0"/>
          <w:color w:val="auto"/>
          <w:sz w:val="24"/>
          <w:szCs w:val="24"/>
          <w:highlight w:val="none"/>
          <w:lang w:eastAsia="zh-CN"/>
        </w:rPr>
        <w:t>特此承诺！</w:t>
      </w:r>
    </w:p>
    <w:p w14:paraId="6C292A38">
      <w:pPr>
        <w:autoSpaceDE w:val="0"/>
        <w:autoSpaceDN w:val="0"/>
        <w:snapToGrid w:val="0"/>
        <w:spacing w:before="100" w:after="100" w:line="360" w:lineRule="auto"/>
        <w:ind w:firstLine="480" w:firstLineChars="200"/>
        <w:jc w:val="left"/>
        <w:rPr>
          <w:rFonts w:hint="default" w:ascii="宋体"/>
          <w:b w:val="0"/>
          <w:bCs w:val="0"/>
          <w:color w:val="auto"/>
          <w:sz w:val="24"/>
          <w:szCs w:val="24"/>
          <w:highlight w:val="none"/>
          <w:lang w:val="en-US" w:eastAsia="zh-CN"/>
        </w:rPr>
      </w:pPr>
      <w:r>
        <w:rPr>
          <w:rFonts w:hint="default" w:ascii="宋体"/>
          <w:b w:val="0"/>
          <w:bCs w:val="0"/>
          <w:color w:val="auto"/>
          <w:sz w:val="24"/>
          <w:szCs w:val="24"/>
          <w:highlight w:val="none"/>
          <w:lang w:val="en-US" w:eastAsia="zh-CN"/>
        </w:rPr>
        <w:t>投标供应商名称（电子签章）：</w:t>
      </w:r>
      <w:r>
        <w:rPr>
          <w:rFonts w:hint="default" w:ascii="宋体"/>
          <w:b w:val="0"/>
          <w:bCs w:val="0"/>
          <w:color w:val="auto"/>
          <w:sz w:val="24"/>
          <w:szCs w:val="24"/>
          <w:highlight w:val="none"/>
          <w:u w:val="single"/>
          <w:lang w:val="en-US" w:eastAsia="zh-CN"/>
        </w:rPr>
        <w:t xml:space="preserve">                     </w:t>
      </w:r>
    </w:p>
    <w:p w14:paraId="54F93F31">
      <w:pPr>
        <w:autoSpaceDE w:val="0"/>
        <w:autoSpaceDN w:val="0"/>
        <w:snapToGrid w:val="0"/>
        <w:spacing w:before="100" w:after="100" w:line="360" w:lineRule="auto"/>
        <w:ind w:firstLine="480" w:firstLineChars="200"/>
        <w:jc w:val="left"/>
        <w:rPr>
          <w:rFonts w:hint="default" w:ascii="宋体"/>
          <w:b w:val="0"/>
          <w:bCs w:val="0"/>
          <w:color w:val="auto"/>
          <w:sz w:val="24"/>
          <w:szCs w:val="24"/>
          <w:highlight w:val="none"/>
          <w:lang w:val="en-US" w:eastAsia="zh-CN"/>
        </w:rPr>
      </w:pPr>
      <w:r>
        <w:rPr>
          <w:rFonts w:hint="default" w:ascii="宋体"/>
          <w:b w:val="0"/>
          <w:bCs w:val="0"/>
          <w:color w:val="auto"/>
          <w:sz w:val="24"/>
          <w:szCs w:val="24"/>
          <w:highlight w:val="none"/>
          <w:lang w:val="en-US" w:eastAsia="zh-CN"/>
        </w:rPr>
        <w:t>法定代表人或其授权代表（签字或盖章）：</w:t>
      </w:r>
      <w:r>
        <w:rPr>
          <w:rFonts w:hint="default" w:ascii="宋体"/>
          <w:b w:val="0"/>
          <w:bCs w:val="0"/>
          <w:color w:val="auto"/>
          <w:sz w:val="24"/>
          <w:szCs w:val="24"/>
          <w:highlight w:val="none"/>
          <w:u w:val="single"/>
          <w:lang w:val="en-US" w:eastAsia="zh-CN"/>
        </w:rPr>
        <w:t xml:space="preserve">              </w:t>
      </w:r>
    </w:p>
    <w:p w14:paraId="02B4D3DC">
      <w:pPr>
        <w:autoSpaceDE w:val="0"/>
        <w:autoSpaceDN w:val="0"/>
        <w:snapToGrid w:val="0"/>
        <w:spacing w:before="100" w:after="100" w:line="360" w:lineRule="auto"/>
        <w:ind w:firstLine="480" w:firstLineChars="200"/>
        <w:jc w:val="left"/>
        <w:rPr>
          <w:rFonts w:hint="default" w:ascii="宋体"/>
          <w:b w:val="0"/>
          <w:bCs w:val="0"/>
          <w:color w:val="auto"/>
          <w:sz w:val="24"/>
          <w:szCs w:val="24"/>
          <w:highlight w:val="none"/>
          <w:lang w:val="en-US" w:eastAsia="zh-CN"/>
        </w:rPr>
      </w:pPr>
      <w:r>
        <w:rPr>
          <w:rFonts w:hint="default" w:ascii="宋体"/>
          <w:b w:val="0"/>
          <w:bCs w:val="0"/>
          <w:color w:val="auto"/>
          <w:sz w:val="24"/>
          <w:szCs w:val="24"/>
          <w:highlight w:val="none"/>
          <w:lang w:val="en-US" w:eastAsia="zh-CN"/>
        </w:rPr>
        <w:t>日期：</w:t>
      </w:r>
      <w:r>
        <w:rPr>
          <w:rFonts w:hint="default" w:ascii="宋体"/>
          <w:b w:val="0"/>
          <w:bCs w:val="0"/>
          <w:color w:val="auto"/>
          <w:sz w:val="24"/>
          <w:szCs w:val="24"/>
          <w:highlight w:val="none"/>
          <w:u w:val="single"/>
          <w:lang w:val="en-US" w:eastAsia="zh-CN"/>
        </w:rPr>
        <w:t xml:space="preserve">                          </w:t>
      </w:r>
    </w:p>
    <w:p w14:paraId="13EEFE5A">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4438A3C1">
      <w:pPr>
        <w:pStyle w:val="18"/>
        <w:adjustRightInd w:val="0"/>
        <w:snapToGrid w:val="0"/>
        <w:spacing w:line="340" w:lineRule="atLeast"/>
        <w:rPr>
          <w:rFonts w:hint="eastAsia" w:ascii="宋体" w:hAnsi="宋体" w:eastAsia="宋体" w:cs="宋体"/>
          <w:color w:val="auto"/>
          <w:kern w:val="0"/>
          <w:sz w:val="28"/>
          <w:szCs w:val="28"/>
          <w:highlight w:val="none"/>
        </w:rPr>
      </w:pPr>
    </w:p>
    <w:p w14:paraId="6D738A27">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cs="宋体"/>
          <w:color w:val="auto"/>
          <w:kern w:val="0"/>
          <w:highlight w:val="none"/>
          <w:lang w:val="en-US" w:eastAsia="zh-CN"/>
        </w:rPr>
        <w:t>9</w:t>
      </w:r>
      <w:r>
        <w:rPr>
          <w:rFonts w:hint="eastAsia" w:ascii="宋体" w:hAnsi="宋体" w:eastAsia="宋体" w:cs="宋体"/>
          <w:color w:val="auto"/>
          <w:kern w:val="0"/>
          <w:highlight w:val="none"/>
        </w:rPr>
        <w:t>、商务、技术偏离表</w:t>
      </w:r>
    </w:p>
    <w:p w14:paraId="0487F67A">
      <w:pPr>
        <w:pStyle w:val="18"/>
        <w:adjustRightInd w:val="0"/>
        <w:snapToGrid w:val="0"/>
        <w:spacing w:before="156" w:beforeLines="50" w:after="156" w:afterLines="50" w:line="42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商务、技术偏离表</w:t>
      </w:r>
    </w:p>
    <w:p w14:paraId="6F0766FB">
      <w:pPr>
        <w:pStyle w:val="18"/>
        <w:adjustRightInd w:val="0"/>
        <w:snapToGrid w:val="0"/>
        <w:spacing w:before="156" w:beforeLines="50" w:after="156" w:afterLines="50" w:line="420" w:lineRule="exact"/>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Cs w:val="21"/>
          <w:highlight w:val="none"/>
        </w:rPr>
        <w:t>（商务和技术也可分别填写）</w:t>
      </w: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2808"/>
        <w:gridCol w:w="3388"/>
        <w:gridCol w:w="1984"/>
      </w:tblGrid>
      <w:tr w14:paraId="2EAA86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1000" w:type="dxa"/>
            <w:vAlign w:val="center"/>
          </w:tcPr>
          <w:p w14:paraId="0A06A206">
            <w:pPr>
              <w:autoSpaceDE w:val="0"/>
              <w:autoSpaceDN w:val="0"/>
              <w:adjustRightInd w:val="0"/>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808" w:type="dxa"/>
            <w:vAlign w:val="center"/>
          </w:tcPr>
          <w:p w14:paraId="3B8276F4">
            <w:pPr>
              <w:autoSpaceDE w:val="0"/>
              <w:autoSpaceDN w:val="0"/>
              <w:adjustRightInd w:val="0"/>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招标文件重述</w:t>
            </w:r>
          </w:p>
        </w:tc>
        <w:tc>
          <w:tcPr>
            <w:tcW w:w="3388" w:type="dxa"/>
            <w:vAlign w:val="center"/>
          </w:tcPr>
          <w:p w14:paraId="171A4004">
            <w:pPr>
              <w:autoSpaceDE w:val="0"/>
              <w:autoSpaceDN w:val="0"/>
              <w:adjustRightInd w:val="0"/>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偏离情况</w:t>
            </w:r>
          </w:p>
        </w:tc>
        <w:tc>
          <w:tcPr>
            <w:tcW w:w="1984" w:type="dxa"/>
            <w:vAlign w:val="center"/>
          </w:tcPr>
          <w:p w14:paraId="651696F8">
            <w:pPr>
              <w:autoSpaceDE w:val="0"/>
              <w:autoSpaceDN w:val="0"/>
              <w:adjustRightInd w:val="0"/>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偏离说明</w:t>
            </w:r>
          </w:p>
        </w:tc>
      </w:tr>
      <w:tr w14:paraId="2A0DA0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5F025717">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2808" w:type="dxa"/>
            <w:vAlign w:val="center"/>
          </w:tcPr>
          <w:p w14:paraId="77D3E76B">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3388" w:type="dxa"/>
            <w:vAlign w:val="center"/>
          </w:tcPr>
          <w:p w14:paraId="1761DA73">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1984" w:type="dxa"/>
            <w:vAlign w:val="center"/>
          </w:tcPr>
          <w:p w14:paraId="20063AE1">
            <w:pPr>
              <w:autoSpaceDE w:val="0"/>
              <w:autoSpaceDN w:val="0"/>
              <w:adjustRightInd w:val="0"/>
              <w:spacing w:line="420" w:lineRule="exact"/>
              <w:jc w:val="center"/>
              <w:rPr>
                <w:rFonts w:hint="eastAsia" w:ascii="宋体" w:hAnsi="宋体" w:eastAsia="宋体" w:cs="宋体"/>
                <w:color w:val="auto"/>
                <w:kern w:val="0"/>
                <w:sz w:val="24"/>
                <w:highlight w:val="none"/>
              </w:rPr>
            </w:pPr>
          </w:p>
        </w:tc>
      </w:tr>
      <w:tr w14:paraId="47EECC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67C21C84">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2808" w:type="dxa"/>
            <w:vAlign w:val="center"/>
          </w:tcPr>
          <w:p w14:paraId="1CCCCF38">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3388" w:type="dxa"/>
            <w:vAlign w:val="center"/>
          </w:tcPr>
          <w:p w14:paraId="783653F5">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1984" w:type="dxa"/>
            <w:vAlign w:val="center"/>
          </w:tcPr>
          <w:p w14:paraId="573FDC2F">
            <w:pPr>
              <w:autoSpaceDE w:val="0"/>
              <w:autoSpaceDN w:val="0"/>
              <w:adjustRightInd w:val="0"/>
              <w:spacing w:line="420" w:lineRule="exact"/>
              <w:jc w:val="center"/>
              <w:rPr>
                <w:rFonts w:hint="eastAsia" w:ascii="宋体" w:hAnsi="宋体" w:eastAsia="宋体" w:cs="宋体"/>
                <w:color w:val="auto"/>
                <w:kern w:val="0"/>
                <w:sz w:val="24"/>
                <w:highlight w:val="none"/>
              </w:rPr>
            </w:pPr>
          </w:p>
        </w:tc>
      </w:tr>
      <w:tr w14:paraId="47F38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2F24FA71">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2808" w:type="dxa"/>
            <w:vAlign w:val="center"/>
          </w:tcPr>
          <w:p w14:paraId="38A88529">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3388" w:type="dxa"/>
            <w:vAlign w:val="center"/>
          </w:tcPr>
          <w:p w14:paraId="34095401">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1984" w:type="dxa"/>
            <w:vAlign w:val="center"/>
          </w:tcPr>
          <w:p w14:paraId="64E88998">
            <w:pPr>
              <w:autoSpaceDE w:val="0"/>
              <w:autoSpaceDN w:val="0"/>
              <w:adjustRightInd w:val="0"/>
              <w:spacing w:line="420" w:lineRule="exact"/>
              <w:jc w:val="center"/>
              <w:rPr>
                <w:rFonts w:hint="eastAsia" w:ascii="宋体" w:hAnsi="宋体" w:eastAsia="宋体" w:cs="宋体"/>
                <w:color w:val="auto"/>
                <w:kern w:val="0"/>
                <w:sz w:val="24"/>
                <w:highlight w:val="none"/>
              </w:rPr>
            </w:pPr>
          </w:p>
        </w:tc>
      </w:tr>
      <w:tr w14:paraId="2ECC3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649885D4">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2808" w:type="dxa"/>
            <w:vAlign w:val="center"/>
          </w:tcPr>
          <w:p w14:paraId="4A52FF37">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3388" w:type="dxa"/>
            <w:vAlign w:val="center"/>
          </w:tcPr>
          <w:p w14:paraId="6D15BBB7">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1984" w:type="dxa"/>
            <w:vAlign w:val="center"/>
          </w:tcPr>
          <w:p w14:paraId="75CF5A68">
            <w:pPr>
              <w:autoSpaceDE w:val="0"/>
              <w:autoSpaceDN w:val="0"/>
              <w:adjustRightInd w:val="0"/>
              <w:spacing w:line="420" w:lineRule="exact"/>
              <w:jc w:val="center"/>
              <w:rPr>
                <w:rFonts w:hint="eastAsia" w:ascii="宋体" w:hAnsi="宋体" w:eastAsia="宋体" w:cs="宋体"/>
                <w:color w:val="auto"/>
                <w:kern w:val="0"/>
                <w:sz w:val="24"/>
                <w:highlight w:val="none"/>
              </w:rPr>
            </w:pPr>
          </w:p>
        </w:tc>
      </w:tr>
      <w:tr w14:paraId="05159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6C3D73F3">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2808" w:type="dxa"/>
            <w:vAlign w:val="center"/>
          </w:tcPr>
          <w:p w14:paraId="0C961E3A">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3388" w:type="dxa"/>
            <w:vAlign w:val="center"/>
          </w:tcPr>
          <w:p w14:paraId="76124EBD">
            <w:pPr>
              <w:autoSpaceDE w:val="0"/>
              <w:autoSpaceDN w:val="0"/>
              <w:adjustRightInd w:val="0"/>
              <w:spacing w:line="420" w:lineRule="exact"/>
              <w:jc w:val="center"/>
              <w:rPr>
                <w:rFonts w:hint="eastAsia" w:ascii="宋体" w:hAnsi="宋体" w:eastAsia="宋体" w:cs="宋体"/>
                <w:color w:val="auto"/>
                <w:kern w:val="0"/>
                <w:sz w:val="24"/>
                <w:highlight w:val="none"/>
              </w:rPr>
            </w:pPr>
          </w:p>
        </w:tc>
        <w:tc>
          <w:tcPr>
            <w:tcW w:w="1984" w:type="dxa"/>
            <w:vAlign w:val="center"/>
          </w:tcPr>
          <w:p w14:paraId="3763A74A">
            <w:pPr>
              <w:autoSpaceDE w:val="0"/>
              <w:autoSpaceDN w:val="0"/>
              <w:adjustRightInd w:val="0"/>
              <w:spacing w:line="420" w:lineRule="exact"/>
              <w:jc w:val="center"/>
              <w:rPr>
                <w:rFonts w:hint="eastAsia" w:ascii="宋体" w:hAnsi="宋体" w:eastAsia="宋体" w:cs="宋体"/>
                <w:color w:val="auto"/>
                <w:kern w:val="0"/>
                <w:sz w:val="24"/>
                <w:highlight w:val="none"/>
              </w:rPr>
            </w:pPr>
          </w:p>
        </w:tc>
      </w:tr>
      <w:tr w14:paraId="687D6F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9180" w:type="dxa"/>
            <w:gridSpan w:val="4"/>
            <w:vAlign w:val="center"/>
          </w:tcPr>
          <w:p w14:paraId="28E15B6F">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注：如不填写，则视为完全响应招标文件的商务要求。  </w:t>
            </w:r>
          </w:p>
        </w:tc>
      </w:tr>
    </w:tbl>
    <w:p w14:paraId="2F290BC8">
      <w:pPr>
        <w:autoSpaceDE w:val="0"/>
        <w:autoSpaceDN w:val="0"/>
        <w:adjustRightInd w:val="0"/>
        <w:spacing w:line="42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注：（1）▲投标供应商必须提供本表，否则投标无效。</w:t>
      </w:r>
    </w:p>
    <w:p w14:paraId="54B5C74E">
      <w:pPr>
        <w:autoSpaceDE w:val="0"/>
        <w:autoSpaceDN w:val="0"/>
        <w:adjustRightInd w:val="0"/>
        <w:spacing w:line="42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（2） “偏离情况”栏填写：“正偏离”或“负偏离”或“无偏离”。 </w:t>
      </w:r>
    </w:p>
    <w:p w14:paraId="5CABD865">
      <w:pPr>
        <w:autoSpaceDE w:val="0"/>
        <w:autoSpaceDN w:val="0"/>
        <w:adjustRightInd w:val="0"/>
        <w:spacing w:line="420" w:lineRule="exact"/>
        <w:jc w:val="left"/>
        <w:rPr>
          <w:rFonts w:hint="eastAsia" w:ascii="宋体" w:hAnsi="宋体" w:eastAsia="宋体" w:cs="宋体"/>
          <w:color w:val="auto"/>
          <w:kern w:val="0"/>
          <w:sz w:val="24"/>
          <w:highlight w:val="none"/>
        </w:rPr>
      </w:pPr>
    </w:p>
    <w:p w14:paraId="47998B75">
      <w:pPr>
        <w:pStyle w:val="18"/>
        <w:adjustRightInd w:val="0"/>
        <w:snapToGrid w:val="0"/>
        <w:spacing w:line="420" w:lineRule="exact"/>
        <w:rPr>
          <w:rFonts w:hint="eastAsia" w:ascii="宋体" w:hAnsi="宋体" w:eastAsia="宋体" w:cs="宋体"/>
          <w:b/>
          <w:color w:val="auto"/>
          <w:kern w:val="0"/>
          <w:sz w:val="24"/>
          <w:szCs w:val="24"/>
          <w:highlight w:val="none"/>
        </w:rPr>
      </w:pPr>
    </w:p>
    <w:p w14:paraId="6887EF81">
      <w:pPr>
        <w:pStyle w:val="18"/>
        <w:adjustRightInd w:val="0"/>
        <w:snapToGrid w:val="0"/>
        <w:spacing w:line="42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投标供应商名称（电子签章）：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41FC0633">
      <w:pPr>
        <w:pStyle w:val="18"/>
        <w:adjustRightInd w:val="0"/>
        <w:snapToGrid w:val="0"/>
        <w:spacing w:line="420" w:lineRule="exac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法定代表人或其授权代表（签字或盖章）：</w:t>
      </w:r>
      <w:r>
        <w:rPr>
          <w:rFonts w:hint="eastAsia" w:ascii="宋体" w:hAnsi="宋体" w:eastAsia="宋体" w:cs="宋体"/>
          <w:color w:val="auto"/>
          <w:kern w:val="0"/>
          <w:sz w:val="28"/>
          <w:szCs w:val="28"/>
          <w:highlight w:val="none"/>
          <w:u w:val="single"/>
        </w:rPr>
        <w:t xml:space="preserve">              </w:t>
      </w:r>
    </w:p>
    <w:p w14:paraId="7C86A04D">
      <w:pPr>
        <w:pStyle w:val="18"/>
        <w:adjustRightInd w:val="0"/>
        <w:snapToGrid w:val="0"/>
        <w:spacing w:line="42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日期：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53C098A4">
      <w:pPr>
        <w:pStyle w:val="18"/>
        <w:adjustRightInd w:val="0"/>
        <w:snapToGrid w:val="0"/>
        <w:spacing w:line="420" w:lineRule="exact"/>
        <w:rPr>
          <w:rFonts w:hint="eastAsia" w:ascii="宋体" w:hAnsi="宋体" w:eastAsia="宋体" w:cs="宋体"/>
          <w:color w:val="auto"/>
          <w:kern w:val="0"/>
          <w:sz w:val="28"/>
          <w:szCs w:val="28"/>
          <w:highlight w:val="none"/>
        </w:rPr>
      </w:pPr>
    </w:p>
    <w:p w14:paraId="1EACB05C">
      <w:pPr>
        <w:pStyle w:val="28"/>
        <w:ind w:left="440"/>
        <w:rPr>
          <w:rFonts w:hint="eastAsia" w:ascii="宋体" w:hAnsi="宋体" w:eastAsia="宋体" w:cs="宋体"/>
          <w:color w:val="auto"/>
          <w:highlight w:val="none"/>
        </w:rPr>
      </w:pPr>
    </w:p>
    <w:p w14:paraId="61F678A9">
      <w:pPr>
        <w:rPr>
          <w:rFonts w:hint="eastAsia" w:ascii="宋体" w:hAnsi="宋体" w:eastAsia="宋体" w:cs="宋体"/>
          <w:color w:val="auto"/>
          <w:highlight w:val="none"/>
        </w:rPr>
      </w:pPr>
    </w:p>
    <w:p w14:paraId="477FD0EC">
      <w:pPr>
        <w:pStyle w:val="30"/>
        <w:rPr>
          <w:rFonts w:hint="eastAsia" w:ascii="宋体" w:hAnsi="宋体" w:eastAsia="宋体" w:cs="宋体"/>
          <w:color w:val="auto"/>
          <w:highlight w:val="none"/>
        </w:rPr>
      </w:pPr>
    </w:p>
    <w:p w14:paraId="0D7ECC4C">
      <w:pPr>
        <w:rPr>
          <w:rFonts w:hint="eastAsia" w:ascii="宋体" w:hAnsi="宋体" w:eastAsia="宋体" w:cs="宋体"/>
          <w:color w:val="auto"/>
          <w:highlight w:val="none"/>
        </w:rPr>
      </w:pPr>
    </w:p>
    <w:p w14:paraId="0C07E98B">
      <w:pPr>
        <w:rPr>
          <w:rFonts w:hint="eastAsia" w:ascii="宋体" w:hAnsi="宋体" w:eastAsia="宋体" w:cs="宋体"/>
          <w:color w:val="auto"/>
          <w:highlight w:val="none"/>
        </w:rPr>
      </w:pPr>
    </w:p>
    <w:p w14:paraId="269740E8">
      <w:pPr>
        <w:pStyle w:val="5"/>
        <w:rPr>
          <w:rFonts w:hint="eastAsia" w:ascii="宋体" w:hAnsi="宋体" w:eastAsia="宋体" w:cs="宋体"/>
          <w:color w:val="auto"/>
          <w:highlight w:val="none"/>
        </w:rPr>
      </w:pPr>
      <w:r>
        <w:rPr>
          <w:rFonts w:hint="eastAsia" w:ascii="宋体" w:hAnsi="宋体" w:eastAsia="宋体" w:cs="宋体"/>
          <w:color w:val="auto"/>
          <w:kern w:val="0"/>
          <w:highlight w:val="none"/>
        </w:rPr>
        <w:t>2.1</w:t>
      </w:r>
      <w:r>
        <w:rPr>
          <w:rFonts w:hint="eastAsia" w:ascii="宋体" w:hAnsi="宋体" w:cs="宋体"/>
          <w:color w:val="auto"/>
          <w:kern w:val="0"/>
          <w:highlight w:val="none"/>
          <w:lang w:val="en-US" w:eastAsia="zh-CN"/>
        </w:rPr>
        <w:t>9</w:t>
      </w:r>
      <w:r>
        <w:rPr>
          <w:rFonts w:hint="eastAsia" w:ascii="宋体" w:hAnsi="宋体" w:eastAsia="宋体" w:cs="宋体"/>
          <w:color w:val="auto"/>
          <w:kern w:val="0"/>
          <w:highlight w:val="none"/>
        </w:rPr>
        <w:t>、政府采购活动现场确认声明书</w:t>
      </w:r>
    </w:p>
    <w:p w14:paraId="13A1BBBB">
      <w:pPr>
        <w:pStyle w:val="96"/>
        <w:widowControl w:val="0"/>
        <w:snapToGrid w:val="0"/>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政府采购活动现场确认声明书</w:t>
      </w:r>
    </w:p>
    <w:p w14:paraId="3EABB84B">
      <w:pPr>
        <w:pStyle w:val="96"/>
        <w:widowControl w:val="0"/>
        <w:snapToGrid w:val="0"/>
        <w:spacing w:line="500" w:lineRule="exact"/>
        <w:jc w:val="both"/>
        <w:rPr>
          <w:rFonts w:hint="eastAsia" w:ascii="宋体" w:hAnsi="宋体" w:eastAsia="宋体" w:cs="宋体"/>
          <w:color w:val="auto"/>
          <w:kern w:val="0"/>
          <w:sz w:val="28"/>
          <w:highlight w:val="none"/>
        </w:rPr>
      </w:pPr>
    </w:p>
    <w:p w14:paraId="5CC9FA66">
      <w:pPr>
        <w:pStyle w:val="96"/>
        <w:widowControl w:val="0"/>
        <w:snapToGrid w:val="0"/>
        <w:spacing w:line="460" w:lineRule="exact"/>
        <w:jc w:val="both"/>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eastAsia="zh-CN"/>
        </w:rPr>
        <w:t>浙江国信工程管理咨询有限公司</w:t>
      </w:r>
      <w:r>
        <w:rPr>
          <w:rFonts w:hint="eastAsia" w:ascii="宋体" w:hAnsi="宋体" w:eastAsia="宋体" w:cs="宋体"/>
          <w:color w:val="auto"/>
          <w:kern w:val="0"/>
          <w:sz w:val="22"/>
          <w:highlight w:val="none"/>
        </w:rPr>
        <w:t>：</w:t>
      </w:r>
    </w:p>
    <w:p w14:paraId="4B97FD23">
      <w:pPr>
        <w:pStyle w:val="112"/>
        <w:wordWrap w:val="0"/>
        <w:overflowPunct w:val="0"/>
        <w:snapToGrid w:val="0"/>
        <w:spacing w:line="400" w:lineRule="exact"/>
        <w:ind w:left="20" w:leftChars="9" w:firstLine="433" w:firstLineChars="18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highlight w:val="none"/>
        </w:rPr>
        <w:t xml:space="preserve">    </w:t>
      </w:r>
      <w:r>
        <w:rPr>
          <w:rFonts w:hint="eastAsia" w:ascii="宋体" w:hAnsi="宋体" w:eastAsia="宋体" w:cs="宋体"/>
          <w:color w:val="auto"/>
          <w:spacing w:val="6"/>
          <w:sz w:val="22"/>
          <w:szCs w:val="22"/>
          <w:highlight w:val="none"/>
        </w:rPr>
        <w:t>本人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（授权代表姓名），经由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（法定代表人）合法授权参加</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20D6F8A4">
      <w:pPr>
        <w:pStyle w:val="111"/>
        <w:widowControl/>
        <w:numPr>
          <w:ilvl w:val="0"/>
          <w:numId w:val="3"/>
        </w:numPr>
        <w:wordWrap w:val="0"/>
        <w:overflowPunct w:val="0"/>
        <w:snapToGrid w:val="0"/>
        <w:spacing w:line="40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□不存在利害关系 </w:t>
      </w:r>
      <w:r>
        <w:rPr>
          <w:rFonts w:hint="eastAsia" w:ascii="宋体" w:hAnsi="宋体" w:eastAsia="宋体" w:cs="宋体"/>
          <w:color w:val="auto"/>
          <w:kern w:val="0"/>
          <w:sz w:val="22"/>
          <w:szCs w:val="22"/>
          <w:highlight w:val="none"/>
        </w:rPr>
        <w:sym w:font="Wingdings 2" w:char="00A3"/>
      </w:r>
      <w:r>
        <w:rPr>
          <w:rFonts w:hint="eastAsia" w:ascii="宋体" w:hAnsi="宋体" w:eastAsia="宋体" w:cs="宋体"/>
          <w:color w:val="auto"/>
          <w:kern w:val="0"/>
          <w:sz w:val="22"/>
          <w:szCs w:val="22"/>
          <w:highlight w:val="none"/>
        </w:rPr>
        <w:t>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720D65A5">
      <w:pPr>
        <w:pStyle w:val="111"/>
        <w:widowControl/>
        <w:wordWrap w:val="0"/>
        <w:overflowPunct w:val="0"/>
        <w:snapToGri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07016262">
      <w:pPr>
        <w:pStyle w:val="111"/>
        <w:widowControl/>
        <w:wordWrap w:val="0"/>
        <w:overflowPunct w:val="0"/>
        <w:snapToGri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5B27EB65">
      <w:pPr>
        <w:pStyle w:val="111"/>
        <w:widowControl/>
        <w:wordWrap w:val="0"/>
        <w:overflowPunct w:val="0"/>
        <w:snapToGri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257E5876">
      <w:pPr>
        <w:pStyle w:val="112"/>
        <w:wordWrap w:val="0"/>
        <w:overflowPunct w:val="0"/>
        <w:snapToGri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7B146761">
      <w:pPr>
        <w:pStyle w:val="112"/>
        <w:wordWrap w:val="0"/>
        <w:overflowPunct w:val="0"/>
        <w:snapToGrid w:val="0"/>
        <w:spacing w:line="40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58CEDD23">
      <w:pPr>
        <w:pStyle w:val="112"/>
        <w:wordWrap w:val="0"/>
        <w:overflowPunct w:val="0"/>
        <w:snapToGrid w:val="0"/>
        <w:spacing w:line="40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13066CF2">
      <w:pPr>
        <w:pStyle w:val="112"/>
        <w:wordWrap w:val="0"/>
        <w:overflowPunct w:val="0"/>
        <w:snapToGrid w:val="0"/>
        <w:spacing w:line="40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788E4299">
      <w:pPr>
        <w:pStyle w:val="112"/>
        <w:wordWrap w:val="0"/>
        <w:overflowPunct w:val="0"/>
        <w:snapToGri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049DDAC0">
      <w:pPr>
        <w:pStyle w:val="112"/>
        <w:wordWrap w:val="0"/>
        <w:overflowPunct w:val="0"/>
        <w:snapToGri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36DDB245">
      <w:pPr>
        <w:pStyle w:val="112"/>
        <w:wordWrap w:val="0"/>
        <w:overflowPunct w:val="0"/>
        <w:snapToGri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14:paraId="720CD595">
      <w:pPr>
        <w:pStyle w:val="112"/>
        <w:wordWrap w:val="0"/>
        <w:overflowPunct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716AB122">
      <w:pPr>
        <w:pStyle w:val="112"/>
        <w:wordWrap w:val="0"/>
        <w:overflowPunct w:val="0"/>
        <w:snapToGrid w:val="0"/>
        <w:spacing w:line="40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p>
    <w:p w14:paraId="251A56DF">
      <w:pPr>
        <w:pStyle w:val="111"/>
        <w:widowControl/>
        <w:numPr>
          <w:ilvl w:val="0"/>
          <w:numId w:val="4"/>
        </w:numPr>
        <w:wordWrap w:val="0"/>
        <w:overflowPunct w:val="0"/>
        <w:snapToGrid w:val="0"/>
        <w:spacing w:line="40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严格遵守政府采购法律法规和现场纪律。</w:t>
      </w:r>
    </w:p>
    <w:p w14:paraId="7E8363AD">
      <w:pPr>
        <w:pStyle w:val="111"/>
        <w:widowControl/>
        <w:numPr>
          <w:ilvl w:val="0"/>
          <w:numId w:val="4"/>
        </w:numPr>
        <w:wordWrap w:val="0"/>
        <w:overflowPunct w:val="0"/>
        <w:snapToGrid w:val="0"/>
        <w:spacing w:line="400" w:lineRule="exact"/>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r>
        <w:rPr>
          <w:rFonts w:hint="eastAsia" w:ascii="宋体" w:hAnsi="宋体" w:eastAsia="宋体" w:cs="宋体"/>
          <w:color w:val="auto"/>
          <w:sz w:val="22"/>
          <w:szCs w:val="22"/>
          <w:highlight w:val="none"/>
        </w:rPr>
        <w:t xml:space="preserve">                         </w:t>
      </w:r>
    </w:p>
    <w:p w14:paraId="1193ECAB">
      <w:pPr>
        <w:pStyle w:val="112"/>
        <w:wordWrap w:val="0"/>
        <w:overflowPunct w:val="0"/>
        <w:snapToGrid w:val="0"/>
        <w:spacing w:line="400" w:lineRule="exact"/>
        <w:ind w:firstLine="4620" w:firstLineChars="2100"/>
        <w:rPr>
          <w:rFonts w:hint="eastAsia" w:ascii="宋体" w:hAnsi="宋体" w:eastAsia="宋体" w:cs="宋体"/>
          <w:color w:val="auto"/>
          <w:sz w:val="22"/>
          <w:szCs w:val="22"/>
          <w:highlight w:val="none"/>
        </w:rPr>
      </w:pPr>
    </w:p>
    <w:p w14:paraId="72EB29AB">
      <w:pPr>
        <w:pStyle w:val="112"/>
        <w:wordWrap w:val="0"/>
        <w:overflowPunct w:val="0"/>
        <w:snapToGrid w:val="0"/>
        <w:spacing w:line="400" w:lineRule="exact"/>
        <w:ind w:firstLine="4620" w:firstLineChars="2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42AA8540">
      <w:pPr>
        <w:pStyle w:val="112"/>
        <w:wordWrap w:val="0"/>
        <w:overflowPunct w:val="0"/>
        <w:snapToGrid w:val="0"/>
        <w:spacing w:line="400" w:lineRule="exact"/>
        <w:ind w:firstLine="4620" w:firstLineChars="2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年   月   日</w:t>
      </w:r>
    </w:p>
    <w:p w14:paraId="22C6B31B">
      <w:pPr>
        <w:pStyle w:val="17"/>
        <w:wordWrap w:val="0"/>
        <w:overflowPunct w:val="0"/>
        <w:spacing w:line="400" w:lineRule="exact"/>
        <w:ind w:left="0" w:leftChars="0"/>
        <w:rPr>
          <w:rFonts w:hint="eastAsia" w:ascii="宋体" w:hAnsi="宋体" w:eastAsia="宋体" w:cs="宋体"/>
          <w:b/>
          <w:bCs/>
          <w:color w:val="auto"/>
          <w:szCs w:val="21"/>
          <w:highlight w:val="none"/>
        </w:rPr>
      </w:pPr>
    </w:p>
    <w:p w14:paraId="3BD1D7E5">
      <w:pPr>
        <w:wordWrap w:val="0"/>
        <w:overflowPunct w:val="0"/>
        <w:spacing w:line="400" w:lineRule="exact"/>
        <w:ind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注：投标文件解密结束后，各供应商签署《政府采购活动现场确认声明书》，并通过邮件形式发送至采购代理机构邮箱：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"mailto:815743236@qq.com"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1"/>
          <w:highlight w:val="none"/>
          <w:lang w:eastAsia="zh-CN"/>
        </w:rPr>
        <w:t>1712108619</w:t>
      </w:r>
      <w:r>
        <w:rPr>
          <w:rFonts w:hint="eastAsia" w:ascii="宋体" w:hAnsi="宋体" w:eastAsia="宋体" w:cs="宋体"/>
          <w:bCs/>
          <w:color w:val="auto"/>
          <w:szCs w:val="21"/>
          <w:highlight w:val="none"/>
        </w:rPr>
        <w:t>@qq.com</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w:t>
      </w:r>
    </w:p>
    <w:p w14:paraId="7C5431CC">
      <w:pPr>
        <w:tabs>
          <w:tab w:val="left" w:pos="7457"/>
        </w:tabs>
        <w:autoSpaceDE w:val="0"/>
        <w:autoSpaceDN w:val="0"/>
        <w:adjustRightInd w:val="0"/>
        <w:spacing w:line="420" w:lineRule="exact"/>
        <w:jc w:val="left"/>
        <w:rPr>
          <w:rFonts w:hint="eastAsia" w:ascii="宋体" w:hAnsi="宋体" w:eastAsia="宋体" w:cs="宋体"/>
          <w:color w:val="auto"/>
          <w:szCs w:val="22"/>
          <w:highlight w:val="none"/>
        </w:rPr>
      </w:pPr>
    </w:p>
    <w:p w14:paraId="4507557F">
      <w:pPr>
        <w:widowControl/>
        <w:jc w:val="left"/>
        <w:rPr>
          <w:rFonts w:hint="eastAsia" w:ascii="宋体" w:hAnsi="宋体" w:eastAsia="宋体" w:cs="宋体"/>
          <w:color w:val="auto"/>
          <w:highlight w:val="none"/>
        </w:rPr>
      </w:pPr>
    </w:p>
    <w:p w14:paraId="4567C2AD">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highlight w:val="none"/>
        </w:rPr>
        <w:t>三、“报价文件”部分格式</w:t>
      </w:r>
    </w:p>
    <w:p w14:paraId="38A44303">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3.1、“报价文件”封面 </w:t>
      </w:r>
      <w:r>
        <w:rPr>
          <w:rFonts w:hint="eastAsia" w:ascii="宋体" w:hAnsi="宋体" w:eastAsia="宋体" w:cs="宋体"/>
          <w:color w:val="auto"/>
          <w:kern w:val="0"/>
          <w:highlight w:val="none"/>
        </w:rPr>
        <w:tab/>
      </w:r>
    </w:p>
    <w:p w14:paraId="10AB8D9A">
      <w:pPr>
        <w:autoSpaceDE w:val="0"/>
        <w:autoSpaceDN w:val="0"/>
        <w:adjustRightInd w:val="0"/>
        <w:spacing w:line="420" w:lineRule="exact"/>
        <w:jc w:val="center"/>
        <w:rPr>
          <w:rFonts w:hint="eastAsia" w:ascii="宋体" w:hAnsi="宋体" w:eastAsia="宋体" w:cs="宋体"/>
          <w:color w:val="auto"/>
          <w:spacing w:val="-4"/>
          <w:kern w:val="0"/>
          <w:sz w:val="36"/>
          <w:szCs w:val="36"/>
          <w:highlight w:val="none"/>
          <w:lang w:eastAsia="zh-CN"/>
        </w:rPr>
      </w:pPr>
      <w:r>
        <w:rPr>
          <w:rFonts w:hint="eastAsia" w:ascii="宋体" w:hAnsi="宋体" w:cs="宋体"/>
          <w:color w:val="auto"/>
          <w:spacing w:val="-4"/>
          <w:kern w:val="0"/>
          <w:sz w:val="36"/>
          <w:szCs w:val="36"/>
          <w:highlight w:val="none"/>
          <w:lang w:eastAsia="zh-CN"/>
        </w:rPr>
        <w:t>2025年度苍南县百里平水公园(灵溪段)及南塘长效管理项目（重）</w:t>
      </w:r>
    </w:p>
    <w:p w14:paraId="206419AD">
      <w:pPr>
        <w:autoSpaceDE w:val="0"/>
        <w:autoSpaceDN w:val="0"/>
        <w:adjustRightInd w:val="0"/>
        <w:spacing w:line="420" w:lineRule="exact"/>
        <w:jc w:val="center"/>
        <w:rPr>
          <w:rFonts w:hint="eastAsia" w:ascii="宋体" w:hAnsi="宋体" w:eastAsia="宋体" w:cs="宋体"/>
          <w:color w:val="auto"/>
          <w:kern w:val="0"/>
          <w:sz w:val="36"/>
          <w:szCs w:val="36"/>
          <w:highlight w:val="none"/>
        </w:rPr>
      </w:pPr>
    </w:p>
    <w:p w14:paraId="3B39B553">
      <w:pPr>
        <w:pStyle w:val="51"/>
        <w:spacing w:line="420" w:lineRule="exact"/>
        <w:rPr>
          <w:rFonts w:hint="eastAsia" w:ascii="宋体" w:hAnsi="宋体" w:eastAsia="宋体" w:cs="宋体"/>
          <w:color w:val="auto"/>
          <w:kern w:val="0"/>
          <w:sz w:val="44"/>
          <w:szCs w:val="44"/>
          <w:highlight w:val="none"/>
        </w:rPr>
      </w:pPr>
    </w:p>
    <w:p w14:paraId="2FEE02D3">
      <w:pPr>
        <w:pStyle w:val="2"/>
        <w:spacing w:line="360" w:lineRule="auto"/>
        <w:rPr>
          <w:rFonts w:hint="eastAsia" w:ascii="宋体" w:hAnsi="宋体" w:eastAsia="宋体" w:cs="宋体"/>
          <w:color w:val="auto"/>
          <w:highlight w:val="none"/>
        </w:rPr>
      </w:pPr>
    </w:p>
    <w:p w14:paraId="58EF320A">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 标 文 件</w:t>
      </w:r>
    </w:p>
    <w:p w14:paraId="6B5F9E38">
      <w:pP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4E45BC76">
      <w:pPr>
        <w:spacing w:line="420" w:lineRule="exact"/>
        <w:jc w:val="center"/>
        <w:rPr>
          <w:rFonts w:hint="eastAsia" w:ascii="宋体" w:hAnsi="宋体" w:eastAsia="宋体" w:cs="宋体"/>
          <w:b/>
          <w:color w:val="auto"/>
          <w:sz w:val="44"/>
          <w:szCs w:val="44"/>
          <w:highlight w:val="none"/>
        </w:rPr>
      </w:pPr>
    </w:p>
    <w:p w14:paraId="645BC6EB">
      <w:pPr>
        <w:spacing w:line="420" w:lineRule="exact"/>
        <w:jc w:val="center"/>
        <w:rPr>
          <w:rFonts w:hint="eastAsia" w:ascii="宋体" w:hAnsi="宋体" w:eastAsia="宋体" w:cs="宋体"/>
          <w:color w:val="auto"/>
          <w:kern w:val="0"/>
          <w:sz w:val="40"/>
          <w:szCs w:val="40"/>
          <w:highlight w:val="none"/>
        </w:rPr>
      </w:pPr>
    </w:p>
    <w:p w14:paraId="2FEB0D39">
      <w:pPr>
        <w:spacing w:line="420" w:lineRule="exact"/>
        <w:jc w:val="center"/>
        <w:rPr>
          <w:rFonts w:hint="eastAsia" w:ascii="宋体" w:hAnsi="宋体" w:eastAsia="宋体" w:cs="宋体"/>
          <w:color w:val="auto"/>
          <w:kern w:val="0"/>
          <w:sz w:val="68"/>
          <w:szCs w:val="68"/>
          <w:highlight w:val="none"/>
        </w:rPr>
      </w:pPr>
    </w:p>
    <w:p w14:paraId="6767141A">
      <w:pPr>
        <w:pStyle w:val="51"/>
        <w:spacing w:line="420" w:lineRule="exact"/>
        <w:rPr>
          <w:rFonts w:hint="eastAsia" w:ascii="宋体" w:hAnsi="宋体" w:eastAsia="宋体" w:cs="宋体"/>
          <w:color w:val="auto"/>
          <w:highlight w:val="none"/>
        </w:rPr>
      </w:pPr>
    </w:p>
    <w:p w14:paraId="787B25D3">
      <w:pPr>
        <w:spacing w:line="600" w:lineRule="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项目编号：</w:t>
      </w:r>
      <w:r>
        <w:rPr>
          <w:rFonts w:hint="eastAsia" w:ascii="宋体" w:hAnsi="宋体" w:eastAsia="宋体" w:cs="宋体"/>
          <w:color w:val="auto"/>
          <w:kern w:val="0"/>
          <w:sz w:val="32"/>
          <w:szCs w:val="32"/>
          <w:highlight w:val="none"/>
          <w:u w:val="single"/>
        </w:rPr>
        <w:t xml:space="preserve">            </w:t>
      </w:r>
      <w:r>
        <w:rPr>
          <w:rFonts w:hint="eastAsia" w:ascii="宋体" w:hAnsi="宋体" w:cs="宋体"/>
          <w:color w:val="auto"/>
          <w:kern w:val="0"/>
          <w:sz w:val="32"/>
          <w:szCs w:val="32"/>
          <w:highlight w:val="none"/>
          <w:u w:val="single"/>
          <w:lang w:eastAsia="zh-CN"/>
        </w:rPr>
        <w:t>CNDL2025101</w:t>
      </w:r>
      <w:r>
        <w:rPr>
          <w:rFonts w:hint="eastAsia" w:ascii="宋体" w:hAnsi="宋体" w:eastAsia="宋体" w:cs="宋体"/>
          <w:color w:val="auto"/>
          <w:kern w:val="0"/>
          <w:sz w:val="32"/>
          <w:szCs w:val="32"/>
          <w:highlight w:val="none"/>
          <w:u w:val="single"/>
        </w:rPr>
        <w:t xml:space="preserve">                 </w:t>
      </w:r>
    </w:p>
    <w:p w14:paraId="2766FD93">
      <w:pPr>
        <w:spacing w:line="600" w:lineRule="auto"/>
        <w:rPr>
          <w:rFonts w:hint="eastAsia"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rPr>
        <w:t xml:space="preserve">供应商名称（电子签章）： </w:t>
      </w:r>
      <w:r>
        <w:rPr>
          <w:rFonts w:hint="eastAsia" w:ascii="宋体" w:hAnsi="宋体" w:eastAsia="宋体" w:cs="宋体"/>
          <w:color w:val="auto"/>
          <w:kern w:val="0"/>
          <w:sz w:val="32"/>
          <w:szCs w:val="32"/>
          <w:highlight w:val="none"/>
          <w:u w:val="single"/>
        </w:rPr>
        <w:t xml:space="preserve">                           </w:t>
      </w:r>
    </w:p>
    <w:p w14:paraId="351AB5DD">
      <w:pPr>
        <w:spacing w:line="600" w:lineRule="auto"/>
        <w:rPr>
          <w:rFonts w:hint="eastAsia"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rPr>
        <w:t>地址：</w:t>
      </w:r>
      <w:r>
        <w:rPr>
          <w:rFonts w:hint="eastAsia" w:ascii="宋体" w:hAnsi="宋体" w:eastAsia="宋体" w:cs="宋体"/>
          <w:color w:val="auto"/>
          <w:kern w:val="0"/>
          <w:sz w:val="32"/>
          <w:szCs w:val="32"/>
          <w:highlight w:val="none"/>
          <w:u w:val="single"/>
        </w:rPr>
        <w:t xml:space="preserve">                                              </w:t>
      </w:r>
    </w:p>
    <w:p w14:paraId="5CBFA15F">
      <w:pPr>
        <w:spacing w:line="600" w:lineRule="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法定代表人或其授权代表（签字或盖章）：</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 xml:space="preserve">  </w:t>
      </w:r>
    </w:p>
    <w:p w14:paraId="3E9E9B4B">
      <w:pPr>
        <w:spacing w:line="600" w:lineRule="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日期：</w:t>
      </w:r>
      <w:r>
        <w:rPr>
          <w:rFonts w:hint="eastAsia" w:ascii="宋体" w:hAnsi="宋体" w:eastAsia="宋体" w:cs="宋体"/>
          <w:color w:val="auto"/>
          <w:kern w:val="0"/>
          <w:sz w:val="32"/>
          <w:szCs w:val="32"/>
          <w:highlight w:val="none"/>
          <w:u w:val="single"/>
        </w:rPr>
        <w:t xml:space="preserve">                                              </w:t>
      </w:r>
    </w:p>
    <w:p w14:paraId="65B867A8">
      <w:pPr>
        <w:autoSpaceDE w:val="0"/>
        <w:autoSpaceDN w:val="0"/>
        <w:adjustRightInd w:val="0"/>
        <w:spacing w:line="60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 xml:space="preserve"> </w:t>
      </w:r>
    </w:p>
    <w:p w14:paraId="6E6D88F2">
      <w:pPr>
        <w:autoSpaceDE w:val="0"/>
        <w:autoSpaceDN w:val="0"/>
        <w:adjustRightInd w:val="0"/>
        <w:spacing w:line="420" w:lineRule="exact"/>
        <w:jc w:val="left"/>
        <w:rPr>
          <w:rFonts w:hint="eastAsia" w:ascii="宋体" w:hAnsi="宋体" w:eastAsia="宋体" w:cs="宋体"/>
          <w:color w:val="auto"/>
          <w:kern w:val="0"/>
          <w:sz w:val="24"/>
          <w:highlight w:val="none"/>
        </w:rPr>
      </w:pPr>
    </w:p>
    <w:p w14:paraId="7B2BA1D9">
      <w:pPr>
        <w:pStyle w:val="18"/>
        <w:adjustRightInd w:val="0"/>
        <w:snapToGrid w:val="0"/>
        <w:spacing w:line="42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53ECFE70">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3.3、开标一览表</w:t>
      </w:r>
    </w:p>
    <w:p w14:paraId="45E9EB39">
      <w:pPr>
        <w:pStyle w:val="18"/>
        <w:adjustRightInd w:val="0"/>
        <w:snapToGrid w:val="0"/>
        <w:spacing w:before="156" w:beforeLines="50" w:after="156" w:afterLines="50" w:line="42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开标一览表</w:t>
      </w:r>
    </w:p>
    <w:p w14:paraId="39F1D00F">
      <w:pPr>
        <w:pStyle w:val="18"/>
        <w:adjustRightInd w:val="0"/>
        <w:snapToGrid w:val="0"/>
        <w:spacing w:line="420" w:lineRule="exact"/>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hAnsi="宋体" w:eastAsia="宋体" w:cs="宋体"/>
          <w:color w:val="auto"/>
          <w:spacing w:val="-4"/>
          <w:kern w:val="0"/>
          <w:sz w:val="24"/>
          <w:szCs w:val="24"/>
          <w:highlight w:val="none"/>
          <w:lang w:eastAsia="zh-CN"/>
        </w:rPr>
        <w:t>2025年度苍南县百里平水公园(灵溪段)及南塘长效管理项目（重）</w:t>
      </w:r>
    </w:p>
    <w:p w14:paraId="0CC7ADF0">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项目编号：</w:t>
      </w:r>
      <w:r>
        <w:rPr>
          <w:rFonts w:hint="eastAsia" w:ascii="宋体" w:hAnsi="宋体" w:cs="宋体"/>
          <w:color w:val="auto"/>
          <w:kern w:val="0"/>
          <w:sz w:val="24"/>
          <w:highlight w:val="none"/>
          <w:lang w:eastAsia="zh-CN"/>
        </w:rPr>
        <w:t>CNDL2025101</w:t>
      </w:r>
      <w:r>
        <w:rPr>
          <w:rFonts w:hint="eastAsia" w:ascii="宋体" w:hAnsi="宋体" w:eastAsia="宋体" w:cs="宋体"/>
          <w:color w:val="auto"/>
          <w:kern w:val="0"/>
          <w:sz w:val="24"/>
          <w:highlight w:val="none"/>
        </w:rPr>
        <w:t xml:space="preserve">     </w:t>
      </w:r>
    </w:p>
    <w:p w14:paraId="63688589">
      <w:pPr>
        <w:autoSpaceDE w:val="0"/>
        <w:autoSpaceDN w:val="0"/>
        <w:adjustRightInd w:val="0"/>
        <w:spacing w:line="420" w:lineRule="exact"/>
        <w:jc w:val="left"/>
        <w:rPr>
          <w:rFonts w:hint="eastAsia" w:ascii="宋体" w:hAnsi="宋体" w:eastAsia="宋体" w:cs="宋体"/>
          <w:color w:val="auto"/>
          <w:kern w:val="0"/>
          <w:sz w:val="24"/>
          <w:highlight w:val="none"/>
        </w:rPr>
      </w:pP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6663"/>
      </w:tblGrid>
      <w:tr w14:paraId="3DA672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7" w:hRule="atLeast"/>
        </w:trPr>
        <w:tc>
          <w:tcPr>
            <w:tcW w:w="2659" w:type="dxa"/>
            <w:vAlign w:val="center"/>
          </w:tcPr>
          <w:p w14:paraId="3BD7BF32">
            <w:pPr>
              <w:pStyle w:val="18"/>
              <w:adjustRightInd w:val="0"/>
              <w:snapToGrid w:val="0"/>
              <w:spacing w:line="4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6663" w:type="dxa"/>
            <w:vAlign w:val="center"/>
          </w:tcPr>
          <w:p w14:paraId="5ECEC69E">
            <w:pPr>
              <w:pStyle w:val="18"/>
              <w:adjustRightInd w:val="0"/>
              <w:snapToGrid w:val="0"/>
              <w:spacing w:line="420" w:lineRule="exact"/>
              <w:jc w:val="center"/>
              <w:rPr>
                <w:rFonts w:hint="eastAsia" w:ascii="宋体" w:hAnsi="宋体" w:eastAsia="宋体" w:cs="宋体"/>
                <w:b/>
                <w:color w:val="auto"/>
                <w:kern w:val="0"/>
                <w:sz w:val="24"/>
                <w:szCs w:val="24"/>
                <w:highlight w:val="none"/>
                <w:lang w:eastAsia="zh-CN"/>
              </w:rPr>
            </w:pPr>
            <w:r>
              <w:rPr>
                <w:rFonts w:hint="eastAsia" w:hAnsi="宋体" w:eastAsia="宋体" w:cs="宋体"/>
                <w:b/>
                <w:color w:val="auto"/>
                <w:kern w:val="0"/>
                <w:sz w:val="24"/>
                <w:szCs w:val="24"/>
                <w:highlight w:val="none"/>
                <w:lang w:eastAsia="zh-CN"/>
              </w:rPr>
              <w:t>2025年度苍南县百里平水公园(灵溪段)及南塘长效管理项目（重）</w:t>
            </w:r>
          </w:p>
        </w:tc>
      </w:tr>
      <w:tr w14:paraId="305AC7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2659" w:type="dxa"/>
            <w:vMerge w:val="restart"/>
            <w:vAlign w:val="center"/>
          </w:tcPr>
          <w:p w14:paraId="35963AB6">
            <w:pPr>
              <w:pStyle w:val="18"/>
              <w:adjustRightInd w:val="0"/>
              <w:snapToGrid w:val="0"/>
              <w:spacing w:line="4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投标总价</w:t>
            </w:r>
          </w:p>
        </w:tc>
        <w:tc>
          <w:tcPr>
            <w:tcW w:w="6663" w:type="dxa"/>
            <w:vAlign w:val="center"/>
          </w:tcPr>
          <w:p w14:paraId="5F573A0C">
            <w:pPr>
              <w:pStyle w:val="18"/>
              <w:adjustRightInd w:val="0"/>
              <w:snapToGrid w:val="0"/>
              <w:spacing w:line="42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（人民币，小写）：</w:t>
            </w:r>
          </w:p>
        </w:tc>
      </w:tr>
      <w:tr w14:paraId="089886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2659" w:type="dxa"/>
            <w:vMerge w:val="continue"/>
            <w:vAlign w:val="center"/>
          </w:tcPr>
          <w:p w14:paraId="25AC536E">
            <w:pPr>
              <w:pStyle w:val="18"/>
              <w:adjustRightInd w:val="0"/>
              <w:snapToGrid w:val="0"/>
              <w:spacing w:line="420" w:lineRule="exact"/>
              <w:jc w:val="center"/>
              <w:rPr>
                <w:rFonts w:hint="eastAsia" w:ascii="宋体" w:hAnsi="宋体" w:eastAsia="宋体" w:cs="宋体"/>
                <w:b/>
                <w:bCs/>
                <w:color w:val="auto"/>
                <w:spacing w:val="20"/>
                <w:sz w:val="32"/>
                <w:szCs w:val="32"/>
                <w:highlight w:val="none"/>
              </w:rPr>
            </w:pPr>
          </w:p>
        </w:tc>
        <w:tc>
          <w:tcPr>
            <w:tcW w:w="6663" w:type="dxa"/>
            <w:vAlign w:val="center"/>
          </w:tcPr>
          <w:p w14:paraId="5F097348">
            <w:pPr>
              <w:pStyle w:val="18"/>
              <w:adjustRightInd w:val="0"/>
              <w:snapToGrid w:val="0"/>
              <w:spacing w:line="420" w:lineRule="exact"/>
              <w:rPr>
                <w:rFonts w:hint="eastAsia" w:ascii="宋体" w:hAnsi="宋体" w:eastAsia="宋体" w:cs="宋体"/>
                <w:b/>
                <w:bCs/>
                <w:color w:val="auto"/>
                <w:spacing w:val="20"/>
                <w:sz w:val="32"/>
                <w:szCs w:val="32"/>
                <w:highlight w:val="none"/>
              </w:rPr>
            </w:pPr>
            <w:r>
              <w:rPr>
                <w:rFonts w:hint="eastAsia" w:ascii="宋体" w:hAnsi="宋体" w:eastAsia="宋体" w:cs="宋体"/>
                <w:b/>
                <w:color w:val="auto"/>
                <w:kern w:val="0"/>
                <w:sz w:val="24"/>
                <w:szCs w:val="24"/>
                <w:highlight w:val="none"/>
              </w:rPr>
              <w:t>（人民币，大写）：</w:t>
            </w:r>
          </w:p>
        </w:tc>
      </w:tr>
      <w:tr w14:paraId="769ED5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2659" w:type="dxa"/>
            <w:vAlign w:val="center"/>
          </w:tcPr>
          <w:p w14:paraId="5E6F5AB7">
            <w:pPr>
              <w:pStyle w:val="18"/>
              <w:adjustRightInd w:val="0"/>
              <w:snapToGrid w:val="0"/>
              <w:spacing w:line="4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服务期限</w:t>
            </w:r>
          </w:p>
        </w:tc>
        <w:tc>
          <w:tcPr>
            <w:tcW w:w="6663" w:type="dxa"/>
            <w:vAlign w:val="center"/>
          </w:tcPr>
          <w:p w14:paraId="70F809DA">
            <w:pPr>
              <w:pStyle w:val="18"/>
              <w:adjustRightInd w:val="0"/>
              <w:snapToGrid w:val="0"/>
              <w:spacing w:line="420" w:lineRule="exact"/>
              <w:jc w:val="center"/>
              <w:rPr>
                <w:rFonts w:hint="eastAsia" w:ascii="宋体" w:hAnsi="宋体" w:eastAsia="宋体" w:cs="宋体"/>
                <w:color w:val="auto"/>
                <w:kern w:val="0"/>
                <w:sz w:val="24"/>
                <w:szCs w:val="24"/>
                <w:highlight w:val="none"/>
              </w:rPr>
            </w:pPr>
          </w:p>
        </w:tc>
      </w:tr>
      <w:tr w14:paraId="11DDC1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2659" w:type="dxa"/>
            <w:vAlign w:val="center"/>
          </w:tcPr>
          <w:p w14:paraId="42C4A2EB">
            <w:pPr>
              <w:pStyle w:val="18"/>
              <w:adjustRightInd w:val="0"/>
              <w:snapToGrid w:val="0"/>
              <w:spacing w:line="4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c>
          <w:tcPr>
            <w:tcW w:w="6663" w:type="dxa"/>
            <w:vAlign w:val="center"/>
          </w:tcPr>
          <w:p w14:paraId="0CAADC9A">
            <w:pPr>
              <w:pStyle w:val="18"/>
              <w:adjustRightInd w:val="0"/>
              <w:snapToGrid w:val="0"/>
              <w:spacing w:line="420" w:lineRule="exact"/>
              <w:jc w:val="center"/>
              <w:rPr>
                <w:rFonts w:hint="eastAsia" w:ascii="宋体" w:hAnsi="宋体" w:eastAsia="宋体" w:cs="宋体"/>
                <w:b/>
                <w:bCs/>
                <w:color w:val="auto"/>
                <w:spacing w:val="20"/>
                <w:sz w:val="32"/>
                <w:szCs w:val="32"/>
                <w:highlight w:val="none"/>
              </w:rPr>
            </w:pPr>
          </w:p>
        </w:tc>
      </w:tr>
    </w:tbl>
    <w:p w14:paraId="03556F99">
      <w:pPr>
        <w:autoSpaceDE w:val="0"/>
        <w:autoSpaceDN w:val="0"/>
        <w:adjustRightInd w:val="0"/>
        <w:spacing w:line="420" w:lineRule="exact"/>
        <w:jc w:val="lef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说明：</w:t>
      </w:r>
    </w:p>
    <w:p w14:paraId="7FA6EC1D">
      <w:pPr>
        <w:autoSpaceDE w:val="0"/>
        <w:autoSpaceDN w:val="0"/>
        <w:adjustRightInd w:val="0"/>
        <w:spacing w:line="420" w:lineRule="exact"/>
        <w:ind w:firstLine="440" w:firstLineChars="200"/>
        <w:jc w:val="lef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1、报价一览表中报价为完成本项目服务可能发生的全部费用及投标供应商的利润和应交纳的税金等（包括保洁、</w:t>
      </w:r>
      <w:r>
        <w:rPr>
          <w:rFonts w:hint="eastAsia" w:ascii="宋体" w:hAnsi="宋体" w:cs="宋体"/>
          <w:color w:val="auto"/>
          <w:kern w:val="0"/>
          <w:szCs w:val="22"/>
          <w:highlight w:val="none"/>
          <w:lang w:val="en-US" w:eastAsia="zh-CN"/>
        </w:rPr>
        <w:t>绿化养护、</w:t>
      </w:r>
      <w:r>
        <w:rPr>
          <w:rFonts w:hint="eastAsia" w:ascii="宋体" w:hAnsi="宋体" w:eastAsia="宋体" w:cs="宋体"/>
          <w:color w:val="auto"/>
          <w:kern w:val="0"/>
          <w:szCs w:val="22"/>
          <w:highlight w:val="none"/>
        </w:rPr>
        <w:t>电工、堤防标准化管理、建筑、设施维运及其他所有服务所需的一切人员工资、奖金、各种加班费、夜餐费、各种社会保险、食宿与交通、专用设备及工具、器械、完成服务所需的消耗材料（物料）、服装、安全、仓储、运输（包括垃圾外运）、维修、管理费用、税费、招标代理服务费、利润、完成合同所需的一切本身和不可或缺的所有工作开支等）。</w:t>
      </w:r>
    </w:p>
    <w:p w14:paraId="41BD02D5">
      <w:pPr>
        <w:autoSpaceDE w:val="0"/>
        <w:autoSpaceDN w:val="0"/>
        <w:adjustRightInd w:val="0"/>
        <w:spacing w:line="420" w:lineRule="exact"/>
        <w:ind w:firstLine="442" w:firstLineChars="200"/>
        <w:jc w:val="left"/>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2、本表报价大小写不一致以大写为准；本表投标总价和投标报价组成表合计总价不一致以本表为准。</w:t>
      </w:r>
    </w:p>
    <w:p w14:paraId="0B227E53">
      <w:pPr>
        <w:autoSpaceDE w:val="0"/>
        <w:autoSpaceDN w:val="0"/>
        <w:adjustRightInd w:val="0"/>
        <w:spacing w:line="420" w:lineRule="exact"/>
        <w:ind w:firstLine="442" w:firstLineChars="200"/>
        <w:jc w:val="left"/>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 xml:space="preserve">3、▲此表不得自行增减内容，不提供此表格将被视为没有实质性响应招标文件，其投标文件将被拒绝。 </w:t>
      </w:r>
    </w:p>
    <w:p w14:paraId="4554DA91">
      <w:pPr>
        <w:pStyle w:val="18"/>
        <w:adjustRightInd w:val="0"/>
        <w:snapToGrid w:val="0"/>
        <w:spacing w:line="420" w:lineRule="exact"/>
        <w:rPr>
          <w:rFonts w:hint="eastAsia" w:ascii="宋体" w:hAnsi="宋体" w:eastAsia="宋体" w:cs="宋体"/>
          <w:color w:val="auto"/>
          <w:kern w:val="0"/>
          <w:sz w:val="28"/>
          <w:szCs w:val="28"/>
          <w:highlight w:val="none"/>
        </w:rPr>
      </w:pPr>
    </w:p>
    <w:p w14:paraId="6351D127">
      <w:pPr>
        <w:pStyle w:val="18"/>
        <w:adjustRightInd w:val="0"/>
        <w:snapToGrid w:val="0"/>
        <w:spacing w:line="42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投标供应商名称（电子签章）：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54D1B542">
      <w:pPr>
        <w:pStyle w:val="18"/>
        <w:adjustRightInd w:val="0"/>
        <w:snapToGrid w:val="0"/>
        <w:spacing w:line="420" w:lineRule="exac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法定代表人或其授权代表（签字或盖章）：</w:t>
      </w:r>
      <w:r>
        <w:rPr>
          <w:rFonts w:hint="eastAsia" w:ascii="宋体" w:hAnsi="宋体" w:eastAsia="宋体" w:cs="宋体"/>
          <w:color w:val="auto"/>
          <w:kern w:val="0"/>
          <w:sz w:val="28"/>
          <w:szCs w:val="28"/>
          <w:highlight w:val="none"/>
          <w:u w:val="single"/>
        </w:rPr>
        <w:t xml:space="preserve">              </w:t>
      </w:r>
    </w:p>
    <w:p w14:paraId="0C239AFE">
      <w:pPr>
        <w:pStyle w:val="18"/>
        <w:adjustRightInd w:val="0"/>
        <w:snapToGrid w:val="0"/>
        <w:spacing w:line="42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日期：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4CFDB8F8">
      <w:pPr>
        <w:pStyle w:val="18"/>
        <w:adjustRightInd w:val="0"/>
        <w:snapToGrid w:val="0"/>
        <w:spacing w:line="420" w:lineRule="exact"/>
        <w:rPr>
          <w:rFonts w:hint="eastAsia" w:ascii="宋体" w:hAnsi="宋体" w:eastAsia="宋体" w:cs="宋体"/>
          <w:b/>
          <w:color w:val="auto"/>
          <w:highlight w:val="none"/>
        </w:rPr>
      </w:pPr>
    </w:p>
    <w:p w14:paraId="3CADF2DD">
      <w:pPr>
        <w:pStyle w:val="18"/>
        <w:adjustRightInd w:val="0"/>
        <w:snapToGrid w:val="0"/>
        <w:spacing w:line="42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784AC9EB">
      <w:pPr>
        <w:pStyle w:val="5"/>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3.4.1、投标报价组成表</w:t>
      </w:r>
    </w:p>
    <w:p w14:paraId="68314111">
      <w:pPr>
        <w:pStyle w:val="18"/>
        <w:adjustRightInd w:val="0"/>
        <w:snapToGrid w:val="0"/>
        <w:spacing w:before="156" w:beforeLines="50" w:after="156" w:afterLines="50" w:line="42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投标报价组成表</w:t>
      </w:r>
    </w:p>
    <w:p w14:paraId="449A1D64">
      <w:pPr>
        <w:pStyle w:val="18"/>
        <w:adjustRightInd w:val="0"/>
        <w:snapToGrid w:val="0"/>
        <w:spacing w:line="420" w:lineRule="exact"/>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hAnsi="宋体" w:eastAsia="宋体" w:cs="宋体"/>
          <w:color w:val="auto"/>
          <w:spacing w:val="-4"/>
          <w:kern w:val="0"/>
          <w:sz w:val="24"/>
          <w:szCs w:val="24"/>
          <w:highlight w:val="none"/>
          <w:lang w:eastAsia="zh-CN"/>
        </w:rPr>
        <w:t>2025年度苍南县百里平水公园(灵溪段)及南塘长效管理项目（重）</w:t>
      </w:r>
    </w:p>
    <w:p w14:paraId="6766549A">
      <w:pPr>
        <w:autoSpaceDE w:val="0"/>
        <w:autoSpaceDN w:val="0"/>
        <w:adjustRightIn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项目编号：</w:t>
      </w:r>
      <w:r>
        <w:rPr>
          <w:rFonts w:hint="eastAsia" w:ascii="宋体" w:hAnsi="宋体" w:cs="宋体"/>
          <w:color w:val="auto"/>
          <w:kern w:val="0"/>
          <w:sz w:val="24"/>
          <w:highlight w:val="none"/>
          <w:lang w:eastAsia="zh-CN"/>
        </w:rPr>
        <w:t>CNDL2025101</w:t>
      </w:r>
      <w:r>
        <w:rPr>
          <w:rFonts w:hint="eastAsia" w:ascii="宋体" w:hAnsi="宋体" w:eastAsia="宋体" w:cs="宋体"/>
          <w:color w:val="auto"/>
          <w:kern w:val="0"/>
          <w:sz w:val="24"/>
          <w:highlight w:val="none"/>
        </w:rPr>
        <w:t xml:space="preserve">                    </w:t>
      </w:r>
    </w:p>
    <w:tbl>
      <w:tblPr>
        <w:tblStyle w:val="32"/>
        <w:tblW w:w="9782" w:type="dxa"/>
        <w:tblInd w:w="-17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4"/>
        <w:gridCol w:w="227"/>
        <w:gridCol w:w="2502"/>
        <w:gridCol w:w="1843"/>
        <w:gridCol w:w="1134"/>
        <w:gridCol w:w="1134"/>
        <w:gridCol w:w="437"/>
        <w:gridCol w:w="1831"/>
      </w:tblGrid>
      <w:tr w14:paraId="6A1ED6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674" w:type="dxa"/>
            <w:vAlign w:val="center"/>
          </w:tcPr>
          <w:p w14:paraId="5BC87887">
            <w:pPr>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729" w:type="dxa"/>
            <w:gridSpan w:val="2"/>
            <w:vAlign w:val="center"/>
          </w:tcPr>
          <w:p w14:paraId="34C4B20E">
            <w:pPr>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1843" w:type="dxa"/>
            <w:vAlign w:val="center"/>
          </w:tcPr>
          <w:p w14:paraId="78EF82D9">
            <w:pPr>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年费用</w:t>
            </w:r>
          </w:p>
        </w:tc>
        <w:tc>
          <w:tcPr>
            <w:tcW w:w="1134" w:type="dxa"/>
            <w:vAlign w:val="center"/>
          </w:tcPr>
          <w:p w14:paraId="177BAEC7">
            <w:pPr>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134" w:type="dxa"/>
            <w:vAlign w:val="center"/>
          </w:tcPr>
          <w:p w14:paraId="7EECCA27">
            <w:pPr>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小计（元）</w:t>
            </w:r>
          </w:p>
        </w:tc>
        <w:tc>
          <w:tcPr>
            <w:tcW w:w="2268" w:type="dxa"/>
            <w:gridSpan w:val="2"/>
            <w:vAlign w:val="center"/>
          </w:tcPr>
          <w:p w14:paraId="5D142D68">
            <w:pPr>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462B0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674" w:type="dxa"/>
            <w:vAlign w:val="center"/>
          </w:tcPr>
          <w:p w14:paraId="3C1FB51F">
            <w:pPr>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729" w:type="dxa"/>
            <w:gridSpan w:val="2"/>
            <w:vAlign w:val="center"/>
          </w:tcPr>
          <w:p w14:paraId="27743829">
            <w:pPr>
              <w:spacing w:line="42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人员成本费用</w:t>
            </w:r>
          </w:p>
        </w:tc>
        <w:tc>
          <w:tcPr>
            <w:tcW w:w="1843" w:type="dxa"/>
            <w:vAlign w:val="center"/>
          </w:tcPr>
          <w:p w14:paraId="309B44D4">
            <w:pPr>
              <w:spacing w:line="420" w:lineRule="exact"/>
              <w:jc w:val="right"/>
              <w:textAlignment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元/人/年</w:t>
            </w:r>
          </w:p>
        </w:tc>
        <w:tc>
          <w:tcPr>
            <w:tcW w:w="1134" w:type="dxa"/>
            <w:vAlign w:val="center"/>
          </w:tcPr>
          <w:p w14:paraId="4FAC3AE1">
            <w:pPr>
              <w:spacing w:line="42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人</w:t>
            </w:r>
          </w:p>
        </w:tc>
        <w:tc>
          <w:tcPr>
            <w:tcW w:w="1134" w:type="dxa"/>
            <w:vAlign w:val="center"/>
          </w:tcPr>
          <w:p w14:paraId="1D5B969E">
            <w:pPr>
              <w:spacing w:line="420" w:lineRule="exact"/>
              <w:jc w:val="center"/>
              <w:rPr>
                <w:rFonts w:hint="eastAsia" w:ascii="宋体" w:hAnsi="宋体" w:eastAsia="宋体" w:cs="宋体"/>
                <w:color w:val="auto"/>
                <w:highlight w:val="none"/>
              </w:rPr>
            </w:pPr>
          </w:p>
        </w:tc>
        <w:tc>
          <w:tcPr>
            <w:tcW w:w="2268" w:type="dxa"/>
            <w:gridSpan w:val="2"/>
            <w:vAlign w:val="center"/>
          </w:tcPr>
          <w:p w14:paraId="5DADECCF">
            <w:pPr>
              <w:spacing w:line="420" w:lineRule="exact"/>
              <w:jc w:val="left"/>
              <w:rPr>
                <w:rFonts w:hint="eastAsia" w:ascii="宋体" w:hAnsi="宋体" w:eastAsia="宋体" w:cs="宋体"/>
                <w:b/>
                <w:color w:val="auto"/>
                <w:sz w:val="20"/>
                <w:highlight w:val="none"/>
              </w:rPr>
            </w:pPr>
            <w:r>
              <w:rPr>
                <w:rFonts w:hint="eastAsia" w:ascii="宋体" w:hAnsi="宋体" w:eastAsia="宋体" w:cs="宋体"/>
                <w:b/>
                <w:color w:val="auto"/>
                <w:sz w:val="20"/>
                <w:highlight w:val="none"/>
              </w:rPr>
              <w:t>不得低于人员最低配置要求的</w:t>
            </w:r>
            <w:r>
              <w:rPr>
                <w:rFonts w:hint="eastAsia" w:ascii="宋体" w:hAnsi="宋体" w:cs="宋体"/>
                <w:b/>
                <w:color w:val="auto"/>
                <w:sz w:val="20"/>
                <w:highlight w:val="none"/>
                <w:lang w:val="en-US" w:eastAsia="zh-CN"/>
              </w:rPr>
              <w:t>19</w:t>
            </w:r>
            <w:r>
              <w:rPr>
                <w:rFonts w:hint="eastAsia" w:ascii="宋体" w:hAnsi="宋体" w:eastAsia="宋体" w:cs="宋体"/>
                <w:b/>
                <w:color w:val="auto"/>
                <w:sz w:val="20"/>
                <w:highlight w:val="none"/>
              </w:rPr>
              <w:t>人，否则作无效标处理。</w:t>
            </w:r>
          </w:p>
        </w:tc>
      </w:tr>
      <w:tr w14:paraId="6E49B3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674" w:type="dxa"/>
            <w:shd w:val="clear" w:color="auto" w:fill="auto"/>
            <w:vAlign w:val="center"/>
          </w:tcPr>
          <w:p w14:paraId="435B66B6">
            <w:pPr>
              <w:spacing w:line="420" w:lineRule="exact"/>
              <w:jc w:val="center"/>
              <w:rPr>
                <w:rFonts w:hint="eastAsia" w:ascii="宋体" w:hAnsi="宋体" w:eastAsia="宋体" w:cs="宋体"/>
                <w:color w:val="auto"/>
                <w:kern w:val="2"/>
                <w:sz w:val="22"/>
                <w:szCs w:val="20"/>
                <w:highlight w:val="none"/>
                <w:lang w:val="en-US" w:eastAsia="zh-CN" w:bidi="ar-SA"/>
              </w:rPr>
            </w:pPr>
            <w:r>
              <w:rPr>
                <w:rFonts w:hint="eastAsia" w:ascii="宋体" w:hAnsi="宋体" w:eastAsia="宋体" w:cs="宋体"/>
                <w:color w:val="auto"/>
                <w:highlight w:val="none"/>
              </w:rPr>
              <w:t>2</w:t>
            </w:r>
          </w:p>
        </w:tc>
        <w:tc>
          <w:tcPr>
            <w:tcW w:w="2729" w:type="dxa"/>
            <w:gridSpan w:val="2"/>
            <w:vAlign w:val="center"/>
          </w:tcPr>
          <w:p w14:paraId="52A24DB9">
            <w:pPr>
              <w:spacing w:line="420" w:lineRule="exact"/>
              <w:jc w:val="center"/>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绿化养护费用</w:t>
            </w:r>
            <w:r>
              <w:rPr>
                <w:rFonts w:hint="eastAsia" w:ascii="宋体" w:hAnsi="宋体" w:eastAsia="宋体" w:cs="宋体"/>
                <w:color w:val="auto"/>
                <w:szCs w:val="22"/>
                <w:highlight w:val="none"/>
              </w:rPr>
              <w:t>（暂列金额）</w:t>
            </w:r>
          </w:p>
        </w:tc>
        <w:tc>
          <w:tcPr>
            <w:tcW w:w="1843" w:type="dxa"/>
            <w:vAlign w:val="center"/>
          </w:tcPr>
          <w:p w14:paraId="5D94BDFE">
            <w:pPr>
              <w:spacing w:line="420" w:lineRule="exact"/>
              <w:jc w:val="right"/>
              <w:textAlignment w:val="center"/>
              <w:rPr>
                <w:rFonts w:hint="eastAsia" w:ascii="宋体" w:hAnsi="宋体" w:eastAsia="宋体" w:cs="宋体"/>
                <w:color w:val="auto"/>
                <w:szCs w:val="22"/>
                <w:highlight w:val="none"/>
                <w:u w:val="single"/>
              </w:rPr>
            </w:pPr>
            <w:r>
              <w:rPr>
                <w:rFonts w:hint="eastAsia" w:ascii="宋体" w:hAnsi="宋体" w:cs="宋体"/>
                <w:color w:val="auto"/>
                <w:szCs w:val="22"/>
                <w:highlight w:val="none"/>
                <w:lang w:val="en-US" w:eastAsia="zh-CN"/>
              </w:rPr>
              <w:t>600000</w:t>
            </w:r>
            <w:r>
              <w:rPr>
                <w:rFonts w:hint="eastAsia" w:ascii="宋体" w:hAnsi="宋体" w:eastAsia="宋体" w:cs="宋体"/>
                <w:color w:val="auto"/>
                <w:szCs w:val="22"/>
                <w:highlight w:val="none"/>
              </w:rPr>
              <w:t>元/年</w:t>
            </w:r>
          </w:p>
        </w:tc>
        <w:tc>
          <w:tcPr>
            <w:tcW w:w="1134" w:type="dxa"/>
            <w:vAlign w:val="center"/>
          </w:tcPr>
          <w:p w14:paraId="75A0F07E">
            <w:pPr>
              <w:spacing w:line="420" w:lineRule="exact"/>
              <w:jc w:val="center"/>
              <w:rPr>
                <w:rFonts w:hint="eastAsia" w:ascii="宋体" w:hAnsi="宋体" w:eastAsia="宋体" w:cs="宋体"/>
                <w:color w:val="auto"/>
                <w:szCs w:val="22"/>
                <w:highlight w:val="none"/>
                <w:u w:val="single"/>
              </w:rPr>
            </w:pPr>
            <w:r>
              <w:rPr>
                <w:rFonts w:hint="eastAsia" w:ascii="宋体" w:hAnsi="宋体" w:eastAsia="宋体" w:cs="宋体"/>
                <w:color w:val="auto"/>
                <w:szCs w:val="22"/>
                <w:highlight w:val="none"/>
              </w:rPr>
              <w:t>1项</w:t>
            </w:r>
          </w:p>
        </w:tc>
        <w:tc>
          <w:tcPr>
            <w:tcW w:w="1134" w:type="dxa"/>
            <w:vAlign w:val="center"/>
          </w:tcPr>
          <w:p w14:paraId="3EB8311F">
            <w:pPr>
              <w:spacing w:line="420" w:lineRule="exact"/>
              <w:jc w:val="center"/>
              <w:rPr>
                <w:rFonts w:hint="eastAsia" w:ascii="宋体" w:hAnsi="宋体" w:eastAsia="宋体" w:cs="宋体"/>
                <w:color w:val="auto"/>
                <w:highlight w:val="none"/>
              </w:rPr>
            </w:pPr>
          </w:p>
        </w:tc>
        <w:tc>
          <w:tcPr>
            <w:tcW w:w="2268" w:type="dxa"/>
            <w:gridSpan w:val="2"/>
            <w:vAlign w:val="center"/>
          </w:tcPr>
          <w:p w14:paraId="1F265B5F">
            <w:pPr>
              <w:spacing w:line="420" w:lineRule="exact"/>
              <w:jc w:val="left"/>
              <w:rPr>
                <w:rFonts w:hint="eastAsia" w:ascii="宋体" w:hAnsi="宋体" w:eastAsia="宋体" w:cs="宋体"/>
                <w:b/>
                <w:color w:val="auto"/>
                <w:sz w:val="20"/>
                <w:highlight w:val="none"/>
              </w:rPr>
            </w:pPr>
            <w:r>
              <w:rPr>
                <w:rFonts w:hint="eastAsia" w:ascii="宋体" w:hAnsi="宋体" w:eastAsia="宋体" w:cs="宋体"/>
                <w:b/>
                <w:color w:val="auto"/>
                <w:sz w:val="20"/>
                <w:highlight w:val="none"/>
              </w:rPr>
              <w:t>不参与竞争报价，投标报价时不得改动，需计入总价中，按实际结算。</w:t>
            </w:r>
          </w:p>
        </w:tc>
      </w:tr>
      <w:tr w14:paraId="4C13EC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674" w:type="dxa"/>
            <w:shd w:val="clear" w:color="auto" w:fill="auto"/>
            <w:vAlign w:val="center"/>
          </w:tcPr>
          <w:p w14:paraId="0417B913">
            <w:pPr>
              <w:spacing w:line="420" w:lineRule="exact"/>
              <w:jc w:val="center"/>
              <w:rPr>
                <w:rFonts w:hint="eastAsia" w:ascii="宋体" w:hAnsi="宋体" w:eastAsia="宋体" w:cs="宋体"/>
                <w:color w:val="auto"/>
                <w:kern w:val="2"/>
                <w:sz w:val="22"/>
                <w:szCs w:val="20"/>
                <w:highlight w:val="none"/>
                <w:lang w:val="en-US" w:eastAsia="zh-CN" w:bidi="ar-SA"/>
              </w:rPr>
            </w:pPr>
            <w:r>
              <w:rPr>
                <w:rFonts w:hint="eastAsia" w:ascii="宋体" w:hAnsi="宋体" w:eastAsia="宋体" w:cs="宋体"/>
                <w:color w:val="auto"/>
                <w:highlight w:val="none"/>
              </w:rPr>
              <w:t>3</w:t>
            </w:r>
          </w:p>
        </w:tc>
        <w:tc>
          <w:tcPr>
            <w:tcW w:w="2729" w:type="dxa"/>
            <w:gridSpan w:val="2"/>
            <w:vAlign w:val="center"/>
          </w:tcPr>
          <w:p w14:paraId="1D23C760">
            <w:pPr>
              <w:spacing w:line="42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路灯电费（暂列金额）</w:t>
            </w:r>
          </w:p>
        </w:tc>
        <w:tc>
          <w:tcPr>
            <w:tcW w:w="1843" w:type="dxa"/>
            <w:vAlign w:val="center"/>
          </w:tcPr>
          <w:p w14:paraId="00A46D91">
            <w:pPr>
              <w:spacing w:line="420" w:lineRule="exact"/>
              <w:jc w:val="right"/>
              <w:textAlignment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70200元/年</w:t>
            </w:r>
          </w:p>
        </w:tc>
        <w:tc>
          <w:tcPr>
            <w:tcW w:w="1134" w:type="dxa"/>
            <w:vAlign w:val="center"/>
          </w:tcPr>
          <w:p w14:paraId="3F0C164A">
            <w:pPr>
              <w:spacing w:line="42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1项</w:t>
            </w:r>
          </w:p>
        </w:tc>
        <w:tc>
          <w:tcPr>
            <w:tcW w:w="1134" w:type="dxa"/>
            <w:vAlign w:val="center"/>
          </w:tcPr>
          <w:p w14:paraId="4DBFDAB7">
            <w:pPr>
              <w:spacing w:line="420" w:lineRule="exact"/>
              <w:jc w:val="center"/>
              <w:rPr>
                <w:rFonts w:hint="eastAsia" w:ascii="宋体" w:hAnsi="宋体" w:eastAsia="宋体" w:cs="宋体"/>
                <w:color w:val="auto"/>
                <w:highlight w:val="none"/>
              </w:rPr>
            </w:pPr>
          </w:p>
        </w:tc>
        <w:tc>
          <w:tcPr>
            <w:tcW w:w="2268" w:type="dxa"/>
            <w:gridSpan w:val="2"/>
            <w:vAlign w:val="center"/>
          </w:tcPr>
          <w:p w14:paraId="54368EDF">
            <w:pPr>
              <w:spacing w:line="420" w:lineRule="exact"/>
              <w:jc w:val="left"/>
              <w:rPr>
                <w:rFonts w:hint="eastAsia" w:ascii="宋体" w:hAnsi="宋体" w:eastAsia="宋体" w:cs="宋体"/>
                <w:b/>
                <w:color w:val="auto"/>
                <w:sz w:val="20"/>
                <w:highlight w:val="none"/>
              </w:rPr>
            </w:pPr>
            <w:r>
              <w:rPr>
                <w:rFonts w:hint="eastAsia" w:ascii="宋体" w:hAnsi="宋体" w:eastAsia="宋体" w:cs="宋体"/>
                <w:b/>
                <w:color w:val="auto"/>
                <w:sz w:val="20"/>
                <w:highlight w:val="none"/>
              </w:rPr>
              <w:t>不参与竞争报价，投标报价时不得改动，需计入总价中，按实际结算。</w:t>
            </w:r>
          </w:p>
        </w:tc>
      </w:tr>
      <w:tr w14:paraId="60816B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674" w:type="dxa"/>
            <w:vAlign w:val="center"/>
          </w:tcPr>
          <w:p w14:paraId="5782160A">
            <w:pPr>
              <w:spacing w:line="42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2729" w:type="dxa"/>
            <w:gridSpan w:val="2"/>
            <w:vAlign w:val="center"/>
          </w:tcPr>
          <w:p w14:paraId="3494608A">
            <w:pPr>
              <w:spacing w:line="42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建筑、设施维护费（暂列金额）</w:t>
            </w:r>
          </w:p>
        </w:tc>
        <w:tc>
          <w:tcPr>
            <w:tcW w:w="1843" w:type="dxa"/>
            <w:vAlign w:val="center"/>
          </w:tcPr>
          <w:p w14:paraId="3B485EFB">
            <w:pPr>
              <w:spacing w:line="420" w:lineRule="exact"/>
              <w:jc w:val="right"/>
              <w:textAlignment w:val="center"/>
              <w:rPr>
                <w:rFonts w:hint="eastAsia" w:ascii="宋体" w:hAnsi="宋体" w:eastAsia="宋体" w:cs="宋体"/>
                <w:color w:val="auto"/>
                <w:szCs w:val="22"/>
                <w:highlight w:val="none"/>
                <w:u w:val="single"/>
              </w:rPr>
            </w:pPr>
            <w:r>
              <w:rPr>
                <w:rFonts w:hint="eastAsia" w:ascii="宋体" w:hAnsi="宋体" w:eastAsia="宋体" w:cs="宋体"/>
                <w:color w:val="auto"/>
                <w:szCs w:val="22"/>
                <w:highlight w:val="none"/>
              </w:rPr>
              <w:t>70000元/年</w:t>
            </w:r>
          </w:p>
        </w:tc>
        <w:tc>
          <w:tcPr>
            <w:tcW w:w="1134" w:type="dxa"/>
            <w:vAlign w:val="center"/>
          </w:tcPr>
          <w:p w14:paraId="62709CA5">
            <w:pPr>
              <w:spacing w:line="420" w:lineRule="exact"/>
              <w:jc w:val="center"/>
              <w:rPr>
                <w:rFonts w:hint="eastAsia" w:ascii="宋体" w:hAnsi="宋体" w:eastAsia="宋体" w:cs="宋体"/>
                <w:color w:val="auto"/>
                <w:szCs w:val="22"/>
                <w:highlight w:val="none"/>
                <w:u w:val="single"/>
              </w:rPr>
            </w:pPr>
            <w:r>
              <w:rPr>
                <w:rFonts w:hint="eastAsia" w:ascii="宋体" w:hAnsi="宋体" w:eastAsia="宋体" w:cs="宋体"/>
                <w:color w:val="auto"/>
                <w:szCs w:val="22"/>
                <w:highlight w:val="none"/>
              </w:rPr>
              <w:t>1项</w:t>
            </w:r>
          </w:p>
        </w:tc>
        <w:tc>
          <w:tcPr>
            <w:tcW w:w="1134" w:type="dxa"/>
            <w:vAlign w:val="center"/>
          </w:tcPr>
          <w:p w14:paraId="15366180">
            <w:pPr>
              <w:spacing w:line="420" w:lineRule="exact"/>
              <w:jc w:val="center"/>
              <w:rPr>
                <w:rFonts w:hint="eastAsia" w:ascii="宋体" w:hAnsi="宋体" w:eastAsia="宋体" w:cs="宋体"/>
                <w:color w:val="auto"/>
                <w:highlight w:val="none"/>
              </w:rPr>
            </w:pPr>
          </w:p>
        </w:tc>
        <w:tc>
          <w:tcPr>
            <w:tcW w:w="2268" w:type="dxa"/>
            <w:gridSpan w:val="2"/>
            <w:vAlign w:val="center"/>
          </w:tcPr>
          <w:p w14:paraId="62473321">
            <w:pPr>
              <w:spacing w:line="420" w:lineRule="exact"/>
              <w:jc w:val="left"/>
              <w:rPr>
                <w:rFonts w:hint="eastAsia" w:ascii="宋体" w:hAnsi="宋体" w:eastAsia="宋体" w:cs="宋体"/>
                <w:b/>
                <w:color w:val="auto"/>
                <w:sz w:val="20"/>
                <w:highlight w:val="none"/>
              </w:rPr>
            </w:pPr>
            <w:r>
              <w:rPr>
                <w:rFonts w:hint="eastAsia" w:ascii="宋体" w:hAnsi="宋体" w:eastAsia="宋体" w:cs="宋体"/>
                <w:b/>
                <w:color w:val="auto"/>
                <w:sz w:val="20"/>
                <w:highlight w:val="none"/>
              </w:rPr>
              <w:t>不参与竞争报价，投标报价时不得改动，需计入总价中，按实际结算。</w:t>
            </w:r>
          </w:p>
        </w:tc>
      </w:tr>
      <w:tr w14:paraId="54CC86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674" w:type="dxa"/>
            <w:vAlign w:val="center"/>
          </w:tcPr>
          <w:p w14:paraId="43E688F9">
            <w:pPr>
              <w:spacing w:line="420" w:lineRule="exact"/>
              <w:jc w:val="center"/>
              <w:rPr>
                <w:rFonts w:hint="eastAsia" w:ascii="宋体" w:hAnsi="宋体" w:eastAsia="宋体" w:cs="宋体"/>
                <w:color w:val="auto"/>
                <w:highlight w:val="none"/>
              </w:rPr>
            </w:pPr>
            <w:r>
              <w:rPr>
                <w:rFonts w:hint="eastAsia" w:ascii="宋体" w:hAnsi="宋体" w:cs="宋体"/>
                <w:color w:val="auto"/>
                <w:highlight w:val="none"/>
                <w:lang w:val="en-US" w:eastAsia="zh-CN"/>
              </w:rPr>
              <w:t>5</w:t>
            </w:r>
          </w:p>
        </w:tc>
        <w:tc>
          <w:tcPr>
            <w:tcW w:w="2729" w:type="dxa"/>
            <w:gridSpan w:val="2"/>
            <w:vAlign w:val="center"/>
          </w:tcPr>
          <w:p w14:paraId="7E218C26">
            <w:pPr>
              <w:spacing w:line="42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其他费用(含车辆、船只、设备、企业管理费税金、利润等所有费用)</w:t>
            </w:r>
          </w:p>
        </w:tc>
        <w:tc>
          <w:tcPr>
            <w:tcW w:w="1843" w:type="dxa"/>
            <w:vAlign w:val="center"/>
          </w:tcPr>
          <w:p w14:paraId="680A89E2">
            <w:pPr>
              <w:spacing w:line="420" w:lineRule="exact"/>
              <w:jc w:val="right"/>
              <w:textAlignment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元/年</w:t>
            </w:r>
          </w:p>
        </w:tc>
        <w:tc>
          <w:tcPr>
            <w:tcW w:w="1134" w:type="dxa"/>
            <w:vAlign w:val="center"/>
          </w:tcPr>
          <w:p w14:paraId="77589B82">
            <w:pPr>
              <w:spacing w:line="42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1项</w:t>
            </w:r>
          </w:p>
        </w:tc>
        <w:tc>
          <w:tcPr>
            <w:tcW w:w="1134" w:type="dxa"/>
            <w:vAlign w:val="center"/>
          </w:tcPr>
          <w:p w14:paraId="1D52C676">
            <w:pPr>
              <w:spacing w:line="420" w:lineRule="exact"/>
              <w:jc w:val="right"/>
              <w:rPr>
                <w:rFonts w:hint="eastAsia" w:ascii="宋体" w:hAnsi="宋体" w:eastAsia="宋体" w:cs="宋体"/>
                <w:color w:val="auto"/>
                <w:highlight w:val="none"/>
              </w:rPr>
            </w:pPr>
          </w:p>
        </w:tc>
        <w:tc>
          <w:tcPr>
            <w:tcW w:w="2268" w:type="dxa"/>
            <w:gridSpan w:val="2"/>
            <w:vAlign w:val="center"/>
          </w:tcPr>
          <w:p w14:paraId="0B9456A4">
            <w:pPr>
              <w:jc w:val="center"/>
              <w:rPr>
                <w:rFonts w:hint="eastAsia" w:ascii="宋体" w:hAnsi="宋体" w:eastAsia="宋体" w:cs="宋体"/>
                <w:color w:val="auto"/>
                <w:sz w:val="16"/>
                <w:szCs w:val="16"/>
                <w:highlight w:val="none"/>
              </w:rPr>
            </w:pPr>
            <w:r>
              <w:rPr>
                <w:rFonts w:hint="eastAsia" w:ascii="宋体" w:hAnsi="宋体" w:eastAsia="宋体" w:cs="宋体"/>
                <w:b/>
                <w:color w:val="auto"/>
                <w:sz w:val="20"/>
                <w:highlight w:val="none"/>
              </w:rPr>
              <w:t>除序号1、2、3</w:t>
            </w:r>
            <w:r>
              <w:rPr>
                <w:rFonts w:hint="eastAsia" w:ascii="宋体" w:hAnsi="宋体" w:cs="宋体"/>
                <w:b/>
                <w:color w:val="auto"/>
                <w:sz w:val="20"/>
                <w:highlight w:val="none"/>
                <w:lang w:eastAsia="zh-CN"/>
              </w:rPr>
              <w:t>、</w:t>
            </w:r>
            <w:r>
              <w:rPr>
                <w:rFonts w:hint="eastAsia" w:ascii="宋体" w:hAnsi="宋体" w:cs="宋体"/>
                <w:b/>
                <w:color w:val="auto"/>
                <w:sz w:val="20"/>
                <w:highlight w:val="none"/>
                <w:lang w:val="en-US" w:eastAsia="zh-CN"/>
              </w:rPr>
              <w:t>4</w:t>
            </w:r>
            <w:r>
              <w:rPr>
                <w:rFonts w:hint="eastAsia" w:ascii="宋体" w:hAnsi="宋体" w:eastAsia="宋体" w:cs="宋体"/>
                <w:b/>
                <w:color w:val="auto"/>
                <w:sz w:val="20"/>
                <w:highlight w:val="none"/>
              </w:rPr>
              <w:t>以外的所有费用。</w:t>
            </w:r>
          </w:p>
        </w:tc>
      </w:tr>
      <w:tr w14:paraId="09674D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674" w:type="dxa"/>
            <w:vAlign w:val="center"/>
          </w:tcPr>
          <w:p w14:paraId="46A15D84">
            <w:pPr>
              <w:spacing w:line="42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6</w:t>
            </w:r>
          </w:p>
        </w:tc>
        <w:tc>
          <w:tcPr>
            <w:tcW w:w="2729" w:type="dxa"/>
            <w:gridSpan w:val="2"/>
            <w:vAlign w:val="center"/>
          </w:tcPr>
          <w:p w14:paraId="43D34526">
            <w:pPr>
              <w:spacing w:line="420" w:lineRule="exact"/>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1843" w:type="dxa"/>
            <w:vAlign w:val="center"/>
          </w:tcPr>
          <w:p w14:paraId="38A07BD7">
            <w:pPr>
              <w:spacing w:line="420" w:lineRule="exact"/>
              <w:jc w:val="right"/>
              <w:textAlignment w:val="center"/>
              <w:rPr>
                <w:rFonts w:hint="eastAsia" w:ascii="宋体" w:hAnsi="宋体" w:eastAsia="宋体" w:cs="宋体"/>
                <w:color w:val="auto"/>
                <w:szCs w:val="22"/>
                <w:highlight w:val="none"/>
                <w:u w:val="single"/>
              </w:rPr>
            </w:pPr>
          </w:p>
        </w:tc>
        <w:tc>
          <w:tcPr>
            <w:tcW w:w="1134" w:type="dxa"/>
            <w:vAlign w:val="center"/>
          </w:tcPr>
          <w:p w14:paraId="48144613">
            <w:pPr>
              <w:spacing w:line="420" w:lineRule="exact"/>
              <w:jc w:val="center"/>
              <w:rPr>
                <w:rFonts w:hint="eastAsia" w:ascii="宋体" w:hAnsi="宋体" w:eastAsia="宋体" w:cs="宋体"/>
                <w:color w:val="auto"/>
                <w:szCs w:val="22"/>
                <w:highlight w:val="none"/>
              </w:rPr>
            </w:pPr>
          </w:p>
        </w:tc>
        <w:tc>
          <w:tcPr>
            <w:tcW w:w="1134" w:type="dxa"/>
            <w:vAlign w:val="center"/>
          </w:tcPr>
          <w:p w14:paraId="2E6519F0">
            <w:pPr>
              <w:spacing w:line="420" w:lineRule="exact"/>
              <w:jc w:val="right"/>
              <w:rPr>
                <w:rFonts w:hint="eastAsia" w:ascii="宋体" w:hAnsi="宋体" w:eastAsia="宋体" w:cs="宋体"/>
                <w:color w:val="auto"/>
                <w:highlight w:val="none"/>
              </w:rPr>
            </w:pPr>
          </w:p>
        </w:tc>
        <w:tc>
          <w:tcPr>
            <w:tcW w:w="2268" w:type="dxa"/>
            <w:gridSpan w:val="2"/>
            <w:vAlign w:val="center"/>
          </w:tcPr>
          <w:p w14:paraId="5AE36644">
            <w:pPr>
              <w:jc w:val="center"/>
              <w:rPr>
                <w:rFonts w:hint="eastAsia" w:ascii="宋体" w:hAnsi="宋体" w:eastAsia="宋体" w:cs="宋体"/>
                <w:b/>
                <w:color w:val="auto"/>
                <w:sz w:val="20"/>
                <w:highlight w:val="none"/>
              </w:rPr>
            </w:pPr>
          </w:p>
        </w:tc>
      </w:tr>
      <w:tr w14:paraId="41166D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901" w:type="dxa"/>
            <w:gridSpan w:val="2"/>
            <w:vAlign w:val="center"/>
          </w:tcPr>
          <w:p w14:paraId="335EEBAB">
            <w:pPr>
              <w:spacing w:line="42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合计</w:t>
            </w:r>
          </w:p>
        </w:tc>
        <w:tc>
          <w:tcPr>
            <w:tcW w:w="7050" w:type="dxa"/>
            <w:gridSpan w:val="5"/>
            <w:vAlign w:val="center"/>
          </w:tcPr>
          <w:p w14:paraId="5B83D0CB">
            <w:pPr>
              <w:spacing w:line="420" w:lineRule="exact"/>
              <w:rPr>
                <w:rFonts w:hint="eastAsia" w:ascii="宋体" w:hAnsi="宋体" w:eastAsia="宋体" w:cs="宋体"/>
                <w:b/>
                <w:color w:val="auto"/>
                <w:highlight w:val="none"/>
              </w:rPr>
            </w:pPr>
            <w:r>
              <w:rPr>
                <w:rFonts w:hint="eastAsia" w:ascii="宋体" w:hAnsi="宋体" w:eastAsia="宋体" w:cs="宋体"/>
                <w:b/>
                <w:color w:val="auto"/>
                <w:highlight w:val="none"/>
              </w:rPr>
              <w:t>小写：</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元/年   大写：</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元/年</w:t>
            </w:r>
          </w:p>
        </w:tc>
        <w:tc>
          <w:tcPr>
            <w:tcW w:w="1831" w:type="dxa"/>
            <w:vAlign w:val="center"/>
          </w:tcPr>
          <w:p w14:paraId="6AEDD522">
            <w:pPr>
              <w:spacing w:line="420" w:lineRule="exact"/>
              <w:jc w:val="center"/>
              <w:rPr>
                <w:rFonts w:hint="eastAsia" w:ascii="宋体" w:hAnsi="宋体" w:eastAsia="宋体" w:cs="宋体"/>
                <w:b/>
                <w:color w:val="auto"/>
                <w:highlight w:val="none"/>
              </w:rPr>
            </w:pPr>
          </w:p>
        </w:tc>
      </w:tr>
      <w:tr w14:paraId="3A87B6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9782" w:type="dxa"/>
            <w:gridSpan w:val="8"/>
            <w:vAlign w:val="center"/>
          </w:tcPr>
          <w:p w14:paraId="1484824E">
            <w:pPr>
              <w:spacing w:line="420" w:lineRule="exact"/>
              <w:rPr>
                <w:rFonts w:hint="eastAsia" w:ascii="宋体" w:hAnsi="宋体" w:eastAsia="宋体" w:cs="宋体"/>
                <w:b/>
                <w:color w:val="auto"/>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本表序号1中的人员年费用不得低于</w:t>
            </w:r>
            <w:r>
              <w:rPr>
                <w:rFonts w:hint="eastAsia" w:ascii="宋体" w:hAnsi="宋体" w:cs="宋体"/>
                <w:b/>
                <w:color w:val="auto"/>
                <w:kern w:val="0"/>
                <w:sz w:val="24"/>
                <w:szCs w:val="24"/>
                <w:highlight w:val="none"/>
                <w:lang w:val="en-US" w:eastAsia="zh-CN"/>
              </w:rPr>
              <w:t>51227.12</w:t>
            </w:r>
            <w:r>
              <w:rPr>
                <w:rFonts w:hint="eastAsia" w:ascii="宋体" w:hAnsi="宋体" w:eastAsia="宋体" w:cs="宋体"/>
                <w:b/>
                <w:color w:val="auto"/>
                <w:sz w:val="24"/>
                <w:szCs w:val="24"/>
                <w:highlight w:val="none"/>
              </w:rPr>
              <w:t>元/人/年，否则作无效标处理。</w:t>
            </w:r>
          </w:p>
        </w:tc>
      </w:tr>
    </w:tbl>
    <w:p w14:paraId="770842F7">
      <w:pPr>
        <w:pStyle w:val="18"/>
        <w:adjustRightInd w:val="0"/>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投标供应商名称（电子签章）：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2FDEF2D">
      <w:pPr>
        <w:pStyle w:val="18"/>
        <w:adjustRightInd w:val="0"/>
        <w:snapToGrid w:val="0"/>
        <w:spacing w:line="42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法定代表人或其授权代表（签字或盖章）：</w:t>
      </w:r>
      <w:r>
        <w:rPr>
          <w:rFonts w:hint="eastAsia" w:ascii="宋体" w:hAnsi="宋体" w:eastAsia="宋体" w:cs="宋体"/>
          <w:color w:val="auto"/>
          <w:kern w:val="0"/>
          <w:sz w:val="24"/>
          <w:szCs w:val="24"/>
          <w:highlight w:val="none"/>
          <w:u w:val="single"/>
        </w:rPr>
        <w:t xml:space="preserve">              </w:t>
      </w:r>
    </w:p>
    <w:p w14:paraId="32CD4520">
      <w:pPr>
        <w:pStyle w:val="18"/>
        <w:adjustRightInd w:val="0"/>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日期：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591A39B">
      <w:pPr>
        <w:pStyle w:val="5"/>
        <w:spacing w:line="420" w:lineRule="exact"/>
        <w:rPr>
          <w:rFonts w:hint="eastAsia" w:ascii="宋体" w:hAnsi="宋体" w:eastAsia="宋体" w:cs="宋体"/>
          <w:b w:val="0"/>
          <w:bCs w:val="0"/>
          <w:color w:val="auto"/>
          <w:sz w:val="32"/>
          <w:highlight w:val="none"/>
        </w:rPr>
      </w:pPr>
      <w:r>
        <w:rPr>
          <w:rFonts w:hint="eastAsia" w:ascii="宋体" w:hAnsi="宋体" w:eastAsia="宋体" w:cs="宋体"/>
          <w:color w:val="auto"/>
          <w:kern w:val="0"/>
          <w:sz w:val="28"/>
          <w:szCs w:val="28"/>
          <w:highlight w:val="none"/>
        </w:rPr>
        <w:br w:type="page"/>
      </w:r>
    </w:p>
    <w:p w14:paraId="73AA8A2D">
      <w:pPr>
        <w:pStyle w:val="3"/>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第六部分  评审办法</w:t>
      </w:r>
    </w:p>
    <w:p w14:paraId="7083C413">
      <w:pPr>
        <w:autoSpaceDE w:val="0"/>
        <w:autoSpaceDN w:val="0"/>
        <w:adjustRightInd w:val="0"/>
        <w:spacing w:line="38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根据《中华人民共和国政府采购法》等有关政府采购法规，结合本次所要采购项目的实际，按照公平、公正、科学、择优的原则选择中标单位，特制定本评审办法。 </w:t>
      </w:r>
    </w:p>
    <w:p w14:paraId="0A06041E">
      <w:pPr>
        <w:autoSpaceDE w:val="0"/>
        <w:autoSpaceDN w:val="0"/>
        <w:adjustRightInd w:val="0"/>
        <w:spacing w:before="156" w:beforeLines="50" w:after="156" w:afterLines="50" w:line="380" w:lineRule="exact"/>
        <w:jc w:val="center"/>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一、总则</w:t>
      </w:r>
    </w:p>
    <w:p w14:paraId="23D8A614">
      <w:pPr>
        <w:autoSpaceDE w:val="0"/>
        <w:autoSpaceDN w:val="0"/>
        <w:adjustRightInd w:val="0"/>
        <w:spacing w:line="38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评审工作遵循公平、公正、民主、科学的原则和诚实、信誉、效率的服务原则。本着科学、严谨的态度，认真进行评标。择优选定供应商，确保工程质量、服务期，最大限度的保护当事人权益，评审委员会严格按照采购文件的商务、技术要求，对投标文件进行</w:t>
      </w:r>
      <w:r>
        <w:rPr>
          <w:rFonts w:hint="eastAsia" w:ascii="宋体" w:hAnsi="宋体" w:eastAsia="宋体" w:cs="宋体"/>
          <w:bCs/>
          <w:color w:val="auto"/>
          <w:szCs w:val="22"/>
          <w:highlight w:val="none"/>
        </w:rPr>
        <w:t>综合分析、对比、评价</w:t>
      </w:r>
      <w:r>
        <w:rPr>
          <w:rFonts w:hint="eastAsia" w:ascii="宋体" w:hAnsi="宋体" w:eastAsia="宋体" w:cs="宋体"/>
          <w:color w:val="auto"/>
          <w:szCs w:val="22"/>
          <w:highlight w:val="none"/>
        </w:rPr>
        <w:t>，提出优选方案，编写评审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49680310">
      <w:pPr>
        <w:autoSpaceDE w:val="0"/>
        <w:autoSpaceDN w:val="0"/>
        <w:adjustRightInd w:val="0"/>
        <w:spacing w:before="156" w:beforeLines="50" w:after="156" w:afterLines="50" w:line="380" w:lineRule="exact"/>
        <w:jc w:val="center"/>
        <w:rPr>
          <w:rFonts w:hint="eastAsia" w:ascii="宋体" w:hAnsi="宋体" w:eastAsia="宋体" w:cs="宋体"/>
          <w:b/>
          <w:color w:val="auto"/>
          <w:szCs w:val="22"/>
          <w:highlight w:val="none"/>
        </w:rPr>
      </w:pPr>
      <w:bookmarkStart w:id="36" w:name="_Toc14369"/>
      <w:bookmarkStart w:id="37" w:name="_Toc2254"/>
      <w:bookmarkStart w:id="38" w:name="_Toc3961"/>
      <w:bookmarkStart w:id="39" w:name="_Toc24599"/>
      <w:bookmarkStart w:id="40" w:name="_Toc2457"/>
      <w:r>
        <w:rPr>
          <w:rFonts w:hint="eastAsia" w:ascii="宋体" w:hAnsi="宋体" w:eastAsia="宋体" w:cs="宋体"/>
          <w:b/>
          <w:color w:val="auto"/>
          <w:szCs w:val="22"/>
          <w:highlight w:val="none"/>
        </w:rPr>
        <w:t>二、评标组织</w:t>
      </w:r>
      <w:bookmarkEnd w:id="36"/>
      <w:bookmarkEnd w:id="37"/>
      <w:bookmarkEnd w:id="38"/>
      <w:bookmarkEnd w:id="39"/>
      <w:bookmarkEnd w:id="40"/>
    </w:p>
    <w:p w14:paraId="364A66B0">
      <w:pPr>
        <w:pStyle w:val="51"/>
        <w:spacing w:line="380" w:lineRule="exact"/>
        <w:ind w:firstLine="440" w:firstLineChars="200"/>
        <w:rPr>
          <w:rFonts w:hint="eastAsia" w:ascii="宋体" w:hAnsi="宋体" w:eastAsia="宋体" w:cs="宋体"/>
          <w:color w:val="auto"/>
          <w:sz w:val="18"/>
          <w:szCs w:val="18"/>
          <w:highlight w:val="none"/>
        </w:rPr>
      </w:pPr>
      <w:r>
        <w:rPr>
          <w:rFonts w:hint="eastAsia" w:ascii="宋体" w:hAnsi="宋体" w:eastAsia="宋体" w:cs="宋体"/>
          <w:color w:val="auto"/>
          <w:szCs w:val="22"/>
          <w:highlight w:val="none"/>
        </w:rPr>
        <w:t>评审工作由采购人依法组建的评审委员会负责，评审委员会由评审专家库中随机抽取的有关技术、经济专家共同组成。评审全过程由采购管理部门全程监督。</w:t>
      </w:r>
    </w:p>
    <w:p w14:paraId="5F523AAA">
      <w:pPr>
        <w:autoSpaceDE w:val="0"/>
        <w:autoSpaceDN w:val="0"/>
        <w:adjustRightInd w:val="0"/>
        <w:spacing w:before="156" w:beforeLines="50" w:after="156" w:afterLines="50" w:line="380" w:lineRule="exact"/>
        <w:jc w:val="center"/>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三、评审程序</w:t>
      </w:r>
    </w:p>
    <w:p w14:paraId="70A16598">
      <w:pPr>
        <w:autoSpaceDE w:val="0"/>
        <w:autoSpaceDN w:val="0"/>
        <w:adjustRightInd w:val="0"/>
        <w:spacing w:line="38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1、推选评审委员会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14:paraId="7AC37040">
      <w:pPr>
        <w:autoSpaceDE w:val="0"/>
        <w:autoSpaceDN w:val="0"/>
        <w:adjustRightInd w:val="0"/>
        <w:spacing w:line="38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2、本项目首先由采购代理机构对投标供应商的资格进行审查，以确定投标供应商是否具备投标资格。 </w:t>
      </w:r>
    </w:p>
    <w:p w14:paraId="36B64727">
      <w:pPr>
        <w:autoSpaceDE w:val="0"/>
        <w:autoSpaceDN w:val="0"/>
        <w:adjustRightInd w:val="0"/>
        <w:spacing w:line="38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3、由评审委员会对各投标供应商的投标文件的有效性、完整性和响应程度进行审查，确定是否对采购文件作出实质性响应。</w:t>
      </w:r>
    </w:p>
    <w:p w14:paraId="09D47F69">
      <w:pPr>
        <w:autoSpaceDE w:val="0"/>
        <w:autoSpaceDN w:val="0"/>
        <w:adjustRightInd w:val="0"/>
        <w:spacing w:line="38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4、评审委员会按采购文件规定的评审办法和评审标准，依法独立对投标供应商投标文件进行评估、比较，并给予评价或打分。 </w:t>
      </w:r>
    </w:p>
    <w:p w14:paraId="38288343">
      <w:pPr>
        <w:autoSpaceDE w:val="0"/>
        <w:autoSpaceDN w:val="0"/>
        <w:adjustRightInd w:val="0"/>
        <w:spacing w:line="38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4.1“商务技术文件”评审。评标小组根据评审办法和评分标准，对各投标供应商的“商务技术文件”进行评审并打分。 </w:t>
      </w:r>
    </w:p>
    <w:p w14:paraId="054069F3">
      <w:pPr>
        <w:autoSpaceDE w:val="0"/>
        <w:autoSpaceDN w:val="0"/>
        <w:adjustRightInd w:val="0"/>
        <w:spacing w:line="38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4.2“商务技术文件”不合格的投标文件做无效标处理，不再进入后续所有的评审； </w:t>
      </w:r>
    </w:p>
    <w:p w14:paraId="132D4321">
      <w:pPr>
        <w:autoSpaceDE w:val="0"/>
        <w:autoSpaceDN w:val="0"/>
        <w:adjustRightInd w:val="0"/>
        <w:spacing w:line="38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4.3“报价文件”评审。按招标文件的规定对各投标供应商的“报价文件”进行评审并按报价计分公式统一计算投标供应商的报价得分。 </w:t>
      </w:r>
    </w:p>
    <w:p w14:paraId="4A751723">
      <w:pPr>
        <w:autoSpaceDE w:val="0"/>
        <w:autoSpaceDN w:val="0"/>
        <w:adjustRightInd w:val="0"/>
        <w:spacing w:line="380" w:lineRule="exact"/>
        <w:ind w:firstLine="44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14:paraId="090584DE">
      <w:pPr>
        <w:spacing w:line="38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Cs w:val="22"/>
          <w:highlight w:val="none"/>
        </w:rPr>
        <w:t>6、汇总、统计、核对、确认评审结果，并依据采购文件规定确定中标（成交）候选人排序名单，起草和签署评审报告。</w:t>
      </w:r>
    </w:p>
    <w:p w14:paraId="33C6E262">
      <w:pPr>
        <w:widowControl/>
        <w:spacing w:line="420" w:lineRule="exact"/>
        <w:jc w:val="center"/>
        <w:rPr>
          <w:rFonts w:hint="eastAsia" w:ascii="宋体" w:hAnsi="宋体" w:eastAsia="宋体" w:cs="宋体"/>
          <w:b/>
          <w:color w:val="auto"/>
          <w:szCs w:val="22"/>
          <w:highlight w:val="none"/>
        </w:rPr>
      </w:pPr>
      <w:r>
        <w:rPr>
          <w:rFonts w:hint="eastAsia" w:ascii="宋体" w:hAnsi="宋体" w:eastAsia="宋体" w:cs="宋体"/>
          <w:color w:val="auto"/>
          <w:highlight w:val="none"/>
        </w:rPr>
        <w:br w:type="page"/>
      </w:r>
      <w:bookmarkStart w:id="41" w:name="_Hlk164680905"/>
      <w:bookmarkStart w:id="42" w:name="_Hlk164276622"/>
      <w:r>
        <w:rPr>
          <w:rFonts w:hint="eastAsia" w:ascii="宋体" w:hAnsi="宋体" w:eastAsia="宋体" w:cs="宋体"/>
          <w:b/>
          <w:color w:val="auto"/>
          <w:szCs w:val="22"/>
          <w:highlight w:val="none"/>
        </w:rPr>
        <w:t>四、评分标准</w:t>
      </w:r>
    </w:p>
    <w:p w14:paraId="249BA4B0">
      <w:pPr>
        <w:spacing w:line="460" w:lineRule="atLeast"/>
        <w:ind w:left="442"/>
        <w:rPr>
          <w:rFonts w:hint="eastAsia" w:ascii="宋体" w:hAnsi="宋体" w:eastAsia="宋体" w:cs="宋体"/>
          <w:b/>
          <w:bCs/>
          <w:color w:val="auto"/>
          <w:szCs w:val="22"/>
          <w:highlight w:val="none"/>
        </w:rPr>
      </w:pPr>
      <w:r>
        <w:rPr>
          <w:rFonts w:hint="eastAsia" w:ascii="宋体" w:hAnsi="宋体" w:eastAsia="宋体" w:cs="宋体"/>
          <w:b/>
          <w:color w:val="auto"/>
          <w:kern w:val="0"/>
          <w:szCs w:val="22"/>
          <w:highlight w:val="none"/>
        </w:rPr>
        <w:t>1、资信技术分（</w:t>
      </w:r>
      <w:r>
        <w:rPr>
          <w:rFonts w:hint="eastAsia" w:ascii="宋体" w:hAnsi="宋体" w:cs="宋体"/>
          <w:b/>
          <w:color w:val="auto"/>
          <w:kern w:val="0"/>
          <w:szCs w:val="22"/>
          <w:highlight w:val="none"/>
          <w:lang w:val="en-US" w:eastAsia="zh-CN"/>
        </w:rPr>
        <w:t>5</w:t>
      </w:r>
      <w:r>
        <w:rPr>
          <w:rFonts w:hint="eastAsia" w:ascii="宋体" w:hAnsi="宋体" w:eastAsia="宋体" w:cs="宋体"/>
          <w:b/>
          <w:color w:val="auto"/>
          <w:kern w:val="0"/>
          <w:szCs w:val="22"/>
          <w:highlight w:val="none"/>
        </w:rPr>
        <w:t xml:space="preserve">0分） </w:t>
      </w:r>
    </w:p>
    <w:tbl>
      <w:tblPr>
        <w:tblStyle w:val="32"/>
        <w:tblW w:w="9721" w:type="dxa"/>
        <w:jc w:val="center"/>
        <w:tblLayout w:type="fixed"/>
        <w:tblCellMar>
          <w:top w:w="0" w:type="dxa"/>
          <w:left w:w="108" w:type="dxa"/>
          <w:bottom w:w="0" w:type="dxa"/>
          <w:right w:w="108" w:type="dxa"/>
        </w:tblCellMar>
      </w:tblPr>
      <w:tblGrid>
        <w:gridCol w:w="670"/>
        <w:gridCol w:w="1357"/>
        <w:gridCol w:w="1091"/>
        <w:gridCol w:w="6603"/>
      </w:tblGrid>
      <w:tr w14:paraId="426197FF">
        <w:tblPrEx>
          <w:tblCellMar>
            <w:top w:w="0" w:type="dxa"/>
            <w:left w:w="108" w:type="dxa"/>
            <w:bottom w:w="0" w:type="dxa"/>
            <w:right w:w="108" w:type="dxa"/>
          </w:tblCellMar>
        </w:tblPrEx>
        <w:trPr>
          <w:trHeight w:val="559" w:hRule="exact"/>
          <w:jc w:val="center"/>
        </w:trPr>
        <w:tc>
          <w:tcPr>
            <w:tcW w:w="670" w:type="dxa"/>
            <w:tcBorders>
              <w:top w:val="single" w:color="000000" w:sz="4" w:space="0"/>
              <w:left w:val="single" w:color="000000" w:sz="4" w:space="0"/>
              <w:bottom w:val="single" w:color="000000" w:sz="4" w:space="0"/>
              <w:right w:val="single" w:color="000000" w:sz="4" w:space="0"/>
            </w:tcBorders>
          </w:tcPr>
          <w:p w14:paraId="0745B6EC">
            <w:pPr>
              <w:adjustRightInd w:val="0"/>
              <w:snapToGrid w:val="0"/>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1357" w:type="dxa"/>
            <w:tcBorders>
              <w:top w:val="single" w:color="000000" w:sz="4" w:space="0"/>
              <w:left w:val="single" w:color="000000" w:sz="4" w:space="0"/>
              <w:bottom w:val="single" w:color="000000" w:sz="4" w:space="0"/>
              <w:right w:val="single" w:color="000000" w:sz="4" w:space="0"/>
            </w:tcBorders>
          </w:tcPr>
          <w:p w14:paraId="65C698B7">
            <w:pPr>
              <w:adjustRightInd w:val="0"/>
              <w:snapToGrid w:val="0"/>
              <w:spacing w:line="400" w:lineRule="exact"/>
              <w:jc w:val="center"/>
              <w:rPr>
                <w:rFonts w:ascii="宋体" w:hAnsi="宋体" w:cs="宋体"/>
                <w:b/>
                <w:color w:val="auto"/>
                <w:highlight w:val="none"/>
              </w:rPr>
            </w:pPr>
            <w:r>
              <w:rPr>
                <w:rFonts w:hint="eastAsia" w:ascii="宋体" w:hAnsi="宋体" w:cs="宋体"/>
                <w:b/>
                <w:color w:val="auto"/>
                <w:highlight w:val="none"/>
              </w:rPr>
              <w:t>评审内容</w:t>
            </w:r>
          </w:p>
        </w:tc>
        <w:tc>
          <w:tcPr>
            <w:tcW w:w="1091" w:type="dxa"/>
            <w:tcBorders>
              <w:top w:val="single" w:color="000000" w:sz="4" w:space="0"/>
              <w:left w:val="single" w:color="000000" w:sz="4" w:space="0"/>
              <w:bottom w:val="single" w:color="000000" w:sz="4" w:space="0"/>
              <w:right w:val="single" w:color="000000" w:sz="4" w:space="0"/>
            </w:tcBorders>
          </w:tcPr>
          <w:p w14:paraId="6494BE47">
            <w:pPr>
              <w:adjustRightInd w:val="0"/>
              <w:snapToGrid w:val="0"/>
              <w:spacing w:line="400" w:lineRule="exact"/>
              <w:jc w:val="center"/>
              <w:rPr>
                <w:rFonts w:ascii="宋体" w:hAnsi="宋体" w:cs="宋体"/>
                <w:b/>
                <w:color w:val="auto"/>
                <w:highlight w:val="none"/>
              </w:rPr>
            </w:pPr>
            <w:r>
              <w:rPr>
                <w:rFonts w:hint="eastAsia" w:ascii="宋体" w:hAnsi="宋体" w:cs="宋体"/>
                <w:b/>
                <w:color w:val="auto"/>
                <w:highlight w:val="none"/>
              </w:rPr>
              <w:t>分值</w:t>
            </w:r>
          </w:p>
        </w:tc>
        <w:tc>
          <w:tcPr>
            <w:tcW w:w="6603" w:type="dxa"/>
            <w:tcBorders>
              <w:top w:val="single" w:color="000000" w:sz="4" w:space="0"/>
              <w:left w:val="single" w:color="000000" w:sz="4" w:space="0"/>
              <w:bottom w:val="single" w:color="000000" w:sz="4" w:space="0"/>
              <w:right w:val="single" w:color="000000" w:sz="4" w:space="0"/>
            </w:tcBorders>
          </w:tcPr>
          <w:p w14:paraId="10E21267">
            <w:pPr>
              <w:adjustRightInd w:val="0"/>
              <w:snapToGrid w:val="0"/>
              <w:spacing w:line="400" w:lineRule="exact"/>
              <w:jc w:val="center"/>
              <w:rPr>
                <w:rFonts w:ascii="宋体" w:hAnsi="宋体" w:cs="宋体"/>
                <w:b/>
                <w:color w:val="auto"/>
                <w:highlight w:val="none"/>
              </w:rPr>
            </w:pPr>
            <w:r>
              <w:rPr>
                <w:rFonts w:hint="eastAsia" w:ascii="宋体" w:hAnsi="宋体" w:cs="宋体"/>
                <w:b/>
                <w:color w:val="auto"/>
                <w:highlight w:val="none"/>
              </w:rPr>
              <w:t>评审标准</w:t>
            </w:r>
          </w:p>
        </w:tc>
      </w:tr>
      <w:tr w14:paraId="24ED7A68">
        <w:tblPrEx>
          <w:tblCellMar>
            <w:top w:w="0" w:type="dxa"/>
            <w:left w:w="108" w:type="dxa"/>
            <w:bottom w:w="0" w:type="dxa"/>
            <w:right w:w="108" w:type="dxa"/>
          </w:tblCellMar>
        </w:tblPrEx>
        <w:trPr>
          <w:trHeight w:val="2942"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14:paraId="048D0569">
            <w:pPr>
              <w:adjustRightInd w:val="0"/>
              <w:snapToGrid w:val="0"/>
              <w:spacing w:line="360" w:lineRule="exact"/>
              <w:jc w:val="center"/>
              <w:rPr>
                <w:rFonts w:ascii="宋体" w:hAnsi="宋体" w:cs="宋体"/>
                <w:color w:val="auto"/>
                <w:szCs w:val="22"/>
                <w:highlight w:val="none"/>
              </w:rPr>
            </w:pPr>
            <w:r>
              <w:rPr>
                <w:rFonts w:hint="eastAsia" w:ascii="宋体" w:hAnsi="宋体" w:cs="宋体"/>
                <w:color w:val="auto"/>
                <w:szCs w:val="22"/>
                <w:highlight w:val="none"/>
              </w:rPr>
              <w:t>1</w:t>
            </w:r>
          </w:p>
        </w:tc>
        <w:tc>
          <w:tcPr>
            <w:tcW w:w="1357" w:type="dxa"/>
            <w:tcBorders>
              <w:top w:val="single" w:color="000000" w:sz="4" w:space="0"/>
              <w:left w:val="single" w:color="000000" w:sz="4" w:space="0"/>
              <w:bottom w:val="single" w:color="auto" w:sz="4" w:space="0"/>
              <w:right w:val="single" w:color="000000" w:sz="4" w:space="0"/>
            </w:tcBorders>
            <w:vAlign w:val="center"/>
          </w:tcPr>
          <w:p w14:paraId="786E8740">
            <w:pPr>
              <w:adjustRightInd w:val="0"/>
              <w:snapToGrid w:val="0"/>
              <w:spacing w:line="360" w:lineRule="exact"/>
              <w:jc w:val="center"/>
              <w:rPr>
                <w:rFonts w:ascii="宋体" w:hAnsi="宋体" w:cs="宋体"/>
                <w:color w:val="auto"/>
                <w:szCs w:val="22"/>
                <w:highlight w:val="none"/>
              </w:rPr>
            </w:pPr>
            <w:r>
              <w:rPr>
                <w:rFonts w:hint="eastAsia" w:ascii="宋体" w:hAnsi="宋体" w:cs="宋体"/>
                <w:color w:val="auto"/>
                <w:szCs w:val="22"/>
                <w:highlight w:val="none"/>
              </w:rPr>
              <w:t>企业的体系认证证书</w:t>
            </w:r>
          </w:p>
        </w:tc>
        <w:tc>
          <w:tcPr>
            <w:tcW w:w="1091" w:type="dxa"/>
            <w:tcBorders>
              <w:top w:val="single" w:color="000000" w:sz="4" w:space="0"/>
              <w:left w:val="single" w:color="000000" w:sz="4" w:space="0"/>
              <w:bottom w:val="single" w:color="auto" w:sz="4" w:space="0"/>
              <w:right w:val="single" w:color="000000" w:sz="4" w:space="0"/>
            </w:tcBorders>
            <w:vAlign w:val="center"/>
          </w:tcPr>
          <w:p w14:paraId="72D01154">
            <w:pPr>
              <w:adjustRightInd w:val="0"/>
              <w:snapToGrid w:val="0"/>
              <w:spacing w:line="360" w:lineRule="exact"/>
              <w:jc w:val="center"/>
              <w:rPr>
                <w:rFonts w:ascii="宋体" w:hAnsi="宋体" w:cs="宋体"/>
                <w:color w:val="auto"/>
                <w:szCs w:val="22"/>
                <w:highlight w:val="none"/>
              </w:rPr>
            </w:pPr>
            <w:r>
              <w:rPr>
                <w:color w:val="auto"/>
                <w:kern w:val="0"/>
                <w:szCs w:val="21"/>
                <w:highlight w:val="none"/>
              </w:rPr>
              <w:t>0-2</w:t>
            </w:r>
            <w:r>
              <w:rPr>
                <w:rFonts w:hint="eastAsia"/>
                <w:color w:val="auto"/>
                <w:kern w:val="0"/>
                <w:szCs w:val="21"/>
                <w:highlight w:val="none"/>
              </w:rPr>
              <w:t>分</w:t>
            </w:r>
          </w:p>
        </w:tc>
        <w:tc>
          <w:tcPr>
            <w:tcW w:w="6603" w:type="dxa"/>
            <w:tcBorders>
              <w:top w:val="single" w:color="000000" w:sz="4" w:space="0"/>
              <w:left w:val="single" w:color="000000" w:sz="4" w:space="0"/>
              <w:bottom w:val="single" w:color="auto" w:sz="4" w:space="0"/>
              <w:right w:val="single" w:color="000000" w:sz="4" w:space="0"/>
            </w:tcBorders>
            <w:vAlign w:val="center"/>
          </w:tcPr>
          <w:p w14:paraId="6A0CF3C4">
            <w:pPr>
              <w:pStyle w:val="17"/>
              <w:adjustRightInd w:val="0"/>
              <w:snapToGrid w:val="0"/>
              <w:spacing w:after="0" w:line="400" w:lineRule="exact"/>
              <w:ind w:left="0" w:leftChars="0"/>
              <w:rPr>
                <w:rFonts w:ascii="宋体" w:hAnsi="宋体" w:cs="宋体"/>
                <w:color w:val="auto"/>
                <w:highlight w:val="none"/>
              </w:rPr>
            </w:pPr>
            <w:r>
              <w:rPr>
                <w:rFonts w:hint="eastAsia" w:ascii="宋体" w:hAnsi="宋体" w:cs="宋体"/>
                <w:color w:val="auto"/>
                <w:highlight w:val="none"/>
              </w:rPr>
              <w:t>供应商具有质量管理体系认证、环境管理体系认证、职业健康安全管理体系认证证书，企业诚信管理体系认证证书，以上体系证书中每种有一本得</w:t>
            </w:r>
            <w:r>
              <w:rPr>
                <w:rFonts w:ascii="宋体" w:hAnsi="宋体" w:cs="宋体"/>
                <w:color w:val="auto"/>
                <w:highlight w:val="none"/>
              </w:rPr>
              <w:t>0.5</w:t>
            </w:r>
            <w:r>
              <w:rPr>
                <w:rFonts w:hint="eastAsia" w:ascii="宋体" w:hAnsi="宋体" w:cs="宋体"/>
                <w:color w:val="auto"/>
                <w:highlight w:val="none"/>
              </w:rPr>
              <w:t>分，此项最多得</w:t>
            </w:r>
            <w:r>
              <w:rPr>
                <w:rFonts w:ascii="宋体" w:hAnsi="宋体" w:cs="宋体"/>
                <w:color w:val="auto"/>
                <w:highlight w:val="none"/>
              </w:rPr>
              <w:t>2</w:t>
            </w:r>
            <w:r>
              <w:rPr>
                <w:rFonts w:hint="eastAsia" w:ascii="宋体" w:hAnsi="宋体" w:cs="宋体"/>
                <w:color w:val="auto"/>
                <w:highlight w:val="none"/>
              </w:rPr>
              <w:t>分。</w:t>
            </w:r>
          </w:p>
          <w:p w14:paraId="477231D1">
            <w:pPr>
              <w:pStyle w:val="17"/>
              <w:adjustRightInd w:val="0"/>
              <w:snapToGrid w:val="0"/>
              <w:spacing w:after="0" w:line="400" w:lineRule="exact"/>
              <w:ind w:left="0" w:leftChars="0"/>
              <w:rPr>
                <w:rFonts w:ascii="宋体" w:hAnsi="宋体" w:cs="宋体"/>
                <w:color w:val="auto"/>
                <w:highlight w:val="none"/>
              </w:rPr>
            </w:pPr>
            <w:r>
              <w:rPr>
                <w:rFonts w:hint="eastAsia" w:ascii="宋体" w:hAnsi="宋体" w:cs="宋体"/>
                <w:color w:val="auto"/>
                <w:highlight w:val="none"/>
              </w:rPr>
              <w:t>注：认证范围需包含保洁，否则不得分；</w:t>
            </w:r>
          </w:p>
          <w:p w14:paraId="06E21824">
            <w:pPr>
              <w:pStyle w:val="17"/>
              <w:adjustRightInd w:val="0"/>
              <w:snapToGrid w:val="0"/>
              <w:spacing w:after="0" w:line="400" w:lineRule="exact"/>
              <w:ind w:left="0" w:leftChars="0"/>
              <w:rPr>
                <w:rFonts w:ascii="宋体" w:hAnsi="宋体" w:cs="宋体"/>
                <w:color w:val="auto"/>
                <w:highlight w:val="none"/>
              </w:rPr>
            </w:pPr>
            <w:r>
              <w:rPr>
                <w:rFonts w:hint="eastAsia" w:ascii="宋体" w:hAnsi="宋体" w:cs="宋体"/>
                <w:color w:val="auto"/>
                <w:highlight w:val="none"/>
              </w:rPr>
              <w:t>提供有效期内的证书扫描件及全国认证认可信息公共服务平台网站（http://www.cnca.gov.cn/）查询页面截图（加盖投标人电子签章），未提供不得分。</w:t>
            </w:r>
          </w:p>
        </w:tc>
      </w:tr>
      <w:tr w14:paraId="6562178E">
        <w:tblPrEx>
          <w:tblCellMar>
            <w:top w:w="0" w:type="dxa"/>
            <w:left w:w="108" w:type="dxa"/>
            <w:bottom w:w="0" w:type="dxa"/>
            <w:right w:w="108" w:type="dxa"/>
          </w:tblCellMar>
        </w:tblPrEx>
        <w:trPr>
          <w:trHeight w:val="1282"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14:paraId="58279AF5">
            <w:pPr>
              <w:adjustRightInd w:val="0"/>
              <w:snapToGrid w:val="0"/>
              <w:spacing w:line="360" w:lineRule="exact"/>
              <w:jc w:val="center"/>
              <w:rPr>
                <w:rFonts w:ascii="宋体" w:hAnsi="宋体" w:cs="宋体"/>
                <w:color w:val="auto"/>
                <w:szCs w:val="22"/>
                <w:highlight w:val="none"/>
              </w:rPr>
            </w:pPr>
            <w:r>
              <w:rPr>
                <w:rFonts w:ascii="宋体" w:hAnsi="宋体" w:cs="宋体"/>
                <w:color w:val="auto"/>
                <w:szCs w:val="22"/>
                <w:highlight w:val="none"/>
              </w:rPr>
              <w:t>2</w:t>
            </w:r>
          </w:p>
        </w:tc>
        <w:tc>
          <w:tcPr>
            <w:tcW w:w="1357" w:type="dxa"/>
            <w:tcBorders>
              <w:top w:val="single" w:color="000000" w:sz="4" w:space="0"/>
              <w:left w:val="single" w:color="000000" w:sz="4" w:space="0"/>
              <w:bottom w:val="single" w:color="auto" w:sz="4" w:space="0"/>
              <w:right w:val="single" w:color="000000" w:sz="4" w:space="0"/>
            </w:tcBorders>
            <w:vAlign w:val="center"/>
          </w:tcPr>
          <w:p w14:paraId="68F7DDE9">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荣誉证书</w:t>
            </w:r>
          </w:p>
        </w:tc>
        <w:tc>
          <w:tcPr>
            <w:tcW w:w="1091" w:type="dxa"/>
            <w:tcBorders>
              <w:top w:val="single" w:color="000000" w:sz="4" w:space="0"/>
              <w:left w:val="single" w:color="000000" w:sz="4" w:space="0"/>
              <w:bottom w:val="single" w:color="auto" w:sz="4" w:space="0"/>
              <w:right w:val="single" w:color="000000" w:sz="4" w:space="0"/>
            </w:tcBorders>
            <w:vAlign w:val="center"/>
          </w:tcPr>
          <w:p w14:paraId="5FC4DBF7">
            <w:pPr>
              <w:adjustRightInd w:val="0"/>
              <w:snapToGrid w:val="0"/>
              <w:spacing w:line="360" w:lineRule="exact"/>
              <w:jc w:val="center"/>
              <w:rPr>
                <w:color w:val="auto"/>
                <w:kern w:val="0"/>
                <w:szCs w:val="21"/>
                <w:highlight w:val="none"/>
              </w:rPr>
            </w:pPr>
            <w:r>
              <w:rPr>
                <w:rFonts w:hint="eastAsia"/>
                <w:color w:val="auto"/>
                <w:kern w:val="0"/>
                <w:szCs w:val="21"/>
                <w:highlight w:val="none"/>
              </w:rPr>
              <w:t>0-</w:t>
            </w:r>
            <w:r>
              <w:rPr>
                <w:color w:val="auto"/>
                <w:kern w:val="0"/>
                <w:szCs w:val="21"/>
                <w:highlight w:val="none"/>
              </w:rPr>
              <w:t>2</w:t>
            </w:r>
            <w:r>
              <w:rPr>
                <w:rFonts w:hint="eastAsia"/>
                <w:color w:val="auto"/>
                <w:kern w:val="0"/>
                <w:szCs w:val="21"/>
                <w:highlight w:val="none"/>
              </w:rPr>
              <w:t>分</w:t>
            </w:r>
          </w:p>
        </w:tc>
        <w:tc>
          <w:tcPr>
            <w:tcW w:w="6603" w:type="dxa"/>
            <w:tcBorders>
              <w:top w:val="single" w:color="000000" w:sz="4" w:space="0"/>
              <w:left w:val="single" w:color="000000" w:sz="4" w:space="0"/>
              <w:bottom w:val="single" w:color="auto" w:sz="4" w:space="0"/>
              <w:right w:val="single" w:color="000000" w:sz="4" w:space="0"/>
            </w:tcBorders>
            <w:vAlign w:val="center"/>
          </w:tcPr>
          <w:p w14:paraId="1BCF92ED">
            <w:pPr>
              <w:widowControl/>
              <w:spacing w:line="400" w:lineRule="exact"/>
              <w:jc w:val="left"/>
              <w:textAlignment w:val="center"/>
              <w:rPr>
                <w:rFonts w:ascii="宋体" w:hAnsi="宋体" w:cs="宋体"/>
                <w:bCs/>
                <w:color w:val="auto"/>
                <w:szCs w:val="21"/>
                <w:highlight w:val="none"/>
              </w:rPr>
            </w:pPr>
            <w:r>
              <w:rPr>
                <w:rFonts w:hint="eastAsia" w:ascii="宋体" w:hAnsi="宋体" w:cs="宋体"/>
                <w:bCs/>
                <w:color w:val="auto"/>
                <w:szCs w:val="21"/>
                <w:highlight w:val="none"/>
              </w:rPr>
              <w:t>供应商具有县级及以上主管部门或政府颁发的项目相关荣誉证书</w:t>
            </w:r>
            <w:r>
              <w:rPr>
                <w:rFonts w:hint="eastAsia" w:ascii="宋体" w:hAnsi="宋体" w:cs="宋体"/>
                <w:bCs/>
                <w:color w:val="auto"/>
                <w:szCs w:val="22"/>
                <w:highlight w:val="none"/>
              </w:rPr>
              <w:t>（或相关文件）</w:t>
            </w:r>
            <w:r>
              <w:rPr>
                <w:rFonts w:hint="eastAsia" w:ascii="宋体" w:hAnsi="宋体" w:cs="宋体"/>
                <w:bCs/>
                <w:color w:val="auto"/>
                <w:szCs w:val="21"/>
                <w:highlight w:val="none"/>
              </w:rPr>
              <w:t>的，一个得</w:t>
            </w:r>
            <w:r>
              <w:rPr>
                <w:rFonts w:ascii="宋体" w:hAnsi="宋体" w:cs="宋体"/>
                <w:bCs/>
                <w:color w:val="auto"/>
                <w:szCs w:val="21"/>
                <w:highlight w:val="none"/>
              </w:rPr>
              <w:t>1</w:t>
            </w:r>
            <w:r>
              <w:rPr>
                <w:rFonts w:hint="eastAsia" w:ascii="宋体" w:hAnsi="宋体" w:cs="宋体"/>
                <w:bCs/>
                <w:color w:val="auto"/>
                <w:szCs w:val="21"/>
                <w:highlight w:val="none"/>
              </w:rPr>
              <w:t>分，最高得</w:t>
            </w:r>
            <w:r>
              <w:rPr>
                <w:rFonts w:ascii="宋体" w:hAnsi="宋体" w:cs="宋体"/>
                <w:bCs/>
                <w:color w:val="auto"/>
                <w:szCs w:val="21"/>
                <w:highlight w:val="none"/>
              </w:rPr>
              <w:t>2</w:t>
            </w:r>
            <w:r>
              <w:rPr>
                <w:rFonts w:hint="eastAsia" w:ascii="宋体" w:hAnsi="宋体" w:cs="宋体"/>
                <w:bCs/>
                <w:color w:val="auto"/>
                <w:szCs w:val="21"/>
                <w:highlight w:val="none"/>
              </w:rPr>
              <w:t>分。</w:t>
            </w:r>
          </w:p>
          <w:p w14:paraId="52CB3FA3">
            <w:pPr>
              <w:widowControl/>
              <w:spacing w:line="400" w:lineRule="exact"/>
              <w:jc w:val="left"/>
              <w:textAlignment w:val="center"/>
              <w:rPr>
                <w:rFonts w:ascii="宋体" w:hAnsi="宋体"/>
                <w:color w:val="auto"/>
                <w:szCs w:val="21"/>
                <w:highlight w:val="none"/>
              </w:rPr>
            </w:pPr>
            <w:r>
              <w:rPr>
                <w:rFonts w:hint="eastAsia" w:ascii="宋体" w:hAnsi="宋体"/>
                <w:color w:val="auto"/>
                <w:kern w:val="0"/>
                <w:szCs w:val="21"/>
                <w:highlight w:val="none"/>
              </w:rPr>
              <w:t>提供扫描件并加盖</w:t>
            </w:r>
            <w:r>
              <w:rPr>
                <w:rFonts w:hint="eastAsia" w:ascii="宋体" w:hAnsi="宋体" w:cs="宋体"/>
                <w:color w:val="auto"/>
                <w:kern w:val="0"/>
                <w:szCs w:val="21"/>
                <w:highlight w:val="none"/>
              </w:rPr>
              <w:t>投标人电子签章</w:t>
            </w:r>
            <w:r>
              <w:rPr>
                <w:rFonts w:hint="eastAsia" w:ascii="宋体" w:hAnsi="宋体"/>
                <w:color w:val="auto"/>
                <w:kern w:val="0"/>
                <w:szCs w:val="21"/>
                <w:highlight w:val="none"/>
              </w:rPr>
              <w:t>，</w:t>
            </w:r>
            <w:r>
              <w:rPr>
                <w:rFonts w:hint="eastAsia" w:ascii="宋体" w:hAnsi="宋体" w:cs="宋体"/>
                <w:color w:val="auto"/>
                <w:kern w:val="0"/>
                <w:szCs w:val="21"/>
                <w:highlight w:val="none"/>
              </w:rPr>
              <w:t>否则不得分。</w:t>
            </w:r>
          </w:p>
        </w:tc>
      </w:tr>
      <w:tr w14:paraId="24596E02">
        <w:tblPrEx>
          <w:tblCellMar>
            <w:top w:w="0" w:type="dxa"/>
            <w:left w:w="108" w:type="dxa"/>
            <w:bottom w:w="0" w:type="dxa"/>
            <w:right w:w="108" w:type="dxa"/>
          </w:tblCellMar>
        </w:tblPrEx>
        <w:trPr>
          <w:trHeight w:val="3385" w:hRule="atLeast"/>
          <w:jc w:val="center"/>
        </w:trPr>
        <w:tc>
          <w:tcPr>
            <w:tcW w:w="670" w:type="dxa"/>
            <w:tcBorders>
              <w:top w:val="single" w:color="auto" w:sz="4" w:space="0"/>
              <w:left w:val="single" w:color="000000" w:sz="4" w:space="0"/>
              <w:bottom w:val="single" w:color="auto" w:sz="4" w:space="0"/>
              <w:right w:val="single" w:color="000000" w:sz="4" w:space="0"/>
            </w:tcBorders>
            <w:vAlign w:val="center"/>
          </w:tcPr>
          <w:p w14:paraId="274DEA25">
            <w:pPr>
              <w:adjustRightInd w:val="0"/>
              <w:snapToGrid w:val="0"/>
              <w:spacing w:line="360" w:lineRule="exact"/>
              <w:jc w:val="center"/>
              <w:rPr>
                <w:rFonts w:ascii="宋体" w:hAnsi="宋体"/>
                <w:color w:val="auto"/>
                <w:szCs w:val="22"/>
                <w:highlight w:val="none"/>
              </w:rPr>
            </w:pPr>
            <w:r>
              <w:rPr>
                <w:rFonts w:ascii="宋体" w:hAnsi="宋体"/>
                <w:color w:val="auto"/>
                <w:szCs w:val="22"/>
                <w:highlight w:val="none"/>
              </w:rPr>
              <w:t>3</w:t>
            </w:r>
          </w:p>
        </w:tc>
        <w:tc>
          <w:tcPr>
            <w:tcW w:w="1357" w:type="dxa"/>
            <w:tcBorders>
              <w:top w:val="single" w:color="auto" w:sz="4" w:space="0"/>
              <w:left w:val="single" w:color="000000" w:sz="4" w:space="0"/>
              <w:bottom w:val="single" w:color="auto" w:sz="4" w:space="0"/>
              <w:right w:val="single" w:color="000000" w:sz="4" w:space="0"/>
            </w:tcBorders>
            <w:vAlign w:val="center"/>
          </w:tcPr>
          <w:p w14:paraId="00484350">
            <w:pPr>
              <w:adjustRightInd w:val="0"/>
              <w:snapToGrid w:val="0"/>
              <w:spacing w:line="360" w:lineRule="exact"/>
              <w:jc w:val="center"/>
              <w:rPr>
                <w:rFonts w:ascii="宋体" w:hAnsi="宋体" w:cs="宋体"/>
                <w:color w:val="auto"/>
                <w:kern w:val="0"/>
                <w:szCs w:val="22"/>
                <w:highlight w:val="none"/>
              </w:rPr>
            </w:pPr>
            <w:r>
              <w:rPr>
                <w:rFonts w:hint="eastAsia" w:ascii="宋体" w:hAnsi="宋体" w:cs="宋体"/>
                <w:color w:val="auto"/>
                <w:szCs w:val="22"/>
                <w:highlight w:val="none"/>
              </w:rPr>
              <w:t>供应商的业绩</w:t>
            </w:r>
          </w:p>
        </w:tc>
        <w:tc>
          <w:tcPr>
            <w:tcW w:w="1091" w:type="dxa"/>
            <w:tcBorders>
              <w:top w:val="single" w:color="auto" w:sz="4" w:space="0"/>
              <w:left w:val="single" w:color="000000" w:sz="4" w:space="0"/>
              <w:bottom w:val="single" w:color="auto" w:sz="4" w:space="0"/>
              <w:right w:val="single" w:color="000000" w:sz="4" w:space="0"/>
            </w:tcBorders>
            <w:vAlign w:val="center"/>
          </w:tcPr>
          <w:p w14:paraId="4CE48C7C">
            <w:pPr>
              <w:adjustRightInd w:val="0"/>
              <w:snapToGrid w:val="0"/>
              <w:spacing w:line="360" w:lineRule="exact"/>
              <w:jc w:val="center"/>
              <w:rPr>
                <w:rFonts w:ascii="宋体" w:hAnsi="宋体" w:cs="宋体"/>
                <w:color w:val="auto"/>
                <w:szCs w:val="22"/>
                <w:highlight w:val="none"/>
              </w:rPr>
            </w:pPr>
            <w:r>
              <w:rPr>
                <w:color w:val="auto"/>
                <w:kern w:val="0"/>
                <w:szCs w:val="21"/>
                <w:highlight w:val="none"/>
              </w:rPr>
              <w:t>0-2</w:t>
            </w:r>
            <w:r>
              <w:rPr>
                <w:rFonts w:hint="eastAsia"/>
                <w:color w:val="auto"/>
                <w:kern w:val="0"/>
                <w:szCs w:val="21"/>
                <w:highlight w:val="none"/>
              </w:rPr>
              <w:t>分</w:t>
            </w:r>
          </w:p>
        </w:tc>
        <w:tc>
          <w:tcPr>
            <w:tcW w:w="6603" w:type="dxa"/>
            <w:tcBorders>
              <w:top w:val="single" w:color="auto" w:sz="4" w:space="0"/>
              <w:left w:val="single" w:color="000000" w:sz="4" w:space="0"/>
              <w:bottom w:val="single" w:color="auto" w:sz="4" w:space="0"/>
              <w:right w:val="single" w:color="000000" w:sz="4" w:space="0"/>
            </w:tcBorders>
            <w:vAlign w:val="center"/>
          </w:tcPr>
          <w:p w14:paraId="6FDE3911">
            <w:pPr>
              <w:spacing w:line="400" w:lineRule="exact"/>
              <w:rPr>
                <w:rFonts w:ascii="宋体" w:hAnsi="宋体"/>
                <w:color w:val="auto"/>
                <w:spacing w:val="-4"/>
                <w:kern w:val="0"/>
                <w:szCs w:val="22"/>
                <w:highlight w:val="none"/>
              </w:rPr>
            </w:pPr>
            <w:r>
              <w:rPr>
                <w:rFonts w:hint="eastAsia" w:ascii="宋体" w:hAnsi="宋体"/>
                <w:color w:val="auto"/>
                <w:spacing w:val="-4"/>
                <w:kern w:val="0"/>
                <w:szCs w:val="22"/>
                <w:highlight w:val="none"/>
              </w:rPr>
              <w:t>供应商自</w:t>
            </w:r>
            <w:r>
              <w:rPr>
                <w:color w:val="auto"/>
                <w:szCs w:val="22"/>
                <w:highlight w:val="none"/>
              </w:rPr>
              <w:t>2021</w:t>
            </w:r>
            <w:r>
              <w:rPr>
                <w:rFonts w:hint="eastAsia" w:ascii="宋体" w:hAnsi="宋体"/>
                <w:color w:val="auto"/>
                <w:spacing w:val="-4"/>
                <w:kern w:val="0"/>
                <w:szCs w:val="22"/>
                <w:highlight w:val="none"/>
              </w:rPr>
              <w:t>年1月1日（以合同签订时间为准）至今承接过河道保洁业绩的，得</w:t>
            </w:r>
            <w:r>
              <w:rPr>
                <w:rFonts w:ascii="宋体" w:hAnsi="宋体"/>
                <w:color w:val="auto"/>
                <w:spacing w:val="-4"/>
                <w:kern w:val="0"/>
                <w:szCs w:val="22"/>
                <w:highlight w:val="none"/>
              </w:rPr>
              <w:t>1</w:t>
            </w:r>
            <w:r>
              <w:rPr>
                <w:rFonts w:hint="eastAsia" w:ascii="宋体" w:hAnsi="宋体"/>
                <w:color w:val="auto"/>
                <w:spacing w:val="-4"/>
                <w:kern w:val="0"/>
                <w:szCs w:val="22"/>
                <w:highlight w:val="none"/>
              </w:rPr>
              <w:t>分。</w:t>
            </w:r>
          </w:p>
          <w:p w14:paraId="0E5E3F28">
            <w:pPr>
              <w:spacing w:line="400" w:lineRule="exact"/>
              <w:rPr>
                <w:rFonts w:hint="eastAsia" w:ascii="宋体" w:hAnsi="宋体"/>
                <w:color w:val="auto"/>
                <w:spacing w:val="-4"/>
                <w:kern w:val="0"/>
                <w:szCs w:val="22"/>
                <w:highlight w:val="none"/>
              </w:rPr>
            </w:pPr>
            <w:r>
              <w:rPr>
                <w:rFonts w:hint="eastAsia" w:ascii="宋体" w:hAnsi="宋体"/>
                <w:color w:val="auto"/>
                <w:spacing w:val="-4"/>
                <w:kern w:val="0"/>
                <w:szCs w:val="22"/>
                <w:highlight w:val="none"/>
              </w:rPr>
              <w:t>供应商自</w:t>
            </w:r>
            <w:r>
              <w:rPr>
                <w:color w:val="auto"/>
                <w:szCs w:val="22"/>
                <w:highlight w:val="none"/>
              </w:rPr>
              <w:t>2021</w:t>
            </w:r>
            <w:r>
              <w:rPr>
                <w:rFonts w:hint="eastAsia" w:ascii="宋体" w:hAnsi="宋体"/>
                <w:color w:val="auto"/>
                <w:spacing w:val="-4"/>
                <w:kern w:val="0"/>
                <w:szCs w:val="22"/>
                <w:highlight w:val="none"/>
              </w:rPr>
              <w:t>年1月1日（以合同签订时间为准）至今承接过</w:t>
            </w:r>
            <w:r>
              <w:rPr>
                <w:rFonts w:hint="eastAsia" w:ascii="宋体" w:hAnsi="宋体"/>
                <w:color w:val="auto"/>
                <w:spacing w:val="-4"/>
                <w:kern w:val="0"/>
                <w:szCs w:val="22"/>
                <w:highlight w:val="none"/>
                <w:lang w:val="en-US" w:eastAsia="zh-CN"/>
              </w:rPr>
              <w:t>陆域保洁</w:t>
            </w:r>
            <w:r>
              <w:rPr>
                <w:rFonts w:hint="eastAsia" w:ascii="宋体" w:hAnsi="宋体"/>
                <w:color w:val="auto"/>
                <w:spacing w:val="-4"/>
                <w:kern w:val="0"/>
                <w:szCs w:val="22"/>
                <w:highlight w:val="none"/>
              </w:rPr>
              <w:t>业绩的，得</w:t>
            </w:r>
            <w:r>
              <w:rPr>
                <w:rFonts w:ascii="宋体" w:hAnsi="宋体"/>
                <w:color w:val="auto"/>
                <w:spacing w:val="-4"/>
                <w:kern w:val="0"/>
                <w:szCs w:val="22"/>
                <w:highlight w:val="none"/>
              </w:rPr>
              <w:t>1</w:t>
            </w:r>
            <w:r>
              <w:rPr>
                <w:rFonts w:hint="eastAsia" w:ascii="宋体" w:hAnsi="宋体"/>
                <w:color w:val="auto"/>
                <w:spacing w:val="-4"/>
                <w:kern w:val="0"/>
                <w:szCs w:val="22"/>
                <w:highlight w:val="none"/>
              </w:rPr>
              <w:t>分。</w:t>
            </w:r>
          </w:p>
          <w:p w14:paraId="49331E84">
            <w:pPr>
              <w:spacing w:line="400" w:lineRule="exact"/>
              <w:rPr>
                <w:rFonts w:ascii="宋体" w:hAnsi="宋体"/>
                <w:bCs/>
                <w:color w:val="auto"/>
                <w:spacing w:val="-4"/>
                <w:kern w:val="0"/>
                <w:szCs w:val="22"/>
                <w:highlight w:val="none"/>
              </w:rPr>
            </w:pPr>
            <w:r>
              <w:rPr>
                <w:rFonts w:hint="eastAsia" w:ascii="宋体" w:hAnsi="宋体"/>
                <w:bCs/>
                <w:color w:val="auto"/>
                <w:spacing w:val="-4"/>
                <w:kern w:val="0"/>
                <w:szCs w:val="22"/>
                <w:highlight w:val="none"/>
              </w:rPr>
              <w:t>备注：①合同业绩须为本次投标人的业绩（包含年度续签合同），投标人的独立法人子公司、参股公司的业绩均不予认可。</w:t>
            </w:r>
          </w:p>
          <w:p w14:paraId="17D00F7D">
            <w:pPr>
              <w:adjustRightInd w:val="0"/>
              <w:snapToGrid w:val="0"/>
              <w:spacing w:line="400" w:lineRule="exact"/>
              <w:jc w:val="left"/>
              <w:rPr>
                <w:rFonts w:hint="eastAsia" w:ascii="宋体" w:hAnsi="宋体"/>
                <w:bCs/>
                <w:color w:val="auto"/>
                <w:szCs w:val="22"/>
                <w:highlight w:val="none"/>
              </w:rPr>
            </w:pPr>
            <w:r>
              <w:rPr>
                <w:rFonts w:hint="eastAsia" w:ascii="宋体" w:hAnsi="宋体"/>
                <w:bCs/>
                <w:color w:val="auto"/>
                <w:szCs w:val="22"/>
                <w:highlight w:val="none"/>
              </w:rPr>
              <w:t>②投标文件中需提供合同清晰扫描件</w:t>
            </w:r>
            <w:r>
              <w:rPr>
                <w:rFonts w:hint="eastAsia" w:ascii="宋体" w:hAnsi="宋体" w:cs="宋体"/>
                <w:color w:val="auto"/>
                <w:szCs w:val="22"/>
                <w:highlight w:val="none"/>
              </w:rPr>
              <w:t>（加盖投标人电子签章）</w:t>
            </w:r>
            <w:r>
              <w:rPr>
                <w:rFonts w:hint="eastAsia" w:ascii="宋体" w:hAnsi="宋体"/>
                <w:bCs/>
                <w:color w:val="auto"/>
                <w:szCs w:val="22"/>
                <w:highlight w:val="none"/>
              </w:rPr>
              <w:t xml:space="preserve">，提供的扫描件模糊不清或不提供的不得分。 </w:t>
            </w:r>
          </w:p>
          <w:p w14:paraId="4FC7BC2D">
            <w:pPr>
              <w:spacing w:line="400" w:lineRule="exact"/>
              <w:rPr>
                <w:rFonts w:hint="default" w:eastAsiaTheme="majorEastAsia"/>
                <w:color w:val="auto"/>
                <w:highlight w:val="none"/>
                <w:lang w:val="en-US" w:eastAsia="zh-CN"/>
              </w:rPr>
            </w:pPr>
            <w:r>
              <w:rPr>
                <w:rFonts w:hint="eastAsia" w:ascii="宋体" w:hAnsi="宋体"/>
                <w:bCs/>
                <w:color w:val="auto"/>
                <w:spacing w:val="-4"/>
                <w:kern w:val="0"/>
                <w:szCs w:val="22"/>
                <w:highlight w:val="none"/>
                <w:lang w:val="en-US" w:eastAsia="zh-CN"/>
              </w:rPr>
              <w:t>③一个合同或协议中同时具有河道保洁和陆域保洁的，直接得2分。</w:t>
            </w:r>
          </w:p>
        </w:tc>
      </w:tr>
      <w:tr w14:paraId="241B2608">
        <w:tblPrEx>
          <w:tblCellMar>
            <w:top w:w="0" w:type="dxa"/>
            <w:left w:w="108" w:type="dxa"/>
            <w:bottom w:w="0" w:type="dxa"/>
            <w:right w:w="108" w:type="dxa"/>
          </w:tblCellMar>
        </w:tblPrEx>
        <w:trPr>
          <w:trHeight w:val="2531" w:hRule="atLeast"/>
          <w:jc w:val="center"/>
        </w:trPr>
        <w:tc>
          <w:tcPr>
            <w:tcW w:w="670" w:type="dxa"/>
            <w:tcBorders>
              <w:top w:val="single" w:color="auto" w:sz="4" w:space="0"/>
              <w:left w:val="single" w:color="000000" w:sz="4" w:space="0"/>
              <w:bottom w:val="single" w:color="auto" w:sz="4" w:space="0"/>
              <w:right w:val="single" w:color="000000" w:sz="4" w:space="0"/>
            </w:tcBorders>
            <w:vAlign w:val="center"/>
          </w:tcPr>
          <w:p w14:paraId="259B0B70">
            <w:pPr>
              <w:adjustRightInd w:val="0"/>
              <w:snapToGrid w:val="0"/>
              <w:spacing w:line="360" w:lineRule="exact"/>
              <w:jc w:val="center"/>
              <w:rPr>
                <w:rFonts w:ascii="宋体" w:hAnsi="宋体"/>
                <w:color w:val="auto"/>
                <w:szCs w:val="22"/>
                <w:highlight w:val="none"/>
              </w:rPr>
            </w:pPr>
            <w:r>
              <w:rPr>
                <w:rFonts w:ascii="宋体" w:hAnsi="宋体"/>
                <w:color w:val="auto"/>
                <w:szCs w:val="22"/>
                <w:highlight w:val="none"/>
              </w:rPr>
              <w:t>4</w:t>
            </w:r>
          </w:p>
        </w:tc>
        <w:tc>
          <w:tcPr>
            <w:tcW w:w="1357" w:type="dxa"/>
            <w:tcBorders>
              <w:top w:val="single" w:color="auto" w:sz="4" w:space="0"/>
              <w:left w:val="single" w:color="000000" w:sz="4" w:space="0"/>
              <w:bottom w:val="single" w:color="auto" w:sz="4" w:space="0"/>
              <w:right w:val="single" w:color="000000" w:sz="4" w:space="0"/>
            </w:tcBorders>
            <w:vAlign w:val="center"/>
          </w:tcPr>
          <w:p w14:paraId="3B042734">
            <w:pPr>
              <w:adjustRightInd w:val="0"/>
              <w:snapToGrid w:val="0"/>
              <w:spacing w:line="360" w:lineRule="exact"/>
              <w:jc w:val="center"/>
              <w:rPr>
                <w:rFonts w:ascii="宋体" w:hAnsi="宋体" w:cs="宋体"/>
                <w:color w:val="auto"/>
                <w:szCs w:val="22"/>
                <w:highlight w:val="none"/>
              </w:rPr>
            </w:pPr>
            <w:r>
              <w:rPr>
                <w:rFonts w:hint="eastAsia" w:ascii="宋体" w:hAnsi="宋体" w:cs="宋体"/>
                <w:bCs/>
                <w:color w:val="auto"/>
                <w:szCs w:val="21"/>
                <w:highlight w:val="none"/>
              </w:rPr>
              <w:t>拟投入项目负责人能力</w:t>
            </w:r>
          </w:p>
        </w:tc>
        <w:tc>
          <w:tcPr>
            <w:tcW w:w="1091" w:type="dxa"/>
            <w:tcBorders>
              <w:top w:val="single" w:color="auto" w:sz="4" w:space="0"/>
              <w:left w:val="single" w:color="000000" w:sz="4" w:space="0"/>
              <w:bottom w:val="single" w:color="auto" w:sz="4" w:space="0"/>
              <w:right w:val="single" w:color="000000" w:sz="4" w:space="0"/>
            </w:tcBorders>
            <w:vAlign w:val="center"/>
          </w:tcPr>
          <w:p w14:paraId="21079EF0">
            <w:pPr>
              <w:adjustRightInd w:val="0"/>
              <w:snapToGrid w:val="0"/>
              <w:spacing w:line="360" w:lineRule="exact"/>
              <w:jc w:val="center"/>
              <w:rPr>
                <w:rFonts w:ascii="宋体" w:hAnsi="宋体" w:cs="宋体"/>
                <w:color w:val="auto"/>
                <w:szCs w:val="22"/>
                <w:highlight w:val="none"/>
              </w:rPr>
            </w:pPr>
            <w:r>
              <w:rPr>
                <w:rFonts w:hint="eastAsia"/>
                <w:color w:val="auto"/>
                <w:kern w:val="0"/>
                <w:szCs w:val="21"/>
                <w:highlight w:val="none"/>
              </w:rPr>
              <w:t>0-</w:t>
            </w:r>
            <w:r>
              <w:rPr>
                <w:color w:val="auto"/>
                <w:kern w:val="0"/>
                <w:szCs w:val="21"/>
                <w:highlight w:val="none"/>
              </w:rPr>
              <w:t>5</w:t>
            </w:r>
            <w:r>
              <w:rPr>
                <w:rFonts w:hint="eastAsia"/>
                <w:color w:val="auto"/>
                <w:kern w:val="0"/>
                <w:szCs w:val="21"/>
                <w:highlight w:val="none"/>
              </w:rPr>
              <w:t>分</w:t>
            </w:r>
          </w:p>
        </w:tc>
        <w:tc>
          <w:tcPr>
            <w:tcW w:w="6603" w:type="dxa"/>
            <w:tcBorders>
              <w:top w:val="single" w:color="auto" w:sz="4" w:space="0"/>
              <w:left w:val="single" w:color="000000" w:sz="4" w:space="0"/>
              <w:bottom w:val="single" w:color="auto" w:sz="4" w:space="0"/>
              <w:right w:val="single" w:color="000000" w:sz="4" w:space="0"/>
            </w:tcBorders>
            <w:vAlign w:val="center"/>
          </w:tcPr>
          <w:p w14:paraId="56CDCA8B">
            <w:pPr>
              <w:spacing w:before="156" w:beforeLines="50" w:line="400" w:lineRule="exact"/>
              <w:rPr>
                <w:rFonts w:ascii="宋体" w:hAnsi="宋体" w:cs="宋体"/>
                <w:bCs/>
                <w:color w:val="auto"/>
                <w:szCs w:val="21"/>
                <w:highlight w:val="none"/>
              </w:rPr>
            </w:pPr>
            <w:r>
              <w:rPr>
                <w:rFonts w:hint="eastAsia" w:ascii="宋体" w:hAnsi="宋体" w:cs="宋体"/>
                <w:bCs/>
                <w:color w:val="auto"/>
                <w:szCs w:val="21"/>
                <w:highlight w:val="none"/>
              </w:rPr>
              <w:t>①拟派项目负责人具有中级职称的得</w:t>
            </w:r>
            <w:r>
              <w:rPr>
                <w:rFonts w:ascii="宋体" w:hAnsi="宋体" w:cs="宋体"/>
                <w:bCs/>
                <w:color w:val="auto"/>
                <w:szCs w:val="21"/>
                <w:highlight w:val="none"/>
              </w:rPr>
              <w:t>2</w:t>
            </w:r>
            <w:r>
              <w:rPr>
                <w:rFonts w:hint="eastAsia" w:ascii="宋体" w:hAnsi="宋体" w:cs="宋体"/>
                <w:bCs/>
                <w:color w:val="auto"/>
                <w:szCs w:val="21"/>
                <w:highlight w:val="none"/>
              </w:rPr>
              <w:t>分，具有高级及以上职称的得</w:t>
            </w:r>
            <w:r>
              <w:rPr>
                <w:rFonts w:ascii="宋体" w:hAnsi="宋体" w:cs="宋体"/>
                <w:bCs/>
                <w:color w:val="auto"/>
                <w:szCs w:val="21"/>
                <w:highlight w:val="none"/>
              </w:rPr>
              <w:t>3</w:t>
            </w:r>
            <w:r>
              <w:rPr>
                <w:rFonts w:hint="eastAsia" w:ascii="宋体" w:hAnsi="宋体" w:cs="宋体"/>
                <w:bCs/>
                <w:color w:val="auto"/>
                <w:szCs w:val="21"/>
                <w:highlight w:val="none"/>
              </w:rPr>
              <w:t>分，最高得</w:t>
            </w:r>
            <w:r>
              <w:rPr>
                <w:rFonts w:ascii="宋体" w:hAnsi="宋体" w:cs="宋体"/>
                <w:bCs/>
                <w:color w:val="auto"/>
                <w:szCs w:val="21"/>
                <w:highlight w:val="none"/>
              </w:rPr>
              <w:t>3</w:t>
            </w:r>
            <w:r>
              <w:rPr>
                <w:rFonts w:hint="eastAsia" w:ascii="宋体" w:hAnsi="宋体" w:cs="宋体"/>
                <w:bCs/>
                <w:color w:val="auto"/>
                <w:szCs w:val="21"/>
                <w:highlight w:val="none"/>
              </w:rPr>
              <w:t>分；</w:t>
            </w:r>
          </w:p>
          <w:p w14:paraId="592699BD">
            <w:pPr>
              <w:spacing w:line="400" w:lineRule="exact"/>
              <w:rPr>
                <w:rFonts w:ascii="宋体" w:hAnsi="宋体" w:cs="宋体"/>
                <w:bCs/>
                <w:color w:val="auto"/>
                <w:szCs w:val="21"/>
                <w:highlight w:val="none"/>
              </w:rPr>
            </w:pPr>
            <w:r>
              <w:rPr>
                <w:rFonts w:hint="eastAsia" w:ascii="宋体" w:hAnsi="宋体" w:cs="宋体"/>
                <w:bCs/>
                <w:color w:val="auto"/>
                <w:szCs w:val="21"/>
                <w:highlight w:val="none"/>
              </w:rPr>
              <w:t>②拟派项目负责人具有物业项目经理证书或</w:t>
            </w:r>
            <w:r>
              <w:rPr>
                <w:rFonts w:hint="eastAsia" w:ascii="宋体" w:hAnsi="宋体" w:cs="宋体"/>
                <w:bCs/>
                <w:color w:val="auto"/>
                <w:szCs w:val="22"/>
                <w:highlight w:val="none"/>
              </w:rPr>
              <w:t>高级环卫项目经理证书</w:t>
            </w:r>
            <w:r>
              <w:rPr>
                <w:rFonts w:hint="eastAsia" w:ascii="宋体" w:hAnsi="宋体" w:cs="宋体"/>
                <w:bCs/>
                <w:color w:val="auto"/>
                <w:szCs w:val="21"/>
                <w:highlight w:val="none"/>
              </w:rPr>
              <w:t>的得</w:t>
            </w:r>
            <w:r>
              <w:rPr>
                <w:rFonts w:ascii="宋体" w:hAnsi="宋体" w:cs="宋体"/>
                <w:bCs/>
                <w:color w:val="auto"/>
                <w:szCs w:val="21"/>
                <w:highlight w:val="none"/>
              </w:rPr>
              <w:t>2</w:t>
            </w:r>
            <w:r>
              <w:rPr>
                <w:rFonts w:hint="eastAsia" w:ascii="宋体" w:hAnsi="宋体" w:cs="宋体"/>
                <w:bCs/>
                <w:color w:val="auto"/>
                <w:szCs w:val="21"/>
                <w:highlight w:val="none"/>
              </w:rPr>
              <w:t>分；</w:t>
            </w:r>
          </w:p>
          <w:p w14:paraId="03C921B0">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提供相关证书原件扫描件并加盖投标人电子签章，未提供的不得分。</w:t>
            </w:r>
          </w:p>
          <w:p w14:paraId="5F154A42">
            <w:pPr>
              <w:spacing w:after="156" w:afterLines="50" w:line="400" w:lineRule="exact"/>
              <w:rPr>
                <w:rFonts w:ascii="宋体" w:hAnsi="宋体"/>
                <w:color w:val="auto"/>
                <w:spacing w:val="-4"/>
                <w:kern w:val="0"/>
                <w:szCs w:val="22"/>
                <w:highlight w:val="none"/>
              </w:rPr>
            </w:pPr>
            <w:r>
              <w:rPr>
                <w:rFonts w:hint="eastAsia" w:ascii="宋体" w:hAnsi="宋体"/>
                <w:color w:val="auto"/>
                <w:kern w:val="0"/>
                <w:szCs w:val="21"/>
                <w:highlight w:val="none"/>
              </w:rPr>
              <w:t>注：须提供本单位投标截止时间前半年内连续3个月连续缴纳的有效社保原件扫描件并加盖</w:t>
            </w:r>
            <w:r>
              <w:rPr>
                <w:rFonts w:hint="eastAsia" w:ascii="宋体" w:hAnsi="宋体" w:cs="宋体"/>
                <w:color w:val="auto"/>
                <w:kern w:val="0"/>
                <w:szCs w:val="21"/>
                <w:highlight w:val="none"/>
              </w:rPr>
              <w:t>投标人电子签章</w:t>
            </w:r>
            <w:r>
              <w:rPr>
                <w:rFonts w:hint="eastAsia" w:ascii="宋体" w:hAnsi="宋体" w:cs="宋体"/>
                <w:color w:val="auto"/>
                <w:kern w:val="0"/>
                <w:szCs w:val="22"/>
                <w:highlight w:val="none"/>
              </w:rPr>
              <w:t>，</w:t>
            </w:r>
            <w:r>
              <w:rPr>
                <w:rFonts w:hint="eastAsia" w:hAnsi="宋体" w:cs="宋体"/>
                <w:color w:val="auto"/>
                <w:kern w:val="0"/>
                <w:szCs w:val="22"/>
                <w:highlight w:val="none"/>
              </w:rPr>
              <w:t>社保证明</w:t>
            </w:r>
            <w:r>
              <w:rPr>
                <w:rFonts w:hint="eastAsia" w:ascii="宋体" w:hAnsi="宋体" w:cs="宋体"/>
                <w:color w:val="auto"/>
                <w:kern w:val="0"/>
                <w:szCs w:val="22"/>
                <w:highlight w:val="none"/>
              </w:rPr>
              <w:t>需</w:t>
            </w:r>
            <w:r>
              <w:rPr>
                <w:rFonts w:hint="eastAsia" w:hAnsi="宋体" w:cs="宋体"/>
                <w:color w:val="auto"/>
                <w:kern w:val="0"/>
                <w:szCs w:val="22"/>
                <w:highlight w:val="none"/>
              </w:rPr>
              <w:t>有能正常扫描的二维码</w:t>
            </w:r>
            <w:r>
              <w:rPr>
                <w:rFonts w:hint="eastAsia" w:ascii="宋体" w:hAnsi="宋体" w:cs="宋体"/>
                <w:color w:val="auto"/>
                <w:kern w:val="0"/>
                <w:szCs w:val="22"/>
                <w:highlight w:val="none"/>
              </w:rPr>
              <w:t>，未提供的，本项不得分</w:t>
            </w:r>
            <w:r>
              <w:rPr>
                <w:rFonts w:hint="eastAsia" w:ascii="宋体" w:hAnsi="宋体"/>
                <w:color w:val="auto"/>
                <w:kern w:val="0"/>
                <w:szCs w:val="22"/>
                <w:highlight w:val="none"/>
              </w:rPr>
              <w:t>。</w:t>
            </w:r>
          </w:p>
        </w:tc>
      </w:tr>
      <w:tr w14:paraId="5449853C">
        <w:tblPrEx>
          <w:tblCellMar>
            <w:top w:w="0" w:type="dxa"/>
            <w:left w:w="108" w:type="dxa"/>
            <w:bottom w:w="0" w:type="dxa"/>
            <w:right w:w="108" w:type="dxa"/>
          </w:tblCellMar>
        </w:tblPrEx>
        <w:trPr>
          <w:trHeight w:val="3393" w:hRule="atLeast"/>
          <w:jc w:val="center"/>
        </w:trPr>
        <w:tc>
          <w:tcPr>
            <w:tcW w:w="670" w:type="dxa"/>
            <w:tcBorders>
              <w:top w:val="single" w:color="auto" w:sz="4" w:space="0"/>
              <w:left w:val="single" w:color="000000" w:sz="4" w:space="0"/>
              <w:bottom w:val="single" w:color="auto" w:sz="4" w:space="0"/>
              <w:right w:val="single" w:color="000000" w:sz="4" w:space="0"/>
            </w:tcBorders>
            <w:vAlign w:val="center"/>
          </w:tcPr>
          <w:p w14:paraId="400642C3">
            <w:pPr>
              <w:adjustRightInd w:val="0"/>
              <w:snapToGrid w:val="0"/>
              <w:spacing w:line="360" w:lineRule="exact"/>
              <w:jc w:val="center"/>
              <w:rPr>
                <w:rFonts w:ascii="宋体" w:hAnsi="宋体"/>
                <w:color w:val="auto"/>
                <w:szCs w:val="22"/>
                <w:highlight w:val="none"/>
              </w:rPr>
            </w:pPr>
            <w:r>
              <w:rPr>
                <w:rFonts w:ascii="宋体" w:hAnsi="宋体"/>
                <w:color w:val="auto"/>
                <w:szCs w:val="22"/>
                <w:highlight w:val="none"/>
              </w:rPr>
              <w:t>5</w:t>
            </w:r>
          </w:p>
        </w:tc>
        <w:tc>
          <w:tcPr>
            <w:tcW w:w="1357" w:type="dxa"/>
            <w:tcBorders>
              <w:top w:val="single" w:color="auto" w:sz="4" w:space="0"/>
              <w:left w:val="single" w:color="000000" w:sz="4" w:space="0"/>
              <w:bottom w:val="single" w:color="auto" w:sz="4" w:space="0"/>
              <w:right w:val="single" w:color="000000" w:sz="4" w:space="0"/>
            </w:tcBorders>
            <w:vAlign w:val="center"/>
          </w:tcPr>
          <w:p w14:paraId="297B658E">
            <w:pPr>
              <w:adjustRightInd w:val="0"/>
              <w:snapToGrid w:val="0"/>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拟投入项目组人员能力（不含项目负责人）</w:t>
            </w:r>
          </w:p>
        </w:tc>
        <w:tc>
          <w:tcPr>
            <w:tcW w:w="1091" w:type="dxa"/>
            <w:tcBorders>
              <w:top w:val="single" w:color="auto" w:sz="4" w:space="0"/>
              <w:left w:val="single" w:color="000000" w:sz="4" w:space="0"/>
              <w:bottom w:val="single" w:color="auto" w:sz="4" w:space="0"/>
              <w:right w:val="single" w:color="000000" w:sz="4" w:space="0"/>
            </w:tcBorders>
            <w:vAlign w:val="center"/>
          </w:tcPr>
          <w:p w14:paraId="0420D809">
            <w:pPr>
              <w:adjustRightInd w:val="0"/>
              <w:snapToGrid w:val="0"/>
              <w:spacing w:line="360" w:lineRule="exact"/>
              <w:jc w:val="center"/>
              <w:rPr>
                <w:color w:val="auto"/>
                <w:kern w:val="0"/>
                <w:szCs w:val="21"/>
                <w:highlight w:val="none"/>
              </w:rPr>
            </w:pPr>
            <w:r>
              <w:rPr>
                <w:rFonts w:hint="eastAsia"/>
                <w:color w:val="auto"/>
                <w:kern w:val="0"/>
                <w:szCs w:val="21"/>
                <w:highlight w:val="none"/>
              </w:rPr>
              <w:t>0-</w:t>
            </w:r>
            <w:r>
              <w:rPr>
                <w:rFonts w:hint="eastAsia"/>
                <w:color w:val="auto"/>
                <w:kern w:val="0"/>
                <w:szCs w:val="21"/>
                <w:highlight w:val="none"/>
                <w:lang w:val="en-US" w:eastAsia="zh-CN"/>
              </w:rPr>
              <w:t>5</w:t>
            </w:r>
            <w:r>
              <w:rPr>
                <w:rFonts w:hint="eastAsia"/>
                <w:color w:val="auto"/>
                <w:kern w:val="0"/>
                <w:szCs w:val="21"/>
                <w:highlight w:val="none"/>
              </w:rPr>
              <w:t>分</w:t>
            </w:r>
          </w:p>
        </w:tc>
        <w:tc>
          <w:tcPr>
            <w:tcW w:w="6603" w:type="dxa"/>
            <w:tcBorders>
              <w:top w:val="single" w:color="auto" w:sz="4" w:space="0"/>
              <w:left w:val="single" w:color="000000" w:sz="4" w:space="0"/>
              <w:bottom w:val="single" w:color="auto" w:sz="4" w:space="0"/>
              <w:right w:val="single" w:color="000000" w:sz="4" w:space="0"/>
            </w:tcBorders>
            <w:vAlign w:val="center"/>
          </w:tcPr>
          <w:p w14:paraId="2CCA6A4A">
            <w:pPr>
              <w:pStyle w:val="51"/>
              <w:spacing w:line="400" w:lineRule="exact"/>
              <w:rPr>
                <w:rFonts w:hAnsi="宋体" w:cs="宋体"/>
                <w:bCs/>
                <w:color w:val="auto"/>
                <w:szCs w:val="22"/>
                <w:highlight w:val="none"/>
              </w:rPr>
            </w:pPr>
            <w:r>
              <w:rPr>
                <w:rFonts w:hint="eastAsia" w:hAnsi="宋体" w:cs="宋体"/>
                <w:bCs/>
                <w:color w:val="auto"/>
                <w:szCs w:val="22"/>
                <w:highlight w:val="none"/>
              </w:rPr>
              <w:t>①</w:t>
            </w:r>
            <w:r>
              <w:rPr>
                <w:rFonts w:hint="eastAsia" w:ascii="宋体" w:hAnsi="宋体" w:cs="宋体"/>
                <w:bCs/>
                <w:color w:val="auto"/>
                <w:szCs w:val="21"/>
                <w:highlight w:val="none"/>
              </w:rPr>
              <w:t>拟派项目组人员中</w:t>
            </w:r>
            <w:r>
              <w:rPr>
                <w:rFonts w:hint="eastAsia" w:hAnsi="宋体" w:cs="宋体"/>
                <w:bCs/>
                <w:color w:val="auto"/>
                <w:szCs w:val="22"/>
                <w:highlight w:val="none"/>
              </w:rPr>
              <w:t>具有相关行政主管部门颁发的内河船舶船员适任证书或船舶船员类证书的，每有1人得</w:t>
            </w:r>
            <w:r>
              <w:rPr>
                <w:rFonts w:ascii="宋体" w:hAnsi="宋体" w:cs="宋体"/>
                <w:bCs/>
                <w:color w:val="auto"/>
                <w:szCs w:val="22"/>
                <w:highlight w:val="none"/>
              </w:rPr>
              <w:t>1.5</w:t>
            </w:r>
            <w:r>
              <w:rPr>
                <w:rFonts w:hint="eastAsia" w:hAnsi="宋体" w:cs="宋体"/>
                <w:bCs/>
                <w:color w:val="auto"/>
                <w:szCs w:val="22"/>
                <w:highlight w:val="none"/>
              </w:rPr>
              <w:t>分，最高得</w:t>
            </w:r>
            <w:r>
              <w:rPr>
                <w:rFonts w:hAnsi="宋体" w:cs="宋体"/>
                <w:bCs/>
                <w:color w:val="auto"/>
                <w:szCs w:val="22"/>
                <w:highlight w:val="none"/>
              </w:rPr>
              <w:t>3</w:t>
            </w:r>
            <w:r>
              <w:rPr>
                <w:rFonts w:hint="eastAsia" w:hAnsi="宋体" w:cs="宋体"/>
                <w:bCs/>
                <w:color w:val="auto"/>
                <w:szCs w:val="22"/>
                <w:highlight w:val="none"/>
              </w:rPr>
              <w:t xml:space="preserve">分。 </w:t>
            </w:r>
          </w:p>
          <w:p w14:paraId="548BA0C5">
            <w:pPr>
              <w:pStyle w:val="51"/>
              <w:spacing w:line="400" w:lineRule="exact"/>
              <w:rPr>
                <w:rFonts w:hAnsi="宋体" w:cs="宋体"/>
                <w:bCs/>
                <w:color w:val="auto"/>
                <w:szCs w:val="22"/>
                <w:highlight w:val="none"/>
              </w:rPr>
            </w:pPr>
            <w:r>
              <w:rPr>
                <w:rFonts w:hint="eastAsia" w:hAnsi="宋体" w:cs="宋体"/>
                <w:bCs/>
                <w:color w:val="auto"/>
                <w:szCs w:val="22"/>
                <w:highlight w:val="none"/>
                <w:lang w:val="en-US" w:eastAsia="zh-CN"/>
              </w:rPr>
              <w:t>②</w:t>
            </w:r>
            <w:r>
              <w:rPr>
                <w:rFonts w:hint="eastAsia" w:ascii="宋体" w:hAnsi="宋体" w:cs="宋体"/>
                <w:bCs/>
                <w:color w:val="auto"/>
                <w:szCs w:val="21"/>
                <w:highlight w:val="none"/>
              </w:rPr>
              <w:t>拟派</w:t>
            </w:r>
            <w:r>
              <w:rPr>
                <w:rFonts w:hint="eastAsia" w:ascii="宋体" w:hAnsi="宋体" w:cs="宋体"/>
                <w:bCs/>
                <w:color w:val="auto"/>
                <w:szCs w:val="21"/>
                <w:highlight w:val="none"/>
                <w:lang w:val="en-US" w:eastAsia="zh-CN"/>
              </w:rPr>
              <w:t>河道保洁</w:t>
            </w:r>
            <w:r>
              <w:rPr>
                <w:rFonts w:hint="eastAsia" w:ascii="宋体" w:hAnsi="宋体" w:cs="宋体"/>
                <w:bCs/>
                <w:color w:val="auto"/>
                <w:szCs w:val="21"/>
                <w:highlight w:val="none"/>
              </w:rPr>
              <w:t>人员中</w:t>
            </w:r>
            <w:r>
              <w:rPr>
                <w:rFonts w:hint="eastAsia" w:hAnsi="宋体" w:cs="宋体"/>
                <w:bCs/>
                <w:color w:val="auto"/>
                <w:szCs w:val="22"/>
                <w:highlight w:val="none"/>
              </w:rPr>
              <w:t>具有救生员证书的，每有1人得</w:t>
            </w:r>
            <w:r>
              <w:rPr>
                <w:rFonts w:ascii="宋体" w:hAnsi="宋体" w:cs="宋体"/>
                <w:bCs/>
                <w:color w:val="auto"/>
                <w:szCs w:val="22"/>
                <w:highlight w:val="none"/>
              </w:rPr>
              <w:t>1</w:t>
            </w:r>
            <w:r>
              <w:rPr>
                <w:rFonts w:hint="eastAsia" w:hAnsi="宋体" w:cs="宋体"/>
                <w:bCs/>
                <w:color w:val="auto"/>
                <w:szCs w:val="22"/>
                <w:highlight w:val="none"/>
              </w:rPr>
              <w:t>分，最高得</w:t>
            </w:r>
            <w:r>
              <w:rPr>
                <w:rFonts w:hAnsi="宋体" w:cs="宋体"/>
                <w:bCs/>
                <w:color w:val="auto"/>
                <w:szCs w:val="22"/>
                <w:highlight w:val="none"/>
              </w:rPr>
              <w:t>1</w:t>
            </w:r>
            <w:r>
              <w:rPr>
                <w:rFonts w:hint="eastAsia" w:hAnsi="宋体" w:cs="宋体"/>
                <w:bCs/>
                <w:color w:val="auto"/>
                <w:szCs w:val="22"/>
                <w:highlight w:val="none"/>
              </w:rPr>
              <w:t xml:space="preserve">分。 </w:t>
            </w:r>
            <w:r>
              <w:rPr>
                <w:rFonts w:hAnsi="宋体" w:cs="宋体"/>
                <w:bCs/>
                <w:color w:val="auto"/>
                <w:szCs w:val="22"/>
                <w:highlight w:val="none"/>
              </w:rPr>
              <w:t xml:space="preserve"> </w:t>
            </w:r>
          </w:p>
          <w:p w14:paraId="38901E1D">
            <w:pPr>
              <w:pStyle w:val="51"/>
              <w:spacing w:line="400" w:lineRule="exact"/>
              <w:rPr>
                <w:rFonts w:hint="eastAsia" w:hAnsi="宋体" w:cs="宋体"/>
                <w:bCs/>
                <w:color w:val="auto"/>
                <w:szCs w:val="22"/>
                <w:highlight w:val="none"/>
              </w:rPr>
            </w:pPr>
            <w:r>
              <w:rPr>
                <w:rFonts w:hint="eastAsia" w:hAnsi="宋体" w:cs="宋体"/>
                <w:bCs/>
                <w:color w:val="auto"/>
                <w:szCs w:val="22"/>
                <w:highlight w:val="none"/>
                <w:lang w:val="en-US" w:eastAsia="zh-CN"/>
              </w:rPr>
              <w:t>③</w:t>
            </w:r>
            <w:r>
              <w:rPr>
                <w:rFonts w:hint="eastAsia" w:ascii="宋体" w:hAnsi="宋体" w:cs="宋体"/>
                <w:bCs/>
                <w:color w:val="auto"/>
                <w:szCs w:val="21"/>
                <w:highlight w:val="none"/>
              </w:rPr>
              <w:t>拟派项目组人员中</w:t>
            </w:r>
            <w:r>
              <w:rPr>
                <w:rFonts w:hint="eastAsia" w:hAnsi="宋体" w:cs="宋体"/>
                <w:bCs/>
                <w:color w:val="auto"/>
                <w:szCs w:val="22"/>
                <w:highlight w:val="none"/>
              </w:rPr>
              <w:t>具有白蚁防治员证书的，每有1人得</w:t>
            </w:r>
            <w:r>
              <w:rPr>
                <w:rFonts w:ascii="宋体" w:hAnsi="宋体" w:cs="宋体"/>
                <w:bCs/>
                <w:color w:val="auto"/>
                <w:szCs w:val="22"/>
                <w:highlight w:val="none"/>
              </w:rPr>
              <w:t>1</w:t>
            </w:r>
            <w:r>
              <w:rPr>
                <w:rFonts w:hint="eastAsia" w:hAnsi="宋体" w:cs="宋体"/>
                <w:bCs/>
                <w:color w:val="auto"/>
                <w:szCs w:val="22"/>
                <w:highlight w:val="none"/>
              </w:rPr>
              <w:t>分，最高得</w:t>
            </w:r>
            <w:r>
              <w:rPr>
                <w:rFonts w:hAnsi="宋体" w:cs="宋体"/>
                <w:bCs/>
                <w:color w:val="auto"/>
                <w:szCs w:val="22"/>
                <w:highlight w:val="none"/>
              </w:rPr>
              <w:t>1</w:t>
            </w:r>
            <w:r>
              <w:rPr>
                <w:rFonts w:hint="eastAsia" w:hAnsi="宋体" w:cs="宋体"/>
                <w:bCs/>
                <w:color w:val="auto"/>
                <w:szCs w:val="22"/>
                <w:highlight w:val="none"/>
              </w:rPr>
              <w:t xml:space="preserve">分。 </w:t>
            </w:r>
          </w:p>
          <w:p w14:paraId="264D47B5">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提供相关证书原件扫描件并加盖投标人电子签章，未提供的不得分。</w:t>
            </w:r>
          </w:p>
          <w:p w14:paraId="2D33ED0E">
            <w:pPr>
              <w:spacing w:line="400" w:lineRule="exact"/>
              <w:rPr>
                <w:rFonts w:ascii="宋体" w:hAnsi="宋体" w:cs="宋体"/>
                <w:bCs/>
                <w:color w:val="auto"/>
                <w:szCs w:val="21"/>
                <w:highlight w:val="none"/>
              </w:rPr>
            </w:pPr>
            <w:r>
              <w:rPr>
                <w:rFonts w:hint="eastAsia" w:ascii="宋体" w:hAnsi="宋体"/>
                <w:color w:val="auto"/>
                <w:kern w:val="0"/>
                <w:szCs w:val="21"/>
                <w:highlight w:val="none"/>
              </w:rPr>
              <w:t>注：须提供本单位投标截止时间前半年内连续3个月连续缴纳的有效社保原件扫描件并加盖</w:t>
            </w:r>
            <w:r>
              <w:rPr>
                <w:rFonts w:hint="eastAsia" w:ascii="宋体" w:hAnsi="宋体" w:cs="宋体"/>
                <w:color w:val="auto"/>
                <w:kern w:val="0"/>
                <w:szCs w:val="21"/>
                <w:highlight w:val="none"/>
              </w:rPr>
              <w:t>投标人电子签章</w:t>
            </w:r>
            <w:r>
              <w:rPr>
                <w:rFonts w:hint="eastAsia" w:ascii="宋体" w:hAnsi="宋体" w:cs="宋体"/>
                <w:color w:val="auto"/>
                <w:kern w:val="0"/>
                <w:szCs w:val="22"/>
                <w:highlight w:val="none"/>
              </w:rPr>
              <w:t>，</w:t>
            </w:r>
            <w:r>
              <w:rPr>
                <w:rFonts w:hint="eastAsia" w:hAnsi="宋体" w:cs="宋体"/>
                <w:color w:val="auto"/>
                <w:kern w:val="0"/>
                <w:szCs w:val="22"/>
                <w:highlight w:val="none"/>
              </w:rPr>
              <w:t>社保证明</w:t>
            </w:r>
            <w:r>
              <w:rPr>
                <w:rFonts w:hint="eastAsia" w:ascii="宋体" w:hAnsi="宋体" w:cs="宋体"/>
                <w:color w:val="auto"/>
                <w:kern w:val="0"/>
                <w:szCs w:val="22"/>
                <w:highlight w:val="none"/>
              </w:rPr>
              <w:t>需</w:t>
            </w:r>
            <w:r>
              <w:rPr>
                <w:rFonts w:hint="eastAsia" w:hAnsi="宋体" w:cs="宋体"/>
                <w:color w:val="auto"/>
                <w:kern w:val="0"/>
                <w:szCs w:val="22"/>
                <w:highlight w:val="none"/>
              </w:rPr>
              <w:t>有能正常扫描的二维码</w:t>
            </w:r>
            <w:r>
              <w:rPr>
                <w:rFonts w:hint="eastAsia" w:ascii="宋体" w:hAnsi="宋体" w:cs="宋体"/>
                <w:color w:val="auto"/>
                <w:kern w:val="0"/>
                <w:szCs w:val="22"/>
                <w:highlight w:val="none"/>
              </w:rPr>
              <w:t>，未提供的，本项不得分</w:t>
            </w:r>
            <w:r>
              <w:rPr>
                <w:rFonts w:hint="eastAsia" w:ascii="宋体" w:hAnsi="宋体"/>
                <w:color w:val="auto"/>
                <w:kern w:val="0"/>
                <w:szCs w:val="22"/>
                <w:highlight w:val="none"/>
              </w:rPr>
              <w:t>。</w:t>
            </w:r>
          </w:p>
        </w:tc>
      </w:tr>
      <w:tr w14:paraId="5DB24680">
        <w:tblPrEx>
          <w:tblCellMar>
            <w:top w:w="0" w:type="dxa"/>
            <w:left w:w="108" w:type="dxa"/>
            <w:bottom w:w="0" w:type="dxa"/>
            <w:right w:w="108" w:type="dxa"/>
          </w:tblCellMar>
        </w:tblPrEx>
        <w:trPr>
          <w:trHeight w:val="1240" w:hRule="atLeast"/>
          <w:jc w:val="center"/>
        </w:trPr>
        <w:tc>
          <w:tcPr>
            <w:tcW w:w="670" w:type="dxa"/>
            <w:tcBorders>
              <w:top w:val="single" w:color="auto" w:sz="4" w:space="0"/>
              <w:left w:val="single" w:color="000000" w:sz="4" w:space="0"/>
              <w:bottom w:val="single" w:color="auto" w:sz="4" w:space="0"/>
              <w:right w:val="single" w:color="000000" w:sz="4" w:space="0"/>
            </w:tcBorders>
            <w:vAlign w:val="center"/>
          </w:tcPr>
          <w:p w14:paraId="2A8452C4">
            <w:pPr>
              <w:adjustRightInd w:val="0"/>
              <w:snapToGrid w:val="0"/>
              <w:spacing w:line="360" w:lineRule="exact"/>
              <w:jc w:val="center"/>
              <w:rPr>
                <w:rFonts w:ascii="宋体" w:hAnsi="宋体"/>
                <w:color w:val="auto"/>
                <w:szCs w:val="22"/>
                <w:highlight w:val="none"/>
              </w:rPr>
            </w:pPr>
            <w:r>
              <w:rPr>
                <w:rFonts w:ascii="宋体" w:hAnsi="宋体"/>
                <w:color w:val="auto"/>
                <w:szCs w:val="22"/>
                <w:highlight w:val="none"/>
              </w:rPr>
              <w:t>6</w:t>
            </w:r>
          </w:p>
        </w:tc>
        <w:tc>
          <w:tcPr>
            <w:tcW w:w="1357" w:type="dxa"/>
            <w:tcBorders>
              <w:top w:val="single" w:color="auto" w:sz="4" w:space="0"/>
              <w:left w:val="single" w:color="000000" w:sz="4" w:space="0"/>
              <w:bottom w:val="single" w:color="auto" w:sz="4" w:space="0"/>
              <w:right w:val="single" w:color="000000" w:sz="4" w:space="0"/>
            </w:tcBorders>
            <w:shd w:val="clear" w:color="auto" w:fill="auto"/>
            <w:vAlign w:val="center"/>
          </w:tcPr>
          <w:p w14:paraId="63708F43">
            <w:pPr>
              <w:adjustRightInd w:val="0"/>
              <w:snapToGrid w:val="0"/>
              <w:spacing w:line="360" w:lineRule="exact"/>
              <w:jc w:val="center"/>
              <w:rPr>
                <w:rFonts w:ascii="宋体" w:hAnsi="宋体" w:eastAsia="宋体" w:cs="宋体"/>
                <w:color w:val="auto"/>
                <w:kern w:val="2"/>
                <w:sz w:val="22"/>
                <w:szCs w:val="22"/>
                <w:highlight w:val="none"/>
                <w:lang w:val="en-US" w:eastAsia="zh-CN" w:bidi="ar-SA"/>
              </w:rPr>
            </w:pPr>
            <w:r>
              <w:rPr>
                <w:rFonts w:hint="eastAsia" w:cs="仿宋" w:asciiTheme="majorEastAsia" w:hAnsiTheme="majorEastAsia" w:eastAsiaTheme="majorEastAsia"/>
                <w:color w:val="auto"/>
                <w:sz w:val="24"/>
                <w:highlight w:val="none"/>
                <w:shd w:val="clear" w:color="auto" w:fill="FFFFFF"/>
              </w:rPr>
              <w:t>保洁方案</w:t>
            </w:r>
          </w:p>
        </w:tc>
        <w:tc>
          <w:tcPr>
            <w:tcW w:w="1091" w:type="dxa"/>
            <w:tcBorders>
              <w:top w:val="single" w:color="auto" w:sz="4" w:space="0"/>
              <w:left w:val="single" w:color="000000" w:sz="4" w:space="0"/>
              <w:bottom w:val="single" w:color="auto" w:sz="4" w:space="0"/>
              <w:right w:val="single" w:color="000000" w:sz="4" w:space="0"/>
            </w:tcBorders>
            <w:shd w:val="clear" w:color="auto" w:fill="auto"/>
            <w:vAlign w:val="center"/>
          </w:tcPr>
          <w:p w14:paraId="266B50CC">
            <w:pPr>
              <w:adjustRightInd w:val="0"/>
              <w:snapToGrid w:val="0"/>
              <w:spacing w:line="360" w:lineRule="exact"/>
              <w:jc w:val="center"/>
              <w:rPr>
                <w:rFonts w:ascii="宋体" w:hAnsi="宋体" w:eastAsia="宋体" w:cs="宋体"/>
                <w:color w:val="auto"/>
                <w:kern w:val="2"/>
                <w:sz w:val="22"/>
                <w:szCs w:val="22"/>
                <w:highlight w:val="none"/>
                <w:lang w:val="en-US" w:eastAsia="zh-CN" w:bidi="ar-SA"/>
              </w:rPr>
            </w:pPr>
            <w:r>
              <w:rPr>
                <w:rFonts w:hint="eastAsia"/>
                <w:color w:val="auto"/>
                <w:kern w:val="0"/>
                <w:szCs w:val="21"/>
                <w:highlight w:val="none"/>
              </w:rPr>
              <w:t>0-</w:t>
            </w:r>
            <w:r>
              <w:rPr>
                <w:rFonts w:hint="eastAsia"/>
                <w:color w:val="auto"/>
                <w:kern w:val="0"/>
                <w:szCs w:val="21"/>
                <w:highlight w:val="none"/>
                <w:lang w:val="en-US" w:eastAsia="zh-CN"/>
              </w:rPr>
              <w:t>5</w:t>
            </w:r>
            <w:r>
              <w:rPr>
                <w:rFonts w:hint="eastAsia"/>
                <w:color w:val="auto"/>
                <w:kern w:val="0"/>
                <w:szCs w:val="21"/>
                <w:highlight w:val="none"/>
              </w:rPr>
              <w:t>分</w:t>
            </w:r>
          </w:p>
        </w:tc>
        <w:tc>
          <w:tcPr>
            <w:tcW w:w="6603" w:type="dxa"/>
            <w:tcBorders>
              <w:top w:val="single" w:color="auto" w:sz="4" w:space="0"/>
              <w:left w:val="single" w:color="000000" w:sz="4" w:space="0"/>
              <w:right w:val="single" w:color="000000" w:sz="4" w:space="0"/>
            </w:tcBorders>
            <w:shd w:val="clear" w:color="auto" w:fill="auto"/>
            <w:vAlign w:val="center"/>
          </w:tcPr>
          <w:p w14:paraId="5F87165A">
            <w:pPr>
              <w:spacing w:line="400" w:lineRule="exact"/>
              <w:ind w:firstLine="17" w:firstLineChars="8"/>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保洁方案分组织保障措施（包括人员安排、保洁范围、保洁内容等）、保洁重点难点（包括人员安排及过程中碰到发生的问题等）分析、保洁重点难点解决方案、保洁质量保证措施（包括保洁达到的标准、日常检查标准、与业主配合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5,4，3，2，1，0</w:t>
            </w:r>
            <w:r>
              <w:rPr>
                <w:rFonts w:hint="eastAsia" w:ascii="宋体" w:hAnsi="宋体" w:cs="宋体"/>
                <w:bCs/>
                <w:color w:val="auto"/>
                <w:szCs w:val="21"/>
                <w:highlight w:val="none"/>
                <w:lang w:eastAsia="zh-CN"/>
              </w:rPr>
              <w:t>）</w:t>
            </w:r>
          </w:p>
          <w:p w14:paraId="3D950633">
            <w:pPr>
              <w:adjustRightInd w:val="0"/>
              <w:snapToGrid w:val="0"/>
              <w:spacing w:line="400" w:lineRule="exact"/>
              <w:ind w:firstLine="212" w:firstLineChars="100"/>
              <w:jc w:val="left"/>
              <w:rPr>
                <w:rFonts w:ascii="宋体" w:hAnsi="宋体" w:eastAsia="宋体" w:cs="宋体"/>
                <w:color w:val="auto"/>
                <w:kern w:val="2"/>
                <w:sz w:val="22"/>
                <w:szCs w:val="22"/>
                <w:highlight w:val="none"/>
                <w:lang w:val="en-US" w:eastAsia="zh-CN" w:bidi="ar-SA"/>
              </w:rPr>
            </w:pPr>
            <w:r>
              <w:rPr>
                <w:rFonts w:hint="eastAsia" w:ascii="宋体" w:hAnsi="宋体"/>
                <w:color w:val="auto"/>
                <w:spacing w:val="-4"/>
                <w:kern w:val="0"/>
                <w:szCs w:val="22"/>
                <w:highlight w:val="none"/>
              </w:rPr>
              <w:t>未提供方案不得分。</w:t>
            </w:r>
          </w:p>
        </w:tc>
      </w:tr>
      <w:tr w14:paraId="7B9D0DF0">
        <w:tblPrEx>
          <w:tblCellMar>
            <w:top w:w="0" w:type="dxa"/>
            <w:left w:w="108" w:type="dxa"/>
            <w:bottom w:w="0" w:type="dxa"/>
            <w:right w:w="108" w:type="dxa"/>
          </w:tblCellMar>
        </w:tblPrEx>
        <w:trPr>
          <w:trHeight w:val="1101" w:hRule="atLeast"/>
          <w:jc w:val="center"/>
        </w:trPr>
        <w:tc>
          <w:tcPr>
            <w:tcW w:w="670" w:type="dxa"/>
            <w:tcBorders>
              <w:top w:val="single" w:color="000000" w:sz="4" w:space="0"/>
              <w:left w:val="single" w:color="000000" w:sz="4" w:space="0"/>
              <w:right w:val="single" w:color="000000" w:sz="4" w:space="0"/>
            </w:tcBorders>
            <w:vAlign w:val="center"/>
          </w:tcPr>
          <w:p w14:paraId="41FBD5C9">
            <w:pPr>
              <w:adjustRightInd w:val="0"/>
              <w:snapToGrid w:val="0"/>
              <w:spacing w:line="360" w:lineRule="exact"/>
              <w:jc w:val="center"/>
              <w:rPr>
                <w:rFonts w:ascii="宋体" w:hAnsi="宋体" w:cs="宋体"/>
                <w:color w:val="auto"/>
                <w:szCs w:val="22"/>
                <w:highlight w:val="none"/>
              </w:rPr>
            </w:pPr>
            <w:r>
              <w:rPr>
                <w:rFonts w:ascii="宋体" w:hAnsi="宋体" w:cs="宋体"/>
                <w:color w:val="auto"/>
                <w:szCs w:val="22"/>
                <w:highlight w:val="none"/>
              </w:rPr>
              <w:t>7</w:t>
            </w:r>
          </w:p>
        </w:tc>
        <w:tc>
          <w:tcPr>
            <w:tcW w:w="1357" w:type="dxa"/>
            <w:tcBorders>
              <w:top w:val="single" w:color="000000" w:sz="4" w:space="0"/>
              <w:left w:val="single" w:color="000000" w:sz="4" w:space="0"/>
              <w:right w:val="single" w:color="000000" w:sz="4" w:space="0"/>
            </w:tcBorders>
            <w:shd w:val="clear" w:color="auto" w:fill="auto"/>
            <w:vAlign w:val="center"/>
          </w:tcPr>
          <w:p w14:paraId="6B01911F">
            <w:pPr>
              <w:adjustRightInd w:val="0"/>
              <w:snapToGrid w:val="0"/>
              <w:spacing w:line="360" w:lineRule="exact"/>
              <w:jc w:val="center"/>
              <w:rPr>
                <w:rFonts w:ascii="宋体" w:hAnsi="宋体" w:eastAsia="宋体" w:cs="宋体"/>
                <w:bCs/>
                <w:color w:val="auto"/>
                <w:kern w:val="0"/>
                <w:sz w:val="22"/>
                <w:szCs w:val="21"/>
                <w:highlight w:val="none"/>
                <w:lang w:val="en-US" w:eastAsia="zh-CN" w:bidi="ar-SA"/>
              </w:rPr>
            </w:pPr>
            <w:r>
              <w:rPr>
                <w:rFonts w:hint="eastAsia" w:ascii="宋体" w:hAnsi="宋体" w:cs="宋体"/>
                <w:bCs/>
                <w:color w:val="auto"/>
                <w:kern w:val="0"/>
                <w:szCs w:val="22"/>
                <w:highlight w:val="none"/>
              </w:rPr>
              <w:t>堤防标准化管理方案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F1ED">
            <w:pPr>
              <w:adjustRightInd w:val="0"/>
              <w:snapToGrid w:val="0"/>
              <w:spacing w:line="360" w:lineRule="exact"/>
              <w:jc w:val="center"/>
              <w:rPr>
                <w:rFonts w:ascii="Times New Roman" w:hAnsi="Times New Roman" w:eastAsia="宋体" w:cs="Times New Roman"/>
                <w:color w:val="auto"/>
                <w:kern w:val="0"/>
                <w:sz w:val="22"/>
                <w:szCs w:val="21"/>
                <w:highlight w:val="none"/>
                <w:lang w:val="en-US" w:eastAsia="zh-CN" w:bidi="ar-SA"/>
              </w:rPr>
            </w:pPr>
            <w:r>
              <w:rPr>
                <w:rFonts w:hint="eastAsia"/>
                <w:color w:val="auto"/>
                <w:kern w:val="0"/>
                <w:szCs w:val="21"/>
                <w:highlight w:val="none"/>
              </w:rPr>
              <w:t>0-</w:t>
            </w:r>
            <w:r>
              <w:rPr>
                <w:rFonts w:hint="eastAsia"/>
                <w:color w:val="auto"/>
                <w:kern w:val="0"/>
                <w:szCs w:val="21"/>
                <w:highlight w:val="none"/>
                <w:lang w:val="en-US" w:eastAsia="zh-CN"/>
              </w:rPr>
              <w:t>5</w:t>
            </w:r>
            <w:r>
              <w:rPr>
                <w:rFonts w:hint="eastAsia"/>
                <w:color w:val="auto"/>
                <w:kern w:val="0"/>
                <w:szCs w:val="21"/>
                <w:highlight w:val="none"/>
              </w:rPr>
              <w:t>分</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ABBA">
            <w:pPr>
              <w:widowControl/>
              <w:spacing w:line="400" w:lineRule="exact"/>
              <w:textAlignment w:val="bottom"/>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堤防标准化管理方案分组织保障措施（包括人员安排、管理范围及内容）、管理重点难点（包括标准化管理的时间以及碰到的问题等）分析、重点难点解决方案、质量保证措施（包括管理的标准、日常检查、与业主配合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5,4，3，2，1，0</w:t>
            </w:r>
            <w:r>
              <w:rPr>
                <w:rFonts w:hint="eastAsia" w:ascii="宋体" w:hAnsi="宋体" w:cs="宋体"/>
                <w:bCs/>
                <w:color w:val="auto"/>
                <w:szCs w:val="21"/>
                <w:highlight w:val="none"/>
                <w:lang w:eastAsia="zh-CN"/>
              </w:rPr>
              <w:t>）</w:t>
            </w:r>
          </w:p>
          <w:p w14:paraId="087846DB">
            <w:pPr>
              <w:spacing w:line="400" w:lineRule="exact"/>
              <w:ind w:firstLine="16" w:firstLineChars="8"/>
              <w:rPr>
                <w:rFonts w:ascii="宋体" w:hAnsi="宋体" w:eastAsia="宋体" w:cs="宋体"/>
                <w:bCs/>
                <w:color w:val="auto"/>
                <w:kern w:val="2"/>
                <w:sz w:val="22"/>
                <w:szCs w:val="21"/>
                <w:highlight w:val="none"/>
                <w:lang w:val="en-US" w:eastAsia="zh-CN" w:bidi="ar-SA"/>
              </w:rPr>
            </w:pPr>
            <w:r>
              <w:rPr>
                <w:rFonts w:hint="eastAsia" w:ascii="宋体" w:hAnsi="宋体"/>
                <w:color w:val="auto"/>
                <w:spacing w:val="-4"/>
                <w:kern w:val="0"/>
                <w:szCs w:val="22"/>
                <w:highlight w:val="none"/>
              </w:rPr>
              <w:t>未提供方案不得分。</w:t>
            </w:r>
          </w:p>
        </w:tc>
      </w:tr>
      <w:tr w14:paraId="5B5B61FC">
        <w:tblPrEx>
          <w:tblCellMar>
            <w:top w:w="0" w:type="dxa"/>
            <w:left w:w="108" w:type="dxa"/>
            <w:bottom w:w="0" w:type="dxa"/>
            <w:right w:w="108" w:type="dxa"/>
          </w:tblCellMar>
        </w:tblPrEx>
        <w:trPr>
          <w:trHeight w:val="416"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14:paraId="33548D31">
            <w:pPr>
              <w:adjustRightInd w:val="0"/>
              <w:snapToGrid w:val="0"/>
              <w:spacing w:line="360" w:lineRule="exact"/>
              <w:jc w:val="center"/>
              <w:rPr>
                <w:rFonts w:ascii="宋体" w:hAnsi="宋体" w:cs="宋体"/>
                <w:color w:val="auto"/>
                <w:szCs w:val="22"/>
                <w:highlight w:val="none"/>
              </w:rPr>
            </w:pPr>
            <w:r>
              <w:rPr>
                <w:rFonts w:ascii="宋体" w:hAnsi="宋体" w:cs="宋体"/>
                <w:color w:val="auto"/>
                <w:szCs w:val="22"/>
                <w:highlight w:val="none"/>
              </w:rPr>
              <w:t>8</w:t>
            </w:r>
          </w:p>
        </w:tc>
        <w:tc>
          <w:tcPr>
            <w:tcW w:w="1357" w:type="dxa"/>
            <w:tcBorders>
              <w:top w:val="single" w:color="000000" w:sz="4" w:space="0"/>
              <w:left w:val="single" w:color="000000" w:sz="4" w:space="0"/>
              <w:bottom w:val="single" w:color="auto" w:sz="4" w:space="0"/>
              <w:right w:val="single" w:color="000000" w:sz="4" w:space="0"/>
            </w:tcBorders>
            <w:shd w:val="clear" w:color="auto" w:fill="auto"/>
            <w:vAlign w:val="center"/>
          </w:tcPr>
          <w:p w14:paraId="0D54DF86">
            <w:pPr>
              <w:adjustRightInd w:val="0"/>
              <w:snapToGrid w:val="0"/>
              <w:spacing w:line="360" w:lineRule="exact"/>
              <w:jc w:val="center"/>
              <w:rPr>
                <w:rFonts w:ascii="宋体" w:hAnsi="宋体" w:eastAsia="宋体" w:cs="宋体"/>
                <w:bCs/>
                <w:color w:val="auto"/>
                <w:kern w:val="0"/>
                <w:sz w:val="22"/>
                <w:szCs w:val="22"/>
                <w:highlight w:val="none"/>
                <w:lang w:val="en-US" w:eastAsia="zh-CN" w:bidi="ar-SA"/>
              </w:rPr>
            </w:pPr>
            <w:r>
              <w:rPr>
                <w:rFonts w:hint="eastAsia" w:cs="仿宋" w:asciiTheme="majorEastAsia" w:hAnsiTheme="majorEastAsia" w:eastAsiaTheme="majorEastAsia"/>
                <w:color w:val="auto"/>
                <w:szCs w:val="22"/>
                <w:highlight w:val="none"/>
                <w:shd w:val="clear" w:color="auto" w:fill="FFFFFF"/>
              </w:rPr>
              <w:t>建筑设施及照明设备维护方案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AFB9">
            <w:pPr>
              <w:adjustRightInd w:val="0"/>
              <w:snapToGrid w:val="0"/>
              <w:spacing w:line="360" w:lineRule="exact"/>
              <w:jc w:val="center"/>
              <w:rPr>
                <w:rFonts w:ascii="Times New Roman" w:hAnsi="Times New Roman" w:eastAsia="宋体" w:cs="Times New Roman"/>
                <w:color w:val="auto"/>
                <w:kern w:val="0"/>
                <w:sz w:val="22"/>
                <w:szCs w:val="22"/>
                <w:highlight w:val="none"/>
                <w:lang w:val="en-US" w:eastAsia="zh-CN" w:bidi="ar-SA"/>
              </w:rPr>
            </w:pPr>
            <w:r>
              <w:rPr>
                <w:rFonts w:hint="eastAsia"/>
                <w:color w:val="auto"/>
                <w:kern w:val="0"/>
                <w:szCs w:val="21"/>
                <w:highlight w:val="none"/>
              </w:rPr>
              <w:t>0-</w:t>
            </w:r>
            <w:r>
              <w:rPr>
                <w:rFonts w:hint="eastAsia"/>
                <w:color w:val="auto"/>
                <w:kern w:val="0"/>
                <w:szCs w:val="21"/>
                <w:highlight w:val="none"/>
                <w:lang w:val="en-US" w:eastAsia="zh-CN"/>
              </w:rPr>
              <w:t>5</w:t>
            </w:r>
            <w:r>
              <w:rPr>
                <w:rFonts w:hint="eastAsia"/>
                <w:color w:val="auto"/>
                <w:kern w:val="0"/>
                <w:szCs w:val="21"/>
                <w:highlight w:val="none"/>
              </w:rPr>
              <w:t>分</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95B5">
            <w:pPr>
              <w:widowControl/>
              <w:spacing w:line="400" w:lineRule="exact"/>
              <w:textAlignment w:val="bottom"/>
              <w:rPr>
                <w:rFonts w:hint="eastAsia" w:cs="仿宋" w:asciiTheme="majorEastAsia" w:hAnsiTheme="majorEastAsia" w:eastAsiaTheme="majorEastAsia"/>
                <w:color w:val="auto"/>
                <w:szCs w:val="22"/>
                <w:highlight w:val="none"/>
                <w:shd w:val="clear" w:color="auto" w:fill="FFFFFF"/>
                <w:lang w:eastAsia="zh-CN"/>
              </w:rPr>
            </w:pPr>
            <w:r>
              <w:rPr>
                <w:rFonts w:hint="eastAsia" w:cs="仿宋" w:asciiTheme="majorEastAsia" w:hAnsiTheme="majorEastAsia" w:eastAsiaTheme="majorEastAsia"/>
                <w:color w:val="auto"/>
                <w:szCs w:val="22"/>
                <w:highlight w:val="none"/>
                <w:shd w:val="clear" w:color="auto" w:fill="FFFFFF"/>
              </w:rPr>
              <w:t>建筑设施及照明设备维护方案分组织保障措施（包括维护时间范围、人员安排）、维护重点难点（包括维护过程中碰到发生的问题等）分析、维护重点难点解决方案、维护质量保证措施（包括验收标准、日常检查、与业主配合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5,4，3，2，1，0</w:t>
            </w:r>
            <w:r>
              <w:rPr>
                <w:rFonts w:hint="eastAsia" w:ascii="宋体" w:hAnsi="宋体" w:cs="宋体"/>
                <w:bCs/>
                <w:color w:val="auto"/>
                <w:szCs w:val="21"/>
                <w:highlight w:val="none"/>
                <w:lang w:eastAsia="zh-CN"/>
              </w:rPr>
              <w:t>）</w:t>
            </w:r>
          </w:p>
          <w:p w14:paraId="6512AEF7">
            <w:pPr>
              <w:widowControl/>
              <w:spacing w:line="400" w:lineRule="exact"/>
              <w:textAlignment w:val="bottom"/>
              <w:rPr>
                <w:rFonts w:ascii="宋体" w:hAnsi="宋体" w:eastAsia="宋体" w:cs="宋体"/>
                <w:bCs/>
                <w:color w:val="auto"/>
                <w:kern w:val="2"/>
                <w:sz w:val="22"/>
                <w:szCs w:val="22"/>
                <w:highlight w:val="none"/>
                <w:lang w:val="en-US" w:eastAsia="zh-CN" w:bidi="ar-SA"/>
              </w:rPr>
            </w:pPr>
            <w:r>
              <w:rPr>
                <w:rFonts w:hint="eastAsia" w:ascii="宋体" w:hAnsi="宋体"/>
                <w:color w:val="auto"/>
                <w:spacing w:val="-4"/>
                <w:kern w:val="0"/>
                <w:szCs w:val="22"/>
                <w:highlight w:val="none"/>
              </w:rPr>
              <w:t>未提供方案不得分。</w:t>
            </w:r>
          </w:p>
        </w:tc>
      </w:tr>
      <w:tr w14:paraId="38C1A7D8">
        <w:tblPrEx>
          <w:tblCellMar>
            <w:top w:w="0" w:type="dxa"/>
            <w:left w:w="108" w:type="dxa"/>
            <w:bottom w:w="0" w:type="dxa"/>
            <w:right w:w="108" w:type="dxa"/>
          </w:tblCellMar>
        </w:tblPrEx>
        <w:trPr>
          <w:trHeight w:val="98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3A69CF89">
            <w:pPr>
              <w:adjustRightInd w:val="0"/>
              <w:snapToGrid w:val="0"/>
              <w:spacing w:line="360" w:lineRule="exact"/>
              <w:jc w:val="center"/>
              <w:rPr>
                <w:rFonts w:ascii="宋体" w:hAnsi="宋体" w:cs="宋体"/>
                <w:color w:val="auto"/>
                <w:szCs w:val="22"/>
                <w:highlight w:val="none"/>
              </w:rPr>
            </w:pPr>
            <w:r>
              <w:rPr>
                <w:rFonts w:ascii="宋体" w:hAnsi="宋体" w:cs="宋体"/>
                <w:color w:val="auto"/>
                <w:szCs w:val="22"/>
                <w:highlight w:val="none"/>
              </w:rPr>
              <w:t>9</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6789AB5F">
            <w:pPr>
              <w:adjustRightInd w:val="0"/>
              <w:snapToGrid w:val="0"/>
              <w:spacing w:line="36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安全作业方案</w:t>
            </w:r>
          </w:p>
        </w:tc>
        <w:tc>
          <w:tcPr>
            <w:tcW w:w="1091" w:type="dxa"/>
            <w:tcBorders>
              <w:top w:val="single" w:color="000000" w:sz="4" w:space="0"/>
              <w:left w:val="single" w:color="auto" w:sz="4" w:space="0"/>
              <w:bottom w:val="single" w:color="000000" w:sz="4" w:space="0"/>
              <w:right w:val="single" w:color="000000" w:sz="4" w:space="0"/>
            </w:tcBorders>
            <w:shd w:val="clear" w:color="auto" w:fill="auto"/>
            <w:vAlign w:val="center"/>
          </w:tcPr>
          <w:p w14:paraId="34013E7A">
            <w:pPr>
              <w:adjustRightInd w:val="0"/>
              <w:snapToGrid w:val="0"/>
              <w:spacing w:line="360" w:lineRule="exact"/>
              <w:jc w:val="center"/>
              <w:rPr>
                <w:rFonts w:ascii="宋体" w:hAnsi="宋体" w:eastAsia="宋体" w:cs="宋体"/>
                <w:color w:val="auto"/>
                <w:kern w:val="2"/>
                <w:sz w:val="22"/>
                <w:szCs w:val="22"/>
                <w:highlight w:val="none"/>
                <w:lang w:val="en-US" w:eastAsia="zh-CN" w:bidi="ar-SA"/>
              </w:rPr>
            </w:pPr>
            <w:r>
              <w:rPr>
                <w:color w:val="auto"/>
                <w:kern w:val="0"/>
                <w:szCs w:val="21"/>
                <w:highlight w:val="none"/>
              </w:rPr>
              <w:t>0-</w:t>
            </w:r>
            <w:r>
              <w:rPr>
                <w:rFonts w:hint="eastAsia"/>
                <w:color w:val="auto"/>
                <w:kern w:val="0"/>
                <w:szCs w:val="21"/>
                <w:highlight w:val="none"/>
                <w:lang w:val="en-US" w:eastAsia="zh-CN"/>
              </w:rPr>
              <w:t>5</w:t>
            </w:r>
            <w:r>
              <w:rPr>
                <w:rFonts w:hint="eastAsia"/>
                <w:color w:val="auto"/>
                <w:kern w:val="0"/>
                <w:szCs w:val="21"/>
                <w:highlight w:val="none"/>
              </w:rPr>
              <w:t>分</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top"/>
          </w:tcPr>
          <w:p w14:paraId="3CD20E8D">
            <w:pPr>
              <w:adjustRightInd w:val="0"/>
              <w:snapToGrid w:val="0"/>
              <w:spacing w:line="400" w:lineRule="exact"/>
              <w:jc w:val="left"/>
              <w:rPr>
                <w:rFonts w:hint="eastAsia" w:ascii="宋体" w:hAnsi="宋体" w:cs="宋体"/>
                <w:bCs/>
                <w:color w:val="auto"/>
                <w:szCs w:val="22"/>
                <w:highlight w:val="none"/>
                <w:lang w:eastAsia="zh-CN"/>
              </w:rPr>
            </w:pPr>
            <w:r>
              <w:rPr>
                <w:rFonts w:hint="eastAsia" w:ascii="宋体" w:hAnsi="宋体" w:cs="宋体"/>
                <w:bCs/>
                <w:color w:val="auto"/>
                <w:szCs w:val="22"/>
                <w:highlight w:val="none"/>
              </w:rPr>
              <w:t>安全作业（包括但不限于车辆安全、人员安全、作业安全等）保障方案</w:t>
            </w:r>
            <w:r>
              <w:rPr>
                <w:rFonts w:hint="eastAsia" w:ascii="宋体" w:hAnsi="宋体" w:cs="宋体"/>
                <w:color w:val="auto"/>
                <w:szCs w:val="22"/>
                <w:highlight w:val="none"/>
              </w:rPr>
              <w:t>。</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5,4，3，2，1，0</w:t>
            </w:r>
            <w:r>
              <w:rPr>
                <w:rFonts w:hint="eastAsia" w:ascii="宋体" w:hAnsi="宋体" w:cs="宋体"/>
                <w:bCs/>
                <w:color w:val="auto"/>
                <w:szCs w:val="21"/>
                <w:highlight w:val="none"/>
                <w:lang w:eastAsia="zh-CN"/>
              </w:rPr>
              <w:t>）</w:t>
            </w:r>
          </w:p>
          <w:p w14:paraId="00B446E7">
            <w:pPr>
              <w:adjustRightInd w:val="0"/>
              <w:snapToGrid w:val="0"/>
              <w:spacing w:line="400" w:lineRule="exact"/>
              <w:jc w:val="left"/>
              <w:rPr>
                <w:rFonts w:ascii="宋体" w:hAnsi="宋体" w:eastAsia="宋体" w:cs="宋体"/>
                <w:color w:val="auto"/>
                <w:kern w:val="2"/>
                <w:sz w:val="22"/>
                <w:szCs w:val="22"/>
                <w:highlight w:val="none"/>
                <w:lang w:val="en-US" w:eastAsia="zh-CN" w:bidi="ar-SA"/>
              </w:rPr>
            </w:pPr>
            <w:r>
              <w:rPr>
                <w:rFonts w:hint="eastAsia" w:ascii="宋体" w:hAnsi="宋体"/>
                <w:color w:val="auto"/>
                <w:spacing w:val="-4"/>
                <w:kern w:val="0"/>
                <w:szCs w:val="22"/>
                <w:highlight w:val="none"/>
              </w:rPr>
              <w:t>未提供方案不得分。</w:t>
            </w:r>
          </w:p>
        </w:tc>
      </w:tr>
      <w:tr w14:paraId="40FC77BD">
        <w:tblPrEx>
          <w:tblCellMar>
            <w:top w:w="0" w:type="dxa"/>
            <w:left w:w="108" w:type="dxa"/>
            <w:bottom w:w="0" w:type="dxa"/>
            <w:right w:w="108" w:type="dxa"/>
          </w:tblCellMar>
        </w:tblPrEx>
        <w:trPr>
          <w:trHeight w:val="98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2C10527A">
            <w:pPr>
              <w:adjustRightInd w:val="0"/>
              <w:snapToGrid w:val="0"/>
              <w:spacing w:line="360" w:lineRule="exact"/>
              <w:jc w:val="center"/>
              <w:rPr>
                <w:rFonts w:ascii="宋体" w:hAnsi="宋体" w:cs="宋体"/>
                <w:color w:val="auto"/>
                <w:szCs w:val="22"/>
                <w:highlight w:val="none"/>
              </w:rPr>
            </w:pPr>
            <w:r>
              <w:rPr>
                <w:rFonts w:ascii="宋体" w:hAnsi="宋体" w:cs="宋体"/>
                <w:color w:val="auto"/>
                <w:szCs w:val="22"/>
                <w:highlight w:val="none"/>
              </w:rPr>
              <w:t>10</w:t>
            </w:r>
          </w:p>
        </w:tc>
        <w:tc>
          <w:tcPr>
            <w:tcW w:w="1357" w:type="dxa"/>
            <w:tcBorders>
              <w:top w:val="single" w:color="auto" w:sz="4" w:space="0"/>
              <w:left w:val="single" w:color="auto" w:sz="4" w:space="0"/>
              <w:bottom w:val="single" w:color="auto" w:sz="4" w:space="0"/>
              <w:right w:val="single" w:color="000000" w:sz="4" w:space="0"/>
            </w:tcBorders>
            <w:shd w:val="clear" w:color="auto" w:fill="auto"/>
            <w:vAlign w:val="center"/>
          </w:tcPr>
          <w:p w14:paraId="09E37739">
            <w:pPr>
              <w:adjustRightInd w:val="0"/>
              <w:snapToGrid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bCs/>
                <w:color w:val="auto"/>
                <w:kern w:val="0"/>
                <w:szCs w:val="21"/>
                <w:highlight w:val="none"/>
              </w:rPr>
              <w:t>绿化养护方案</w:t>
            </w:r>
          </w:p>
        </w:tc>
        <w:tc>
          <w:tcPr>
            <w:tcW w:w="1091" w:type="dxa"/>
            <w:tcBorders>
              <w:top w:val="single" w:color="000000" w:sz="4" w:space="0"/>
              <w:left w:val="single" w:color="000000" w:sz="4" w:space="0"/>
              <w:bottom w:val="single" w:color="auto" w:sz="4" w:space="0"/>
              <w:right w:val="single" w:color="000000" w:sz="4" w:space="0"/>
            </w:tcBorders>
            <w:shd w:val="clear" w:color="auto" w:fill="auto"/>
            <w:vAlign w:val="center"/>
          </w:tcPr>
          <w:p w14:paraId="2C9B03AF">
            <w:pPr>
              <w:adjustRightInd w:val="0"/>
              <w:snapToGrid w:val="0"/>
              <w:spacing w:line="360" w:lineRule="exact"/>
              <w:jc w:val="center"/>
              <w:rPr>
                <w:rFonts w:ascii="Times New Roman" w:hAnsi="Times New Roman" w:eastAsia="宋体" w:cs="Times New Roman"/>
                <w:color w:val="auto"/>
                <w:kern w:val="0"/>
                <w:sz w:val="22"/>
                <w:szCs w:val="21"/>
                <w:highlight w:val="none"/>
                <w:lang w:val="en-US" w:eastAsia="zh-CN" w:bidi="ar-SA"/>
              </w:rPr>
            </w:pPr>
            <w:r>
              <w:rPr>
                <w:rFonts w:hint="eastAsia"/>
                <w:color w:val="auto"/>
                <w:kern w:val="0"/>
                <w:szCs w:val="21"/>
                <w:highlight w:val="none"/>
              </w:rPr>
              <w:t>0-</w:t>
            </w:r>
            <w:r>
              <w:rPr>
                <w:rFonts w:hint="eastAsia"/>
                <w:color w:val="auto"/>
                <w:kern w:val="0"/>
                <w:szCs w:val="21"/>
                <w:highlight w:val="none"/>
                <w:lang w:val="en-US" w:eastAsia="zh-CN"/>
              </w:rPr>
              <w:t>4</w:t>
            </w:r>
            <w:r>
              <w:rPr>
                <w:rFonts w:hint="eastAsia"/>
                <w:color w:val="auto"/>
                <w:kern w:val="0"/>
                <w:szCs w:val="21"/>
                <w:highlight w:val="none"/>
              </w:rPr>
              <w:t>分</w:t>
            </w:r>
          </w:p>
        </w:tc>
        <w:tc>
          <w:tcPr>
            <w:tcW w:w="6603" w:type="dxa"/>
            <w:tcBorders>
              <w:top w:val="single" w:color="000000" w:sz="4" w:space="0"/>
              <w:left w:val="single" w:color="000000" w:sz="4" w:space="0"/>
              <w:bottom w:val="single" w:color="auto" w:sz="4" w:space="0"/>
              <w:right w:val="single" w:color="000000" w:sz="4" w:space="0"/>
            </w:tcBorders>
            <w:shd w:val="clear" w:color="auto" w:fill="auto"/>
            <w:vAlign w:val="center"/>
          </w:tcPr>
          <w:p w14:paraId="7BF56B68">
            <w:pPr>
              <w:spacing w:line="400" w:lineRule="exact"/>
              <w:ind w:firstLine="17" w:firstLineChars="8"/>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绿化养护方案分组织保障措施（包括人员及设施安排、养护范围及内容等）、绿化养护重点难点分析（在养护过程中碰到发生的问题等）、绿化养护重点难点解决方案、绿化养护质量保证措施（包括养护的标准、与业主配合等）。</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lang w:val="en-US" w:eastAsia="zh-CN"/>
              </w:rPr>
              <w:t>4,3.2,2.4,1.6,0.8，0</w:t>
            </w:r>
            <w:r>
              <w:rPr>
                <w:rFonts w:hint="eastAsia" w:ascii="宋体" w:hAnsi="宋体" w:cs="宋体"/>
                <w:bCs/>
                <w:color w:val="auto"/>
                <w:szCs w:val="22"/>
                <w:highlight w:val="none"/>
                <w:lang w:eastAsia="zh-CN"/>
              </w:rPr>
              <w:t>）</w:t>
            </w:r>
          </w:p>
          <w:p w14:paraId="48E5D68E">
            <w:pPr>
              <w:adjustRightInd w:val="0"/>
              <w:snapToGrid w:val="0"/>
              <w:spacing w:line="400" w:lineRule="exact"/>
              <w:jc w:val="left"/>
              <w:rPr>
                <w:rFonts w:hint="eastAsia" w:ascii="宋体" w:hAnsi="宋体" w:eastAsia="宋体" w:cs="Times New Roman"/>
                <w:color w:val="auto"/>
                <w:spacing w:val="-4"/>
                <w:kern w:val="0"/>
                <w:sz w:val="22"/>
                <w:szCs w:val="22"/>
                <w:highlight w:val="none"/>
                <w:lang w:val="en-US" w:eastAsia="zh-CN" w:bidi="ar-SA"/>
              </w:rPr>
            </w:pPr>
            <w:r>
              <w:rPr>
                <w:rFonts w:hint="eastAsia" w:ascii="宋体" w:hAnsi="宋体"/>
                <w:color w:val="auto"/>
                <w:spacing w:val="-4"/>
                <w:kern w:val="0"/>
                <w:szCs w:val="22"/>
                <w:highlight w:val="none"/>
              </w:rPr>
              <w:t>未提供方案不得分。</w:t>
            </w:r>
          </w:p>
        </w:tc>
      </w:tr>
      <w:tr w14:paraId="22A2D091">
        <w:tblPrEx>
          <w:tblCellMar>
            <w:top w:w="0" w:type="dxa"/>
            <w:left w:w="108" w:type="dxa"/>
            <w:bottom w:w="0" w:type="dxa"/>
            <w:right w:w="108" w:type="dxa"/>
          </w:tblCellMar>
        </w:tblPrEx>
        <w:trPr>
          <w:trHeight w:val="50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2B584CAE">
            <w:pPr>
              <w:adjustRightInd w:val="0"/>
              <w:snapToGrid w:val="0"/>
              <w:spacing w:line="360" w:lineRule="exact"/>
              <w:jc w:val="center"/>
              <w:rPr>
                <w:rFonts w:ascii="宋体" w:hAnsi="宋体" w:cs="宋体"/>
                <w:color w:val="auto"/>
                <w:szCs w:val="22"/>
                <w:highlight w:val="none"/>
              </w:rPr>
            </w:pPr>
            <w:r>
              <w:rPr>
                <w:rFonts w:ascii="宋体" w:hAnsi="宋体" w:cs="宋体"/>
                <w:color w:val="auto"/>
                <w:szCs w:val="22"/>
                <w:highlight w:val="none"/>
              </w:rPr>
              <w:t>11</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740379C4">
            <w:pPr>
              <w:adjustRightInd w:val="0"/>
              <w:snapToGrid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Cs w:val="22"/>
                <w:highlight w:val="none"/>
              </w:rPr>
              <w:t>应对突发事情的响应及处理方案</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7A050283">
            <w:pPr>
              <w:adjustRightInd w:val="0"/>
              <w:snapToGrid w:val="0"/>
              <w:spacing w:line="360" w:lineRule="exact"/>
              <w:jc w:val="center"/>
              <w:rPr>
                <w:rFonts w:ascii="宋体" w:hAnsi="宋体" w:eastAsia="宋体" w:cs="宋体"/>
                <w:color w:val="auto"/>
                <w:kern w:val="2"/>
                <w:sz w:val="22"/>
                <w:szCs w:val="22"/>
                <w:highlight w:val="none"/>
                <w:lang w:val="en-US" w:eastAsia="zh-CN" w:bidi="ar-SA"/>
              </w:rPr>
            </w:pPr>
            <w:r>
              <w:rPr>
                <w:color w:val="auto"/>
                <w:kern w:val="0"/>
                <w:szCs w:val="21"/>
                <w:highlight w:val="none"/>
              </w:rPr>
              <w:t>0-4</w:t>
            </w:r>
            <w:r>
              <w:rPr>
                <w:rFonts w:hint="eastAsia"/>
                <w:color w:val="auto"/>
                <w:kern w:val="0"/>
                <w:szCs w:val="21"/>
                <w:highlight w:val="none"/>
              </w:rPr>
              <w:t>分</w:t>
            </w:r>
          </w:p>
        </w:tc>
        <w:tc>
          <w:tcPr>
            <w:tcW w:w="6603" w:type="dxa"/>
            <w:tcBorders>
              <w:top w:val="single" w:color="auto" w:sz="4" w:space="0"/>
              <w:left w:val="single" w:color="auto" w:sz="4" w:space="0"/>
              <w:bottom w:val="single" w:color="auto" w:sz="4" w:space="0"/>
              <w:right w:val="single" w:color="auto" w:sz="4" w:space="0"/>
            </w:tcBorders>
            <w:shd w:val="clear" w:color="auto" w:fill="auto"/>
            <w:vAlign w:val="center"/>
          </w:tcPr>
          <w:p w14:paraId="327A8539">
            <w:pPr>
              <w:adjustRightInd w:val="0"/>
              <w:snapToGrid w:val="0"/>
              <w:spacing w:line="400" w:lineRule="exact"/>
              <w:rPr>
                <w:rFonts w:ascii="宋体" w:hAnsi="宋体" w:cs="宋体"/>
                <w:color w:val="auto"/>
                <w:szCs w:val="22"/>
                <w:highlight w:val="none"/>
              </w:rPr>
            </w:pPr>
            <w:r>
              <w:rPr>
                <w:rFonts w:hint="eastAsia" w:ascii="宋体" w:hAnsi="宋体" w:cs="宋体"/>
                <w:color w:val="auto"/>
                <w:szCs w:val="22"/>
                <w:highlight w:val="none"/>
              </w:rPr>
              <w:t>应对应急（抗雪防冻、防台防汛、高温防暑）、突发事件的响应及处理方案。</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lang w:val="en-US" w:eastAsia="zh-CN"/>
              </w:rPr>
              <w:t>4,3.2,2.4,1.6,0.8，0</w:t>
            </w:r>
            <w:r>
              <w:rPr>
                <w:rFonts w:hint="eastAsia" w:ascii="宋体" w:hAnsi="宋体" w:cs="宋体"/>
                <w:bCs/>
                <w:color w:val="auto"/>
                <w:szCs w:val="22"/>
                <w:highlight w:val="none"/>
                <w:lang w:eastAsia="zh-CN"/>
              </w:rPr>
              <w:t>）</w:t>
            </w:r>
          </w:p>
          <w:p w14:paraId="3D125CB1">
            <w:pPr>
              <w:adjustRightInd w:val="0"/>
              <w:snapToGrid w:val="0"/>
              <w:spacing w:line="400" w:lineRule="exact"/>
              <w:ind w:firstLine="212" w:firstLineChars="100"/>
              <w:rPr>
                <w:rFonts w:hint="eastAsia" w:ascii="宋体" w:hAnsi="宋体" w:eastAsia="宋体" w:cs="宋体"/>
                <w:color w:val="auto"/>
                <w:kern w:val="2"/>
                <w:sz w:val="22"/>
                <w:szCs w:val="22"/>
                <w:highlight w:val="none"/>
                <w:lang w:val="en-US" w:eastAsia="zh-CN" w:bidi="ar-SA"/>
              </w:rPr>
            </w:pPr>
            <w:r>
              <w:rPr>
                <w:rFonts w:hint="eastAsia" w:ascii="宋体" w:hAnsi="宋体"/>
                <w:color w:val="auto"/>
                <w:spacing w:val="-4"/>
                <w:kern w:val="0"/>
                <w:szCs w:val="22"/>
                <w:highlight w:val="none"/>
              </w:rPr>
              <w:t>未提供方案不得分。</w:t>
            </w:r>
          </w:p>
        </w:tc>
      </w:tr>
      <w:tr w14:paraId="4E3E67C7">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5129171A">
            <w:pPr>
              <w:adjustRightInd w:val="0"/>
              <w:snapToGrid w:val="0"/>
              <w:spacing w:line="360" w:lineRule="exact"/>
              <w:jc w:val="center"/>
              <w:rPr>
                <w:rFonts w:ascii="宋体" w:hAnsi="宋体" w:eastAsia="宋体" w:cs="宋体"/>
                <w:color w:val="auto"/>
                <w:kern w:val="2"/>
                <w:sz w:val="22"/>
                <w:szCs w:val="22"/>
                <w:highlight w:val="none"/>
                <w:lang w:val="en-US" w:eastAsia="zh-CN" w:bidi="ar-SA"/>
              </w:rPr>
            </w:pPr>
            <w:r>
              <w:rPr>
                <w:rFonts w:ascii="宋体" w:hAnsi="宋体" w:cs="宋体"/>
                <w:color w:val="auto"/>
                <w:szCs w:val="22"/>
                <w:highlight w:val="none"/>
              </w:rPr>
              <w:t>12</w:t>
            </w:r>
          </w:p>
        </w:tc>
        <w:tc>
          <w:tcPr>
            <w:tcW w:w="1357" w:type="dxa"/>
            <w:tcBorders>
              <w:top w:val="single" w:color="auto" w:sz="4" w:space="0"/>
              <w:left w:val="single" w:color="auto" w:sz="4" w:space="0"/>
              <w:right w:val="single" w:color="000000" w:sz="4" w:space="0"/>
            </w:tcBorders>
            <w:shd w:val="clear" w:color="auto" w:fill="auto"/>
            <w:vAlign w:val="center"/>
          </w:tcPr>
          <w:p w14:paraId="3308479E">
            <w:pPr>
              <w:adjustRightInd w:val="0"/>
              <w:snapToGrid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color w:val="auto"/>
                <w:highlight w:val="none"/>
              </w:rPr>
              <w:t>企业内部管理方案</w:t>
            </w:r>
          </w:p>
        </w:tc>
        <w:tc>
          <w:tcPr>
            <w:tcW w:w="1091" w:type="dxa"/>
            <w:tcBorders>
              <w:top w:val="single" w:color="auto" w:sz="4" w:space="0"/>
              <w:left w:val="single" w:color="000000" w:sz="4" w:space="0"/>
              <w:bottom w:val="single" w:color="000000" w:sz="4" w:space="0"/>
              <w:right w:val="single" w:color="000000" w:sz="4" w:space="0"/>
            </w:tcBorders>
            <w:shd w:val="clear" w:color="auto" w:fill="auto"/>
            <w:vAlign w:val="center"/>
          </w:tcPr>
          <w:p w14:paraId="244DF44E">
            <w:pPr>
              <w:adjustRightInd w:val="0"/>
              <w:snapToGrid w:val="0"/>
              <w:spacing w:line="360" w:lineRule="exact"/>
              <w:jc w:val="center"/>
              <w:rPr>
                <w:rFonts w:ascii="宋体" w:hAnsi="宋体" w:eastAsia="宋体" w:cs="宋体"/>
                <w:color w:val="auto"/>
                <w:kern w:val="2"/>
                <w:sz w:val="22"/>
                <w:szCs w:val="22"/>
                <w:highlight w:val="none"/>
                <w:lang w:val="en-US" w:eastAsia="zh-CN" w:bidi="ar-SA"/>
              </w:rPr>
            </w:pPr>
            <w:r>
              <w:rPr>
                <w:rFonts w:hint="eastAsia"/>
                <w:color w:val="auto"/>
                <w:kern w:val="0"/>
                <w:szCs w:val="21"/>
                <w:highlight w:val="none"/>
              </w:rPr>
              <w:t>0-</w:t>
            </w:r>
            <w:r>
              <w:rPr>
                <w:rFonts w:hint="eastAsia"/>
                <w:color w:val="auto"/>
                <w:kern w:val="0"/>
                <w:szCs w:val="21"/>
                <w:highlight w:val="none"/>
                <w:lang w:val="en-US" w:eastAsia="zh-CN"/>
              </w:rPr>
              <w:t>4</w:t>
            </w:r>
            <w:r>
              <w:rPr>
                <w:rFonts w:hint="eastAsia"/>
                <w:color w:val="auto"/>
                <w:kern w:val="0"/>
                <w:szCs w:val="21"/>
                <w:highlight w:val="none"/>
              </w:rPr>
              <w:t>分</w:t>
            </w:r>
          </w:p>
        </w:tc>
        <w:tc>
          <w:tcPr>
            <w:tcW w:w="6603" w:type="dxa"/>
            <w:tcBorders>
              <w:top w:val="single" w:color="auto" w:sz="4" w:space="0"/>
              <w:left w:val="single" w:color="000000" w:sz="4" w:space="0"/>
              <w:bottom w:val="single" w:color="000000" w:sz="4" w:space="0"/>
              <w:right w:val="single" w:color="000000" w:sz="4" w:space="0"/>
            </w:tcBorders>
            <w:shd w:val="clear" w:color="auto" w:fill="auto"/>
            <w:vAlign w:val="center"/>
          </w:tcPr>
          <w:p w14:paraId="414AB3C3">
            <w:pPr>
              <w:adjustRightInd w:val="0"/>
              <w:snapToGrid w:val="0"/>
              <w:spacing w:line="400" w:lineRule="exact"/>
              <w:ind w:firstLine="220" w:firstLineChars="100"/>
              <w:jc w:val="left"/>
              <w:rPr>
                <w:color w:val="auto"/>
                <w:highlight w:val="none"/>
              </w:rPr>
            </w:pPr>
            <w:r>
              <w:rPr>
                <w:rFonts w:hint="eastAsia"/>
                <w:color w:val="auto"/>
                <w:highlight w:val="none"/>
              </w:rPr>
              <w:t>企业保洁、绿化养护、堤防标准化管理及建筑设施维护、档案管理制度、员工各项管理制度等。</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lang w:val="en-US" w:eastAsia="zh-CN"/>
              </w:rPr>
              <w:t>4,3.2,2.4,1.6,0.8，0</w:t>
            </w:r>
            <w:r>
              <w:rPr>
                <w:rFonts w:hint="eastAsia" w:ascii="宋体" w:hAnsi="宋体" w:cs="宋体"/>
                <w:bCs/>
                <w:color w:val="auto"/>
                <w:szCs w:val="22"/>
                <w:highlight w:val="none"/>
                <w:lang w:eastAsia="zh-CN"/>
              </w:rPr>
              <w:t>）</w:t>
            </w:r>
          </w:p>
          <w:p w14:paraId="432A78D5">
            <w:pPr>
              <w:adjustRightInd w:val="0"/>
              <w:snapToGrid w:val="0"/>
              <w:spacing w:line="400" w:lineRule="exact"/>
              <w:ind w:firstLine="212" w:firstLineChars="100"/>
              <w:rPr>
                <w:rFonts w:hint="eastAsia" w:ascii="宋体" w:hAnsi="宋体" w:eastAsia="宋体" w:cs="宋体"/>
                <w:color w:val="auto"/>
                <w:kern w:val="2"/>
                <w:sz w:val="22"/>
                <w:szCs w:val="22"/>
                <w:highlight w:val="none"/>
                <w:lang w:val="en-US" w:eastAsia="zh-CN" w:bidi="ar-SA"/>
              </w:rPr>
            </w:pPr>
            <w:r>
              <w:rPr>
                <w:rFonts w:hint="eastAsia" w:ascii="宋体" w:hAnsi="宋体"/>
                <w:color w:val="auto"/>
                <w:spacing w:val="-4"/>
                <w:kern w:val="0"/>
                <w:szCs w:val="22"/>
                <w:highlight w:val="none"/>
              </w:rPr>
              <w:t>未提供方案不得分。</w:t>
            </w:r>
          </w:p>
        </w:tc>
      </w:tr>
      <w:tr w14:paraId="40C4405D">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2DA3ABAC">
            <w:pPr>
              <w:adjustRightInd w:val="0"/>
              <w:snapToGrid w:val="0"/>
              <w:spacing w:line="360" w:lineRule="exact"/>
              <w:jc w:val="center"/>
              <w:rPr>
                <w:rFonts w:ascii="宋体" w:hAnsi="宋体" w:eastAsia="宋体" w:cs="宋体"/>
                <w:color w:val="auto"/>
                <w:kern w:val="2"/>
                <w:sz w:val="22"/>
                <w:szCs w:val="22"/>
                <w:highlight w:val="none"/>
                <w:lang w:val="en-US" w:eastAsia="zh-CN" w:bidi="ar-SA"/>
              </w:rPr>
            </w:pPr>
            <w:r>
              <w:rPr>
                <w:rFonts w:ascii="宋体" w:hAnsi="宋体" w:cs="宋体"/>
                <w:color w:val="auto"/>
                <w:szCs w:val="22"/>
                <w:highlight w:val="none"/>
              </w:rPr>
              <w:t>13</w:t>
            </w:r>
          </w:p>
        </w:tc>
        <w:tc>
          <w:tcPr>
            <w:tcW w:w="1357" w:type="dxa"/>
            <w:tcBorders>
              <w:top w:val="single" w:color="000000" w:sz="4" w:space="0"/>
              <w:left w:val="single" w:color="auto" w:sz="4" w:space="0"/>
              <w:bottom w:val="single" w:color="000000" w:sz="4" w:space="0"/>
              <w:right w:val="single" w:color="000000" w:sz="4" w:space="0"/>
            </w:tcBorders>
            <w:shd w:val="clear" w:color="auto" w:fill="auto"/>
            <w:vAlign w:val="center"/>
          </w:tcPr>
          <w:p w14:paraId="338E7F93">
            <w:pPr>
              <w:adjustRightInd w:val="0"/>
              <w:snapToGrid w:val="0"/>
              <w:spacing w:line="36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bCs/>
                <w:color w:val="auto"/>
                <w:szCs w:val="21"/>
                <w:highlight w:val="none"/>
              </w:rPr>
              <w:t>服务及优惠承诺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21B7">
            <w:pPr>
              <w:adjustRightInd w:val="0"/>
              <w:snapToGrid w:val="0"/>
              <w:spacing w:line="360" w:lineRule="exact"/>
              <w:jc w:val="center"/>
              <w:rPr>
                <w:rFonts w:ascii="宋体" w:hAnsi="宋体" w:eastAsia="宋体" w:cs="宋体"/>
                <w:color w:val="auto"/>
                <w:kern w:val="2"/>
                <w:sz w:val="22"/>
                <w:szCs w:val="22"/>
                <w:highlight w:val="none"/>
                <w:lang w:val="en-US" w:eastAsia="zh-CN" w:bidi="ar-SA"/>
              </w:rPr>
            </w:pPr>
            <w:r>
              <w:rPr>
                <w:rFonts w:hint="eastAsia"/>
                <w:color w:val="auto"/>
                <w:kern w:val="0"/>
                <w:szCs w:val="21"/>
                <w:highlight w:val="none"/>
              </w:rPr>
              <w:t>0-</w:t>
            </w:r>
            <w:r>
              <w:rPr>
                <w:rFonts w:hint="eastAsia"/>
                <w:color w:val="auto"/>
                <w:kern w:val="0"/>
                <w:szCs w:val="21"/>
                <w:highlight w:val="none"/>
                <w:lang w:val="en-US" w:eastAsia="zh-CN"/>
              </w:rPr>
              <w:t>2</w:t>
            </w:r>
            <w:r>
              <w:rPr>
                <w:rFonts w:hint="eastAsia"/>
                <w:color w:val="auto"/>
                <w:kern w:val="0"/>
                <w:szCs w:val="21"/>
                <w:highlight w:val="none"/>
              </w:rPr>
              <w:t>分</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F504">
            <w:pPr>
              <w:autoSpaceDE w:val="0"/>
              <w:autoSpaceDN w:val="0"/>
              <w:adjustRightInd w:val="0"/>
              <w:snapToGrid w:val="0"/>
              <w:spacing w:line="400" w:lineRule="exact"/>
              <w:rPr>
                <w:rFonts w:ascii="宋体" w:hAnsi="宋体" w:eastAsia="宋体" w:cs="宋体"/>
                <w:color w:val="auto"/>
                <w:kern w:val="2"/>
                <w:sz w:val="22"/>
                <w:szCs w:val="22"/>
                <w:highlight w:val="none"/>
                <w:lang w:val="en-US" w:eastAsia="zh-CN" w:bidi="ar-SA"/>
              </w:rPr>
            </w:pPr>
            <w:r>
              <w:rPr>
                <w:rFonts w:hint="eastAsia" w:ascii="宋体" w:hAnsi="宋体" w:cs="宋体"/>
                <w:bCs/>
                <w:color w:val="auto"/>
                <w:szCs w:val="21"/>
                <w:highlight w:val="none"/>
              </w:rPr>
              <w:t>针对本项目进行的其他服务及优惠承诺（包括服务计划、售后服务流程及优惠承诺）。</w:t>
            </w:r>
          </w:p>
        </w:tc>
      </w:tr>
    </w:tbl>
    <w:p w14:paraId="3DA51C39">
      <w:pPr>
        <w:spacing w:line="460" w:lineRule="atLeast"/>
        <w:ind w:left="442"/>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2、报价评分（</w:t>
      </w:r>
      <w:r>
        <w:rPr>
          <w:rFonts w:hint="eastAsia" w:ascii="宋体" w:hAnsi="宋体" w:cs="宋体"/>
          <w:b/>
          <w:color w:val="auto"/>
          <w:kern w:val="0"/>
          <w:szCs w:val="22"/>
          <w:highlight w:val="none"/>
          <w:lang w:val="en-US" w:eastAsia="zh-CN"/>
        </w:rPr>
        <w:t>5</w:t>
      </w:r>
      <w:r>
        <w:rPr>
          <w:rFonts w:hint="eastAsia" w:ascii="宋体" w:hAnsi="宋体" w:eastAsia="宋体" w:cs="宋体"/>
          <w:b/>
          <w:color w:val="auto"/>
          <w:kern w:val="0"/>
          <w:szCs w:val="22"/>
          <w:highlight w:val="none"/>
        </w:rPr>
        <w:t>0分）</w:t>
      </w:r>
    </w:p>
    <w:p w14:paraId="02387E45">
      <w:pPr>
        <w:autoSpaceDE w:val="0"/>
        <w:autoSpaceDN w:val="0"/>
        <w:adjustRightInd w:val="0"/>
        <w:spacing w:line="420" w:lineRule="exact"/>
        <w:ind w:firstLine="44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2.1、投标价格的合理性：分析投标价格是否合理，投标价格范围是否完整，有否重大错漏项。投标价格分计算方法：满足《招标文件》要求且投标价格最低的有效投标报价为评标基准价，其价格分为</w:t>
      </w:r>
      <w:r>
        <w:rPr>
          <w:rFonts w:hint="eastAsia" w:ascii="宋体" w:hAnsi="宋体" w:cs="宋体"/>
          <w:color w:val="auto"/>
          <w:highlight w:val="none"/>
          <w:lang w:val="en-US" w:eastAsia="zh-CN"/>
        </w:rPr>
        <w:t>5</w:t>
      </w:r>
      <w:r>
        <w:rPr>
          <w:rFonts w:hint="eastAsia" w:ascii="宋体" w:hAnsi="宋体" w:eastAsia="宋体" w:cs="宋体"/>
          <w:color w:val="auto"/>
          <w:highlight w:val="none"/>
        </w:rPr>
        <w:t>0分（即价格权值为</w:t>
      </w:r>
      <w:r>
        <w:rPr>
          <w:rFonts w:hint="eastAsia" w:ascii="宋体" w:hAnsi="宋体" w:cs="宋体"/>
          <w:color w:val="auto"/>
          <w:highlight w:val="none"/>
          <w:lang w:val="en-US" w:eastAsia="zh-CN"/>
        </w:rPr>
        <w:t>5</w:t>
      </w:r>
      <w:r>
        <w:rPr>
          <w:rFonts w:hint="eastAsia" w:ascii="宋体" w:hAnsi="宋体" w:eastAsia="宋体" w:cs="宋体"/>
          <w:color w:val="auto"/>
          <w:highlight w:val="none"/>
        </w:rPr>
        <w:t>0%）。其他投标供应商的价格分统一按照下列公式计算（精确到小数点后二位）：投标报价得分=（评标基准价／投标报价）×</w:t>
      </w:r>
      <w:r>
        <w:rPr>
          <w:rFonts w:hint="eastAsia" w:ascii="宋体" w:hAnsi="宋体" w:cs="宋体"/>
          <w:color w:val="auto"/>
          <w:highlight w:val="none"/>
          <w:lang w:val="en-US" w:eastAsia="zh-CN"/>
        </w:rPr>
        <w:t>5</w:t>
      </w:r>
      <w:r>
        <w:rPr>
          <w:rFonts w:hint="eastAsia" w:ascii="宋体" w:hAnsi="宋体" w:eastAsia="宋体" w:cs="宋体"/>
          <w:color w:val="auto"/>
          <w:highlight w:val="none"/>
        </w:rPr>
        <w:t>0%×100。</w:t>
      </w:r>
    </w:p>
    <w:p w14:paraId="0DF7F37B">
      <w:pPr>
        <w:pStyle w:val="18"/>
        <w:spacing w:line="420" w:lineRule="exact"/>
        <w:ind w:firstLine="440" w:firstLineChars="200"/>
        <w:rPr>
          <w:rFonts w:hint="eastAsia" w:ascii="宋体" w:hAnsi="宋体" w:eastAsia="宋体" w:cs="宋体"/>
          <w:b/>
          <w:color w:val="auto"/>
          <w:highlight w:val="none"/>
        </w:rPr>
      </w:pPr>
      <w:r>
        <w:rPr>
          <w:rFonts w:hint="eastAsia" w:ascii="宋体" w:hAnsi="宋体" w:eastAsia="宋体" w:cs="宋体"/>
          <w:color w:val="auto"/>
          <w:highlight w:val="none"/>
        </w:rPr>
        <w:t>2.2、</w:t>
      </w:r>
      <w:r>
        <w:rPr>
          <w:rFonts w:hint="eastAsia" w:ascii="宋体" w:hAnsi="宋体" w:eastAsia="宋体" w:cs="宋体"/>
          <w:b/>
          <w:color w:val="auto"/>
          <w:szCs w:val="21"/>
          <w:highlight w:val="none"/>
        </w:rPr>
        <w:t>本项目专门面向小型、微型企业采购，不再执行价格评审优惠的扶持政策。</w:t>
      </w:r>
    </w:p>
    <w:p w14:paraId="7C4467BA">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2.3、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w:t>
      </w:r>
    </w:p>
    <w:bookmarkEnd w:id="41"/>
    <w:p w14:paraId="04CCAD7F">
      <w:pPr>
        <w:spacing w:line="420" w:lineRule="exact"/>
        <w:rPr>
          <w:rFonts w:hint="eastAsia" w:ascii="宋体" w:hAnsi="宋体" w:eastAsia="宋体" w:cs="宋体"/>
          <w:b/>
          <w:color w:val="auto"/>
          <w:kern w:val="0"/>
          <w:szCs w:val="22"/>
          <w:highlight w:val="none"/>
        </w:rPr>
      </w:pPr>
    </w:p>
    <w:p w14:paraId="674C5009">
      <w:pPr>
        <w:spacing w:line="420" w:lineRule="exact"/>
        <w:ind w:firstLine="442" w:firstLineChars="200"/>
        <w:rPr>
          <w:rFonts w:hint="eastAsia" w:ascii="宋体" w:hAnsi="宋体" w:eastAsia="宋体" w:cs="宋体"/>
          <w:b/>
          <w:color w:val="auto"/>
          <w:kern w:val="0"/>
          <w:szCs w:val="22"/>
          <w:highlight w:val="none"/>
        </w:rPr>
      </w:pPr>
      <w:r>
        <w:rPr>
          <w:rFonts w:hint="eastAsia" w:ascii="宋体" w:hAnsi="宋体" w:eastAsia="宋体" w:cs="宋体"/>
          <w:b/>
          <w:color w:val="auto"/>
          <w:kern w:val="0"/>
          <w:szCs w:val="22"/>
          <w:highlight w:val="none"/>
        </w:rPr>
        <w:t>3、说明</w:t>
      </w:r>
    </w:p>
    <w:p w14:paraId="75A74EA5">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3.1、每个供应商最终得分=资信技术部分分值（所有评标委员会成员打分的算术平均值）＋商务报价部分分值。</w:t>
      </w:r>
    </w:p>
    <w:p w14:paraId="2E8106EE">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3.2、评标委员会推荐得分最高的供应商为预中标供应商（如果得分相同则按报价从低到高顺序依次推荐为预中标供应商）；如果得分相同，以报价低的优先；报价也相同，以抽签决定，并编写采购报告。</w:t>
      </w:r>
    </w:p>
    <w:p w14:paraId="26F39D06">
      <w:pPr>
        <w:spacing w:line="420" w:lineRule="exact"/>
        <w:ind w:firstLine="44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、所有分值计算保留小数点后二位，小数点后三位四舍五入。</w:t>
      </w:r>
    </w:p>
    <w:p w14:paraId="6ADBAA5F">
      <w:pPr>
        <w:spacing w:line="420" w:lineRule="exact"/>
        <w:ind w:firstLine="44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、评标过程中遇到特殊情况，由评标委员会遵循公平、公正原则，采取投票方式按照少数服从多数原则决定。</w:t>
      </w:r>
    </w:p>
    <w:p w14:paraId="0823EB63">
      <w:pPr>
        <w:spacing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参见本采购文件第三部分：“供应商须知”中的相关内容，未尽事宜按有关法律规定处理。</w:t>
      </w:r>
      <w:bookmarkEnd w:id="42"/>
    </w:p>
    <w:sectPr>
      <w:footerReference r:id="rId6" w:type="default"/>
      <w:pgSz w:w="11906" w:h="16838"/>
      <w:pgMar w:top="1191" w:right="1191" w:bottom="1191" w:left="1361" w:header="851" w:footer="964"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4BE0">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3E65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73E65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78984">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4A2EE">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541E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0541E7">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6E945">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6CAE5"/>
    <w:multiLevelType w:val="singleLevel"/>
    <w:tmpl w:val="2646CAE5"/>
    <w:lvl w:ilvl="0" w:tentative="0">
      <w:start w:val="6"/>
      <w:numFmt w:val="decimal"/>
      <w:suff w:val="space"/>
      <w:lvlText w:val="%1."/>
      <w:lvlJc w:val="left"/>
    </w:lvl>
  </w:abstractNum>
  <w:abstractNum w:abstractNumId="1">
    <w:nsid w:val="46E1C02E"/>
    <w:multiLevelType w:val="singleLevel"/>
    <w:tmpl w:val="46E1C02E"/>
    <w:lvl w:ilvl="0" w:tentative="0">
      <w:start w:val="4"/>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EE"/>
    <w:rsid w:val="000001DB"/>
    <w:rsid w:val="000012DB"/>
    <w:rsid w:val="00001F65"/>
    <w:rsid w:val="0000318A"/>
    <w:rsid w:val="000038B0"/>
    <w:rsid w:val="00003A81"/>
    <w:rsid w:val="000044E1"/>
    <w:rsid w:val="00013722"/>
    <w:rsid w:val="0001383E"/>
    <w:rsid w:val="0001393F"/>
    <w:rsid w:val="00016FA0"/>
    <w:rsid w:val="00021FF7"/>
    <w:rsid w:val="00045001"/>
    <w:rsid w:val="0005216E"/>
    <w:rsid w:val="000536C0"/>
    <w:rsid w:val="00054138"/>
    <w:rsid w:val="00055FF9"/>
    <w:rsid w:val="00061294"/>
    <w:rsid w:val="00062480"/>
    <w:rsid w:val="00064384"/>
    <w:rsid w:val="00065B68"/>
    <w:rsid w:val="00065EDC"/>
    <w:rsid w:val="00066EA5"/>
    <w:rsid w:val="0007012A"/>
    <w:rsid w:val="000745B1"/>
    <w:rsid w:val="000808D2"/>
    <w:rsid w:val="00080C03"/>
    <w:rsid w:val="00081B3D"/>
    <w:rsid w:val="000825B9"/>
    <w:rsid w:val="00083ED7"/>
    <w:rsid w:val="00084BD6"/>
    <w:rsid w:val="00084D68"/>
    <w:rsid w:val="00085327"/>
    <w:rsid w:val="0008779A"/>
    <w:rsid w:val="00096BC6"/>
    <w:rsid w:val="000A15C5"/>
    <w:rsid w:val="000A24E2"/>
    <w:rsid w:val="000B3C7D"/>
    <w:rsid w:val="000B6181"/>
    <w:rsid w:val="000C0C74"/>
    <w:rsid w:val="000C373D"/>
    <w:rsid w:val="000C388E"/>
    <w:rsid w:val="000D6AB7"/>
    <w:rsid w:val="000F308D"/>
    <w:rsid w:val="000F4827"/>
    <w:rsid w:val="000F7AD1"/>
    <w:rsid w:val="0010241F"/>
    <w:rsid w:val="00104591"/>
    <w:rsid w:val="00107C6A"/>
    <w:rsid w:val="00110545"/>
    <w:rsid w:val="00110ED3"/>
    <w:rsid w:val="00114464"/>
    <w:rsid w:val="00115E89"/>
    <w:rsid w:val="001209FA"/>
    <w:rsid w:val="00123F23"/>
    <w:rsid w:val="00123FA7"/>
    <w:rsid w:val="00124359"/>
    <w:rsid w:val="00125D59"/>
    <w:rsid w:val="00126B81"/>
    <w:rsid w:val="00127446"/>
    <w:rsid w:val="001309EF"/>
    <w:rsid w:val="00132038"/>
    <w:rsid w:val="001324C3"/>
    <w:rsid w:val="001379BC"/>
    <w:rsid w:val="0014230D"/>
    <w:rsid w:val="0014248A"/>
    <w:rsid w:val="0014393F"/>
    <w:rsid w:val="00144213"/>
    <w:rsid w:val="00145D07"/>
    <w:rsid w:val="00147FED"/>
    <w:rsid w:val="0015083C"/>
    <w:rsid w:val="001529AB"/>
    <w:rsid w:val="00156259"/>
    <w:rsid w:val="00156685"/>
    <w:rsid w:val="00157605"/>
    <w:rsid w:val="001605B3"/>
    <w:rsid w:val="00162F5F"/>
    <w:rsid w:val="001632A9"/>
    <w:rsid w:val="00164BCF"/>
    <w:rsid w:val="0016666F"/>
    <w:rsid w:val="00167422"/>
    <w:rsid w:val="00175963"/>
    <w:rsid w:val="00180A75"/>
    <w:rsid w:val="00184761"/>
    <w:rsid w:val="00185990"/>
    <w:rsid w:val="0018729E"/>
    <w:rsid w:val="001905DF"/>
    <w:rsid w:val="00192FD4"/>
    <w:rsid w:val="00197336"/>
    <w:rsid w:val="00197578"/>
    <w:rsid w:val="001A2AB6"/>
    <w:rsid w:val="001B19C0"/>
    <w:rsid w:val="001B37A5"/>
    <w:rsid w:val="001B4517"/>
    <w:rsid w:val="001C1111"/>
    <w:rsid w:val="001C3B7D"/>
    <w:rsid w:val="001C429C"/>
    <w:rsid w:val="001C5484"/>
    <w:rsid w:val="001D03EB"/>
    <w:rsid w:val="001D5A3A"/>
    <w:rsid w:val="001D6640"/>
    <w:rsid w:val="001D7122"/>
    <w:rsid w:val="001E0F98"/>
    <w:rsid w:val="001E439B"/>
    <w:rsid w:val="001E4713"/>
    <w:rsid w:val="001F5B8A"/>
    <w:rsid w:val="002003D1"/>
    <w:rsid w:val="00205A36"/>
    <w:rsid w:val="00212EC8"/>
    <w:rsid w:val="0021454A"/>
    <w:rsid w:val="0021595B"/>
    <w:rsid w:val="002171FB"/>
    <w:rsid w:val="0022484F"/>
    <w:rsid w:val="00230A22"/>
    <w:rsid w:val="00233DD1"/>
    <w:rsid w:val="00234DB3"/>
    <w:rsid w:val="002362BB"/>
    <w:rsid w:val="00241F7B"/>
    <w:rsid w:val="00242971"/>
    <w:rsid w:val="00242AB4"/>
    <w:rsid w:val="00244D2D"/>
    <w:rsid w:val="00245133"/>
    <w:rsid w:val="00247561"/>
    <w:rsid w:val="002475D2"/>
    <w:rsid w:val="00253A36"/>
    <w:rsid w:val="00254616"/>
    <w:rsid w:val="00254BDE"/>
    <w:rsid w:val="00257669"/>
    <w:rsid w:val="00260451"/>
    <w:rsid w:val="002629EC"/>
    <w:rsid w:val="00263336"/>
    <w:rsid w:val="0026568A"/>
    <w:rsid w:val="0026662D"/>
    <w:rsid w:val="0027082F"/>
    <w:rsid w:val="00273CEF"/>
    <w:rsid w:val="002746F0"/>
    <w:rsid w:val="00275D53"/>
    <w:rsid w:val="002818B9"/>
    <w:rsid w:val="00282035"/>
    <w:rsid w:val="00284D8E"/>
    <w:rsid w:val="00284E37"/>
    <w:rsid w:val="00286AAC"/>
    <w:rsid w:val="00290C67"/>
    <w:rsid w:val="00292ABA"/>
    <w:rsid w:val="0029765C"/>
    <w:rsid w:val="002A38B7"/>
    <w:rsid w:val="002A4B92"/>
    <w:rsid w:val="002A4D70"/>
    <w:rsid w:val="002A51E0"/>
    <w:rsid w:val="002A696F"/>
    <w:rsid w:val="002A6A6C"/>
    <w:rsid w:val="002A740E"/>
    <w:rsid w:val="002A7FE5"/>
    <w:rsid w:val="002B003B"/>
    <w:rsid w:val="002B2E40"/>
    <w:rsid w:val="002B326F"/>
    <w:rsid w:val="002B368C"/>
    <w:rsid w:val="002C0574"/>
    <w:rsid w:val="002C1D70"/>
    <w:rsid w:val="002C3AD6"/>
    <w:rsid w:val="002D1F74"/>
    <w:rsid w:val="002D36C7"/>
    <w:rsid w:val="002D40F9"/>
    <w:rsid w:val="002D4D4B"/>
    <w:rsid w:val="002E2BB7"/>
    <w:rsid w:val="002E6001"/>
    <w:rsid w:val="002E6698"/>
    <w:rsid w:val="002E687A"/>
    <w:rsid w:val="002E75B3"/>
    <w:rsid w:val="002E782B"/>
    <w:rsid w:val="002F178A"/>
    <w:rsid w:val="002F3408"/>
    <w:rsid w:val="002F4252"/>
    <w:rsid w:val="002F6631"/>
    <w:rsid w:val="00301E99"/>
    <w:rsid w:val="0030208F"/>
    <w:rsid w:val="003039AA"/>
    <w:rsid w:val="003054BA"/>
    <w:rsid w:val="003079FE"/>
    <w:rsid w:val="003110DA"/>
    <w:rsid w:val="00311DFE"/>
    <w:rsid w:val="00313AD5"/>
    <w:rsid w:val="00315763"/>
    <w:rsid w:val="00315941"/>
    <w:rsid w:val="003169D2"/>
    <w:rsid w:val="00316D5C"/>
    <w:rsid w:val="00317270"/>
    <w:rsid w:val="00320719"/>
    <w:rsid w:val="003219C5"/>
    <w:rsid w:val="00325CBE"/>
    <w:rsid w:val="00326D7B"/>
    <w:rsid w:val="00327255"/>
    <w:rsid w:val="003306B8"/>
    <w:rsid w:val="00332B34"/>
    <w:rsid w:val="00333352"/>
    <w:rsid w:val="003345D6"/>
    <w:rsid w:val="003368EE"/>
    <w:rsid w:val="00337A29"/>
    <w:rsid w:val="00343B49"/>
    <w:rsid w:val="00343E7B"/>
    <w:rsid w:val="00345DBB"/>
    <w:rsid w:val="00354560"/>
    <w:rsid w:val="003560E0"/>
    <w:rsid w:val="00361451"/>
    <w:rsid w:val="003668E4"/>
    <w:rsid w:val="0037053F"/>
    <w:rsid w:val="00383AF8"/>
    <w:rsid w:val="00384ECA"/>
    <w:rsid w:val="00385B73"/>
    <w:rsid w:val="003916B3"/>
    <w:rsid w:val="00392D77"/>
    <w:rsid w:val="00393EF4"/>
    <w:rsid w:val="00394716"/>
    <w:rsid w:val="003A17C1"/>
    <w:rsid w:val="003A1B62"/>
    <w:rsid w:val="003A1F54"/>
    <w:rsid w:val="003A7410"/>
    <w:rsid w:val="003B0BDE"/>
    <w:rsid w:val="003B300D"/>
    <w:rsid w:val="003B5027"/>
    <w:rsid w:val="003B67A4"/>
    <w:rsid w:val="003B6E32"/>
    <w:rsid w:val="003C2F21"/>
    <w:rsid w:val="003C5F94"/>
    <w:rsid w:val="003C6885"/>
    <w:rsid w:val="003C7F78"/>
    <w:rsid w:val="003D0D5B"/>
    <w:rsid w:val="003E0188"/>
    <w:rsid w:val="003E3178"/>
    <w:rsid w:val="003E343F"/>
    <w:rsid w:val="003E4453"/>
    <w:rsid w:val="003E67E1"/>
    <w:rsid w:val="003F0911"/>
    <w:rsid w:val="003F1AFB"/>
    <w:rsid w:val="003F68D4"/>
    <w:rsid w:val="003F6ADD"/>
    <w:rsid w:val="003F7161"/>
    <w:rsid w:val="003F73E7"/>
    <w:rsid w:val="00401C39"/>
    <w:rsid w:val="004037B3"/>
    <w:rsid w:val="00403EA5"/>
    <w:rsid w:val="004049B5"/>
    <w:rsid w:val="00405E38"/>
    <w:rsid w:val="0041072A"/>
    <w:rsid w:val="0041146F"/>
    <w:rsid w:val="004165FC"/>
    <w:rsid w:val="0041691B"/>
    <w:rsid w:val="00420B05"/>
    <w:rsid w:val="004227FC"/>
    <w:rsid w:val="004252AC"/>
    <w:rsid w:val="00425302"/>
    <w:rsid w:val="0042755D"/>
    <w:rsid w:val="00427902"/>
    <w:rsid w:val="00432070"/>
    <w:rsid w:val="0043478F"/>
    <w:rsid w:val="004353C2"/>
    <w:rsid w:val="00435ED2"/>
    <w:rsid w:val="004431B7"/>
    <w:rsid w:val="00445CEF"/>
    <w:rsid w:val="00446D8A"/>
    <w:rsid w:val="00447740"/>
    <w:rsid w:val="00450BA4"/>
    <w:rsid w:val="004524D7"/>
    <w:rsid w:val="00457075"/>
    <w:rsid w:val="00462CD2"/>
    <w:rsid w:val="004642C8"/>
    <w:rsid w:val="00465681"/>
    <w:rsid w:val="00465FC0"/>
    <w:rsid w:val="004707EE"/>
    <w:rsid w:val="00473FCB"/>
    <w:rsid w:val="004744EC"/>
    <w:rsid w:val="004753DA"/>
    <w:rsid w:val="0047649F"/>
    <w:rsid w:val="00476AB2"/>
    <w:rsid w:val="004858E6"/>
    <w:rsid w:val="00490A42"/>
    <w:rsid w:val="00490DB5"/>
    <w:rsid w:val="00492ADD"/>
    <w:rsid w:val="00492B2E"/>
    <w:rsid w:val="00494767"/>
    <w:rsid w:val="00497207"/>
    <w:rsid w:val="00497990"/>
    <w:rsid w:val="004A1E6E"/>
    <w:rsid w:val="004A3535"/>
    <w:rsid w:val="004A5250"/>
    <w:rsid w:val="004A6344"/>
    <w:rsid w:val="004A66FC"/>
    <w:rsid w:val="004B1998"/>
    <w:rsid w:val="004B284F"/>
    <w:rsid w:val="004B49EE"/>
    <w:rsid w:val="004B71B7"/>
    <w:rsid w:val="004C0704"/>
    <w:rsid w:val="004C2D82"/>
    <w:rsid w:val="004C3238"/>
    <w:rsid w:val="004D1E8D"/>
    <w:rsid w:val="004D220C"/>
    <w:rsid w:val="004D35B8"/>
    <w:rsid w:val="004D4FB9"/>
    <w:rsid w:val="004D637D"/>
    <w:rsid w:val="004D6D27"/>
    <w:rsid w:val="004E08F3"/>
    <w:rsid w:val="004E3E96"/>
    <w:rsid w:val="004E7610"/>
    <w:rsid w:val="004F255F"/>
    <w:rsid w:val="004F3A46"/>
    <w:rsid w:val="004F453E"/>
    <w:rsid w:val="004F60D1"/>
    <w:rsid w:val="004F7EC8"/>
    <w:rsid w:val="0050005D"/>
    <w:rsid w:val="005078D2"/>
    <w:rsid w:val="00510685"/>
    <w:rsid w:val="00515660"/>
    <w:rsid w:val="00516024"/>
    <w:rsid w:val="00531A3D"/>
    <w:rsid w:val="00535660"/>
    <w:rsid w:val="005414A5"/>
    <w:rsid w:val="005425D3"/>
    <w:rsid w:val="00547959"/>
    <w:rsid w:val="00547A1A"/>
    <w:rsid w:val="005507A4"/>
    <w:rsid w:val="005527B2"/>
    <w:rsid w:val="005535ED"/>
    <w:rsid w:val="0055474A"/>
    <w:rsid w:val="00566A88"/>
    <w:rsid w:val="00567BA4"/>
    <w:rsid w:val="00570D0F"/>
    <w:rsid w:val="005725E9"/>
    <w:rsid w:val="00574AEF"/>
    <w:rsid w:val="005846CD"/>
    <w:rsid w:val="0059592D"/>
    <w:rsid w:val="00596D1F"/>
    <w:rsid w:val="005B4A1A"/>
    <w:rsid w:val="005B58BB"/>
    <w:rsid w:val="005C6BCC"/>
    <w:rsid w:val="005C6DAF"/>
    <w:rsid w:val="005C7BD8"/>
    <w:rsid w:val="005D18E9"/>
    <w:rsid w:val="005E0465"/>
    <w:rsid w:val="005E1BF9"/>
    <w:rsid w:val="005E1D0A"/>
    <w:rsid w:val="005E45E2"/>
    <w:rsid w:val="005E5180"/>
    <w:rsid w:val="005E67C5"/>
    <w:rsid w:val="005F13A7"/>
    <w:rsid w:val="005F2CDE"/>
    <w:rsid w:val="005F4001"/>
    <w:rsid w:val="005F4887"/>
    <w:rsid w:val="005F561B"/>
    <w:rsid w:val="005F58D9"/>
    <w:rsid w:val="005F6AA0"/>
    <w:rsid w:val="0060032D"/>
    <w:rsid w:val="006041BD"/>
    <w:rsid w:val="006051CB"/>
    <w:rsid w:val="00607517"/>
    <w:rsid w:val="00607DEC"/>
    <w:rsid w:val="006113CD"/>
    <w:rsid w:val="00612012"/>
    <w:rsid w:val="00614621"/>
    <w:rsid w:val="006200C0"/>
    <w:rsid w:val="006237E5"/>
    <w:rsid w:val="00633C2B"/>
    <w:rsid w:val="00633E55"/>
    <w:rsid w:val="00635C95"/>
    <w:rsid w:val="00637400"/>
    <w:rsid w:val="00640608"/>
    <w:rsid w:val="006428F1"/>
    <w:rsid w:val="00651F8E"/>
    <w:rsid w:val="00655592"/>
    <w:rsid w:val="0066122B"/>
    <w:rsid w:val="00661AD6"/>
    <w:rsid w:val="00667760"/>
    <w:rsid w:val="00673E94"/>
    <w:rsid w:val="00675676"/>
    <w:rsid w:val="0068415B"/>
    <w:rsid w:val="00684623"/>
    <w:rsid w:val="00684E07"/>
    <w:rsid w:val="00685FA1"/>
    <w:rsid w:val="006913A6"/>
    <w:rsid w:val="006A005F"/>
    <w:rsid w:val="006A26AE"/>
    <w:rsid w:val="006A45E8"/>
    <w:rsid w:val="006A6593"/>
    <w:rsid w:val="006A6669"/>
    <w:rsid w:val="006B0E75"/>
    <w:rsid w:val="006B1850"/>
    <w:rsid w:val="006B2FDF"/>
    <w:rsid w:val="006B3BD4"/>
    <w:rsid w:val="006B76C2"/>
    <w:rsid w:val="006B7A80"/>
    <w:rsid w:val="006C1B54"/>
    <w:rsid w:val="006C545F"/>
    <w:rsid w:val="006D20CB"/>
    <w:rsid w:val="006D4AC5"/>
    <w:rsid w:val="006D54AA"/>
    <w:rsid w:val="006D5F3C"/>
    <w:rsid w:val="006D6D4E"/>
    <w:rsid w:val="006E017D"/>
    <w:rsid w:val="006E308C"/>
    <w:rsid w:val="006E43BB"/>
    <w:rsid w:val="006E7813"/>
    <w:rsid w:val="006F0317"/>
    <w:rsid w:val="006F32D3"/>
    <w:rsid w:val="006F4FA7"/>
    <w:rsid w:val="00701A7E"/>
    <w:rsid w:val="00704905"/>
    <w:rsid w:val="0071389F"/>
    <w:rsid w:val="007147F9"/>
    <w:rsid w:val="007155EC"/>
    <w:rsid w:val="00723469"/>
    <w:rsid w:val="007237BD"/>
    <w:rsid w:val="0072502E"/>
    <w:rsid w:val="007331E0"/>
    <w:rsid w:val="00734693"/>
    <w:rsid w:val="00740CFE"/>
    <w:rsid w:val="00741475"/>
    <w:rsid w:val="007435E0"/>
    <w:rsid w:val="0074696D"/>
    <w:rsid w:val="007518E4"/>
    <w:rsid w:val="00754816"/>
    <w:rsid w:val="0075554D"/>
    <w:rsid w:val="00755D55"/>
    <w:rsid w:val="00757882"/>
    <w:rsid w:val="00770CB7"/>
    <w:rsid w:val="00781FB8"/>
    <w:rsid w:val="0079067F"/>
    <w:rsid w:val="00794610"/>
    <w:rsid w:val="00796AF2"/>
    <w:rsid w:val="007A347A"/>
    <w:rsid w:val="007A3978"/>
    <w:rsid w:val="007A59E7"/>
    <w:rsid w:val="007B3EFC"/>
    <w:rsid w:val="007B4169"/>
    <w:rsid w:val="007B4252"/>
    <w:rsid w:val="007B5F7A"/>
    <w:rsid w:val="007C4CE3"/>
    <w:rsid w:val="007C5921"/>
    <w:rsid w:val="007C6CA6"/>
    <w:rsid w:val="007C6DDC"/>
    <w:rsid w:val="007E379B"/>
    <w:rsid w:val="007E547F"/>
    <w:rsid w:val="007E7B27"/>
    <w:rsid w:val="007F018A"/>
    <w:rsid w:val="007F0563"/>
    <w:rsid w:val="007F142B"/>
    <w:rsid w:val="007F5FE7"/>
    <w:rsid w:val="008023BD"/>
    <w:rsid w:val="00804E56"/>
    <w:rsid w:val="00814A00"/>
    <w:rsid w:val="00820DE6"/>
    <w:rsid w:val="0082184F"/>
    <w:rsid w:val="008219D3"/>
    <w:rsid w:val="0082300E"/>
    <w:rsid w:val="00823D18"/>
    <w:rsid w:val="0082541D"/>
    <w:rsid w:val="008344B5"/>
    <w:rsid w:val="0084476F"/>
    <w:rsid w:val="00844E52"/>
    <w:rsid w:val="00846A0C"/>
    <w:rsid w:val="00846E98"/>
    <w:rsid w:val="00851098"/>
    <w:rsid w:val="00851E41"/>
    <w:rsid w:val="00852BA3"/>
    <w:rsid w:val="0085372D"/>
    <w:rsid w:val="00864452"/>
    <w:rsid w:val="00865276"/>
    <w:rsid w:val="008669AF"/>
    <w:rsid w:val="0086782A"/>
    <w:rsid w:val="00867C2F"/>
    <w:rsid w:val="008705DF"/>
    <w:rsid w:val="008743E1"/>
    <w:rsid w:val="0088331A"/>
    <w:rsid w:val="00884138"/>
    <w:rsid w:val="00886562"/>
    <w:rsid w:val="0089084E"/>
    <w:rsid w:val="0089094D"/>
    <w:rsid w:val="00891E9E"/>
    <w:rsid w:val="00895634"/>
    <w:rsid w:val="00897AF9"/>
    <w:rsid w:val="008A0318"/>
    <w:rsid w:val="008A148A"/>
    <w:rsid w:val="008A4FCC"/>
    <w:rsid w:val="008A506C"/>
    <w:rsid w:val="008A5222"/>
    <w:rsid w:val="008A5F78"/>
    <w:rsid w:val="008A6461"/>
    <w:rsid w:val="008A6E0F"/>
    <w:rsid w:val="008B134C"/>
    <w:rsid w:val="008B28C5"/>
    <w:rsid w:val="008B7BBA"/>
    <w:rsid w:val="008C21DC"/>
    <w:rsid w:val="008C2519"/>
    <w:rsid w:val="008C427F"/>
    <w:rsid w:val="008C5262"/>
    <w:rsid w:val="008D22DD"/>
    <w:rsid w:val="008D51D9"/>
    <w:rsid w:val="008E0808"/>
    <w:rsid w:val="008E08DB"/>
    <w:rsid w:val="008E09A9"/>
    <w:rsid w:val="008E0E51"/>
    <w:rsid w:val="008E10BC"/>
    <w:rsid w:val="008E2626"/>
    <w:rsid w:val="008E48BD"/>
    <w:rsid w:val="008E60BB"/>
    <w:rsid w:val="008F00EC"/>
    <w:rsid w:val="008F0C1C"/>
    <w:rsid w:val="008F103F"/>
    <w:rsid w:val="008F6FD9"/>
    <w:rsid w:val="0090136C"/>
    <w:rsid w:val="00905A9C"/>
    <w:rsid w:val="00906E0B"/>
    <w:rsid w:val="009100F8"/>
    <w:rsid w:val="00913A7A"/>
    <w:rsid w:val="00916DF3"/>
    <w:rsid w:val="00926E58"/>
    <w:rsid w:val="00932F2B"/>
    <w:rsid w:val="0094161D"/>
    <w:rsid w:val="00945CB2"/>
    <w:rsid w:val="0094624C"/>
    <w:rsid w:val="00946956"/>
    <w:rsid w:val="00951C97"/>
    <w:rsid w:val="0095286A"/>
    <w:rsid w:val="009536A1"/>
    <w:rsid w:val="00955B4A"/>
    <w:rsid w:val="00957213"/>
    <w:rsid w:val="009578FE"/>
    <w:rsid w:val="0096095C"/>
    <w:rsid w:val="00961369"/>
    <w:rsid w:val="00964F79"/>
    <w:rsid w:val="00971171"/>
    <w:rsid w:val="00972423"/>
    <w:rsid w:val="0097407B"/>
    <w:rsid w:val="00975C1B"/>
    <w:rsid w:val="0097626D"/>
    <w:rsid w:val="00981843"/>
    <w:rsid w:val="0098533B"/>
    <w:rsid w:val="0098578F"/>
    <w:rsid w:val="00987FBE"/>
    <w:rsid w:val="00994CF1"/>
    <w:rsid w:val="009A0895"/>
    <w:rsid w:val="009A721E"/>
    <w:rsid w:val="009A76E9"/>
    <w:rsid w:val="009B32DA"/>
    <w:rsid w:val="009B3DC1"/>
    <w:rsid w:val="009B68EB"/>
    <w:rsid w:val="009B758E"/>
    <w:rsid w:val="009C1621"/>
    <w:rsid w:val="009C5D4C"/>
    <w:rsid w:val="009D53A5"/>
    <w:rsid w:val="009D71EC"/>
    <w:rsid w:val="009E2681"/>
    <w:rsid w:val="009E382B"/>
    <w:rsid w:val="009E534B"/>
    <w:rsid w:val="009E69BD"/>
    <w:rsid w:val="009E6B89"/>
    <w:rsid w:val="009F0F15"/>
    <w:rsid w:val="009F114D"/>
    <w:rsid w:val="009F1C79"/>
    <w:rsid w:val="009F2E4B"/>
    <w:rsid w:val="009F4E38"/>
    <w:rsid w:val="00A04D9B"/>
    <w:rsid w:val="00A0576F"/>
    <w:rsid w:val="00A1149B"/>
    <w:rsid w:val="00A209FF"/>
    <w:rsid w:val="00A2677E"/>
    <w:rsid w:val="00A273D4"/>
    <w:rsid w:val="00A31B08"/>
    <w:rsid w:val="00A31F35"/>
    <w:rsid w:val="00A43B08"/>
    <w:rsid w:val="00A45010"/>
    <w:rsid w:val="00A47264"/>
    <w:rsid w:val="00A47687"/>
    <w:rsid w:val="00A47EEE"/>
    <w:rsid w:val="00A506AC"/>
    <w:rsid w:val="00A53722"/>
    <w:rsid w:val="00A62B67"/>
    <w:rsid w:val="00A711FB"/>
    <w:rsid w:val="00A733A7"/>
    <w:rsid w:val="00A73EFE"/>
    <w:rsid w:val="00A73F7D"/>
    <w:rsid w:val="00A80FB6"/>
    <w:rsid w:val="00A82525"/>
    <w:rsid w:val="00A84804"/>
    <w:rsid w:val="00A855E7"/>
    <w:rsid w:val="00A9131D"/>
    <w:rsid w:val="00A9139D"/>
    <w:rsid w:val="00A9195B"/>
    <w:rsid w:val="00A925F1"/>
    <w:rsid w:val="00A93481"/>
    <w:rsid w:val="00A95085"/>
    <w:rsid w:val="00AA0902"/>
    <w:rsid w:val="00AA3F13"/>
    <w:rsid w:val="00AA6991"/>
    <w:rsid w:val="00AB2CD3"/>
    <w:rsid w:val="00AB3D8D"/>
    <w:rsid w:val="00AB5396"/>
    <w:rsid w:val="00AB56C3"/>
    <w:rsid w:val="00AC2C23"/>
    <w:rsid w:val="00AC4A1B"/>
    <w:rsid w:val="00AC4EE8"/>
    <w:rsid w:val="00AC5493"/>
    <w:rsid w:val="00AD3A40"/>
    <w:rsid w:val="00AD5EC8"/>
    <w:rsid w:val="00AE17CB"/>
    <w:rsid w:val="00AE1B35"/>
    <w:rsid w:val="00AE26F7"/>
    <w:rsid w:val="00AE2E9F"/>
    <w:rsid w:val="00AE3C1F"/>
    <w:rsid w:val="00AE5144"/>
    <w:rsid w:val="00AF2B44"/>
    <w:rsid w:val="00AF3EF2"/>
    <w:rsid w:val="00AF492C"/>
    <w:rsid w:val="00B04B06"/>
    <w:rsid w:val="00B04BFF"/>
    <w:rsid w:val="00B05482"/>
    <w:rsid w:val="00B06C53"/>
    <w:rsid w:val="00B07149"/>
    <w:rsid w:val="00B07A0A"/>
    <w:rsid w:val="00B07C73"/>
    <w:rsid w:val="00B10F56"/>
    <w:rsid w:val="00B13737"/>
    <w:rsid w:val="00B1390F"/>
    <w:rsid w:val="00B13B9F"/>
    <w:rsid w:val="00B1648A"/>
    <w:rsid w:val="00B2217B"/>
    <w:rsid w:val="00B24596"/>
    <w:rsid w:val="00B270D2"/>
    <w:rsid w:val="00B27819"/>
    <w:rsid w:val="00B3367D"/>
    <w:rsid w:val="00B361AF"/>
    <w:rsid w:val="00B365D3"/>
    <w:rsid w:val="00B37865"/>
    <w:rsid w:val="00B40F7B"/>
    <w:rsid w:val="00B41971"/>
    <w:rsid w:val="00B42C07"/>
    <w:rsid w:val="00B45FC4"/>
    <w:rsid w:val="00B470A9"/>
    <w:rsid w:val="00B55A9F"/>
    <w:rsid w:val="00B56432"/>
    <w:rsid w:val="00B56696"/>
    <w:rsid w:val="00B6038B"/>
    <w:rsid w:val="00B66920"/>
    <w:rsid w:val="00B66CD9"/>
    <w:rsid w:val="00B727A4"/>
    <w:rsid w:val="00B7287D"/>
    <w:rsid w:val="00B73030"/>
    <w:rsid w:val="00B73707"/>
    <w:rsid w:val="00B742AD"/>
    <w:rsid w:val="00B747F6"/>
    <w:rsid w:val="00B76444"/>
    <w:rsid w:val="00B82C48"/>
    <w:rsid w:val="00B83E13"/>
    <w:rsid w:val="00B8584B"/>
    <w:rsid w:val="00B87FF8"/>
    <w:rsid w:val="00B93BD9"/>
    <w:rsid w:val="00B948BE"/>
    <w:rsid w:val="00B960F5"/>
    <w:rsid w:val="00BA550F"/>
    <w:rsid w:val="00BA59AB"/>
    <w:rsid w:val="00BB0D50"/>
    <w:rsid w:val="00BB2401"/>
    <w:rsid w:val="00BB6882"/>
    <w:rsid w:val="00BB6E54"/>
    <w:rsid w:val="00BC16CD"/>
    <w:rsid w:val="00BC47D9"/>
    <w:rsid w:val="00BC4868"/>
    <w:rsid w:val="00BC5688"/>
    <w:rsid w:val="00BC7766"/>
    <w:rsid w:val="00BD1941"/>
    <w:rsid w:val="00BD1B35"/>
    <w:rsid w:val="00BD2E4C"/>
    <w:rsid w:val="00BD689A"/>
    <w:rsid w:val="00BD71BC"/>
    <w:rsid w:val="00BE0BA8"/>
    <w:rsid w:val="00BF1ADE"/>
    <w:rsid w:val="00BF1CFF"/>
    <w:rsid w:val="00BF30FE"/>
    <w:rsid w:val="00BF41AD"/>
    <w:rsid w:val="00BF5D0D"/>
    <w:rsid w:val="00BF7702"/>
    <w:rsid w:val="00C0394C"/>
    <w:rsid w:val="00C06B67"/>
    <w:rsid w:val="00C076C9"/>
    <w:rsid w:val="00C1081B"/>
    <w:rsid w:val="00C116F4"/>
    <w:rsid w:val="00C11A58"/>
    <w:rsid w:val="00C13033"/>
    <w:rsid w:val="00C15623"/>
    <w:rsid w:val="00C15B52"/>
    <w:rsid w:val="00C237AB"/>
    <w:rsid w:val="00C24E0D"/>
    <w:rsid w:val="00C25253"/>
    <w:rsid w:val="00C26502"/>
    <w:rsid w:val="00C31D8C"/>
    <w:rsid w:val="00C32DE5"/>
    <w:rsid w:val="00C354E8"/>
    <w:rsid w:val="00C3566D"/>
    <w:rsid w:val="00C3620A"/>
    <w:rsid w:val="00C40081"/>
    <w:rsid w:val="00C44F9F"/>
    <w:rsid w:val="00C457FA"/>
    <w:rsid w:val="00C45F6D"/>
    <w:rsid w:val="00C46A04"/>
    <w:rsid w:val="00C47AF5"/>
    <w:rsid w:val="00C47FCC"/>
    <w:rsid w:val="00C50D96"/>
    <w:rsid w:val="00C50E9A"/>
    <w:rsid w:val="00C5311B"/>
    <w:rsid w:val="00C55672"/>
    <w:rsid w:val="00C57CF5"/>
    <w:rsid w:val="00C60709"/>
    <w:rsid w:val="00C6154E"/>
    <w:rsid w:val="00C64215"/>
    <w:rsid w:val="00C659ED"/>
    <w:rsid w:val="00C65FFB"/>
    <w:rsid w:val="00C72078"/>
    <w:rsid w:val="00C751EE"/>
    <w:rsid w:val="00C75776"/>
    <w:rsid w:val="00C75E5F"/>
    <w:rsid w:val="00C7799C"/>
    <w:rsid w:val="00C84A59"/>
    <w:rsid w:val="00C84E19"/>
    <w:rsid w:val="00C90A2C"/>
    <w:rsid w:val="00C93802"/>
    <w:rsid w:val="00C96227"/>
    <w:rsid w:val="00C96CFC"/>
    <w:rsid w:val="00C97416"/>
    <w:rsid w:val="00CA39A1"/>
    <w:rsid w:val="00CA4EE8"/>
    <w:rsid w:val="00CA53D4"/>
    <w:rsid w:val="00CA63BF"/>
    <w:rsid w:val="00CB0DDD"/>
    <w:rsid w:val="00CB7751"/>
    <w:rsid w:val="00CC08CE"/>
    <w:rsid w:val="00CC1FDE"/>
    <w:rsid w:val="00CC47F0"/>
    <w:rsid w:val="00CC50F7"/>
    <w:rsid w:val="00CD09D3"/>
    <w:rsid w:val="00CD12DF"/>
    <w:rsid w:val="00CD4A19"/>
    <w:rsid w:val="00CE2D60"/>
    <w:rsid w:val="00CE2EEA"/>
    <w:rsid w:val="00CE455E"/>
    <w:rsid w:val="00CE5DEC"/>
    <w:rsid w:val="00CF5503"/>
    <w:rsid w:val="00CF5806"/>
    <w:rsid w:val="00CF7F8F"/>
    <w:rsid w:val="00D02224"/>
    <w:rsid w:val="00D0392F"/>
    <w:rsid w:val="00D04E40"/>
    <w:rsid w:val="00D06F9E"/>
    <w:rsid w:val="00D124E1"/>
    <w:rsid w:val="00D12D82"/>
    <w:rsid w:val="00D131A8"/>
    <w:rsid w:val="00D2133F"/>
    <w:rsid w:val="00D21B35"/>
    <w:rsid w:val="00D273D6"/>
    <w:rsid w:val="00D315B2"/>
    <w:rsid w:val="00D347A3"/>
    <w:rsid w:val="00D34D8F"/>
    <w:rsid w:val="00D356CD"/>
    <w:rsid w:val="00D357FF"/>
    <w:rsid w:val="00D360E7"/>
    <w:rsid w:val="00D40A49"/>
    <w:rsid w:val="00D427FF"/>
    <w:rsid w:val="00D461B0"/>
    <w:rsid w:val="00D4634B"/>
    <w:rsid w:val="00D47F80"/>
    <w:rsid w:val="00D54B39"/>
    <w:rsid w:val="00D54F8C"/>
    <w:rsid w:val="00D5573E"/>
    <w:rsid w:val="00D5622D"/>
    <w:rsid w:val="00D56343"/>
    <w:rsid w:val="00D60B1D"/>
    <w:rsid w:val="00D60C9C"/>
    <w:rsid w:val="00D626B7"/>
    <w:rsid w:val="00D6760B"/>
    <w:rsid w:val="00D7471E"/>
    <w:rsid w:val="00D75C82"/>
    <w:rsid w:val="00D76841"/>
    <w:rsid w:val="00D773DE"/>
    <w:rsid w:val="00D773F7"/>
    <w:rsid w:val="00D92ADD"/>
    <w:rsid w:val="00D95DF1"/>
    <w:rsid w:val="00D9711E"/>
    <w:rsid w:val="00DA0AF8"/>
    <w:rsid w:val="00DA0C90"/>
    <w:rsid w:val="00DA2B5D"/>
    <w:rsid w:val="00DA697E"/>
    <w:rsid w:val="00DA766F"/>
    <w:rsid w:val="00DB21FA"/>
    <w:rsid w:val="00DB4609"/>
    <w:rsid w:val="00DB6898"/>
    <w:rsid w:val="00DB690B"/>
    <w:rsid w:val="00DC0549"/>
    <w:rsid w:val="00DC0F4E"/>
    <w:rsid w:val="00DC159B"/>
    <w:rsid w:val="00DC3195"/>
    <w:rsid w:val="00DC3BD5"/>
    <w:rsid w:val="00DC6A27"/>
    <w:rsid w:val="00DD269D"/>
    <w:rsid w:val="00DD2704"/>
    <w:rsid w:val="00DD2851"/>
    <w:rsid w:val="00DD3B5A"/>
    <w:rsid w:val="00DE031B"/>
    <w:rsid w:val="00DE0D11"/>
    <w:rsid w:val="00DE2424"/>
    <w:rsid w:val="00DE4171"/>
    <w:rsid w:val="00DE4666"/>
    <w:rsid w:val="00DE4794"/>
    <w:rsid w:val="00DE5BAD"/>
    <w:rsid w:val="00DE6BB8"/>
    <w:rsid w:val="00DE7E43"/>
    <w:rsid w:val="00DF2BDD"/>
    <w:rsid w:val="00DF366D"/>
    <w:rsid w:val="00DF37E3"/>
    <w:rsid w:val="00DF6EA8"/>
    <w:rsid w:val="00E06901"/>
    <w:rsid w:val="00E221EB"/>
    <w:rsid w:val="00E22DCE"/>
    <w:rsid w:val="00E257E9"/>
    <w:rsid w:val="00E34CB9"/>
    <w:rsid w:val="00E35DDA"/>
    <w:rsid w:val="00E3733F"/>
    <w:rsid w:val="00E3763D"/>
    <w:rsid w:val="00E37FA6"/>
    <w:rsid w:val="00E413AA"/>
    <w:rsid w:val="00E44125"/>
    <w:rsid w:val="00E47388"/>
    <w:rsid w:val="00E54474"/>
    <w:rsid w:val="00E54A82"/>
    <w:rsid w:val="00E55D2A"/>
    <w:rsid w:val="00E55E60"/>
    <w:rsid w:val="00E62467"/>
    <w:rsid w:val="00E62FA7"/>
    <w:rsid w:val="00E63042"/>
    <w:rsid w:val="00E63D41"/>
    <w:rsid w:val="00E64512"/>
    <w:rsid w:val="00E65366"/>
    <w:rsid w:val="00E73F28"/>
    <w:rsid w:val="00E76951"/>
    <w:rsid w:val="00E77846"/>
    <w:rsid w:val="00E77F17"/>
    <w:rsid w:val="00E850A4"/>
    <w:rsid w:val="00E92BA1"/>
    <w:rsid w:val="00E94F27"/>
    <w:rsid w:val="00E95347"/>
    <w:rsid w:val="00E97384"/>
    <w:rsid w:val="00EA34B2"/>
    <w:rsid w:val="00EA45EE"/>
    <w:rsid w:val="00EA4BD5"/>
    <w:rsid w:val="00EA7F3E"/>
    <w:rsid w:val="00EB1E78"/>
    <w:rsid w:val="00EB4144"/>
    <w:rsid w:val="00EB47B8"/>
    <w:rsid w:val="00EC1864"/>
    <w:rsid w:val="00ED2F54"/>
    <w:rsid w:val="00ED6110"/>
    <w:rsid w:val="00EE26F6"/>
    <w:rsid w:val="00EE484D"/>
    <w:rsid w:val="00EE6949"/>
    <w:rsid w:val="00EF29A9"/>
    <w:rsid w:val="00EF4ECD"/>
    <w:rsid w:val="00F0240C"/>
    <w:rsid w:val="00F03E27"/>
    <w:rsid w:val="00F06C0A"/>
    <w:rsid w:val="00F12576"/>
    <w:rsid w:val="00F15FE9"/>
    <w:rsid w:val="00F17C99"/>
    <w:rsid w:val="00F215FD"/>
    <w:rsid w:val="00F22EFA"/>
    <w:rsid w:val="00F25666"/>
    <w:rsid w:val="00F2742C"/>
    <w:rsid w:val="00F3345D"/>
    <w:rsid w:val="00F35323"/>
    <w:rsid w:val="00F50EB2"/>
    <w:rsid w:val="00F51B3D"/>
    <w:rsid w:val="00F55A53"/>
    <w:rsid w:val="00F57428"/>
    <w:rsid w:val="00F57C3D"/>
    <w:rsid w:val="00F60D10"/>
    <w:rsid w:val="00F6103B"/>
    <w:rsid w:val="00F61C7A"/>
    <w:rsid w:val="00F62871"/>
    <w:rsid w:val="00F64484"/>
    <w:rsid w:val="00F673B4"/>
    <w:rsid w:val="00F67EA6"/>
    <w:rsid w:val="00F70E9B"/>
    <w:rsid w:val="00F73E9E"/>
    <w:rsid w:val="00F752ED"/>
    <w:rsid w:val="00F770DA"/>
    <w:rsid w:val="00F80059"/>
    <w:rsid w:val="00F816CD"/>
    <w:rsid w:val="00F82378"/>
    <w:rsid w:val="00F8259D"/>
    <w:rsid w:val="00F84290"/>
    <w:rsid w:val="00F87248"/>
    <w:rsid w:val="00F90AC9"/>
    <w:rsid w:val="00F9307B"/>
    <w:rsid w:val="00F961C6"/>
    <w:rsid w:val="00FA104A"/>
    <w:rsid w:val="00FA1AF1"/>
    <w:rsid w:val="00FA1B6B"/>
    <w:rsid w:val="00FA6C5E"/>
    <w:rsid w:val="00FB1C44"/>
    <w:rsid w:val="00FB1E0A"/>
    <w:rsid w:val="00FB6A3D"/>
    <w:rsid w:val="00FB6D18"/>
    <w:rsid w:val="00FC0BF0"/>
    <w:rsid w:val="00FC1360"/>
    <w:rsid w:val="00FC22BF"/>
    <w:rsid w:val="00FC2D41"/>
    <w:rsid w:val="00FC5749"/>
    <w:rsid w:val="00FD1AB7"/>
    <w:rsid w:val="00FD2D45"/>
    <w:rsid w:val="00FD2E08"/>
    <w:rsid w:val="00FE4042"/>
    <w:rsid w:val="00FE60FB"/>
    <w:rsid w:val="00FE704A"/>
    <w:rsid w:val="00FE7F66"/>
    <w:rsid w:val="00FF07CE"/>
    <w:rsid w:val="00FF0C88"/>
    <w:rsid w:val="00FF103D"/>
    <w:rsid w:val="00FF64D6"/>
    <w:rsid w:val="00FF783D"/>
    <w:rsid w:val="019463BA"/>
    <w:rsid w:val="047F3B2C"/>
    <w:rsid w:val="05BE1FE7"/>
    <w:rsid w:val="05E665FB"/>
    <w:rsid w:val="06B70A90"/>
    <w:rsid w:val="07656842"/>
    <w:rsid w:val="07B92A66"/>
    <w:rsid w:val="08EE02B1"/>
    <w:rsid w:val="0A7863D1"/>
    <w:rsid w:val="0BBB1F63"/>
    <w:rsid w:val="0C4F10DB"/>
    <w:rsid w:val="0E567F7C"/>
    <w:rsid w:val="0EBE6BB4"/>
    <w:rsid w:val="10862FDD"/>
    <w:rsid w:val="117748B7"/>
    <w:rsid w:val="11860628"/>
    <w:rsid w:val="14127A7E"/>
    <w:rsid w:val="141C4466"/>
    <w:rsid w:val="1453419E"/>
    <w:rsid w:val="14D20D30"/>
    <w:rsid w:val="1822100D"/>
    <w:rsid w:val="182A69FC"/>
    <w:rsid w:val="190C50BF"/>
    <w:rsid w:val="19D426FF"/>
    <w:rsid w:val="1B281E85"/>
    <w:rsid w:val="1B9F478E"/>
    <w:rsid w:val="1C7902EF"/>
    <w:rsid w:val="1F3046EB"/>
    <w:rsid w:val="1FAD690E"/>
    <w:rsid w:val="22516D42"/>
    <w:rsid w:val="22C017E9"/>
    <w:rsid w:val="25ED5F6E"/>
    <w:rsid w:val="28F14ADF"/>
    <w:rsid w:val="29984596"/>
    <w:rsid w:val="29A81815"/>
    <w:rsid w:val="2AE82BBF"/>
    <w:rsid w:val="2DD82143"/>
    <w:rsid w:val="30431AE8"/>
    <w:rsid w:val="31E01DE3"/>
    <w:rsid w:val="32AC4A7D"/>
    <w:rsid w:val="33867AAC"/>
    <w:rsid w:val="339E6ED8"/>
    <w:rsid w:val="34056568"/>
    <w:rsid w:val="346C2EA6"/>
    <w:rsid w:val="349F68E8"/>
    <w:rsid w:val="34EC228F"/>
    <w:rsid w:val="372E1EF2"/>
    <w:rsid w:val="37471427"/>
    <w:rsid w:val="37A4428E"/>
    <w:rsid w:val="3D934113"/>
    <w:rsid w:val="3F440938"/>
    <w:rsid w:val="3F651A8E"/>
    <w:rsid w:val="3F852C53"/>
    <w:rsid w:val="456F05B2"/>
    <w:rsid w:val="4B5D7098"/>
    <w:rsid w:val="4D6D2727"/>
    <w:rsid w:val="4F380555"/>
    <w:rsid w:val="4FC76969"/>
    <w:rsid w:val="51EA6A1B"/>
    <w:rsid w:val="55792FF6"/>
    <w:rsid w:val="56F65A85"/>
    <w:rsid w:val="5B426A7D"/>
    <w:rsid w:val="5B87020E"/>
    <w:rsid w:val="5C9E31FD"/>
    <w:rsid w:val="5DFD0B0B"/>
    <w:rsid w:val="61D94A0C"/>
    <w:rsid w:val="64B12D92"/>
    <w:rsid w:val="65610D73"/>
    <w:rsid w:val="66AD6467"/>
    <w:rsid w:val="66C451AE"/>
    <w:rsid w:val="66EB246B"/>
    <w:rsid w:val="6F7264A0"/>
    <w:rsid w:val="71816C21"/>
    <w:rsid w:val="733F46DE"/>
    <w:rsid w:val="737900D7"/>
    <w:rsid w:val="74205DB5"/>
    <w:rsid w:val="75F21505"/>
    <w:rsid w:val="76025CBF"/>
    <w:rsid w:val="765421D5"/>
    <w:rsid w:val="77416E84"/>
    <w:rsid w:val="788A2AAC"/>
    <w:rsid w:val="79A42945"/>
    <w:rsid w:val="79AF722A"/>
    <w:rsid w:val="7A431E2E"/>
    <w:rsid w:val="7B7D2890"/>
    <w:rsid w:val="7D89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name="toc 2"/>
    <w:lsdException w:uiPriority="39"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2"/>
      <w:szCs w:val="20"/>
      <w:lang w:val="en-US" w:eastAsia="zh-CN" w:bidi="ar-SA"/>
    </w:rPr>
  </w:style>
  <w:style w:type="paragraph" w:styleId="3">
    <w:name w:val="heading 1"/>
    <w:basedOn w:val="1"/>
    <w:next w:val="1"/>
    <w:link w:val="43"/>
    <w:qFormat/>
    <w:uiPriority w:val="0"/>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4">
    <w:name w:val="heading 2"/>
    <w:basedOn w:val="1"/>
    <w:next w:val="1"/>
    <w:link w:val="44"/>
    <w:qFormat/>
    <w:uiPriority w:val="0"/>
    <w:pPr>
      <w:keepNext/>
      <w:keepLines/>
      <w:widowControl/>
      <w:tabs>
        <w:tab w:val="left" w:pos="576"/>
      </w:tabs>
      <w:spacing w:before="240" w:after="240" w:line="360" w:lineRule="auto"/>
      <w:jc w:val="left"/>
      <w:outlineLvl w:val="1"/>
    </w:pPr>
    <w:rPr>
      <w:rFonts w:eastAsia="黑体"/>
      <w:kern w:val="0"/>
      <w:sz w:val="30"/>
    </w:rPr>
  </w:style>
  <w:style w:type="paragraph" w:styleId="5">
    <w:name w:val="heading 3"/>
    <w:basedOn w:val="1"/>
    <w:next w:val="1"/>
    <w:link w:val="53"/>
    <w:unhideWhenUsed/>
    <w:qFormat/>
    <w:uiPriority w:val="0"/>
    <w:pPr>
      <w:keepNext/>
      <w:keepLines/>
      <w:spacing w:before="120" w:after="120" w:line="360" w:lineRule="auto"/>
      <w:outlineLvl w:val="2"/>
    </w:pPr>
    <w:rPr>
      <w:b/>
      <w:bCs/>
      <w:sz w:val="24"/>
      <w:szCs w:val="32"/>
    </w:rPr>
  </w:style>
  <w:style w:type="paragraph" w:styleId="6">
    <w:name w:val="heading 4"/>
    <w:basedOn w:val="1"/>
    <w:next w:val="7"/>
    <w:link w:val="59"/>
    <w:qFormat/>
    <w:uiPriority w:val="0"/>
    <w:pPr>
      <w:keepNext/>
      <w:keepLines/>
      <w:tabs>
        <w:tab w:val="left" w:pos="864"/>
      </w:tabs>
      <w:spacing w:before="120" w:after="120" w:line="360" w:lineRule="auto"/>
      <w:outlineLvl w:val="3"/>
    </w:pPr>
    <w:rPr>
      <w:rFonts w:ascii="Arial" w:hAnsi="Arial" w:eastAsia="黑体"/>
      <w:sz w:val="24"/>
    </w:rPr>
  </w:style>
  <w:style w:type="paragraph" w:styleId="8">
    <w:name w:val="heading 5"/>
    <w:basedOn w:val="1"/>
    <w:next w:val="7"/>
    <w:link w:val="60"/>
    <w:qFormat/>
    <w:uiPriority w:val="9"/>
    <w:pPr>
      <w:keepNext/>
      <w:keepLines/>
      <w:tabs>
        <w:tab w:val="left" w:pos="1008"/>
      </w:tabs>
      <w:spacing w:before="120" w:after="120" w:line="360" w:lineRule="auto"/>
      <w:outlineLvl w:val="4"/>
    </w:pPr>
    <w:rPr>
      <w:rFonts w:ascii="Calibri" w:hAnsi="Calibri"/>
      <w:i/>
      <w:sz w:val="24"/>
    </w:rPr>
  </w:style>
  <w:style w:type="paragraph" w:styleId="9">
    <w:name w:val="heading 6"/>
    <w:basedOn w:val="1"/>
    <w:next w:val="7"/>
    <w:link w:val="61"/>
    <w:qFormat/>
    <w:uiPriority w:val="9"/>
    <w:pPr>
      <w:keepNext/>
      <w:keepLines/>
      <w:tabs>
        <w:tab w:val="left" w:pos="1152"/>
      </w:tabs>
      <w:spacing w:before="240" w:after="64" w:line="319" w:lineRule="auto"/>
      <w:outlineLvl w:val="5"/>
    </w:pPr>
    <w:rPr>
      <w:rFonts w:ascii="Arial" w:hAnsi="Arial" w:eastAsia="黑体"/>
      <w:b/>
      <w:sz w:val="24"/>
    </w:rPr>
  </w:style>
  <w:style w:type="paragraph" w:styleId="10">
    <w:name w:val="heading 7"/>
    <w:basedOn w:val="1"/>
    <w:next w:val="7"/>
    <w:link w:val="62"/>
    <w:qFormat/>
    <w:uiPriority w:val="0"/>
    <w:pPr>
      <w:keepNext/>
      <w:keepLines/>
      <w:tabs>
        <w:tab w:val="left" w:pos="1296"/>
      </w:tabs>
      <w:spacing w:before="240" w:after="64" w:line="319" w:lineRule="auto"/>
      <w:outlineLvl w:val="6"/>
    </w:pPr>
    <w:rPr>
      <w:rFonts w:ascii="Calibri" w:hAnsi="Calibri"/>
      <w:b/>
      <w:sz w:val="24"/>
    </w:rPr>
  </w:style>
  <w:style w:type="paragraph" w:styleId="11">
    <w:name w:val="heading 8"/>
    <w:basedOn w:val="1"/>
    <w:next w:val="7"/>
    <w:link w:val="63"/>
    <w:qFormat/>
    <w:uiPriority w:val="0"/>
    <w:pPr>
      <w:keepNext/>
      <w:keepLines/>
      <w:tabs>
        <w:tab w:val="left" w:pos="1440"/>
      </w:tabs>
      <w:spacing w:before="240" w:after="64" w:line="319" w:lineRule="auto"/>
      <w:outlineLvl w:val="7"/>
    </w:pPr>
    <w:rPr>
      <w:rFonts w:ascii="Arial" w:hAnsi="Arial" w:eastAsia="黑体"/>
      <w:sz w:val="24"/>
    </w:rPr>
  </w:style>
  <w:style w:type="paragraph" w:styleId="12">
    <w:name w:val="heading 9"/>
    <w:basedOn w:val="1"/>
    <w:next w:val="7"/>
    <w:link w:val="64"/>
    <w:qFormat/>
    <w:uiPriority w:val="0"/>
    <w:pPr>
      <w:keepNext/>
      <w:keepLines/>
      <w:tabs>
        <w:tab w:val="left" w:pos="1584"/>
      </w:tabs>
      <w:spacing w:before="240" w:after="64" w:line="319" w:lineRule="auto"/>
      <w:outlineLvl w:val="8"/>
    </w:pPr>
    <w:rPr>
      <w:rFonts w:ascii="Arial" w:hAnsi="Arial" w:eastAsia="黑体"/>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unhideWhenUsed/>
    <w:qFormat/>
    <w:uiPriority w:val="99"/>
    <w:pPr>
      <w:spacing w:after="120"/>
    </w:pPr>
  </w:style>
  <w:style w:type="paragraph" w:styleId="7">
    <w:name w:val="Normal Indent"/>
    <w:basedOn w:val="1"/>
    <w:link w:val="75"/>
    <w:unhideWhenUsed/>
    <w:qFormat/>
    <w:uiPriority w:val="0"/>
    <w:pPr>
      <w:ind w:firstLine="420" w:firstLineChars="200"/>
    </w:pPr>
    <w:rPr>
      <w:rFonts w:asciiTheme="minorHAnsi" w:hAnsiTheme="minorHAnsi" w:eastAsiaTheme="minorEastAsia" w:cstheme="minorBidi"/>
      <w:szCs w:val="22"/>
    </w:rPr>
  </w:style>
  <w:style w:type="paragraph" w:styleId="13">
    <w:name w:val="caption"/>
    <w:basedOn w:val="1"/>
    <w:next w:val="1"/>
    <w:qFormat/>
    <w:uiPriority w:val="0"/>
    <w:pPr>
      <w:widowControl/>
      <w:spacing w:before="120" w:after="120"/>
      <w:jc w:val="left"/>
    </w:pPr>
    <w:rPr>
      <w:rFonts w:ascii="Calibri" w:hAnsi="Calibri"/>
      <w:b/>
      <w:bCs/>
      <w:kern w:val="0"/>
      <w:sz w:val="20"/>
    </w:rPr>
  </w:style>
  <w:style w:type="paragraph" w:styleId="14">
    <w:name w:val="Document Map"/>
    <w:basedOn w:val="1"/>
    <w:link w:val="76"/>
    <w:unhideWhenUsed/>
    <w:qFormat/>
    <w:uiPriority w:val="99"/>
    <w:pPr>
      <w:widowControl/>
      <w:adjustRightInd w:val="0"/>
      <w:snapToGrid w:val="0"/>
      <w:spacing w:after="200"/>
      <w:jc w:val="left"/>
    </w:pPr>
    <w:rPr>
      <w:rFonts w:ascii="宋体" w:hAnsi="Tahoma" w:eastAsiaTheme="minorEastAsia" w:cstheme="minorBidi"/>
      <w:sz w:val="18"/>
      <w:szCs w:val="18"/>
    </w:r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90"/>
    <w:unhideWhenUsed/>
    <w:qFormat/>
    <w:uiPriority w:val="0"/>
    <w:pPr>
      <w:widowControl/>
      <w:adjustRightInd w:val="0"/>
      <w:snapToGrid w:val="0"/>
      <w:spacing w:after="200"/>
      <w:jc w:val="left"/>
    </w:pPr>
    <w:rPr>
      <w:rFonts w:ascii="Tahoma" w:hAnsi="Tahoma" w:eastAsia="微软雅黑"/>
      <w:kern w:val="0"/>
      <w:szCs w:val="22"/>
    </w:rPr>
  </w:style>
  <w:style w:type="paragraph" w:styleId="17">
    <w:name w:val="Body Text Indent"/>
    <w:basedOn w:val="1"/>
    <w:link w:val="56"/>
    <w:unhideWhenUsed/>
    <w:qFormat/>
    <w:uiPriority w:val="99"/>
    <w:pPr>
      <w:spacing w:after="120"/>
      <w:ind w:left="420" w:leftChars="200"/>
    </w:pPr>
    <w:rPr>
      <w:rFonts w:asciiTheme="minorHAnsi" w:hAnsiTheme="minorHAnsi" w:eastAsiaTheme="minorEastAsia" w:cstheme="minorBidi"/>
      <w:szCs w:val="22"/>
    </w:rPr>
  </w:style>
  <w:style w:type="paragraph" w:styleId="18">
    <w:name w:val="Plain Text"/>
    <w:basedOn w:val="1"/>
    <w:next w:val="1"/>
    <w:link w:val="55"/>
    <w:qFormat/>
    <w:uiPriority w:val="0"/>
    <w:rPr>
      <w:rFonts w:ascii="宋体" w:hAnsi="Courier New" w:eastAsiaTheme="minorEastAsia" w:cstheme="minorBidi"/>
      <w:szCs w:val="22"/>
    </w:rPr>
  </w:style>
  <w:style w:type="paragraph" w:styleId="19">
    <w:name w:val="Date"/>
    <w:basedOn w:val="1"/>
    <w:next w:val="1"/>
    <w:link w:val="47"/>
    <w:qFormat/>
    <w:uiPriority w:val="0"/>
    <w:pPr>
      <w:ind w:left="100" w:leftChars="2500"/>
    </w:pPr>
    <w:rPr>
      <w:rFonts w:asciiTheme="minorHAnsi" w:hAnsiTheme="minorHAnsi" w:eastAsiaTheme="minorEastAsia" w:cstheme="minorBidi"/>
      <w:color w:val="000000"/>
      <w:sz w:val="24"/>
      <w:szCs w:val="24"/>
    </w:rPr>
  </w:style>
  <w:style w:type="paragraph" w:styleId="20">
    <w:name w:val="Body Text Indent 2"/>
    <w:basedOn w:val="1"/>
    <w:link w:val="65"/>
    <w:qFormat/>
    <w:uiPriority w:val="0"/>
    <w:pPr>
      <w:spacing w:after="120" w:line="480" w:lineRule="auto"/>
      <w:ind w:left="420" w:leftChars="200"/>
    </w:pPr>
    <w:rPr>
      <w:rFonts w:asciiTheme="minorHAnsi" w:hAnsiTheme="minorHAnsi" w:eastAsiaTheme="minorEastAsia" w:cstheme="minorBidi"/>
      <w:szCs w:val="22"/>
    </w:rPr>
  </w:style>
  <w:style w:type="paragraph" w:styleId="21">
    <w:name w:val="Balloon Text"/>
    <w:basedOn w:val="1"/>
    <w:link w:val="50"/>
    <w:semiHidden/>
    <w:unhideWhenUsed/>
    <w:qFormat/>
    <w:uiPriority w:val="0"/>
    <w:rPr>
      <w:sz w:val="18"/>
      <w:szCs w:val="18"/>
    </w:rPr>
  </w:style>
  <w:style w:type="paragraph" w:styleId="22">
    <w:name w:val="footer"/>
    <w:basedOn w:val="1"/>
    <w:link w:val="42"/>
    <w:unhideWhenUsed/>
    <w:qFormat/>
    <w:uiPriority w:val="99"/>
    <w:pPr>
      <w:tabs>
        <w:tab w:val="center" w:pos="4153"/>
        <w:tab w:val="right" w:pos="8306"/>
      </w:tabs>
      <w:snapToGrid w:val="0"/>
      <w:jc w:val="left"/>
    </w:pPr>
    <w:rPr>
      <w:sz w:val="18"/>
      <w:szCs w:val="18"/>
    </w:rPr>
  </w:style>
  <w:style w:type="paragraph" w:styleId="2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spacing w:before="120" w:after="120"/>
      <w:jc w:val="left"/>
    </w:pPr>
    <w:rPr>
      <w:b/>
      <w:bCs/>
      <w:caps/>
      <w:sz w:val="20"/>
    </w:rPr>
  </w:style>
  <w:style w:type="paragraph" w:styleId="25">
    <w:name w:val="Subtitle"/>
    <w:basedOn w:val="1"/>
    <w:next w:val="1"/>
    <w:link w:val="73"/>
    <w:qFormat/>
    <w:uiPriority w:val="11"/>
    <w:pPr>
      <w:widowControl/>
      <w:adjustRightInd w:val="0"/>
      <w:snapToGrid w:val="0"/>
      <w:spacing w:before="240" w:after="60" w:line="312" w:lineRule="auto"/>
      <w:jc w:val="center"/>
      <w:outlineLvl w:val="1"/>
    </w:pPr>
    <w:rPr>
      <w:rFonts w:ascii="Cambria" w:hAnsi="Cambria" w:eastAsiaTheme="minorEastAsia" w:cstheme="minorBidi"/>
      <w:b/>
      <w:bCs/>
      <w:kern w:val="28"/>
      <w:sz w:val="32"/>
      <w:szCs w:val="32"/>
    </w:rPr>
  </w:style>
  <w:style w:type="paragraph" w:styleId="26">
    <w:name w:val="toc 6"/>
    <w:basedOn w:val="1"/>
    <w:next w:val="1"/>
    <w:autoRedefine/>
    <w:unhideWhenUsed/>
    <w:qFormat/>
    <w:uiPriority w:val="0"/>
    <w:pPr>
      <w:ind w:left="2100" w:leftChars="1000"/>
    </w:pPr>
  </w:style>
  <w:style w:type="paragraph" w:styleId="27">
    <w:name w:val="Body Text Indent 3"/>
    <w:basedOn w:val="1"/>
    <w:link w:val="45"/>
    <w:qFormat/>
    <w:uiPriority w:val="0"/>
    <w:pPr>
      <w:autoSpaceDE w:val="0"/>
      <w:autoSpaceDN w:val="0"/>
      <w:spacing w:line="400" w:lineRule="atLeast"/>
      <w:ind w:firstLine="443" w:firstLineChars="200"/>
      <w:textAlignment w:val="bottom"/>
    </w:pPr>
    <w:rPr>
      <w:rFonts w:eastAsia="黑体" w:asciiTheme="minorHAnsi" w:hAnsiTheme="minorHAnsi" w:cstheme="minorBidi"/>
      <w:color w:val="000000"/>
      <w:sz w:val="24"/>
      <w:szCs w:val="22"/>
    </w:rPr>
  </w:style>
  <w:style w:type="paragraph" w:styleId="28">
    <w:name w:val="toc 2"/>
    <w:basedOn w:val="1"/>
    <w:next w:val="1"/>
    <w:autoRedefine/>
    <w:semiHidden/>
    <w:unhideWhenUsed/>
    <w:qFormat/>
    <w:uiPriority w:val="0"/>
    <w:pPr>
      <w:ind w:left="420" w:leftChars="200"/>
    </w:pPr>
  </w:style>
  <w:style w:type="paragraph" w:styleId="29">
    <w:name w:val="Normal (Web)"/>
    <w:basedOn w:val="1"/>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0">
    <w:name w:val="Title"/>
    <w:basedOn w:val="1"/>
    <w:next w:val="1"/>
    <w:link w:val="49"/>
    <w:qFormat/>
    <w:uiPriority w:val="10"/>
    <w:pPr>
      <w:spacing w:before="240" w:after="60"/>
      <w:jc w:val="center"/>
      <w:outlineLvl w:val="0"/>
    </w:pPr>
    <w:rPr>
      <w:rFonts w:asciiTheme="majorHAnsi" w:hAnsiTheme="majorHAnsi" w:cstheme="majorBidi"/>
      <w:b/>
      <w:bCs/>
      <w:sz w:val="32"/>
      <w:szCs w:val="32"/>
    </w:rPr>
  </w:style>
  <w:style w:type="paragraph" w:styleId="31">
    <w:name w:val="Body Text First Indent"/>
    <w:basedOn w:val="2"/>
    <w:next w:val="26"/>
    <w:link w:val="54"/>
    <w:unhideWhenUsed/>
    <w:qFormat/>
    <w:uiPriority w:val="0"/>
    <w:pPr>
      <w:ind w:firstLine="420" w:firstLineChars="100"/>
    </w:pPr>
  </w:style>
  <w:style w:type="table" w:styleId="33">
    <w:name w:val="Table Grid"/>
    <w:basedOn w:val="3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rFonts w:eastAsia="宋体"/>
      <w:b/>
      <w:bCs/>
      <w:kern w:val="2"/>
      <w:sz w:val="21"/>
      <w:szCs w:val="24"/>
      <w:lang w:val="en-US" w:eastAsia="zh-CN" w:bidi="ar-SA"/>
    </w:rPr>
  </w:style>
  <w:style w:type="character" w:styleId="36">
    <w:name w:val="page number"/>
    <w:basedOn w:val="34"/>
    <w:qFormat/>
    <w:uiPriority w:val="0"/>
    <w:rPr>
      <w:rFonts w:ascii="宋体" w:cs="Times New Roman"/>
      <w:sz w:val="18"/>
      <w:szCs w:val="18"/>
    </w:rPr>
  </w:style>
  <w:style w:type="character" w:styleId="37">
    <w:name w:val="FollowedHyperlink"/>
    <w:basedOn w:val="34"/>
    <w:unhideWhenUsed/>
    <w:qFormat/>
    <w:uiPriority w:val="99"/>
    <w:rPr>
      <w:rFonts w:ascii="宋体"/>
      <w:color w:val="333333"/>
      <w:sz w:val="18"/>
      <w:szCs w:val="18"/>
      <w:u w:val="none"/>
    </w:rPr>
  </w:style>
  <w:style w:type="character" w:styleId="38">
    <w:name w:val="Emphasis"/>
    <w:qFormat/>
    <w:uiPriority w:val="0"/>
    <w:rPr>
      <w:rFonts w:eastAsia="宋体"/>
      <w:kern w:val="2"/>
      <w:sz w:val="21"/>
      <w:szCs w:val="24"/>
      <w:lang w:val="en-US" w:eastAsia="zh-CN" w:bidi="ar-SA"/>
    </w:rPr>
  </w:style>
  <w:style w:type="character" w:styleId="39">
    <w:name w:val="Hyperlink"/>
    <w:basedOn w:val="34"/>
    <w:qFormat/>
    <w:uiPriority w:val="0"/>
    <w:rPr>
      <w:rFonts w:ascii="宋体"/>
      <w:color w:val="333333"/>
      <w:sz w:val="18"/>
      <w:szCs w:val="18"/>
      <w:u w:val="none"/>
    </w:rPr>
  </w:style>
  <w:style w:type="character" w:styleId="40">
    <w:name w:val="annotation reference"/>
    <w:unhideWhenUsed/>
    <w:qFormat/>
    <w:uiPriority w:val="0"/>
    <w:rPr>
      <w:sz w:val="21"/>
      <w:szCs w:val="21"/>
    </w:rPr>
  </w:style>
  <w:style w:type="character" w:customStyle="1" w:styleId="41">
    <w:name w:val="页眉 字符"/>
    <w:basedOn w:val="34"/>
    <w:link w:val="23"/>
    <w:qFormat/>
    <w:uiPriority w:val="99"/>
    <w:rPr>
      <w:sz w:val="18"/>
      <w:szCs w:val="18"/>
    </w:rPr>
  </w:style>
  <w:style w:type="character" w:customStyle="1" w:styleId="42">
    <w:name w:val="页脚 字符"/>
    <w:basedOn w:val="34"/>
    <w:link w:val="22"/>
    <w:qFormat/>
    <w:uiPriority w:val="99"/>
    <w:rPr>
      <w:sz w:val="18"/>
      <w:szCs w:val="18"/>
    </w:rPr>
  </w:style>
  <w:style w:type="character" w:customStyle="1" w:styleId="43">
    <w:name w:val="标题 1 字符"/>
    <w:basedOn w:val="34"/>
    <w:link w:val="3"/>
    <w:qFormat/>
    <w:uiPriority w:val="0"/>
    <w:rPr>
      <w:rFonts w:ascii="黑体" w:hAnsi="Times New Roman" w:cs="Times New Roman" w:eastAsiaTheme="majorEastAsia"/>
      <w:b/>
      <w:spacing w:val="24"/>
      <w:kern w:val="44"/>
      <w:sz w:val="36"/>
      <w:szCs w:val="20"/>
    </w:rPr>
  </w:style>
  <w:style w:type="character" w:customStyle="1" w:styleId="44">
    <w:name w:val="标题 2 字符"/>
    <w:basedOn w:val="34"/>
    <w:link w:val="4"/>
    <w:qFormat/>
    <w:uiPriority w:val="0"/>
    <w:rPr>
      <w:rFonts w:ascii="Times New Roman" w:hAnsi="Times New Roman" w:eastAsia="黑体" w:cs="Times New Roman"/>
      <w:kern w:val="0"/>
      <w:sz w:val="30"/>
      <w:szCs w:val="20"/>
    </w:rPr>
  </w:style>
  <w:style w:type="character" w:customStyle="1" w:styleId="45">
    <w:name w:val="正文文本缩进 3 字符"/>
    <w:link w:val="27"/>
    <w:qFormat/>
    <w:uiPriority w:val="0"/>
    <w:rPr>
      <w:rFonts w:eastAsia="黑体"/>
      <w:color w:val="000000"/>
      <w:sz w:val="24"/>
    </w:rPr>
  </w:style>
  <w:style w:type="character" w:customStyle="1" w:styleId="46">
    <w:name w:val="正文文本缩进 3 Char1"/>
    <w:basedOn w:val="34"/>
    <w:semiHidden/>
    <w:qFormat/>
    <w:uiPriority w:val="99"/>
    <w:rPr>
      <w:rFonts w:ascii="Times New Roman" w:hAnsi="Times New Roman" w:eastAsia="宋体" w:cs="Times New Roman"/>
      <w:sz w:val="16"/>
      <w:szCs w:val="16"/>
    </w:rPr>
  </w:style>
  <w:style w:type="character" w:customStyle="1" w:styleId="47">
    <w:name w:val="日期 字符"/>
    <w:link w:val="19"/>
    <w:qFormat/>
    <w:uiPriority w:val="0"/>
    <w:rPr>
      <w:color w:val="000000"/>
      <w:sz w:val="24"/>
      <w:szCs w:val="24"/>
    </w:rPr>
  </w:style>
  <w:style w:type="character" w:customStyle="1" w:styleId="48">
    <w:name w:val="日期 Char1"/>
    <w:basedOn w:val="34"/>
    <w:semiHidden/>
    <w:qFormat/>
    <w:uiPriority w:val="99"/>
    <w:rPr>
      <w:rFonts w:ascii="Times New Roman" w:hAnsi="Times New Roman" w:eastAsia="宋体" w:cs="Times New Roman"/>
      <w:szCs w:val="20"/>
    </w:rPr>
  </w:style>
  <w:style w:type="character" w:customStyle="1" w:styleId="49">
    <w:name w:val="标题 字符"/>
    <w:basedOn w:val="34"/>
    <w:link w:val="30"/>
    <w:qFormat/>
    <w:uiPriority w:val="10"/>
    <w:rPr>
      <w:rFonts w:eastAsia="宋体" w:asciiTheme="majorHAnsi" w:hAnsiTheme="majorHAnsi" w:cstheme="majorBidi"/>
      <w:b/>
      <w:bCs/>
      <w:sz w:val="32"/>
      <w:szCs w:val="32"/>
    </w:rPr>
  </w:style>
  <w:style w:type="character" w:customStyle="1" w:styleId="50">
    <w:name w:val="批注框文本 字符"/>
    <w:basedOn w:val="34"/>
    <w:link w:val="21"/>
    <w:semiHidden/>
    <w:qFormat/>
    <w:uiPriority w:val="99"/>
    <w:rPr>
      <w:rFonts w:ascii="Times New Roman" w:hAnsi="Times New Roman" w:eastAsia="宋体" w:cs="Times New Roman"/>
      <w:sz w:val="18"/>
      <w:szCs w:val="18"/>
    </w:rPr>
  </w:style>
  <w:style w:type="paragraph" w:customStyle="1" w:styleId="51">
    <w:name w:val="表格文字"/>
    <w:basedOn w:val="1"/>
    <w:next w:val="2"/>
    <w:qFormat/>
    <w:uiPriority w:val="0"/>
    <w:pPr>
      <w:adjustRightInd w:val="0"/>
      <w:spacing w:line="420" w:lineRule="atLeast"/>
      <w:textAlignment w:val="baseline"/>
    </w:pPr>
    <w:rPr>
      <w:rFonts w:ascii="Calibri" w:hAnsi="Calibri"/>
      <w:szCs w:val="24"/>
    </w:rPr>
  </w:style>
  <w:style w:type="character" w:customStyle="1" w:styleId="52">
    <w:name w:val="正文文本 字符"/>
    <w:basedOn w:val="34"/>
    <w:link w:val="2"/>
    <w:qFormat/>
    <w:uiPriority w:val="99"/>
    <w:rPr>
      <w:rFonts w:ascii="Times New Roman" w:hAnsi="Times New Roman" w:eastAsia="宋体" w:cs="Times New Roman"/>
      <w:szCs w:val="20"/>
    </w:rPr>
  </w:style>
  <w:style w:type="character" w:customStyle="1" w:styleId="53">
    <w:name w:val="标题 3 字符"/>
    <w:basedOn w:val="34"/>
    <w:link w:val="5"/>
    <w:qFormat/>
    <w:uiPriority w:val="0"/>
    <w:rPr>
      <w:rFonts w:ascii="Times New Roman" w:hAnsi="Times New Roman" w:eastAsia="宋体" w:cs="Times New Roman"/>
      <w:b/>
      <w:bCs/>
      <w:sz w:val="24"/>
      <w:szCs w:val="32"/>
    </w:rPr>
  </w:style>
  <w:style w:type="character" w:customStyle="1" w:styleId="54">
    <w:name w:val="正文文本首行缩进 字符"/>
    <w:basedOn w:val="52"/>
    <w:link w:val="31"/>
    <w:semiHidden/>
    <w:qFormat/>
    <w:uiPriority w:val="99"/>
    <w:rPr>
      <w:rFonts w:ascii="Times New Roman" w:hAnsi="Times New Roman" w:eastAsia="宋体" w:cs="Times New Roman"/>
      <w:szCs w:val="20"/>
    </w:rPr>
  </w:style>
  <w:style w:type="character" w:customStyle="1" w:styleId="55">
    <w:name w:val="纯文本 字符1"/>
    <w:link w:val="18"/>
    <w:qFormat/>
    <w:uiPriority w:val="0"/>
    <w:rPr>
      <w:rFonts w:ascii="宋体" w:hAnsi="Courier New"/>
    </w:rPr>
  </w:style>
  <w:style w:type="character" w:customStyle="1" w:styleId="56">
    <w:name w:val="正文文本缩进 字符"/>
    <w:link w:val="17"/>
    <w:qFormat/>
    <w:uiPriority w:val="99"/>
  </w:style>
  <w:style w:type="character" w:customStyle="1" w:styleId="57">
    <w:name w:val="纯文本 Char1"/>
    <w:basedOn w:val="34"/>
    <w:semiHidden/>
    <w:qFormat/>
    <w:uiPriority w:val="0"/>
    <w:rPr>
      <w:rFonts w:ascii="宋体" w:hAnsi="Courier New" w:eastAsia="宋体" w:cs="Courier New"/>
      <w:szCs w:val="21"/>
    </w:rPr>
  </w:style>
  <w:style w:type="character" w:customStyle="1" w:styleId="58">
    <w:name w:val="正文文本缩进 Char1"/>
    <w:basedOn w:val="34"/>
    <w:semiHidden/>
    <w:qFormat/>
    <w:uiPriority w:val="99"/>
    <w:rPr>
      <w:rFonts w:ascii="Times New Roman" w:hAnsi="Times New Roman" w:eastAsia="宋体" w:cs="Times New Roman"/>
      <w:szCs w:val="20"/>
    </w:rPr>
  </w:style>
  <w:style w:type="character" w:customStyle="1" w:styleId="59">
    <w:name w:val="标题 4 字符"/>
    <w:basedOn w:val="34"/>
    <w:link w:val="6"/>
    <w:qFormat/>
    <w:uiPriority w:val="0"/>
    <w:rPr>
      <w:rFonts w:ascii="Arial" w:hAnsi="Arial" w:eastAsia="黑体" w:cs="Times New Roman"/>
      <w:sz w:val="24"/>
      <w:szCs w:val="20"/>
    </w:rPr>
  </w:style>
  <w:style w:type="character" w:customStyle="1" w:styleId="60">
    <w:name w:val="标题 5 字符"/>
    <w:basedOn w:val="34"/>
    <w:link w:val="8"/>
    <w:qFormat/>
    <w:uiPriority w:val="9"/>
    <w:rPr>
      <w:rFonts w:ascii="Calibri" w:hAnsi="Calibri" w:eastAsia="宋体" w:cs="Times New Roman"/>
      <w:i/>
      <w:sz w:val="24"/>
      <w:szCs w:val="20"/>
    </w:rPr>
  </w:style>
  <w:style w:type="character" w:customStyle="1" w:styleId="61">
    <w:name w:val="标题 6 字符"/>
    <w:basedOn w:val="34"/>
    <w:link w:val="9"/>
    <w:qFormat/>
    <w:uiPriority w:val="9"/>
    <w:rPr>
      <w:rFonts w:ascii="Arial" w:hAnsi="Arial" w:eastAsia="黑体" w:cs="Times New Roman"/>
      <w:b/>
      <w:sz w:val="24"/>
      <w:szCs w:val="20"/>
    </w:rPr>
  </w:style>
  <w:style w:type="character" w:customStyle="1" w:styleId="62">
    <w:name w:val="标题 7 字符"/>
    <w:basedOn w:val="34"/>
    <w:link w:val="10"/>
    <w:qFormat/>
    <w:uiPriority w:val="0"/>
    <w:rPr>
      <w:rFonts w:ascii="Calibri" w:hAnsi="Calibri" w:eastAsia="宋体" w:cs="Times New Roman"/>
      <w:b/>
      <w:sz w:val="24"/>
      <w:szCs w:val="20"/>
    </w:rPr>
  </w:style>
  <w:style w:type="character" w:customStyle="1" w:styleId="63">
    <w:name w:val="标题 8 字符"/>
    <w:basedOn w:val="34"/>
    <w:link w:val="11"/>
    <w:qFormat/>
    <w:uiPriority w:val="0"/>
    <w:rPr>
      <w:rFonts w:ascii="Arial" w:hAnsi="Arial" w:eastAsia="黑体" w:cs="Times New Roman"/>
      <w:sz w:val="24"/>
      <w:szCs w:val="20"/>
    </w:rPr>
  </w:style>
  <w:style w:type="character" w:customStyle="1" w:styleId="64">
    <w:name w:val="标题 9 字符"/>
    <w:basedOn w:val="34"/>
    <w:link w:val="12"/>
    <w:qFormat/>
    <w:uiPriority w:val="0"/>
    <w:rPr>
      <w:rFonts w:ascii="Arial" w:hAnsi="Arial" w:eastAsia="黑体" w:cs="Times New Roman"/>
      <w:sz w:val="24"/>
      <w:szCs w:val="20"/>
    </w:rPr>
  </w:style>
  <w:style w:type="character" w:customStyle="1" w:styleId="65">
    <w:name w:val="正文文本缩进 2 字符"/>
    <w:link w:val="20"/>
    <w:qFormat/>
    <w:uiPriority w:val="0"/>
  </w:style>
  <w:style w:type="character" w:customStyle="1" w:styleId="66">
    <w:name w:val="列表段落 字符"/>
    <w:link w:val="67"/>
    <w:qFormat/>
    <w:uiPriority w:val="0"/>
    <w:rPr>
      <w:rFonts w:ascii="Calibri" w:hAnsi="Calibri"/>
    </w:rPr>
  </w:style>
  <w:style w:type="paragraph" w:styleId="67">
    <w:name w:val="List Paragraph"/>
    <w:basedOn w:val="1"/>
    <w:link w:val="66"/>
    <w:qFormat/>
    <w:uiPriority w:val="0"/>
    <w:pPr>
      <w:ind w:firstLine="420" w:firstLineChars="200"/>
    </w:pPr>
    <w:rPr>
      <w:rFonts w:ascii="Calibri" w:hAnsi="Calibri" w:eastAsiaTheme="minorEastAsia" w:cstheme="minorBidi"/>
      <w:szCs w:val="22"/>
    </w:rPr>
  </w:style>
  <w:style w:type="character" w:customStyle="1" w:styleId="68">
    <w:name w:val="正文文本缩进 2 Char1"/>
    <w:semiHidden/>
    <w:qFormat/>
    <w:uiPriority w:val="99"/>
    <w:rPr>
      <w:kern w:val="2"/>
      <w:sz w:val="21"/>
    </w:rPr>
  </w:style>
  <w:style w:type="character" w:customStyle="1" w:styleId="69">
    <w:name w:val="纯文本 Char2"/>
    <w:semiHidden/>
    <w:qFormat/>
    <w:uiPriority w:val="0"/>
    <w:rPr>
      <w:rFonts w:ascii="宋体" w:hAnsi="Courier New" w:eastAsia="宋体"/>
      <w:kern w:val="2"/>
      <w:sz w:val="21"/>
      <w:szCs w:val="21"/>
      <w:lang w:val="en-US" w:eastAsia="zh-CN" w:bidi="ar-SA"/>
    </w:rPr>
  </w:style>
  <w:style w:type="character" w:customStyle="1" w:styleId="70">
    <w:name w:val="标题 1 Char1"/>
    <w:qFormat/>
    <w:uiPriority w:val="0"/>
    <w:rPr>
      <w:rFonts w:ascii="Times New Roman" w:hAnsi="Times New Roman" w:eastAsia="宋体"/>
      <w:b/>
      <w:bCs/>
      <w:kern w:val="44"/>
      <w:sz w:val="44"/>
      <w:szCs w:val="44"/>
      <w:lang w:val="en-US" w:eastAsia="zh-CN" w:bidi="ar-SA"/>
    </w:rPr>
  </w:style>
  <w:style w:type="character" w:customStyle="1" w:styleId="71">
    <w:name w:val="bigtitle1"/>
    <w:qFormat/>
    <w:uiPriority w:val="0"/>
    <w:rPr>
      <w:sz w:val="28"/>
      <w:szCs w:val="28"/>
    </w:rPr>
  </w:style>
  <w:style w:type="character" w:customStyle="1" w:styleId="72">
    <w:name w:val="Char Char19"/>
    <w:qFormat/>
    <w:uiPriority w:val="0"/>
    <w:rPr>
      <w:kern w:val="2"/>
      <w:sz w:val="18"/>
      <w:szCs w:val="18"/>
    </w:rPr>
  </w:style>
  <w:style w:type="character" w:customStyle="1" w:styleId="73">
    <w:name w:val="副标题 字符"/>
    <w:link w:val="25"/>
    <w:qFormat/>
    <w:uiPriority w:val="11"/>
    <w:rPr>
      <w:rFonts w:ascii="Cambria" w:hAnsi="Cambria"/>
      <w:b/>
      <w:bCs/>
      <w:kern w:val="28"/>
      <w:sz w:val="32"/>
      <w:szCs w:val="32"/>
    </w:rPr>
  </w:style>
  <w:style w:type="character" w:customStyle="1" w:styleId="74">
    <w:name w:val="Char Char25"/>
    <w:qFormat/>
    <w:uiPriority w:val="0"/>
    <w:rPr>
      <w:kern w:val="2"/>
      <w:sz w:val="18"/>
      <w:szCs w:val="18"/>
    </w:rPr>
  </w:style>
  <w:style w:type="character" w:customStyle="1" w:styleId="75">
    <w:name w:val="正文缩进 字符"/>
    <w:link w:val="7"/>
    <w:qFormat/>
    <w:uiPriority w:val="0"/>
  </w:style>
  <w:style w:type="character" w:customStyle="1" w:styleId="76">
    <w:name w:val="文档结构图 字符"/>
    <w:link w:val="14"/>
    <w:qFormat/>
    <w:uiPriority w:val="99"/>
    <w:rPr>
      <w:rFonts w:ascii="宋体" w:hAnsi="Tahoma"/>
      <w:sz w:val="18"/>
      <w:szCs w:val="18"/>
    </w:rPr>
  </w:style>
  <w:style w:type="character" w:customStyle="1" w:styleId="77">
    <w:name w:val="Section Head Char"/>
    <w:qFormat/>
    <w:uiPriority w:val="0"/>
    <w:rPr>
      <w:rFonts w:ascii="黑体" w:eastAsia="黑体"/>
      <w:spacing w:val="24"/>
      <w:kern w:val="44"/>
      <w:sz w:val="32"/>
      <w:lang w:val="en-US" w:eastAsia="zh-CN"/>
    </w:rPr>
  </w:style>
  <w:style w:type="paragraph" w:customStyle="1" w:styleId="78">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79">
    <w:name w:val="Char Char51"/>
    <w:basedOn w:val="1"/>
    <w:qFormat/>
    <w:uiPriority w:val="0"/>
    <w:rPr>
      <w:rFonts w:ascii="Calibri" w:hAnsi="Calibri"/>
    </w:rPr>
  </w:style>
  <w:style w:type="paragraph" w:customStyle="1" w:styleId="80">
    <w:name w:val="itemlis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1">
    <w:name w:val="正文文本缩进 2 Char2"/>
    <w:basedOn w:val="34"/>
    <w:semiHidden/>
    <w:qFormat/>
    <w:uiPriority w:val="99"/>
    <w:rPr>
      <w:rFonts w:ascii="Times New Roman" w:hAnsi="Times New Roman" w:eastAsia="宋体" w:cs="Times New Roman"/>
      <w:szCs w:val="20"/>
    </w:rPr>
  </w:style>
  <w:style w:type="paragraph" w:customStyle="1" w:styleId="82">
    <w:name w:val="默认段落字体 Para Char Char Char Char Char Char Char"/>
    <w:basedOn w:val="14"/>
    <w:qFormat/>
    <w:uiPriority w:val="0"/>
    <w:pPr>
      <w:spacing w:line="436" w:lineRule="exact"/>
      <w:ind w:left="357"/>
      <w:outlineLvl w:val="3"/>
    </w:pPr>
  </w:style>
  <w:style w:type="paragraph" w:customStyle="1" w:styleId="83">
    <w:name w:val="正文1"/>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84">
    <w:name w:val="Char Char3"/>
    <w:basedOn w:val="1"/>
    <w:qFormat/>
    <w:uiPriority w:val="0"/>
    <w:rPr>
      <w:rFonts w:ascii="Tahoma" w:hAnsi="Tahoma"/>
      <w:sz w:val="24"/>
    </w:rPr>
  </w:style>
  <w:style w:type="paragraph" w:customStyle="1" w:styleId="8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86">
    <w:name w:val="_Style 3"/>
    <w:basedOn w:val="1"/>
    <w:next w:val="1"/>
    <w:qFormat/>
    <w:uiPriority w:val="0"/>
    <w:pPr>
      <w:pBdr>
        <w:top w:val="single" w:color="auto" w:sz="6" w:space="1"/>
      </w:pBdr>
      <w:jc w:val="center"/>
    </w:pPr>
    <w:rPr>
      <w:rFonts w:ascii="Arial" w:hAnsi="Calibri"/>
      <w:vanish/>
      <w:sz w:val="16"/>
    </w:rPr>
  </w:style>
  <w:style w:type="paragraph" w:customStyle="1" w:styleId="87">
    <w:name w:val="tabletext"/>
    <w:basedOn w:val="1"/>
    <w:qFormat/>
    <w:uiPriority w:val="0"/>
    <w:pPr>
      <w:widowControl/>
      <w:snapToGrid w:val="0"/>
      <w:spacing w:before="80" w:after="80"/>
      <w:jc w:val="left"/>
    </w:pPr>
    <w:rPr>
      <w:rFonts w:ascii="Arial" w:hAnsi="Arial" w:cs="Arial"/>
      <w:kern w:val="0"/>
      <w:sz w:val="18"/>
      <w:szCs w:val="18"/>
    </w:rPr>
  </w:style>
  <w:style w:type="character" w:customStyle="1" w:styleId="88">
    <w:name w:val="文档结构图 Char1"/>
    <w:basedOn w:val="34"/>
    <w:semiHidden/>
    <w:qFormat/>
    <w:uiPriority w:val="99"/>
    <w:rPr>
      <w:rFonts w:ascii="宋体" w:hAnsi="Times New Roman" w:eastAsia="宋体" w:cs="Times New Roman"/>
      <w:sz w:val="18"/>
      <w:szCs w:val="18"/>
    </w:rPr>
  </w:style>
  <w:style w:type="paragraph" w:customStyle="1" w:styleId="89">
    <w:name w:val="Table Description"/>
    <w:basedOn w:val="1"/>
    <w:qFormat/>
    <w:uiPriority w:val="0"/>
    <w:pPr>
      <w:ind w:left="1701"/>
    </w:pPr>
    <w:rPr>
      <w:rFonts w:ascii="Calibri" w:hAnsi="Calibri"/>
    </w:rPr>
  </w:style>
  <w:style w:type="character" w:customStyle="1" w:styleId="90">
    <w:name w:val="批注文字 字符"/>
    <w:basedOn w:val="34"/>
    <w:link w:val="16"/>
    <w:qFormat/>
    <w:uiPriority w:val="0"/>
    <w:rPr>
      <w:rFonts w:ascii="Tahoma" w:hAnsi="Tahoma" w:eastAsia="微软雅黑" w:cs="Times New Roman"/>
      <w:kern w:val="0"/>
      <w:sz w:val="22"/>
    </w:rPr>
  </w:style>
  <w:style w:type="paragraph" w:customStyle="1" w:styleId="91">
    <w:name w:val="Char Char31"/>
    <w:basedOn w:val="1"/>
    <w:qFormat/>
    <w:uiPriority w:val="0"/>
    <w:rPr>
      <w:rFonts w:ascii="Tahoma" w:hAnsi="Tahoma"/>
      <w:sz w:val="24"/>
    </w:rPr>
  </w:style>
  <w:style w:type="paragraph" w:customStyle="1" w:styleId="92">
    <w:name w:val="Char Char5"/>
    <w:basedOn w:val="1"/>
    <w:qFormat/>
    <w:uiPriority w:val="0"/>
    <w:rPr>
      <w:rFonts w:ascii="Calibri" w:hAnsi="Calibri"/>
    </w:rPr>
  </w:style>
  <w:style w:type="paragraph" w:customStyle="1" w:styleId="93">
    <w:name w:val="Figure Description"/>
    <w:basedOn w:val="1"/>
    <w:qFormat/>
    <w:uiPriority w:val="0"/>
    <w:pPr>
      <w:ind w:left="1701"/>
    </w:pPr>
    <w:rPr>
      <w:rFonts w:ascii="Calibri" w:hAnsi="Calibri"/>
    </w:rPr>
  </w:style>
  <w:style w:type="character" w:customStyle="1" w:styleId="94">
    <w:name w:val="副标题 Char1"/>
    <w:basedOn w:val="34"/>
    <w:qFormat/>
    <w:uiPriority w:val="11"/>
    <w:rPr>
      <w:rFonts w:eastAsia="宋体" w:asciiTheme="majorHAnsi" w:hAnsiTheme="majorHAnsi" w:cstheme="majorBidi"/>
      <w:b/>
      <w:bCs/>
      <w:kern w:val="28"/>
      <w:sz w:val="32"/>
      <w:szCs w:val="32"/>
    </w:rPr>
  </w:style>
  <w:style w:type="paragraph" w:customStyle="1" w:styleId="95">
    <w:name w:val="DB4CB73DC6DE4D1C91CC9795A5C1FE49"/>
    <w:qFormat/>
    <w:uiPriority w:val="0"/>
    <w:pPr>
      <w:spacing w:after="200" w:line="276" w:lineRule="auto"/>
    </w:pPr>
    <w:rPr>
      <w:rFonts w:ascii="Calibri" w:hAnsi="Calibri" w:eastAsia="宋体" w:cs="Times New Roman"/>
      <w:kern w:val="0"/>
      <w:sz w:val="22"/>
      <w:szCs w:val="22"/>
      <w:lang w:val="en-US" w:eastAsia="en-US" w:bidi="ar-SA"/>
    </w:rPr>
  </w:style>
  <w:style w:type="paragraph" w:customStyle="1" w:styleId="96">
    <w:name w:val="纯文本1"/>
    <w:basedOn w:val="83"/>
    <w:qFormat/>
    <w:uiPriority w:val="0"/>
    <w:pPr>
      <w:widowControl/>
      <w:jc w:val="left"/>
    </w:pPr>
    <w:rPr>
      <w:rFonts w:ascii="宋体" w:hAnsi="Courier New"/>
    </w:rPr>
  </w:style>
  <w:style w:type="paragraph" w:customStyle="1" w:styleId="97">
    <w:name w:val="_Style 9"/>
    <w:basedOn w:val="1"/>
    <w:qFormat/>
    <w:uiPriority w:val="0"/>
  </w:style>
  <w:style w:type="paragraph" w:customStyle="1" w:styleId="98">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99">
    <w:name w:val="_Style 2"/>
    <w:basedOn w:val="1"/>
    <w:next w:val="1"/>
    <w:qFormat/>
    <w:uiPriority w:val="0"/>
    <w:pPr>
      <w:pBdr>
        <w:bottom w:val="single" w:color="auto" w:sz="6" w:space="1"/>
      </w:pBdr>
      <w:jc w:val="center"/>
    </w:pPr>
    <w:rPr>
      <w:rFonts w:ascii="Arial" w:hAnsi="Calibri"/>
      <w:vanish/>
      <w:sz w:val="16"/>
    </w:rPr>
  </w:style>
  <w:style w:type="paragraph" w:customStyle="1" w:styleId="100">
    <w:name w:val="Char Char Char Char Char Char Char Char Char1 Char"/>
    <w:basedOn w:val="1"/>
    <w:qFormat/>
    <w:uiPriority w:val="0"/>
    <w:rPr>
      <w:rFonts w:ascii="Calibri" w:hAnsi="Calibri"/>
    </w:rPr>
  </w:style>
  <w:style w:type="paragraph" w:customStyle="1" w:styleId="101">
    <w:name w:val="Char Char Char Char Char Char Char Char Char1 Char1"/>
    <w:basedOn w:val="1"/>
    <w:qFormat/>
    <w:uiPriority w:val="0"/>
    <w:rPr>
      <w:rFonts w:ascii="Calibri" w:hAnsi="Calibri"/>
    </w:rPr>
  </w:style>
  <w:style w:type="paragraph" w:customStyle="1" w:styleId="102">
    <w:name w:val="列出段落1"/>
    <w:basedOn w:val="1"/>
    <w:qFormat/>
    <w:uiPriority w:val="0"/>
    <w:pPr>
      <w:ind w:firstLine="420" w:firstLineChars="200"/>
    </w:pPr>
    <w:rPr>
      <w:rFonts w:ascii="Calibri" w:hAnsi="Calibri"/>
      <w:kern w:val="0"/>
      <w:szCs w:val="21"/>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kern w:val="0"/>
      <w:sz w:val="20"/>
      <w:szCs w:val="28"/>
      <w:lang w:val="en-US" w:eastAsia="zh-CN" w:bidi="ar-SA"/>
    </w:rPr>
  </w:style>
  <w:style w:type="character" w:customStyle="1" w:styleId="104">
    <w:name w:val="Char Char191"/>
    <w:qFormat/>
    <w:uiPriority w:val="0"/>
    <w:rPr>
      <w:kern w:val="2"/>
      <w:sz w:val="18"/>
      <w:szCs w:val="18"/>
    </w:rPr>
  </w:style>
  <w:style w:type="character" w:customStyle="1" w:styleId="105">
    <w:name w:val="Char Char251"/>
    <w:qFormat/>
    <w:uiPriority w:val="0"/>
    <w:rPr>
      <w:kern w:val="2"/>
      <w:sz w:val="18"/>
      <w:szCs w:val="18"/>
    </w:rPr>
  </w:style>
  <w:style w:type="paragraph" w:customStyle="1" w:styleId="106">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07">
    <w:name w:val="纯文本2"/>
    <w:basedOn w:val="106"/>
    <w:qFormat/>
    <w:uiPriority w:val="0"/>
    <w:pPr>
      <w:widowControl/>
      <w:jc w:val="left"/>
    </w:pPr>
    <w:rPr>
      <w:rFonts w:ascii="宋体" w:hAnsi="Courier New"/>
    </w:rPr>
  </w:style>
  <w:style w:type="paragraph" w:customStyle="1" w:styleId="108">
    <w:name w:val="列出段落2"/>
    <w:basedOn w:val="1"/>
    <w:qFormat/>
    <w:uiPriority w:val="0"/>
    <w:pPr>
      <w:ind w:firstLine="420" w:firstLineChars="200"/>
    </w:pPr>
    <w:rPr>
      <w:rFonts w:ascii="Calibri" w:hAnsi="Calibri"/>
      <w:kern w:val="0"/>
      <w:sz w:val="21"/>
      <w:szCs w:val="21"/>
    </w:rPr>
  </w:style>
  <w:style w:type="paragraph" w:customStyle="1" w:styleId="109">
    <w:name w:val="列出段落3"/>
    <w:basedOn w:val="1"/>
    <w:qFormat/>
    <w:uiPriority w:val="0"/>
    <w:pPr>
      <w:ind w:firstLine="420" w:firstLineChars="200"/>
    </w:pPr>
    <w:rPr>
      <w:rFonts w:ascii="Calibri" w:hAnsi="Calibri" w:cs="新宋体"/>
      <w:sz w:val="21"/>
      <w:szCs w:val="22"/>
    </w:rPr>
  </w:style>
  <w:style w:type="character" w:customStyle="1" w:styleId="110">
    <w:name w:val="纯文本 字符"/>
    <w:qFormat/>
    <w:uiPriority w:val="0"/>
    <w:rPr>
      <w:rFonts w:ascii="宋体" w:hAnsi="Courier New" w:eastAsia="宋体"/>
      <w:kern w:val="2"/>
      <w:sz w:val="21"/>
      <w:lang w:val="en-US" w:eastAsia="zh-CN" w:bidi="ar-SA"/>
    </w:rPr>
  </w:style>
  <w:style w:type="paragraph" w:customStyle="1" w:styleId="111">
    <w:name w:val="正文3"/>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12">
    <w:name w:val="纯文本3"/>
    <w:basedOn w:val="111"/>
    <w:qFormat/>
    <w:uiPriority w:val="0"/>
    <w:pPr>
      <w:widowControl/>
      <w:jc w:val="left"/>
    </w:pPr>
    <w:rPr>
      <w:rFonts w:ascii="宋体" w:hAnsi="Courier New"/>
    </w:rPr>
  </w:style>
  <w:style w:type="character" w:customStyle="1" w:styleId="113">
    <w:name w:val="页眉 Char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763D7-D273-451B-937D-536B3FADB07A}">
  <ds:schemaRefs/>
</ds:datastoreItem>
</file>

<file path=docProps/app.xml><?xml version="1.0" encoding="utf-8"?>
<Properties xmlns="http://schemas.openxmlformats.org/officeDocument/2006/extended-properties" xmlns:vt="http://schemas.openxmlformats.org/officeDocument/2006/docPropsVTypes">
  <Template>Normal.dotm</Template>
  <Company>浙江东瓯</Company>
  <Pages>80</Pages>
  <Words>27421</Words>
  <Characters>28735</Characters>
  <Lines>436</Lines>
  <Paragraphs>122</Paragraphs>
  <TotalTime>54</TotalTime>
  <ScaleCrop>false</ScaleCrop>
  <LinksUpToDate>false</LinksUpToDate>
  <CharactersWithSpaces>29141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2020-09-12T13:20:00Z</dcterms:created>
  <dc:creator>ouyang128</dc:creator>
  <cp:lastModifiedBy>Administrator</cp:lastModifiedBy>
  <cp:lastPrinted>2025-06-16T08:15:00Z</cp:lastPrinted>
  <dcterms:modified xsi:type="dcterms:W3CDTF">2025-06-18T05:59:35Z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eyJoZGlkIjoiYWMwZGEzYTNlMzNjYmQ4M2JkNmQxZDNhODg3Y2Q2NDAiLCJ1c2VySWQiOiIyNjEwMDk2NzQifQ==</vt:lpwstr>
  </property>
  <property fmtid="{D5CDD505-2E9C-101B-9397-08002B2CF9AE}" pid="3" name="KSOProductBuildVer">
    <vt:lpwstr>2052-12.1.0.21541</vt:lpwstr>
  </property>
  <property fmtid="{D5CDD505-2E9C-101B-9397-08002B2CF9AE}" pid="4" name="ICV">
    <vt:lpwstr>E442F668160A400FB70616CDB9594601_13</vt:lpwstr>
  </property>
</Properties>
</file>