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33B4F">
      <w:pPr>
        <w:autoSpaceDE w:val="0"/>
        <w:autoSpaceDN w:val="0"/>
        <w:spacing w:line="360" w:lineRule="auto"/>
        <w:jc w:val="center"/>
        <w:textAlignment w:val="bottom"/>
        <w:outlineLvl w:val="0"/>
        <w:rPr>
          <w:rFonts w:ascii="宋体" w:hAnsi="宋体"/>
          <w:b/>
          <w:sz w:val="52"/>
          <w:szCs w:val="52"/>
        </w:rPr>
      </w:pPr>
    </w:p>
    <w:p w14:paraId="376FD3ED">
      <w:pPr>
        <w:autoSpaceDE w:val="0"/>
        <w:autoSpaceDN w:val="0"/>
        <w:spacing w:line="360" w:lineRule="auto"/>
        <w:jc w:val="center"/>
        <w:textAlignment w:val="bottom"/>
        <w:outlineLvl w:val="0"/>
        <w:rPr>
          <w:rFonts w:ascii="宋体" w:hAnsi="宋体"/>
          <w:b/>
          <w:sz w:val="84"/>
        </w:rPr>
      </w:pPr>
    </w:p>
    <w:p w14:paraId="197E5400">
      <w:pPr>
        <w:autoSpaceDE w:val="0"/>
        <w:autoSpaceDN w:val="0"/>
        <w:spacing w:after="312" w:afterLines="100" w:line="360" w:lineRule="auto"/>
        <w:jc w:val="center"/>
        <w:textAlignment w:val="bottom"/>
        <w:outlineLvl w:val="0"/>
        <w:rPr>
          <w:rFonts w:hint="eastAsia" w:ascii="宋体" w:hAnsi="宋体"/>
          <w:b/>
          <w:sz w:val="84"/>
          <w:szCs w:val="84"/>
        </w:rPr>
      </w:pPr>
      <w:bookmarkStart w:id="0" w:name="_Toc65510675"/>
      <w:bookmarkStart w:id="1" w:name="_Toc65753660"/>
      <w:r>
        <w:rPr>
          <w:rFonts w:hint="eastAsia" w:ascii="宋体" w:hAnsi="宋体"/>
          <w:b/>
          <w:sz w:val="84"/>
          <w:szCs w:val="84"/>
        </w:rPr>
        <w:t>政府采购</w:t>
      </w:r>
      <w:bookmarkEnd w:id="0"/>
      <w:bookmarkEnd w:id="1"/>
      <w:bookmarkStart w:id="2" w:name="_Toc65510676"/>
      <w:bookmarkStart w:id="3" w:name="_Toc65753661"/>
      <w:r>
        <w:rPr>
          <w:rFonts w:hint="eastAsia" w:ascii="宋体" w:hAnsi="宋体"/>
          <w:b/>
          <w:sz w:val="84"/>
          <w:szCs w:val="84"/>
        </w:rPr>
        <w:t>国内公开</w:t>
      </w:r>
    </w:p>
    <w:p w14:paraId="41FDF6A0">
      <w:pPr>
        <w:autoSpaceDE w:val="0"/>
        <w:autoSpaceDN w:val="0"/>
        <w:spacing w:after="312" w:afterLines="100" w:line="360" w:lineRule="auto"/>
        <w:jc w:val="center"/>
        <w:textAlignment w:val="bottom"/>
        <w:outlineLvl w:val="0"/>
        <w:rPr>
          <w:rFonts w:ascii="宋体" w:hAnsi="宋体"/>
          <w:b/>
          <w:sz w:val="84"/>
          <w:szCs w:val="84"/>
        </w:rPr>
      </w:pPr>
      <w:r>
        <w:rPr>
          <w:rFonts w:hint="eastAsia" w:ascii="宋体" w:hAnsi="宋体"/>
          <w:b/>
          <w:sz w:val="84"/>
          <w:szCs w:val="84"/>
        </w:rPr>
        <w:t>招标文件</w:t>
      </w:r>
      <w:bookmarkEnd w:id="2"/>
      <w:bookmarkEnd w:id="3"/>
    </w:p>
    <w:p w14:paraId="236813FE">
      <w:pPr>
        <w:autoSpaceDE w:val="0"/>
        <w:autoSpaceDN w:val="0"/>
        <w:spacing w:line="360" w:lineRule="auto"/>
        <w:jc w:val="center"/>
        <w:textAlignment w:val="bottom"/>
        <w:rPr>
          <w:rFonts w:ascii="宋体" w:hAnsi="宋体"/>
          <w:b/>
          <w:bCs/>
          <w:sz w:val="32"/>
          <w:szCs w:val="32"/>
        </w:rPr>
      </w:pPr>
    </w:p>
    <w:p w14:paraId="76D48265">
      <w:pPr>
        <w:autoSpaceDE w:val="0"/>
        <w:autoSpaceDN w:val="0"/>
        <w:spacing w:line="360" w:lineRule="auto"/>
        <w:jc w:val="center"/>
        <w:textAlignment w:val="bottom"/>
        <w:rPr>
          <w:rFonts w:ascii="宋体" w:hAnsi="宋体"/>
          <w:b/>
          <w:bCs/>
          <w:sz w:val="32"/>
          <w:szCs w:val="32"/>
        </w:rPr>
      </w:pPr>
    </w:p>
    <w:p w14:paraId="6815BAC5">
      <w:pPr>
        <w:autoSpaceDE w:val="0"/>
        <w:autoSpaceDN w:val="0"/>
        <w:spacing w:line="360" w:lineRule="auto"/>
        <w:jc w:val="center"/>
        <w:textAlignment w:val="bottom"/>
        <w:rPr>
          <w:rFonts w:ascii="宋体" w:hAnsi="宋体"/>
          <w:b/>
          <w:bCs/>
          <w:sz w:val="32"/>
          <w:szCs w:val="32"/>
        </w:rPr>
      </w:pPr>
    </w:p>
    <w:p w14:paraId="2C0FDFA0">
      <w:pPr>
        <w:autoSpaceDE w:val="0"/>
        <w:autoSpaceDN w:val="0"/>
        <w:spacing w:line="360" w:lineRule="auto"/>
        <w:jc w:val="center"/>
        <w:textAlignment w:val="bottom"/>
        <w:rPr>
          <w:rFonts w:ascii="宋体" w:hAnsi="宋体"/>
          <w:b/>
          <w:bCs/>
          <w:sz w:val="32"/>
          <w:szCs w:val="32"/>
        </w:rPr>
      </w:pPr>
    </w:p>
    <w:p w14:paraId="0A543A9B">
      <w:pPr>
        <w:autoSpaceDE w:val="0"/>
        <w:autoSpaceDN w:val="0"/>
        <w:spacing w:after="312" w:afterLines="100" w:line="480" w:lineRule="auto"/>
        <w:textAlignment w:val="bottom"/>
        <w:rPr>
          <w:rFonts w:ascii="宋体" w:hAnsi="宋体"/>
          <w:b/>
          <w:bCs/>
          <w:sz w:val="32"/>
          <w:szCs w:val="32"/>
          <w:highlight w:val="none"/>
          <w:u w:val="single"/>
        </w:rPr>
      </w:pPr>
      <w:r>
        <w:rPr>
          <w:rFonts w:hint="eastAsia" w:ascii="宋体" w:hAnsi="宋体"/>
          <w:b/>
          <w:bCs/>
          <w:sz w:val="32"/>
          <w:szCs w:val="32"/>
        </w:rPr>
        <w:t xml:space="preserve">  </w:t>
      </w:r>
      <w:r>
        <w:rPr>
          <w:rFonts w:hint="eastAsia" w:ascii="宋体" w:hAnsi="宋体"/>
          <w:b/>
          <w:bCs/>
          <w:sz w:val="36"/>
          <w:szCs w:val="36"/>
        </w:rPr>
        <w:t xml:space="preserve">    </w:t>
      </w:r>
    </w:p>
    <w:p w14:paraId="27502580">
      <w:pPr>
        <w:autoSpaceDE w:val="0"/>
        <w:autoSpaceDN w:val="0"/>
        <w:spacing w:line="360" w:lineRule="auto"/>
        <w:jc w:val="left"/>
        <w:textAlignment w:val="bottom"/>
        <w:rPr>
          <w:rFonts w:hint="eastAsia" w:ascii="宋体" w:hAnsi="宋体" w:eastAsia="宋体"/>
          <w:b/>
          <w:bCs/>
          <w:sz w:val="32"/>
          <w:szCs w:val="32"/>
          <w:highlight w:val="none"/>
          <w:lang w:eastAsia="zh-CN"/>
        </w:rPr>
      </w:pPr>
      <w:r>
        <w:rPr>
          <w:rFonts w:hint="eastAsia" w:ascii="宋体" w:hAnsi="宋体"/>
          <w:b/>
          <w:bCs/>
          <w:sz w:val="32"/>
          <w:szCs w:val="32"/>
          <w:highlight w:val="none"/>
        </w:rPr>
        <w:t xml:space="preserve">    项目编号：</w:t>
      </w:r>
      <w:r>
        <w:rPr>
          <w:rFonts w:hint="eastAsia" w:ascii="宋体" w:hAnsi="宋体"/>
          <w:b/>
          <w:bCs/>
          <w:sz w:val="32"/>
          <w:szCs w:val="32"/>
          <w:highlight w:val="none"/>
          <w:lang w:eastAsia="zh-CN"/>
        </w:rPr>
        <w:t>NBDW-20251195</w:t>
      </w:r>
    </w:p>
    <w:p w14:paraId="46D9A849">
      <w:pPr>
        <w:autoSpaceDE w:val="0"/>
        <w:autoSpaceDN w:val="0"/>
        <w:spacing w:line="360" w:lineRule="auto"/>
        <w:ind w:left="2249" w:hanging="2249" w:hangingChars="700"/>
        <w:jc w:val="left"/>
        <w:textAlignment w:val="bottom"/>
        <w:rPr>
          <w:rFonts w:hint="default" w:ascii="宋体" w:hAnsi="宋体" w:eastAsia="宋体"/>
          <w:b/>
          <w:bCs/>
          <w:spacing w:val="-6"/>
          <w:sz w:val="32"/>
          <w:szCs w:val="32"/>
          <w:lang w:val="en-US" w:eastAsia="zh-CN"/>
        </w:rPr>
      </w:pPr>
      <w:r>
        <w:rPr>
          <w:rFonts w:hint="eastAsia" w:ascii="宋体" w:hAnsi="宋体"/>
          <w:b/>
          <w:bCs/>
          <w:sz w:val="32"/>
          <w:szCs w:val="32"/>
        </w:rPr>
        <w:t xml:space="preserve">    </w:t>
      </w:r>
      <w:r>
        <w:rPr>
          <w:rFonts w:hint="eastAsia" w:ascii="宋体" w:hAnsi="宋体"/>
          <w:b/>
          <w:bCs/>
          <w:spacing w:val="-6"/>
          <w:sz w:val="32"/>
          <w:szCs w:val="32"/>
        </w:rPr>
        <w:t>项目名称：</w:t>
      </w:r>
      <w:r>
        <w:rPr>
          <w:rFonts w:hint="eastAsia" w:ascii="宋体" w:hAnsi="宋体"/>
          <w:b/>
          <w:bCs/>
          <w:sz w:val="32"/>
          <w:szCs w:val="32"/>
          <w:lang w:val="en-US" w:eastAsia="zh-CN"/>
        </w:rPr>
        <w:t>北仑区地籍图编制项目</w:t>
      </w:r>
    </w:p>
    <w:p w14:paraId="6E64606E">
      <w:pPr>
        <w:autoSpaceDE w:val="0"/>
        <w:autoSpaceDN w:val="0"/>
        <w:spacing w:line="360" w:lineRule="auto"/>
        <w:jc w:val="left"/>
        <w:textAlignment w:val="bottom"/>
        <w:rPr>
          <w:rFonts w:hint="eastAsia" w:ascii="宋体" w:hAnsi="宋体" w:eastAsia="宋体"/>
          <w:b/>
          <w:bCs/>
          <w:sz w:val="32"/>
          <w:szCs w:val="32"/>
          <w:lang w:eastAsia="zh-CN"/>
        </w:rPr>
      </w:pPr>
      <w:r>
        <w:rPr>
          <w:rFonts w:hint="eastAsia" w:ascii="宋体" w:hAnsi="宋体"/>
          <w:b/>
          <w:bCs/>
          <w:sz w:val="32"/>
          <w:szCs w:val="32"/>
        </w:rPr>
        <w:t xml:space="preserve">    采 购 人：</w:t>
      </w:r>
      <w:r>
        <w:rPr>
          <w:rFonts w:hint="eastAsia" w:ascii="宋体" w:hAnsi="宋体"/>
          <w:b/>
          <w:bCs/>
          <w:sz w:val="32"/>
          <w:szCs w:val="32"/>
          <w:lang w:eastAsia="zh-CN"/>
        </w:rPr>
        <w:t>宁波市自然资源和规划局北仑分局</w:t>
      </w:r>
    </w:p>
    <w:p w14:paraId="33372606">
      <w:pPr>
        <w:autoSpaceDE w:val="0"/>
        <w:autoSpaceDN w:val="0"/>
        <w:spacing w:line="360" w:lineRule="auto"/>
        <w:jc w:val="left"/>
        <w:textAlignment w:val="bottom"/>
        <w:rPr>
          <w:rFonts w:ascii="宋体" w:hAnsi="宋体"/>
          <w:b/>
          <w:bCs/>
          <w:sz w:val="32"/>
          <w:szCs w:val="32"/>
        </w:rPr>
      </w:pPr>
      <w:r>
        <w:rPr>
          <w:rFonts w:hint="eastAsia" w:ascii="宋体" w:hAnsi="宋体"/>
          <w:b/>
          <w:bCs/>
          <w:sz w:val="32"/>
          <w:szCs w:val="32"/>
        </w:rPr>
        <w:t xml:space="preserve">    采购机构：宁波杜威工程项目管理有限公司</w:t>
      </w:r>
    </w:p>
    <w:p w14:paraId="7AB19E76">
      <w:pPr>
        <w:autoSpaceDE w:val="0"/>
        <w:autoSpaceDN w:val="0"/>
        <w:spacing w:line="360" w:lineRule="auto"/>
        <w:jc w:val="center"/>
        <w:textAlignment w:val="bottom"/>
        <w:rPr>
          <w:rFonts w:ascii="宋体" w:hAnsi="宋体"/>
          <w:b/>
          <w:sz w:val="36"/>
        </w:rPr>
      </w:pPr>
    </w:p>
    <w:p w14:paraId="0130A656">
      <w:pPr>
        <w:autoSpaceDE w:val="0"/>
        <w:autoSpaceDN w:val="0"/>
        <w:spacing w:line="360" w:lineRule="auto"/>
        <w:jc w:val="center"/>
        <w:textAlignment w:val="bottom"/>
        <w:rPr>
          <w:rFonts w:ascii="宋体" w:hAnsi="宋体"/>
          <w:b/>
          <w:sz w:val="36"/>
        </w:rPr>
      </w:pPr>
    </w:p>
    <w:p w14:paraId="5A780059">
      <w:pPr>
        <w:autoSpaceDE w:val="0"/>
        <w:autoSpaceDN w:val="0"/>
        <w:spacing w:line="360" w:lineRule="auto"/>
        <w:jc w:val="center"/>
        <w:textAlignment w:val="bottom"/>
        <w:rPr>
          <w:rFonts w:ascii="宋体" w:hAnsi="宋体"/>
          <w:b/>
          <w:bCs/>
          <w:sz w:val="36"/>
          <w:highlight w:val="none"/>
        </w:rPr>
      </w:pPr>
      <w:bookmarkStart w:id="4" w:name="_Toc65753662"/>
      <w:bookmarkStart w:id="5" w:name="_Toc65510677"/>
      <w:r>
        <w:rPr>
          <w:rFonts w:hint="eastAsia" w:ascii="宋体" w:hAnsi="宋体"/>
          <w:b/>
          <w:bCs/>
          <w:sz w:val="36"/>
        </w:rPr>
        <w:t>二〇二</w:t>
      </w:r>
      <w:r>
        <w:rPr>
          <w:rFonts w:hint="eastAsia" w:ascii="宋体" w:hAnsi="宋体"/>
          <w:b/>
          <w:bCs/>
          <w:sz w:val="36"/>
          <w:lang w:val="en-US" w:eastAsia="zh-CN"/>
        </w:rPr>
        <w:t>五</w:t>
      </w:r>
      <w:r>
        <w:rPr>
          <w:rFonts w:hint="eastAsia" w:ascii="宋体" w:hAnsi="宋体"/>
          <w:b/>
          <w:bCs/>
          <w:sz w:val="36"/>
          <w:highlight w:val="none"/>
        </w:rPr>
        <w:t>年</w:t>
      </w:r>
      <w:r>
        <w:rPr>
          <w:rFonts w:hint="eastAsia" w:ascii="宋体" w:hAnsi="宋体"/>
          <w:b/>
          <w:bCs/>
          <w:sz w:val="36"/>
          <w:highlight w:val="none"/>
          <w:lang w:val="en-US" w:eastAsia="zh-CN"/>
        </w:rPr>
        <w:t>七</w:t>
      </w:r>
      <w:r>
        <w:rPr>
          <w:rFonts w:hint="eastAsia" w:ascii="宋体" w:hAnsi="宋体"/>
          <w:b/>
          <w:bCs/>
          <w:sz w:val="36"/>
          <w:highlight w:val="none"/>
        </w:rPr>
        <w:t>月</w:t>
      </w:r>
      <w:bookmarkEnd w:id="4"/>
      <w:bookmarkEnd w:id="5"/>
    </w:p>
    <w:p w14:paraId="00E3BC5A">
      <w:pPr>
        <w:rPr>
          <w:rFonts w:ascii="宋体" w:hAnsi="宋体"/>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327" w:right="1179" w:bottom="1213" w:left="1179" w:header="851" w:footer="850" w:gutter="0"/>
          <w:cols w:space="720" w:num="1"/>
          <w:titlePg/>
          <w:docGrid w:type="lines" w:linePitch="312" w:charSpace="0"/>
        </w:sectPr>
      </w:pPr>
      <w:bookmarkStart w:id="42" w:name="_GoBack"/>
      <w:bookmarkEnd w:id="42"/>
    </w:p>
    <w:p w14:paraId="41B6896F">
      <w:pPr>
        <w:spacing w:line="360" w:lineRule="auto"/>
        <w:jc w:val="center"/>
        <w:rPr>
          <w:rFonts w:ascii="黑体" w:hAnsi="黑体" w:eastAsia="黑体"/>
          <w:b/>
          <w:sz w:val="44"/>
        </w:rPr>
      </w:pPr>
    </w:p>
    <w:p w14:paraId="78093DCA">
      <w:pPr>
        <w:spacing w:line="360" w:lineRule="auto"/>
        <w:jc w:val="center"/>
        <w:rPr>
          <w:rFonts w:ascii="黑体" w:hAnsi="黑体" w:eastAsia="黑体"/>
          <w:b/>
          <w:sz w:val="44"/>
        </w:rPr>
      </w:pPr>
    </w:p>
    <w:p w14:paraId="663820BF">
      <w:pPr>
        <w:spacing w:line="360" w:lineRule="auto"/>
        <w:jc w:val="center"/>
        <w:rPr>
          <w:rFonts w:ascii="宋体" w:hAnsi="宋体"/>
          <w:sz w:val="44"/>
        </w:rPr>
      </w:pPr>
      <w:r>
        <w:rPr>
          <w:rFonts w:hint="eastAsia" w:ascii="宋体" w:hAnsi="宋体"/>
          <w:sz w:val="44"/>
        </w:rPr>
        <w:t>目   录</w:t>
      </w:r>
    </w:p>
    <w:p w14:paraId="13837D15">
      <w:pPr>
        <w:pStyle w:val="19"/>
        <w:tabs>
          <w:tab w:val="right" w:leader="dot" w:pos="8834"/>
        </w:tabs>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p>
    <w:p w14:paraId="7D917B06">
      <w:pPr>
        <w:pStyle w:val="19"/>
        <w:tabs>
          <w:tab w:val="right" w:leader="dot" w:pos="8834"/>
        </w:tabs>
        <w:rPr>
          <w:rFonts w:ascii="宋体" w:hAnsi="宋体"/>
          <w:sz w:val="28"/>
          <w:szCs w:val="28"/>
        </w:rPr>
      </w:pPr>
      <w:r>
        <w:fldChar w:fldCharType="begin"/>
      </w:r>
      <w:r>
        <w:instrText xml:space="preserve"> HYPERLINK \l "_Toc65753663" </w:instrText>
      </w:r>
      <w:r>
        <w:fldChar w:fldCharType="separate"/>
      </w:r>
      <w:r>
        <w:rPr>
          <w:rStyle w:val="28"/>
          <w:rFonts w:hint="eastAsia" w:ascii="宋体" w:hAnsi="宋体"/>
          <w:sz w:val="28"/>
          <w:szCs w:val="28"/>
        </w:rPr>
        <w:t>第一部分</w:t>
      </w:r>
      <w:r>
        <w:rPr>
          <w:rStyle w:val="28"/>
          <w:rFonts w:ascii="宋体" w:hAnsi="宋体"/>
          <w:sz w:val="28"/>
          <w:szCs w:val="28"/>
        </w:rPr>
        <w:t xml:space="preserve">  </w:t>
      </w:r>
      <w:r>
        <w:rPr>
          <w:rStyle w:val="28"/>
          <w:rFonts w:hint="eastAsia" w:ascii="宋体" w:hAnsi="宋体"/>
          <w:sz w:val="28"/>
          <w:szCs w:val="28"/>
        </w:rPr>
        <w:t>招标公告</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_Toc65753663 \h </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Fonts w:ascii="宋体" w:hAnsi="宋体"/>
          <w:sz w:val="28"/>
          <w:szCs w:val="28"/>
        </w:rPr>
        <w:fldChar w:fldCharType="end"/>
      </w:r>
    </w:p>
    <w:p w14:paraId="133311F0">
      <w:pPr>
        <w:pStyle w:val="19"/>
        <w:tabs>
          <w:tab w:val="right" w:leader="dot" w:pos="8834"/>
        </w:tabs>
        <w:rPr>
          <w:rFonts w:ascii="宋体" w:hAnsi="宋体"/>
          <w:sz w:val="28"/>
          <w:szCs w:val="28"/>
        </w:rPr>
      </w:pPr>
      <w:r>
        <w:fldChar w:fldCharType="begin"/>
      </w:r>
      <w:r>
        <w:instrText xml:space="preserve"> HYPERLINK \l "_Toc65753664" </w:instrText>
      </w:r>
      <w:r>
        <w:fldChar w:fldCharType="separate"/>
      </w:r>
      <w:r>
        <w:rPr>
          <w:rStyle w:val="28"/>
          <w:rFonts w:hint="eastAsia" w:ascii="宋体" w:hAnsi="宋体"/>
          <w:sz w:val="28"/>
          <w:szCs w:val="28"/>
        </w:rPr>
        <w:t>第二部分</w:t>
      </w:r>
      <w:r>
        <w:rPr>
          <w:rStyle w:val="28"/>
          <w:rFonts w:ascii="宋体" w:hAnsi="宋体"/>
          <w:sz w:val="28"/>
          <w:szCs w:val="28"/>
        </w:rPr>
        <w:t xml:space="preserve">  </w:t>
      </w:r>
      <w:r>
        <w:rPr>
          <w:rStyle w:val="28"/>
          <w:rFonts w:hint="eastAsia" w:ascii="宋体" w:hAnsi="宋体"/>
          <w:sz w:val="28"/>
          <w:szCs w:val="28"/>
        </w:rPr>
        <w:t>投标人须知及前附表</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_Toc65753664 \h </w:instrText>
      </w:r>
      <w:r>
        <w:rPr>
          <w:rFonts w:ascii="宋体" w:hAnsi="宋体"/>
          <w:sz w:val="28"/>
          <w:szCs w:val="28"/>
        </w:rPr>
        <w:fldChar w:fldCharType="separate"/>
      </w:r>
      <w:r>
        <w:rPr>
          <w:rFonts w:ascii="宋体" w:hAnsi="宋体"/>
          <w:sz w:val="28"/>
          <w:szCs w:val="28"/>
        </w:rPr>
        <w:t>6</w:t>
      </w:r>
      <w:r>
        <w:rPr>
          <w:rFonts w:ascii="宋体" w:hAnsi="宋体"/>
          <w:sz w:val="28"/>
          <w:szCs w:val="28"/>
        </w:rPr>
        <w:fldChar w:fldCharType="end"/>
      </w:r>
      <w:r>
        <w:rPr>
          <w:rFonts w:ascii="宋体" w:hAnsi="宋体"/>
          <w:sz w:val="28"/>
          <w:szCs w:val="28"/>
        </w:rPr>
        <w:fldChar w:fldCharType="end"/>
      </w:r>
    </w:p>
    <w:p w14:paraId="77BB0728">
      <w:pPr>
        <w:pStyle w:val="19"/>
        <w:tabs>
          <w:tab w:val="right" w:leader="dot" w:pos="8834"/>
        </w:tabs>
        <w:rPr>
          <w:rFonts w:ascii="宋体" w:hAnsi="宋体"/>
          <w:sz w:val="28"/>
          <w:szCs w:val="28"/>
        </w:rPr>
      </w:pPr>
      <w:r>
        <w:fldChar w:fldCharType="begin"/>
      </w:r>
      <w:r>
        <w:instrText xml:space="preserve"> HYPERLINK \l "_Toc65753668" </w:instrText>
      </w:r>
      <w:r>
        <w:fldChar w:fldCharType="separate"/>
      </w:r>
      <w:r>
        <w:rPr>
          <w:rStyle w:val="28"/>
          <w:rFonts w:hint="eastAsia" w:ascii="宋体" w:hAnsi="宋体"/>
          <w:sz w:val="28"/>
          <w:szCs w:val="28"/>
        </w:rPr>
        <w:t>第三部分</w:t>
      </w:r>
      <w:r>
        <w:rPr>
          <w:rStyle w:val="28"/>
          <w:rFonts w:ascii="宋体" w:hAnsi="宋体"/>
          <w:sz w:val="28"/>
          <w:szCs w:val="28"/>
        </w:rPr>
        <w:t xml:space="preserve">  </w:t>
      </w:r>
      <w:r>
        <w:rPr>
          <w:rStyle w:val="28"/>
          <w:rFonts w:hint="eastAsia" w:ascii="宋体" w:hAnsi="宋体"/>
          <w:sz w:val="28"/>
          <w:szCs w:val="28"/>
        </w:rPr>
        <w:t>项目内容及要求</w:t>
      </w:r>
      <w:r>
        <w:rPr>
          <w:rFonts w:ascii="宋体" w:hAnsi="宋体"/>
          <w:sz w:val="28"/>
          <w:szCs w:val="28"/>
        </w:rPr>
        <w:tab/>
      </w:r>
      <w:r>
        <w:rPr>
          <w:rFonts w:hint="eastAsia" w:ascii="宋体" w:hAnsi="宋体"/>
          <w:sz w:val="28"/>
          <w:szCs w:val="28"/>
        </w:rPr>
        <w:t>2</w:t>
      </w:r>
      <w:r>
        <w:rPr>
          <w:rFonts w:hint="eastAsia" w:ascii="宋体" w:hAnsi="宋体"/>
          <w:sz w:val="28"/>
          <w:szCs w:val="28"/>
        </w:rPr>
        <w:fldChar w:fldCharType="end"/>
      </w:r>
      <w:r>
        <w:rPr>
          <w:rFonts w:hint="eastAsia" w:ascii="宋体" w:hAnsi="宋体"/>
          <w:sz w:val="28"/>
          <w:szCs w:val="28"/>
        </w:rPr>
        <w:t>0</w:t>
      </w:r>
    </w:p>
    <w:p w14:paraId="269F7223">
      <w:pPr>
        <w:pStyle w:val="19"/>
        <w:tabs>
          <w:tab w:val="right" w:leader="dot" w:pos="8834"/>
        </w:tabs>
        <w:rPr>
          <w:rFonts w:ascii="宋体" w:hAnsi="宋体"/>
          <w:sz w:val="28"/>
          <w:szCs w:val="28"/>
        </w:rPr>
      </w:pPr>
      <w:r>
        <w:fldChar w:fldCharType="begin"/>
      </w:r>
      <w:r>
        <w:instrText xml:space="preserve"> HYPERLINK \l "_Toc65753669" </w:instrText>
      </w:r>
      <w:r>
        <w:fldChar w:fldCharType="separate"/>
      </w:r>
      <w:r>
        <w:rPr>
          <w:rStyle w:val="28"/>
          <w:rFonts w:hint="eastAsia" w:ascii="宋体" w:hAnsi="宋体"/>
          <w:sz w:val="28"/>
          <w:szCs w:val="28"/>
        </w:rPr>
        <w:t>第四部分</w:t>
      </w:r>
      <w:r>
        <w:rPr>
          <w:rStyle w:val="28"/>
          <w:rFonts w:ascii="宋体" w:hAnsi="宋体"/>
          <w:sz w:val="28"/>
          <w:szCs w:val="28"/>
        </w:rPr>
        <w:t xml:space="preserve">  </w:t>
      </w:r>
      <w:r>
        <w:rPr>
          <w:rStyle w:val="28"/>
          <w:rFonts w:hint="eastAsia" w:ascii="宋体" w:hAnsi="宋体"/>
          <w:sz w:val="28"/>
          <w:szCs w:val="28"/>
        </w:rPr>
        <w:t>评标办法及评分标准</w:t>
      </w:r>
      <w:bookmarkStart w:id="6" w:name="_Hlt65855291"/>
      <w:bookmarkStart w:id="7" w:name="_Hlt65855292"/>
      <w:bookmarkStart w:id="8" w:name="_Hlt67057350"/>
      <w:r>
        <w:rPr>
          <w:rFonts w:ascii="宋体" w:hAnsi="宋体"/>
          <w:sz w:val="28"/>
          <w:szCs w:val="28"/>
        </w:rPr>
        <w:tab/>
      </w:r>
      <w:bookmarkEnd w:id="6"/>
      <w:bookmarkEnd w:id="7"/>
      <w:bookmarkEnd w:id="8"/>
      <w:r>
        <w:rPr>
          <w:rFonts w:hint="eastAsia" w:ascii="宋体" w:hAnsi="宋体"/>
          <w:sz w:val="28"/>
          <w:szCs w:val="28"/>
        </w:rPr>
        <w:t>4</w:t>
      </w:r>
      <w:r>
        <w:rPr>
          <w:rFonts w:hint="eastAsia" w:ascii="宋体" w:hAnsi="宋体"/>
          <w:sz w:val="28"/>
          <w:szCs w:val="28"/>
        </w:rPr>
        <w:fldChar w:fldCharType="end"/>
      </w:r>
      <w:r>
        <w:rPr>
          <w:rFonts w:hint="eastAsia" w:ascii="宋体" w:hAnsi="宋体"/>
          <w:sz w:val="28"/>
          <w:szCs w:val="28"/>
        </w:rPr>
        <w:t>0</w:t>
      </w:r>
    </w:p>
    <w:p w14:paraId="3389AD0D">
      <w:pPr>
        <w:pStyle w:val="19"/>
        <w:tabs>
          <w:tab w:val="right" w:leader="dot" w:pos="8834"/>
        </w:tabs>
        <w:rPr>
          <w:rFonts w:ascii="宋体" w:hAnsi="宋体"/>
          <w:sz w:val="28"/>
          <w:szCs w:val="28"/>
        </w:rPr>
      </w:pPr>
      <w:r>
        <w:fldChar w:fldCharType="begin"/>
      </w:r>
      <w:r>
        <w:instrText xml:space="preserve"> HYPERLINK \l "_Toc65753670" </w:instrText>
      </w:r>
      <w:r>
        <w:fldChar w:fldCharType="separate"/>
      </w:r>
      <w:r>
        <w:rPr>
          <w:rStyle w:val="28"/>
          <w:rFonts w:hint="eastAsia" w:ascii="宋体" w:hAnsi="宋体"/>
          <w:sz w:val="28"/>
          <w:szCs w:val="28"/>
        </w:rPr>
        <w:t>第五部分</w:t>
      </w:r>
      <w:r>
        <w:rPr>
          <w:rStyle w:val="28"/>
          <w:rFonts w:ascii="宋体" w:hAnsi="宋体"/>
          <w:sz w:val="28"/>
          <w:szCs w:val="28"/>
        </w:rPr>
        <w:t xml:space="preserve">  </w:t>
      </w:r>
      <w:r>
        <w:rPr>
          <w:rStyle w:val="28"/>
          <w:rFonts w:hint="eastAsia" w:ascii="宋体" w:hAnsi="宋体"/>
          <w:sz w:val="28"/>
          <w:szCs w:val="28"/>
        </w:rPr>
        <w:t>合同主要条款及格式</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_Toc65753670 \h </w:instrText>
      </w:r>
      <w:r>
        <w:rPr>
          <w:rFonts w:ascii="宋体" w:hAnsi="宋体"/>
          <w:sz w:val="28"/>
          <w:szCs w:val="28"/>
        </w:rPr>
        <w:fldChar w:fldCharType="separate"/>
      </w:r>
      <w:r>
        <w:rPr>
          <w:rFonts w:ascii="宋体" w:hAnsi="宋体"/>
          <w:sz w:val="28"/>
          <w:szCs w:val="28"/>
        </w:rPr>
        <w:t>38</w:t>
      </w:r>
      <w:r>
        <w:rPr>
          <w:rFonts w:ascii="宋体" w:hAnsi="宋体"/>
          <w:sz w:val="28"/>
          <w:szCs w:val="28"/>
        </w:rPr>
        <w:fldChar w:fldCharType="end"/>
      </w:r>
      <w:r>
        <w:rPr>
          <w:rFonts w:ascii="宋体" w:hAnsi="宋体"/>
          <w:sz w:val="28"/>
          <w:szCs w:val="28"/>
        </w:rPr>
        <w:fldChar w:fldCharType="end"/>
      </w:r>
    </w:p>
    <w:p w14:paraId="3E497A84">
      <w:pPr>
        <w:pStyle w:val="19"/>
        <w:tabs>
          <w:tab w:val="right" w:leader="dot" w:pos="8834"/>
        </w:tabs>
        <w:rPr>
          <w:rFonts w:ascii="宋体" w:hAnsi="宋体"/>
          <w:sz w:val="28"/>
          <w:szCs w:val="28"/>
        </w:rPr>
      </w:pPr>
      <w:r>
        <w:fldChar w:fldCharType="begin"/>
      </w:r>
      <w:r>
        <w:instrText xml:space="preserve"> HYPERLINK \l "_Toc65753671" </w:instrText>
      </w:r>
      <w:r>
        <w:fldChar w:fldCharType="separate"/>
      </w:r>
      <w:r>
        <w:rPr>
          <w:rStyle w:val="28"/>
          <w:rFonts w:hint="eastAsia" w:ascii="宋体" w:hAnsi="宋体"/>
          <w:sz w:val="28"/>
          <w:szCs w:val="28"/>
        </w:rPr>
        <w:t>第六部分</w:t>
      </w:r>
      <w:r>
        <w:rPr>
          <w:rStyle w:val="28"/>
          <w:rFonts w:ascii="宋体" w:hAnsi="宋体"/>
          <w:sz w:val="28"/>
          <w:szCs w:val="28"/>
        </w:rPr>
        <w:t xml:space="preserve">  </w:t>
      </w:r>
      <w:r>
        <w:rPr>
          <w:rStyle w:val="28"/>
          <w:rFonts w:hint="eastAsia" w:ascii="宋体" w:hAnsi="宋体"/>
          <w:sz w:val="28"/>
          <w:szCs w:val="28"/>
        </w:rPr>
        <w:t>投标文件格式</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_Toc65753671 \h </w:instrText>
      </w:r>
      <w:r>
        <w:rPr>
          <w:rFonts w:ascii="宋体" w:hAnsi="宋体"/>
          <w:sz w:val="28"/>
          <w:szCs w:val="28"/>
        </w:rPr>
        <w:fldChar w:fldCharType="separate"/>
      </w:r>
      <w:r>
        <w:rPr>
          <w:rFonts w:ascii="宋体" w:hAnsi="宋体"/>
          <w:sz w:val="28"/>
          <w:szCs w:val="28"/>
        </w:rPr>
        <w:t>46</w:t>
      </w:r>
      <w:r>
        <w:rPr>
          <w:rFonts w:ascii="宋体" w:hAnsi="宋体"/>
          <w:sz w:val="28"/>
          <w:szCs w:val="28"/>
        </w:rPr>
        <w:fldChar w:fldCharType="end"/>
      </w:r>
      <w:r>
        <w:rPr>
          <w:rFonts w:ascii="宋体" w:hAnsi="宋体"/>
          <w:sz w:val="28"/>
          <w:szCs w:val="28"/>
        </w:rPr>
        <w:fldChar w:fldCharType="end"/>
      </w:r>
    </w:p>
    <w:p w14:paraId="11AA18EC">
      <w:r>
        <w:rPr>
          <w:rFonts w:ascii="宋体" w:hAnsi="宋体"/>
          <w:sz w:val="28"/>
          <w:szCs w:val="28"/>
        </w:rPr>
        <w:fldChar w:fldCharType="end"/>
      </w:r>
    </w:p>
    <w:p w14:paraId="73D91FF1">
      <w:pPr>
        <w:spacing w:line="360" w:lineRule="auto"/>
        <w:jc w:val="left"/>
        <w:rPr>
          <w:rFonts w:ascii="黑体" w:hAnsi="黑体" w:eastAsia="黑体"/>
          <w:b/>
          <w:sz w:val="24"/>
        </w:rPr>
      </w:pPr>
    </w:p>
    <w:p w14:paraId="761D55DC">
      <w:pPr>
        <w:autoSpaceDE w:val="0"/>
        <w:autoSpaceDN w:val="0"/>
        <w:snapToGrid w:val="0"/>
        <w:spacing w:before="96" w:after="96" w:line="360" w:lineRule="auto"/>
        <w:rPr>
          <w:rFonts w:ascii="宋体" w:hAnsi="宋体"/>
          <w:b/>
          <w:bCs/>
          <w:sz w:val="36"/>
          <w:szCs w:val="36"/>
        </w:rPr>
      </w:pPr>
    </w:p>
    <w:p w14:paraId="7256D7DF">
      <w:pPr>
        <w:rPr>
          <w:rFonts w:ascii="宋体" w:hAnsi="宋体"/>
          <w:b/>
          <w:bCs/>
          <w:sz w:val="36"/>
          <w:szCs w:val="36"/>
        </w:rPr>
        <w:sectPr>
          <w:pgSz w:w="11906" w:h="16838"/>
          <w:pgMar w:top="1474" w:right="1474" w:bottom="1418" w:left="1588" w:header="851" w:footer="850" w:gutter="0"/>
          <w:pgNumType w:start="1"/>
          <w:cols w:space="720" w:num="1"/>
          <w:docGrid w:type="lines" w:linePitch="312" w:charSpace="0"/>
        </w:sectPr>
      </w:pPr>
    </w:p>
    <w:p w14:paraId="52983E8A">
      <w:pPr>
        <w:pStyle w:val="4"/>
        <w:pageBreakBefore w:val="0"/>
        <w:widowControl w:val="0"/>
        <w:kinsoku/>
        <w:wordWrap/>
        <w:overflowPunct/>
        <w:topLinePunct w:val="0"/>
        <w:autoSpaceDE/>
        <w:autoSpaceDN/>
        <w:bidi w:val="0"/>
        <w:adjustRightInd/>
        <w:spacing w:line="336" w:lineRule="auto"/>
        <w:textAlignment w:val="auto"/>
        <w:rPr>
          <w:szCs w:val="36"/>
        </w:rPr>
      </w:pPr>
      <w:bookmarkStart w:id="9" w:name="_Toc65753663"/>
      <w:bookmarkStart w:id="10" w:name="OLE_LINK1"/>
      <w:r>
        <w:rPr>
          <w:rFonts w:hint="eastAsia"/>
          <w:szCs w:val="36"/>
        </w:rPr>
        <w:t>第一部分  招标公告</w:t>
      </w:r>
      <w:bookmarkEnd w:id="9"/>
    </w:p>
    <w:p w14:paraId="63D42B7E">
      <w:pPr>
        <w:pageBreakBefore w:val="0"/>
        <w:widowControl w:val="0"/>
        <w:kinsoku/>
        <w:wordWrap/>
        <w:overflowPunct/>
        <w:topLinePunct w:val="0"/>
        <w:autoSpaceDE/>
        <w:autoSpaceDN/>
        <w:bidi w:val="0"/>
        <w:adjustRightInd/>
        <w:spacing w:line="336" w:lineRule="auto"/>
        <w:textAlignment w:val="auto"/>
      </w:pPr>
    </w:p>
    <w:tbl>
      <w:tblPr>
        <w:tblStyle w:val="2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14:paraId="427E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9464" w:type="dxa"/>
          </w:tcPr>
          <w:p w14:paraId="24E9E403">
            <w:pPr>
              <w:pageBreakBefore w:val="0"/>
              <w:widowControl w:val="0"/>
              <w:kinsoku/>
              <w:wordWrap/>
              <w:overflowPunct/>
              <w:topLinePunct w:val="0"/>
              <w:autoSpaceDE/>
              <w:autoSpaceDN/>
              <w:bidi w:val="0"/>
              <w:adjustRightInd/>
              <w:snapToGrid w:val="0"/>
              <w:spacing w:line="336" w:lineRule="auto"/>
              <w:ind w:left="11"/>
              <w:textAlignment w:val="auto"/>
              <w:rPr>
                <w:rFonts w:ascii="宋体" w:hAnsi="宋体" w:cs="宋体"/>
                <w:szCs w:val="21"/>
              </w:rPr>
            </w:pPr>
            <w:r>
              <w:rPr>
                <w:rFonts w:hint="eastAsia" w:ascii="宋体" w:hAnsi="宋体" w:cs="宋体"/>
                <w:szCs w:val="21"/>
              </w:rPr>
              <w:t>项目概况：</w:t>
            </w:r>
          </w:p>
          <w:p w14:paraId="6B560DEE">
            <w:pPr>
              <w:pageBreakBefore w:val="0"/>
              <w:widowControl w:val="0"/>
              <w:kinsoku/>
              <w:wordWrap/>
              <w:overflowPunct/>
              <w:topLinePunct w:val="0"/>
              <w:autoSpaceDE/>
              <w:autoSpaceDN/>
              <w:bidi w:val="0"/>
              <w:adjustRightInd/>
              <w:spacing w:line="336" w:lineRule="auto"/>
              <w:ind w:left="11" w:right="-94" w:rightChars="-45" w:firstLine="420" w:firstLineChars="200"/>
              <w:textAlignment w:val="auto"/>
              <w:rPr>
                <w:rFonts w:ascii="宋体" w:hAnsi="宋体" w:cs="宋体"/>
                <w:sz w:val="24"/>
                <w:szCs w:val="24"/>
              </w:rPr>
            </w:pPr>
            <w:r>
              <w:rPr>
                <w:rFonts w:hint="eastAsia" w:ascii="宋体" w:hAnsi="宋体"/>
                <w:kern w:val="0"/>
                <w:szCs w:val="21"/>
                <w:lang w:eastAsia="zh-CN"/>
              </w:rPr>
              <w:t>北仑区地籍图编制项目</w:t>
            </w:r>
            <w:r>
              <w:rPr>
                <w:rFonts w:hint="eastAsia" w:ascii="宋体" w:hAnsi="宋体" w:cs="宋体"/>
                <w:szCs w:val="21"/>
              </w:rPr>
              <w:t>的潜在供应商应在</w:t>
            </w:r>
            <w:r>
              <w:rPr>
                <w:rFonts w:hint="eastAsia" w:ascii="宋体" w:hAnsi="宋体" w:cs="宋体"/>
                <w:szCs w:val="21"/>
                <w:u w:val="single"/>
              </w:rPr>
              <w:t>浙江政府采购云平台（</w:t>
            </w:r>
            <w:r>
              <w:fldChar w:fldCharType="begin"/>
            </w:r>
            <w:r>
              <w:instrText xml:space="preserve"> HYPERLINK "http://www.zcy.gov.cn/）获取招标文件，并于2021年" </w:instrText>
            </w:r>
            <w:r>
              <w:fldChar w:fldCharType="separate"/>
            </w:r>
            <w:r>
              <w:rPr>
                <w:rStyle w:val="28"/>
                <w:rFonts w:hint="eastAsia" w:ascii="宋体" w:hAnsi="宋体" w:cs="宋体"/>
                <w:color w:val="auto"/>
                <w:szCs w:val="21"/>
              </w:rPr>
              <w:t>http://www.zcy.gov.cn/）获取招标文件，并于</w:t>
            </w:r>
            <w:r>
              <w:rPr>
                <w:rStyle w:val="28"/>
                <w:rFonts w:hint="eastAsia" w:ascii="宋体" w:hAnsi="宋体" w:cs="宋体"/>
                <w:color w:val="auto"/>
                <w:szCs w:val="21"/>
                <w:lang w:eastAsia="zh-CN"/>
              </w:rPr>
              <w:t>2025</w:t>
            </w:r>
            <w:r>
              <w:rPr>
                <w:rStyle w:val="28"/>
                <w:rFonts w:hint="eastAsia" w:ascii="宋体" w:hAnsi="宋体" w:cs="宋体"/>
                <w:color w:val="auto"/>
                <w:szCs w:val="21"/>
              </w:rPr>
              <w:t>年</w:t>
            </w:r>
            <w:r>
              <w:rPr>
                <w:rStyle w:val="28"/>
                <w:rFonts w:hint="eastAsia" w:ascii="宋体" w:hAnsi="宋体" w:cs="宋体"/>
                <w:color w:val="auto"/>
                <w:szCs w:val="21"/>
              </w:rPr>
              <w:fldChar w:fldCharType="end"/>
            </w:r>
            <w:r>
              <w:rPr>
                <w:rFonts w:hint="eastAsia" w:ascii="宋体" w:hAnsi="宋体" w:cs="宋体"/>
                <w:szCs w:val="21"/>
                <w:u w:val="single"/>
                <w:lang w:val="en-US" w:eastAsia="zh-CN"/>
              </w:rPr>
              <w:t>7</w:t>
            </w:r>
            <w:r>
              <w:rPr>
                <w:rFonts w:hint="eastAsia" w:ascii="宋体" w:hAnsi="宋体" w:cs="宋体"/>
                <w:szCs w:val="21"/>
                <w:u w:val="single"/>
              </w:rPr>
              <w:t>月</w:t>
            </w:r>
            <w:r>
              <w:rPr>
                <w:rFonts w:hint="eastAsia" w:ascii="宋体" w:hAnsi="宋体" w:cs="宋体"/>
                <w:szCs w:val="21"/>
                <w:u w:val="single"/>
                <w:lang w:val="en-US" w:eastAsia="zh-CN"/>
              </w:rPr>
              <w:t>23</w:t>
            </w:r>
            <w:r>
              <w:rPr>
                <w:rFonts w:hint="eastAsia" w:ascii="宋体" w:hAnsi="宋体" w:cs="宋体"/>
                <w:szCs w:val="21"/>
                <w:u w:val="single"/>
              </w:rPr>
              <w:t>日</w:t>
            </w:r>
            <w:r>
              <w:rPr>
                <w:rFonts w:hint="eastAsia" w:ascii="宋体" w:hAnsi="宋体" w:cs="宋体"/>
                <w:szCs w:val="21"/>
                <w:u w:val="single"/>
                <w:lang w:val="en-US" w:eastAsia="zh-CN"/>
              </w:rPr>
              <w:t>13</w:t>
            </w:r>
            <w:r>
              <w:rPr>
                <w:rFonts w:hint="eastAsia" w:ascii="宋体" w:hAnsi="宋体" w:cs="宋体"/>
                <w:szCs w:val="21"/>
                <w:u w:val="single"/>
              </w:rPr>
              <w:t>点</w:t>
            </w:r>
            <w:r>
              <w:rPr>
                <w:rFonts w:hint="eastAsia" w:ascii="宋体" w:hAnsi="宋体" w:cs="宋体"/>
                <w:szCs w:val="21"/>
                <w:u w:val="single"/>
                <w:lang w:val="en-US" w:eastAsia="zh-CN"/>
              </w:rPr>
              <w:t>30</w:t>
            </w:r>
            <w:r>
              <w:rPr>
                <w:rFonts w:hint="eastAsia" w:ascii="宋体" w:hAnsi="宋体" w:cs="宋体"/>
                <w:szCs w:val="21"/>
                <w:u w:val="single"/>
              </w:rPr>
              <w:t>分（北京时间，下同）</w:t>
            </w:r>
            <w:r>
              <w:rPr>
                <w:rFonts w:hint="eastAsia" w:ascii="宋体" w:hAnsi="宋体" w:cs="宋体"/>
                <w:szCs w:val="21"/>
              </w:rPr>
              <w:t>前递交投标文件。</w:t>
            </w:r>
          </w:p>
        </w:tc>
      </w:tr>
    </w:tbl>
    <w:p w14:paraId="425AC952">
      <w:pPr>
        <w:pageBreakBefore w:val="0"/>
        <w:widowControl w:val="0"/>
        <w:kinsoku/>
        <w:wordWrap/>
        <w:overflowPunct/>
        <w:topLinePunct w:val="0"/>
        <w:autoSpaceDE/>
        <w:autoSpaceDN/>
        <w:bidi w:val="0"/>
        <w:adjustRightInd/>
        <w:spacing w:line="336" w:lineRule="auto"/>
        <w:ind w:right="-94" w:rightChars="-45"/>
        <w:textAlignment w:val="auto"/>
        <w:rPr>
          <w:rFonts w:ascii="宋体" w:hAnsi="宋体"/>
          <w:sz w:val="24"/>
          <w:szCs w:val="24"/>
        </w:rPr>
      </w:pPr>
    </w:p>
    <w:p w14:paraId="3218EEBB">
      <w:pPr>
        <w:pageBreakBefore w:val="0"/>
        <w:widowControl w:val="0"/>
        <w:kinsoku/>
        <w:wordWrap/>
        <w:overflowPunct/>
        <w:topLinePunct w:val="0"/>
        <w:autoSpaceDE/>
        <w:autoSpaceDN/>
        <w:bidi w:val="0"/>
        <w:adjustRightInd/>
        <w:snapToGrid w:val="0"/>
        <w:spacing w:line="336" w:lineRule="auto"/>
        <w:textAlignment w:val="auto"/>
        <w:rPr>
          <w:rFonts w:ascii="宋体" w:hAnsi="宋体" w:cs="宋体"/>
          <w:b/>
          <w:bCs/>
          <w:color w:val="000000"/>
        </w:rPr>
      </w:pPr>
      <w:r>
        <w:rPr>
          <w:rFonts w:hint="eastAsia" w:ascii="Arial" w:hAnsi="Arial" w:cs="Arial"/>
          <w:szCs w:val="21"/>
        </w:rPr>
        <w:t xml:space="preserve">    </w:t>
      </w:r>
      <w:r>
        <w:rPr>
          <w:rFonts w:hint="eastAsia" w:ascii="宋体" w:hAnsi="宋体" w:cs="宋体"/>
          <w:b/>
          <w:bCs/>
          <w:color w:val="000000"/>
        </w:rPr>
        <w:t>一、项目基本情况：</w:t>
      </w:r>
    </w:p>
    <w:p w14:paraId="36C5116D">
      <w:pPr>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eastAsia" w:ascii="宋体" w:eastAsia="宋体" w:cs="宋体"/>
          <w:color w:val="000000"/>
          <w:lang w:eastAsia="zh-CN"/>
        </w:rPr>
      </w:pPr>
      <w:r>
        <w:rPr>
          <w:rFonts w:hint="eastAsia" w:ascii="宋体" w:hAnsi="宋体" w:cs="宋体"/>
          <w:color w:val="000000"/>
        </w:rPr>
        <w:t>项目编号：</w:t>
      </w:r>
      <w:r>
        <w:rPr>
          <w:rFonts w:hint="eastAsia" w:ascii="宋体" w:hAnsi="宋体" w:cs="宋体"/>
          <w:color w:val="000000"/>
          <w:lang w:eastAsia="zh-CN"/>
        </w:rPr>
        <w:t>NBDW-20251195</w:t>
      </w:r>
    </w:p>
    <w:p w14:paraId="56545EEE">
      <w:pPr>
        <w:pageBreakBefore w:val="0"/>
        <w:widowControl w:val="0"/>
        <w:kinsoku/>
        <w:wordWrap/>
        <w:overflowPunct/>
        <w:topLinePunct w:val="0"/>
        <w:autoSpaceDE/>
        <w:autoSpaceDN/>
        <w:bidi w:val="0"/>
        <w:adjustRightInd/>
        <w:snapToGrid w:val="0"/>
        <w:spacing w:line="336" w:lineRule="auto"/>
        <w:ind w:left="420" w:leftChars="200"/>
        <w:textAlignment w:val="auto"/>
        <w:rPr>
          <w:rFonts w:hint="eastAsia" w:ascii="宋体" w:hAnsi="宋体" w:cs="宋体"/>
          <w:color w:val="auto"/>
          <w:highlight w:val="none"/>
          <w:lang w:eastAsia="zh-CN"/>
        </w:rPr>
      </w:pPr>
      <w:r>
        <w:rPr>
          <w:rFonts w:hint="eastAsia" w:ascii="宋体" w:hAnsi="宋体" w:cs="宋体"/>
          <w:color w:val="000000"/>
        </w:rPr>
        <w:t>项目名称：</w:t>
      </w:r>
      <w:r>
        <w:rPr>
          <w:rFonts w:hint="eastAsia" w:ascii="宋体" w:hAnsi="宋体" w:cs="宋体"/>
          <w:color w:val="000000"/>
          <w:lang w:val="en-US" w:eastAsia="zh-CN"/>
        </w:rPr>
        <w:t>北仑区地籍图编制项目</w:t>
      </w:r>
    </w:p>
    <w:p w14:paraId="7910FDB2">
      <w:pPr>
        <w:pageBreakBefore w:val="0"/>
        <w:widowControl w:val="0"/>
        <w:kinsoku/>
        <w:wordWrap/>
        <w:overflowPunct/>
        <w:topLinePunct w:val="0"/>
        <w:autoSpaceDE/>
        <w:autoSpaceDN/>
        <w:bidi w:val="0"/>
        <w:adjustRightInd/>
        <w:snapToGrid w:val="0"/>
        <w:spacing w:line="336" w:lineRule="auto"/>
        <w:ind w:left="420" w:leftChars="200"/>
        <w:textAlignment w:val="auto"/>
        <w:rPr>
          <w:rFonts w:hint="eastAsia" w:ascii="宋体" w:hAnsi="宋体" w:cs="宋体"/>
          <w:color w:val="auto"/>
          <w:highlight w:val="none"/>
        </w:rPr>
      </w:pPr>
      <w:r>
        <w:rPr>
          <w:rFonts w:hint="eastAsia" w:ascii="宋体" w:hAnsi="宋体" w:cs="宋体"/>
          <w:color w:val="auto"/>
          <w:highlight w:val="none"/>
        </w:rPr>
        <w:t>预算金额（元）：</w:t>
      </w:r>
      <w:r>
        <w:rPr>
          <w:rFonts w:hint="eastAsia" w:ascii="宋体" w:hAnsi="宋体" w:cs="宋体"/>
          <w:color w:val="auto"/>
          <w:highlight w:val="none"/>
          <w:lang w:val="en-US" w:eastAsia="zh-CN"/>
        </w:rPr>
        <w:t>500000</w:t>
      </w:r>
      <w:r>
        <w:rPr>
          <w:rFonts w:hint="eastAsia" w:ascii="宋体" w:hAnsi="宋体" w:cs="宋体"/>
          <w:color w:val="auto"/>
          <w:highlight w:val="none"/>
        </w:rPr>
        <w:t xml:space="preserve">   </w:t>
      </w:r>
    </w:p>
    <w:p w14:paraId="7EA0710A">
      <w:pPr>
        <w:pageBreakBefore w:val="0"/>
        <w:widowControl w:val="0"/>
        <w:kinsoku/>
        <w:wordWrap/>
        <w:overflowPunct/>
        <w:topLinePunct w:val="0"/>
        <w:autoSpaceDE/>
        <w:autoSpaceDN/>
        <w:bidi w:val="0"/>
        <w:adjustRightInd/>
        <w:snapToGrid w:val="0"/>
        <w:spacing w:line="336" w:lineRule="auto"/>
        <w:ind w:left="420" w:leftChars="200"/>
        <w:textAlignment w:val="auto"/>
        <w:rPr>
          <w:rFonts w:hint="default" w:ascii="宋体" w:hAnsi="宋体" w:cs="宋体"/>
          <w:color w:val="auto"/>
          <w:highlight w:val="none"/>
          <w:lang w:val="en-US"/>
        </w:rPr>
      </w:pPr>
      <w:r>
        <w:rPr>
          <w:rFonts w:hint="eastAsia" w:ascii="宋体" w:hAnsi="宋体" w:cs="宋体"/>
          <w:color w:val="auto"/>
          <w:highlight w:val="none"/>
        </w:rPr>
        <w:t>最高限价（元）：</w:t>
      </w:r>
      <w:r>
        <w:rPr>
          <w:rFonts w:hint="eastAsia" w:ascii="宋体" w:hAnsi="宋体" w:cs="宋体"/>
          <w:color w:val="auto"/>
          <w:highlight w:val="none"/>
          <w:lang w:val="en-US" w:eastAsia="zh-CN"/>
        </w:rPr>
        <w:t>500000</w:t>
      </w:r>
    </w:p>
    <w:p w14:paraId="1FF348F5">
      <w:pPr>
        <w:pageBreakBefore w:val="0"/>
        <w:widowControl w:val="0"/>
        <w:kinsoku/>
        <w:wordWrap/>
        <w:overflowPunct/>
        <w:topLinePunct w:val="0"/>
        <w:autoSpaceDE/>
        <w:autoSpaceDN/>
        <w:bidi w:val="0"/>
        <w:adjustRightInd/>
        <w:snapToGrid w:val="0"/>
        <w:spacing w:line="336" w:lineRule="auto"/>
        <w:ind w:left="420" w:leftChars="200"/>
        <w:textAlignment w:val="auto"/>
        <w:rPr>
          <w:rFonts w:hint="eastAsia" w:ascii="宋体" w:hAnsi="宋体" w:cs="宋体"/>
          <w:color w:val="auto"/>
          <w:highlight w:val="none"/>
        </w:rPr>
      </w:pPr>
      <w:r>
        <w:rPr>
          <w:rFonts w:hint="eastAsia" w:ascii="宋体" w:hAnsi="宋体" w:cs="宋体"/>
          <w:color w:val="auto"/>
          <w:highlight w:val="none"/>
        </w:rPr>
        <w:t>招标需求：</w:t>
      </w:r>
    </w:p>
    <w:p w14:paraId="12648962">
      <w:pPr>
        <w:pageBreakBefore w:val="0"/>
        <w:widowControl w:val="0"/>
        <w:kinsoku/>
        <w:wordWrap/>
        <w:overflowPunct/>
        <w:topLinePunct w:val="0"/>
        <w:autoSpaceDE/>
        <w:autoSpaceDN/>
        <w:bidi w:val="0"/>
        <w:adjustRightInd/>
        <w:snapToGrid w:val="0"/>
        <w:spacing w:line="336" w:lineRule="auto"/>
        <w:ind w:left="420" w:leftChars="200"/>
        <w:textAlignment w:val="auto"/>
        <w:rPr>
          <w:rFonts w:hint="eastAsia" w:ascii="宋体" w:hAnsi="宋体" w:cs="宋体"/>
          <w:color w:val="auto"/>
          <w:highlight w:val="none"/>
          <w:lang w:eastAsia="zh-CN"/>
        </w:rPr>
      </w:pPr>
      <w:r>
        <w:rPr>
          <w:rFonts w:hint="eastAsia" w:ascii="宋体" w:hAnsi="宋体" w:cs="宋体"/>
          <w:color w:val="auto"/>
          <w:highlight w:val="none"/>
        </w:rPr>
        <w:t>标项名称：</w:t>
      </w:r>
      <w:r>
        <w:rPr>
          <w:rFonts w:hint="eastAsia" w:ascii="宋体" w:hAnsi="宋体" w:cs="宋体"/>
          <w:color w:val="auto"/>
          <w:highlight w:val="none"/>
          <w:lang w:val="en-US" w:eastAsia="zh-CN"/>
        </w:rPr>
        <w:t>北仑区地籍图编制项目</w:t>
      </w:r>
    </w:p>
    <w:p w14:paraId="04B5128B">
      <w:pPr>
        <w:pageBreakBefore w:val="0"/>
        <w:widowControl w:val="0"/>
        <w:kinsoku/>
        <w:wordWrap/>
        <w:overflowPunct/>
        <w:topLinePunct w:val="0"/>
        <w:autoSpaceDE/>
        <w:autoSpaceDN/>
        <w:bidi w:val="0"/>
        <w:adjustRightInd/>
        <w:snapToGrid w:val="0"/>
        <w:spacing w:line="336"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数量：1</w:t>
      </w:r>
    </w:p>
    <w:p w14:paraId="4B53B6F4">
      <w:pPr>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default" w:ascii="宋体" w:hAnsi="宋体" w:cs="宋体"/>
          <w:color w:val="auto"/>
          <w:highlight w:val="none"/>
          <w:lang w:val="en-US"/>
        </w:rPr>
      </w:pPr>
      <w:r>
        <w:rPr>
          <w:rFonts w:hint="eastAsia" w:ascii="宋体" w:hAnsi="宋体" w:cs="宋体"/>
          <w:color w:val="auto"/>
          <w:highlight w:val="none"/>
        </w:rPr>
        <w:t>预算金额（元）：</w:t>
      </w:r>
      <w:r>
        <w:rPr>
          <w:rFonts w:hint="eastAsia" w:ascii="宋体" w:hAnsi="宋体" w:cs="宋体"/>
          <w:color w:val="auto"/>
          <w:highlight w:val="none"/>
          <w:lang w:val="en-US" w:eastAsia="zh-CN"/>
        </w:rPr>
        <w:t>500000</w:t>
      </w:r>
    </w:p>
    <w:p w14:paraId="1D4773A4">
      <w:pPr>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简要规格描述或项目基本概况介绍、用途：</w:t>
      </w:r>
      <w:r>
        <w:rPr>
          <w:rFonts w:hint="eastAsia" w:ascii="宋体" w:hAnsi="宋体" w:cs="宋体"/>
          <w:color w:val="auto"/>
          <w:highlight w:val="none"/>
          <w:lang w:val="en-US" w:eastAsia="zh-CN"/>
        </w:rPr>
        <w:t>以现有不动产登记、地籍调查成果为基础，结合高清影像和各类测绘资料，通过数据整理、补充勾绘、图属关联、无图证书落宗等步骤，完成北仑区范围内宅基地、集体建设用地及国有建设用地地籍图编制工作，形成全域覆盖、图属关联、现势有效的地籍图，全面、快速、准确掌握宗地产权底数情况，为地籍“一张图”建设提供数据基础</w:t>
      </w:r>
      <w:r>
        <w:rPr>
          <w:rFonts w:hint="eastAsia" w:ascii="宋体" w:hAnsi="宋体" w:cs="宋体"/>
          <w:color w:val="auto"/>
          <w:highlight w:val="none"/>
        </w:rPr>
        <w:t>。（详见第三部分项目内容及要求）。</w:t>
      </w:r>
    </w:p>
    <w:p w14:paraId="26700858">
      <w:pPr>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合同履约期限：自合同生效之日</w:t>
      </w:r>
      <w:r>
        <w:rPr>
          <w:rFonts w:hint="eastAsia" w:ascii="宋体" w:hAnsi="宋体" w:cs="宋体"/>
          <w:color w:val="auto"/>
          <w:highlight w:val="none"/>
          <w:lang w:val="en-US" w:eastAsia="zh-CN"/>
        </w:rPr>
        <w:t>起</w:t>
      </w:r>
      <w:r>
        <w:rPr>
          <w:rFonts w:hint="eastAsia" w:ascii="宋体" w:hAnsi="宋体" w:cs="宋体"/>
          <w:color w:val="auto"/>
          <w:highlight w:val="none"/>
        </w:rPr>
        <w:t>至合同</w:t>
      </w:r>
      <w:r>
        <w:rPr>
          <w:rFonts w:hint="eastAsia" w:ascii="宋体" w:hAnsi="宋体" w:cs="宋体"/>
          <w:color w:val="auto"/>
          <w:highlight w:val="none"/>
          <w:lang w:val="en-US" w:eastAsia="zh-CN"/>
        </w:rPr>
        <w:t>约定的</w:t>
      </w:r>
      <w:r>
        <w:rPr>
          <w:rFonts w:hint="eastAsia" w:ascii="宋体" w:hAnsi="宋体" w:cs="宋体"/>
          <w:color w:val="auto"/>
          <w:highlight w:val="none"/>
        </w:rPr>
        <w:t>全部权利义务履行完毕之日止。</w:t>
      </w:r>
    </w:p>
    <w:p w14:paraId="1BBDF4D7">
      <w:pPr>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cs="宋体"/>
          <w:strike/>
          <w:dstrike w:val="0"/>
          <w:color w:val="auto"/>
          <w:highlight w:val="none"/>
        </w:rPr>
      </w:pPr>
      <w:r>
        <w:rPr>
          <w:rFonts w:hint="eastAsia" w:ascii="宋体" w:hAnsi="宋体" w:cs="宋体"/>
          <w:color w:val="auto"/>
          <w:highlight w:val="none"/>
        </w:rPr>
        <w:t>本项目（否）接受联合体投标。</w:t>
      </w:r>
    </w:p>
    <w:p w14:paraId="0F31277A">
      <w:pPr>
        <w:pageBreakBefore w:val="0"/>
        <w:widowControl w:val="0"/>
        <w:kinsoku/>
        <w:wordWrap/>
        <w:overflowPunct/>
        <w:topLinePunct w:val="0"/>
        <w:autoSpaceDE/>
        <w:autoSpaceDN/>
        <w:bidi w:val="0"/>
        <w:adjustRightInd/>
        <w:snapToGrid w:val="0"/>
        <w:spacing w:line="336" w:lineRule="auto"/>
        <w:textAlignment w:val="auto"/>
        <w:rPr>
          <w:rFonts w:ascii="宋体" w:hAnsi="宋体"/>
          <w:b/>
          <w:color w:val="auto"/>
          <w:highlight w:val="none"/>
        </w:rPr>
      </w:pPr>
      <w:r>
        <w:rPr>
          <w:rFonts w:hint="eastAsia" w:ascii="Arial" w:hAnsi="Arial" w:cs="Arial"/>
          <w:b/>
          <w:color w:val="auto"/>
          <w:szCs w:val="21"/>
          <w:highlight w:val="none"/>
        </w:rPr>
        <w:t xml:space="preserve">    二、申请人的</w:t>
      </w:r>
      <w:r>
        <w:rPr>
          <w:rFonts w:hint="eastAsia" w:ascii="宋体" w:hAnsi="宋体"/>
          <w:b/>
          <w:color w:val="auto"/>
          <w:highlight w:val="none"/>
        </w:rPr>
        <w:t>资格条件：</w:t>
      </w:r>
    </w:p>
    <w:p w14:paraId="1C92F39F">
      <w:pPr>
        <w:pageBreakBefore w:val="0"/>
        <w:widowControl w:val="0"/>
        <w:kinsoku/>
        <w:wordWrap/>
        <w:overflowPunct/>
        <w:topLinePunct w:val="0"/>
        <w:autoSpaceDE/>
        <w:autoSpaceDN/>
        <w:bidi w:val="0"/>
        <w:adjustRightInd/>
        <w:snapToGrid w:val="0"/>
        <w:spacing w:line="336" w:lineRule="auto"/>
        <w:ind w:firstLine="420" w:firstLineChars="200"/>
        <w:textAlignment w:val="auto"/>
        <w:rPr>
          <w:rFonts w:ascii="宋体" w:hAnsi="宋体" w:cs="宋体"/>
          <w:color w:val="auto"/>
          <w:highlight w:val="none"/>
          <w:lang w:val="en"/>
        </w:rPr>
      </w:pPr>
      <w:r>
        <w:rPr>
          <w:rFonts w:hint="eastAsia" w:ascii="宋体" w:hAnsi="宋体" w:cs="宋体"/>
          <w:color w:val="auto"/>
          <w:highlight w:val="none"/>
        </w:rPr>
        <w:t>1.</w:t>
      </w:r>
      <w:r>
        <w:rPr>
          <w:rFonts w:hint="eastAsia" w:ascii="宋体" w:hAnsi="宋体" w:cs="宋体"/>
          <w:color w:val="auto"/>
          <w:highlight w:val="none"/>
          <w:lang w:val="en"/>
        </w:rPr>
        <w:t>符合《中华人民共和国政府采购法》第22条规定；未被“信用中国”（www.creditchina.gov.cn)、中国政府采购网（www.ccgp.gov.cn）列入失信被执行人、重大税收违法案件当事人名单、政府采购严重违法失信行为记录名单。</w:t>
      </w:r>
    </w:p>
    <w:p w14:paraId="07BA73D6">
      <w:pPr>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highlight w:val="none"/>
          <w:lang w:val="en" w:eastAsia="zh-CN"/>
        </w:rPr>
      </w:pPr>
      <w:r>
        <w:rPr>
          <w:rFonts w:hint="eastAsia" w:ascii="宋体" w:hAnsi="宋体" w:cs="宋体"/>
          <w:color w:val="auto"/>
          <w:highlight w:val="none"/>
          <w:lang w:val="en"/>
        </w:rPr>
        <w:t>2.落实政府采购政策需满足的资格要求：</w:t>
      </w:r>
      <w:r>
        <w:rPr>
          <w:rFonts w:hint="eastAsia" w:ascii="宋体" w:hAnsi="宋体" w:cs="宋体"/>
          <w:color w:val="auto"/>
          <w:highlight w:val="none"/>
          <w:lang w:val="en-US" w:eastAsia="zh-CN"/>
        </w:rPr>
        <w:t xml:space="preserve">本项目属于专门面向中小企业采购的项目，投标人应为符合《政府采购促进中小企业发展管理办法》（财库﹝2020﹞46 号）规定的中小企业（其中，小微企业包括视同为小型、微型企业的监狱企业、残疾人福利性单位。）。 </w:t>
      </w:r>
    </w:p>
    <w:p w14:paraId="2FACFD93">
      <w:pPr>
        <w:pageBreakBefore w:val="0"/>
        <w:widowControl w:val="0"/>
        <w:kinsoku/>
        <w:wordWrap/>
        <w:overflowPunct/>
        <w:topLinePunct w:val="0"/>
        <w:autoSpaceDE/>
        <w:autoSpaceDN/>
        <w:bidi w:val="0"/>
        <w:adjustRightInd/>
        <w:spacing w:line="336" w:lineRule="auto"/>
        <w:ind w:firstLine="420" w:firstLineChars="200"/>
        <w:textAlignment w:val="auto"/>
        <w:rPr>
          <w:rFonts w:hint="default" w:ascii="宋体" w:hAnsi="宋体" w:cs="宋体"/>
          <w:bCs/>
          <w:color w:val="auto"/>
          <w:szCs w:val="21"/>
          <w:highlight w:val="none"/>
          <w:lang w:val="en-US"/>
        </w:rPr>
      </w:pPr>
      <w:r>
        <w:rPr>
          <w:rFonts w:hint="eastAsia" w:ascii="宋体" w:hAnsi="宋体" w:cs="宋体"/>
          <w:color w:val="auto"/>
          <w:highlight w:val="none"/>
          <w:lang w:val="en-US" w:eastAsia="zh-CN"/>
        </w:rPr>
        <w:t>3.本项目特定资格条件为：</w:t>
      </w:r>
      <w:r>
        <w:rPr>
          <w:rFonts w:hint="eastAsia" w:ascii="宋体" w:hAnsi="宋体" w:cs="宋体"/>
          <w:bCs/>
          <w:color w:val="auto"/>
          <w:szCs w:val="21"/>
          <w:highlight w:val="none"/>
          <w:lang w:val="en-US" w:eastAsia="zh-CN"/>
        </w:rPr>
        <w:t>投标人</w:t>
      </w:r>
      <w:r>
        <w:rPr>
          <w:rFonts w:hint="eastAsia" w:hAnsi="宋体" w:eastAsia="宋体" w:cs="宋体"/>
          <w:color w:val="auto"/>
          <w:sz w:val="21"/>
          <w:highlight w:val="none"/>
          <w:lang w:val="en-US" w:eastAsia="zh-CN"/>
        </w:rPr>
        <w:t>具备乙级及以上测绘资质（含界线与不动产测绘、地理信息系统工程）。</w:t>
      </w:r>
    </w:p>
    <w:p w14:paraId="5B0624CB">
      <w:pPr>
        <w:pageBreakBefore w:val="0"/>
        <w:widowControl w:val="0"/>
        <w:kinsoku/>
        <w:wordWrap/>
        <w:overflowPunct/>
        <w:topLinePunct w:val="0"/>
        <w:autoSpaceDE/>
        <w:autoSpaceDN/>
        <w:bidi w:val="0"/>
        <w:adjustRightInd/>
        <w:spacing w:line="336" w:lineRule="auto"/>
        <w:textAlignment w:val="auto"/>
        <w:rPr>
          <w:rFonts w:ascii="Arial" w:hAnsi="Arial" w:cs="Arial"/>
          <w:b/>
          <w:color w:val="auto"/>
          <w:szCs w:val="21"/>
          <w:highlight w:val="none"/>
        </w:rPr>
      </w:pPr>
      <w:r>
        <w:rPr>
          <w:rFonts w:hint="eastAsia" w:ascii="宋体" w:hAnsi="宋体"/>
          <w:color w:val="auto"/>
          <w:highlight w:val="none"/>
        </w:rPr>
        <w:t xml:space="preserve">    </w:t>
      </w:r>
      <w:r>
        <w:rPr>
          <w:rFonts w:hint="eastAsia" w:ascii="Arial" w:hAnsi="Arial" w:cs="Arial"/>
          <w:b/>
          <w:color w:val="auto"/>
          <w:szCs w:val="21"/>
          <w:highlight w:val="none"/>
        </w:rPr>
        <w:t>三、获取招标文件</w:t>
      </w:r>
    </w:p>
    <w:p w14:paraId="15015FD6">
      <w:pPr>
        <w:pageBreakBefore w:val="0"/>
        <w:widowControl w:val="0"/>
        <w:kinsoku/>
        <w:wordWrap/>
        <w:overflowPunct/>
        <w:topLinePunct w:val="0"/>
        <w:autoSpaceDE/>
        <w:autoSpaceDN/>
        <w:bidi w:val="0"/>
        <w:adjustRightInd/>
        <w:spacing w:line="336"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时间：</w:t>
      </w:r>
      <w:r>
        <w:rPr>
          <w:rFonts w:hint="eastAsia" w:ascii="宋体" w:hAnsi="宋体" w:cs="Arial"/>
          <w:color w:val="auto"/>
          <w:kern w:val="0"/>
          <w:szCs w:val="21"/>
          <w:highlight w:val="none"/>
          <w:lang w:val="en" w:eastAsia="zh-CN"/>
        </w:rPr>
        <w:t>2025</w:t>
      </w:r>
      <w:r>
        <w:rPr>
          <w:rFonts w:ascii="宋体" w:hAnsi="宋体" w:cs="Arial"/>
          <w:color w:val="auto"/>
          <w:kern w:val="0"/>
          <w:szCs w:val="21"/>
          <w:highlight w:val="none"/>
          <w:lang w:val="en"/>
        </w:rPr>
        <w:t>年</w:t>
      </w:r>
      <w:r>
        <w:rPr>
          <w:rFonts w:hint="eastAsia" w:ascii="宋体" w:hAnsi="宋体" w:cs="Arial"/>
          <w:color w:val="auto"/>
          <w:kern w:val="0"/>
          <w:szCs w:val="21"/>
          <w:highlight w:val="none"/>
          <w:lang w:val="en-US" w:eastAsia="zh-CN"/>
        </w:rPr>
        <w:t>7</w:t>
      </w:r>
      <w:r>
        <w:rPr>
          <w:rFonts w:ascii="宋体" w:hAnsi="宋体" w:cs="Arial"/>
          <w:color w:val="auto"/>
          <w:kern w:val="0"/>
          <w:szCs w:val="21"/>
          <w:highlight w:val="none"/>
          <w:lang w:val="en"/>
        </w:rPr>
        <w:t>月</w:t>
      </w:r>
      <w:r>
        <w:rPr>
          <w:rFonts w:hint="eastAsia" w:ascii="宋体" w:hAnsi="宋体" w:cs="Arial"/>
          <w:color w:val="auto"/>
          <w:kern w:val="0"/>
          <w:szCs w:val="21"/>
          <w:highlight w:val="none"/>
          <w:lang w:val="en-US" w:eastAsia="zh-CN"/>
        </w:rPr>
        <w:t>2</w:t>
      </w:r>
      <w:r>
        <w:rPr>
          <w:rFonts w:ascii="宋体" w:hAnsi="宋体" w:cs="Arial"/>
          <w:color w:val="auto"/>
          <w:kern w:val="0"/>
          <w:szCs w:val="21"/>
          <w:highlight w:val="none"/>
          <w:lang w:val="en"/>
        </w:rPr>
        <w:t>日至</w:t>
      </w:r>
      <w:r>
        <w:rPr>
          <w:rFonts w:hint="eastAsia" w:ascii="宋体" w:hAnsi="宋体" w:cs="Arial"/>
          <w:color w:val="auto"/>
          <w:kern w:val="0"/>
          <w:szCs w:val="21"/>
          <w:highlight w:val="none"/>
          <w:lang w:val="en" w:eastAsia="zh-CN"/>
        </w:rPr>
        <w:t>2025</w:t>
      </w:r>
      <w:r>
        <w:rPr>
          <w:rFonts w:ascii="宋体" w:hAnsi="宋体" w:cs="Arial"/>
          <w:color w:val="auto"/>
          <w:kern w:val="0"/>
          <w:szCs w:val="21"/>
          <w:highlight w:val="none"/>
          <w:lang w:val="en"/>
        </w:rPr>
        <w:t>年</w:t>
      </w:r>
      <w:r>
        <w:rPr>
          <w:rFonts w:hint="eastAsia" w:ascii="宋体" w:hAnsi="宋体" w:cs="Arial"/>
          <w:color w:val="auto"/>
          <w:kern w:val="0"/>
          <w:szCs w:val="21"/>
          <w:highlight w:val="none"/>
          <w:lang w:val="en-US" w:eastAsia="zh-CN"/>
        </w:rPr>
        <w:t>7</w:t>
      </w:r>
      <w:r>
        <w:rPr>
          <w:rFonts w:ascii="宋体" w:hAnsi="宋体" w:cs="Arial"/>
          <w:color w:val="auto"/>
          <w:kern w:val="0"/>
          <w:szCs w:val="21"/>
          <w:highlight w:val="none"/>
          <w:lang w:val="en"/>
        </w:rPr>
        <w:t>月</w:t>
      </w:r>
      <w:r>
        <w:rPr>
          <w:rFonts w:hint="eastAsia" w:ascii="宋体" w:hAnsi="宋体" w:cs="Arial"/>
          <w:color w:val="auto"/>
          <w:kern w:val="0"/>
          <w:szCs w:val="21"/>
          <w:highlight w:val="none"/>
          <w:lang w:val="en-US" w:eastAsia="zh-CN"/>
        </w:rPr>
        <w:t>9</w:t>
      </w:r>
      <w:r>
        <w:rPr>
          <w:rFonts w:ascii="宋体" w:hAnsi="宋体" w:cs="Arial"/>
          <w:color w:val="auto"/>
          <w:kern w:val="0"/>
          <w:szCs w:val="21"/>
          <w:highlight w:val="none"/>
          <w:lang w:val="en"/>
        </w:rPr>
        <w:t>日，每天上午00:00至12:00，下午12:00至23:59（北京时间，线上获取法定节假日均可，线下获取文件法定节假日除外）</w:t>
      </w:r>
    </w:p>
    <w:p w14:paraId="7BE597DE">
      <w:pPr>
        <w:pageBreakBefore w:val="0"/>
        <w:widowControl w:val="0"/>
        <w:kinsoku/>
        <w:wordWrap/>
        <w:overflowPunct/>
        <w:topLinePunct w:val="0"/>
        <w:autoSpaceDE/>
        <w:autoSpaceDN/>
        <w:bidi w:val="0"/>
        <w:adjustRightInd/>
        <w:spacing w:line="336"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2、地点（网址）：浙江政府采购云平台（http://www.zcy.gov.cn/）。</w:t>
      </w:r>
    </w:p>
    <w:p w14:paraId="0FED4C3B">
      <w:pPr>
        <w:pageBreakBefore w:val="0"/>
        <w:widowControl w:val="0"/>
        <w:kinsoku/>
        <w:wordWrap/>
        <w:overflowPunct/>
        <w:topLinePunct w:val="0"/>
        <w:autoSpaceDE/>
        <w:autoSpaceDN/>
        <w:bidi w:val="0"/>
        <w:adjustRightInd/>
        <w:spacing w:line="336" w:lineRule="auto"/>
        <w:ind w:firstLine="420" w:firstLineChars="200"/>
        <w:textAlignment w:val="auto"/>
        <w:rPr>
          <w:rFonts w:ascii="宋体" w:hAnsi="宋体" w:cs="宋体"/>
          <w:b/>
          <w:bCs/>
          <w:color w:val="auto"/>
          <w:szCs w:val="21"/>
          <w:highlight w:val="none"/>
        </w:rPr>
      </w:pPr>
      <w:r>
        <w:rPr>
          <w:rFonts w:hint="eastAsia" w:ascii="宋体" w:hAnsi="宋体" w:cs="宋体"/>
          <w:bCs/>
          <w:color w:val="auto"/>
          <w:szCs w:val="21"/>
          <w:highlight w:val="none"/>
        </w:rPr>
        <w:t>3、方式：</w:t>
      </w:r>
      <w:r>
        <w:rPr>
          <w:rFonts w:ascii="宋体" w:hAnsi="宋体" w:cs="Arial"/>
          <w:color w:val="auto"/>
          <w:kern w:val="0"/>
          <w:szCs w:val="21"/>
          <w:highlight w:val="none"/>
          <w:lang w:val="en"/>
        </w:rPr>
        <w:t>本项目招标文件实行“浙江政府采购网-政府采购云平台”在线获取，不提供招标文件纸质版。供应商获取招标文件前应先完成“浙江政府采购网-政府采购云平台”的账号注册； 潜在供应商登陆浙江政府采购网-政府采购云平台，在线申请获取招标文件（进入“项目采购”应用，在获取招标文件菜单中选择项目，申请获取招标文件；仅需浏览招标文件的供应商可点击“游客，浏览招标文件”直接下载招标文件浏览）； 招标公告附件内的招标文件仅供阅览使用，投标人只有在“浙江政府采购网-政府采购云平台”完成获取招标文件申请并下载了招标文件后才视作依法获取招标文件（法律法规所指的供应商获取招标文件时间以供应商完成获取招标文件申请后下载招标文件的时间为准）。 注：请投标人按上述要求获取招标文件，如未在“浙江政府采购网-政府采购云平台”系统内完成相关流程，引起的投标无效责任自负。</w:t>
      </w:r>
      <w:r>
        <w:rPr>
          <w:rStyle w:val="31"/>
          <w:rFonts w:ascii="宋体" w:hAnsi="宋体" w:cs="Arial"/>
          <w:color w:val="auto"/>
          <w:szCs w:val="21"/>
          <w:highlight w:val="none"/>
          <w:lang w:val="en"/>
        </w:rPr>
        <w:t>如有疑问请及时咨询网站客服，咨询电话：</w:t>
      </w:r>
      <w:r>
        <w:rPr>
          <w:rStyle w:val="31"/>
          <w:rFonts w:hint="eastAsia" w:ascii="宋体" w:hAnsi="宋体" w:cs="Arial"/>
          <w:color w:val="auto"/>
          <w:szCs w:val="21"/>
          <w:highlight w:val="none"/>
          <w:lang w:val="en"/>
        </w:rPr>
        <w:t>95763</w:t>
      </w:r>
      <w:r>
        <w:rPr>
          <w:rStyle w:val="31"/>
          <w:rFonts w:ascii="宋体" w:hAnsi="宋体" w:cs="Arial"/>
          <w:color w:val="auto"/>
          <w:szCs w:val="21"/>
          <w:highlight w:val="none"/>
          <w:lang w:val="en"/>
        </w:rPr>
        <w:t>。</w:t>
      </w:r>
    </w:p>
    <w:p w14:paraId="3C487B4E">
      <w:pPr>
        <w:pageBreakBefore w:val="0"/>
        <w:widowControl w:val="0"/>
        <w:kinsoku/>
        <w:wordWrap/>
        <w:overflowPunct/>
        <w:topLinePunct w:val="0"/>
        <w:autoSpaceDE/>
        <w:autoSpaceDN/>
        <w:bidi w:val="0"/>
        <w:adjustRightInd/>
        <w:spacing w:line="336"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 xml:space="preserve">售价：0元。 </w:t>
      </w:r>
    </w:p>
    <w:p w14:paraId="1E464F9A">
      <w:pPr>
        <w:pageBreakBefore w:val="0"/>
        <w:widowControl w:val="0"/>
        <w:kinsoku/>
        <w:wordWrap/>
        <w:overflowPunct/>
        <w:topLinePunct w:val="0"/>
        <w:autoSpaceDE/>
        <w:autoSpaceDN/>
        <w:bidi w:val="0"/>
        <w:adjustRightInd/>
        <w:spacing w:line="336" w:lineRule="auto"/>
        <w:ind w:firstLine="420" w:firstLineChars="200"/>
        <w:textAlignment w:val="auto"/>
        <w:rPr>
          <w:rFonts w:ascii="宋体" w:hAnsi="宋体" w:cs="宋体"/>
          <w:bCs/>
          <w:color w:val="auto"/>
          <w:szCs w:val="21"/>
          <w:highlight w:val="none"/>
        </w:rPr>
      </w:pPr>
      <w:r>
        <w:rPr>
          <w:rFonts w:hint="eastAsia" w:ascii="宋体" w:hAnsi="宋体" w:cs="宋体"/>
          <w:b/>
          <w:color w:val="auto"/>
          <w:szCs w:val="21"/>
          <w:highlight w:val="none"/>
        </w:rPr>
        <w:t>四、提交投标文件截止时间、开标时间和地点</w:t>
      </w:r>
    </w:p>
    <w:p w14:paraId="16CC6287">
      <w:pPr>
        <w:pageBreakBefore w:val="0"/>
        <w:widowControl w:val="0"/>
        <w:kinsoku/>
        <w:wordWrap/>
        <w:overflowPunct/>
        <w:topLinePunct w:val="0"/>
        <w:autoSpaceDE/>
        <w:autoSpaceDN/>
        <w:bidi w:val="0"/>
        <w:adjustRightInd/>
        <w:spacing w:line="336"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提交投标文件截止时间</w:t>
      </w:r>
      <w:r>
        <w:rPr>
          <w:rFonts w:hint="eastAsia" w:ascii="宋体" w:hAnsi="宋体" w:cs="宋体"/>
          <w:b/>
          <w:bCs/>
          <w:color w:val="auto"/>
          <w:szCs w:val="21"/>
          <w:highlight w:val="none"/>
        </w:rPr>
        <w:t>：</w:t>
      </w:r>
      <w:r>
        <w:rPr>
          <w:rFonts w:hint="eastAsia" w:ascii="宋体" w:hAnsi="宋体" w:cs="宋体"/>
          <w:b/>
          <w:bCs/>
          <w:color w:val="auto"/>
          <w:szCs w:val="21"/>
          <w:highlight w:val="none"/>
          <w:u w:val="single"/>
          <w:lang w:eastAsia="zh-CN"/>
        </w:rPr>
        <w:t>2025</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 xml:space="preserve"> 7 </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 xml:space="preserve"> 23  </w:t>
      </w:r>
      <w:r>
        <w:rPr>
          <w:rFonts w:hint="eastAsia" w:ascii="宋体" w:hAnsi="宋体" w:cs="宋体"/>
          <w:b/>
          <w:bCs/>
          <w:color w:val="auto"/>
          <w:szCs w:val="21"/>
          <w:highlight w:val="none"/>
        </w:rPr>
        <w:t>日</w:t>
      </w:r>
      <w:r>
        <w:rPr>
          <w:rFonts w:hint="eastAsia" w:ascii="宋体" w:hAnsi="宋体" w:cs="宋体"/>
          <w:b/>
          <w:bCs/>
          <w:color w:val="auto"/>
          <w:szCs w:val="21"/>
          <w:highlight w:val="none"/>
          <w:u w:val="single"/>
          <w:lang w:val="en-US" w:eastAsia="zh-CN"/>
        </w:rPr>
        <w:t>13</w:t>
      </w: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val="en-US" w:eastAsia="zh-CN"/>
        </w:rPr>
        <w:t xml:space="preserve">30 </w:t>
      </w:r>
      <w:r>
        <w:rPr>
          <w:rFonts w:hint="eastAsia" w:ascii="宋体" w:hAnsi="宋体" w:cs="宋体"/>
          <w:bCs/>
          <w:color w:val="auto"/>
          <w:szCs w:val="21"/>
          <w:highlight w:val="none"/>
        </w:rPr>
        <w:t>（北京时间）。</w:t>
      </w:r>
    </w:p>
    <w:p w14:paraId="470A00D6">
      <w:pPr>
        <w:pageBreakBefore w:val="0"/>
        <w:widowControl w:val="0"/>
        <w:kinsoku/>
        <w:wordWrap/>
        <w:overflowPunct/>
        <w:topLinePunct w:val="0"/>
        <w:autoSpaceDE/>
        <w:autoSpaceDN/>
        <w:bidi w:val="0"/>
        <w:adjustRightInd/>
        <w:spacing w:line="336"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投标地点（网址）：</w:t>
      </w:r>
      <w:r>
        <w:rPr>
          <w:rFonts w:hint="eastAsia" w:ascii="宋体" w:hAnsi="宋体" w:cs="宋体"/>
          <w:color w:val="auto"/>
          <w:spacing w:val="-2"/>
          <w:szCs w:val="21"/>
          <w:highlight w:val="none"/>
        </w:rPr>
        <w:t>（1）“电子加密</w:t>
      </w:r>
      <w:r>
        <w:rPr>
          <w:rFonts w:hint="eastAsia" w:ascii="宋体" w:hAnsi="宋体" w:cs="宋体"/>
          <w:bCs/>
          <w:color w:val="auto"/>
          <w:spacing w:val="-2"/>
          <w:szCs w:val="21"/>
          <w:highlight w:val="none"/>
        </w:rPr>
        <w:t>投标文件”：</w:t>
      </w:r>
      <w:r>
        <w:rPr>
          <w:color w:val="auto"/>
          <w:highlight w:val="none"/>
        </w:rPr>
        <w:fldChar w:fldCharType="begin"/>
      </w:r>
      <w:r>
        <w:rPr>
          <w:color w:val="auto"/>
          <w:highlight w:val="none"/>
        </w:rPr>
        <w:instrText xml:space="preserve"> HYPERLINK "https://www.zcygov.cn在线提交；" </w:instrText>
      </w:r>
      <w:r>
        <w:rPr>
          <w:color w:val="auto"/>
          <w:highlight w:val="none"/>
        </w:rPr>
        <w:fldChar w:fldCharType="separate"/>
      </w:r>
      <w:r>
        <w:rPr>
          <w:rFonts w:hint="eastAsia" w:ascii="宋体" w:hAnsi="宋体" w:cs="宋体"/>
          <w:color w:val="auto"/>
          <w:spacing w:val="-2"/>
          <w:szCs w:val="21"/>
          <w:highlight w:val="none"/>
        </w:rPr>
        <w:t>政采云平台（www.zcygov.cn）</w:t>
      </w:r>
      <w:r>
        <w:rPr>
          <w:rStyle w:val="28"/>
          <w:rFonts w:hint="eastAsia" w:ascii="宋体" w:hAnsi="宋体" w:cs="宋体"/>
          <w:bCs/>
          <w:color w:val="auto"/>
          <w:spacing w:val="-2"/>
          <w:highlight w:val="none"/>
        </w:rPr>
        <w:t>在线提交；</w:t>
      </w:r>
      <w:r>
        <w:rPr>
          <w:rStyle w:val="28"/>
          <w:rFonts w:hint="eastAsia" w:ascii="宋体" w:hAnsi="宋体" w:cs="宋体"/>
          <w:bCs/>
          <w:color w:val="auto"/>
          <w:spacing w:val="-2"/>
          <w:highlight w:val="none"/>
        </w:rPr>
        <w:fldChar w:fldCharType="end"/>
      </w:r>
      <w:r>
        <w:rPr>
          <w:rFonts w:hint="eastAsia" w:ascii="宋体" w:hAnsi="宋体" w:cs="宋体"/>
          <w:color w:val="auto"/>
          <w:spacing w:val="-2"/>
          <w:szCs w:val="21"/>
          <w:highlight w:val="none"/>
        </w:rPr>
        <w:t>（2）现场递交备份投标文件（以U盘存储的电子备份投标文件）：</w:t>
      </w:r>
      <w:r>
        <w:rPr>
          <w:rFonts w:hint="eastAsia" w:ascii="宋体" w:hAnsi="宋体"/>
          <w:color w:val="auto"/>
          <w:szCs w:val="21"/>
          <w:highlight w:val="none"/>
        </w:rPr>
        <w:t>宁波市北仑区长江路1166号北仑行政大楼B座三楼</w:t>
      </w:r>
      <w:r>
        <w:rPr>
          <w:rFonts w:hint="eastAsia" w:ascii="宋体" w:hAnsi="宋体"/>
          <w:color w:val="auto"/>
          <w:szCs w:val="21"/>
          <w:highlight w:val="none"/>
          <w:lang w:val="en-US" w:eastAsia="zh-CN"/>
        </w:rPr>
        <w:t>区政务服务中心</w:t>
      </w:r>
      <w:r>
        <w:rPr>
          <w:rFonts w:hint="eastAsia" w:ascii="宋体" w:hAnsi="宋体"/>
          <w:color w:val="auto"/>
          <w:szCs w:val="21"/>
          <w:highlight w:val="none"/>
        </w:rPr>
        <w:t>交易厅</w:t>
      </w:r>
      <w:r>
        <w:rPr>
          <w:rFonts w:hint="eastAsia" w:ascii="宋体" w:hAnsi="宋体"/>
          <w:color w:val="auto"/>
          <w:szCs w:val="21"/>
          <w:highlight w:val="none"/>
          <w:lang w:eastAsia="zh-CN"/>
        </w:rPr>
        <w:t>（</w:t>
      </w:r>
      <w:r>
        <w:rPr>
          <w:rFonts w:hint="eastAsia" w:ascii="宋体" w:hAnsi="宋体"/>
          <w:color w:val="auto"/>
          <w:szCs w:val="21"/>
          <w:highlight w:val="none"/>
        </w:rPr>
        <w:t>具体场所安排详见电子指示屏幕</w:t>
      </w:r>
      <w:r>
        <w:rPr>
          <w:rFonts w:hint="eastAsia" w:ascii="宋体" w:hAnsi="宋体"/>
          <w:color w:val="auto"/>
          <w:szCs w:val="21"/>
          <w:highlight w:val="none"/>
          <w:lang w:eastAsia="zh-CN"/>
        </w:rPr>
        <w:t>）</w:t>
      </w:r>
      <w:r>
        <w:rPr>
          <w:rFonts w:hint="eastAsia" w:ascii="宋体" w:hAnsi="宋体" w:cs="宋体"/>
          <w:bCs/>
          <w:color w:val="auto"/>
          <w:szCs w:val="21"/>
          <w:highlight w:val="none"/>
        </w:rPr>
        <w:t>。</w:t>
      </w:r>
    </w:p>
    <w:p w14:paraId="75678472">
      <w:pPr>
        <w:pageBreakBefore w:val="0"/>
        <w:widowControl w:val="0"/>
        <w:kinsoku/>
        <w:wordWrap/>
        <w:overflowPunct/>
        <w:topLinePunct w:val="0"/>
        <w:autoSpaceDE/>
        <w:autoSpaceDN/>
        <w:bidi w:val="0"/>
        <w:adjustRightInd/>
        <w:spacing w:line="336"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3、开标时间：</w:t>
      </w:r>
      <w:r>
        <w:rPr>
          <w:rFonts w:hint="eastAsia" w:ascii="宋体" w:hAnsi="宋体" w:cs="宋体"/>
          <w:b/>
          <w:bCs/>
          <w:color w:val="auto"/>
          <w:szCs w:val="21"/>
          <w:highlight w:val="none"/>
          <w:u w:val="single"/>
          <w:lang w:eastAsia="zh-CN"/>
        </w:rPr>
        <w:t>2025</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u w:val="single"/>
          <w:lang w:val="en-US" w:eastAsia="zh-CN"/>
        </w:rPr>
        <w:t xml:space="preserve"> 7  </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u w:val="single"/>
          <w:lang w:val="en-US" w:eastAsia="zh-CN"/>
        </w:rPr>
        <w:t xml:space="preserve">23 </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日</w:t>
      </w:r>
      <w:r>
        <w:rPr>
          <w:rFonts w:hint="eastAsia" w:ascii="宋体" w:hAnsi="宋体" w:cs="宋体"/>
          <w:b/>
          <w:bCs/>
          <w:color w:val="auto"/>
          <w:szCs w:val="21"/>
          <w:highlight w:val="none"/>
          <w:u w:val="single"/>
          <w:lang w:val="en-US" w:eastAsia="zh-CN"/>
        </w:rPr>
        <w:t>13</w:t>
      </w: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val="en-US" w:eastAsia="zh-CN"/>
        </w:rPr>
        <w:t>30</w:t>
      </w:r>
      <w:r>
        <w:rPr>
          <w:rFonts w:hint="eastAsia" w:ascii="宋体" w:hAnsi="宋体" w:cs="宋体"/>
          <w:b/>
          <w:bCs/>
          <w:color w:val="auto"/>
          <w:szCs w:val="21"/>
          <w:highlight w:val="none"/>
          <w:u w:val="single"/>
        </w:rPr>
        <w:t xml:space="preserve"> </w:t>
      </w:r>
      <w:r>
        <w:rPr>
          <w:rFonts w:hint="eastAsia" w:ascii="宋体" w:hAnsi="宋体" w:cs="宋体"/>
          <w:bCs/>
          <w:color w:val="auto"/>
          <w:szCs w:val="21"/>
          <w:highlight w:val="none"/>
        </w:rPr>
        <w:t>（北京时间）。</w:t>
      </w:r>
    </w:p>
    <w:p w14:paraId="65BB4C8D">
      <w:pPr>
        <w:pageBreakBefore w:val="0"/>
        <w:widowControl w:val="0"/>
        <w:kinsoku/>
        <w:wordWrap/>
        <w:overflowPunct/>
        <w:topLinePunct w:val="0"/>
        <w:autoSpaceDE/>
        <w:autoSpaceDN/>
        <w:bidi w:val="0"/>
        <w:adjustRightInd/>
        <w:spacing w:line="336" w:lineRule="auto"/>
        <w:ind w:firstLine="420" w:firstLineChars="200"/>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4、开标地点（网址）：</w:t>
      </w:r>
      <w:r>
        <w:rPr>
          <w:rFonts w:hint="eastAsia" w:ascii="宋体" w:hAnsi="宋体" w:cs="宋体"/>
          <w:color w:val="auto"/>
          <w:spacing w:val="-2"/>
          <w:szCs w:val="21"/>
          <w:highlight w:val="none"/>
        </w:rPr>
        <w:t>政采云平台（www.zcygov.cn）</w:t>
      </w:r>
      <w:r>
        <w:rPr>
          <w:rFonts w:hint="eastAsia" w:ascii="宋体" w:hAnsi="宋体" w:cs="宋体"/>
          <w:color w:val="auto"/>
          <w:spacing w:val="-2"/>
          <w:szCs w:val="21"/>
          <w:highlight w:val="none"/>
          <w:lang w:eastAsia="zh-CN"/>
        </w:rPr>
        <w:t>；</w:t>
      </w:r>
      <w:r>
        <w:rPr>
          <w:rFonts w:hint="eastAsia" w:ascii="宋体" w:hAnsi="宋体"/>
          <w:color w:val="auto"/>
          <w:szCs w:val="21"/>
          <w:highlight w:val="none"/>
        </w:rPr>
        <w:t>宁波市北仑区长江路1166号北仑行政大楼B座三楼</w:t>
      </w:r>
      <w:r>
        <w:rPr>
          <w:rFonts w:hint="eastAsia" w:ascii="宋体" w:hAnsi="宋体"/>
          <w:color w:val="auto"/>
          <w:szCs w:val="21"/>
          <w:highlight w:val="none"/>
          <w:lang w:val="en-US" w:eastAsia="zh-CN"/>
        </w:rPr>
        <w:t>区政务服务中心</w:t>
      </w:r>
      <w:r>
        <w:rPr>
          <w:rFonts w:hint="eastAsia" w:ascii="宋体" w:hAnsi="宋体"/>
          <w:color w:val="auto"/>
          <w:szCs w:val="21"/>
          <w:highlight w:val="none"/>
        </w:rPr>
        <w:t>交易厅</w:t>
      </w:r>
      <w:r>
        <w:rPr>
          <w:rFonts w:hint="eastAsia" w:ascii="宋体" w:hAnsi="宋体"/>
          <w:color w:val="auto"/>
          <w:szCs w:val="21"/>
          <w:highlight w:val="none"/>
          <w:lang w:eastAsia="zh-CN"/>
        </w:rPr>
        <w:t>（</w:t>
      </w:r>
      <w:r>
        <w:rPr>
          <w:rFonts w:hint="eastAsia" w:ascii="宋体" w:hAnsi="宋体"/>
          <w:color w:val="auto"/>
          <w:szCs w:val="21"/>
          <w:highlight w:val="none"/>
        </w:rPr>
        <w:t>具体场所安排详见电子指示屏幕</w:t>
      </w:r>
      <w:r>
        <w:rPr>
          <w:rFonts w:hint="eastAsia" w:ascii="宋体" w:hAnsi="宋体"/>
          <w:color w:val="auto"/>
          <w:szCs w:val="21"/>
          <w:highlight w:val="none"/>
          <w:lang w:eastAsia="zh-CN"/>
        </w:rPr>
        <w:t>）</w:t>
      </w:r>
      <w:r>
        <w:rPr>
          <w:rFonts w:hint="eastAsia" w:ascii="宋体" w:hAnsi="宋体" w:cs="宋体"/>
          <w:bCs/>
          <w:color w:val="auto"/>
          <w:szCs w:val="21"/>
          <w:highlight w:val="none"/>
          <w:lang w:eastAsia="zh-CN"/>
        </w:rPr>
        <w:t>。</w:t>
      </w:r>
    </w:p>
    <w:p w14:paraId="105A2B15">
      <w:pPr>
        <w:pageBreakBefore w:val="0"/>
        <w:widowControl w:val="0"/>
        <w:kinsoku/>
        <w:wordWrap/>
        <w:overflowPunct/>
        <w:topLinePunct w:val="0"/>
        <w:autoSpaceDE/>
        <w:autoSpaceDN/>
        <w:bidi w:val="0"/>
        <w:adjustRightInd/>
        <w:spacing w:line="336" w:lineRule="auto"/>
        <w:ind w:firstLine="420" w:firstLineChars="200"/>
        <w:textAlignment w:val="auto"/>
        <w:rPr>
          <w:rFonts w:ascii="宋体" w:hAnsi="宋体" w:cs="宋体"/>
          <w:bCs/>
          <w:color w:val="auto"/>
          <w:szCs w:val="21"/>
          <w:highlight w:val="none"/>
        </w:rPr>
      </w:pPr>
      <w:r>
        <w:rPr>
          <w:rFonts w:hint="eastAsia" w:ascii="宋体" w:hAnsi="宋体" w:cs="宋体"/>
          <w:b/>
          <w:color w:val="auto"/>
          <w:szCs w:val="21"/>
          <w:highlight w:val="none"/>
        </w:rPr>
        <w:t>五、公告期限</w:t>
      </w:r>
    </w:p>
    <w:p w14:paraId="32FD8203">
      <w:pPr>
        <w:pageBreakBefore w:val="0"/>
        <w:widowControl w:val="0"/>
        <w:kinsoku/>
        <w:wordWrap/>
        <w:overflowPunct/>
        <w:topLinePunct w:val="0"/>
        <w:autoSpaceDE/>
        <w:autoSpaceDN/>
        <w:bidi w:val="0"/>
        <w:adjustRightInd/>
        <w:spacing w:line="336"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自本公告发布之日起5个工作日。</w:t>
      </w:r>
    </w:p>
    <w:p w14:paraId="45A48479">
      <w:pPr>
        <w:pageBreakBefore w:val="0"/>
        <w:widowControl w:val="0"/>
        <w:kinsoku/>
        <w:wordWrap/>
        <w:overflowPunct/>
        <w:topLinePunct w:val="0"/>
        <w:autoSpaceDE/>
        <w:autoSpaceDN/>
        <w:bidi w:val="0"/>
        <w:adjustRightInd/>
        <w:spacing w:line="336" w:lineRule="auto"/>
        <w:ind w:firstLine="420" w:firstLineChars="200"/>
        <w:textAlignment w:val="auto"/>
        <w:rPr>
          <w:rFonts w:ascii="宋体" w:hAnsi="宋体" w:cs="宋体"/>
          <w:bCs/>
          <w:color w:val="auto"/>
          <w:szCs w:val="21"/>
          <w:highlight w:val="none"/>
        </w:rPr>
      </w:pPr>
      <w:r>
        <w:rPr>
          <w:rFonts w:hint="eastAsia" w:ascii="宋体" w:hAnsi="宋体" w:cs="宋体"/>
          <w:b/>
          <w:color w:val="auto"/>
          <w:szCs w:val="21"/>
          <w:highlight w:val="none"/>
        </w:rPr>
        <w:t>六、其他补充事宜</w:t>
      </w:r>
    </w:p>
    <w:p w14:paraId="113986A5">
      <w:pPr>
        <w:pageBreakBefore w:val="0"/>
        <w:widowControl w:val="0"/>
        <w:kinsoku/>
        <w:wordWrap/>
        <w:overflowPunct/>
        <w:topLinePunct w:val="0"/>
        <w:autoSpaceDE/>
        <w:autoSpaceDN/>
        <w:bidi w:val="0"/>
        <w:adjustRightInd/>
        <w:spacing w:line="336" w:lineRule="auto"/>
        <w:ind w:firstLine="420" w:firstLineChars="20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A789644">
      <w:pPr>
        <w:pageBreakBefore w:val="0"/>
        <w:widowControl w:val="0"/>
        <w:kinsoku/>
        <w:wordWrap/>
        <w:overflowPunct/>
        <w:topLinePunct w:val="0"/>
        <w:autoSpaceDE/>
        <w:autoSpaceDN/>
        <w:bidi w:val="0"/>
        <w:adjustRightInd/>
        <w:spacing w:line="336" w:lineRule="auto"/>
        <w:ind w:firstLine="420" w:firstLineChars="20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7AEAF11">
      <w:pPr>
        <w:pageBreakBefore w:val="0"/>
        <w:widowControl w:val="0"/>
        <w:kinsoku/>
        <w:wordWrap/>
        <w:overflowPunct/>
        <w:topLinePunct w:val="0"/>
        <w:autoSpaceDE/>
        <w:autoSpaceDN/>
        <w:bidi w:val="0"/>
        <w:adjustRightInd/>
        <w:spacing w:line="336" w:lineRule="auto"/>
        <w:ind w:firstLine="420" w:firstLineChars="20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A4926C8">
      <w:pPr>
        <w:pageBreakBefore w:val="0"/>
        <w:widowControl w:val="0"/>
        <w:kinsoku/>
        <w:wordWrap/>
        <w:overflowPunct/>
        <w:topLinePunct w:val="0"/>
        <w:autoSpaceDE/>
        <w:autoSpaceDN/>
        <w:bidi w:val="0"/>
        <w:adjustRightInd/>
        <w:spacing w:line="336" w:lineRule="auto"/>
        <w:ind w:firstLine="420" w:firstLineChars="200"/>
        <w:jc w:val="left"/>
        <w:textAlignment w:val="auto"/>
        <w:rPr>
          <w:rFonts w:hint="eastAsia" w:ascii="宋体" w:hAnsi="宋体" w:cs="宋体"/>
          <w:color w:val="auto"/>
          <w:spacing w:val="-6"/>
          <w:sz w:val="21"/>
          <w:szCs w:val="21"/>
          <w:highlight w:val="none"/>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w:t>
      </w:r>
      <w:r>
        <w:rPr>
          <w:rFonts w:ascii="宋体" w:hAnsi="宋体" w:cs="宋体"/>
          <w:bCs/>
          <w:color w:val="auto"/>
          <w:spacing w:val="-6"/>
          <w:sz w:val="21"/>
          <w:szCs w:val="21"/>
          <w:highlight w:val="none"/>
        </w:rPr>
        <w:t>其他事项：</w:t>
      </w:r>
      <w:r>
        <w:rPr>
          <w:rFonts w:hint="eastAsia" w:ascii="宋体" w:hAnsi="宋体" w:cs="宋体"/>
          <w:color w:val="auto"/>
          <w:spacing w:val="-6"/>
          <w:sz w:val="21"/>
          <w:szCs w:val="21"/>
          <w:highlight w:val="none"/>
          <w:lang w:val="en-US" w:eastAsia="zh-CN"/>
        </w:rPr>
        <w:t>4</w:t>
      </w:r>
      <w:r>
        <w:rPr>
          <w:rFonts w:hint="eastAsia" w:ascii="宋体" w:hAnsi="宋体" w:cs="宋体"/>
          <w:color w:val="auto"/>
          <w:spacing w:val="-6"/>
          <w:sz w:val="21"/>
          <w:szCs w:val="21"/>
          <w:highlight w:val="none"/>
        </w:rPr>
        <w:t>.1本次政府采购活动有关信息在“浙江政府采购网（https://zfcg.czt.zj.gov.cn/）”、“宁波政府采购网（https://www.nbzfcg.cn/）”、</w:t>
      </w:r>
      <w:r>
        <w:rPr>
          <w:rFonts w:hint="eastAsia" w:ascii="宋体" w:hAnsi="宋体" w:eastAsia="宋体" w:cs="Times New Roman"/>
          <w:color w:val="auto"/>
          <w:spacing w:val="-6"/>
          <w:sz w:val="21"/>
          <w:szCs w:val="21"/>
          <w:highlight w:val="none"/>
        </w:rPr>
        <w:t>“宁波市公共资源交易电子服务系统V2.0（https://jyxt.zwb.ningbo.gov.cn:4011/website/construction）”</w:t>
      </w:r>
      <w:r>
        <w:rPr>
          <w:rFonts w:hint="eastAsia" w:ascii="宋体" w:hAnsi="宋体" w:cs="宋体"/>
          <w:color w:val="auto"/>
          <w:spacing w:val="-6"/>
          <w:sz w:val="21"/>
          <w:szCs w:val="21"/>
          <w:highlight w:val="none"/>
        </w:rPr>
        <w:t>网站上公布，公布信息视同送达所有潜在投标人。</w:t>
      </w:r>
    </w:p>
    <w:p w14:paraId="7B6FA800">
      <w:pPr>
        <w:pageBreakBefore w:val="0"/>
        <w:widowControl w:val="0"/>
        <w:kinsoku/>
        <w:wordWrap/>
        <w:overflowPunct/>
        <w:topLinePunct w:val="0"/>
        <w:autoSpaceDE/>
        <w:autoSpaceDN/>
        <w:bidi w:val="0"/>
        <w:adjustRightInd/>
        <w:spacing w:line="336"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.2单位负责人为同一人或者存在直接控股、管理关系的不同供应商，不得参加同一标项的投标。为采购项目提供整体设计、规范编制或者项目管理、监理、检测等服务的供应商，不得再参加本项目投标。</w:t>
      </w:r>
    </w:p>
    <w:p w14:paraId="5C8B29E4">
      <w:pPr>
        <w:pageBreakBefore w:val="0"/>
        <w:widowControl w:val="0"/>
        <w:kinsoku/>
        <w:wordWrap/>
        <w:overflowPunct/>
        <w:topLinePunct w:val="0"/>
        <w:autoSpaceDE/>
        <w:autoSpaceDN/>
        <w:bidi w:val="0"/>
        <w:adjustRightInd/>
        <w:spacing w:line="336"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.3落实的政策：《关于促进残疾人就业政府采购政策的通知》（财库[2017]141号）、《政府采购促进中小企业发展管理办法》（财库[2020]46号）、《关于政府采购支持监狱企业发展有关问题的通知》(财库[2014]68号)。</w:t>
      </w:r>
    </w:p>
    <w:p w14:paraId="33B5AFE5">
      <w:pPr>
        <w:pageBreakBefore w:val="0"/>
        <w:widowControl w:val="0"/>
        <w:kinsoku/>
        <w:wordWrap/>
        <w:overflowPunct/>
        <w:topLinePunct w:val="0"/>
        <w:autoSpaceDE/>
        <w:autoSpaceDN/>
        <w:bidi w:val="0"/>
        <w:adjustRightInd/>
        <w:spacing w:line="336"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4投标与开标注意事项：1)本项目实行网上投标，采用电子投标文件。若供应商参与投标，自行承担投标一切费用。2)标前准备：各供应商应在开标前确保成为浙江省政府采购网正式注册入库供应商，并完成CA数字证书办理。因未注册入库、未办理CA数字证书等原因造成无法投标或投标失败等后果由供应商自行承担。3)投标文件制作应按照本项目采购文件和政采云平台的要求编制、加密并递交投标文件。供应商在使用系统进行投标的过程中遇到涉及平台使用的任何问题，可致电政采云平台技术支持热线咨询，联系方式：95763</w:t>
      </w:r>
      <w:r>
        <w:rPr>
          <w:rFonts w:hint="eastAsia" w:ascii="宋体" w:hAnsi="宋体" w:cs="Arial"/>
          <w:bCs/>
          <w:color w:val="auto"/>
          <w:szCs w:val="21"/>
          <w:highlight w:val="none"/>
        </w:rPr>
        <w:t>。投标人通过“政采云”平台电子投标工具制作投标文件，电子投标工具请供应商自行前往浙江省政府采购网下载并安装，投标文件制作具体流程详见政府采购云平台。4）以U盘介质存储的数据电文形式的备份投标文件1份，即电子投标文件按“政采云供应商项目采购-电子招投标操作指南”制作的备份文件，以用于异常情况处理。5）</w:t>
      </w:r>
      <w:r>
        <w:rPr>
          <w:rFonts w:hint="eastAsia" w:ascii="宋体" w:hAnsi="宋体" w:cs="宋体"/>
          <w:color w:val="auto"/>
          <w:szCs w:val="21"/>
          <w:highlight w:val="none"/>
        </w:rPr>
        <w:t>开标时间后30分钟内供应商可以登录“政采云”平台，用“项目采购-开标评标”功能进行解密投标文件。若供应商在规定时间内无法解密或解密失败，可使用备份电子投标文件进行下评标。若供应商在规定时间内无法解密或解密失败且未在开标前提供备份电子投标文件的，视为投标人放弃投标。</w:t>
      </w:r>
    </w:p>
    <w:p w14:paraId="4EE07737">
      <w:pPr>
        <w:pageBreakBefore w:val="0"/>
        <w:widowControl w:val="0"/>
        <w:kinsoku/>
        <w:wordWrap/>
        <w:overflowPunct/>
        <w:topLinePunct w:val="0"/>
        <w:autoSpaceDE/>
        <w:autoSpaceDN/>
        <w:bidi w:val="0"/>
        <w:adjustRightInd/>
        <w:spacing w:line="336" w:lineRule="auto"/>
        <w:ind w:firstLine="420" w:firstLineChars="200"/>
        <w:jc w:val="left"/>
        <w:textAlignment w:val="auto"/>
        <w:rPr>
          <w:rFonts w:ascii="宋体" w:hAnsi="宋体" w:cs="Arial"/>
          <w:bCs/>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.5</w:t>
      </w:r>
      <w:r>
        <w:rPr>
          <w:rFonts w:hint="eastAsia" w:ascii="宋体" w:hAnsi="宋体" w:cs="Arial"/>
          <w:bCs/>
          <w:color w:val="auto"/>
          <w:szCs w:val="21"/>
          <w:highlight w:val="none"/>
        </w:rPr>
        <w:t xml:space="preserve"> 供应商递交备份电子投标文件方式</w:t>
      </w:r>
      <w:r>
        <w:rPr>
          <w:rFonts w:hint="eastAsia" w:ascii="宋体" w:hAnsi="宋体" w:cs="宋体"/>
          <w:b/>
          <w:bCs w:val="0"/>
          <w:color w:val="auto"/>
          <w:szCs w:val="21"/>
          <w:highlight w:val="none"/>
        </w:rPr>
        <w:t>（不作强制要求，投标人自行决定是否提供）</w:t>
      </w:r>
      <w:r>
        <w:rPr>
          <w:rFonts w:hint="eastAsia" w:ascii="宋体" w:hAnsi="宋体" w:cs="Arial"/>
          <w:bCs/>
          <w:color w:val="auto"/>
          <w:szCs w:val="21"/>
          <w:highlight w:val="none"/>
        </w:rPr>
        <w:t>：1）采用邮寄方式递交投标文件，需按以下要求递交： 供应商须在</w:t>
      </w:r>
      <w:r>
        <w:rPr>
          <w:rFonts w:hint="eastAsia" w:ascii="宋体" w:hAnsi="宋体" w:cs="Arial"/>
          <w:bCs/>
          <w:color w:val="auto"/>
          <w:szCs w:val="21"/>
          <w:highlight w:val="none"/>
          <w:lang w:val="en-US" w:eastAsia="zh-CN"/>
        </w:rPr>
        <w:t>投标截止时间前一日17:00</w:t>
      </w:r>
      <w:r>
        <w:rPr>
          <w:rFonts w:hint="eastAsia" w:ascii="宋体" w:hAnsi="宋体" w:cs="Arial"/>
          <w:bCs/>
          <w:color w:val="auto"/>
          <w:szCs w:val="21"/>
          <w:highlight w:val="none"/>
        </w:rPr>
        <w:t>前将备份电子投标文件邮寄至规定地点，由采购代理机构工作人员进行签收。各供应商自行考虑邮寄在途时间，邮寄过程中无论何种因素导致投标文件未按时递交的后果，均由供应商自行负责。投标文件递交时间以采购代理机构实际收到投标文件的时间为准。请各供应商确保密封包装在邮寄过程密封包装完好，并在邮寄包裹上注明项目名称，因邮寄过程的密封破损造成不符合开标要求的，本招标代理及招标人概不负责。投标文件邮寄地址为：</w:t>
      </w:r>
      <w:r>
        <w:rPr>
          <w:rFonts w:hint="eastAsia" w:ascii="宋体" w:hAnsi="宋体"/>
          <w:color w:val="auto"/>
          <w:kern w:val="58"/>
          <w:szCs w:val="21"/>
          <w:highlight w:val="none"/>
        </w:rPr>
        <w:t>宁波市</w:t>
      </w:r>
      <w:r>
        <w:rPr>
          <w:rFonts w:hint="eastAsia" w:ascii="宋体" w:hAnsi="宋体"/>
          <w:color w:val="auto"/>
          <w:szCs w:val="21"/>
          <w:highlight w:val="none"/>
        </w:rPr>
        <w:t>北仑区</w:t>
      </w:r>
      <w:r>
        <w:rPr>
          <w:rFonts w:hint="eastAsia" w:ascii="宋体" w:hAnsi="宋体"/>
          <w:color w:val="auto"/>
          <w:spacing w:val="-12"/>
          <w:szCs w:val="21"/>
          <w:highlight w:val="none"/>
        </w:rPr>
        <w:t>新碶街道</w:t>
      </w:r>
      <w:r>
        <w:rPr>
          <w:rFonts w:hint="eastAsia" w:ascii="宋体" w:hAnsi="宋体"/>
          <w:color w:val="auto"/>
          <w:szCs w:val="21"/>
          <w:highlight w:val="none"/>
        </w:rPr>
        <w:t>明州路773号开发区商务大厦B幢十楼1001室，</w:t>
      </w:r>
      <w:r>
        <w:rPr>
          <w:rFonts w:hint="eastAsia" w:ascii="宋体" w:hAnsi="宋体" w:cs="Arial"/>
          <w:bCs/>
          <w:color w:val="auto"/>
          <w:szCs w:val="21"/>
          <w:highlight w:val="none"/>
        </w:rPr>
        <w:t>收件人：石静娜，联系方式：0574-86830803、15968008205。2）采用现场递交投标文件，供应商代表在投标文件递交截止时间前进入开标现场（宁波市北仑区长江路1166号行政大楼B座三楼</w:t>
      </w:r>
      <w:r>
        <w:rPr>
          <w:rFonts w:hint="eastAsia" w:ascii="宋体" w:hAnsi="宋体" w:cs="Arial"/>
          <w:bCs/>
          <w:color w:val="auto"/>
          <w:szCs w:val="21"/>
          <w:highlight w:val="none"/>
          <w:lang w:val="en-US" w:eastAsia="zh-CN"/>
        </w:rPr>
        <w:t>区政务服务中心</w:t>
      </w:r>
      <w:r>
        <w:rPr>
          <w:rFonts w:hint="eastAsia" w:ascii="宋体" w:hAnsi="宋体" w:cs="Arial"/>
          <w:bCs/>
          <w:color w:val="auto"/>
          <w:szCs w:val="21"/>
          <w:highlight w:val="none"/>
        </w:rPr>
        <w:t>交易厅，具体场所安排详见电子指示屏幕）递交备份电子投标文件，参与现场开标活动的人员应自觉遵守和服从交易现场管理。</w:t>
      </w:r>
    </w:p>
    <w:p w14:paraId="07F10306">
      <w:pPr>
        <w:pageBreakBefore w:val="0"/>
        <w:widowControl w:val="0"/>
        <w:kinsoku/>
        <w:wordWrap/>
        <w:overflowPunct/>
        <w:topLinePunct w:val="0"/>
        <w:autoSpaceDE/>
        <w:autoSpaceDN/>
        <w:bidi w:val="0"/>
        <w:adjustRightInd/>
        <w:spacing w:line="336" w:lineRule="auto"/>
        <w:ind w:firstLine="420"/>
        <w:textAlignment w:val="auto"/>
        <w:rPr>
          <w:rFonts w:ascii="宋体" w:hAnsi="宋体" w:cs="宋体"/>
          <w:b/>
          <w:color w:val="auto"/>
          <w:szCs w:val="21"/>
          <w:highlight w:val="none"/>
        </w:rPr>
      </w:pPr>
      <w:r>
        <w:rPr>
          <w:rFonts w:hint="eastAsia" w:ascii="宋体" w:hAnsi="宋体" w:cs="宋体"/>
          <w:b/>
          <w:color w:val="auto"/>
          <w:szCs w:val="21"/>
          <w:highlight w:val="none"/>
        </w:rPr>
        <w:t>七、对本次采购提出询问、质疑、投诉，请按以下方式联系。</w:t>
      </w:r>
    </w:p>
    <w:p w14:paraId="3166940F">
      <w:pPr>
        <w:pageBreakBefore w:val="0"/>
        <w:widowControl w:val="0"/>
        <w:kinsoku/>
        <w:wordWrap/>
        <w:overflowPunct/>
        <w:topLinePunct w:val="0"/>
        <w:autoSpaceDE/>
        <w:autoSpaceDN/>
        <w:bidi w:val="0"/>
        <w:adjustRightInd/>
        <w:spacing w:line="336"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1.采购人信息：</w:t>
      </w:r>
    </w:p>
    <w:p w14:paraId="6543B30D">
      <w:pPr>
        <w:pageBreakBefore w:val="0"/>
        <w:widowControl w:val="0"/>
        <w:kinsoku/>
        <w:wordWrap/>
        <w:overflowPunct/>
        <w:topLinePunct w:val="0"/>
        <w:autoSpaceDE/>
        <w:autoSpaceDN/>
        <w:bidi w:val="0"/>
        <w:adjustRightInd/>
        <w:spacing w:line="336" w:lineRule="auto"/>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宁波市自然资源和规划局北仑分局</w:t>
      </w:r>
    </w:p>
    <w:p w14:paraId="2771AD96">
      <w:pPr>
        <w:pageBreakBefore w:val="0"/>
        <w:widowControl w:val="0"/>
        <w:kinsoku/>
        <w:wordWrap/>
        <w:overflowPunct/>
        <w:topLinePunct w:val="0"/>
        <w:autoSpaceDE/>
        <w:autoSpaceDN/>
        <w:bidi w:val="0"/>
        <w:adjustRightInd/>
        <w:spacing w:line="336"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地址：北仑区四明山路700号太河商务楼8楼</w:t>
      </w:r>
    </w:p>
    <w:p w14:paraId="4F2AEF0F">
      <w:pPr>
        <w:pageBreakBefore w:val="0"/>
        <w:widowControl w:val="0"/>
        <w:kinsoku/>
        <w:wordWrap/>
        <w:overflowPunct/>
        <w:topLinePunct w:val="0"/>
        <w:autoSpaceDE/>
        <w:autoSpaceDN/>
        <w:bidi w:val="0"/>
        <w:adjustRightInd/>
        <w:spacing w:line="336"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传真：/</w:t>
      </w:r>
    </w:p>
    <w:p w14:paraId="68E03922">
      <w:pPr>
        <w:pageBreakBefore w:val="0"/>
        <w:widowControl w:val="0"/>
        <w:kinsoku/>
        <w:wordWrap/>
        <w:overflowPunct/>
        <w:topLinePunct w:val="0"/>
        <w:autoSpaceDE/>
        <w:autoSpaceDN/>
        <w:bidi w:val="0"/>
        <w:adjustRightInd/>
        <w:spacing w:line="336"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项目联系人（询问）：</w:t>
      </w:r>
      <w:r>
        <w:rPr>
          <w:rFonts w:hint="eastAsia" w:ascii="宋体" w:hAnsi="宋体" w:cs="宋体"/>
          <w:color w:val="auto"/>
          <w:szCs w:val="21"/>
          <w:highlight w:val="none"/>
          <w:lang w:val="en-US" w:eastAsia="zh-CN"/>
        </w:rPr>
        <w:t>周</w:t>
      </w:r>
      <w:r>
        <w:rPr>
          <w:rFonts w:hint="eastAsia" w:ascii="宋体" w:hAnsi="宋体" w:cs="宋体"/>
          <w:color w:val="auto"/>
          <w:szCs w:val="21"/>
          <w:highlight w:val="none"/>
        </w:rPr>
        <w:t>老师</w:t>
      </w:r>
    </w:p>
    <w:p w14:paraId="11B4E755">
      <w:pPr>
        <w:pageBreakBefore w:val="0"/>
        <w:widowControl w:val="0"/>
        <w:kinsoku/>
        <w:wordWrap/>
        <w:overflowPunct/>
        <w:topLinePunct w:val="0"/>
        <w:autoSpaceDE/>
        <w:autoSpaceDN/>
        <w:bidi w:val="0"/>
        <w:adjustRightInd/>
        <w:spacing w:line="336" w:lineRule="auto"/>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项目联系方式（询问）：0574-89384383</w:t>
      </w:r>
      <w:r>
        <w:rPr>
          <w:rFonts w:hint="eastAsia" w:ascii="宋体" w:hAnsi="宋体" w:cs="宋体"/>
          <w:color w:val="auto"/>
          <w:szCs w:val="21"/>
          <w:highlight w:val="none"/>
          <w:lang w:val="en-US" w:eastAsia="zh-CN"/>
        </w:rPr>
        <w:t xml:space="preserve"> </w:t>
      </w:r>
    </w:p>
    <w:p w14:paraId="76F07008">
      <w:pPr>
        <w:pageBreakBefore w:val="0"/>
        <w:widowControl w:val="0"/>
        <w:kinsoku/>
        <w:wordWrap/>
        <w:overflowPunct/>
        <w:topLinePunct w:val="0"/>
        <w:autoSpaceDE/>
        <w:autoSpaceDN/>
        <w:bidi w:val="0"/>
        <w:adjustRightInd/>
        <w:spacing w:line="336" w:lineRule="auto"/>
        <w:ind w:firstLine="420" w:firstLineChars="200"/>
        <w:jc w:val="lef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 w:eastAsia="zh-CN"/>
        </w:rPr>
        <w:t>质疑联系人：</w:t>
      </w:r>
      <w:r>
        <w:rPr>
          <w:rFonts w:hint="eastAsia" w:ascii="宋体" w:hAnsi="宋体" w:cs="宋体"/>
          <w:color w:val="auto"/>
          <w:szCs w:val="21"/>
          <w:highlight w:val="none"/>
          <w:lang w:val="en-US" w:eastAsia="zh-CN"/>
        </w:rPr>
        <w:t>孔老师</w:t>
      </w:r>
    </w:p>
    <w:p w14:paraId="1F141AF1">
      <w:pPr>
        <w:pageBreakBefore w:val="0"/>
        <w:widowControl w:val="0"/>
        <w:kinsoku/>
        <w:wordWrap/>
        <w:overflowPunct/>
        <w:topLinePunct w:val="0"/>
        <w:autoSpaceDE/>
        <w:autoSpaceDN/>
        <w:bidi w:val="0"/>
        <w:adjustRightInd/>
        <w:spacing w:line="336" w:lineRule="auto"/>
        <w:ind w:firstLine="420" w:firstLineChars="200"/>
        <w:jc w:val="lef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 w:eastAsia="zh-CN"/>
        </w:rPr>
        <w:t>质疑联系方式：0574-89384368</w:t>
      </w:r>
    </w:p>
    <w:p w14:paraId="14B89F87">
      <w:pPr>
        <w:pageBreakBefore w:val="0"/>
        <w:widowControl w:val="0"/>
        <w:kinsoku/>
        <w:wordWrap/>
        <w:overflowPunct/>
        <w:topLinePunct w:val="0"/>
        <w:autoSpaceDE/>
        <w:autoSpaceDN/>
        <w:bidi w:val="0"/>
        <w:adjustRightInd/>
        <w:spacing w:line="336"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2.采购代理机构信息</w:t>
      </w:r>
    </w:p>
    <w:p w14:paraId="412A99FE">
      <w:pPr>
        <w:pageBreakBefore w:val="0"/>
        <w:widowControl w:val="0"/>
        <w:kinsoku/>
        <w:wordWrap/>
        <w:overflowPunct/>
        <w:topLinePunct w:val="0"/>
        <w:autoSpaceDE/>
        <w:autoSpaceDN/>
        <w:bidi w:val="0"/>
        <w:adjustRightInd/>
        <w:spacing w:line="336"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名称：宁波杜威工程项目管理有限公司</w:t>
      </w:r>
    </w:p>
    <w:p w14:paraId="40AD8905">
      <w:pPr>
        <w:pageBreakBefore w:val="0"/>
        <w:widowControl w:val="0"/>
        <w:kinsoku/>
        <w:wordWrap/>
        <w:overflowPunct/>
        <w:topLinePunct w:val="0"/>
        <w:autoSpaceDE/>
        <w:autoSpaceDN/>
        <w:bidi w:val="0"/>
        <w:adjustRightInd/>
        <w:spacing w:line="336"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地址：北仑区明州路773号开发区商务大厦B幢10楼1001室</w:t>
      </w:r>
    </w:p>
    <w:p w14:paraId="502B120A">
      <w:pPr>
        <w:pageBreakBefore w:val="0"/>
        <w:widowControl w:val="0"/>
        <w:kinsoku/>
        <w:wordWrap/>
        <w:overflowPunct/>
        <w:topLinePunct w:val="0"/>
        <w:autoSpaceDE/>
        <w:autoSpaceDN/>
        <w:bidi w:val="0"/>
        <w:adjustRightInd/>
        <w:spacing w:line="336"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传真：/</w:t>
      </w:r>
    </w:p>
    <w:p w14:paraId="7648C447">
      <w:pPr>
        <w:pageBreakBefore w:val="0"/>
        <w:widowControl w:val="0"/>
        <w:kinsoku/>
        <w:wordWrap/>
        <w:overflowPunct/>
        <w:topLinePunct w:val="0"/>
        <w:autoSpaceDE/>
        <w:autoSpaceDN/>
        <w:bidi w:val="0"/>
        <w:adjustRightInd/>
        <w:spacing w:line="336"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项目联系人（询问）：石静娜</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丁芳、季儒杰、沃志娜</w:t>
      </w:r>
      <w:r>
        <w:rPr>
          <w:rFonts w:hint="eastAsia" w:ascii="宋体" w:hAnsi="宋体" w:cs="宋体"/>
          <w:color w:val="auto"/>
          <w:szCs w:val="21"/>
          <w:highlight w:val="none"/>
        </w:rPr>
        <w:t xml:space="preserve"> </w:t>
      </w:r>
    </w:p>
    <w:p w14:paraId="74777375">
      <w:pPr>
        <w:pageBreakBefore w:val="0"/>
        <w:widowControl w:val="0"/>
        <w:kinsoku/>
        <w:wordWrap/>
        <w:overflowPunct/>
        <w:topLinePunct w:val="0"/>
        <w:autoSpaceDE/>
        <w:autoSpaceDN/>
        <w:bidi w:val="0"/>
        <w:adjustRightInd/>
        <w:spacing w:line="336"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项目联系方式（询问）：0574-86830803</w:t>
      </w:r>
    </w:p>
    <w:p w14:paraId="78483036">
      <w:pPr>
        <w:pageBreakBefore w:val="0"/>
        <w:widowControl w:val="0"/>
        <w:kinsoku/>
        <w:wordWrap/>
        <w:overflowPunct/>
        <w:topLinePunct w:val="0"/>
        <w:autoSpaceDE/>
        <w:autoSpaceDN/>
        <w:bidi w:val="0"/>
        <w:adjustRightInd/>
        <w:spacing w:line="336"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lang w:val="en"/>
        </w:rPr>
        <w:t>质疑联系人：</w:t>
      </w:r>
      <w:r>
        <w:rPr>
          <w:rFonts w:hint="eastAsia" w:ascii="宋体" w:hAnsi="宋体" w:cs="宋体"/>
          <w:color w:val="auto"/>
          <w:szCs w:val="21"/>
          <w:highlight w:val="none"/>
        </w:rPr>
        <w:t>宋世林</w:t>
      </w:r>
    </w:p>
    <w:p w14:paraId="3D858727">
      <w:pPr>
        <w:pageBreakBefore w:val="0"/>
        <w:widowControl w:val="0"/>
        <w:kinsoku/>
        <w:wordWrap/>
        <w:overflowPunct/>
        <w:topLinePunct w:val="0"/>
        <w:autoSpaceDE/>
        <w:autoSpaceDN/>
        <w:bidi w:val="0"/>
        <w:adjustRightInd/>
        <w:spacing w:line="336"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lang w:val="en"/>
        </w:rPr>
        <w:t>质疑联系方式：</w:t>
      </w:r>
      <w:r>
        <w:rPr>
          <w:rFonts w:hint="eastAsia" w:ascii="宋体" w:hAnsi="宋体" w:cs="宋体"/>
          <w:color w:val="auto"/>
          <w:szCs w:val="21"/>
          <w:highlight w:val="none"/>
        </w:rPr>
        <w:t>0574-86909377</w:t>
      </w:r>
    </w:p>
    <w:p w14:paraId="45EE3DFB">
      <w:pPr>
        <w:pageBreakBefore w:val="0"/>
        <w:widowControl w:val="0"/>
        <w:kinsoku/>
        <w:wordWrap/>
        <w:overflowPunct/>
        <w:topLinePunct w:val="0"/>
        <w:autoSpaceDE/>
        <w:autoSpaceDN/>
        <w:bidi w:val="0"/>
        <w:adjustRightInd/>
        <w:spacing w:line="336" w:lineRule="auto"/>
        <w:ind w:firstLine="420" w:firstLineChars="200"/>
        <w:jc w:val="left"/>
        <w:textAlignment w:val="auto"/>
        <w:rPr>
          <w:rFonts w:ascii="宋体" w:hAnsi="宋体" w:cs="宋体"/>
          <w:color w:val="auto"/>
          <w:szCs w:val="21"/>
          <w:highlight w:val="none"/>
        </w:rPr>
      </w:pPr>
    </w:p>
    <w:p w14:paraId="0A036793">
      <w:pPr>
        <w:pageBreakBefore w:val="0"/>
        <w:widowControl w:val="0"/>
        <w:kinsoku/>
        <w:wordWrap/>
        <w:overflowPunct/>
        <w:topLinePunct w:val="0"/>
        <w:autoSpaceDE/>
        <w:autoSpaceDN/>
        <w:bidi w:val="0"/>
        <w:adjustRightInd/>
        <w:spacing w:line="336" w:lineRule="auto"/>
        <w:ind w:firstLine="420" w:firstLineChars="200"/>
        <w:jc w:val="left"/>
        <w:textAlignment w:val="auto"/>
        <w:rPr>
          <w:rFonts w:ascii="宋体" w:hAnsi="宋体" w:cs="宋体"/>
          <w:color w:val="auto"/>
          <w:szCs w:val="21"/>
          <w:highlight w:val="none"/>
          <w:lang w:val="en"/>
        </w:rPr>
      </w:pPr>
      <w:r>
        <w:rPr>
          <w:rFonts w:hint="eastAsia" w:ascii="宋体" w:hAnsi="宋体" w:cs="宋体"/>
          <w:color w:val="auto"/>
          <w:szCs w:val="21"/>
          <w:highlight w:val="none"/>
          <w:lang w:val="en"/>
        </w:rPr>
        <w:t>3.同级政府采购监督管理部门</w:t>
      </w:r>
    </w:p>
    <w:p w14:paraId="0ABB2C7C">
      <w:pPr>
        <w:pageBreakBefore w:val="0"/>
        <w:widowControl w:val="0"/>
        <w:kinsoku/>
        <w:wordWrap/>
        <w:overflowPunct/>
        <w:topLinePunct w:val="0"/>
        <w:autoSpaceDE/>
        <w:autoSpaceDN/>
        <w:bidi w:val="0"/>
        <w:adjustRightInd/>
        <w:spacing w:line="336" w:lineRule="auto"/>
        <w:ind w:firstLine="420" w:firstLineChars="200"/>
        <w:jc w:val="left"/>
        <w:textAlignment w:val="auto"/>
        <w:rPr>
          <w:rFonts w:ascii="宋体" w:hAnsi="宋体" w:cs="宋体"/>
          <w:color w:val="auto"/>
          <w:szCs w:val="21"/>
          <w:highlight w:val="none"/>
          <w:lang w:val="en"/>
        </w:rPr>
      </w:pPr>
      <w:r>
        <w:rPr>
          <w:rFonts w:hint="eastAsia" w:ascii="宋体" w:hAnsi="宋体" w:cs="宋体"/>
          <w:color w:val="auto"/>
          <w:szCs w:val="21"/>
          <w:highlight w:val="none"/>
          <w:lang w:val="en"/>
        </w:rPr>
        <w:t>名称：宁波市北仑区财政局采购办</w:t>
      </w:r>
    </w:p>
    <w:p w14:paraId="4EA014A8">
      <w:pPr>
        <w:pageBreakBefore w:val="0"/>
        <w:widowControl w:val="0"/>
        <w:kinsoku/>
        <w:wordWrap/>
        <w:overflowPunct/>
        <w:topLinePunct w:val="0"/>
        <w:autoSpaceDE/>
        <w:autoSpaceDN/>
        <w:bidi w:val="0"/>
        <w:adjustRightInd/>
        <w:spacing w:line="336" w:lineRule="auto"/>
        <w:ind w:firstLine="420" w:firstLineChars="200"/>
        <w:jc w:val="left"/>
        <w:textAlignment w:val="auto"/>
        <w:rPr>
          <w:rFonts w:ascii="宋体" w:hAnsi="宋体" w:cs="宋体"/>
          <w:color w:val="auto"/>
          <w:szCs w:val="21"/>
          <w:highlight w:val="none"/>
          <w:lang w:val="en"/>
        </w:rPr>
      </w:pPr>
      <w:r>
        <w:rPr>
          <w:rFonts w:hint="eastAsia" w:ascii="宋体" w:hAnsi="宋体" w:cs="宋体"/>
          <w:color w:val="auto"/>
          <w:szCs w:val="21"/>
          <w:highlight w:val="none"/>
          <w:lang w:val="en"/>
        </w:rPr>
        <w:t>地址：宁波市北仑区长江路1166号</w:t>
      </w:r>
    </w:p>
    <w:p w14:paraId="59264CD8">
      <w:pPr>
        <w:pageBreakBefore w:val="0"/>
        <w:widowControl w:val="0"/>
        <w:kinsoku/>
        <w:wordWrap/>
        <w:overflowPunct/>
        <w:topLinePunct w:val="0"/>
        <w:autoSpaceDE/>
        <w:autoSpaceDN/>
        <w:bidi w:val="0"/>
        <w:adjustRightInd/>
        <w:spacing w:line="336" w:lineRule="auto"/>
        <w:ind w:firstLine="420" w:firstLineChars="200"/>
        <w:jc w:val="left"/>
        <w:textAlignment w:val="auto"/>
        <w:rPr>
          <w:rFonts w:ascii="宋体" w:hAnsi="宋体" w:cs="宋体"/>
          <w:color w:val="auto"/>
          <w:szCs w:val="21"/>
          <w:highlight w:val="none"/>
          <w:lang w:val="en"/>
        </w:rPr>
      </w:pPr>
      <w:r>
        <w:rPr>
          <w:rFonts w:hint="eastAsia" w:ascii="宋体" w:hAnsi="宋体" w:cs="宋体"/>
          <w:color w:val="auto"/>
          <w:szCs w:val="21"/>
          <w:highlight w:val="none"/>
          <w:lang w:val="en"/>
        </w:rPr>
        <w:t>联系人 ：</w:t>
      </w:r>
      <w:r>
        <w:rPr>
          <w:rFonts w:hint="eastAsia" w:ascii="宋体" w:hAnsi="宋体" w:cs="宋体"/>
          <w:color w:val="auto"/>
          <w:szCs w:val="21"/>
          <w:highlight w:val="none"/>
          <w:lang w:val="en-US" w:eastAsia="zh-CN"/>
        </w:rPr>
        <w:t>严</w:t>
      </w:r>
      <w:r>
        <w:rPr>
          <w:rFonts w:hint="eastAsia" w:ascii="宋体" w:hAnsi="宋体" w:cs="宋体"/>
          <w:color w:val="auto"/>
          <w:szCs w:val="21"/>
          <w:highlight w:val="none"/>
          <w:lang w:val="en"/>
        </w:rPr>
        <w:t>老师</w:t>
      </w:r>
    </w:p>
    <w:p w14:paraId="507CF3BF">
      <w:pPr>
        <w:pageBreakBefore w:val="0"/>
        <w:widowControl w:val="0"/>
        <w:kinsoku/>
        <w:wordWrap/>
        <w:overflowPunct/>
        <w:topLinePunct w:val="0"/>
        <w:autoSpaceDE/>
        <w:autoSpaceDN/>
        <w:bidi w:val="0"/>
        <w:adjustRightInd/>
        <w:spacing w:line="336" w:lineRule="auto"/>
        <w:ind w:firstLine="420" w:firstLineChars="200"/>
        <w:jc w:val="left"/>
        <w:textAlignment w:val="auto"/>
        <w:rPr>
          <w:rFonts w:ascii="宋体" w:hAnsi="宋体" w:cs="宋体"/>
          <w:color w:val="auto"/>
          <w:szCs w:val="21"/>
          <w:highlight w:val="none"/>
          <w:lang w:val="en"/>
        </w:rPr>
      </w:pPr>
      <w:r>
        <w:rPr>
          <w:rFonts w:hint="eastAsia" w:ascii="宋体" w:hAnsi="宋体" w:cs="宋体"/>
          <w:color w:val="auto"/>
          <w:szCs w:val="21"/>
          <w:highlight w:val="none"/>
          <w:lang w:val="en"/>
        </w:rPr>
        <w:t>监督投诉电话：0574-89383756</w:t>
      </w:r>
    </w:p>
    <w:p w14:paraId="65B575DB">
      <w:pPr>
        <w:spacing w:line="360" w:lineRule="auto"/>
        <w:ind w:firstLine="405"/>
        <w:rPr>
          <w:rFonts w:ascii="宋体" w:hAnsi="宋体"/>
          <w:color w:val="auto"/>
          <w:highlight w:val="none"/>
        </w:rPr>
      </w:pPr>
    </w:p>
    <w:p w14:paraId="14673A67">
      <w:pPr>
        <w:pStyle w:val="4"/>
        <w:rPr>
          <w:rFonts w:ascii="宋体" w:hAnsi="宋体"/>
          <w:color w:val="auto"/>
          <w:highlight w:val="none"/>
        </w:rPr>
      </w:pPr>
      <w:bookmarkStart w:id="11" w:name="_Toc65753664"/>
      <w:r>
        <w:rPr>
          <w:color w:val="auto"/>
          <w:highlight w:val="none"/>
        </w:rPr>
        <w:t>第</w:t>
      </w:r>
      <w:r>
        <w:rPr>
          <w:rFonts w:hint="eastAsia"/>
          <w:color w:val="auto"/>
          <w:highlight w:val="none"/>
        </w:rPr>
        <w:t>二</w:t>
      </w:r>
      <w:r>
        <w:rPr>
          <w:color w:val="auto"/>
          <w:highlight w:val="none"/>
        </w:rPr>
        <w:t xml:space="preserve">部分  </w:t>
      </w:r>
      <w:r>
        <w:rPr>
          <w:rFonts w:hint="eastAsia"/>
          <w:color w:val="auto"/>
          <w:highlight w:val="none"/>
        </w:rPr>
        <w:t>投标人须知及前附表</w:t>
      </w:r>
      <w:bookmarkEnd w:id="11"/>
    </w:p>
    <w:p w14:paraId="04A49D74">
      <w:pPr>
        <w:jc w:val="center"/>
        <w:rPr>
          <w:rFonts w:ascii="宋体" w:hAnsi="宋体"/>
          <w:color w:val="auto"/>
          <w:highlight w:val="none"/>
        </w:rPr>
      </w:pPr>
      <w:bookmarkStart w:id="12" w:name="_Toc65753665"/>
      <w:bookmarkStart w:id="13" w:name="_Toc65510680"/>
      <w:r>
        <w:rPr>
          <w:rFonts w:hint="eastAsia" w:ascii="宋体" w:hAnsi="宋体"/>
          <w:color w:val="auto"/>
          <w:highlight w:val="none"/>
        </w:rPr>
        <w:t>前 附 表</w:t>
      </w:r>
      <w:bookmarkEnd w:id="12"/>
      <w:bookmarkEnd w:id="13"/>
    </w:p>
    <w:tbl>
      <w:tblPr>
        <w:tblStyle w:val="25"/>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225"/>
      </w:tblGrid>
      <w:tr w14:paraId="0CD2B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824" w:type="dxa"/>
            <w:vAlign w:val="center"/>
          </w:tcPr>
          <w:p w14:paraId="21F2A124">
            <w:pPr>
              <w:jc w:val="center"/>
              <w:rPr>
                <w:rFonts w:ascii="宋体" w:hAnsi="宋体"/>
                <w:b/>
                <w:color w:val="auto"/>
                <w:szCs w:val="21"/>
                <w:highlight w:val="none"/>
              </w:rPr>
            </w:pPr>
            <w:r>
              <w:rPr>
                <w:rFonts w:hint="eastAsia" w:ascii="宋体" w:hAnsi="宋体"/>
                <w:b/>
                <w:color w:val="auto"/>
                <w:szCs w:val="21"/>
                <w:highlight w:val="none"/>
              </w:rPr>
              <w:t>序号</w:t>
            </w:r>
          </w:p>
        </w:tc>
        <w:tc>
          <w:tcPr>
            <w:tcW w:w="8225" w:type="dxa"/>
            <w:vAlign w:val="center"/>
          </w:tcPr>
          <w:p w14:paraId="6339BC5D">
            <w:pPr>
              <w:jc w:val="center"/>
              <w:rPr>
                <w:rFonts w:ascii="宋体" w:hAnsi="宋体"/>
                <w:b/>
                <w:color w:val="auto"/>
                <w:szCs w:val="21"/>
                <w:highlight w:val="none"/>
              </w:rPr>
            </w:pPr>
            <w:r>
              <w:rPr>
                <w:rFonts w:hint="eastAsia" w:ascii="宋体" w:hAnsi="宋体"/>
                <w:b/>
                <w:color w:val="auto"/>
                <w:szCs w:val="21"/>
                <w:highlight w:val="none"/>
              </w:rPr>
              <w:t>内          容</w:t>
            </w:r>
          </w:p>
        </w:tc>
      </w:tr>
      <w:tr w14:paraId="30ED9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51EB8DA5">
            <w:pPr>
              <w:jc w:val="center"/>
              <w:rPr>
                <w:rFonts w:ascii="宋体" w:hAnsi="宋体"/>
                <w:b/>
                <w:color w:val="auto"/>
                <w:highlight w:val="none"/>
              </w:rPr>
            </w:pPr>
            <w:r>
              <w:rPr>
                <w:rFonts w:hint="eastAsia" w:ascii="宋体" w:hAnsi="宋体"/>
                <w:b/>
                <w:color w:val="auto"/>
                <w:highlight w:val="none"/>
              </w:rPr>
              <w:t>1</w:t>
            </w:r>
          </w:p>
        </w:tc>
        <w:tc>
          <w:tcPr>
            <w:tcW w:w="8225" w:type="dxa"/>
            <w:tcMar>
              <w:top w:w="113" w:type="dxa"/>
              <w:bottom w:w="113" w:type="dxa"/>
            </w:tcMar>
            <w:vAlign w:val="center"/>
          </w:tcPr>
          <w:p w14:paraId="1FD79C82">
            <w:pPr>
              <w:rPr>
                <w:rFonts w:hint="eastAsia" w:ascii="宋体" w:hAnsi="宋体" w:eastAsia="宋体"/>
                <w:color w:val="auto"/>
                <w:highlight w:val="none"/>
                <w:lang w:eastAsia="zh-CN"/>
              </w:rPr>
            </w:pPr>
            <w:r>
              <w:rPr>
                <w:rFonts w:hint="eastAsia" w:ascii="宋体" w:hAnsi="宋体"/>
                <w:color w:val="auto"/>
                <w:highlight w:val="none"/>
              </w:rPr>
              <w:t>项目名称：</w:t>
            </w:r>
            <w:r>
              <w:rPr>
                <w:rFonts w:hint="eastAsia" w:ascii="宋体" w:hAnsi="宋体"/>
                <w:color w:val="auto"/>
                <w:highlight w:val="none"/>
                <w:lang w:eastAsia="zh-CN"/>
              </w:rPr>
              <w:t>北仑区地籍图编制项目</w:t>
            </w:r>
          </w:p>
          <w:p w14:paraId="0590AEC4">
            <w:pPr>
              <w:rPr>
                <w:rFonts w:hint="eastAsia" w:ascii="宋体" w:hAnsi="宋体" w:eastAsia="宋体"/>
                <w:color w:val="auto"/>
                <w:highlight w:val="none"/>
                <w:lang w:eastAsia="zh-CN"/>
              </w:rPr>
            </w:pPr>
            <w:r>
              <w:rPr>
                <w:rFonts w:hint="eastAsia" w:ascii="宋体" w:hAnsi="宋体"/>
                <w:color w:val="auto"/>
                <w:highlight w:val="none"/>
              </w:rPr>
              <w:t>项目编号：</w:t>
            </w:r>
            <w:r>
              <w:rPr>
                <w:rFonts w:hint="eastAsia" w:ascii="宋体" w:hAnsi="宋体"/>
                <w:color w:val="auto"/>
                <w:highlight w:val="none"/>
                <w:lang w:eastAsia="zh-CN"/>
              </w:rPr>
              <w:t>NBDW-20251195</w:t>
            </w:r>
          </w:p>
        </w:tc>
      </w:tr>
      <w:tr w14:paraId="29142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2DC880F9">
            <w:pPr>
              <w:jc w:val="center"/>
              <w:rPr>
                <w:rFonts w:ascii="宋体" w:hAnsi="宋体"/>
                <w:b/>
                <w:color w:val="auto"/>
                <w:highlight w:val="none"/>
              </w:rPr>
            </w:pPr>
            <w:r>
              <w:rPr>
                <w:rFonts w:hint="eastAsia" w:ascii="宋体" w:hAnsi="宋体"/>
                <w:b/>
                <w:color w:val="auto"/>
                <w:highlight w:val="none"/>
              </w:rPr>
              <w:t>2</w:t>
            </w:r>
          </w:p>
        </w:tc>
        <w:tc>
          <w:tcPr>
            <w:tcW w:w="8225" w:type="dxa"/>
            <w:tcMar>
              <w:top w:w="113" w:type="dxa"/>
              <w:bottom w:w="113" w:type="dxa"/>
            </w:tcMar>
            <w:vAlign w:val="center"/>
          </w:tcPr>
          <w:p w14:paraId="5C68C527">
            <w:pPr>
              <w:rPr>
                <w:rFonts w:hint="eastAsia" w:ascii="宋体" w:hAnsi="宋体" w:eastAsia="宋体"/>
                <w:color w:val="auto"/>
                <w:highlight w:val="none"/>
                <w:lang w:eastAsia="zh-CN"/>
              </w:rPr>
            </w:pPr>
            <w:r>
              <w:rPr>
                <w:rFonts w:hint="eastAsia" w:ascii="宋体" w:hAnsi="宋体"/>
                <w:color w:val="auto"/>
                <w:highlight w:val="none"/>
              </w:rPr>
              <w:t>采购人：</w:t>
            </w:r>
            <w:r>
              <w:rPr>
                <w:rFonts w:hint="eastAsia" w:ascii="宋体" w:hAnsi="宋体"/>
                <w:color w:val="auto"/>
                <w:highlight w:val="none"/>
                <w:lang w:eastAsia="zh-CN"/>
              </w:rPr>
              <w:t>宁波市自然资源和规划局北仑分局</w:t>
            </w:r>
          </w:p>
          <w:p w14:paraId="21E22C25">
            <w:pPr>
              <w:rPr>
                <w:rFonts w:ascii="宋体" w:hAnsi="宋体"/>
                <w:color w:val="auto"/>
                <w:highlight w:val="none"/>
              </w:rPr>
            </w:pPr>
            <w:r>
              <w:rPr>
                <w:rFonts w:hint="eastAsia" w:ascii="宋体" w:hAnsi="宋体"/>
                <w:color w:val="auto"/>
                <w:highlight w:val="none"/>
              </w:rPr>
              <w:t>联系人：</w:t>
            </w:r>
            <w:r>
              <w:rPr>
                <w:rFonts w:hint="eastAsia" w:ascii="宋体" w:hAnsi="宋体"/>
                <w:color w:val="auto"/>
                <w:highlight w:val="none"/>
                <w:lang w:val="en-US" w:eastAsia="zh-CN"/>
              </w:rPr>
              <w:t>周老师</w:t>
            </w:r>
            <w:r>
              <w:rPr>
                <w:rFonts w:hint="eastAsia" w:ascii="宋体" w:hAnsi="宋体"/>
                <w:color w:val="auto"/>
                <w:highlight w:val="none"/>
              </w:rPr>
              <w:t xml:space="preserve">     </w:t>
            </w:r>
          </w:p>
          <w:p w14:paraId="1388BDBC">
            <w:pPr>
              <w:rPr>
                <w:rFonts w:hint="default" w:ascii="宋体" w:hAnsi="宋体" w:eastAsia="宋体"/>
                <w:color w:val="auto"/>
                <w:highlight w:val="none"/>
                <w:lang w:val="en-US" w:eastAsia="zh-CN"/>
              </w:rPr>
            </w:pPr>
            <w:r>
              <w:rPr>
                <w:rFonts w:hint="eastAsia" w:ascii="宋体" w:hAnsi="宋体"/>
                <w:color w:val="auto"/>
                <w:highlight w:val="none"/>
              </w:rPr>
              <w:t>电话：</w:t>
            </w:r>
            <w:r>
              <w:rPr>
                <w:rFonts w:hint="eastAsia" w:ascii="宋体" w:hAnsi="宋体" w:cs="宋体"/>
                <w:color w:val="auto"/>
                <w:szCs w:val="21"/>
                <w:highlight w:val="none"/>
              </w:rPr>
              <w:t>0574-89384383</w:t>
            </w:r>
          </w:p>
          <w:p w14:paraId="16259FFB">
            <w:pPr>
              <w:rPr>
                <w:rFonts w:ascii="宋体" w:hAnsi="宋体"/>
                <w:color w:val="auto"/>
                <w:highlight w:val="none"/>
              </w:rPr>
            </w:pPr>
            <w:r>
              <w:rPr>
                <w:rFonts w:hint="eastAsia" w:ascii="宋体" w:hAnsi="宋体"/>
                <w:color w:val="auto"/>
                <w:highlight w:val="none"/>
              </w:rPr>
              <w:t>地址：北仑区四明山路700号太河商务楼8楼</w:t>
            </w:r>
          </w:p>
          <w:p w14:paraId="3749D177">
            <w:pPr>
              <w:rPr>
                <w:rFonts w:ascii="宋体" w:hAnsi="宋体"/>
                <w:color w:val="auto"/>
                <w:highlight w:val="none"/>
              </w:rPr>
            </w:pPr>
          </w:p>
          <w:p w14:paraId="1A1A9D28">
            <w:pPr>
              <w:rPr>
                <w:rFonts w:ascii="宋体" w:hAnsi="宋体"/>
                <w:color w:val="auto"/>
                <w:highlight w:val="none"/>
              </w:rPr>
            </w:pPr>
            <w:r>
              <w:rPr>
                <w:rFonts w:hint="eastAsia" w:ascii="宋体" w:hAnsi="宋体"/>
                <w:color w:val="auto"/>
                <w:highlight w:val="none"/>
              </w:rPr>
              <w:t>采购代理机构：宁波杜威工程项目管理有限公司</w:t>
            </w:r>
          </w:p>
          <w:p w14:paraId="177EDBF8">
            <w:pPr>
              <w:rPr>
                <w:rFonts w:ascii="宋体" w:hAnsi="宋体"/>
                <w:color w:val="auto"/>
                <w:highlight w:val="none"/>
              </w:rPr>
            </w:pPr>
            <w:r>
              <w:rPr>
                <w:rFonts w:hint="eastAsia" w:ascii="宋体" w:hAnsi="宋体"/>
                <w:color w:val="auto"/>
                <w:highlight w:val="none"/>
              </w:rPr>
              <w:t>联系人：石静娜、</w:t>
            </w:r>
            <w:r>
              <w:rPr>
                <w:rFonts w:hint="eastAsia" w:ascii="宋体" w:hAnsi="宋体"/>
                <w:color w:val="auto"/>
                <w:highlight w:val="none"/>
                <w:lang w:val="en-US" w:eastAsia="zh-CN"/>
              </w:rPr>
              <w:t>丁芳、季儒杰、㓇志娜</w:t>
            </w:r>
            <w:r>
              <w:rPr>
                <w:rFonts w:hint="eastAsia" w:ascii="宋体" w:hAnsi="宋体"/>
                <w:color w:val="auto"/>
                <w:highlight w:val="none"/>
              </w:rPr>
              <w:t xml:space="preserve">      </w:t>
            </w:r>
          </w:p>
          <w:p w14:paraId="606AFFF9">
            <w:pPr>
              <w:rPr>
                <w:rFonts w:ascii="宋体" w:hAnsi="宋体"/>
                <w:color w:val="auto"/>
                <w:highlight w:val="none"/>
              </w:rPr>
            </w:pPr>
            <w:r>
              <w:rPr>
                <w:rFonts w:hint="eastAsia" w:ascii="宋体" w:hAnsi="宋体"/>
                <w:color w:val="auto"/>
                <w:highlight w:val="none"/>
              </w:rPr>
              <w:t>电话：0574-86830803</w:t>
            </w:r>
          </w:p>
          <w:p w14:paraId="4136F641">
            <w:pPr>
              <w:rPr>
                <w:rFonts w:ascii="宋体" w:hAnsi="宋体"/>
                <w:color w:val="auto"/>
                <w:highlight w:val="none"/>
              </w:rPr>
            </w:pPr>
            <w:r>
              <w:rPr>
                <w:rFonts w:hint="eastAsia" w:ascii="宋体" w:hAnsi="宋体"/>
                <w:color w:val="auto"/>
                <w:highlight w:val="none"/>
              </w:rPr>
              <w:t>地址：</w:t>
            </w:r>
            <w:r>
              <w:rPr>
                <w:rFonts w:hint="eastAsia" w:ascii="宋体" w:hAnsi="宋体"/>
                <w:color w:val="auto"/>
                <w:szCs w:val="21"/>
                <w:highlight w:val="none"/>
              </w:rPr>
              <w:t>北仑区明州路773号开发区商务大厦B幢10楼1001室</w:t>
            </w:r>
          </w:p>
          <w:p w14:paraId="286E8D8B">
            <w:pPr>
              <w:rPr>
                <w:rFonts w:ascii="宋体" w:hAnsi="宋体"/>
                <w:color w:val="auto"/>
                <w:highlight w:val="none"/>
              </w:rPr>
            </w:pPr>
            <w:r>
              <w:rPr>
                <w:rFonts w:hint="eastAsia" w:ascii="宋体" w:hAnsi="宋体"/>
                <w:color w:val="auto"/>
                <w:highlight w:val="none"/>
              </w:rPr>
              <w:t>邮编：315800</w:t>
            </w:r>
          </w:p>
        </w:tc>
      </w:tr>
      <w:tr w14:paraId="5A95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64EA720E">
            <w:pPr>
              <w:jc w:val="center"/>
              <w:rPr>
                <w:rFonts w:ascii="宋体" w:hAnsi="宋体"/>
                <w:b/>
                <w:color w:val="auto"/>
                <w:highlight w:val="none"/>
              </w:rPr>
            </w:pPr>
            <w:r>
              <w:rPr>
                <w:rFonts w:hint="eastAsia" w:ascii="宋体" w:hAnsi="宋体"/>
                <w:b/>
                <w:color w:val="auto"/>
                <w:highlight w:val="none"/>
              </w:rPr>
              <w:t>3</w:t>
            </w:r>
          </w:p>
        </w:tc>
        <w:tc>
          <w:tcPr>
            <w:tcW w:w="8225" w:type="dxa"/>
            <w:tcMar>
              <w:top w:w="113" w:type="dxa"/>
              <w:bottom w:w="113" w:type="dxa"/>
            </w:tcMar>
            <w:vAlign w:val="center"/>
          </w:tcPr>
          <w:p w14:paraId="3F576031">
            <w:pPr>
              <w:rPr>
                <w:rFonts w:ascii="宋体" w:hAnsi="宋体"/>
                <w:color w:val="auto"/>
                <w:highlight w:val="none"/>
              </w:rPr>
            </w:pPr>
            <w:r>
              <w:rPr>
                <w:rFonts w:hint="eastAsia" w:ascii="宋体" w:hAnsi="宋体"/>
                <w:color w:val="auto"/>
                <w:highlight w:val="none"/>
              </w:rPr>
              <w:t xml:space="preserve">采购方式：公开招标 </w:t>
            </w:r>
          </w:p>
        </w:tc>
      </w:tr>
      <w:tr w14:paraId="2F51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208057C2">
            <w:pPr>
              <w:jc w:val="center"/>
              <w:rPr>
                <w:rFonts w:ascii="宋体" w:hAnsi="宋体"/>
                <w:b/>
                <w:color w:val="auto"/>
                <w:highlight w:val="none"/>
              </w:rPr>
            </w:pPr>
            <w:r>
              <w:rPr>
                <w:rFonts w:hint="eastAsia" w:ascii="宋体" w:hAnsi="宋体"/>
                <w:b/>
                <w:color w:val="auto"/>
                <w:highlight w:val="none"/>
              </w:rPr>
              <w:t>4</w:t>
            </w:r>
          </w:p>
        </w:tc>
        <w:tc>
          <w:tcPr>
            <w:tcW w:w="8225" w:type="dxa"/>
            <w:tcMar>
              <w:top w:w="113" w:type="dxa"/>
              <w:bottom w:w="113" w:type="dxa"/>
            </w:tcMar>
            <w:vAlign w:val="center"/>
          </w:tcPr>
          <w:p w14:paraId="7896BA08">
            <w:pPr>
              <w:rPr>
                <w:rFonts w:ascii="宋体" w:hAnsi="宋体"/>
                <w:color w:val="auto"/>
                <w:highlight w:val="none"/>
              </w:rPr>
            </w:pPr>
            <w:r>
              <w:rPr>
                <w:rFonts w:hint="eastAsia" w:ascii="宋体" w:hAnsi="宋体"/>
                <w:color w:val="auto"/>
                <w:highlight w:val="none"/>
              </w:rPr>
              <w:t xml:space="preserve">评标方法：综合评分法 </w:t>
            </w:r>
          </w:p>
        </w:tc>
      </w:tr>
      <w:tr w14:paraId="665EB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2DA34A23">
            <w:pPr>
              <w:jc w:val="center"/>
              <w:rPr>
                <w:rFonts w:ascii="宋体" w:hAnsi="宋体"/>
                <w:b/>
                <w:color w:val="auto"/>
                <w:highlight w:val="none"/>
              </w:rPr>
            </w:pPr>
            <w:r>
              <w:rPr>
                <w:rFonts w:hint="eastAsia" w:ascii="宋体" w:hAnsi="宋体"/>
                <w:b/>
                <w:color w:val="auto"/>
                <w:highlight w:val="none"/>
              </w:rPr>
              <w:t>5</w:t>
            </w:r>
          </w:p>
        </w:tc>
        <w:tc>
          <w:tcPr>
            <w:tcW w:w="8225" w:type="dxa"/>
            <w:tcMar>
              <w:top w:w="113" w:type="dxa"/>
              <w:bottom w:w="113" w:type="dxa"/>
            </w:tcMar>
            <w:vAlign w:val="center"/>
          </w:tcPr>
          <w:p w14:paraId="4BD7E032">
            <w:pPr>
              <w:rPr>
                <w:rFonts w:ascii="宋体" w:hAnsi="宋体"/>
                <w:color w:val="auto"/>
                <w:highlight w:val="none"/>
              </w:rPr>
            </w:pPr>
            <w:r>
              <w:rPr>
                <w:rFonts w:hint="eastAsia" w:ascii="宋体" w:hAnsi="宋体"/>
                <w:color w:val="auto"/>
                <w:highlight w:val="none"/>
              </w:rPr>
              <w:t>采购预算（最高限价）：人民币</w:t>
            </w:r>
            <w:r>
              <w:rPr>
                <w:rFonts w:hint="eastAsia" w:ascii="宋体" w:hAnsi="宋体"/>
                <w:color w:val="auto"/>
                <w:highlight w:val="none"/>
                <w:lang w:val="en-US" w:eastAsia="zh-CN"/>
              </w:rPr>
              <w:t>50</w:t>
            </w:r>
            <w:r>
              <w:rPr>
                <w:rFonts w:hint="eastAsia" w:ascii="宋体" w:hAnsi="宋体"/>
                <w:color w:val="auto"/>
                <w:highlight w:val="none"/>
              </w:rPr>
              <w:t>万元</w:t>
            </w:r>
          </w:p>
        </w:tc>
      </w:tr>
      <w:tr w14:paraId="72A1D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28F42A2F">
            <w:pPr>
              <w:jc w:val="center"/>
              <w:rPr>
                <w:rFonts w:hint="eastAsia" w:ascii="宋体" w:hAnsi="宋体" w:eastAsia="宋体"/>
                <w:b/>
                <w:color w:val="auto"/>
                <w:highlight w:val="none"/>
                <w:lang w:eastAsia="zh-CN"/>
              </w:rPr>
            </w:pPr>
            <w:r>
              <w:rPr>
                <w:rFonts w:hint="eastAsia" w:ascii="宋体" w:hAnsi="宋体"/>
                <w:b/>
                <w:color w:val="auto"/>
                <w:highlight w:val="none"/>
                <w:lang w:val="en-US" w:eastAsia="zh-CN"/>
              </w:rPr>
              <w:t>6</w:t>
            </w:r>
          </w:p>
        </w:tc>
        <w:tc>
          <w:tcPr>
            <w:tcW w:w="8225" w:type="dxa"/>
            <w:tcMar>
              <w:top w:w="113" w:type="dxa"/>
              <w:bottom w:w="113" w:type="dxa"/>
            </w:tcMar>
            <w:vAlign w:val="center"/>
          </w:tcPr>
          <w:p w14:paraId="4F687342">
            <w:pPr>
              <w:rPr>
                <w:rFonts w:ascii="宋体" w:hAnsi="宋体"/>
                <w:color w:val="auto"/>
                <w:highlight w:val="none"/>
              </w:rPr>
            </w:pPr>
            <w:r>
              <w:rPr>
                <w:rFonts w:hint="eastAsia" w:ascii="宋体" w:hAnsi="宋体"/>
                <w:color w:val="auto"/>
                <w:highlight w:val="none"/>
              </w:rPr>
              <w:t>是否接受联合体投标：不接受</w:t>
            </w:r>
          </w:p>
        </w:tc>
      </w:tr>
      <w:tr w14:paraId="164F8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1007E04E">
            <w:pPr>
              <w:jc w:val="center"/>
              <w:rPr>
                <w:rFonts w:hint="eastAsia" w:ascii="宋体" w:hAnsi="宋体" w:eastAsia="宋体"/>
                <w:b/>
                <w:color w:val="auto"/>
                <w:highlight w:val="none"/>
                <w:lang w:eastAsia="zh-CN"/>
              </w:rPr>
            </w:pPr>
            <w:r>
              <w:rPr>
                <w:rFonts w:hint="eastAsia" w:ascii="宋体" w:hAnsi="宋体"/>
                <w:b/>
                <w:color w:val="auto"/>
                <w:highlight w:val="none"/>
                <w:lang w:val="en-US" w:eastAsia="zh-CN"/>
              </w:rPr>
              <w:t>7</w:t>
            </w:r>
          </w:p>
        </w:tc>
        <w:tc>
          <w:tcPr>
            <w:tcW w:w="8225" w:type="dxa"/>
            <w:tcMar>
              <w:top w:w="113" w:type="dxa"/>
              <w:bottom w:w="113" w:type="dxa"/>
            </w:tcMar>
            <w:vAlign w:val="center"/>
          </w:tcPr>
          <w:p w14:paraId="6DE38B52">
            <w:pPr>
              <w:rPr>
                <w:rFonts w:hint="eastAsia" w:ascii="宋体" w:hAnsi="宋体" w:eastAsia="宋体"/>
                <w:color w:val="auto"/>
                <w:highlight w:val="none"/>
                <w:lang w:val="en-US" w:eastAsia="zh-CN"/>
              </w:rPr>
            </w:pPr>
            <w:r>
              <w:rPr>
                <w:rFonts w:hint="eastAsia" w:ascii="宋体" w:hAnsi="宋体"/>
                <w:color w:val="auto"/>
                <w:highlight w:val="none"/>
              </w:rPr>
              <w:t>是否为专门面向</w:t>
            </w:r>
            <w:r>
              <w:rPr>
                <w:rFonts w:hint="eastAsia" w:ascii="宋体" w:hAnsi="宋体"/>
                <w:color w:val="auto"/>
                <w:highlight w:val="none"/>
                <w:lang w:val="en-US" w:eastAsia="zh-CN"/>
              </w:rPr>
              <w:t>中小</w:t>
            </w:r>
            <w:r>
              <w:rPr>
                <w:rFonts w:hint="eastAsia" w:ascii="宋体" w:hAnsi="宋体"/>
                <w:color w:val="auto"/>
                <w:highlight w:val="none"/>
              </w:rPr>
              <w:t>企业的采购项目：</w:t>
            </w:r>
            <w:r>
              <w:rPr>
                <w:rFonts w:hint="eastAsia" w:ascii="宋体" w:hAnsi="宋体"/>
                <w:color w:val="auto"/>
                <w:highlight w:val="none"/>
                <w:lang w:val="en-US" w:eastAsia="zh-CN"/>
              </w:rPr>
              <w:t>是</w:t>
            </w:r>
          </w:p>
        </w:tc>
      </w:tr>
      <w:tr w14:paraId="6F45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22598B9A">
            <w:pPr>
              <w:jc w:val="center"/>
              <w:rPr>
                <w:rFonts w:hint="eastAsia" w:ascii="宋体" w:hAnsi="宋体" w:eastAsia="宋体"/>
                <w:b/>
                <w:color w:val="auto"/>
                <w:highlight w:val="none"/>
                <w:lang w:eastAsia="zh-CN"/>
              </w:rPr>
            </w:pPr>
            <w:r>
              <w:rPr>
                <w:rFonts w:hint="eastAsia" w:ascii="宋体" w:hAnsi="宋体"/>
                <w:b/>
                <w:color w:val="auto"/>
                <w:highlight w:val="none"/>
                <w:lang w:val="en-US" w:eastAsia="zh-CN"/>
              </w:rPr>
              <w:t>8</w:t>
            </w:r>
          </w:p>
        </w:tc>
        <w:tc>
          <w:tcPr>
            <w:tcW w:w="8225" w:type="dxa"/>
            <w:tcMar>
              <w:top w:w="113" w:type="dxa"/>
              <w:bottom w:w="113" w:type="dxa"/>
            </w:tcMar>
            <w:vAlign w:val="center"/>
          </w:tcPr>
          <w:p w14:paraId="399CC6E3">
            <w:pPr>
              <w:rPr>
                <w:rFonts w:hint="eastAsia" w:ascii="宋体" w:hAnsi="宋体" w:eastAsia="宋体"/>
                <w:color w:val="auto"/>
                <w:highlight w:val="none"/>
                <w:lang w:val="en-US" w:eastAsia="zh-CN"/>
              </w:rPr>
            </w:pPr>
            <w:r>
              <w:rPr>
                <w:rFonts w:hint="eastAsia" w:ascii="宋体" w:hAnsi="宋体"/>
                <w:color w:val="auto"/>
                <w:highlight w:val="none"/>
              </w:rPr>
              <w:t>是否允许投标人将项目非主体、非关键性工作交由他人完成：</w:t>
            </w:r>
            <w:r>
              <w:rPr>
                <w:rFonts w:hint="eastAsia" w:ascii="宋体" w:hAnsi="宋体"/>
                <w:color w:val="auto"/>
                <w:highlight w:val="none"/>
                <w:lang w:val="en-US" w:eastAsia="zh-CN"/>
              </w:rPr>
              <w:t>是</w:t>
            </w:r>
          </w:p>
        </w:tc>
      </w:tr>
      <w:tr w14:paraId="558D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69967379">
            <w:pPr>
              <w:jc w:val="center"/>
              <w:rPr>
                <w:rFonts w:hint="eastAsia" w:ascii="宋体" w:hAnsi="宋体" w:eastAsia="宋体"/>
                <w:b/>
                <w:color w:val="auto"/>
                <w:highlight w:val="none"/>
                <w:lang w:eastAsia="zh-CN"/>
              </w:rPr>
            </w:pPr>
            <w:r>
              <w:rPr>
                <w:rFonts w:hint="eastAsia" w:ascii="宋体" w:hAnsi="宋体"/>
                <w:b/>
                <w:color w:val="auto"/>
                <w:highlight w:val="none"/>
                <w:lang w:val="en-US" w:eastAsia="zh-CN"/>
              </w:rPr>
              <w:t>9</w:t>
            </w:r>
          </w:p>
        </w:tc>
        <w:tc>
          <w:tcPr>
            <w:tcW w:w="8225" w:type="dxa"/>
            <w:tcMar>
              <w:top w:w="113" w:type="dxa"/>
              <w:bottom w:w="113" w:type="dxa"/>
            </w:tcMar>
            <w:vAlign w:val="center"/>
          </w:tcPr>
          <w:p w14:paraId="4AA4A1AE">
            <w:pPr>
              <w:rPr>
                <w:rFonts w:ascii="宋体" w:hAnsi="宋体"/>
                <w:color w:val="auto"/>
                <w:highlight w:val="none"/>
              </w:rPr>
            </w:pPr>
            <w:r>
              <w:rPr>
                <w:rFonts w:hint="eastAsia" w:ascii="宋体" w:hAnsi="宋体"/>
                <w:color w:val="auto"/>
                <w:highlight w:val="none"/>
              </w:rPr>
              <w:t>现场踏勘：供应商如有需要，请自行踏勘现场。</w:t>
            </w:r>
          </w:p>
        </w:tc>
      </w:tr>
      <w:tr w14:paraId="4C88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3988C773">
            <w:pPr>
              <w:jc w:val="center"/>
              <w:rPr>
                <w:rFonts w:hint="default" w:ascii="宋体" w:hAnsi="宋体" w:eastAsia="宋体"/>
                <w:b/>
                <w:color w:val="auto"/>
                <w:highlight w:val="none"/>
                <w:lang w:val="en-US" w:eastAsia="zh-CN"/>
              </w:rPr>
            </w:pPr>
            <w:r>
              <w:rPr>
                <w:rFonts w:hint="eastAsia" w:ascii="宋体" w:hAnsi="宋体"/>
                <w:b/>
                <w:color w:val="auto"/>
                <w:highlight w:val="none"/>
                <w:lang w:val="en-US" w:eastAsia="zh-CN"/>
              </w:rPr>
              <w:t>10</w:t>
            </w:r>
          </w:p>
        </w:tc>
        <w:tc>
          <w:tcPr>
            <w:tcW w:w="8225" w:type="dxa"/>
            <w:tcMar>
              <w:top w:w="113" w:type="dxa"/>
              <w:bottom w:w="113" w:type="dxa"/>
            </w:tcMar>
            <w:vAlign w:val="center"/>
          </w:tcPr>
          <w:p w14:paraId="4D8AF987">
            <w:pPr>
              <w:rPr>
                <w:rFonts w:ascii="宋体" w:hAnsi="宋体"/>
                <w:color w:val="auto"/>
                <w:highlight w:val="none"/>
              </w:rPr>
            </w:pPr>
            <w:r>
              <w:rPr>
                <w:rFonts w:ascii="宋体" w:hAnsi="宋体"/>
                <w:color w:val="auto"/>
                <w:highlight w:val="none"/>
              </w:rPr>
              <w:t>投标报价：</w:t>
            </w:r>
          </w:p>
          <w:p w14:paraId="458897E7">
            <w:pPr>
              <w:rPr>
                <w:rFonts w:ascii="宋体" w:hAnsi="宋体"/>
                <w:color w:val="auto"/>
                <w:highlight w:val="none"/>
              </w:rPr>
            </w:pPr>
            <w:r>
              <w:rPr>
                <w:rFonts w:hint="eastAsia" w:ascii="宋体" w:hAnsi="宋体"/>
                <w:color w:val="auto"/>
                <w:highlight w:val="none"/>
              </w:rPr>
              <w:t>1、报总价，详见《开标一览表》和《投标报价明细表》中要求</w:t>
            </w:r>
          </w:p>
          <w:p w14:paraId="6F67D855">
            <w:pPr>
              <w:rPr>
                <w:rFonts w:ascii="宋体" w:hAnsi="宋体"/>
                <w:color w:val="auto"/>
                <w:highlight w:val="none"/>
              </w:rPr>
            </w:pPr>
            <w:r>
              <w:rPr>
                <w:rFonts w:hint="eastAsia" w:ascii="宋体" w:hAnsi="宋体"/>
                <w:color w:val="auto"/>
                <w:highlight w:val="none"/>
              </w:rPr>
              <w:t>2、本项目采购预算</w:t>
            </w:r>
            <w:r>
              <w:rPr>
                <w:rFonts w:hint="eastAsia" w:ascii="宋体" w:hAnsi="宋体"/>
                <w:color w:val="auto"/>
                <w:highlight w:val="none"/>
                <w:lang w:eastAsia="zh-CN"/>
              </w:rPr>
              <w:t>（</w:t>
            </w:r>
            <w:r>
              <w:rPr>
                <w:rFonts w:hint="eastAsia" w:ascii="宋体" w:hAnsi="宋体"/>
                <w:color w:val="auto"/>
                <w:highlight w:val="none"/>
                <w:lang w:val="en-US" w:eastAsia="zh-CN"/>
              </w:rPr>
              <w:t>最高限价）</w:t>
            </w:r>
            <w:r>
              <w:rPr>
                <w:rFonts w:hint="eastAsia" w:ascii="宋体" w:hAnsi="宋体"/>
                <w:color w:val="auto"/>
                <w:highlight w:val="none"/>
              </w:rPr>
              <w:t>详见《招标公告》，投标报价超过采购预算</w:t>
            </w:r>
            <w:r>
              <w:rPr>
                <w:rFonts w:hint="eastAsia" w:ascii="宋体" w:hAnsi="宋体"/>
                <w:color w:val="auto"/>
                <w:highlight w:val="none"/>
                <w:lang w:eastAsia="zh-CN"/>
              </w:rPr>
              <w:t>（</w:t>
            </w:r>
            <w:r>
              <w:rPr>
                <w:rFonts w:hint="eastAsia" w:ascii="宋体" w:hAnsi="宋体"/>
                <w:color w:val="auto"/>
                <w:highlight w:val="none"/>
                <w:lang w:val="en-US" w:eastAsia="zh-CN"/>
              </w:rPr>
              <w:t>最高限价）</w:t>
            </w:r>
            <w:r>
              <w:rPr>
                <w:rFonts w:hint="eastAsia" w:ascii="宋体" w:hAnsi="宋体"/>
                <w:color w:val="auto"/>
                <w:highlight w:val="none"/>
              </w:rPr>
              <w:t>的作无效标处理。</w:t>
            </w:r>
          </w:p>
          <w:p w14:paraId="1C3A2547">
            <w:pPr>
              <w:rPr>
                <w:rFonts w:ascii="宋体" w:hAnsi="宋体"/>
                <w:color w:val="auto"/>
                <w:highlight w:val="none"/>
              </w:rPr>
            </w:pPr>
            <w:r>
              <w:rPr>
                <w:rFonts w:hint="eastAsia" w:ascii="宋体" w:hAnsi="宋体"/>
                <w:color w:val="auto"/>
                <w:highlight w:val="none"/>
              </w:rPr>
              <w:t>3、投标人的投标报价明显低于其他通过初步审查的投标人的投标报价的，有可能影响产品质量或者不能诚信履约的，评标委员会有权要求投标人对明显偏低的投标报价作出书面价格测算说明，投标人如不能在评委会规定的时间内提供说明的，或说明不被评委会认可的，评委会将认定其投标无效。</w:t>
            </w:r>
          </w:p>
        </w:tc>
      </w:tr>
      <w:tr w14:paraId="6F2A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7E0DB972">
            <w:pPr>
              <w:jc w:val="center"/>
              <w:rPr>
                <w:rFonts w:hint="default" w:ascii="宋体" w:hAnsi="宋体" w:eastAsia="宋体"/>
                <w:b/>
                <w:color w:val="auto"/>
                <w:highlight w:val="none"/>
                <w:lang w:val="en-US" w:eastAsia="zh-CN"/>
              </w:rPr>
            </w:pPr>
            <w:r>
              <w:rPr>
                <w:rFonts w:hint="eastAsia" w:ascii="宋体" w:hAnsi="宋体"/>
                <w:b/>
                <w:color w:val="auto"/>
                <w:highlight w:val="none"/>
                <w:lang w:val="en-US" w:eastAsia="zh-CN"/>
              </w:rPr>
              <w:t>11</w:t>
            </w:r>
          </w:p>
        </w:tc>
        <w:tc>
          <w:tcPr>
            <w:tcW w:w="8225" w:type="dxa"/>
            <w:tcMar>
              <w:top w:w="113" w:type="dxa"/>
              <w:bottom w:w="113" w:type="dxa"/>
            </w:tcMar>
            <w:vAlign w:val="center"/>
          </w:tcPr>
          <w:p w14:paraId="1FB6B8D1">
            <w:pPr>
              <w:rPr>
                <w:rFonts w:ascii="宋体" w:hAnsi="宋体"/>
                <w:color w:val="auto"/>
                <w:highlight w:val="none"/>
              </w:rPr>
            </w:pPr>
            <w:r>
              <w:rPr>
                <w:rFonts w:hint="eastAsia" w:ascii="宋体" w:hAnsi="宋体"/>
                <w:color w:val="auto"/>
                <w:highlight w:val="none"/>
              </w:rPr>
              <w:t>投标截止时间及地点：详见第一部分招标公告</w:t>
            </w:r>
          </w:p>
        </w:tc>
      </w:tr>
      <w:tr w14:paraId="65F9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3CCF3765">
            <w:pPr>
              <w:jc w:val="center"/>
              <w:rPr>
                <w:rFonts w:hint="default" w:ascii="宋体" w:hAnsi="宋体" w:eastAsia="宋体"/>
                <w:b/>
                <w:color w:val="auto"/>
                <w:highlight w:val="none"/>
                <w:lang w:val="en-US" w:eastAsia="zh-CN"/>
              </w:rPr>
            </w:pPr>
            <w:r>
              <w:rPr>
                <w:rFonts w:hint="eastAsia" w:ascii="宋体" w:hAnsi="宋体"/>
                <w:b/>
                <w:color w:val="auto"/>
                <w:highlight w:val="none"/>
                <w:lang w:val="en-US" w:eastAsia="zh-CN"/>
              </w:rPr>
              <w:t>12</w:t>
            </w:r>
          </w:p>
        </w:tc>
        <w:tc>
          <w:tcPr>
            <w:tcW w:w="8225" w:type="dxa"/>
            <w:tcMar>
              <w:top w:w="113" w:type="dxa"/>
              <w:bottom w:w="113" w:type="dxa"/>
            </w:tcMar>
            <w:vAlign w:val="center"/>
          </w:tcPr>
          <w:p w14:paraId="1C857188">
            <w:pPr>
              <w:rPr>
                <w:rFonts w:ascii="宋体" w:hAnsi="宋体"/>
                <w:color w:val="auto"/>
                <w:highlight w:val="none"/>
              </w:rPr>
            </w:pPr>
            <w:r>
              <w:rPr>
                <w:rFonts w:hint="eastAsia" w:ascii="宋体" w:hAnsi="宋体"/>
                <w:color w:val="auto"/>
                <w:highlight w:val="none"/>
              </w:rPr>
              <w:t>开标时间及地点：详见第一部分招标公告</w:t>
            </w:r>
          </w:p>
        </w:tc>
      </w:tr>
      <w:tr w14:paraId="25FC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6716EECA">
            <w:pPr>
              <w:jc w:val="center"/>
              <w:rPr>
                <w:rFonts w:hint="default" w:ascii="宋体" w:hAnsi="宋体" w:eastAsia="宋体"/>
                <w:b/>
                <w:color w:val="auto"/>
                <w:highlight w:val="none"/>
                <w:lang w:val="en-US" w:eastAsia="zh-CN"/>
              </w:rPr>
            </w:pPr>
            <w:r>
              <w:rPr>
                <w:rFonts w:hint="eastAsia" w:ascii="宋体" w:hAnsi="宋体"/>
                <w:b/>
                <w:color w:val="auto"/>
                <w:highlight w:val="none"/>
                <w:lang w:val="en-US" w:eastAsia="zh-CN"/>
              </w:rPr>
              <w:t>13</w:t>
            </w:r>
          </w:p>
        </w:tc>
        <w:tc>
          <w:tcPr>
            <w:tcW w:w="8225" w:type="dxa"/>
            <w:tcMar>
              <w:top w:w="113" w:type="dxa"/>
              <w:bottom w:w="113" w:type="dxa"/>
            </w:tcMar>
            <w:vAlign w:val="center"/>
          </w:tcPr>
          <w:p w14:paraId="123E61AB">
            <w:pPr>
              <w:rPr>
                <w:color w:val="auto"/>
                <w:highlight w:val="none"/>
              </w:rPr>
            </w:pPr>
            <w:r>
              <w:rPr>
                <w:rFonts w:hint="eastAsia"/>
                <w:color w:val="auto"/>
                <w:highlight w:val="none"/>
              </w:rPr>
              <w:t>投标文件份数：</w:t>
            </w:r>
          </w:p>
          <w:p w14:paraId="5EE0A434">
            <w:pPr>
              <w:rPr>
                <w:rFonts w:hint="eastAsia" w:ascii="宋体" w:hAnsi="宋体" w:eastAsia="宋体" w:cs="Times New Roman"/>
                <w:color w:val="auto"/>
                <w:highlight w:val="none"/>
              </w:rPr>
            </w:pPr>
            <w:r>
              <w:rPr>
                <w:rFonts w:hint="eastAsia" w:ascii="宋体" w:hAnsi="宋体" w:eastAsia="宋体" w:cs="Times New Roman"/>
                <w:color w:val="auto"/>
                <w:highlight w:val="none"/>
              </w:rPr>
              <w:t>（1）上传到政府采购云平台的电子投标文件（含资格证明文件、商务技术文件、报价文件）1份。</w:t>
            </w:r>
          </w:p>
          <w:p w14:paraId="310E53C0">
            <w:pPr>
              <w:rPr>
                <w:rFonts w:hint="eastAsia" w:ascii="宋体" w:hAnsi="宋体" w:eastAsia="宋体" w:cs="Times New Roman"/>
                <w:color w:val="auto"/>
                <w:highlight w:val="none"/>
              </w:rPr>
            </w:pPr>
            <w:r>
              <w:rPr>
                <w:rFonts w:hint="eastAsia" w:ascii="宋体" w:hAnsi="宋体" w:eastAsia="宋体" w:cs="Times New Roman"/>
                <w:color w:val="auto"/>
                <w:highlight w:val="none"/>
              </w:rPr>
              <w:t>（2）以U盘存储的电子备份投标文件（含资格证明文件、商务技术文件、报价文件）1份。（不用强制要求，投标人自行决定是否提供）</w:t>
            </w:r>
          </w:p>
          <w:p w14:paraId="533A8190">
            <w:pPr>
              <w:rPr>
                <w:color w:val="auto"/>
                <w:highlight w:val="none"/>
              </w:rPr>
            </w:pPr>
            <w:r>
              <w:rPr>
                <w:rFonts w:hint="eastAsia" w:ascii="宋体" w:hAnsi="宋体" w:eastAsia="宋体" w:cs="Times New Roman"/>
                <w:color w:val="auto"/>
                <w:highlight w:val="none"/>
              </w:rPr>
              <w:t>（3）中标单位在中标后补交纸质投标文件3份。</w:t>
            </w:r>
          </w:p>
        </w:tc>
      </w:tr>
      <w:tr w14:paraId="7C596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3C848F3A">
            <w:pPr>
              <w:jc w:val="center"/>
              <w:rPr>
                <w:rFonts w:hint="default" w:ascii="宋体" w:hAnsi="宋体" w:eastAsia="宋体"/>
                <w:b/>
                <w:color w:val="auto"/>
                <w:highlight w:val="none"/>
                <w:lang w:val="en-US" w:eastAsia="zh-CN"/>
              </w:rPr>
            </w:pPr>
            <w:r>
              <w:rPr>
                <w:rFonts w:hint="eastAsia" w:ascii="宋体" w:hAnsi="宋体"/>
                <w:b/>
                <w:color w:val="auto"/>
                <w:highlight w:val="none"/>
                <w:lang w:val="en-US" w:eastAsia="zh-CN"/>
              </w:rPr>
              <w:t>14</w:t>
            </w:r>
          </w:p>
        </w:tc>
        <w:tc>
          <w:tcPr>
            <w:tcW w:w="8225" w:type="dxa"/>
            <w:tcMar>
              <w:top w:w="113" w:type="dxa"/>
              <w:bottom w:w="113" w:type="dxa"/>
            </w:tcMar>
            <w:vAlign w:val="center"/>
          </w:tcPr>
          <w:p w14:paraId="02A3D74E">
            <w:pPr>
              <w:rPr>
                <w:rFonts w:ascii="宋体" w:hAnsi="宋体"/>
                <w:color w:val="auto"/>
                <w:highlight w:val="none"/>
              </w:rPr>
            </w:pPr>
            <w:r>
              <w:rPr>
                <w:rFonts w:hint="eastAsia" w:ascii="宋体" w:hAnsi="宋体"/>
                <w:color w:val="auto"/>
                <w:highlight w:val="none"/>
              </w:rPr>
              <w:t>投标有效期：开标之日起90日历天</w:t>
            </w:r>
          </w:p>
        </w:tc>
      </w:tr>
      <w:tr w14:paraId="53935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1D0AF8A2">
            <w:pPr>
              <w:jc w:val="center"/>
              <w:rPr>
                <w:rFonts w:hint="default" w:ascii="宋体" w:hAnsi="宋体" w:eastAsia="宋体"/>
                <w:b/>
                <w:color w:val="auto"/>
                <w:highlight w:val="none"/>
                <w:lang w:val="en-US" w:eastAsia="zh-CN"/>
              </w:rPr>
            </w:pPr>
            <w:r>
              <w:rPr>
                <w:rFonts w:hint="eastAsia" w:ascii="宋体" w:hAnsi="宋体"/>
                <w:b/>
                <w:color w:val="auto"/>
                <w:highlight w:val="none"/>
                <w:lang w:val="en-US" w:eastAsia="zh-CN"/>
              </w:rPr>
              <w:t>15</w:t>
            </w:r>
          </w:p>
        </w:tc>
        <w:tc>
          <w:tcPr>
            <w:tcW w:w="8225" w:type="dxa"/>
            <w:tcMar>
              <w:top w:w="113" w:type="dxa"/>
              <w:bottom w:w="113" w:type="dxa"/>
            </w:tcMar>
            <w:vAlign w:val="center"/>
          </w:tcPr>
          <w:p w14:paraId="0B070041">
            <w:pPr>
              <w:rPr>
                <w:b/>
                <w:color w:val="auto"/>
                <w:highlight w:val="none"/>
              </w:rPr>
            </w:pPr>
            <w:r>
              <w:rPr>
                <w:rFonts w:hint="eastAsia" w:ascii="宋体" w:hAnsi="宋体"/>
                <w:color w:val="auto"/>
                <w:highlight w:val="none"/>
              </w:rPr>
              <w:t>投标保证金：本项目不收取投标保证金。</w:t>
            </w:r>
          </w:p>
        </w:tc>
      </w:tr>
      <w:tr w14:paraId="2A5E7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79EDD6F7">
            <w:pPr>
              <w:jc w:val="center"/>
              <w:rPr>
                <w:rFonts w:hint="default" w:ascii="宋体" w:hAnsi="宋体" w:eastAsia="宋体"/>
                <w:b/>
                <w:color w:val="auto"/>
                <w:highlight w:val="none"/>
                <w:lang w:val="en-US" w:eastAsia="zh-CN"/>
              </w:rPr>
            </w:pPr>
            <w:r>
              <w:rPr>
                <w:rFonts w:hint="eastAsia" w:ascii="宋体" w:hAnsi="宋体"/>
                <w:b/>
                <w:color w:val="auto"/>
                <w:highlight w:val="none"/>
                <w:lang w:val="en-US" w:eastAsia="zh-CN"/>
              </w:rPr>
              <w:t>16</w:t>
            </w:r>
          </w:p>
        </w:tc>
        <w:tc>
          <w:tcPr>
            <w:tcW w:w="8225" w:type="dxa"/>
            <w:tcMar>
              <w:top w:w="113" w:type="dxa"/>
              <w:bottom w:w="113" w:type="dxa"/>
            </w:tcMar>
            <w:vAlign w:val="center"/>
          </w:tcPr>
          <w:p w14:paraId="612C4745">
            <w:pPr>
              <w:rPr>
                <w:rFonts w:hint="default" w:ascii="宋体" w:hAnsi="宋体" w:eastAsia="宋体"/>
                <w:color w:val="auto"/>
                <w:highlight w:val="none"/>
                <w:lang w:val="en-US" w:eastAsia="zh-CN"/>
              </w:rPr>
            </w:pPr>
            <w:r>
              <w:rPr>
                <w:rFonts w:hint="eastAsia" w:ascii="宋体" w:hAnsi="宋体"/>
                <w:color w:val="auto"/>
                <w:highlight w:val="none"/>
              </w:rPr>
              <w:t>履约保证金：</w:t>
            </w:r>
            <w:r>
              <w:rPr>
                <w:rFonts w:hint="eastAsia" w:ascii="宋体" w:hAnsi="宋体"/>
                <w:color w:val="auto"/>
                <w:szCs w:val="21"/>
                <w:highlight w:val="none"/>
                <w:lang w:val="en-US" w:eastAsia="zh-CN"/>
              </w:rPr>
              <w:t>本项目不作要求</w:t>
            </w:r>
          </w:p>
        </w:tc>
      </w:tr>
      <w:tr w14:paraId="768E2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46AB257F">
            <w:pPr>
              <w:jc w:val="center"/>
              <w:rPr>
                <w:rFonts w:hint="default" w:ascii="宋体" w:hAnsi="宋体" w:eastAsia="宋体"/>
                <w:b/>
                <w:color w:val="auto"/>
                <w:highlight w:val="none"/>
                <w:lang w:val="en-US" w:eastAsia="zh-CN"/>
              </w:rPr>
            </w:pPr>
            <w:r>
              <w:rPr>
                <w:rFonts w:hint="eastAsia" w:ascii="宋体" w:hAnsi="宋体"/>
                <w:b/>
                <w:color w:val="auto"/>
                <w:highlight w:val="none"/>
                <w:lang w:val="en-US" w:eastAsia="zh-CN"/>
              </w:rPr>
              <w:t>17</w:t>
            </w:r>
          </w:p>
        </w:tc>
        <w:tc>
          <w:tcPr>
            <w:tcW w:w="8225" w:type="dxa"/>
            <w:tcMar>
              <w:top w:w="113" w:type="dxa"/>
              <w:bottom w:w="113" w:type="dxa"/>
            </w:tcMar>
            <w:vAlign w:val="center"/>
          </w:tcPr>
          <w:p w14:paraId="6980C5C1">
            <w:pPr>
              <w:rPr>
                <w:rFonts w:ascii="宋体" w:hAnsi="宋体"/>
                <w:color w:val="auto"/>
                <w:highlight w:val="none"/>
              </w:rPr>
            </w:pPr>
            <w:r>
              <w:rPr>
                <w:rFonts w:hint="eastAsia" w:ascii="宋体" w:hAnsi="宋体"/>
                <w:color w:val="auto"/>
                <w:highlight w:val="none"/>
              </w:rPr>
              <w:t>投标人信用信息查询：资格审查时，通过“信用中国”网站（www.creditchina.gov.cn）、中国政府采购网（www.ccgp.gov.cn）渠道查询投标人信用记录，经查询列入失信被执行人、重大税收违法案件当事人名单、政府采购严重违法失信行为记录名单，且在禁止参加采购期限内的，其投标将被拒绝。如相关失信记录已失效，供应商需提供相关证明资料；若在开标当天因不可抗力事件导致无法查询且一时无法恢复查询的，可在中标公示期间对中标候选供应商进行事后查询。中标候选供应商被列入失信被执行人、重大税收违法案件当事人名单、政府采购严重违法失信行为记录名单的，采购单位将依法取消其中标资格）。</w:t>
            </w:r>
          </w:p>
        </w:tc>
      </w:tr>
      <w:tr w14:paraId="38ACD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24" w:type="dxa"/>
            <w:vAlign w:val="center"/>
          </w:tcPr>
          <w:p w14:paraId="6BB80BDD">
            <w:pPr>
              <w:jc w:val="center"/>
              <w:rPr>
                <w:rFonts w:hint="default" w:ascii="宋体" w:hAnsi="宋体" w:eastAsia="宋体"/>
                <w:b/>
                <w:color w:val="auto"/>
                <w:highlight w:val="none"/>
                <w:lang w:val="en-US" w:eastAsia="zh-CN"/>
              </w:rPr>
            </w:pPr>
            <w:r>
              <w:rPr>
                <w:rFonts w:hint="eastAsia" w:ascii="宋体" w:hAnsi="宋体"/>
                <w:b/>
                <w:color w:val="auto"/>
                <w:highlight w:val="none"/>
                <w:lang w:val="en-US" w:eastAsia="zh-CN"/>
              </w:rPr>
              <w:t>18</w:t>
            </w:r>
          </w:p>
        </w:tc>
        <w:tc>
          <w:tcPr>
            <w:tcW w:w="8225" w:type="dxa"/>
            <w:tcMar>
              <w:top w:w="113" w:type="dxa"/>
              <w:bottom w:w="113" w:type="dxa"/>
            </w:tcMar>
            <w:vAlign w:val="center"/>
          </w:tcPr>
          <w:p w14:paraId="648ED716">
            <w:pPr>
              <w:rPr>
                <w:rFonts w:ascii="宋体" w:hAnsi="宋体"/>
                <w:b/>
                <w:color w:val="auto"/>
                <w:highlight w:val="none"/>
              </w:rPr>
            </w:pPr>
            <w:r>
              <w:rPr>
                <w:rFonts w:hint="eastAsia" w:ascii="宋体" w:hAnsi="宋体"/>
                <w:color w:val="auto"/>
                <w:highlight w:val="none"/>
              </w:rPr>
              <w:t>其他说明：对于招标文件中提及的复印件要求，照片件、扫描件与其具有同等效力。</w:t>
            </w:r>
          </w:p>
        </w:tc>
      </w:tr>
      <w:tr w14:paraId="06DF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9" w:hRule="atLeast"/>
        </w:trPr>
        <w:tc>
          <w:tcPr>
            <w:tcW w:w="824" w:type="dxa"/>
            <w:vAlign w:val="center"/>
          </w:tcPr>
          <w:p w14:paraId="4CBC399D">
            <w:pPr>
              <w:jc w:val="center"/>
              <w:rPr>
                <w:rFonts w:hint="default" w:ascii="宋体" w:hAnsi="宋体" w:eastAsia="宋体"/>
                <w:b/>
                <w:color w:val="auto"/>
                <w:highlight w:val="none"/>
                <w:lang w:val="en-US" w:eastAsia="zh-CN"/>
              </w:rPr>
            </w:pPr>
            <w:r>
              <w:rPr>
                <w:rFonts w:hint="eastAsia" w:ascii="宋体" w:hAnsi="宋体"/>
                <w:b/>
                <w:color w:val="auto"/>
                <w:highlight w:val="none"/>
                <w:lang w:val="en-US" w:eastAsia="zh-CN"/>
              </w:rPr>
              <w:t>19</w:t>
            </w:r>
          </w:p>
        </w:tc>
        <w:tc>
          <w:tcPr>
            <w:tcW w:w="8225" w:type="dxa"/>
            <w:tcMar>
              <w:top w:w="113" w:type="dxa"/>
              <w:bottom w:w="113" w:type="dxa"/>
            </w:tcMar>
            <w:vAlign w:val="center"/>
          </w:tcPr>
          <w:p w14:paraId="70212F08">
            <w:pPr>
              <w:spacing w:line="400" w:lineRule="exact"/>
              <w:jc w:val="left"/>
              <w:rPr>
                <w:rFonts w:ascii="宋体" w:hAnsi="宋体" w:cs="宋体"/>
                <w:color w:val="auto"/>
                <w:highlight w:val="none"/>
              </w:rPr>
            </w:pPr>
            <w:r>
              <w:rPr>
                <w:rFonts w:hint="eastAsia" w:ascii="宋体" w:hAnsi="宋体" w:cs="宋体"/>
                <w:color w:val="auto"/>
                <w:highlight w:val="none"/>
              </w:rPr>
              <w:t>中标服务费：</w:t>
            </w:r>
            <w:r>
              <w:rPr>
                <w:rFonts w:hint="eastAsia" w:ascii="宋体" w:hAnsi="宋体" w:cs="宋体"/>
                <w:color w:val="auto"/>
                <w:highlight w:val="none"/>
                <w:lang w:val="en-US" w:eastAsia="zh-CN"/>
              </w:rPr>
              <w:t>7500</w:t>
            </w:r>
            <w:r>
              <w:rPr>
                <w:rFonts w:hint="eastAsia" w:ascii="宋体" w:hAnsi="宋体" w:cs="宋体"/>
                <w:color w:val="auto"/>
                <w:highlight w:val="none"/>
              </w:rPr>
              <w:t>元，由中标人支付，中标人应在本公司发出中标通知书5个工作日内向本招标代理机构支付中标服务费。</w:t>
            </w:r>
          </w:p>
          <w:p w14:paraId="11A569C1">
            <w:pPr>
              <w:spacing w:line="400" w:lineRule="exact"/>
              <w:jc w:val="left"/>
              <w:rPr>
                <w:rFonts w:ascii="宋体" w:hAnsi="宋体" w:cs="宋体"/>
                <w:color w:val="auto"/>
                <w:highlight w:val="none"/>
              </w:rPr>
            </w:pPr>
            <w:r>
              <w:rPr>
                <w:rFonts w:hint="eastAsia" w:ascii="宋体" w:hAnsi="宋体" w:cs="宋体"/>
                <w:color w:val="auto"/>
                <w:highlight w:val="none"/>
              </w:rPr>
              <w:t>账户名称：</w:t>
            </w:r>
            <w:r>
              <w:rPr>
                <w:rFonts w:ascii="宋体" w:hAnsi="宋体" w:cs="宋体"/>
                <w:color w:val="auto"/>
                <w:highlight w:val="none"/>
              </w:rPr>
              <w:t>宁波杜威工程项目管理有限公司</w:t>
            </w:r>
          </w:p>
          <w:p w14:paraId="0E37DE99">
            <w:pPr>
              <w:spacing w:line="400" w:lineRule="exact"/>
              <w:jc w:val="left"/>
              <w:rPr>
                <w:rFonts w:ascii="宋体" w:hAnsi="宋体" w:cs="宋体"/>
                <w:color w:val="auto"/>
                <w:highlight w:val="none"/>
              </w:rPr>
            </w:pPr>
            <w:r>
              <w:rPr>
                <w:rFonts w:hint="eastAsia" w:ascii="宋体" w:hAnsi="宋体" w:cs="宋体"/>
                <w:color w:val="auto"/>
                <w:highlight w:val="none"/>
              </w:rPr>
              <w:t>开户银行：</w:t>
            </w:r>
            <w:r>
              <w:rPr>
                <w:rFonts w:hint="eastAsia" w:ascii="宋体" w:hAnsi="宋体"/>
                <w:color w:val="auto"/>
                <w:highlight w:val="none"/>
              </w:rPr>
              <w:t>中国光大银行宁波北仑支行</w:t>
            </w:r>
          </w:p>
          <w:p w14:paraId="6DAA4FF6">
            <w:pPr>
              <w:rPr>
                <w:rFonts w:ascii="宋体" w:hAnsi="宋体"/>
                <w:color w:val="auto"/>
                <w:highlight w:val="none"/>
              </w:rPr>
            </w:pPr>
            <w:r>
              <w:rPr>
                <w:rFonts w:hint="eastAsia" w:ascii="宋体" w:hAnsi="宋体" w:cs="宋体"/>
                <w:color w:val="auto"/>
                <w:highlight w:val="none"/>
              </w:rPr>
              <w:t>银行账号：</w:t>
            </w:r>
            <w:r>
              <w:rPr>
                <w:rFonts w:hint="eastAsia" w:ascii="宋体" w:hAnsi="宋体"/>
                <w:color w:val="auto"/>
                <w:highlight w:val="none"/>
              </w:rPr>
              <w:t>76820188000227370</w:t>
            </w:r>
          </w:p>
        </w:tc>
      </w:tr>
      <w:tr w14:paraId="7D7A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atLeast"/>
        </w:trPr>
        <w:tc>
          <w:tcPr>
            <w:tcW w:w="824" w:type="dxa"/>
            <w:vAlign w:val="center"/>
          </w:tcPr>
          <w:p w14:paraId="540F44C5">
            <w:pPr>
              <w:jc w:val="center"/>
              <w:rPr>
                <w:rFonts w:hint="default" w:ascii="宋体" w:hAnsi="宋体" w:eastAsia="宋体"/>
                <w:b/>
                <w:color w:val="auto"/>
                <w:highlight w:val="none"/>
                <w:lang w:val="en-US" w:eastAsia="zh-CN"/>
              </w:rPr>
            </w:pPr>
            <w:r>
              <w:rPr>
                <w:rFonts w:hint="eastAsia" w:ascii="宋体" w:hAnsi="宋体"/>
                <w:b/>
                <w:color w:val="auto"/>
                <w:highlight w:val="none"/>
                <w:lang w:val="en-US" w:eastAsia="zh-CN"/>
              </w:rPr>
              <w:t>20</w:t>
            </w:r>
          </w:p>
        </w:tc>
        <w:tc>
          <w:tcPr>
            <w:tcW w:w="8225" w:type="dxa"/>
            <w:tcMar>
              <w:top w:w="113" w:type="dxa"/>
              <w:bottom w:w="113" w:type="dxa"/>
            </w:tcMar>
            <w:vAlign w:val="center"/>
          </w:tcPr>
          <w:p w14:paraId="5DE26818">
            <w:pPr>
              <w:rPr>
                <w:rFonts w:hint="eastAsia" w:ascii="宋体" w:hAnsi="宋体" w:cs="宋体"/>
                <w:color w:val="auto"/>
                <w:highlight w:val="none"/>
              </w:rPr>
            </w:pPr>
            <w:r>
              <w:rPr>
                <w:rFonts w:hint="eastAsia" w:ascii="宋体" w:hAnsi="宋体" w:cs="宋体"/>
                <w:color w:val="auto"/>
                <w:highlight w:val="none"/>
              </w:rPr>
              <w:t>中小企业信用融资：供应商中标后也可在“政采云”平台申请政采贷：操作路径：登录政采云平台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bl>
    <w:p w14:paraId="36AC04F0">
      <w:pPr>
        <w:spacing w:line="520" w:lineRule="exact"/>
        <w:jc w:val="center"/>
        <w:rPr>
          <w:rFonts w:ascii="宋体" w:hAnsi="宋体"/>
          <w:b/>
          <w:bCs/>
          <w:color w:val="auto"/>
          <w:sz w:val="32"/>
          <w:highlight w:val="none"/>
        </w:rPr>
      </w:pPr>
    </w:p>
    <w:p w14:paraId="21D2AE7F">
      <w:pPr>
        <w:spacing w:line="520" w:lineRule="exact"/>
        <w:jc w:val="center"/>
        <w:rPr>
          <w:rFonts w:ascii="宋体" w:hAnsi="宋体"/>
          <w:b/>
          <w:bCs/>
          <w:color w:val="auto"/>
          <w:sz w:val="32"/>
          <w:highlight w:val="none"/>
        </w:rPr>
      </w:pPr>
    </w:p>
    <w:p w14:paraId="30B74FD8">
      <w:pPr>
        <w:pStyle w:val="30"/>
        <w:rPr>
          <w:color w:val="auto"/>
          <w:highlight w:val="none"/>
        </w:rPr>
      </w:pPr>
    </w:p>
    <w:p w14:paraId="721FAF8D">
      <w:pPr>
        <w:pStyle w:val="30"/>
        <w:rPr>
          <w:color w:val="auto"/>
          <w:highlight w:val="none"/>
        </w:rPr>
      </w:pPr>
    </w:p>
    <w:p w14:paraId="0348565F">
      <w:pPr>
        <w:pStyle w:val="30"/>
        <w:rPr>
          <w:color w:val="auto"/>
          <w:highlight w:val="none"/>
        </w:rPr>
      </w:pPr>
    </w:p>
    <w:p w14:paraId="59F3A214">
      <w:pPr>
        <w:spacing w:line="520" w:lineRule="exact"/>
        <w:jc w:val="center"/>
        <w:rPr>
          <w:rFonts w:ascii="宋体" w:hAnsi="宋体"/>
          <w:b/>
          <w:bCs/>
          <w:color w:val="auto"/>
          <w:sz w:val="32"/>
          <w:highlight w:val="none"/>
        </w:rPr>
      </w:pPr>
      <w:r>
        <w:rPr>
          <w:rFonts w:hint="eastAsia" w:ascii="宋体" w:hAnsi="宋体"/>
          <w:b/>
          <w:bCs/>
          <w:color w:val="auto"/>
          <w:sz w:val="32"/>
          <w:highlight w:val="none"/>
        </w:rPr>
        <w:t>一、总</w:t>
      </w:r>
      <w:r>
        <w:rPr>
          <w:rFonts w:ascii="宋体" w:hAnsi="宋体"/>
          <w:b/>
          <w:bCs/>
          <w:color w:val="auto"/>
          <w:sz w:val="32"/>
          <w:highlight w:val="none"/>
        </w:rPr>
        <w:t xml:space="preserve">  </w:t>
      </w:r>
      <w:r>
        <w:rPr>
          <w:rFonts w:hint="eastAsia" w:ascii="宋体" w:hAnsi="宋体"/>
          <w:b/>
          <w:bCs/>
          <w:color w:val="auto"/>
          <w:sz w:val="32"/>
          <w:highlight w:val="none"/>
        </w:rPr>
        <w:t>则</w:t>
      </w:r>
    </w:p>
    <w:p w14:paraId="7F93657B">
      <w:pPr>
        <w:spacing w:line="400" w:lineRule="exact"/>
        <w:rPr>
          <w:rFonts w:ascii="宋体" w:hAnsi="宋体"/>
          <w:b/>
          <w:bCs/>
          <w:color w:val="auto"/>
          <w:sz w:val="24"/>
          <w:highlight w:val="none"/>
        </w:rPr>
      </w:pPr>
      <w:r>
        <w:rPr>
          <w:rFonts w:hint="eastAsia" w:ascii="宋体" w:hAnsi="宋体"/>
          <w:b/>
          <w:bCs/>
          <w:color w:val="auto"/>
          <w:sz w:val="24"/>
          <w:highlight w:val="none"/>
        </w:rPr>
        <w:t>（一）适用范围</w:t>
      </w:r>
    </w:p>
    <w:p w14:paraId="7AB6AB9F">
      <w:pPr>
        <w:spacing w:line="400" w:lineRule="exact"/>
        <w:ind w:firstLine="420" w:firstLineChars="200"/>
        <w:rPr>
          <w:rFonts w:ascii="宋体" w:hAnsi="宋体"/>
          <w:color w:val="auto"/>
          <w:highlight w:val="none"/>
        </w:rPr>
      </w:pPr>
      <w:r>
        <w:rPr>
          <w:rFonts w:hint="eastAsia" w:ascii="宋体" w:hAnsi="宋体"/>
          <w:color w:val="auto"/>
          <w:highlight w:val="none"/>
        </w:rPr>
        <w:t>本招标文件适用于</w:t>
      </w:r>
      <w:r>
        <w:rPr>
          <w:rFonts w:hint="eastAsia" w:hAnsi="宋体"/>
          <w:color w:val="auto"/>
          <w:highlight w:val="none"/>
        </w:rPr>
        <w:t>招标公告中所述</w:t>
      </w:r>
      <w:r>
        <w:rPr>
          <w:rFonts w:hint="eastAsia" w:ascii="宋体" w:hAnsi="宋体"/>
          <w:color w:val="auto"/>
          <w:highlight w:val="none"/>
        </w:rPr>
        <w:t>项目的招标、投标、评标、定标、验收、合同履约、付款等行为（法律、法规另有规定的，从其规定）。</w:t>
      </w:r>
    </w:p>
    <w:p w14:paraId="6D821F26">
      <w:pPr>
        <w:spacing w:line="400" w:lineRule="exact"/>
        <w:rPr>
          <w:rFonts w:ascii="宋体" w:hAnsi="宋体"/>
          <w:b/>
          <w:bCs/>
          <w:color w:val="auto"/>
          <w:sz w:val="24"/>
          <w:highlight w:val="none"/>
        </w:rPr>
      </w:pPr>
      <w:r>
        <w:rPr>
          <w:rFonts w:hint="eastAsia" w:ascii="宋体" w:hAnsi="宋体"/>
          <w:b/>
          <w:bCs/>
          <w:color w:val="auto"/>
          <w:sz w:val="24"/>
          <w:highlight w:val="none"/>
        </w:rPr>
        <w:t>（二）定义</w:t>
      </w:r>
    </w:p>
    <w:p w14:paraId="60534CD3">
      <w:pPr>
        <w:spacing w:line="400" w:lineRule="exact"/>
        <w:ind w:firstLine="420" w:firstLineChars="200"/>
        <w:rPr>
          <w:rFonts w:ascii="宋体" w:hAnsi="宋体"/>
          <w:color w:val="auto"/>
          <w:highlight w:val="none"/>
        </w:rPr>
      </w:pPr>
      <w:r>
        <w:rPr>
          <w:rFonts w:hint="eastAsia" w:ascii="宋体" w:hAnsi="宋体"/>
          <w:color w:val="auto"/>
          <w:highlight w:val="none"/>
        </w:rPr>
        <w:t>1.“招标采购单位”系指组织本次招标的代理机构和采购单位（“采购人”）。</w:t>
      </w:r>
    </w:p>
    <w:p w14:paraId="2F423591">
      <w:pPr>
        <w:spacing w:line="400" w:lineRule="exact"/>
        <w:ind w:firstLine="420" w:firstLineChars="200"/>
        <w:rPr>
          <w:rFonts w:ascii="宋体" w:hAnsi="宋体"/>
          <w:color w:val="auto"/>
          <w:highlight w:val="none"/>
        </w:rPr>
      </w:pPr>
      <w:r>
        <w:rPr>
          <w:rFonts w:hint="eastAsia" w:ascii="宋体" w:hAnsi="宋体"/>
          <w:color w:val="auto"/>
          <w:highlight w:val="none"/>
        </w:rPr>
        <w:t>2.“投标人”系指向招标方提交投标文件的单位。</w:t>
      </w:r>
    </w:p>
    <w:p w14:paraId="6CD3DB98">
      <w:pPr>
        <w:spacing w:line="400" w:lineRule="exact"/>
        <w:ind w:firstLine="420" w:firstLineChars="200"/>
        <w:rPr>
          <w:rFonts w:ascii="宋体" w:hAnsi="宋体"/>
          <w:color w:val="auto"/>
          <w:highlight w:val="none"/>
        </w:rPr>
      </w:pPr>
      <w:r>
        <w:rPr>
          <w:rFonts w:hint="eastAsia" w:ascii="宋体" w:hAnsi="宋体"/>
          <w:color w:val="auto"/>
          <w:highlight w:val="none"/>
        </w:rPr>
        <w:t>3. 产品”系指供方按招标文件规定，须向采购人提供的一切设备、保险、税金、备品备件、工具、手册及其它有关技术资料和材料。</w:t>
      </w:r>
    </w:p>
    <w:p w14:paraId="02B7E75C">
      <w:pPr>
        <w:spacing w:line="400" w:lineRule="exact"/>
        <w:ind w:firstLine="420" w:firstLineChars="200"/>
        <w:rPr>
          <w:rFonts w:ascii="宋体" w:hAnsi="宋体"/>
          <w:color w:val="auto"/>
          <w:highlight w:val="none"/>
        </w:rPr>
      </w:pPr>
      <w:r>
        <w:rPr>
          <w:rFonts w:hint="eastAsia" w:ascii="宋体" w:hAnsi="宋体"/>
          <w:color w:val="auto"/>
          <w:highlight w:val="none"/>
        </w:rPr>
        <w:t>4.“服务”系指招标文件规定投标人须承担的</w:t>
      </w:r>
      <w:r>
        <w:rPr>
          <w:rFonts w:hint="eastAsia" w:ascii="宋体" w:hAnsi="宋体"/>
          <w:color w:val="auto"/>
          <w:highlight w:val="none"/>
          <w:lang w:val="en-US" w:eastAsia="zh-CN"/>
        </w:rPr>
        <w:t>完成本项目服务</w:t>
      </w:r>
      <w:r>
        <w:rPr>
          <w:rFonts w:hint="eastAsia" w:ascii="宋体" w:hAnsi="宋体"/>
          <w:color w:val="auto"/>
          <w:highlight w:val="none"/>
        </w:rPr>
        <w:t>。</w:t>
      </w:r>
    </w:p>
    <w:p w14:paraId="77513DEE">
      <w:pPr>
        <w:spacing w:line="400" w:lineRule="exact"/>
        <w:ind w:firstLine="420" w:firstLineChars="200"/>
        <w:rPr>
          <w:rFonts w:ascii="宋体" w:hAnsi="宋体"/>
          <w:color w:val="auto"/>
          <w:highlight w:val="none"/>
        </w:rPr>
      </w:pPr>
      <w:r>
        <w:rPr>
          <w:rFonts w:hint="eastAsia" w:ascii="宋体" w:hAnsi="宋体"/>
          <w:color w:val="auto"/>
          <w:highlight w:val="none"/>
        </w:rPr>
        <w:t>5.“项目”系指投标人按招标文件规定向采购人提供的产品和服务。</w:t>
      </w:r>
    </w:p>
    <w:p w14:paraId="2DBC36CC">
      <w:pPr>
        <w:spacing w:line="400" w:lineRule="exact"/>
        <w:ind w:firstLine="420" w:firstLineChars="200"/>
        <w:rPr>
          <w:rFonts w:ascii="宋体" w:hAnsi="宋体"/>
          <w:color w:val="auto"/>
          <w:highlight w:val="none"/>
        </w:rPr>
      </w:pPr>
      <w:r>
        <w:rPr>
          <w:rFonts w:hint="eastAsia" w:ascii="宋体" w:hAnsi="宋体"/>
          <w:color w:val="auto"/>
          <w:highlight w:val="none"/>
        </w:rPr>
        <w:t>6.“书面形式”包括信函、传真、电报等。</w:t>
      </w:r>
    </w:p>
    <w:p w14:paraId="66ADDE03">
      <w:pPr>
        <w:spacing w:line="400" w:lineRule="exact"/>
        <w:ind w:firstLine="420" w:firstLineChars="200"/>
        <w:rPr>
          <w:rFonts w:ascii="宋体" w:hAnsi="宋体"/>
          <w:color w:val="auto"/>
          <w:highlight w:val="none"/>
        </w:rPr>
      </w:pPr>
      <w:r>
        <w:rPr>
          <w:rFonts w:hint="eastAsia" w:ascii="宋体" w:hAnsi="宋体"/>
          <w:color w:val="auto"/>
          <w:highlight w:val="none"/>
        </w:rPr>
        <w:t>7.“★”系指</w:t>
      </w:r>
      <w:r>
        <w:rPr>
          <w:rFonts w:hint="eastAsia" w:ascii="宋体" w:hAnsi="宋体"/>
          <w:color w:val="auto"/>
          <w:highlight w:val="none"/>
          <w:lang w:val="en-US" w:eastAsia="zh-CN"/>
        </w:rPr>
        <w:t>实质性要求</w:t>
      </w:r>
      <w:r>
        <w:rPr>
          <w:rFonts w:hint="eastAsia" w:ascii="宋体" w:hAnsi="宋体"/>
          <w:color w:val="auto"/>
          <w:highlight w:val="none"/>
        </w:rPr>
        <w:t>条款。</w:t>
      </w:r>
    </w:p>
    <w:p w14:paraId="18CD05C2">
      <w:pPr>
        <w:spacing w:line="400" w:lineRule="exact"/>
        <w:rPr>
          <w:rFonts w:ascii="宋体" w:hAnsi="宋体"/>
          <w:b/>
          <w:bCs/>
          <w:color w:val="auto"/>
          <w:sz w:val="24"/>
          <w:highlight w:val="none"/>
        </w:rPr>
      </w:pPr>
      <w:bookmarkStart w:id="14" w:name="_Toc397325819"/>
      <w:r>
        <w:rPr>
          <w:rFonts w:hint="eastAsia" w:ascii="宋体" w:hAnsi="宋体"/>
          <w:b/>
          <w:bCs/>
          <w:color w:val="auto"/>
          <w:sz w:val="24"/>
          <w:highlight w:val="none"/>
        </w:rPr>
        <w:t>（三）招标方式</w:t>
      </w:r>
      <w:bookmarkEnd w:id="14"/>
    </w:p>
    <w:p w14:paraId="6A99A29D">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本次招标采用公开招标方式进行。</w:t>
      </w:r>
    </w:p>
    <w:p w14:paraId="74A2BA9B">
      <w:pPr>
        <w:spacing w:line="400" w:lineRule="exact"/>
        <w:rPr>
          <w:rFonts w:ascii="宋体" w:hAnsi="宋体"/>
          <w:b/>
          <w:bCs/>
          <w:color w:val="auto"/>
          <w:sz w:val="24"/>
          <w:highlight w:val="none"/>
        </w:rPr>
      </w:pPr>
      <w:bookmarkStart w:id="15" w:name="_Toc397325820"/>
      <w:r>
        <w:rPr>
          <w:rFonts w:hint="eastAsia" w:ascii="宋体" w:hAnsi="宋体"/>
          <w:b/>
          <w:bCs/>
          <w:color w:val="auto"/>
          <w:sz w:val="24"/>
          <w:highlight w:val="none"/>
        </w:rPr>
        <w:t>（四）投标委托</w:t>
      </w:r>
      <w:bookmarkEnd w:id="15"/>
    </w:p>
    <w:p w14:paraId="73E762DD">
      <w:pPr>
        <w:spacing w:line="400" w:lineRule="exact"/>
        <w:ind w:firstLine="420" w:firstLineChars="200"/>
        <w:rPr>
          <w:rFonts w:ascii="宋体" w:hAnsi="宋体"/>
          <w:bCs/>
          <w:color w:val="auto"/>
          <w:szCs w:val="21"/>
          <w:highlight w:val="none"/>
        </w:rPr>
      </w:pPr>
      <w:bookmarkStart w:id="16" w:name="_Toc397325821"/>
      <w:r>
        <w:rPr>
          <w:rFonts w:hint="eastAsia" w:ascii="宋体" w:hAnsi="宋体"/>
          <w:bCs/>
          <w:color w:val="auto"/>
          <w:szCs w:val="21"/>
          <w:highlight w:val="none"/>
        </w:rPr>
        <w:t>投标人代表须携带有效身份证件。投标人代表须为投标人的在职员工，如投标人代表不是法定代表人，须有法定代表人出具的授权委托书并在投标文件中提供投标人代表身份证正反面复印件（格式见第六部分）。</w:t>
      </w:r>
    </w:p>
    <w:p w14:paraId="5FC788AF">
      <w:pPr>
        <w:spacing w:line="400" w:lineRule="exact"/>
        <w:rPr>
          <w:rFonts w:ascii="宋体" w:hAnsi="宋体"/>
          <w:b/>
          <w:bCs/>
          <w:color w:val="auto"/>
          <w:sz w:val="24"/>
          <w:highlight w:val="none"/>
        </w:rPr>
      </w:pPr>
      <w:r>
        <w:rPr>
          <w:rFonts w:hint="eastAsia" w:ascii="宋体" w:hAnsi="宋体"/>
          <w:b/>
          <w:bCs/>
          <w:color w:val="auto"/>
          <w:sz w:val="24"/>
          <w:highlight w:val="none"/>
        </w:rPr>
        <w:t>（五）投标费用</w:t>
      </w:r>
      <w:bookmarkEnd w:id="16"/>
    </w:p>
    <w:p w14:paraId="32BA8CC0">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不论投标结果如何，投标人均应自行承担所有与投标有关的全部费用（招标文件有相反规定除外）。</w:t>
      </w:r>
    </w:p>
    <w:p w14:paraId="0C6279C5">
      <w:pPr>
        <w:spacing w:line="400" w:lineRule="exact"/>
        <w:rPr>
          <w:rFonts w:ascii="宋体" w:hAnsi="宋体"/>
          <w:b/>
          <w:bCs/>
          <w:color w:val="auto"/>
          <w:sz w:val="24"/>
          <w:highlight w:val="none"/>
        </w:rPr>
      </w:pPr>
      <w:bookmarkStart w:id="17" w:name="_Toc397325822"/>
      <w:r>
        <w:rPr>
          <w:rFonts w:hint="eastAsia" w:ascii="宋体" w:hAnsi="宋体"/>
          <w:b/>
          <w:bCs/>
          <w:color w:val="auto"/>
          <w:sz w:val="24"/>
          <w:highlight w:val="none"/>
        </w:rPr>
        <w:t>（六）联合体投标</w:t>
      </w:r>
    </w:p>
    <w:p w14:paraId="2EE15BBC">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 xml:space="preserve">  本项目不接受联合体投标。</w:t>
      </w:r>
    </w:p>
    <w:p w14:paraId="7FF1074A">
      <w:pPr>
        <w:spacing w:line="400" w:lineRule="exact"/>
        <w:rPr>
          <w:rFonts w:ascii="宋体" w:hAnsi="宋体"/>
          <w:b/>
          <w:bCs/>
          <w:color w:val="auto"/>
          <w:sz w:val="24"/>
          <w:highlight w:val="none"/>
        </w:rPr>
      </w:pPr>
      <w:r>
        <w:rPr>
          <w:rFonts w:hint="eastAsia" w:ascii="宋体" w:hAnsi="宋体"/>
          <w:b/>
          <w:bCs/>
          <w:color w:val="auto"/>
          <w:sz w:val="24"/>
          <w:highlight w:val="none"/>
        </w:rPr>
        <w:t>（七）转包与分包</w:t>
      </w:r>
    </w:p>
    <w:p w14:paraId="020E0B3F">
      <w:pPr>
        <w:spacing w:line="400" w:lineRule="exact"/>
        <w:rPr>
          <w:rFonts w:ascii="宋体" w:hAnsi="宋体"/>
          <w:bCs/>
          <w:color w:val="auto"/>
          <w:szCs w:val="21"/>
          <w:highlight w:val="none"/>
        </w:rPr>
      </w:pPr>
      <w:r>
        <w:rPr>
          <w:rFonts w:hint="eastAsia" w:ascii="宋体" w:hAnsi="宋体"/>
          <w:b/>
          <w:bCs/>
          <w:color w:val="auto"/>
          <w:sz w:val="24"/>
          <w:highlight w:val="none"/>
        </w:rPr>
        <w:t xml:space="preserve">   </w:t>
      </w:r>
      <w:r>
        <w:rPr>
          <w:rFonts w:hint="eastAsia" w:ascii="宋体" w:hAnsi="宋体"/>
          <w:bCs/>
          <w:color w:val="auto"/>
          <w:szCs w:val="21"/>
          <w:highlight w:val="none"/>
        </w:rPr>
        <w:t>本项目不得转包，但经采购人</w:t>
      </w:r>
      <w:r>
        <w:rPr>
          <w:rFonts w:hint="eastAsia" w:ascii="宋体" w:hAnsi="宋体"/>
          <w:bCs/>
          <w:color w:val="auto"/>
          <w:szCs w:val="21"/>
          <w:highlight w:val="none"/>
          <w:lang w:val="en-US" w:eastAsia="zh-CN"/>
        </w:rPr>
        <w:t>书面</w:t>
      </w:r>
      <w:r>
        <w:rPr>
          <w:rFonts w:hint="eastAsia" w:ascii="宋体" w:hAnsi="宋体"/>
          <w:bCs/>
          <w:color w:val="auto"/>
          <w:szCs w:val="21"/>
          <w:highlight w:val="none"/>
        </w:rPr>
        <w:t>同意，可以将合同项下的部分非主体、非关键性工作分包给他人完成，接受分包的人应当具备</w:t>
      </w:r>
      <w:r>
        <w:rPr>
          <w:rFonts w:hint="eastAsia" w:ascii="宋体" w:hAnsi="宋体"/>
          <w:bCs/>
          <w:color w:val="auto"/>
          <w:szCs w:val="21"/>
          <w:highlight w:val="none"/>
          <w:lang w:val="en-US" w:eastAsia="zh-CN"/>
        </w:rPr>
        <w:t>采购人要求</w:t>
      </w:r>
      <w:r>
        <w:rPr>
          <w:rFonts w:hint="eastAsia" w:ascii="宋体" w:hAnsi="宋体"/>
          <w:bCs/>
          <w:color w:val="auto"/>
          <w:szCs w:val="21"/>
          <w:highlight w:val="none"/>
        </w:rPr>
        <w:t>相应的资格条件，并不得再次分包。</w:t>
      </w:r>
    </w:p>
    <w:p w14:paraId="24215D72">
      <w:pPr>
        <w:spacing w:line="400" w:lineRule="exact"/>
        <w:rPr>
          <w:rFonts w:ascii="宋体" w:hAnsi="宋体"/>
          <w:b/>
          <w:bCs/>
          <w:color w:val="auto"/>
          <w:sz w:val="24"/>
          <w:highlight w:val="none"/>
        </w:rPr>
      </w:pPr>
      <w:r>
        <w:rPr>
          <w:rFonts w:hint="eastAsia" w:ascii="宋体" w:hAnsi="宋体"/>
          <w:b/>
          <w:bCs/>
          <w:color w:val="auto"/>
          <w:sz w:val="24"/>
          <w:highlight w:val="none"/>
        </w:rPr>
        <w:t>（八）特别说明：</w:t>
      </w:r>
      <w:bookmarkEnd w:id="17"/>
      <w:bookmarkStart w:id="18" w:name="_Toc397325826"/>
    </w:p>
    <w:p w14:paraId="397B3B22">
      <w:pPr>
        <w:spacing w:line="400" w:lineRule="exact"/>
        <w:rPr>
          <w:rFonts w:ascii="宋体" w:hAnsi="宋体"/>
          <w:b/>
          <w:bCs/>
          <w:color w:val="auto"/>
          <w:sz w:val="24"/>
          <w:highlight w:val="none"/>
        </w:rPr>
      </w:pPr>
      <w:r>
        <w:rPr>
          <w:rFonts w:hint="eastAsia" w:ascii="宋体" w:hAnsi="宋体"/>
          <w:b/>
          <w:bCs/>
          <w:color w:val="auto"/>
          <w:sz w:val="24"/>
          <w:highlight w:val="none"/>
        </w:rPr>
        <w:t xml:space="preserve">    </w:t>
      </w:r>
      <w:r>
        <w:rPr>
          <w:rFonts w:hint="eastAsia" w:ascii="宋体" w:hAnsi="宋体"/>
          <w:bCs/>
          <w:color w:val="auto"/>
          <w:szCs w:val="21"/>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6384786">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19EA405">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非单一产品采购项目，多家投标人提供的核心产品品牌相同的，按前款处理。</w:t>
      </w:r>
    </w:p>
    <w:p w14:paraId="595B2095">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★2.投标人应仔细阅读招标文件的所有内容，按照招标文件的要求提交投标文件，并对所提供的全部资料的真实性承担法律责任。</w:t>
      </w:r>
    </w:p>
    <w:p w14:paraId="63D79CDF">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★3.投标人在投标活动中提供任何虚假材料，其投标无效，并报监管部门查处。</w:t>
      </w:r>
    </w:p>
    <w:p w14:paraId="346CE91C">
      <w:pPr>
        <w:spacing w:line="400" w:lineRule="exact"/>
        <w:rPr>
          <w:rFonts w:ascii="宋体" w:hAnsi="宋体"/>
          <w:b/>
          <w:bCs/>
          <w:color w:val="auto"/>
          <w:sz w:val="24"/>
          <w:highlight w:val="none"/>
        </w:rPr>
      </w:pPr>
      <w:r>
        <w:rPr>
          <w:rFonts w:hint="eastAsia" w:ascii="宋体" w:hAnsi="宋体"/>
          <w:b/>
          <w:bCs/>
          <w:color w:val="auto"/>
          <w:sz w:val="24"/>
          <w:highlight w:val="none"/>
        </w:rPr>
        <w:t>（九）质疑和投诉</w:t>
      </w:r>
      <w:bookmarkEnd w:id="18"/>
    </w:p>
    <w:p w14:paraId="0D24CDB8">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1.供应商认为招标文件、采购过程、中标或者成交结果使自己的权益受到损害的，须在应知其利益受损之日起七个工作日内以书面形式向采购人、采购代理机构提出质疑。供应商应当在法定质疑期内一次性提出针对同一采购程序环节的质疑。供应商应知其权益受到损害之日，是指：</w:t>
      </w:r>
    </w:p>
    <w:p w14:paraId="221E0443">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（1）对可以质疑的招标文件提出质疑的，为获取招标文件之日（招标公告期限届满之日后获取招标文件的为招标公告期限届满之日）。</w:t>
      </w:r>
    </w:p>
    <w:p w14:paraId="64CCA0BD">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（2）对招标过程提出质疑的，为各招标程序环节结束之日。</w:t>
      </w:r>
    </w:p>
    <w:p w14:paraId="4846B4DF">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（3）对中标结果提出质疑的，为中标结果公告期限届满之日。</w:t>
      </w:r>
    </w:p>
    <w:p w14:paraId="416034DA">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2.提出质疑的供应商应当是参与所质疑项目采购活动的供应商。未依法获取招标文件的，不得就招标文件提出质疑；未提交投标文件的供应商，视为与采购结果没有利害关系，不得就采购响应截止时间后的采购过程、采购结果提出质疑。</w:t>
      </w:r>
    </w:p>
    <w:p w14:paraId="7DE5C361">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3.供应商提出质疑应当提交质疑函和必要的证明材料，质疑函应当面以书面形式提出，质疑函格式和内容须符合财政部《质疑函范本》要求，供应商可到中国政府采购网自行下载财政部《质疑函范本》。</w:t>
      </w:r>
    </w:p>
    <w:p w14:paraId="798F5774">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部分有关联系方式。</w:t>
      </w:r>
    </w:p>
    <w:p w14:paraId="1BA691A1">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5.</w:t>
      </w:r>
      <w:r>
        <w:rPr>
          <w:rFonts w:hint="eastAsia" w:ascii="宋体" w:hAnsi="宋体" w:cs="宋体"/>
          <w:color w:val="auto"/>
          <w:szCs w:val="21"/>
          <w:highlight w:val="none"/>
        </w:rPr>
        <w:t>供应商对采购人或采购代理机构的质疑答复不满意或者采购人或采购代理机构未在规定时间内作出答复的，可以在答复期满后十五个工作日内向同级采购监管部门投诉。供应商可到中国政府采购网自行下载财政部《投诉书范本》。</w:t>
      </w:r>
    </w:p>
    <w:p w14:paraId="58DEECB9">
      <w:pPr>
        <w:spacing w:line="520" w:lineRule="exact"/>
        <w:jc w:val="center"/>
        <w:rPr>
          <w:rFonts w:ascii="宋体" w:hAnsi="宋体"/>
          <w:b/>
          <w:bCs/>
          <w:color w:val="auto"/>
          <w:sz w:val="32"/>
          <w:highlight w:val="none"/>
        </w:rPr>
      </w:pPr>
      <w:r>
        <w:rPr>
          <w:rFonts w:hint="eastAsia" w:ascii="宋体" w:hAnsi="宋体"/>
          <w:b/>
          <w:bCs/>
          <w:color w:val="auto"/>
          <w:sz w:val="32"/>
          <w:highlight w:val="none"/>
        </w:rPr>
        <w:t>二、招标文件</w:t>
      </w:r>
    </w:p>
    <w:p w14:paraId="362EF785">
      <w:pPr>
        <w:spacing w:line="400" w:lineRule="exact"/>
        <w:rPr>
          <w:rFonts w:ascii="宋体" w:hAnsi="宋体"/>
          <w:b/>
          <w:bCs/>
          <w:color w:val="auto"/>
          <w:sz w:val="24"/>
          <w:highlight w:val="none"/>
        </w:rPr>
      </w:pPr>
      <w:r>
        <w:rPr>
          <w:rFonts w:hint="eastAsia" w:ascii="宋体" w:hAnsi="宋体"/>
          <w:b/>
          <w:bCs/>
          <w:color w:val="auto"/>
          <w:sz w:val="24"/>
          <w:highlight w:val="none"/>
        </w:rPr>
        <w:t>（一）招标文件的构成。本招标文件由以下部分组成：</w:t>
      </w:r>
    </w:p>
    <w:p w14:paraId="23416F30">
      <w:pPr>
        <w:spacing w:line="400" w:lineRule="exact"/>
        <w:ind w:firstLine="420" w:firstLineChars="200"/>
        <w:rPr>
          <w:rFonts w:ascii="宋体" w:hAnsi="宋体"/>
          <w:color w:val="auto"/>
          <w:highlight w:val="none"/>
        </w:rPr>
      </w:pPr>
      <w:r>
        <w:rPr>
          <w:rFonts w:ascii="宋体" w:hAnsi="宋体"/>
          <w:color w:val="auto"/>
          <w:highlight w:val="none"/>
        </w:rPr>
        <w:t>第</w:t>
      </w:r>
      <w:r>
        <w:rPr>
          <w:rFonts w:hint="eastAsia" w:ascii="宋体" w:hAnsi="宋体"/>
          <w:color w:val="auto"/>
          <w:highlight w:val="none"/>
        </w:rPr>
        <w:t>一</w:t>
      </w:r>
      <w:r>
        <w:rPr>
          <w:rFonts w:ascii="宋体" w:hAnsi="宋体"/>
          <w:color w:val="auto"/>
          <w:highlight w:val="none"/>
        </w:rPr>
        <w:t xml:space="preserve">部分 </w:t>
      </w:r>
      <w:r>
        <w:rPr>
          <w:rFonts w:hint="eastAsia" w:ascii="宋体" w:hAnsi="宋体"/>
          <w:color w:val="auto"/>
          <w:highlight w:val="none"/>
        </w:rPr>
        <w:t xml:space="preserve"> 招标公告</w:t>
      </w:r>
    </w:p>
    <w:p w14:paraId="43C56BE7">
      <w:pPr>
        <w:spacing w:line="400" w:lineRule="exact"/>
        <w:ind w:firstLine="420" w:firstLineChars="200"/>
        <w:rPr>
          <w:rFonts w:ascii="宋体" w:hAnsi="宋体"/>
          <w:color w:val="auto"/>
          <w:highlight w:val="none"/>
        </w:rPr>
      </w:pPr>
      <w:r>
        <w:rPr>
          <w:rFonts w:ascii="宋体" w:hAnsi="宋体"/>
          <w:color w:val="auto"/>
          <w:highlight w:val="none"/>
        </w:rPr>
        <w:t>第</w:t>
      </w:r>
      <w:r>
        <w:rPr>
          <w:rFonts w:hint="eastAsia" w:ascii="宋体" w:hAnsi="宋体"/>
          <w:color w:val="auto"/>
          <w:highlight w:val="none"/>
        </w:rPr>
        <w:t>二</w:t>
      </w:r>
      <w:r>
        <w:rPr>
          <w:rFonts w:ascii="宋体" w:hAnsi="宋体"/>
          <w:color w:val="auto"/>
          <w:highlight w:val="none"/>
        </w:rPr>
        <w:t xml:space="preserve">部分 </w:t>
      </w:r>
      <w:r>
        <w:rPr>
          <w:rFonts w:hint="eastAsia" w:ascii="宋体" w:hAnsi="宋体"/>
          <w:color w:val="auto"/>
          <w:highlight w:val="none"/>
        </w:rPr>
        <w:t xml:space="preserve"> 投标人须知及前附表</w:t>
      </w:r>
    </w:p>
    <w:p w14:paraId="58C2523F">
      <w:pPr>
        <w:spacing w:line="400" w:lineRule="exact"/>
        <w:ind w:firstLine="420" w:firstLineChars="200"/>
        <w:rPr>
          <w:rFonts w:ascii="宋体" w:hAnsi="宋体"/>
          <w:color w:val="auto"/>
          <w:highlight w:val="none"/>
        </w:rPr>
      </w:pPr>
      <w:r>
        <w:rPr>
          <w:rFonts w:ascii="宋体" w:hAnsi="宋体"/>
          <w:color w:val="auto"/>
          <w:highlight w:val="none"/>
        </w:rPr>
        <w:t>第</w:t>
      </w:r>
      <w:r>
        <w:rPr>
          <w:rFonts w:hint="eastAsia" w:ascii="宋体" w:hAnsi="宋体"/>
          <w:color w:val="auto"/>
          <w:highlight w:val="none"/>
        </w:rPr>
        <w:t>三</w:t>
      </w:r>
      <w:r>
        <w:rPr>
          <w:rFonts w:ascii="宋体" w:hAnsi="宋体"/>
          <w:color w:val="auto"/>
          <w:highlight w:val="none"/>
        </w:rPr>
        <w:t xml:space="preserve">部分 </w:t>
      </w:r>
      <w:r>
        <w:rPr>
          <w:rFonts w:hint="eastAsia" w:ascii="宋体" w:hAnsi="宋体"/>
          <w:color w:val="auto"/>
          <w:highlight w:val="none"/>
        </w:rPr>
        <w:t xml:space="preserve"> 项目内容及要求</w:t>
      </w:r>
    </w:p>
    <w:p w14:paraId="7E93E0FB">
      <w:pPr>
        <w:spacing w:line="400" w:lineRule="exact"/>
        <w:ind w:firstLine="420" w:firstLineChars="200"/>
        <w:rPr>
          <w:rFonts w:ascii="宋体" w:hAnsi="宋体"/>
          <w:color w:val="auto"/>
          <w:highlight w:val="none"/>
        </w:rPr>
      </w:pPr>
      <w:r>
        <w:rPr>
          <w:rFonts w:ascii="宋体" w:hAnsi="宋体"/>
          <w:color w:val="auto"/>
          <w:highlight w:val="none"/>
        </w:rPr>
        <w:t>第</w:t>
      </w:r>
      <w:r>
        <w:rPr>
          <w:rFonts w:hint="eastAsia" w:ascii="宋体" w:hAnsi="宋体"/>
          <w:color w:val="auto"/>
          <w:highlight w:val="none"/>
        </w:rPr>
        <w:t>四</w:t>
      </w:r>
      <w:r>
        <w:rPr>
          <w:rFonts w:ascii="宋体" w:hAnsi="宋体"/>
          <w:color w:val="auto"/>
          <w:highlight w:val="none"/>
        </w:rPr>
        <w:t>部分</w:t>
      </w:r>
      <w:r>
        <w:rPr>
          <w:rFonts w:hint="eastAsia" w:ascii="宋体" w:hAnsi="宋体"/>
          <w:color w:val="auto"/>
          <w:highlight w:val="none"/>
        </w:rPr>
        <w:t xml:space="preserve">  </w:t>
      </w:r>
      <w:r>
        <w:rPr>
          <w:rFonts w:hint="eastAsia" w:ascii="宋体" w:hAnsi="宋体" w:cs="宋体"/>
          <w:color w:val="auto"/>
          <w:szCs w:val="21"/>
          <w:highlight w:val="none"/>
        </w:rPr>
        <w:t>评标办法及标准</w:t>
      </w:r>
    </w:p>
    <w:p w14:paraId="3EE86719">
      <w:pPr>
        <w:spacing w:line="400" w:lineRule="exact"/>
        <w:ind w:firstLine="420" w:firstLineChars="200"/>
        <w:rPr>
          <w:rFonts w:ascii="宋体" w:hAnsi="宋体"/>
          <w:color w:val="auto"/>
          <w:highlight w:val="none"/>
        </w:rPr>
      </w:pPr>
      <w:r>
        <w:rPr>
          <w:rFonts w:hint="eastAsia" w:ascii="宋体" w:hAnsi="宋体"/>
          <w:color w:val="auto"/>
          <w:highlight w:val="none"/>
        </w:rPr>
        <w:t>第五部分</w:t>
      </w:r>
      <w:r>
        <w:rPr>
          <w:rFonts w:ascii="宋体" w:hAnsi="宋体"/>
          <w:color w:val="auto"/>
          <w:highlight w:val="none"/>
        </w:rPr>
        <w:t xml:space="preserve">  </w:t>
      </w:r>
      <w:r>
        <w:rPr>
          <w:rFonts w:hint="eastAsia" w:ascii="宋体" w:hAnsi="宋体"/>
          <w:color w:val="auto"/>
          <w:highlight w:val="none"/>
        </w:rPr>
        <w:t>合同条款及合同格式</w:t>
      </w:r>
    </w:p>
    <w:p w14:paraId="56140750">
      <w:pPr>
        <w:spacing w:line="400" w:lineRule="exact"/>
        <w:ind w:firstLine="420" w:firstLineChars="200"/>
        <w:rPr>
          <w:rFonts w:ascii="宋体" w:hAnsi="宋体"/>
          <w:color w:val="auto"/>
          <w:highlight w:val="none"/>
        </w:rPr>
      </w:pPr>
      <w:r>
        <w:rPr>
          <w:rFonts w:hint="eastAsia" w:ascii="宋体" w:hAnsi="宋体"/>
          <w:color w:val="auto"/>
          <w:highlight w:val="none"/>
        </w:rPr>
        <w:t>第六部分  投标文件格式</w:t>
      </w:r>
    </w:p>
    <w:p w14:paraId="63635363">
      <w:pPr>
        <w:spacing w:line="400" w:lineRule="exact"/>
        <w:ind w:firstLine="420" w:firstLineChars="200"/>
        <w:rPr>
          <w:rFonts w:ascii="宋体" w:hAnsi="宋体"/>
          <w:color w:val="auto"/>
          <w:highlight w:val="none"/>
        </w:rPr>
      </w:pPr>
      <w:r>
        <w:rPr>
          <w:rFonts w:hint="eastAsia" w:ascii="宋体" w:hAnsi="宋体"/>
          <w:color w:val="auto"/>
          <w:highlight w:val="none"/>
        </w:rPr>
        <w:t>第七部分  本项目招标文件的澄清、答复、修改、补充的内容（如有）</w:t>
      </w:r>
    </w:p>
    <w:p w14:paraId="1D0B8D1A">
      <w:pPr>
        <w:spacing w:line="400" w:lineRule="exact"/>
        <w:rPr>
          <w:rFonts w:ascii="宋体" w:hAnsi="宋体"/>
          <w:b/>
          <w:bCs/>
          <w:color w:val="auto"/>
          <w:sz w:val="24"/>
          <w:highlight w:val="none"/>
        </w:rPr>
      </w:pPr>
      <w:r>
        <w:rPr>
          <w:rFonts w:hint="eastAsia" w:ascii="宋体" w:hAnsi="宋体"/>
          <w:b/>
          <w:bCs/>
          <w:color w:val="auto"/>
          <w:sz w:val="24"/>
          <w:highlight w:val="none"/>
        </w:rPr>
        <w:t>（二）投标人的风险</w:t>
      </w:r>
    </w:p>
    <w:p w14:paraId="77E5AA46">
      <w:pPr>
        <w:spacing w:line="400" w:lineRule="exact"/>
        <w:ind w:firstLine="420" w:firstLineChars="200"/>
        <w:rPr>
          <w:rFonts w:ascii="宋体" w:hAnsi="宋体"/>
          <w:color w:val="auto"/>
          <w:highlight w:val="none"/>
        </w:rPr>
      </w:pPr>
      <w:r>
        <w:rPr>
          <w:rFonts w:hint="eastAsia" w:ascii="宋体" w:hAnsi="宋体"/>
          <w:color w:val="auto"/>
          <w:highlight w:val="none"/>
        </w:rPr>
        <w:t>投标人没有按照招标文件要求提供全部资料，或者投标人没有对招标文件在各方面作出实质性响应是投标人的风险，并可能导致其投标被拒绝。</w:t>
      </w:r>
    </w:p>
    <w:p w14:paraId="1426DDD7">
      <w:pPr>
        <w:spacing w:line="400" w:lineRule="exact"/>
        <w:rPr>
          <w:rFonts w:ascii="宋体" w:hAnsi="宋体"/>
          <w:b/>
          <w:bCs/>
          <w:color w:val="auto"/>
          <w:sz w:val="24"/>
          <w:highlight w:val="none"/>
        </w:rPr>
      </w:pPr>
      <w:r>
        <w:rPr>
          <w:rFonts w:hint="eastAsia" w:ascii="宋体" w:hAnsi="宋体"/>
          <w:b/>
          <w:bCs/>
          <w:color w:val="auto"/>
          <w:sz w:val="24"/>
          <w:highlight w:val="none"/>
        </w:rPr>
        <w:t>（三）招标文件的澄清与修改</w:t>
      </w:r>
    </w:p>
    <w:p w14:paraId="68BB3FD2">
      <w:pPr>
        <w:spacing w:line="400" w:lineRule="exact"/>
        <w:ind w:firstLine="420" w:firstLineChars="200"/>
        <w:rPr>
          <w:rFonts w:ascii="宋体" w:hAnsi="宋体"/>
          <w:color w:val="auto"/>
          <w:highlight w:val="none"/>
        </w:rPr>
      </w:pPr>
      <w:r>
        <w:rPr>
          <w:rFonts w:hint="eastAsia" w:ascii="宋体" w:hAnsi="宋体"/>
          <w:color w:val="auto"/>
          <w:highlight w:val="none"/>
        </w:rPr>
        <w:t>1.采购人或者采购代理机构对招标文件进行必要的澄清或者修改的，澄清或者修改在原公告发布媒体上发布澄清公告。澄清或者修改的内容可能影响投标文件编制的，将在招标公告规定的投标截止时间至少15日前，以书面形式通知所有获取招标文件的潜在投标人；不足15日的，顺延提交投标文件的截止时间。</w:t>
      </w:r>
    </w:p>
    <w:p w14:paraId="2AE441A0">
      <w:pPr>
        <w:spacing w:line="400" w:lineRule="exact"/>
        <w:ind w:firstLine="420" w:firstLineChars="200"/>
        <w:rPr>
          <w:rFonts w:ascii="宋体" w:hAnsi="宋体"/>
          <w:color w:val="auto"/>
          <w:highlight w:val="none"/>
        </w:rPr>
      </w:pPr>
      <w:r>
        <w:rPr>
          <w:rFonts w:hint="eastAsia" w:ascii="宋体" w:hAnsi="宋体"/>
          <w:color w:val="auto"/>
          <w:highlight w:val="none"/>
        </w:rPr>
        <w:t>2.澄清公告为招标文件的组成部分，一经在网站发布，视同已通知所有招标文件的收受人，不再采用其它方式传达相关信息, 若因未能及时了解到上述网站上发布的相关信息而导致的一切后果自行承担。</w:t>
      </w:r>
    </w:p>
    <w:p w14:paraId="6E317083">
      <w:pPr>
        <w:spacing w:line="400" w:lineRule="exact"/>
        <w:ind w:firstLine="420" w:firstLineChars="200"/>
        <w:rPr>
          <w:rFonts w:ascii="宋体" w:hAnsi="宋体"/>
          <w:color w:val="auto"/>
          <w:highlight w:val="none"/>
        </w:rPr>
      </w:pPr>
      <w:r>
        <w:rPr>
          <w:rFonts w:hint="eastAsia" w:ascii="宋体" w:hAnsi="宋体"/>
          <w:color w:val="auto"/>
          <w:highlight w:val="none"/>
        </w:rPr>
        <w:t>3.招标文件澄清、答复、修改、补充的内容为招标文件的组成部分。当招标文件与招标文件的答复、澄清、修改、补充通知就同一内容的表述不一致时，以最后发出的书面文件为准。</w:t>
      </w:r>
    </w:p>
    <w:p w14:paraId="694B0109">
      <w:pPr>
        <w:spacing w:line="400" w:lineRule="exact"/>
        <w:ind w:firstLine="420" w:firstLineChars="200"/>
        <w:rPr>
          <w:rFonts w:ascii="宋体" w:hAnsi="宋体"/>
          <w:color w:val="auto"/>
          <w:highlight w:val="none"/>
        </w:rPr>
      </w:pPr>
      <w:r>
        <w:rPr>
          <w:rFonts w:hint="eastAsia" w:ascii="宋体" w:hAnsi="宋体"/>
          <w:color w:val="auto"/>
          <w:highlight w:val="none"/>
        </w:rPr>
        <w:t>4.招标文件的澄清、答复、修改或补充都应该通过本代理机构以法定形式发布，采购人非通过本机构，不得擅自澄清、答复、修改或补充招标文件。</w:t>
      </w:r>
    </w:p>
    <w:p w14:paraId="6CE4945B">
      <w:pPr>
        <w:spacing w:line="520" w:lineRule="exact"/>
        <w:jc w:val="center"/>
        <w:rPr>
          <w:rFonts w:ascii="宋体" w:hAnsi="宋体"/>
          <w:b/>
          <w:bCs/>
          <w:color w:val="auto"/>
          <w:sz w:val="32"/>
          <w:highlight w:val="none"/>
        </w:rPr>
      </w:pPr>
      <w:r>
        <w:rPr>
          <w:rFonts w:hint="eastAsia" w:ascii="宋体" w:hAnsi="宋体"/>
          <w:b/>
          <w:bCs/>
          <w:color w:val="auto"/>
          <w:sz w:val="32"/>
          <w:highlight w:val="none"/>
        </w:rPr>
        <w:t>三、投标文件的编制</w:t>
      </w:r>
    </w:p>
    <w:p w14:paraId="72D6C9F8">
      <w:pPr>
        <w:spacing w:line="400" w:lineRule="exact"/>
        <w:rPr>
          <w:rFonts w:ascii="宋体" w:hAnsi="宋体"/>
          <w:b/>
          <w:bCs/>
          <w:color w:val="auto"/>
          <w:sz w:val="24"/>
          <w:highlight w:val="none"/>
        </w:rPr>
      </w:pPr>
      <w:r>
        <w:rPr>
          <w:rFonts w:hint="eastAsia" w:ascii="宋体" w:hAnsi="宋体"/>
          <w:b/>
          <w:bCs/>
          <w:color w:val="auto"/>
          <w:sz w:val="24"/>
          <w:highlight w:val="none"/>
        </w:rPr>
        <w:t>（一）投标文件的组成（资格证明文件、报价及商务技术文件组成），其中电子投标文件中所须加盖公章部分均采用CA签章。</w:t>
      </w:r>
    </w:p>
    <w:p w14:paraId="11A7AA60">
      <w:pPr>
        <w:spacing w:line="400" w:lineRule="exact"/>
        <w:rPr>
          <w:rFonts w:ascii="宋体" w:hAnsi="宋体"/>
          <w:b/>
          <w:color w:val="auto"/>
          <w:highlight w:val="none"/>
        </w:rPr>
      </w:pPr>
      <w:r>
        <w:rPr>
          <w:rFonts w:hint="eastAsia" w:ascii="宋体" w:hAnsi="宋体"/>
          <w:b/>
          <w:color w:val="auto"/>
          <w:highlight w:val="none"/>
        </w:rPr>
        <w:t>1.资格证明文件：</w:t>
      </w:r>
    </w:p>
    <w:p w14:paraId="4CAE2D1B">
      <w:pPr>
        <w:spacing w:line="400" w:lineRule="exact"/>
        <w:rPr>
          <w:rFonts w:ascii="宋体" w:hAnsi="宋体"/>
          <w:color w:val="auto"/>
          <w:highlight w:val="none"/>
        </w:rPr>
      </w:pPr>
      <w:r>
        <w:rPr>
          <w:rFonts w:hint="eastAsia" w:ascii="宋体" w:hAnsi="宋体"/>
          <w:color w:val="auto"/>
          <w:highlight w:val="none"/>
        </w:rPr>
        <w:t>（1）投标人资格条件自查表（格式见附件1）；</w:t>
      </w:r>
    </w:p>
    <w:p w14:paraId="2C179752">
      <w:pPr>
        <w:spacing w:line="400" w:lineRule="exact"/>
        <w:rPr>
          <w:rFonts w:ascii="宋体" w:hAnsi="宋体"/>
          <w:color w:val="auto"/>
          <w:highlight w:val="none"/>
        </w:rPr>
      </w:pPr>
      <w:r>
        <w:rPr>
          <w:rFonts w:hint="eastAsia" w:ascii="宋体" w:hAnsi="宋体"/>
          <w:color w:val="auto"/>
          <w:highlight w:val="none"/>
        </w:rPr>
        <w:t>（2）投标人资格声明函（格式见附件2）；</w:t>
      </w:r>
    </w:p>
    <w:p w14:paraId="0069A634">
      <w:pPr>
        <w:spacing w:line="400" w:lineRule="exact"/>
        <w:rPr>
          <w:rFonts w:ascii="宋体" w:hAnsi="宋体"/>
          <w:color w:val="auto"/>
          <w:highlight w:val="none"/>
        </w:rPr>
      </w:pPr>
      <w:r>
        <w:rPr>
          <w:rFonts w:hint="eastAsia" w:ascii="宋体" w:hAnsi="宋体"/>
          <w:color w:val="auto"/>
          <w:highlight w:val="none"/>
        </w:rPr>
        <w:t>（3）法定代表人身份证明书或法定代表人授权书（格式见附件3）；</w:t>
      </w:r>
    </w:p>
    <w:p w14:paraId="5CB7A459">
      <w:pPr>
        <w:spacing w:line="400" w:lineRule="exact"/>
        <w:rPr>
          <w:rFonts w:hint="eastAsia" w:ascii="宋体" w:hAnsi="宋体" w:cs="Times New Roman"/>
          <w:color w:val="auto"/>
          <w:highlight w:val="none"/>
        </w:rPr>
      </w:pPr>
      <w:r>
        <w:rPr>
          <w:rFonts w:hint="eastAsia" w:ascii="宋体" w:hAnsi="宋体"/>
          <w:color w:val="auto"/>
          <w:highlight w:val="none"/>
        </w:rPr>
        <w:t>（4）有效的企业法人营业执照（或事业法人登记证）、其他组织（个体工商户）的营业执照或者民办</w:t>
      </w:r>
      <w:r>
        <w:rPr>
          <w:rFonts w:hint="eastAsia" w:ascii="宋体" w:hAnsi="宋体" w:cs="Times New Roman"/>
          <w:color w:val="auto"/>
          <w:highlight w:val="none"/>
        </w:rPr>
        <w:t>非企业单位登记证书复印件（复印件加盖公章）；（供应商如果有名称变更的，应提供由行政主管部门出具的变更证明文件复印件加盖供应商公章）；</w:t>
      </w:r>
    </w:p>
    <w:p w14:paraId="5830A67A">
      <w:pPr>
        <w:spacing w:line="400" w:lineRule="exact"/>
        <w:rPr>
          <w:rFonts w:hint="eastAsia" w:ascii="宋体" w:hAnsi="宋体" w:cs="Times New Roman"/>
          <w:color w:val="auto"/>
          <w:highlight w:val="none"/>
        </w:rPr>
      </w:pPr>
      <w:r>
        <w:rPr>
          <w:rFonts w:hint="eastAsia" w:ascii="宋体" w:hAnsi="宋体" w:cs="Times New Roman"/>
          <w:color w:val="auto"/>
          <w:highlight w:val="none"/>
          <w:lang w:eastAsia="zh-CN"/>
        </w:rPr>
        <w:t>（</w:t>
      </w:r>
      <w:r>
        <w:rPr>
          <w:rFonts w:hint="eastAsia" w:ascii="宋体" w:hAnsi="宋体" w:cs="Times New Roman"/>
          <w:color w:val="auto"/>
          <w:highlight w:val="none"/>
          <w:lang w:val="en-US" w:eastAsia="zh-CN"/>
        </w:rPr>
        <w:t>5）有效期内的乙级及以上测绘资质复印件（</w:t>
      </w:r>
      <w:r>
        <w:rPr>
          <w:rFonts w:hint="eastAsia" w:ascii="宋体" w:hAnsi="宋体" w:cs="Times New Roman"/>
          <w:color w:val="auto"/>
          <w:highlight w:val="none"/>
        </w:rPr>
        <w:t>复印件加盖公章）；</w:t>
      </w:r>
    </w:p>
    <w:p w14:paraId="29884D1B">
      <w:pPr>
        <w:spacing w:line="400" w:lineRule="exact"/>
        <w:rPr>
          <w:rFonts w:hint="eastAsia" w:ascii="宋体" w:hAnsi="宋体" w:cs="Times New Roman"/>
          <w:color w:val="auto"/>
          <w:highlight w:val="none"/>
          <w:lang w:val="en-US" w:eastAsia="zh-CN"/>
        </w:rPr>
      </w:pPr>
      <w:r>
        <w:rPr>
          <w:rFonts w:hint="eastAsia" w:ascii="宋体" w:hAnsi="宋体" w:cs="Times New Roman"/>
          <w:color w:val="auto"/>
          <w:highlight w:val="none"/>
          <w:lang w:eastAsia="zh-CN"/>
        </w:rPr>
        <w:t>（</w:t>
      </w:r>
      <w:r>
        <w:rPr>
          <w:rFonts w:hint="eastAsia" w:ascii="宋体" w:hAnsi="宋体" w:cs="Times New Roman"/>
          <w:color w:val="auto"/>
          <w:highlight w:val="none"/>
          <w:lang w:val="en-US" w:eastAsia="zh-CN"/>
        </w:rPr>
        <w:t>6）中小企业声明函（格式见附件4）；</w:t>
      </w:r>
    </w:p>
    <w:p w14:paraId="765B1260">
      <w:pPr>
        <w:spacing w:line="400" w:lineRule="exact"/>
        <w:rPr>
          <w:rFonts w:hint="default" w:ascii="宋体" w:hAnsi="宋体" w:cs="Times New Roman"/>
          <w:color w:val="auto"/>
          <w:highlight w:val="none"/>
          <w:lang w:val="en-US" w:eastAsia="zh-CN"/>
        </w:rPr>
      </w:pPr>
      <w:r>
        <w:rPr>
          <w:rFonts w:hint="eastAsia" w:ascii="宋体" w:hAnsi="宋体" w:cs="Times New Roman"/>
          <w:color w:val="auto"/>
          <w:highlight w:val="none"/>
          <w:lang w:val="en-US" w:eastAsia="zh-CN"/>
        </w:rPr>
        <w:t>（7）残疾人福利性单位声明函（</w:t>
      </w:r>
      <w:r>
        <w:rPr>
          <w:rFonts w:hint="eastAsia" w:ascii="宋体" w:hAnsi="宋体" w:cs="Times New Roman"/>
          <w:color w:val="auto"/>
          <w:highlight w:val="none"/>
        </w:rPr>
        <w:t>格式见附件</w:t>
      </w:r>
      <w:r>
        <w:rPr>
          <w:rFonts w:hint="eastAsia" w:ascii="宋体" w:hAnsi="宋体" w:cs="Times New Roman"/>
          <w:color w:val="auto"/>
          <w:highlight w:val="none"/>
          <w:lang w:val="en-US" w:eastAsia="zh-CN"/>
        </w:rPr>
        <w:t>5</w:t>
      </w:r>
      <w:r>
        <w:rPr>
          <w:rFonts w:hint="eastAsia" w:ascii="宋体" w:hAnsi="宋体" w:cs="Times New Roman"/>
          <w:color w:val="auto"/>
          <w:highlight w:val="none"/>
        </w:rPr>
        <w:t>，如符合请提供</w:t>
      </w:r>
      <w:r>
        <w:rPr>
          <w:rFonts w:hint="eastAsia" w:ascii="宋体" w:hAnsi="宋体" w:cs="Times New Roman"/>
          <w:color w:val="auto"/>
          <w:highlight w:val="none"/>
          <w:lang w:val="en-US" w:eastAsia="zh-CN"/>
        </w:rPr>
        <w:t>）；</w:t>
      </w:r>
    </w:p>
    <w:p w14:paraId="079F1EE9">
      <w:pPr>
        <w:spacing w:line="400" w:lineRule="exact"/>
        <w:rPr>
          <w:rFonts w:hint="eastAsia" w:ascii="宋体" w:hAnsi="宋体" w:cs="Times New Roman"/>
          <w:color w:val="auto"/>
          <w:highlight w:val="none"/>
        </w:rPr>
      </w:pPr>
      <w:r>
        <w:rPr>
          <w:rFonts w:hint="eastAsia" w:ascii="宋体" w:hAnsi="宋体" w:cs="Times New Roman"/>
          <w:color w:val="auto"/>
          <w:highlight w:val="none"/>
          <w:lang w:eastAsia="zh-CN"/>
        </w:rPr>
        <w:t>（</w:t>
      </w:r>
      <w:r>
        <w:rPr>
          <w:rFonts w:hint="eastAsia" w:ascii="宋体" w:hAnsi="宋体" w:cs="Times New Roman"/>
          <w:color w:val="auto"/>
          <w:highlight w:val="none"/>
          <w:lang w:val="en-US" w:eastAsia="zh-CN"/>
        </w:rPr>
        <w:t>6）</w:t>
      </w:r>
      <w:r>
        <w:rPr>
          <w:rFonts w:hint="eastAsia" w:ascii="宋体" w:hAnsi="宋体" w:cs="Times New Roman"/>
          <w:color w:val="auto"/>
          <w:highlight w:val="none"/>
        </w:rPr>
        <w:t>投标人认为需要提供的其他资格证明材料（复印件加盖公章）。</w:t>
      </w:r>
    </w:p>
    <w:p w14:paraId="376574EF">
      <w:pPr>
        <w:spacing w:line="400" w:lineRule="exact"/>
        <w:rPr>
          <w:rFonts w:ascii="宋体" w:hAnsi="宋体"/>
          <w:color w:val="auto"/>
          <w:highlight w:val="none"/>
        </w:rPr>
      </w:pPr>
      <w:r>
        <w:rPr>
          <w:rFonts w:hint="eastAsia" w:ascii="宋体" w:hAnsi="宋体"/>
          <w:b/>
          <w:color w:val="auto"/>
          <w:highlight w:val="none"/>
        </w:rPr>
        <w:t>2.报价文件：</w:t>
      </w:r>
    </w:p>
    <w:p w14:paraId="732425BF">
      <w:pPr>
        <w:spacing w:line="400" w:lineRule="exact"/>
        <w:rPr>
          <w:rFonts w:ascii="宋体" w:hAnsi="宋体"/>
          <w:color w:val="auto"/>
          <w:highlight w:val="none"/>
        </w:rPr>
      </w:pPr>
      <w:r>
        <w:rPr>
          <w:rFonts w:hint="eastAsia" w:ascii="宋体" w:hAnsi="宋体"/>
          <w:color w:val="auto"/>
          <w:highlight w:val="none"/>
        </w:rPr>
        <w:t>（1）投标函（格式见附件</w:t>
      </w:r>
      <w:r>
        <w:rPr>
          <w:rFonts w:hint="eastAsia" w:ascii="宋体" w:hAnsi="宋体"/>
          <w:color w:val="auto"/>
          <w:highlight w:val="none"/>
          <w:lang w:val="en-US" w:eastAsia="zh-CN"/>
        </w:rPr>
        <w:t>6</w:t>
      </w:r>
      <w:r>
        <w:rPr>
          <w:rFonts w:hint="eastAsia" w:ascii="宋体" w:hAnsi="宋体"/>
          <w:color w:val="auto"/>
          <w:highlight w:val="none"/>
        </w:rPr>
        <w:t>）；</w:t>
      </w:r>
    </w:p>
    <w:p w14:paraId="4BC8DB21">
      <w:pPr>
        <w:spacing w:line="400" w:lineRule="exact"/>
        <w:rPr>
          <w:rFonts w:ascii="宋体" w:hAnsi="宋体"/>
          <w:color w:val="auto"/>
          <w:highlight w:val="none"/>
        </w:rPr>
      </w:pPr>
      <w:r>
        <w:rPr>
          <w:rFonts w:hint="eastAsia" w:ascii="宋体" w:hAnsi="宋体"/>
          <w:color w:val="auto"/>
          <w:highlight w:val="none"/>
        </w:rPr>
        <w:t>（2）开标一览表（格式见附件</w:t>
      </w:r>
      <w:r>
        <w:rPr>
          <w:rFonts w:hint="eastAsia" w:ascii="宋体" w:hAnsi="宋体"/>
          <w:color w:val="auto"/>
          <w:highlight w:val="none"/>
          <w:lang w:val="en-US" w:eastAsia="zh-CN"/>
        </w:rPr>
        <w:t>7</w:t>
      </w:r>
      <w:r>
        <w:rPr>
          <w:rFonts w:hint="eastAsia" w:ascii="宋体" w:hAnsi="宋体"/>
          <w:color w:val="auto"/>
          <w:highlight w:val="none"/>
        </w:rPr>
        <w:t>）；</w:t>
      </w:r>
    </w:p>
    <w:p w14:paraId="5B1430BF">
      <w:pPr>
        <w:spacing w:line="400" w:lineRule="exact"/>
        <w:rPr>
          <w:rFonts w:hint="eastAsia" w:ascii="宋体" w:hAnsi="宋体"/>
          <w:color w:val="auto"/>
          <w:highlight w:val="none"/>
        </w:rPr>
      </w:pPr>
      <w:r>
        <w:rPr>
          <w:rFonts w:hint="eastAsia" w:ascii="宋体" w:hAnsi="宋体"/>
          <w:color w:val="auto"/>
          <w:highlight w:val="none"/>
        </w:rPr>
        <w:t>（3）投标报价明细表（格式见附件</w:t>
      </w:r>
      <w:r>
        <w:rPr>
          <w:rFonts w:hint="eastAsia" w:ascii="宋体" w:hAnsi="宋体"/>
          <w:color w:val="auto"/>
          <w:highlight w:val="none"/>
          <w:lang w:val="en-US" w:eastAsia="zh-CN"/>
        </w:rPr>
        <w:t>8</w:t>
      </w:r>
      <w:r>
        <w:rPr>
          <w:rFonts w:hint="eastAsia" w:ascii="宋体" w:hAnsi="宋体"/>
          <w:color w:val="auto"/>
          <w:highlight w:val="none"/>
        </w:rPr>
        <w:t>）；</w:t>
      </w:r>
    </w:p>
    <w:p w14:paraId="4B8C8F8B">
      <w:pPr>
        <w:spacing w:line="400" w:lineRule="exact"/>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4</w:t>
      </w:r>
      <w:r>
        <w:rPr>
          <w:rFonts w:hint="eastAsia" w:ascii="宋体" w:hAnsi="宋体"/>
          <w:color w:val="auto"/>
          <w:highlight w:val="none"/>
        </w:rPr>
        <w:t>）投标人针对报价需要说明的其他文件和说明。</w:t>
      </w:r>
    </w:p>
    <w:p w14:paraId="0BDA3D55">
      <w:pPr>
        <w:spacing w:line="400" w:lineRule="exact"/>
        <w:rPr>
          <w:rFonts w:ascii="宋体" w:hAnsi="宋体"/>
          <w:color w:val="auto"/>
          <w:highlight w:val="none"/>
        </w:rPr>
      </w:pP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.商务技术文件：</w:t>
      </w:r>
    </w:p>
    <w:p w14:paraId="25105C16">
      <w:pPr>
        <w:spacing w:line="400" w:lineRule="exact"/>
        <w:rPr>
          <w:rFonts w:ascii="宋体" w:hAnsi="宋体"/>
          <w:color w:val="auto"/>
          <w:highlight w:val="none"/>
        </w:rPr>
      </w:pPr>
      <w:r>
        <w:rPr>
          <w:rFonts w:hint="eastAsia" w:ascii="宋体" w:hAnsi="宋体"/>
          <w:color w:val="auto"/>
          <w:highlight w:val="none"/>
        </w:rPr>
        <w:t>（1）</w:t>
      </w:r>
      <w:r>
        <w:rPr>
          <w:rFonts w:hint="eastAsia" w:ascii="宋体" w:hAnsi="宋体" w:cs="宋体"/>
          <w:color w:val="auto"/>
          <w:szCs w:val="21"/>
          <w:highlight w:val="none"/>
        </w:rPr>
        <w:t>投标人符合性自查表（</w:t>
      </w:r>
      <w:r>
        <w:rPr>
          <w:rFonts w:hint="eastAsia" w:ascii="宋体" w:hAnsi="宋体"/>
          <w:color w:val="auto"/>
          <w:highlight w:val="none"/>
        </w:rPr>
        <w:t>格式见附件</w:t>
      </w:r>
      <w:r>
        <w:rPr>
          <w:rFonts w:hint="eastAsia" w:ascii="宋体" w:hAnsi="宋体"/>
          <w:color w:val="auto"/>
          <w:highlight w:val="none"/>
          <w:lang w:val="en-US" w:eastAsia="zh-CN"/>
        </w:rPr>
        <w:t>9</w:t>
      </w:r>
      <w:r>
        <w:rPr>
          <w:rFonts w:hint="eastAsia" w:ascii="宋体" w:hAnsi="宋体" w:cs="宋体"/>
          <w:color w:val="auto"/>
          <w:szCs w:val="21"/>
          <w:highlight w:val="none"/>
        </w:rPr>
        <w:t>）；</w:t>
      </w:r>
    </w:p>
    <w:p w14:paraId="64ECA11D">
      <w:pPr>
        <w:spacing w:line="400" w:lineRule="exact"/>
        <w:rPr>
          <w:rFonts w:ascii="宋体" w:hAnsi="宋体"/>
          <w:color w:val="auto"/>
          <w:highlight w:val="none"/>
        </w:rPr>
      </w:pPr>
      <w:r>
        <w:rPr>
          <w:rFonts w:hint="eastAsia" w:ascii="宋体" w:hAnsi="宋体"/>
          <w:color w:val="auto"/>
          <w:highlight w:val="none"/>
        </w:rPr>
        <w:t>（2）技术及服务条款偏离表（格式见附件</w:t>
      </w:r>
      <w:r>
        <w:rPr>
          <w:rFonts w:hint="eastAsia" w:ascii="宋体" w:hAnsi="宋体"/>
          <w:color w:val="auto"/>
          <w:highlight w:val="none"/>
          <w:lang w:val="en-US" w:eastAsia="zh-CN"/>
        </w:rPr>
        <w:t>10</w:t>
      </w:r>
      <w:r>
        <w:rPr>
          <w:rFonts w:hint="eastAsia" w:ascii="宋体" w:hAnsi="宋体"/>
          <w:color w:val="auto"/>
          <w:highlight w:val="none"/>
        </w:rPr>
        <w:t>）；</w:t>
      </w:r>
    </w:p>
    <w:p w14:paraId="124E6CE2">
      <w:pPr>
        <w:spacing w:line="400" w:lineRule="exact"/>
        <w:rPr>
          <w:rFonts w:ascii="宋体" w:hAnsi="宋体"/>
          <w:color w:val="auto"/>
          <w:highlight w:val="none"/>
        </w:rPr>
      </w:pPr>
      <w:r>
        <w:rPr>
          <w:rFonts w:hint="eastAsia" w:ascii="宋体" w:hAnsi="宋体"/>
          <w:color w:val="auto"/>
          <w:highlight w:val="none"/>
        </w:rPr>
        <w:t>（3）商务条款偏离表（格式见附件</w:t>
      </w:r>
      <w:r>
        <w:rPr>
          <w:rFonts w:hint="eastAsia" w:ascii="宋体" w:hAnsi="宋体"/>
          <w:color w:val="auto"/>
          <w:highlight w:val="none"/>
          <w:lang w:val="en-US" w:eastAsia="zh-CN"/>
        </w:rPr>
        <w:t>11</w:t>
      </w:r>
      <w:r>
        <w:rPr>
          <w:rFonts w:hint="eastAsia" w:ascii="宋体" w:hAnsi="宋体"/>
          <w:color w:val="auto"/>
          <w:highlight w:val="none"/>
        </w:rPr>
        <w:t>）；</w:t>
      </w:r>
    </w:p>
    <w:p w14:paraId="641EEE75">
      <w:pPr>
        <w:spacing w:line="400" w:lineRule="exact"/>
        <w:rPr>
          <w:rFonts w:ascii="宋体" w:hAnsi="宋体"/>
          <w:color w:val="auto"/>
          <w:highlight w:val="none"/>
        </w:rPr>
      </w:pPr>
      <w:r>
        <w:rPr>
          <w:rFonts w:hint="eastAsia" w:ascii="宋体" w:hAnsi="宋体"/>
          <w:color w:val="auto"/>
          <w:highlight w:val="none"/>
        </w:rPr>
        <w:t>（4）项目团队人员配备情况表（格式见附件</w:t>
      </w:r>
      <w:r>
        <w:rPr>
          <w:rFonts w:hint="eastAsia" w:ascii="宋体" w:hAnsi="宋体"/>
          <w:color w:val="auto"/>
          <w:highlight w:val="none"/>
          <w:lang w:val="en-US" w:eastAsia="zh-CN"/>
        </w:rPr>
        <w:t>12</w:t>
      </w:r>
      <w:r>
        <w:rPr>
          <w:rFonts w:hint="eastAsia" w:ascii="宋体" w:hAnsi="宋体"/>
          <w:color w:val="auto"/>
          <w:highlight w:val="none"/>
        </w:rPr>
        <w:t>）；</w:t>
      </w:r>
    </w:p>
    <w:p w14:paraId="7FE20189">
      <w:pPr>
        <w:spacing w:line="400" w:lineRule="exact"/>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5</w:t>
      </w:r>
      <w:r>
        <w:rPr>
          <w:rFonts w:hint="eastAsia" w:ascii="宋体" w:hAnsi="宋体"/>
          <w:color w:val="auto"/>
          <w:highlight w:val="none"/>
        </w:rPr>
        <w:t>）类似项目业绩表（格式见附件</w:t>
      </w:r>
      <w:r>
        <w:rPr>
          <w:rFonts w:hint="eastAsia" w:ascii="宋体" w:hAnsi="宋体"/>
          <w:color w:val="auto"/>
          <w:highlight w:val="none"/>
          <w:lang w:val="en-US" w:eastAsia="zh-CN"/>
        </w:rPr>
        <w:t>13</w:t>
      </w:r>
      <w:r>
        <w:rPr>
          <w:rFonts w:hint="eastAsia" w:ascii="宋体" w:hAnsi="宋体"/>
          <w:color w:val="auto"/>
          <w:highlight w:val="none"/>
        </w:rPr>
        <w:t>）；</w:t>
      </w:r>
    </w:p>
    <w:p w14:paraId="05A31E09">
      <w:pPr>
        <w:spacing w:line="400" w:lineRule="exact"/>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6</w:t>
      </w:r>
      <w:r>
        <w:rPr>
          <w:rFonts w:hint="eastAsia" w:ascii="宋体" w:hAnsi="宋体"/>
          <w:color w:val="auto"/>
          <w:highlight w:val="none"/>
        </w:rPr>
        <w:t>）评分标准或采购文件需要提供的证明材料及文字说明（具体详见评分标准）；</w:t>
      </w:r>
    </w:p>
    <w:p w14:paraId="79A35037">
      <w:pPr>
        <w:spacing w:line="400" w:lineRule="exact"/>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7</w:t>
      </w:r>
      <w:r>
        <w:rPr>
          <w:rFonts w:hint="eastAsia" w:ascii="宋体" w:hAnsi="宋体"/>
          <w:color w:val="auto"/>
          <w:highlight w:val="none"/>
        </w:rPr>
        <w:t>）投标人认为需要提供的其他材料。</w:t>
      </w:r>
    </w:p>
    <w:p w14:paraId="51E9352F">
      <w:pPr>
        <w:spacing w:line="400" w:lineRule="exact"/>
        <w:rPr>
          <w:rFonts w:ascii="宋体" w:hAnsi="宋体"/>
          <w:b/>
          <w:bCs/>
          <w:color w:val="auto"/>
          <w:sz w:val="24"/>
          <w:highlight w:val="none"/>
        </w:rPr>
      </w:pPr>
      <w:r>
        <w:rPr>
          <w:rFonts w:hint="eastAsia" w:ascii="宋体" w:hAnsi="宋体"/>
          <w:b/>
          <w:bCs/>
          <w:color w:val="auto"/>
          <w:sz w:val="24"/>
          <w:highlight w:val="none"/>
        </w:rPr>
        <w:t>（二）投标文件的语言及计量</w:t>
      </w:r>
    </w:p>
    <w:p w14:paraId="624F80D6">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★1.投标文件以及投标人与招标单位就有关投标事宜的所有来往函电，均应以中文汉语书写。除签名、盖章、专用名称等特殊情形外，以中文汉语以外的文字表述的投标文件视同未提供。</w:t>
      </w:r>
    </w:p>
    <w:p w14:paraId="081FD01A">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★2.投标计量单位，招标文件已有明确规定的，使用招标文件规定的计量单位；招标文件没有规定的，应采用中华人民共和国法定计量单位（例如货币单位：人民币元），否则视同未响应。</w:t>
      </w:r>
    </w:p>
    <w:bookmarkEnd w:id="10"/>
    <w:p w14:paraId="24AB432A">
      <w:pPr>
        <w:spacing w:line="400" w:lineRule="exact"/>
        <w:rPr>
          <w:rFonts w:ascii="宋体" w:hAnsi="宋体"/>
          <w:b/>
          <w:bCs/>
          <w:color w:val="auto"/>
          <w:sz w:val="24"/>
          <w:highlight w:val="none"/>
        </w:rPr>
      </w:pPr>
      <w:bookmarkStart w:id="19" w:name="_Toc397325830"/>
      <w:r>
        <w:rPr>
          <w:rFonts w:hint="eastAsia" w:ascii="宋体" w:hAnsi="宋体"/>
          <w:b/>
          <w:bCs/>
          <w:color w:val="auto"/>
          <w:sz w:val="24"/>
          <w:highlight w:val="none"/>
        </w:rPr>
        <w:t>（三）投标报价</w:t>
      </w:r>
      <w:bookmarkEnd w:id="19"/>
    </w:p>
    <w:p w14:paraId="2A42FADC">
      <w:pPr>
        <w:spacing w:line="400" w:lineRule="exact"/>
        <w:rPr>
          <w:rFonts w:ascii="宋体" w:hAnsi="宋体" w:cs="宋体"/>
          <w:color w:val="auto"/>
          <w:szCs w:val="21"/>
          <w:highlight w:val="none"/>
        </w:rPr>
      </w:pPr>
      <w:r>
        <w:rPr>
          <w:rFonts w:hint="eastAsia" w:ascii="宋体" w:hAnsi="宋体" w:cs="宋体"/>
          <w:color w:val="auto"/>
          <w:szCs w:val="21"/>
          <w:highlight w:val="none"/>
        </w:rPr>
        <w:tab/>
      </w:r>
      <w:bookmarkStart w:id="20" w:name="_Toc397325831"/>
      <w:r>
        <w:rPr>
          <w:rFonts w:hint="eastAsia" w:ascii="宋体" w:hAnsi="宋体" w:cs="宋体"/>
          <w:color w:val="auto"/>
          <w:szCs w:val="21"/>
          <w:highlight w:val="none"/>
        </w:rPr>
        <w:t>1.投标报价应按招标文件中相关附表格式填写。</w:t>
      </w:r>
      <w:bookmarkEnd w:id="20"/>
    </w:p>
    <w:p w14:paraId="2E6581F1">
      <w:pPr>
        <w:spacing w:line="400" w:lineRule="exact"/>
        <w:rPr>
          <w:rFonts w:ascii="宋体" w:hAnsi="宋体" w:cs="宋体"/>
          <w:color w:val="auto"/>
          <w:szCs w:val="21"/>
          <w:highlight w:val="none"/>
        </w:rPr>
      </w:pPr>
      <w:r>
        <w:rPr>
          <w:rFonts w:hint="eastAsia" w:ascii="宋体" w:hAnsi="宋体" w:cs="宋体"/>
          <w:color w:val="auto"/>
          <w:szCs w:val="21"/>
          <w:highlight w:val="none"/>
        </w:rPr>
        <w:tab/>
      </w:r>
      <w:bookmarkStart w:id="21" w:name="_Toc397325832"/>
      <w:r>
        <w:rPr>
          <w:rFonts w:hint="eastAsia" w:ascii="宋体" w:hAnsi="宋体" w:cs="宋体"/>
          <w:color w:val="auto"/>
          <w:szCs w:val="21"/>
          <w:highlight w:val="none"/>
        </w:rPr>
        <w:t>★2.报价</w:t>
      </w:r>
      <w:bookmarkEnd w:id="21"/>
      <w:r>
        <w:rPr>
          <w:rFonts w:hint="eastAsia" w:ascii="宋体" w:hAnsi="宋体" w:cs="宋体"/>
          <w:color w:val="auto"/>
          <w:szCs w:val="21"/>
          <w:highlight w:val="none"/>
        </w:rPr>
        <w:t>要求：详见招标文第三部分投标人须知前附表。</w:t>
      </w:r>
    </w:p>
    <w:p w14:paraId="097B7FA0">
      <w:pPr>
        <w:spacing w:line="400" w:lineRule="exact"/>
        <w:rPr>
          <w:rFonts w:ascii="宋体" w:hAnsi="宋体" w:cs="宋体"/>
          <w:color w:val="auto"/>
          <w:szCs w:val="21"/>
          <w:highlight w:val="none"/>
        </w:rPr>
      </w:pPr>
      <w:r>
        <w:rPr>
          <w:rFonts w:hint="eastAsia" w:ascii="宋体" w:hAnsi="宋体" w:cs="宋体"/>
          <w:color w:val="auto"/>
          <w:szCs w:val="21"/>
          <w:highlight w:val="none"/>
        </w:rPr>
        <w:tab/>
      </w:r>
      <w:bookmarkStart w:id="22" w:name="_Toc397325833"/>
      <w:r>
        <w:rPr>
          <w:rFonts w:hint="eastAsia" w:ascii="宋体" w:hAnsi="宋体" w:cs="宋体"/>
          <w:color w:val="auto"/>
          <w:szCs w:val="21"/>
          <w:highlight w:val="none"/>
        </w:rPr>
        <w:t>★3.投标文件针对同一内容只允许有一个报价，有选择的或有条件的报价将不予接受。</w:t>
      </w:r>
      <w:bookmarkEnd w:id="22"/>
    </w:p>
    <w:p w14:paraId="48F96B2F">
      <w:pPr>
        <w:spacing w:line="400" w:lineRule="exact"/>
        <w:rPr>
          <w:rFonts w:ascii="宋体" w:hAnsi="宋体"/>
          <w:b/>
          <w:bCs/>
          <w:color w:val="auto"/>
          <w:sz w:val="24"/>
          <w:highlight w:val="none"/>
        </w:rPr>
      </w:pPr>
      <w:bookmarkStart w:id="23" w:name="_Toc397325834"/>
      <w:r>
        <w:rPr>
          <w:rFonts w:hint="eastAsia" w:ascii="宋体" w:hAnsi="宋体"/>
          <w:b/>
          <w:bCs/>
          <w:color w:val="auto"/>
          <w:sz w:val="24"/>
          <w:highlight w:val="none"/>
        </w:rPr>
        <w:t>（四）投标文件的有效期</w:t>
      </w:r>
      <w:bookmarkEnd w:id="23"/>
    </w:p>
    <w:p w14:paraId="515E3BEC">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★1.自投标截止日起90 天投标文件应保持有效。有效期不足的投标文件将被拒绝。</w:t>
      </w:r>
    </w:p>
    <w:p w14:paraId="710421A7">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2.在特殊情况下，采购人可与投标人协商延长投标书的有效期，这种要求和答复均以书面形式进行。</w:t>
      </w:r>
    </w:p>
    <w:p w14:paraId="5F3972B9">
      <w:pPr>
        <w:spacing w:line="400" w:lineRule="exact"/>
        <w:rPr>
          <w:rFonts w:ascii="宋体" w:hAnsi="宋体" w:cs="宋体"/>
          <w:color w:val="auto"/>
          <w:szCs w:val="21"/>
          <w:highlight w:val="none"/>
        </w:rPr>
      </w:pPr>
      <w:bookmarkStart w:id="24" w:name="_Toc397325836"/>
      <w:r>
        <w:rPr>
          <w:rFonts w:hint="eastAsia" w:ascii="宋体" w:hAnsi="宋体" w:cs="宋体"/>
          <w:color w:val="auto"/>
          <w:szCs w:val="21"/>
          <w:highlight w:val="none"/>
        </w:rPr>
        <w:t xml:space="preserve">    </w:t>
      </w:r>
      <w:r>
        <w:rPr>
          <w:rFonts w:ascii="宋体" w:hAnsi="宋体" w:cs="宋体"/>
          <w:color w:val="auto"/>
          <w:szCs w:val="21"/>
          <w:highlight w:val="none"/>
        </w:rPr>
        <w:t>3</w:t>
      </w:r>
      <w:r>
        <w:rPr>
          <w:rFonts w:hint="eastAsia" w:ascii="宋体" w:hAnsi="宋体" w:cs="宋体"/>
          <w:color w:val="auto"/>
          <w:szCs w:val="21"/>
          <w:highlight w:val="none"/>
        </w:rPr>
        <w:t>.中标人的投标文件自开标之日起至合同履行完毕止均应保持有效。</w:t>
      </w:r>
      <w:bookmarkEnd w:id="24"/>
      <w:bookmarkStart w:id="25" w:name="_Toc397325838"/>
    </w:p>
    <w:p w14:paraId="6B4BADA5">
      <w:pPr>
        <w:spacing w:line="400" w:lineRule="exact"/>
        <w:rPr>
          <w:rFonts w:ascii="宋体" w:hAnsi="宋体"/>
          <w:b/>
          <w:bCs/>
          <w:color w:val="auto"/>
          <w:sz w:val="24"/>
          <w:highlight w:val="none"/>
        </w:rPr>
      </w:pPr>
      <w:r>
        <w:rPr>
          <w:rFonts w:hint="eastAsia" w:ascii="宋体" w:hAnsi="宋体"/>
          <w:b/>
          <w:bCs/>
          <w:color w:val="auto"/>
          <w:sz w:val="24"/>
          <w:highlight w:val="none"/>
        </w:rPr>
        <w:t>（五）投标文件的签署和份数</w:t>
      </w:r>
      <w:bookmarkEnd w:id="25"/>
    </w:p>
    <w:p w14:paraId="43D7156F">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1.投标人应按本招标文件规定的格式和顺序编制、装订投标文件并标注页码，投标文件内容不完整、编排混乱导致投标文件被误读、漏读或者查找不到相关内容的，是投标人的责任。</w:t>
      </w:r>
    </w:p>
    <w:p w14:paraId="0814184B">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2.投标文件的份数：</w:t>
      </w:r>
    </w:p>
    <w:p w14:paraId="125912BC">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本项目实行网上投标，供应商应准备以下投标文件：</w:t>
      </w:r>
    </w:p>
    <w:p w14:paraId="451CB87C">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（1）上传到政府采购云平台的电子投标文件（含资格证明文件、商务技术文件、报价文件）1份。</w:t>
      </w:r>
    </w:p>
    <w:p w14:paraId="1AB544D9">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（2）以U盘存储的电子备份投标文件（含资格证明文件、商务技术文件、报价文件）1份。</w:t>
      </w:r>
    </w:p>
    <w:p w14:paraId="724F34B1">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3.电子投标文件：</w:t>
      </w:r>
    </w:p>
    <w:p w14:paraId="5013DCE2">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3.1供应商应根据政府采购云平台的要求及本招标文件规定的格式和顺序编制电子投标文件并进行关联定位。</w:t>
      </w:r>
    </w:p>
    <w:p w14:paraId="20142618">
      <w:pPr>
        <w:spacing w:line="400" w:lineRule="exact"/>
        <w:rPr>
          <w:rFonts w:ascii="宋体" w:hAnsi="宋体"/>
          <w:b/>
          <w:bCs/>
          <w:color w:val="auto"/>
          <w:sz w:val="24"/>
          <w:highlight w:val="none"/>
        </w:rPr>
      </w:pPr>
      <w:r>
        <w:rPr>
          <w:rFonts w:hint="eastAsia" w:ascii="宋体" w:hAnsi="宋体"/>
          <w:b/>
          <w:bCs/>
          <w:color w:val="auto"/>
          <w:sz w:val="24"/>
          <w:highlight w:val="none"/>
        </w:rPr>
        <w:t>（六）投标文件的包装、递交、修改和撤回</w:t>
      </w:r>
    </w:p>
    <w:p w14:paraId="675DEB9E">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1.以U盘存储的电子备份投标文件用封袋密封后递交。</w:t>
      </w:r>
    </w:p>
    <w:p w14:paraId="3B6A08BB">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2.投标文件的包装封面上应注明供应商名称、供应商地址、投标文件名称(电子备份投标文件)、投标项目名称、项目编号、子包号（如有），并加盖供应商公章。</w:t>
      </w:r>
    </w:p>
    <w:p w14:paraId="61E2DE6B">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3.未按规定密封或标记的电子备份投标文件将被拒绝，由此造成电子备份投标文件被误投或提前拆封的风险由投标人承担。</w:t>
      </w:r>
    </w:p>
    <w:p w14:paraId="18A376E0">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4. 投标人在投标截止时间之前，可以对已提交的电子备份投标文件进行修改或撤回，并书面通知招标采购单位；投标截止时间后，投标人不得撤回、修改投标文件。修改后重新递交的电子备份投标文件应当按本招标文件的要求签署、盖章和密封。</w:t>
      </w:r>
    </w:p>
    <w:p w14:paraId="76181027">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5.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件，将被拒收。</w:t>
      </w:r>
    </w:p>
    <w:p w14:paraId="5E43B132">
      <w:pPr>
        <w:spacing w:line="520" w:lineRule="exact"/>
        <w:jc w:val="center"/>
        <w:rPr>
          <w:rFonts w:ascii="宋体" w:hAnsi="宋体"/>
          <w:b/>
          <w:bCs/>
          <w:color w:val="auto"/>
          <w:sz w:val="32"/>
          <w:highlight w:val="none"/>
        </w:rPr>
      </w:pPr>
      <w:bookmarkStart w:id="26" w:name="_Toc397325839"/>
      <w:r>
        <w:rPr>
          <w:rFonts w:hint="eastAsia" w:ascii="宋体" w:hAnsi="宋体"/>
          <w:b/>
          <w:bCs/>
          <w:color w:val="auto"/>
          <w:sz w:val="32"/>
          <w:highlight w:val="none"/>
        </w:rPr>
        <w:t>四、开标</w:t>
      </w:r>
    </w:p>
    <w:p w14:paraId="39888A4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1、电子招投标开标程序：</w:t>
      </w:r>
    </w:p>
    <w:p w14:paraId="09BB988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（1）投标截止时间后，供应商登录政府采购云平台，用</w:t>
      </w:r>
      <w:r>
        <w:rPr>
          <w:rFonts w:ascii="宋体" w:hAnsi="宋体" w:cs="宋体"/>
          <w:color w:val="auto"/>
          <w:szCs w:val="21"/>
          <w:highlight w:val="none"/>
        </w:rPr>
        <w:t>“</w:t>
      </w:r>
      <w:r>
        <w:rPr>
          <w:rFonts w:hint="eastAsia" w:ascii="宋体" w:hAnsi="宋体" w:cs="宋体"/>
          <w:color w:val="auto"/>
          <w:szCs w:val="21"/>
          <w:highlight w:val="none"/>
        </w:rPr>
        <w:t>项目采购-开标评标</w:t>
      </w:r>
      <w:r>
        <w:rPr>
          <w:rFonts w:ascii="宋体" w:hAnsi="宋体" w:cs="宋体"/>
          <w:color w:val="auto"/>
          <w:szCs w:val="21"/>
          <w:highlight w:val="none"/>
        </w:rPr>
        <w:t>”</w:t>
      </w:r>
      <w:r>
        <w:rPr>
          <w:rFonts w:hint="eastAsia" w:ascii="宋体" w:hAnsi="宋体" w:cs="宋体"/>
          <w:color w:val="auto"/>
          <w:szCs w:val="21"/>
          <w:highlight w:val="none"/>
        </w:rPr>
        <w:t>功能对电子投标文件进行在线解密，在线解密电子投标文件时间为开标时间后30分钟内。</w:t>
      </w:r>
    </w:p>
    <w:p w14:paraId="7B73924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（2）在政府采购云平台开启已解密供应商的“资格证明文件、商务技术文件”，并做开标记录；</w:t>
      </w:r>
      <w:r>
        <w:rPr>
          <w:rFonts w:hint="eastAsia" w:ascii="宋体" w:hAnsi="宋体" w:cs="宋体"/>
          <w:b/>
          <w:bCs/>
          <w:color w:val="auto"/>
          <w:szCs w:val="21"/>
          <w:highlight w:val="none"/>
        </w:rPr>
        <w:t>投标人不足3家的，不得开标；</w:t>
      </w:r>
    </w:p>
    <w:p w14:paraId="3A468D2E">
      <w:pPr>
        <w:spacing w:line="400" w:lineRule="exact"/>
        <w:ind w:firstLine="420" w:firstLineChars="200"/>
        <w:rPr>
          <w:color w:val="auto"/>
          <w:highlight w:val="none"/>
        </w:rPr>
      </w:pPr>
      <w:r>
        <w:rPr>
          <w:rFonts w:hint="eastAsia" w:ascii="宋体" w:hAnsi="宋体" w:cs="宋体"/>
          <w:color w:val="auto"/>
          <w:szCs w:val="21"/>
          <w:highlight w:val="none"/>
        </w:rPr>
        <w:t>（3）对资格和商务技术文件进行评审；</w:t>
      </w:r>
    </w:p>
    <w:p w14:paraId="3B2E7F2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（4）在政府采购云平台宣告评审无效供应商名单、投标无效的原因及其他有效投标的评分结果 ；</w:t>
      </w:r>
    </w:p>
    <w:p w14:paraId="026D935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（5）在政府采购云平台开启已解密供应商的“报价文件”，并作开标记录。通过资格审查和符合性审查的投标人不足3家的，不得开标；</w:t>
      </w:r>
    </w:p>
    <w:p w14:paraId="4F64537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（6）对报价情况进行评审；</w:t>
      </w:r>
    </w:p>
    <w:p w14:paraId="5644889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（7）在政府采购云平台上公布评审结果。</w:t>
      </w:r>
    </w:p>
    <w:p w14:paraId="0D4A1C4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（8）开标会议结束。</w:t>
      </w:r>
    </w:p>
    <w:p w14:paraId="3F6F776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2、特别说明：政府采购云平台如对电子化开标及评审程序有调整的，按调整后的程序操作。</w:t>
      </w:r>
    </w:p>
    <w:p w14:paraId="1411B36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本项目原则上采用政采云电子招投标开标程序，但有以下情形之一的，按以下情况处理：</w:t>
      </w:r>
    </w:p>
    <w:p w14:paraId="22ECBB4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）若有供应商在规定时间内无法解密或解密失败，代理机构将开启该供应商递交的以U盘存储的电子备份投标文件，上传至政采云平台项目采购模块，以完成开标，电子投标文件自动失效。</w:t>
      </w:r>
    </w:p>
    <w:p w14:paraId="40F5C05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（2）采购过程中出现以下情形，导致电子交易平台无法正常运行，或者无法保证电子交易的公平、公正和安全时，采购人（或代理机构）可中止电子交易活动：</w:t>
      </w:r>
    </w:p>
    <w:p w14:paraId="496D8221">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fldChar w:fldCharType="begin"/>
      </w:r>
      <w:r>
        <w:rPr>
          <w:rFonts w:ascii="宋体" w:hAnsi="宋体" w:cs="宋体"/>
          <w:color w:val="auto"/>
          <w:szCs w:val="21"/>
          <w:highlight w:val="none"/>
        </w:rPr>
        <w:instrText xml:space="preserve"> </w:instrText>
      </w:r>
      <w:r>
        <w:rPr>
          <w:rFonts w:hint="eastAsia" w:ascii="宋体" w:hAnsi="宋体" w:cs="宋体"/>
          <w:color w:val="auto"/>
          <w:szCs w:val="21"/>
          <w:highlight w:val="none"/>
        </w:rPr>
        <w:instrText xml:space="preserve">= 1 \* GB3</w:instrText>
      </w:r>
      <w:r>
        <w:rPr>
          <w:rFonts w:ascii="宋体" w:hAnsi="宋体" w:cs="宋体"/>
          <w:color w:val="auto"/>
          <w:szCs w:val="21"/>
          <w:highlight w:val="none"/>
        </w:rPr>
        <w:instrText xml:space="preserve"> </w:instrText>
      </w:r>
      <w:r>
        <w:rPr>
          <w:rFonts w:ascii="宋体" w:hAnsi="宋体" w:cs="宋体"/>
          <w:color w:val="auto"/>
          <w:szCs w:val="21"/>
          <w:highlight w:val="none"/>
        </w:rPr>
        <w:fldChar w:fldCharType="separate"/>
      </w:r>
      <w:r>
        <w:rPr>
          <w:rFonts w:hint="eastAsia" w:ascii="宋体" w:hAnsi="宋体" w:cs="宋体"/>
          <w:color w:val="auto"/>
          <w:szCs w:val="21"/>
          <w:highlight w:val="none"/>
        </w:rPr>
        <w:t>①</w:t>
      </w:r>
      <w:r>
        <w:rPr>
          <w:rFonts w:ascii="宋体" w:hAnsi="宋体" w:cs="宋体"/>
          <w:color w:val="auto"/>
          <w:szCs w:val="21"/>
          <w:highlight w:val="none"/>
        </w:rPr>
        <w:fldChar w:fldCharType="end"/>
      </w:r>
      <w:r>
        <w:rPr>
          <w:rFonts w:hint="eastAsia" w:ascii="宋体" w:hAnsi="宋体" w:cs="宋体"/>
          <w:color w:val="auto"/>
          <w:szCs w:val="21"/>
          <w:highlight w:val="none"/>
        </w:rPr>
        <w:t xml:space="preserve">电子交易平台发生故障而无法登录访问的； </w:t>
      </w:r>
    </w:p>
    <w:p w14:paraId="34F0D5D8">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fldChar w:fldCharType="begin"/>
      </w:r>
      <w:r>
        <w:rPr>
          <w:rFonts w:ascii="宋体" w:hAnsi="宋体" w:cs="宋体"/>
          <w:color w:val="auto"/>
          <w:szCs w:val="21"/>
          <w:highlight w:val="none"/>
        </w:rPr>
        <w:instrText xml:space="preserve"> </w:instrText>
      </w:r>
      <w:r>
        <w:rPr>
          <w:rFonts w:hint="eastAsia" w:ascii="宋体" w:hAnsi="宋体" w:cs="宋体"/>
          <w:color w:val="auto"/>
          <w:szCs w:val="21"/>
          <w:highlight w:val="none"/>
        </w:rPr>
        <w:instrText xml:space="preserve">= 2 \* GB3</w:instrText>
      </w:r>
      <w:r>
        <w:rPr>
          <w:rFonts w:ascii="宋体" w:hAnsi="宋体" w:cs="宋体"/>
          <w:color w:val="auto"/>
          <w:szCs w:val="21"/>
          <w:highlight w:val="none"/>
        </w:rPr>
        <w:instrText xml:space="preserve"> </w:instrText>
      </w:r>
      <w:r>
        <w:rPr>
          <w:rFonts w:ascii="宋体" w:hAnsi="宋体" w:cs="宋体"/>
          <w:color w:val="auto"/>
          <w:szCs w:val="21"/>
          <w:highlight w:val="none"/>
        </w:rPr>
        <w:fldChar w:fldCharType="separate"/>
      </w:r>
      <w:r>
        <w:rPr>
          <w:rFonts w:hint="eastAsia" w:ascii="宋体" w:hAnsi="宋体" w:cs="宋体"/>
          <w:color w:val="auto"/>
          <w:szCs w:val="21"/>
          <w:highlight w:val="none"/>
        </w:rPr>
        <w:t>②</w:t>
      </w:r>
      <w:r>
        <w:rPr>
          <w:rFonts w:ascii="宋体" w:hAnsi="宋体" w:cs="宋体"/>
          <w:color w:val="auto"/>
          <w:szCs w:val="21"/>
          <w:highlight w:val="none"/>
        </w:rPr>
        <w:fldChar w:fldCharType="end"/>
      </w:r>
      <w:r>
        <w:rPr>
          <w:rFonts w:hint="eastAsia" w:ascii="宋体" w:hAnsi="宋体" w:cs="宋体"/>
          <w:color w:val="auto"/>
          <w:szCs w:val="21"/>
          <w:highlight w:val="none"/>
        </w:rPr>
        <w:t>电子交易平台应用或数据库出现错误，不能进行正常操作的；</w:t>
      </w:r>
    </w:p>
    <w:p w14:paraId="4392DA81">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fldChar w:fldCharType="begin"/>
      </w:r>
      <w:r>
        <w:rPr>
          <w:rFonts w:ascii="宋体" w:hAnsi="宋体" w:cs="宋体"/>
          <w:color w:val="auto"/>
          <w:szCs w:val="21"/>
          <w:highlight w:val="none"/>
        </w:rPr>
        <w:instrText xml:space="preserve"> </w:instrText>
      </w:r>
      <w:r>
        <w:rPr>
          <w:rFonts w:hint="eastAsia" w:ascii="宋体" w:hAnsi="宋体" w:cs="宋体"/>
          <w:color w:val="auto"/>
          <w:szCs w:val="21"/>
          <w:highlight w:val="none"/>
        </w:rPr>
        <w:instrText xml:space="preserve">= 3 \* GB3</w:instrText>
      </w:r>
      <w:r>
        <w:rPr>
          <w:rFonts w:ascii="宋体" w:hAnsi="宋体" w:cs="宋体"/>
          <w:color w:val="auto"/>
          <w:szCs w:val="21"/>
          <w:highlight w:val="none"/>
        </w:rPr>
        <w:instrText xml:space="preserve"> </w:instrText>
      </w:r>
      <w:r>
        <w:rPr>
          <w:rFonts w:ascii="宋体" w:hAnsi="宋体" w:cs="宋体"/>
          <w:color w:val="auto"/>
          <w:szCs w:val="21"/>
          <w:highlight w:val="none"/>
        </w:rPr>
        <w:fldChar w:fldCharType="separate"/>
      </w:r>
      <w:r>
        <w:rPr>
          <w:rFonts w:hint="eastAsia" w:ascii="宋体" w:hAnsi="宋体" w:cs="宋体"/>
          <w:color w:val="auto"/>
          <w:szCs w:val="21"/>
          <w:highlight w:val="none"/>
        </w:rPr>
        <w:t>③</w:t>
      </w:r>
      <w:r>
        <w:rPr>
          <w:rFonts w:ascii="宋体" w:hAnsi="宋体" w:cs="宋体"/>
          <w:color w:val="auto"/>
          <w:szCs w:val="21"/>
          <w:highlight w:val="none"/>
        </w:rPr>
        <w:fldChar w:fldCharType="end"/>
      </w:r>
      <w:r>
        <w:rPr>
          <w:rFonts w:hint="eastAsia" w:ascii="宋体" w:hAnsi="宋体" w:cs="宋体"/>
          <w:color w:val="auto"/>
          <w:szCs w:val="21"/>
          <w:highlight w:val="none"/>
        </w:rPr>
        <w:t>电子交易平台发现严重安全漏洞，有潜在泄密危险的；</w:t>
      </w:r>
    </w:p>
    <w:p w14:paraId="2077DD8C">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fldChar w:fldCharType="begin"/>
      </w:r>
      <w:r>
        <w:rPr>
          <w:rFonts w:ascii="宋体" w:hAnsi="宋体" w:cs="宋体"/>
          <w:color w:val="auto"/>
          <w:szCs w:val="21"/>
          <w:highlight w:val="none"/>
        </w:rPr>
        <w:instrText xml:space="preserve"> </w:instrText>
      </w:r>
      <w:r>
        <w:rPr>
          <w:rFonts w:hint="eastAsia" w:ascii="宋体" w:hAnsi="宋体" w:cs="宋体"/>
          <w:color w:val="auto"/>
          <w:szCs w:val="21"/>
          <w:highlight w:val="none"/>
        </w:rPr>
        <w:instrText xml:space="preserve">= 4 \* GB3</w:instrText>
      </w:r>
      <w:r>
        <w:rPr>
          <w:rFonts w:ascii="宋体" w:hAnsi="宋体" w:cs="宋体"/>
          <w:color w:val="auto"/>
          <w:szCs w:val="21"/>
          <w:highlight w:val="none"/>
        </w:rPr>
        <w:instrText xml:space="preserve"> </w:instrText>
      </w:r>
      <w:r>
        <w:rPr>
          <w:rFonts w:ascii="宋体" w:hAnsi="宋体" w:cs="宋体"/>
          <w:color w:val="auto"/>
          <w:szCs w:val="21"/>
          <w:highlight w:val="none"/>
        </w:rPr>
        <w:fldChar w:fldCharType="separate"/>
      </w:r>
      <w:r>
        <w:rPr>
          <w:rFonts w:hint="eastAsia" w:ascii="宋体" w:hAnsi="宋体" w:cs="宋体"/>
          <w:color w:val="auto"/>
          <w:szCs w:val="21"/>
          <w:highlight w:val="none"/>
        </w:rPr>
        <w:t>④</w:t>
      </w:r>
      <w:r>
        <w:rPr>
          <w:rFonts w:ascii="宋体" w:hAnsi="宋体" w:cs="宋体"/>
          <w:color w:val="auto"/>
          <w:szCs w:val="21"/>
          <w:highlight w:val="none"/>
        </w:rPr>
        <w:fldChar w:fldCharType="end"/>
      </w:r>
      <w:r>
        <w:rPr>
          <w:rFonts w:hint="eastAsia" w:ascii="宋体" w:hAnsi="宋体" w:cs="宋体"/>
          <w:color w:val="auto"/>
          <w:szCs w:val="21"/>
          <w:highlight w:val="none"/>
        </w:rPr>
        <w:t xml:space="preserve">病毒发作导致不能进行正常操作的； </w:t>
      </w:r>
    </w:p>
    <w:p w14:paraId="20AF6FAB">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fldChar w:fldCharType="begin"/>
      </w:r>
      <w:r>
        <w:rPr>
          <w:rFonts w:ascii="宋体" w:hAnsi="宋体" w:cs="宋体"/>
          <w:color w:val="auto"/>
          <w:szCs w:val="21"/>
          <w:highlight w:val="none"/>
        </w:rPr>
        <w:instrText xml:space="preserve"> </w:instrText>
      </w:r>
      <w:r>
        <w:rPr>
          <w:rFonts w:hint="eastAsia" w:ascii="宋体" w:hAnsi="宋体" w:cs="宋体"/>
          <w:color w:val="auto"/>
          <w:szCs w:val="21"/>
          <w:highlight w:val="none"/>
        </w:rPr>
        <w:instrText xml:space="preserve">= 5 \* GB3</w:instrText>
      </w:r>
      <w:r>
        <w:rPr>
          <w:rFonts w:ascii="宋体" w:hAnsi="宋体" w:cs="宋体"/>
          <w:color w:val="auto"/>
          <w:szCs w:val="21"/>
          <w:highlight w:val="none"/>
        </w:rPr>
        <w:instrText xml:space="preserve"> </w:instrText>
      </w:r>
      <w:r>
        <w:rPr>
          <w:rFonts w:ascii="宋体" w:hAnsi="宋体" w:cs="宋体"/>
          <w:color w:val="auto"/>
          <w:szCs w:val="21"/>
          <w:highlight w:val="none"/>
        </w:rPr>
        <w:fldChar w:fldCharType="separate"/>
      </w:r>
      <w:r>
        <w:rPr>
          <w:rFonts w:hint="eastAsia" w:ascii="宋体" w:hAnsi="宋体" w:cs="宋体"/>
          <w:color w:val="auto"/>
          <w:szCs w:val="21"/>
          <w:highlight w:val="none"/>
        </w:rPr>
        <w:t>⑤</w:t>
      </w:r>
      <w:r>
        <w:rPr>
          <w:rFonts w:ascii="宋体" w:hAnsi="宋体" w:cs="宋体"/>
          <w:color w:val="auto"/>
          <w:szCs w:val="21"/>
          <w:highlight w:val="none"/>
        </w:rPr>
        <w:fldChar w:fldCharType="end"/>
      </w:r>
      <w:r>
        <w:rPr>
          <w:rFonts w:hint="eastAsia" w:ascii="宋体" w:hAnsi="宋体" w:cs="宋体"/>
          <w:color w:val="auto"/>
          <w:szCs w:val="21"/>
          <w:highlight w:val="none"/>
        </w:rPr>
        <w:t>其他无法保证电子交易的公平、公正和安全的情况。</w:t>
      </w:r>
    </w:p>
    <w:p w14:paraId="6984A5D0">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出现前款规定情形，不影响采购公平、公正性的，采购人（或代理机构）可以待上述情形消除后继续组织电子交易活动。</w:t>
      </w:r>
    </w:p>
    <w:p w14:paraId="45DBAF45">
      <w:pPr>
        <w:spacing w:line="520" w:lineRule="exact"/>
        <w:jc w:val="center"/>
        <w:rPr>
          <w:rFonts w:ascii="宋体" w:hAnsi="宋体"/>
          <w:b/>
          <w:bCs/>
          <w:color w:val="auto"/>
          <w:sz w:val="32"/>
          <w:highlight w:val="none"/>
        </w:rPr>
      </w:pPr>
      <w:r>
        <w:rPr>
          <w:rFonts w:hint="eastAsia" w:ascii="宋体" w:hAnsi="宋体"/>
          <w:b/>
          <w:bCs/>
          <w:color w:val="auto"/>
          <w:sz w:val="32"/>
          <w:highlight w:val="none"/>
        </w:rPr>
        <w:t>五、评标</w:t>
      </w:r>
    </w:p>
    <w:p w14:paraId="0F55237E">
      <w:pPr>
        <w:pStyle w:val="14"/>
        <w:snapToGrid w:val="0"/>
        <w:spacing w:line="400" w:lineRule="exact"/>
        <w:ind w:left="688" w:leftChars="228" w:hanging="210" w:hangingChars="100"/>
        <w:jc w:val="left"/>
        <w:rPr>
          <w:rFonts w:hAnsi="宋体" w:cs="宋体"/>
          <w:b/>
          <w:color w:val="auto"/>
          <w:szCs w:val="21"/>
          <w:highlight w:val="none"/>
        </w:rPr>
      </w:pPr>
      <w:r>
        <w:rPr>
          <w:rFonts w:hint="eastAsia" w:hAnsi="宋体" w:cs="宋体"/>
          <w:b/>
          <w:color w:val="auto"/>
          <w:szCs w:val="21"/>
          <w:highlight w:val="none"/>
        </w:rPr>
        <w:t>（一）组建评标委员会</w:t>
      </w:r>
    </w:p>
    <w:p w14:paraId="541893B0">
      <w:pPr>
        <w:pStyle w:val="14"/>
        <w:spacing w:line="400" w:lineRule="exact"/>
        <w:rPr>
          <w:rFonts w:hAnsi="宋体" w:cs="宋体"/>
          <w:color w:val="auto"/>
          <w:szCs w:val="21"/>
          <w:highlight w:val="none"/>
        </w:rPr>
      </w:pPr>
      <w:r>
        <w:rPr>
          <w:rFonts w:hint="eastAsia" w:hAnsi="宋体" w:cs="宋体"/>
          <w:b/>
          <w:color w:val="auto"/>
          <w:szCs w:val="21"/>
          <w:highlight w:val="none"/>
        </w:rPr>
        <w:t xml:space="preserve">    </w:t>
      </w:r>
      <w:r>
        <w:rPr>
          <w:rFonts w:hint="eastAsia" w:hAnsi="宋体" w:cs="宋体"/>
          <w:color w:val="auto"/>
          <w:szCs w:val="21"/>
          <w:highlight w:val="none"/>
        </w:rPr>
        <w:t>本项目评标委员会依法组建。</w:t>
      </w:r>
    </w:p>
    <w:p w14:paraId="6E7E3CA8">
      <w:pPr>
        <w:pStyle w:val="14"/>
        <w:snapToGrid w:val="0"/>
        <w:spacing w:line="400" w:lineRule="exact"/>
        <w:ind w:left="688" w:leftChars="228" w:hanging="210" w:hangingChars="100"/>
        <w:jc w:val="left"/>
        <w:rPr>
          <w:rFonts w:hAnsi="宋体" w:cs="宋体"/>
          <w:b/>
          <w:color w:val="auto"/>
          <w:szCs w:val="21"/>
          <w:highlight w:val="none"/>
        </w:rPr>
      </w:pPr>
      <w:r>
        <w:rPr>
          <w:rFonts w:hint="eastAsia" w:hAnsi="宋体" w:cs="宋体"/>
          <w:b/>
          <w:color w:val="auto"/>
          <w:szCs w:val="21"/>
          <w:highlight w:val="none"/>
        </w:rPr>
        <w:t>（二）评标的方式</w:t>
      </w:r>
    </w:p>
    <w:p w14:paraId="3AFCB7C5">
      <w:pPr>
        <w:pStyle w:val="14"/>
        <w:snapToGrid w:val="0"/>
        <w:spacing w:line="400" w:lineRule="exact"/>
        <w:ind w:left="688" w:leftChars="228" w:hanging="210" w:hangingChars="100"/>
        <w:jc w:val="left"/>
        <w:rPr>
          <w:rFonts w:hAnsi="宋体" w:cs="宋体"/>
          <w:color w:val="auto"/>
          <w:szCs w:val="21"/>
          <w:highlight w:val="none"/>
        </w:rPr>
      </w:pPr>
      <w:r>
        <w:rPr>
          <w:rFonts w:hint="eastAsia" w:hAnsi="宋体" w:cs="宋体"/>
          <w:color w:val="auto"/>
          <w:szCs w:val="21"/>
          <w:highlight w:val="none"/>
        </w:rPr>
        <w:t>本项目采用不公开方式评标，评标的依据为招标文件和投标文件。</w:t>
      </w:r>
    </w:p>
    <w:p w14:paraId="63030E33">
      <w:pPr>
        <w:pStyle w:val="14"/>
        <w:snapToGrid w:val="0"/>
        <w:spacing w:line="400" w:lineRule="exact"/>
        <w:ind w:left="688" w:leftChars="228" w:hanging="210" w:hangingChars="100"/>
        <w:jc w:val="left"/>
        <w:rPr>
          <w:rFonts w:hAnsi="宋体" w:cs="宋体"/>
          <w:b/>
          <w:color w:val="auto"/>
          <w:szCs w:val="21"/>
          <w:highlight w:val="none"/>
        </w:rPr>
      </w:pPr>
      <w:r>
        <w:rPr>
          <w:rFonts w:hint="eastAsia" w:hAnsi="宋体" w:cs="宋体"/>
          <w:b/>
          <w:color w:val="auto"/>
          <w:szCs w:val="21"/>
          <w:highlight w:val="none"/>
        </w:rPr>
        <w:t>（三）</w:t>
      </w:r>
      <w:r>
        <w:rPr>
          <w:rFonts w:hint="eastAsia" w:hAnsi="宋体" w:cs="宋体"/>
          <w:b/>
          <w:bCs/>
          <w:color w:val="auto"/>
          <w:szCs w:val="21"/>
          <w:highlight w:val="none"/>
        </w:rPr>
        <w:t>评标程序</w:t>
      </w:r>
    </w:p>
    <w:p w14:paraId="0A039394">
      <w:pPr>
        <w:pStyle w:val="14"/>
        <w:snapToGrid w:val="0"/>
        <w:spacing w:line="400" w:lineRule="exact"/>
        <w:ind w:left="688" w:leftChars="228" w:hanging="210" w:hangingChars="100"/>
        <w:jc w:val="left"/>
        <w:rPr>
          <w:rFonts w:hAnsi="宋体" w:cs="宋体"/>
          <w:color w:val="auto"/>
          <w:szCs w:val="21"/>
          <w:highlight w:val="none"/>
        </w:rPr>
      </w:pPr>
      <w:r>
        <w:rPr>
          <w:rFonts w:hint="eastAsia" w:hAnsi="宋体" w:cs="宋体"/>
          <w:color w:val="auto"/>
          <w:szCs w:val="21"/>
          <w:highlight w:val="none"/>
        </w:rPr>
        <w:t>按招标文件评标办法中规定的。</w:t>
      </w:r>
    </w:p>
    <w:p w14:paraId="0D6ABC05">
      <w:pPr>
        <w:spacing w:line="400" w:lineRule="exact"/>
        <w:ind w:firstLine="420" w:firstLineChars="200"/>
        <w:rPr>
          <w:rFonts w:ascii="宋体" w:hAnsi="宋体" w:cs="宋体"/>
          <w:b/>
          <w:color w:val="auto"/>
          <w:szCs w:val="21"/>
          <w:highlight w:val="none"/>
        </w:rPr>
      </w:pPr>
      <w:r>
        <w:rPr>
          <w:rFonts w:hint="eastAsia" w:ascii="宋体" w:hAnsi="宋体" w:cs="宋体"/>
          <w:b/>
          <w:color w:val="auto"/>
          <w:szCs w:val="21"/>
          <w:highlight w:val="none"/>
        </w:rPr>
        <w:t>（四）投标无效的情形</w:t>
      </w:r>
    </w:p>
    <w:p w14:paraId="71F1336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实质上没有响应招标文件要求的投标将被视为无效投标。</w:t>
      </w:r>
    </w:p>
    <w:p w14:paraId="2BC1C0E4">
      <w:pPr>
        <w:spacing w:line="400" w:lineRule="exact"/>
        <w:ind w:firstLine="411" w:firstLineChars="196"/>
        <w:rPr>
          <w:rFonts w:ascii="宋体" w:hAnsi="宋体" w:cs="宋体"/>
          <w:b/>
          <w:bCs/>
          <w:color w:val="auto"/>
          <w:szCs w:val="21"/>
          <w:highlight w:val="none"/>
        </w:rPr>
      </w:pPr>
      <w:r>
        <w:rPr>
          <w:rFonts w:hint="eastAsia" w:ascii="宋体" w:hAnsi="宋体" w:cs="宋体"/>
          <w:b/>
          <w:bCs/>
          <w:color w:val="auto"/>
          <w:szCs w:val="21"/>
          <w:highlight w:val="none"/>
        </w:rPr>
        <w:t>1、资格条件评审时，如发现下列情形之一的，投标文件将被视为无效：</w:t>
      </w:r>
    </w:p>
    <w:p w14:paraId="05069DEE">
      <w:pPr>
        <w:spacing w:line="400" w:lineRule="exact"/>
        <w:ind w:firstLine="735" w:firstLineChars="350"/>
        <w:rPr>
          <w:rFonts w:ascii="宋体" w:hAnsi="宋体" w:cs="宋体"/>
          <w:color w:val="auto"/>
          <w:szCs w:val="21"/>
          <w:highlight w:val="none"/>
        </w:rPr>
      </w:pPr>
      <w:r>
        <w:rPr>
          <w:rFonts w:hint="eastAsia" w:ascii="宋体" w:hAnsi="宋体" w:cs="宋体"/>
          <w:color w:val="auto"/>
          <w:szCs w:val="21"/>
          <w:highlight w:val="none"/>
        </w:rPr>
        <w:t>资格证明文件不全的，或者不符合招标文件标明的资格要求的。</w:t>
      </w:r>
    </w:p>
    <w:p w14:paraId="79381831">
      <w:pPr>
        <w:spacing w:line="400" w:lineRule="exact"/>
        <w:ind w:firstLine="411" w:firstLineChars="196"/>
        <w:rPr>
          <w:rFonts w:ascii="宋体" w:hAnsi="宋体" w:cs="宋体"/>
          <w:b/>
          <w:bCs/>
          <w:color w:val="auto"/>
          <w:szCs w:val="21"/>
          <w:highlight w:val="none"/>
        </w:rPr>
      </w:pPr>
      <w:r>
        <w:rPr>
          <w:rFonts w:hint="eastAsia" w:ascii="宋体" w:hAnsi="宋体" w:cs="宋体"/>
          <w:b/>
          <w:bCs/>
          <w:color w:val="auto"/>
          <w:szCs w:val="21"/>
          <w:highlight w:val="none"/>
        </w:rPr>
        <w:t>2、在符合性审查评审时，如发现下列情形之一的，投标文件将被视为无效：</w:t>
      </w:r>
    </w:p>
    <w:p w14:paraId="2772EA3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w:t>
      </w:r>
      <w:r>
        <w:rPr>
          <w:rFonts w:hint="eastAsia" w:hAnsi="宋体" w:cs="宋体"/>
          <w:bCs/>
          <w:color w:val="auto"/>
          <w:szCs w:val="21"/>
          <w:highlight w:val="none"/>
        </w:rPr>
        <w:t>投标文件未按招标文件要求签署、签章的；</w:t>
      </w:r>
      <w:r>
        <w:rPr>
          <w:rFonts w:hint="eastAsia" w:ascii="宋体" w:hAnsi="宋体" w:cs="宋体"/>
          <w:color w:val="auto"/>
          <w:szCs w:val="21"/>
          <w:highlight w:val="none"/>
        </w:rPr>
        <w:t xml:space="preserve"> </w:t>
      </w:r>
    </w:p>
    <w:p w14:paraId="1B1EC3D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2.2投标代表人未能出具身份证明或与法定代表人（负责人）授权委托人身份不符的或委托人未提供法定代表人（负责人）授权委托书、填写项目不齐全的； </w:t>
      </w:r>
    </w:p>
    <w:p w14:paraId="1683883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2.3投标文件项目不齐全或者内容虚假的；</w:t>
      </w:r>
    </w:p>
    <w:p w14:paraId="2771288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2.4投标文件的实质性内容未使用中文表述、意思表述不明确、前后矛盾或者使用计量单位不符合招标文件要求的（经评标委员会认定并允许其当场更正的笔误除外）；</w:t>
      </w:r>
    </w:p>
    <w:p w14:paraId="277CA6F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2.5投标有效期等商务条款不能满足招标文件要求的；</w:t>
      </w:r>
    </w:p>
    <w:p w14:paraId="15124963">
      <w:pPr>
        <w:spacing w:line="400" w:lineRule="exact"/>
        <w:ind w:left="420"/>
        <w:rPr>
          <w:rFonts w:ascii="宋体" w:hAnsi="宋体" w:cs="宋体"/>
          <w:color w:val="auto"/>
          <w:szCs w:val="21"/>
          <w:highlight w:val="none"/>
        </w:rPr>
      </w:pPr>
      <w:r>
        <w:rPr>
          <w:rFonts w:hint="eastAsia" w:ascii="宋体" w:hAnsi="宋体" w:cs="宋体"/>
          <w:color w:val="auto"/>
          <w:szCs w:val="21"/>
          <w:highlight w:val="none"/>
        </w:rPr>
        <w:t>2.7投标文件标明的响应或偏离与事实不符或虚假投标的；</w:t>
      </w:r>
    </w:p>
    <w:p w14:paraId="1A726A54">
      <w:pPr>
        <w:spacing w:line="400" w:lineRule="exact"/>
        <w:ind w:left="420"/>
        <w:rPr>
          <w:rFonts w:ascii="宋体" w:hAnsi="宋体" w:cs="宋体"/>
          <w:color w:val="auto"/>
          <w:szCs w:val="21"/>
          <w:highlight w:val="none"/>
        </w:rPr>
      </w:pPr>
      <w:r>
        <w:rPr>
          <w:rFonts w:hint="eastAsia" w:ascii="宋体" w:hAnsi="宋体" w:cs="宋体"/>
          <w:color w:val="auto"/>
          <w:szCs w:val="21"/>
          <w:highlight w:val="none"/>
        </w:rPr>
        <w:t>2.8与其他参加本次供应商的投标文件（技术文件）的文字表述内容差错相同3处以上的。</w:t>
      </w:r>
    </w:p>
    <w:p w14:paraId="62EF19DF">
      <w:pPr>
        <w:spacing w:line="400" w:lineRule="exact"/>
        <w:ind w:firstLine="205" w:firstLineChars="98"/>
        <w:rPr>
          <w:rFonts w:ascii="宋体" w:hAnsi="宋体" w:cs="宋体"/>
          <w:b/>
          <w:bCs/>
          <w:color w:val="auto"/>
          <w:szCs w:val="21"/>
          <w:highlight w:val="none"/>
        </w:rPr>
      </w:pPr>
      <w:r>
        <w:rPr>
          <w:rFonts w:hint="eastAsia" w:ascii="宋体" w:hAnsi="宋体" w:cs="宋体"/>
          <w:b/>
          <w:bCs/>
          <w:color w:val="auto"/>
          <w:szCs w:val="21"/>
          <w:highlight w:val="none"/>
        </w:rPr>
        <w:t>3、在报价评审时，如发现下列情形之一的，投标文件将被视为无效：</w:t>
      </w:r>
    </w:p>
    <w:p w14:paraId="1D46B0A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3.1未采用人民币报价或者未按照招标文件标明的币种报价的；</w:t>
      </w:r>
    </w:p>
    <w:p w14:paraId="46082E1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3.2报价超出最高限价，或者超出采购预算金额，采购人不能支付的；</w:t>
      </w:r>
    </w:p>
    <w:p w14:paraId="524D97E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3.3投标报价具有选择性的；</w:t>
      </w:r>
    </w:p>
    <w:p w14:paraId="43D3775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3.4投标报价中出现重大缺项、漏项；</w:t>
      </w:r>
    </w:p>
    <w:p w14:paraId="1B6EFB23">
      <w:pPr>
        <w:spacing w:line="40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3.5评标委员会认为投标人报价明显低于其它通过符合性审查投标人的报价，有可能影响服务质量或者不能诚信履约的，应要求其在评标现场合理时间内提供书面说明，必要时提供相关证明材料；投标人不能证明价格合理性，评标委员会应当将其作为无效标处理。</w:t>
      </w:r>
    </w:p>
    <w:p w14:paraId="1CB27136">
      <w:pPr>
        <w:spacing w:line="400" w:lineRule="exact"/>
        <w:ind w:firstLine="205" w:firstLineChars="98"/>
        <w:rPr>
          <w:rFonts w:hint="eastAsia" w:ascii="宋体" w:hAnsi="宋体" w:eastAsia="宋体" w:cs="宋体"/>
          <w:b/>
          <w:bCs/>
          <w:szCs w:val="21"/>
        </w:rPr>
      </w:pPr>
      <w:r>
        <w:rPr>
          <w:rFonts w:hint="eastAsia" w:ascii="宋体" w:hAnsi="宋体" w:cs="宋体"/>
          <w:b/>
          <w:bCs/>
          <w:color w:val="auto"/>
          <w:szCs w:val="21"/>
          <w:highlight w:val="none"/>
        </w:rPr>
        <w:t>4、</w:t>
      </w:r>
      <w:r>
        <w:rPr>
          <w:rFonts w:hint="eastAsia" w:ascii="宋体" w:hAnsi="宋体" w:eastAsia="宋体" w:cs="宋体"/>
          <w:b/>
          <w:bCs/>
          <w:szCs w:val="21"/>
        </w:rPr>
        <w:t>4、参与同一个采购包（标段）的供应商存在下列情形之一且无法合理解释的，其投标（响应）文件无效：</w:t>
      </w:r>
    </w:p>
    <w:p w14:paraId="34BDEBAF">
      <w:pPr>
        <w:spacing w:line="400" w:lineRule="exact"/>
        <w:ind w:firstLine="415" w:firstLineChars="198"/>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4.1不同供应商的电子投标（响应）文件上传计算机的网卡 MAC 地址或硬盘序列号等硬件信息相同；</w:t>
      </w:r>
    </w:p>
    <w:p w14:paraId="6A578539">
      <w:pPr>
        <w:spacing w:line="400" w:lineRule="exact"/>
        <w:ind w:firstLine="415" w:firstLineChars="198"/>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4.2上传的电子投标（响应）文件出现使用本项目其他投标（响应）供应商的数字证书加密，或加盖本项目其他投标（响应）供应商的电子印章；</w:t>
      </w:r>
    </w:p>
    <w:p w14:paraId="76D70081">
      <w:pPr>
        <w:spacing w:line="400" w:lineRule="exact"/>
        <w:ind w:firstLine="415" w:firstLineChars="198"/>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4.3不同供应商的投标（响应）文件内容存在 3 处（含）以上错误一致；</w:t>
      </w:r>
    </w:p>
    <w:p w14:paraId="51C370C8">
      <w:pPr>
        <w:snapToGrid w:val="0"/>
        <w:spacing w:line="400" w:lineRule="exact"/>
        <w:ind w:firstLine="420" w:firstLineChars="200"/>
        <w:jc w:val="left"/>
        <w:rPr>
          <w:rFonts w:ascii="宋体" w:hAnsi="宋体" w:cs="宋体"/>
          <w:b/>
          <w:bCs/>
          <w:color w:val="auto"/>
          <w:szCs w:val="21"/>
          <w:highlight w:val="none"/>
        </w:rPr>
      </w:pPr>
      <w:r>
        <w:rPr>
          <w:rFonts w:hint="eastAsia" w:ascii="宋体" w:hAnsi="宋体" w:eastAsia="宋体" w:cs="宋体"/>
          <w:b w:val="0"/>
          <w:bCs w:val="0"/>
          <w:szCs w:val="21"/>
          <w:lang w:val="en-US" w:eastAsia="zh-CN"/>
        </w:rPr>
        <w:t>4.4不同供应商联系人为同一人，或不同联系人的联系电话一致</w:t>
      </w:r>
      <w:r>
        <w:rPr>
          <w:rFonts w:hint="eastAsia" w:ascii="宋体" w:hAnsi="宋体" w:cs="宋体"/>
          <w:b/>
          <w:bCs/>
          <w:color w:val="auto"/>
          <w:szCs w:val="21"/>
          <w:highlight w:val="none"/>
        </w:rPr>
        <w:t>。</w:t>
      </w:r>
    </w:p>
    <w:p w14:paraId="50C27A4C">
      <w:pPr>
        <w:snapToGrid w:val="0"/>
        <w:spacing w:line="400" w:lineRule="exact"/>
        <w:ind w:firstLine="420" w:firstLineChars="200"/>
        <w:jc w:val="left"/>
        <w:rPr>
          <w:rFonts w:ascii="宋体" w:hAnsi="宋体" w:cs="宋体"/>
          <w:b/>
          <w:bCs/>
          <w:color w:val="auto"/>
          <w:szCs w:val="21"/>
          <w:highlight w:val="none"/>
        </w:rPr>
      </w:pPr>
      <w:r>
        <w:rPr>
          <w:rFonts w:hint="eastAsia" w:ascii="宋体" w:hAnsi="宋体" w:cs="宋体"/>
          <w:b/>
          <w:bCs/>
          <w:color w:val="auto"/>
          <w:szCs w:val="21"/>
          <w:highlight w:val="none"/>
        </w:rPr>
        <w:t>（五）澄清问题的形式</w:t>
      </w:r>
    </w:p>
    <w:p w14:paraId="2721210B">
      <w:pPr>
        <w:widowControl/>
        <w:spacing w:line="400" w:lineRule="exact"/>
        <w:ind w:firstLine="420" w:firstLineChars="200"/>
        <w:jc w:val="left"/>
        <w:rPr>
          <w:rFonts w:ascii="宋体" w:hAnsi="宋体" w:cs="宋体"/>
          <w:color w:val="auto"/>
          <w:szCs w:val="21"/>
          <w:highlight w:val="none"/>
        </w:rPr>
      </w:pPr>
      <w:bookmarkStart w:id="27" w:name="_Toc65753666"/>
      <w:r>
        <w:rPr>
          <w:rFonts w:hint="eastAsia" w:ascii="宋体" w:hAnsi="宋体" w:cs="宋体"/>
          <w:color w:val="auto"/>
          <w:szCs w:val="21"/>
          <w:highlight w:val="none"/>
        </w:rPr>
        <w:t>对于投标文件中含义不明确、同类问题表述不一致或者有明显文字和计算错误的内容，评标委员会可要求投标人以书面形式作出必要的澄清、说明或者补正。</w:t>
      </w:r>
      <w:bookmarkEnd w:id="27"/>
    </w:p>
    <w:p w14:paraId="46B206C8">
      <w:pPr>
        <w:widowControl/>
        <w:spacing w:line="400" w:lineRule="exact"/>
        <w:ind w:firstLine="420" w:firstLineChars="200"/>
        <w:jc w:val="left"/>
        <w:rPr>
          <w:rFonts w:ascii="宋体" w:hAnsi="宋体" w:cs="宋体"/>
          <w:color w:val="auto"/>
          <w:szCs w:val="21"/>
          <w:highlight w:val="none"/>
        </w:rPr>
      </w:pPr>
      <w:bookmarkStart w:id="28" w:name="_Toc65753667"/>
      <w:r>
        <w:rPr>
          <w:rFonts w:hint="eastAsia" w:ascii="宋体" w:hAnsi="宋体" w:cs="宋体"/>
          <w:color w:val="auto"/>
          <w:szCs w:val="21"/>
          <w:highlight w:val="none"/>
        </w:rPr>
        <w:t>投标人的澄清、说明或者补正应当采用书面形式，并加盖公章，或者由法定代表人或其授权代表签字确认，投标人的澄清、说明或者补正不得超出投标文件的范围或者改变投标文件的实质性内容。</w:t>
      </w:r>
      <w:bookmarkEnd w:id="28"/>
    </w:p>
    <w:p w14:paraId="1F330B25">
      <w:pPr>
        <w:snapToGrid w:val="0"/>
        <w:spacing w:line="400" w:lineRule="exact"/>
        <w:ind w:firstLine="420" w:firstLineChars="200"/>
        <w:jc w:val="left"/>
        <w:rPr>
          <w:rFonts w:ascii="宋体" w:hAnsi="宋体" w:cs="宋体"/>
          <w:b/>
          <w:bCs/>
          <w:color w:val="auto"/>
          <w:szCs w:val="21"/>
          <w:highlight w:val="none"/>
        </w:rPr>
      </w:pPr>
      <w:r>
        <w:rPr>
          <w:rFonts w:hint="eastAsia" w:ascii="宋体" w:hAnsi="宋体" w:cs="宋体"/>
          <w:b/>
          <w:bCs/>
          <w:color w:val="auto"/>
          <w:szCs w:val="21"/>
          <w:highlight w:val="none"/>
        </w:rPr>
        <w:t>（六）错误修正</w:t>
      </w:r>
    </w:p>
    <w:p w14:paraId="5A228B18">
      <w:pPr>
        <w:pStyle w:val="32"/>
        <w:widowControl/>
        <w:spacing w:before="0" w:beforeLines="0" w:after="0" w:afterLines="0"/>
        <w:ind w:left="688" w:leftChars="228" w:hanging="210" w:hangingChars="100"/>
        <w:jc w:val="left"/>
        <w:rPr>
          <w:rFonts w:hAnsi="宋体" w:cs="宋体"/>
          <w:color w:val="auto"/>
          <w:sz w:val="21"/>
          <w:szCs w:val="21"/>
          <w:highlight w:val="none"/>
        </w:rPr>
      </w:pPr>
      <w:r>
        <w:rPr>
          <w:rFonts w:hint="eastAsia" w:hAnsi="宋体" w:cs="宋体"/>
          <w:color w:val="auto"/>
          <w:sz w:val="21"/>
          <w:szCs w:val="21"/>
          <w:highlight w:val="none"/>
        </w:rPr>
        <w:t>投标文件报价出现前后不一致的，除招标文件另有规定外，按照下列规定修正：</w:t>
      </w:r>
    </w:p>
    <w:p w14:paraId="2467BFCB">
      <w:pPr>
        <w:widowControl/>
        <w:numPr>
          <w:ilvl w:val="0"/>
          <w:numId w:val="4"/>
        </w:num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14:paraId="680D2790">
      <w:pPr>
        <w:widowControl/>
        <w:numPr>
          <w:ilvl w:val="0"/>
          <w:numId w:val="4"/>
        </w:num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政采云平台填报的开标一览表中的价格与上传的报价文件中开标一览表的报价不一致的，以上传的报价文件为准；</w:t>
      </w:r>
    </w:p>
    <w:p w14:paraId="4E205805">
      <w:pPr>
        <w:widowControl/>
        <w:numPr>
          <w:ilvl w:val="0"/>
          <w:numId w:val="4"/>
        </w:num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14:paraId="6CB56D5F">
      <w:pPr>
        <w:widowControl/>
        <w:numPr>
          <w:ilvl w:val="0"/>
          <w:numId w:val="4"/>
        </w:num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14:paraId="37D6764B">
      <w:pPr>
        <w:widowControl/>
        <w:numPr>
          <w:ilvl w:val="0"/>
          <w:numId w:val="4"/>
        </w:num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14:paraId="004E9824">
      <w:pPr>
        <w:pStyle w:val="32"/>
        <w:widowControl/>
        <w:spacing w:before="0" w:beforeLines="0" w:after="0" w:afterLines="0"/>
        <w:ind w:firstLine="420" w:firstLineChars="200"/>
        <w:jc w:val="left"/>
        <w:rPr>
          <w:rFonts w:hAnsi="宋体" w:cs="宋体"/>
          <w:color w:val="auto"/>
          <w:sz w:val="21"/>
          <w:szCs w:val="21"/>
          <w:highlight w:val="none"/>
        </w:rPr>
      </w:pPr>
      <w:r>
        <w:rPr>
          <w:rFonts w:hint="eastAsia" w:hAnsi="宋体" w:cs="宋体"/>
          <w:b/>
          <w:bCs/>
          <w:color w:val="auto"/>
          <w:sz w:val="21"/>
          <w:szCs w:val="21"/>
          <w:highlight w:val="none"/>
        </w:rPr>
        <w:t>同时出现两种以上不一致的，按照前款规定的顺序修正。修正后的报价经投标人确认后具有约束力，若投标人不确认的，则其投标无效。</w:t>
      </w:r>
    </w:p>
    <w:p w14:paraId="5C42D170">
      <w:pPr>
        <w:pStyle w:val="14"/>
        <w:tabs>
          <w:tab w:val="left" w:pos="630"/>
        </w:tabs>
        <w:snapToGrid w:val="0"/>
        <w:spacing w:line="400" w:lineRule="exact"/>
        <w:ind w:firstLine="411" w:firstLineChars="196"/>
        <w:jc w:val="left"/>
        <w:rPr>
          <w:rFonts w:hAnsi="宋体" w:cs="宋体"/>
          <w:b/>
          <w:color w:val="auto"/>
          <w:szCs w:val="21"/>
          <w:highlight w:val="none"/>
        </w:rPr>
      </w:pPr>
      <w:r>
        <w:rPr>
          <w:rFonts w:hint="eastAsia" w:hAnsi="宋体" w:cs="宋体"/>
          <w:b/>
          <w:color w:val="auto"/>
          <w:szCs w:val="21"/>
          <w:highlight w:val="none"/>
        </w:rPr>
        <w:t>（六）评标原则和评标办法</w:t>
      </w:r>
    </w:p>
    <w:p w14:paraId="2A52ABC3">
      <w:pPr>
        <w:pStyle w:val="14"/>
        <w:snapToGrid w:val="0"/>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DFD9EA9">
      <w:pPr>
        <w:pStyle w:val="14"/>
        <w:snapToGrid w:val="0"/>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rPr>
        <w:t>2.评标办法。本项目评标办法是</w:t>
      </w:r>
      <w:r>
        <w:rPr>
          <w:rFonts w:hint="eastAsia" w:hAnsi="宋体" w:cs="宋体"/>
          <w:color w:val="auto"/>
          <w:szCs w:val="21"/>
          <w:highlight w:val="none"/>
          <w:u w:val="single"/>
        </w:rPr>
        <w:t xml:space="preserve"> 综合评分法 </w:t>
      </w:r>
      <w:r>
        <w:rPr>
          <w:rFonts w:hint="eastAsia" w:hAnsi="宋体" w:cs="宋体"/>
          <w:color w:val="auto"/>
          <w:szCs w:val="21"/>
          <w:highlight w:val="none"/>
        </w:rPr>
        <w:t>，具体评标内容及评分标准等详见《第四部分：评标办法及评分标准》。</w:t>
      </w:r>
    </w:p>
    <w:p w14:paraId="77A35B24">
      <w:pPr>
        <w:pStyle w:val="14"/>
        <w:snapToGrid w:val="0"/>
        <w:spacing w:line="400" w:lineRule="exact"/>
        <w:ind w:firstLine="411" w:firstLineChars="196"/>
        <w:jc w:val="left"/>
        <w:rPr>
          <w:rFonts w:hAnsi="宋体" w:cs="宋体"/>
          <w:b/>
          <w:color w:val="auto"/>
          <w:szCs w:val="21"/>
          <w:highlight w:val="none"/>
        </w:rPr>
      </w:pPr>
      <w:r>
        <w:rPr>
          <w:rFonts w:hint="eastAsia" w:hAnsi="宋体" w:cs="宋体"/>
          <w:b/>
          <w:color w:val="auto"/>
          <w:szCs w:val="21"/>
          <w:highlight w:val="none"/>
        </w:rPr>
        <w:t>（七）评审专家有下列情形之一的，受到邀请应主动提出回避，采购当事人也可以要求该评审专家回避：</w:t>
      </w:r>
    </w:p>
    <w:p w14:paraId="2E3CA3FD">
      <w:pPr>
        <w:pStyle w:val="14"/>
        <w:snapToGrid w:val="0"/>
        <w:spacing w:line="400" w:lineRule="exact"/>
        <w:ind w:firstLine="411" w:firstLineChars="196"/>
        <w:jc w:val="left"/>
        <w:rPr>
          <w:rFonts w:hint="eastAsia" w:hAnsi="宋体" w:cs="宋体"/>
          <w:color w:val="auto"/>
          <w:szCs w:val="21"/>
          <w:highlight w:val="none"/>
        </w:rPr>
      </w:pPr>
      <w:r>
        <w:rPr>
          <w:rFonts w:hint="eastAsia" w:hAnsi="宋体" w:cs="宋体"/>
          <w:color w:val="auto"/>
          <w:szCs w:val="21"/>
          <w:highlight w:val="none"/>
        </w:rPr>
        <w:t>1、参加采购活动前三年内，与供应商存在劳动关系，或者担任过供应商的董事、监事，或者是供应商的控股股东或实际控制人；</w:t>
      </w:r>
    </w:p>
    <w:p w14:paraId="3305D12D">
      <w:pPr>
        <w:pStyle w:val="14"/>
        <w:snapToGrid w:val="0"/>
        <w:spacing w:line="400" w:lineRule="exact"/>
        <w:ind w:firstLine="411" w:firstLineChars="196"/>
        <w:jc w:val="left"/>
        <w:rPr>
          <w:rFonts w:hint="eastAsia" w:hAnsi="宋体" w:cs="宋体"/>
          <w:color w:val="auto"/>
          <w:szCs w:val="21"/>
          <w:highlight w:val="none"/>
        </w:rPr>
      </w:pPr>
      <w:r>
        <w:rPr>
          <w:rFonts w:hint="eastAsia" w:hAnsi="宋体" w:cs="宋体"/>
          <w:color w:val="auto"/>
          <w:szCs w:val="21"/>
          <w:highlight w:val="none"/>
        </w:rPr>
        <w:t>2、与供应商的法定代表人或者负责人有夫妻、直系血亲、三代以内旁系血亲或者近姻亲关系；</w:t>
      </w:r>
    </w:p>
    <w:p w14:paraId="0C8F7D1B">
      <w:pPr>
        <w:pStyle w:val="14"/>
        <w:snapToGrid w:val="0"/>
        <w:spacing w:line="400" w:lineRule="exact"/>
        <w:ind w:firstLine="411" w:firstLineChars="196"/>
        <w:jc w:val="left"/>
        <w:rPr>
          <w:rFonts w:hint="eastAsia" w:hAnsi="宋体" w:cs="宋体"/>
          <w:color w:val="auto"/>
          <w:szCs w:val="21"/>
          <w:highlight w:val="none"/>
        </w:rPr>
      </w:pPr>
      <w:r>
        <w:rPr>
          <w:rFonts w:hint="eastAsia" w:hAnsi="宋体" w:cs="宋体"/>
          <w:color w:val="auto"/>
          <w:szCs w:val="21"/>
          <w:highlight w:val="none"/>
        </w:rPr>
        <w:t>3、与供应商有其他可能影响政府采购活动公平、公正进行的关系；</w:t>
      </w:r>
    </w:p>
    <w:p w14:paraId="56D539FC">
      <w:pPr>
        <w:pStyle w:val="14"/>
        <w:snapToGrid w:val="0"/>
        <w:spacing w:line="400" w:lineRule="exact"/>
        <w:ind w:firstLine="411" w:firstLineChars="196"/>
        <w:jc w:val="left"/>
        <w:rPr>
          <w:rFonts w:hint="eastAsia" w:hAnsi="宋体" w:cs="宋体"/>
          <w:color w:val="auto"/>
          <w:szCs w:val="21"/>
          <w:highlight w:val="none"/>
        </w:rPr>
      </w:pPr>
      <w:r>
        <w:rPr>
          <w:rFonts w:hint="eastAsia" w:hAnsi="宋体" w:cs="宋体"/>
          <w:color w:val="auto"/>
          <w:szCs w:val="21"/>
          <w:highlight w:val="none"/>
        </w:rPr>
        <w:t>4、曾经参加过该采购项目的进口产品论证工作；</w:t>
      </w:r>
    </w:p>
    <w:p w14:paraId="5916B10D">
      <w:pPr>
        <w:pStyle w:val="14"/>
        <w:snapToGrid w:val="0"/>
        <w:spacing w:line="400" w:lineRule="exact"/>
        <w:ind w:firstLine="411" w:firstLineChars="196"/>
        <w:jc w:val="left"/>
        <w:rPr>
          <w:rFonts w:hint="eastAsia" w:hAnsi="宋体" w:cs="宋体"/>
          <w:color w:val="auto"/>
          <w:szCs w:val="21"/>
          <w:highlight w:val="none"/>
        </w:rPr>
      </w:pPr>
      <w:r>
        <w:rPr>
          <w:rFonts w:hint="eastAsia" w:hAnsi="宋体" w:cs="宋体"/>
          <w:color w:val="auto"/>
          <w:szCs w:val="21"/>
          <w:highlight w:val="none"/>
        </w:rPr>
        <w:t>5、通过随机抽到本单位的评审专家，采购人已经指定了采购人代表，该评审专家应当回避，采购人自行选定相应专业领域评审专家情形除外；</w:t>
      </w:r>
    </w:p>
    <w:p w14:paraId="1C9EFF07">
      <w:pPr>
        <w:pStyle w:val="14"/>
        <w:snapToGrid w:val="0"/>
        <w:spacing w:line="400" w:lineRule="exact"/>
        <w:ind w:firstLine="411" w:firstLineChars="196"/>
        <w:jc w:val="left"/>
        <w:rPr>
          <w:rFonts w:hint="eastAsia" w:hAnsi="宋体" w:cs="宋体"/>
          <w:color w:val="auto"/>
          <w:szCs w:val="21"/>
          <w:highlight w:val="none"/>
        </w:rPr>
      </w:pPr>
      <w:r>
        <w:rPr>
          <w:rFonts w:hint="eastAsia" w:hAnsi="宋体" w:cs="宋体"/>
          <w:color w:val="auto"/>
          <w:szCs w:val="21"/>
          <w:highlight w:val="none"/>
        </w:rPr>
        <w:t>6、法律、法规、规章规定应当回避以及其他可能影响公正评审的。</w:t>
      </w:r>
    </w:p>
    <w:p w14:paraId="4FA40191">
      <w:pPr>
        <w:pStyle w:val="14"/>
        <w:snapToGrid w:val="0"/>
        <w:spacing w:line="400" w:lineRule="exact"/>
        <w:ind w:firstLine="411" w:firstLineChars="196"/>
        <w:jc w:val="left"/>
        <w:rPr>
          <w:rFonts w:hAnsi="宋体" w:cs="宋体"/>
          <w:color w:val="auto"/>
          <w:szCs w:val="21"/>
          <w:highlight w:val="none"/>
        </w:rPr>
      </w:pPr>
      <w:r>
        <w:rPr>
          <w:rFonts w:hint="eastAsia" w:hAnsi="宋体" w:cs="宋体"/>
          <w:color w:val="auto"/>
          <w:szCs w:val="21"/>
          <w:highlight w:val="none"/>
        </w:rPr>
        <w:t>评审专家发现本人与参加采购活动的供应商有利害关系的，应当主动提出回避。采购人或者采购代理机构发现评审专家与参加采购活动的供应商有利害关系的，应当要求其回避。</w:t>
      </w:r>
    </w:p>
    <w:p w14:paraId="7A814B8D">
      <w:pPr>
        <w:pStyle w:val="14"/>
        <w:snapToGrid w:val="0"/>
        <w:spacing w:line="400" w:lineRule="exact"/>
        <w:ind w:firstLine="411" w:firstLineChars="196"/>
        <w:jc w:val="left"/>
        <w:rPr>
          <w:rFonts w:hAnsi="宋体" w:cs="宋体"/>
          <w:color w:val="auto"/>
          <w:szCs w:val="21"/>
          <w:highlight w:val="none"/>
        </w:rPr>
      </w:pPr>
      <w:r>
        <w:rPr>
          <w:rFonts w:hint="eastAsia" w:hAnsi="宋体" w:cs="宋体"/>
          <w:color w:val="auto"/>
          <w:szCs w:val="21"/>
          <w:highlight w:val="none"/>
        </w:rPr>
        <w:t>（八）评标委员会判断投标文件的有效性、合格性和响应情况，仅依据供应商所递交一切文件的真实表述，不受与本项目无直接关联的外部信息、传言而影响自身的专业判断。</w:t>
      </w:r>
    </w:p>
    <w:p w14:paraId="7E9BAB23">
      <w:pPr>
        <w:pStyle w:val="14"/>
        <w:snapToGrid w:val="0"/>
        <w:spacing w:line="400" w:lineRule="exact"/>
        <w:ind w:firstLine="411" w:firstLineChars="196"/>
        <w:jc w:val="left"/>
        <w:rPr>
          <w:rFonts w:hAnsi="宋体" w:cs="宋体"/>
          <w:color w:val="auto"/>
          <w:szCs w:val="21"/>
          <w:highlight w:val="none"/>
        </w:rPr>
      </w:pPr>
      <w:r>
        <w:rPr>
          <w:rFonts w:hint="eastAsia" w:hAnsi="宋体" w:cs="宋体"/>
          <w:color w:val="auto"/>
          <w:szCs w:val="21"/>
          <w:highlight w:val="none"/>
        </w:rPr>
        <w:t>（九）评委依法独立评审，并对评审意见承担个人责任。评委对需要共同认定的事项存在争议的，按照少数服从多数的原则做出结论。持不同意见的评委应当在评审报告上签署不同意见并说明理由，否则视为同意。</w:t>
      </w:r>
    </w:p>
    <w:p w14:paraId="1D9B508E">
      <w:pPr>
        <w:pStyle w:val="14"/>
        <w:snapToGrid w:val="0"/>
        <w:spacing w:line="400" w:lineRule="exact"/>
        <w:ind w:firstLine="411" w:firstLineChars="196"/>
        <w:jc w:val="left"/>
        <w:rPr>
          <w:rFonts w:hAnsi="宋体" w:cs="宋体"/>
          <w:color w:val="auto"/>
          <w:szCs w:val="21"/>
          <w:highlight w:val="none"/>
        </w:rPr>
      </w:pPr>
      <w:r>
        <w:rPr>
          <w:rFonts w:hint="eastAsia" w:hAnsi="宋体" w:cs="宋体"/>
          <w:b/>
          <w:color w:val="auto"/>
          <w:szCs w:val="21"/>
          <w:highlight w:val="none"/>
        </w:rPr>
        <w:t>（十）评标过程的监控与保密要求</w:t>
      </w:r>
    </w:p>
    <w:p w14:paraId="4F58BF45">
      <w:pPr>
        <w:pStyle w:val="14"/>
        <w:snapToGrid w:val="0"/>
        <w:spacing w:line="400" w:lineRule="exact"/>
        <w:ind w:firstLine="411" w:firstLineChars="196"/>
        <w:jc w:val="left"/>
        <w:rPr>
          <w:rFonts w:hAnsi="宋体" w:cs="宋体"/>
          <w:color w:val="auto"/>
          <w:szCs w:val="21"/>
          <w:highlight w:val="none"/>
        </w:rPr>
      </w:pPr>
      <w:r>
        <w:rPr>
          <w:rFonts w:hint="eastAsia" w:hAnsi="宋体" w:cs="宋体"/>
          <w:color w:val="auto"/>
          <w:szCs w:val="21"/>
          <w:highlight w:val="none"/>
        </w:rPr>
        <w:t>1.本项目评标过程实行全程录音、录像监控，供应商在评标过程中所进行的试图影响评标结果的不公正活动，可能导致其投标被拒绝。</w:t>
      </w:r>
    </w:p>
    <w:p w14:paraId="7E84C96F">
      <w:pPr>
        <w:pStyle w:val="14"/>
        <w:snapToGrid w:val="0"/>
        <w:spacing w:line="400" w:lineRule="exact"/>
        <w:ind w:firstLine="411" w:firstLineChars="196"/>
        <w:jc w:val="left"/>
        <w:rPr>
          <w:rFonts w:hAnsi="宋体" w:cs="宋体"/>
          <w:color w:val="auto"/>
          <w:szCs w:val="21"/>
          <w:highlight w:val="none"/>
        </w:rPr>
      </w:pPr>
      <w:r>
        <w:rPr>
          <w:rFonts w:hint="eastAsia" w:hAnsi="宋体" w:cs="宋体"/>
          <w:color w:val="auto"/>
          <w:szCs w:val="21"/>
          <w:highlight w:val="none"/>
        </w:rPr>
        <w:t>2.开标后到中标通知书发出之前，所有涉及评标委员会名单以及对投标文件的澄清、评价、比较等情况，评标委员会成员、采购人和采购代理机构的有关人员均不得向供应商或其他无关人员透露。</w:t>
      </w:r>
    </w:p>
    <w:p w14:paraId="12E9352A">
      <w:pPr>
        <w:spacing w:line="520" w:lineRule="exact"/>
        <w:jc w:val="center"/>
        <w:rPr>
          <w:rFonts w:ascii="宋体" w:hAnsi="宋体"/>
          <w:b/>
          <w:bCs/>
          <w:color w:val="auto"/>
          <w:sz w:val="32"/>
          <w:highlight w:val="none"/>
        </w:rPr>
      </w:pPr>
      <w:r>
        <w:rPr>
          <w:rFonts w:hint="eastAsia" w:ascii="宋体" w:hAnsi="宋体"/>
          <w:b/>
          <w:bCs/>
          <w:color w:val="auto"/>
          <w:sz w:val="32"/>
          <w:highlight w:val="none"/>
        </w:rPr>
        <w:t>六、定标</w:t>
      </w:r>
    </w:p>
    <w:p w14:paraId="1933429A">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1.确定中标人。本项目由评标委员会推荐中标候选人，采购人不得在评标委员会推荐的中标候选人以外确定中标候选人。</w:t>
      </w:r>
    </w:p>
    <w:p w14:paraId="0BED6BB3">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36E35EC8">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3.采购代理机构自中标人确定之日起2个工作日内，采购代理机构以书面形式发出《中标通知书》,并同时在相关网站上发布中标公告。不在中标名单之列者即为落标人，采购代理机构不再以其它方式另行通知。</w:t>
      </w:r>
    </w:p>
    <w:p w14:paraId="478DBAB3">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4.凡发现中标人有下列行为之一的，将移交政府采购监督管理部门依法处理：</w:t>
      </w:r>
    </w:p>
    <w:p w14:paraId="3D4C7D43">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rPr>
        <w:tab/>
      </w:r>
      <w:r>
        <w:rPr>
          <w:rFonts w:hint="eastAsia" w:ascii="宋体" w:hAnsi="宋体" w:cs="宋体"/>
          <w:color w:val="auto"/>
          <w:szCs w:val="21"/>
          <w:highlight w:val="none"/>
        </w:rPr>
        <w:t>提供虚假材料谋取中标的；</w:t>
      </w:r>
    </w:p>
    <w:p w14:paraId="29A471E8">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rPr>
        <w:tab/>
      </w:r>
      <w:r>
        <w:rPr>
          <w:rFonts w:hint="eastAsia" w:ascii="宋体" w:hAnsi="宋体" w:cs="宋体"/>
          <w:color w:val="auto"/>
          <w:szCs w:val="21"/>
          <w:highlight w:val="none"/>
        </w:rPr>
        <w:t>采取不正当手段诋毁、排挤其他投标人的；</w:t>
      </w:r>
    </w:p>
    <w:p w14:paraId="4B18D91D">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rPr>
        <w:tab/>
      </w:r>
      <w:r>
        <w:rPr>
          <w:rFonts w:hint="eastAsia" w:ascii="宋体" w:hAnsi="宋体" w:cs="宋体"/>
          <w:color w:val="auto"/>
          <w:szCs w:val="21"/>
          <w:highlight w:val="none"/>
        </w:rPr>
        <w:t>与采购人、其他投标人或者采购代理机构工作人员恶意串通的；</w:t>
      </w:r>
    </w:p>
    <w:p w14:paraId="58F2AC10">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rPr>
        <w:tab/>
      </w:r>
      <w:r>
        <w:rPr>
          <w:rFonts w:hint="eastAsia" w:ascii="宋体" w:hAnsi="宋体" w:cs="宋体"/>
          <w:color w:val="auto"/>
          <w:szCs w:val="21"/>
          <w:highlight w:val="none"/>
        </w:rPr>
        <w:t>向采购人或采购代理机构人员行贿或者提供其他不正当利益的；</w:t>
      </w:r>
    </w:p>
    <w:p w14:paraId="1A1112B4">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rPr>
        <w:tab/>
      </w:r>
      <w:r>
        <w:rPr>
          <w:rFonts w:hint="eastAsia" w:ascii="宋体" w:hAnsi="宋体" w:cs="宋体"/>
          <w:color w:val="auto"/>
          <w:szCs w:val="21"/>
          <w:highlight w:val="none"/>
        </w:rPr>
        <w:t>拒绝有关部门监督检查或者提供虚假情况的；</w:t>
      </w:r>
    </w:p>
    <w:p w14:paraId="2C5A40A0">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rPr>
        <w:tab/>
      </w:r>
      <w:r>
        <w:rPr>
          <w:rFonts w:hint="eastAsia" w:ascii="宋体" w:hAnsi="宋体" w:cs="宋体"/>
          <w:color w:val="auto"/>
          <w:szCs w:val="21"/>
          <w:highlight w:val="none"/>
        </w:rPr>
        <w:t>有法律、法规规定的其他损害采购人利益和社会公共利益情形的。</w:t>
      </w:r>
    </w:p>
    <w:p w14:paraId="320FC27C">
      <w:pPr>
        <w:spacing w:line="520" w:lineRule="exact"/>
        <w:ind w:firstLine="403"/>
        <w:jc w:val="center"/>
        <w:rPr>
          <w:rFonts w:ascii="宋体" w:hAnsi="宋体" w:cs="宋体"/>
          <w:color w:val="auto"/>
          <w:szCs w:val="21"/>
          <w:highlight w:val="none"/>
        </w:rPr>
      </w:pPr>
      <w:r>
        <w:rPr>
          <w:rFonts w:hint="eastAsia" w:ascii="宋体" w:hAnsi="宋体"/>
          <w:b/>
          <w:bCs/>
          <w:color w:val="auto"/>
          <w:sz w:val="32"/>
          <w:highlight w:val="none"/>
        </w:rPr>
        <w:t>七、合同授予</w:t>
      </w:r>
    </w:p>
    <w:p w14:paraId="66B9543D">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（一）签订合同</w:t>
      </w:r>
    </w:p>
    <w:p w14:paraId="4DDD19B8">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1.采购人应当自中标通知书发出之日起30日内，按照招标文件和中标人投标文件的规定，与中标人签订书面合同。所签订的合同不得对招标文件确定的事项和中标人投标文件作实质性修改。</w:t>
      </w:r>
    </w:p>
    <w:p w14:paraId="118CBF2E">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采购人不得向中标人提出任何不合理的要求作为签订合同的条件。</w:t>
      </w:r>
    </w:p>
    <w:p w14:paraId="4A73BDA1">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2.采购人在签订合同时，在合同金额变更范围内，如需审批的办理相关审批手续。有权变更采购项目的数量和服务内容，但不能对单价或其他条款和条件作任何改变。</w:t>
      </w:r>
    </w:p>
    <w:p w14:paraId="068BA82B">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3.招标文件、中标供应商的投标文件及评标过程中有关的澄清文件均应作为合同签订的附件。</w:t>
      </w:r>
    </w:p>
    <w:p w14:paraId="522FEEAA">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4.中标或者成交供应商拒绝与采购人签订合同的，采购人应重新招标。</w:t>
      </w:r>
    </w:p>
    <w:p w14:paraId="58AD88B4">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5.中标人无正当理由拖延、拒签合同的,将被取消中标资格并承担相应法律责任。给采购人造成的损失的还应当予以赔偿。</w:t>
      </w:r>
    </w:p>
    <w:p w14:paraId="4263C3BC">
      <w:pPr>
        <w:spacing w:line="520" w:lineRule="exact"/>
        <w:jc w:val="center"/>
        <w:rPr>
          <w:rFonts w:ascii="宋体" w:hAnsi="宋体"/>
          <w:b/>
          <w:bCs/>
          <w:color w:val="auto"/>
          <w:sz w:val="32"/>
          <w:highlight w:val="none"/>
        </w:rPr>
      </w:pPr>
      <w:r>
        <w:rPr>
          <w:rFonts w:hint="eastAsia" w:ascii="宋体" w:hAnsi="宋体"/>
          <w:b/>
          <w:bCs/>
          <w:color w:val="auto"/>
          <w:sz w:val="32"/>
          <w:highlight w:val="none"/>
        </w:rPr>
        <w:t>八、履约验收</w:t>
      </w:r>
    </w:p>
    <w:p w14:paraId="626216EF">
      <w:pPr>
        <w:spacing w:line="400" w:lineRule="exact"/>
        <w:ind w:firstLine="315" w:firstLineChars="150"/>
        <w:jc w:val="left"/>
        <w:rPr>
          <w:rFonts w:ascii="宋体" w:hAnsi="宋体" w:cs="宋体"/>
          <w:color w:val="auto"/>
          <w:szCs w:val="21"/>
          <w:highlight w:val="none"/>
        </w:rPr>
      </w:pPr>
      <w:r>
        <w:rPr>
          <w:rFonts w:hint="eastAsia" w:ascii="宋体" w:hAnsi="宋体" w:cs="宋体"/>
          <w:color w:val="auto"/>
          <w:szCs w:val="21"/>
          <w:highlight w:val="none"/>
        </w:rPr>
        <w:t xml:space="preserve"> 采购人负责对中标供应商的履约行为进行验收。</w:t>
      </w:r>
    </w:p>
    <w:p w14:paraId="3C48574B">
      <w:pPr>
        <w:numPr>
          <w:ilvl w:val="0"/>
          <w:numId w:val="5"/>
        </w:numPr>
        <w:spacing w:line="520" w:lineRule="exact"/>
        <w:jc w:val="center"/>
        <w:rPr>
          <w:rFonts w:ascii="宋体" w:hAnsi="宋体"/>
          <w:b/>
          <w:bCs/>
          <w:color w:val="auto"/>
          <w:sz w:val="32"/>
          <w:highlight w:val="none"/>
        </w:rPr>
      </w:pPr>
      <w:r>
        <w:rPr>
          <w:rFonts w:hint="eastAsia" w:ascii="宋体" w:hAnsi="宋体"/>
          <w:b/>
          <w:bCs/>
          <w:color w:val="auto"/>
          <w:sz w:val="32"/>
          <w:highlight w:val="none"/>
        </w:rPr>
        <w:t>特别说明</w:t>
      </w:r>
    </w:p>
    <w:p w14:paraId="16E9650E">
      <w:pPr>
        <w:pStyle w:val="14"/>
        <w:wordWrap w:val="0"/>
        <w:snapToGrid w:val="0"/>
        <w:spacing w:before="312" w:beforeLines="100" w:line="360" w:lineRule="auto"/>
        <w:ind w:firstLine="420" w:firstLineChars="200"/>
        <w:jc w:val="left"/>
        <w:rPr>
          <w:rFonts w:hint="eastAsia" w:hAnsi="宋体" w:eastAsia="宋体" w:cs="宋体"/>
          <w:b/>
          <w:color w:val="auto"/>
          <w:szCs w:val="21"/>
          <w:highlight w:val="none"/>
          <w:lang w:eastAsia="zh-CN"/>
        </w:rPr>
      </w:pPr>
      <w:r>
        <w:rPr>
          <w:rFonts w:hint="eastAsia" w:hAnsi="宋体" w:cs="宋体"/>
          <w:b/>
          <w:color w:val="auto"/>
          <w:szCs w:val="21"/>
          <w:highlight w:val="none"/>
        </w:rPr>
        <w:t>1. 本项目</w:t>
      </w:r>
      <w:r>
        <w:rPr>
          <w:rFonts w:hint="eastAsia" w:hAnsi="宋体" w:cs="宋体"/>
          <w:b/>
          <w:color w:val="auto"/>
          <w:szCs w:val="21"/>
          <w:highlight w:val="none"/>
          <w:lang w:val="en-US" w:eastAsia="zh-CN"/>
        </w:rPr>
        <w:t>是</w:t>
      </w:r>
      <w:r>
        <w:rPr>
          <w:rFonts w:hint="eastAsia" w:hAnsi="宋体" w:cs="宋体"/>
          <w:b/>
          <w:color w:val="auto"/>
          <w:szCs w:val="21"/>
          <w:highlight w:val="none"/>
        </w:rPr>
        <w:t>专门面向中小企业采购。采购标的对应的中小企业划分标准所属行业：</w:t>
      </w:r>
      <w:r>
        <w:rPr>
          <w:rFonts w:hint="eastAsia" w:hAnsi="宋体" w:cs="宋体"/>
          <w:b/>
          <w:color w:val="auto"/>
          <w:szCs w:val="21"/>
          <w:highlight w:val="none"/>
          <w:u w:val="single"/>
          <w:lang w:val="en-US" w:eastAsia="zh-CN"/>
        </w:rPr>
        <w:t>其他未列明行业</w:t>
      </w:r>
      <w:r>
        <w:rPr>
          <w:rFonts w:hint="eastAsia" w:hAnsi="宋体" w:cs="宋体"/>
          <w:b/>
          <w:color w:val="auto"/>
          <w:szCs w:val="21"/>
          <w:highlight w:val="none"/>
        </w:rPr>
        <w:t>。</w:t>
      </w:r>
      <w:r>
        <w:rPr>
          <w:rFonts w:hint="eastAsia" w:ascii="宋体" w:hAnsi="宋体" w:eastAsia="宋体" w:cs="宋体"/>
          <w:b/>
          <w:color w:val="auto"/>
          <w:szCs w:val="21"/>
          <w:highlight w:val="none"/>
        </w:rPr>
        <w:t>投标人参加本项目政府采购活动，必须出具《政府采购促进中小企业发展管理办法》规定的《中小企业声明函》（格式见本采购文件第六</w:t>
      </w:r>
      <w:r>
        <w:rPr>
          <w:rFonts w:hint="eastAsia" w:hAnsi="宋体" w:cs="宋体"/>
          <w:b/>
          <w:color w:val="auto"/>
          <w:szCs w:val="21"/>
          <w:highlight w:val="none"/>
          <w:lang w:val="en-US" w:eastAsia="zh-CN"/>
        </w:rPr>
        <w:t>部分</w:t>
      </w:r>
      <w:r>
        <w:rPr>
          <w:rFonts w:hint="eastAsia" w:ascii="宋体" w:hAnsi="宋体" w:eastAsia="宋体" w:cs="宋体"/>
          <w:b/>
          <w:color w:val="auto"/>
          <w:szCs w:val="21"/>
          <w:highlight w:val="none"/>
        </w:rPr>
        <w:t>投标文件格式）。</w:t>
      </w:r>
    </w:p>
    <w:p w14:paraId="3E03EC6A">
      <w:pPr>
        <w:pStyle w:val="14"/>
        <w:numPr>
          <w:ilvl w:val="0"/>
          <w:numId w:val="6"/>
        </w:numPr>
        <w:wordWrap w:val="0"/>
        <w:snapToGrid w:val="0"/>
        <w:spacing w:line="360" w:lineRule="auto"/>
        <w:ind w:firstLine="420" w:firstLineChars="200"/>
        <w:jc w:val="left"/>
        <w:rPr>
          <w:rFonts w:hAnsi="宋体" w:cs="宋体"/>
          <w:b/>
          <w:color w:val="auto"/>
          <w:szCs w:val="21"/>
          <w:highlight w:val="none"/>
        </w:rPr>
      </w:pPr>
      <w:r>
        <w:rPr>
          <w:rFonts w:hint="eastAsia" w:hAnsi="宋体" w:cs="宋体"/>
          <w:b/>
          <w:color w:val="auto"/>
          <w:szCs w:val="21"/>
          <w:highlight w:val="none"/>
        </w:rPr>
        <w:t>执行财政部、工业和信息化部《政府采购促进中小企业发展管理办法》（财库〔2020〕46号）。政府采购活动中有关中小企业的相关规定如下：</w:t>
      </w:r>
    </w:p>
    <w:p w14:paraId="1DC01EF7">
      <w:pPr>
        <w:pStyle w:val="14"/>
        <w:wordWrap w:val="0"/>
        <w:snapToGrid w:val="0"/>
        <w:spacing w:line="360" w:lineRule="auto"/>
        <w:ind w:firstLine="420" w:firstLineChars="200"/>
        <w:jc w:val="left"/>
        <w:rPr>
          <w:rFonts w:hAnsi="宋体" w:cs="宋体"/>
          <w:b/>
          <w:color w:val="auto"/>
          <w:szCs w:val="21"/>
          <w:highlight w:val="none"/>
        </w:rPr>
      </w:pPr>
      <w:r>
        <w:rPr>
          <w:rFonts w:hint="eastAsia" w:hAnsi="宋体" w:cs="宋体"/>
          <w:b/>
          <w:color w:val="auto"/>
          <w:szCs w:val="21"/>
          <w:highlight w:val="none"/>
        </w:rPr>
        <w:t>2.1、中小企业，是指在中华人民共和国境内依法设立，依据国务院批准的中小企业划分标准确定的中型企业、小型企业和微型企业，但与大企业的负责人为同一人，或者与大企业存在直接控股、管理关系的除外。</w:t>
      </w:r>
    </w:p>
    <w:p w14:paraId="6CC22609">
      <w:pPr>
        <w:pStyle w:val="14"/>
        <w:wordWrap w:val="0"/>
        <w:snapToGrid w:val="0"/>
        <w:spacing w:line="360" w:lineRule="auto"/>
        <w:ind w:firstLine="420" w:firstLineChars="200"/>
        <w:jc w:val="left"/>
        <w:rPr>
          <w:rFonts w:hAnsi="宋体" w:cs="宋体"/>
          <w:b/>
          <w:color w:val="auto"/>
          <w:szCs w:val="21"/>
          <w:highlight w:val="none"/>
        </w:rPr>
      </w:pPr>
      <w:r>
        <w:rPr>
          <w:rFonts w:hint="eastAsia" w:hAnsi="宋体" w:cs="宋体"/>
          <w:b/>
          <w:color w:val="auto"/>
          <w:szCs w:val="21"/>
          <w:highlight w:val="none"/>
        </w:rPr>
        <w:t>符合中小企业划分标准的个体工商户，在政府采购活动中视同中小企业。</w:t>
      </w:r>
    </w:p>
    <w:p w14:paraId="427F293B">
      <w:pPr>
        <w:pStyle w:val="14"/>
        <w:wordWrap w:val="0"/>
        <w:snapToGrid w:val="0"/>
        <w:spacing w:line="360" w:lineRule="auto"/>
        <w:ind w:firstLine="420" w:firstLineChars="200"/>
        <w:jc w:val="left"/>
        <w:rPr>
          <w:rFonts w:hAnsi="宋体" w:cs="宋体"/>
          <w:b/>
          <w:color w:val="auto"/>
          <w:szCs w:val="21"/>
          <w:highlight w:val="none"/>
        </w:rPr>
      </w:pPr>
      <w:r>
        <w:rPr>
          <w:rFonts w:hint="eastAsia" w:hAnsi="宋体" w:cs="宋体"/>
          <w:b/>
          <w:color w:val="auto"/>
          <w:szCs w:val="21"/>
          <w:highlight w:val="none"/>
        </w:rPr>
        <w:t>国务院批准的中小企业划分标准：具体见工信部联企业[2011]300号。</w:t>
      </w:r>
    </w:p>
    <w:p w14:paraId="39741961">
      <w:pPr>
        <w:pStyle w:val="14"/>
        <w:wordWrap w:val="0"/>
        <w:snapToGrid w:val="0"/>
        <w:spacing w:line="360" w:lineRule="auto"/>
        <w:ind w:firstLine="420" w:firstLineChars="200"/>
        <w:jc w:val="left"/>
        <w:rPr>
          <w:rFonts w:hAnsi="宋体" w:cs="宋体"/>
          <w:b/>
          <w:color w:val="auto"/>
          <w:szCs w:val="21"/>
          <w:highlight w:val="none"/>
        </w:rPr>
      </w:pPr>
      <w:r>
        <w:rPr>
          <w:rFonts w:hint="eastAsia" w:hAnsi="宋体" w:cs="宋体"/>
          <w:b/>
          <w:color w:val="auto"/>
          <w:szCs w:val="21"/>
          <w:highlight w:val="none"/>
        </w:rPr>
        <w:t>2.2、在政府采购活动中，供应商提供的货物、工程或者服务符合下列情形的，享受《政府采购促进中小企业发展管理办法》规定的中小企业扶持政策：</w:t>
      </w:r>
    </w:p>
    <w:p w14:paraId="4B64C4C3">
      <w:pPr>
        <w:pStyle w:val="14"/>
        <w:wordWrap w:val="0"/>
        <w:snapToGrid w:val="0"/>
        <w:spacing w:line="360" w:lineRule="auto"/>
        <w:ind w:firstLine="420" w:firstLineChars="200"/>
        <w:jc w:val="left"/>
        <w:rPr>
          <w:rFonts w:hAnsi="宋体" w:cs="宋体"/>
          <w:b/>
          <w:color w:val="auto"/>
          <w:szCs w:val="21"/>
          <w:highlight w:val="none"/>
        </w:rPr>
      </w:pPr>
      <w:r>
        <w:rPr>
          <w:rFonts w:hint="eastAsia" w:hAnsi="宋体" w:cs="宋体"/>
          <w:b/>
          <w:color w:val="auto"/>
          <w:szCs w:val="21"/>
          <w:highlight w:val="none"/>
        </w:rPr>
        <w:t>（1）、在货物采购项目中，货物由中小企业制造，即货物由中小企业生产且使用该中小企业商号或者注册商标；</w:t>
      </w:r>
    </w:p>
    <w:p w14:paraId="34F4006C">
      <w:pPr>
        <w:pStyle w:val="14"/>
        <w:wordWrap w:val="0"/>
        <w:snapToGrid w:val="0"/>
        <w:spacing w:line="360" w:lineRule="auto"/>
        <w:ind w:firstLine="420" w:firstLineChars="200"/>
        <w:jc w:val="left"/>
        <w:rPr>
          <w:rFonts w:hAnsi="宋体" w:cs="宋体"/>
          <w:b/>
          <w:color w:val="auto"/>
          <w:szCs w:val="21"/>
          <w:highlight w:val="none"/>
        </w:rPr>
      </w:pPr>
      <w:r>
        <w:rPr>
          <w:rFonts w:hint="eastAsia" w:hAnsi="宋体" w:cs="宋体"/>
          <w:b/>
          <w:color w:val="auto"/>
          <w:szCs w:val="21"/>
          <w:highlight w:val="none"/>
        </w:rPr>
        <w:t>（2）、在工程采购项目中，工程由中小企业承建，即工程施工单位为中小企业；</w:t>
      </w:r>
    </w:p>
    <w:p w14:paraId="4906DC34">
      <w:pPr>
        <w:pStyle w:val="14"/>
        <w:wordWrap w:val="0"/>
        <w:snapToGrid w:val="0"/>
        <w:spacing w:line="360" w:lineRule="auto"/>
        <w:ind w:firstLine="420" w:firstLineChars="200"/>
        <w:jc w:val="left"/>
        <w:rPr>
          <w:rFonts w:hAnsi="宋体" w:cs="宋体"/>
          <w:b/>
          <w:color w:val="auto"/>
          <w:szCs w:val="21"/>
          <w:highlight w:val="none"/>
        </w:rPr>
      </w:pPr>
      <w:r>
        <w:rPr>
          <w:rFonts w:hint="eastAsia" w:hAnsi="宋体" w:cs="宋体"/>
          <w:b/>
          <w:color w:val="auto"/>
          <w:szCs w:val="21"/>
          <w:highlight w:val="none"/>
        </w:rPr>
        <w:t>（3）、在服务采购项目中，服务由中小企业承接，即提供服务的人员为中小企业依照《中华人民共和国劳动合同法》订立劳动合同的从业人员。</w:t>
      </w:r>
    </w:p>
    <w:p w14:paraId="4A5F0BF6">
      <w:pPr>
        <w:pStyle w:val="14"/>
        <w:wordWrap w:val="0"/>
        <w:snapToGrid w:val="0"/>
        <w:spacing w:line="360" w:lineRule="auto"/>
        <w:ind w:firstLine="420" w:firstLineChars="200"/>
        <w:jc w:val="left"/>
        <w:rPr>
          <w:rFonts w:hAnsi="宋体" w:cs="宋体"/>
          <w:b/>
          <w:color w:val="auto"/>
          <w:szCs w:val="21"/>
          <w:highlight w:val="none"/>
        </w:rPr>
      </w:pPr>
      <w:r>
        <w:rPr>
          <w:rFonts w:hint="eastAsia" w:hAnsi="宋体" w:cs="宋体"/>
          <w:b/>
          <w:color w:val="auto"/>
          <w:szCs w:val="21"/>
          <w:highlight w:val="none"/>
        </w:rPr>
        <w:t>在货物采购项目中，供应商提供的货物既有中小企业制造货物，也有大型企业制造货物的，不享受《政府采购促进中小企业发展管理办法》规定的中小企业扶持政策。</w:t>
      </w:r>
    </w:p>
    <w:p w14:paraId="7730F223">
      <w:pPr>
        <w:pStyle w:val="14"/>
        <w:wordWrap w:val="0"/>
        <w:snapToGrid w:val="0"/>
        <w:spacing w:line="360" w:lineRule="auto"/>
        <w:ind w:firstLine="420" w:firstLineChars="200"/>
        <w:jc w:val="left"/>
        <w:rPr>
          <w:rFonts w:hAnsi="宋体" w:cs="宋体"/>
          <w:b/>
          <w:color w:val="auto"/>
          <w:szCs w:val="21"/>
          <w:highlight w:val="none"/>
        </w:rPr>
      </w:pPr>
      <w:r>
        <w:rPr>
          <w:rFonts w:hint="eastAsia" w:hAnsi="宋体" w:cs="宋体"/>
          <w:b/>
          <w:color w:val="auto"/>
          <w:szCs w:val="21"/>
          <w:highlight w:val="none"/>
        </w:rPr>
        <w:t>以联合体形式参加政府采购活动，联合体各方均为中小企业的，联合体视同中小企业。其中，联合体各方均为小微企业的，联合体视同小微企业。</w:t>
      </w:r>
    </w:p>
    <w:p w14:paraId="7EFD7E32">
      <w:pPr>
        <w:pStyle w:val="14"/>
        <w:wordWrap w:val="0"/>
        <w:snapToGrid w:val="0"/>
        <w:spacing w:line="360" w:lineRule="auto"/>
        <w:ind w:firstLine="420" w:firstLineChars="200"/>
        <w:jc w:val="left"/>
        <w:rPr>
          <w:rFonts w:hAnsi="宋体" w:cs="宋体"/>
          <w:b/>
          <w:color w:val="auto"/>
          <w:szCs w:val="21"/>
          <w:highlight w:val="none"/>
        </w:rPr>
      </w:pPr>
      <w:r>
        <w:rPr>
          <w:rFonts w:hint="eastAsia" w:hAnsi="宋体" w:cs="宋体"/>
          <w:b/>
          <w:color w:val="auto"/>
          <w:szCs w:val="21"/>
          <w:highlight w:val="none"/>
        </w:rPr>
        <w:t>2.3、中小企业参加政府采购活动，应当出具《政府采购促进中小企业发展管理办法》规定的《中小企业声明函》（格式见本采购文件附件），否则不得享受相关中小企业扶持政策。</w:t>
      </w:r>
    </w:p>
    <w:p w14:paraId="03A1E3E3">
      <w:pPr>
        <w:pStyle w:val="14"/>
        <w:wordWrap w:val="0"/>
        <w:snapToGrid w:val="0"/>
        <w:spacing w:line="360" w:lineRule="auto"/>
        <w:ind w:firstLine="420" w:firstLineChars="200"/>
        <w:jc w:val="left"/>
        <w:rPr>
          <w:rFonts w:hAnsi="宋体" w:cs="宋体"/>
          <w:b/>
          <w:color w:val="auto"/>
          <w:szCs w:val="21"/>
          <w:highlight w:val="none"/>
        </w:rPr>
      </w:pPr>
      <w:r>
        <w:rPr>
          <w:rFonts w:hint="eastAsia" w:hAnsi="宋体" w:cs="宋体"/>
          <w:b/>
          <w:color w:val="auto"/>
          <w:szCs w:val="21"/>
          <w:highlight w:val="none"/>
        </w:rPr>
        <w:t>2.4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0895AF0B">
      <w:pPr>
        <w:pStyle w:val="14"/>
        <w:wordWrap w:val="0"/>
        <w:snapToGrid w:val="0"/>
        <w:spacing w:line="360" w:lineRule="auto"/>
        <w:ind w:firstLine="420" w:firstLineChars="200"/>
        <w:jc w:val="left"/>
        <w:rPr>
          <w:rFonts w:hAnsi="宋体" w:cs="宋体"/>
          <w:b/>
          <w:color w:val="auto"/>
          <w:szCs w:val="21"/>
          <w:highlight w:val="none"/>
        </w:rPr>
      </w:pPr>
      <w:r>
        <w:rPr>
          <w:rFonts w:hint="eastAsia" w:hAnsi="宋体" w:cs="宋体"/>
          <w:b/>
          <w:color w:val="auto"/>
          <w:szCs w:val="21"/>
          <w:highlight w:val="none"/>
        </w:rPr>
        <w:t>供应商提供声明函内容不实的，属于提供虚假材料谋取中标、成交，依照《中华人民共和国政府采购法》等国家有关规定追究相应责任。</w:t>
      </w:r>
    </w:p>
    <w:p w14:paraId="5F0A163D">
      <w:pPr>
        <w:pStyle w:val="14"/>
        <w:wordWrap w:val="0"/>
        <w:snapToGrid w:val="0"/>
        <w:spacing w:line="360" w:lineRule="auto"/>
        <w:ind w:firstLine="420" w:firstLineChars="200"/>
        <w:jc w:val="left"/>
        <w:rPr>
          <w:rFonts w:hAnsi="宋体" w:cs="宋体"/>
          <w:b/>
          <w:color w:val="auto"/>
          <w:szCs w:val="21"/>
          <w:highlight w:val="none"/>
        </w:rPr>
      </w:pPr>
      <w:r>
        <w:rPr>
          <w:rFonts w:hint="eastAsia" w:hAnsi="宋体" w:cs="宋体"/>
          <w:b/>
          <w:color w:val="auto"/>
          <w:szCs w:val="21"/>
          <w:highlight w:val="none"/>
        </w:rPr>
        <w:t>适用招标投标法的政府采购工程建设项目，投标人提供声明函内容不实的，属于弄虚作假骗取中标，依照《中华人民共和国招标投标法》等国家有关规定追究相应责任。</w:t>
      </w:r>
    </w:p>
    <w:p w14:paraId="2522872C">
      <w:pPr>
        <w:pStyle w:val="14"/>
        <w:wordWrap w:val="0"/>
        <w:snapToGrid w:val="0"/>
        <w:spacing w:line="360" w:lineRule="auto"/>
        <w:ind w:firstLine="420" w:firstLineChars="200"/>
        <w:jc w:val="left"/>
        <w:rPr>
          <w:rFonts w:hAnsi="宋体" w:cs="宋体"/>
          <w:b/>
          <w:color w:val="auto"/>
          <w:szCs w:val="21"/>
          <w:highlight w:val="none"/>
        </w:rPr>
      </w:pPr>
      <w:r>
        <w:rPr>
          <w:rFonts w:hint="eastAsia" w:hAnsi="宋体" w:cs="宋体"/>
          <w:b/>
          <w:color w:val="auto"/>
          <w:szCs w:val="21"/>
          <w:highlight w:val="none"/>
        </w:rPr>
        <w:t>2.5、《中小企业声明函》由参加投标的供应商提交，如供应商为代理商，须自行采集制造商的中小企业划分类型信息填入相应栏目并对其真实性负责。</w:t>
      </w:r>
    </w:p>
    <w:p w14:paraId="3B1CBBA7">
      <w:pPr>
        <w:tabs>
          <w:tab w:val="left" w:pos="518"/>
        </w:tabs>
        <w:adjustRightInd w:val="0"/>
        <w:snapToGrid w:val="0"/>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3. 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未能提供上述证明文件的不予认可。</w:t>
      </w:r>
    </w:p>
    <w:p w14:paraId="4859EC95">
      <w:pPr>
        <w:tabs>
          <w:tab w:val="left" w:pos="518"/>
        </w:tabs>
        <w:adjustRightInd w:val="0"/>
        <w:snapToGrid w:val="0"/>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4. 根据《关于促进残疾人就业政府采购政策的通知》（财库[2017]141号）规定，在政府采购活动中，残疾人福利性单位视同小型、微型企业。残疾人福利性单位参加政府采购活动时，提供《残疾人福利性单位声明函》，并对声明的真实性负责，未能提供的不予认可。</w:t>
      </w:r>
    </w:p>
    <w:p w14:paraId="49B58AC5">
      <w:pPr>
        <w:tabs>
          <w:tab w:val="left" w:pos="518"/>
        </w:tabs>
        <w:adjustRightInd w:val="0"/>
        <w:snapToGrid w:val="0"/>
        <w:spacing w:line="360" w:lineRule="auto"/>
        <w:ind w:firstLine="420" w:firstLineChars="200"/>
        <w:rPr>
          <w:rFonts w:ascii="宋体" w:hAnsi="宋体" w:cs="宋体"/>
          <w:b/>
          <w:color w:val="auto"/>
          <w:szCs w:val="21"/>
          <w:highlight w:val="none"/>
        </w:rPr>
      </w:pPr>
      <w:r>
        <w:rPr>
          <w:rFonts w:hint="eastAsia" w:ascii="宋体" w:hAnsi="宋体"/>
          <w:bCs/>
          <w:color w:val="auto"/>
          <w:szCs w:val="21"/>
          <w:highlight w:val="none"/>
        </w:rPr>
        <w:t>★</w:t>
      </w:r>
      <w:r>
        <w:rPr>
          <w:rFonts w:hint="eastAsia" w:ascii="宋体" w:hAnsi="宋体" w:cs="宋体"/>
          <w:b/>
          <w:color w:val="auto"/>
          <w:szCs w:val="21"/>
          <w:highlight w:val="none"/>
        </w:rPr>
        <w:t>5. 投标人应仔细阅读招标文件的所有内容，按照招标文件的要求提交投标文件，并对所提供的全部资料的真实性承担法律责任。</w:t>
      </w:r>
    </w:p>
    <w:p w14:paraId="00964264">
      <w:pPr>
        <w:spacing w:line="400" w:lineRule="exact"/>
        <w:ind w:firstLine="403"/>
        <w:jc w:val="left"/>
        <w:rPr>
          <w:rFonts w:ascii="宋体" w:hAnsi="宋体" w:cs="宋体"/>
          <w:b/>
          <w:color w:val="auto"/>
          <w:szCs w:val="21"/>
          <w:highlight w:val="none"/>
        </w:rPr>
      </w:pPr>
      <w:r>
        <w:rPr>
          <w:rFonts w:hint="eastAsia" w:ascii="宋体" w:hAnsi="宋体"/>
          <w:bCs/>
          <w:color w:val="auto"/>
          <w:szCs w:val="21"/>
          <w:highlight w:val="none"/>
        </w:rPr>
        <w:t>★</w:t>
      </w:r>
      <w:r>
        <w:rPr>
          <w:rFonts w:hint="eastAsia" w:ascii="宋体" w:hAnsi="宋体" w:cs="宋体"/>
          <w:b/>
          <w:color w:val="auto"/>
          <w:szCs w:val="21"/>
          <w:highlight w:val="none"/>
        </w:rPr>
        <w:t>6. 投标人在投标活动中提供任何虚假材料，其投标无效。</w:t>
      </w:r>
    </w:p>
    <w:bookmarkEnd w:id="26"/>
    <w:p w14:paraId="11E4D8F6">
      <w:pPr>
        <w:pStyle w:val="4"/>
        <w:rPr>
          <w:rFonts w:ascii="宋体" w:hAnsi="宋体" w:cs="宋体"/>
          <w:color w:val="auto"/>
          <w:kern w:val="2"/>
          <w:sz w:val="21"/>
          <w:szCs w:val="21"/>
          <w:highlight w:val="none"/>
        </w:rPr>
        <w:sectPr>
          <w:pgSz w:w="11906" w:h="16838"/>
          <w:pgMar w:top="1474" w:right="1418" w:bottom="1134" w:left="1418" w:header="851" w:footer="851" w:gutter="0"/>
          <w:cols w:space="720" w:num="1"/>
          <w:docGrid w:type="linesAndChars" w:linePitch="312" w:charSpace="0"/>
        </w:sectPr>
      </w:pPr>
    </w:p>
    <w:p w14:paraId="0BD1FE55">
      <w:pPr>
        <w:pStyle w:val="4"/>
        <w:rPr>
          <w:color w:val="auto"/>
          <w:highlight w:val="none"/>
        </w:rPr>
      </w:pPr>
      <w:bookmarkStart w:id="29" w:name="_Toc65753668"/>
      <w:r>
        <w:rPr>
          <w:rFonts w:hint="eastAsia"/>
          <w:color w:val="auto"/>
          <w:highlight w:val="none"/>
        </w:rPr>
        <w:t>第三部分  项目内容及要求</w:t>
      </w:r>
      <w:bookmarkEnd w:id="29"/>
    </w:p>
    <w:p w14:paraId="1C8D3B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bookmarkStart w:id="30" w:name="1.3项目主要建设内容和建设期"/>
      <w:bookmarkEnd w:id="30"/>
      <w:bookmarkStart w:id="31" w:name="_bookmark3"/>
      <w:bookmarkEnd w:id="31"/>
      <w:bookmarkStart w:id="32" w:name="_bookmark3"/>
      <w:bookmarkEnd w:id="32"/>
      <w:bookmarkStart w:id="33" w:name="_bookmark2"/>
      <w:bookmarkEnd w:id="33"/>
      <w:bookmarkStart w:id="34" w:name="_bookmark2"/>
      <w:bookmarkEnd w:id="34"/>
      <w:bookmarkStart w:id="35" w:name="1.2项目建设单位"/>
      <w:bookmarkEnd w:id="35"/>
      <w:bookmarkStart w:id="36" w:name="_Toc65753669"/>
    </w:p>
    <w:p w14:paraId="082A474B">
      <w:pPr>
        <w:spacing w:line="360" w:lineRule="auto"/>
        <w:ind w:firstLine="422" w:firstLineChars="200"/>
        <w:jc w:val="left"/>
        <w:rPr>
          <w:rFonts w:hint="eastAsia" w:ascii="宋体" w:hAnsi="宋体" w:eastAsia="宋体"/>
          <w:b/>
          <w:bCs w:val="0"/>
          <w:color w:val="auto"/>
          <w:szCs w:val="21"/>
          <w:highlight w:val="none"/>
          <w:lang w:eastAsia="zh-CN"/>
        </w:rPr>
      </w:pPr>
      <w:bookmarkStart w:id="37" w:name="_Toc98230515"/>
      <w:bookmarkStart w:id="38" w:name="_Toc95205236"/>
      <w:r>
        <w:rPr>
          <w:rFonts w:hint="eastAsia" w:ascii="宋体" w:hAnsi="宋体" w:eastAsia="宋体"/>
          <w:b/>
          <w:bCs w:val="0"/>
          <w:color w:val="auto"/>
          <w:szCs w:val="21"/>
          <w:highlight w:val="none"/>
          <w:lang w:val="en-US" w:eastAsia="zh-CN"/>
        </w:rPr>
        <w:t>一、</w:t>
      </w:r>
      <w:r>
        <w:rPr>
          <w:rFonts w:hint="eastAsia" w:ascii="宋体" w:hAnsi="宋体" w:eastAsia="宋体"/>
          <w:b/>
          <w:bCs w:val="0"/>
          <w:color w:val="auto"/>
          <w:szCs w:val="21"/>
          <w:highlight w:val="none"/>
          <w:lang w:eastAsia="zh-CN"/>
        </w:rPr>
        <w:t>工作目标</w:t>
      </w:r>
    </w:p>
    <w:p w14:paraId="4649CA77">
      <w:pPr>
        <w:pStyle w:val="2"/>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default" w:ascii="宋体" w:hAnsi="宋体" w:cs="宋体" w:eastAsiaTheme="minorEastAsia"/>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 xml:space="preserve">   </w:t>
      </w:r>
      <w:r>
        <w:rPr>
          <w:rFonts w:hint="eastAsia" w:ascii="宋体" w:hAnsi="宋体" w:cs="宋体" w:eastAsiaTheme="minorEastAsia"/>
          <w:bCs/>
          <w:color w:val="auto"/>
          <w:kern w:val="2"/>
          <w:sz w:val="21"/>
          <w:szCs w:val="21"/>
          <w:highlight w:val="none"/>
          <w:lang w:val="en-US" w:eastAsia="zh-CN" w:bidi="ar-SA"/>
        </w:rPr>
        <w:t>根据《自然资源部关于进一步做好地籍调查工作的通知》（自然资发〔2023〕195号)、《自然资源部办公厅关于加快编制地籍图的通知》（自然资办函〔2024〕1481号)、自然资源部确权登记局《关于加快地籍成果入库汇交工作的函》（自然资登记函[2025]32号）和《浙江省自然资源厅关于加快地籍成果入库汇交工作的通知》等文件工作要求， 2025 年底前完成宅基地及集体建设用地全覆盖地籍图编制，2026年底前，基本完成国有建设用地地籍调查成果收集整理，补充完善已登记宗地的图形数据，入库上图并汇交到部。以便进一步完善地籍调查工作机制，促进地籍数据共享应用，更好支撑确权登记、服务自然资源管理工作。</w:t>
      </w:r>
    </w:p>
    <w:bookmarkEnd w:id="37"/>
    <w:bookmarkEnd w:id="38"/>
    <w:p w14:paraId="6E250BD8">
      <w:pPr>
        <w:spacing w:line="360" w:lineRule="auto"/>
        <w:ind w:firstLine="422" w:firstLineChars="200"/>
        <w:rPr>
          <w:rFonts w:hint="eastAsia" w:ascii="宋体" w:hAnsi="宋体" w:cs="宋体"/>
          <w:bCs/>
          <w:color w:val="auto"/>
          <w:szCs w:val="21"/>
          <w:highlight w:val="none"/>
        </w:rPr>
      </w:pPr>
      <w:r>
        <w:rPr>
          <w:rFonts w:hint="eastAsia" w:ascii="宋体" w:hAnsi="宋体" w:eastAsia="宋体"/>
          <w:b/>
          <w:color w:val="auto"/>
          <w:szCs w:val="21"/>
          <w:highlight w:val="none"/>
          <w:lang w:val="en-US" w:eastAsia="zh-CN"/>
        </w:rPr>
        <w:t>二、</w:t>
      </w:r>
      <w:r>
        <w:rPr>
          <w:rFonts w:hint="eastAsia" w:ascii="宋体" w:hAnsi="宋体" w:eastAsia="宋体"/>
          <w:b/>
          <w:color w:val="auto"/>
          <w:szCs w:val="21"/>
          <w:highlight w:val="none"/>
          <w:lang w:eastAsia="zh-CN"/>
        </w:rPr>
        <w:t>工作</w:t>
      </w:r>
      <w:r>
        <w:rPr>
          <w:rFonts w:hint="eastAsia" w:ascii="宋体" w:hAnsi="宋体" w:eastAsia="宋体"/>
          <w:b/>
          <w:color w:val="auto"/>
          <w:szCs w:val="21"/>
          <w:highlight w:val="none"/>
        </w:rPr>
        <w:t>内容</w:t>
      </w:r>
    </w:p>
    <w:p w14:paraId="1A602F79">
      <w:pPr>
        <w:wordWrap w:val="0"/>
        <w:spacing w:line="360" w:lineRule="auto"/>
        <w:ind w:firstLine="420" w:firstLineChars="200"/>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（一）地籍数据收集、分析、转换</w:t>
      </w:r>
    </w:p>
    <w:p w14:paraId="268088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Times New Roman" w:eastAsia="仿宋_GB2312" w:cs="Times New Roman"/>
          <w:bCs/>
          <w:sz w:val="32"/>
          <w:szCs w:val="32"/>
          <w:lang w:val="en-US" w:eastAsia="zh-CN"/>
        </w:rPr>
      </w:pPr>
      <w:r>
        <w:rPr>
          <w:rFonts w:hint="eastAsia" w:ascii="宋体" w:hAnsi="宋体" w:cs="宋体"/>
          <w:bCs/>
          <w:color w:val="auto"/>
          <w:szCs w:val="21"/>
          <w:highlight w:val="none"/>
          <w:lang w:val="en-US" w:eastAsia="zh-CN"/>
        </w:rPr>
        <w:t>全面收集整理不动产登记、城镇地籍调查、农房调查、测绘地理信息、国土调查等各类数据，从数据总量、数据现状、图属关联情况进行统一分析。按地籍库标准进行转化转换融合，形成最新的地籍库数据底板</w:t>
      </w:r>
      <w:r>
        <w:rPr>
          <w:rFonts w:hint="eastAsia" w:ascii="仿宋_GB2312" w:hAnsi="Times New Roman" w:eastAsia="仿宋_GB2312" w:cs="Times New Roman"/>
          <w:bCs/>
          <w:sz w:val="32"/>
          <w:szCs w:val="32"/>
          <w:lang w:val="en-US" w:eastAsia="zh-CN"/>
        </w:rPr>
        <w:t>。</w:t>
      </w:r>
    </w:p>
    <w:p w14:paraId="451CAD46">
      <w:pPr>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（二）补充地籍调查</w:t>
      </w:r>
    </w:p>
    <w:p w14:paraId="487B27FF">
      <w:pPr>
        <w:wordWrap w:val="0"/>
        <w:spacing w:line="360" w:lineRule="auto"/>
        <w:ind w:firstLine="420" w:firstLineChars="200"/>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区分已登记、已调查未登记、未调查三种情形重点补充完善图形数据，同时加强与登记数据的图属关联、业务关联、现势性关联、数据校核等。</w:t>
      </w:r>
    </w:p>
    <w:p w14:paraId="4F76700A">
      <w:pPr>
        <w:wordWrap w:val="0"/>
        <w:spacing w:line="360" w:lineRule="auto"/>
        <w:ind w:firstLine="420" w:firstLineChars="200"/>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对已登记缺矢量图形的，适当开展相关外业核查工作，根据外业成果建立宗地图形与不动产登记证书关联关系。</w:t>
      </w:r>
    </w:p>
    <w:p w14:paraId="1FFED4D0">
      <w:pPr>
        <w:wordWrap w:val="0"/>
        <w:spacing w:line="360" w:lineRule="auto"/>
        <w:ind w:firstLine="420" w:firstLineChars="200"/>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对未调查的，应组织开展地籍调查。按照部、省规范为加快该项工作进度，对农村宅基地和集体建设用地可采用影像图勾绘的简易方法上图、国有建设用地应组织开展地籍测绘和权属调查。</w:t>
      </w:r>
    </w:p>
    <w:p w14:paraId="0BA70152">
      <w:pPr>
        <w:wordWrap w:val="0"/>
        <w:spacing w:line="360" w:lineRule="auto"/>
        <w:ind w:firstLine="420" w:firstLineChars="200"/>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（三）完善地籍图要素</w:t>
      </w:r>
    </w:p>
    <w:p w14:paraId="64DA2089">
      <w:pPr>
        <w:wordWrap w:val="0"/>
        <w:spacing w:line="360" w:lineRule="auto"/>
        <w:ind w:firstLine="420" w:firstLineChars="200"/>
        <w:rPr>
          <w:rFonts w:hint="eastAsia" w:ascii="仿宋_GB2312" w:hAnsi="Times New Roman" w:eastAsia="仿宋_GB2312" w:cs="Times New Roman"/>
          <w:bCs/>
          <w:sz w:val="32"/>
          <w:szCs w:val="32"/>
          <w:lang w:val="en-US" w:eastAsia="zh-CN"/>
        </w:rPr>
      </w:pPr>
      <w:r>
        <w:rPr>
          <w:rFonts w:hint="eastAsia" w:ascii="宋体" w:hAnsi="宋体" w:cs="宋体"/>
          <w:bCs/>
          <w:color w:val="auto"/>
          <w:szCs w:val="21"/>
          <w:highlight w:val="none"/>
          <w:lang w:val="en-US" w:eastAsia="zh-CN"/>
        </w:rPr>
        <w:t>按照《地籍图编制技术规范（试行）》等规定，补充现势有效、覆盖全域的地籍要素。对未调查的道路、水系、公园绿地等，先利用各类测绘、调查数据上图、更新。地籍图编制成果格式以电子地图为主，根据需要选择合适比例尺、分幅方式，制作生成固定格式的地籍图。</w:t>
      </w:r>
    </w:p>
    <w:p w14:paraId="1DD58275">
      <w:pPr>
        <w:wordWrap w:val="0"/>
        <w:spacing w:line="360" w:lineRule="auto"/>
        <w:ind w:firstLine="420" w:firstLineChars="200"/>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（四）成果质检汇交</w:t>
      </w:r>
    </w:p>
    <w:p w14:paraId="3F8CD5A7">
      <w:pPr>
        <w:wordWrap w:val="0"/>
        <w:spacing w:line="360" w:lineRule="auto"/>
        <w:ind w:firstLine="420" w:firstLineChars="200"/>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地籍数据库成果以数据库形式包括矢量数据、属性数据，重点保障地籍调查成果空间覆盖率、数据完整性图属一致性、数据现势性等指标的质量。相关成果通过质检软件检查合格，按照市、省二级质检通过后汇交报部。</w:t>
      </w:r>
    </w:p>
    <w:p w14:paraId="38C96484">
      <w:pPr>
        <w:wordWrap w:val="0"/>
        <w:spacing w:line="360" w:lineRule="auto"/>
        <w:ind w:firstLine="420" w:firstLineChars="200"/>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后续按照市级统建地籍数据库相关系统平台的开发进度和功能要求，实现各类地籍数据入库和地籍图编制与展示等功能。</w:t>
      </w:r>
    </w:p>
    <w:p w14:paraId="14DA520E">
      <w:pPr>
        <w:numPr>
          <w:ilvl w:val="0"/>
          <w:numId w:val="0"/>
        </w:numPr>
        <w:spacing w:line="360" w:lineRule="auto"/>
        <w:ind w:firstLine="211" w:firstLineChars="100"/>
        <w:rPr>
          <w:rFonts w:hint="eastAsia" w:ascii="仿宋_GB2312" w:cs="Times New Roman"/>
          <w:b/>
          <w:bCs/>
          <w:color w:val="auto"/>
          <w:kern w:val="2"/>
          <w:sz w:val="21"/>
          <w:szCs w:val="28"/>
          <w:highlight w:val="none"/>
          <w:lang w:val="en-US" w:eastAsia="zh-CN" w:bidi="ar-SA"/>
        </w:rPr>
      </w:pPr>
    </w:p>
    <w:p w14:paraId="4890865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b/>
          <w:color w:val="auto"/>
          <w:szCs w:val="21"/>
          <w:highlight w:val="none"/>
          <w:lang w:eastAsia="zh-CN"/>
        </w:rPr>
      </w:pPr>
      <w:r>
        <w:rPr>
          <w:rFonts w:hint="eastAsia" w:ascii="宋体" w:hAnsi="宋体" w:eastAsia="宋体"/>
          <w:b/>
          <w:color w:val="auto"/>
          <w:szCs w:val="21"/>
          <w:highlight w:val="none"/>
          <w:lang w:val="en-US" w:eastAsia="zh-CN"/>
        </w:rPr>
        <w:t>三、</w:t>
      </w:r>
      <w:r>
        <w:rPr>
          <w:rFonts w:hint="eastAsia" w:ascii="宋体" w:hAnsi="宋体" w:eastAsia="宋体"/>
          <w:b/>
          <w:color w:val="auto"/>
          <w:szCs w:val="21"/>
          <w:highlight w:val="none"/>
          <w:lang w:eastAsia="zh-CN"/>
        </w:rPr>
        <w:t>工作进度</w:t>
      </w:r>
    </w:p>
    <w:p w14:paraId="3DFA22A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2025年8月底前完成宅基地及集体建设用地部分全覆盖地籍图编制，并将宅基地和集体建设用地地籍数据，城镇地籍调查、林权、土地承包经营权等已有地籍成果汇交经市级质检通过后报省部；2026年底前，完成国有建设用地部分全覆盖地籍图编制并汇交省部。</w:t>
      </w:r>
    </w:p>
    <w:p w14:paraId="2253F04E">
      <w:pPr>
        <w:numPr>
          <w:ilvl w:val="0"/>
          <w:numId w:val="0"/>
        </w:numPr>
        <w:spacing w:line="360" w:lineRule="auto"/>
        <w:ind w:firstLine="211" w:firstLineChars="100"/>
        <w:rPr>
          <w:rFonts w:hint="eastAsia" w:ascii="仿宋_GB2312" w:cs="Times New Roman"/>
          <w:b/>
          <w:bCs/>
          <w:color w:val="auto"/>
          <w:kern w:val="2"/>
          <w:sz w:val="21"/>
          <w:szCs w:val="28"/>
          <w:highlight w:val="none"/>
          <w:lang w:val="en-US" w:eastAsia="zh-CN" w:bidi="ar-SA"/>
        </w:rPr>
      </w:pPr>
    </w:p>
    <w:p w14:paraId="127AD940">
      <w:pPr>
        <w:numPr>
          <w:ilvl w:val="0"/>
          <w:numId w:val="0"/>
        </w:numPr>
        <w:ind w:firstLine="211" w:firstLineChars="100"/>
        <w:rPr>
          <w:rFonts w:hint="default" w:ascii="仿宋_GB2312" w:hAnsi="Times New Roman" w:eastAsia="宋体" w:cs="Times New Roman"/>
          <w:b/>
          <w:bCs/>
          <w:color w:val="auto"/>
          <w:kern w:val="2"/>
          <w:sz w:val="21"/>
          <w:szCs w:val="28"/>
          <w:highlight w:val="none"/>
          <w:lang w:val="en-US" w:eastAsia="zh-CN" w:bidi="ar-SA"/>
        </w:rPr>
      </w:pPr>
      <w:r>
        <w:rPr>
          <w:rFonts w:hint="eastAsia" w:ascii="仿宋_GB2312" w:cs="Times New Roman"/>
          <w:b/>
          <w:bCs/>
          <w:color w:val="auto"/>
          <w:kern w:val="2"/>
          <w:sz w:val="21"/>
          <w:szCs w:val="28"/>
          <w:highlight w:val="none"/>
          <w:lang w:val="en-US" w:eastAsia="zh-CN" w:bidi="ar-SA"/>
        </w:rPr>
        <w:t>四、</w:t>
      </w:r>
      <w:r>
        <w:rPr>
          <w:rFonts w:hint="eastAsia" w:ascii="仿宋_GB2312" w:hAnsi="Times New Roman" w:eastAsia="宋体" w:cs="Times New Roman"/>
          <w:b/>
          <w:bCs/>
          <w:color w:val="auto"/>
          <w:kern w:val="2"/>
          <w:sz w:val="21"/>
          <w:szCs w:val="28"/>
          <w:highlight w:val="none"/>
          <w:lang w:val="en-US" w:eastAsia="zh-CN" w:bidi="ar-SA"/>
        </w:rPr>
        <w:t>商务</w:t>
      </w:r>
      <w:r>
        <w:rPr>
          <w:rFonts w:hint="eastAsia" w:ascii="仿宋_GB2312" w:cs="Times New Roman"/>
          <w:b/>
          <w:bCs/>
          <w:color w:val="auto"/>
          <w:kern w:val="2"/>
          <w:sz w:val="21"/>
          <w:szCs w:val="28"/>
          <w:highlight w:val="none"/>
          <w:lang w:val="en-US" w:eastAsia="zh-CN" w:bidi="ar-SA"/>
        </w:rPr>
        <w:t>要求表</w:t>
      </w:r>
    </w:p>
    <w:tbl>
      <w:tblPr>
        <w:tblStyle w:val="25"/>
        <w:tblpPr w:leftFromText="180" w:rightFromText="180" w:vertAnchor="text" w:horzAnchor="page" w:tblpX="1022" w:tblpY="321"/>
        <w:tblOverlap w:val="never"/>
        <w:tblW w:w="9606" w:type="dxa"/>
        <w:tblInd w:w="0" w:type="dxa"/>
        <w:tblLayout w:type="fixed"/>
        <w:tblCellMar>
          <w:top w:w="0" w:type="dxa"/>
          <w:left w:w="108" w:type="dxa"/>
          <w:bottom w:w="0" w:type="dxa"/>
          <w:right w:w="108" w:type="dxa"/>
        </w:tblCellMar>
      </w:tblPr>
      <w:tblGrid>
        <w:gridCol w:w="922"/>
        <w:gridCol w:w="8684"/>
      </w:tblGrid>
      <w:tr w14:paraId="292E263C">
        <w:tblPrEx>
          <w:tblCellMar>
            <w:top w:w="0" w:type="dxa"/>
            <w:left w:w="108" w:type="dxa"/>
            <w:bottom w:w="0" w:type="dxa"/>
            <w:right w:w="108" w:type="dxa"/>
          </w:tblCellMar>
        </w:tblPrEx>
        <w:trPr>
          <w:trHeight w:val="497" w:hRule="atLeast"/>
        </w:trPr>
        <w:tc>
          <w:tcPr>
            <w:tcW w:w="922" w:type="dxa"/>
            <w:tcBorders>
              <w:top w:val="single" w:color="auto" w:sz="4" w:space="0"/>
              <w:left w:val="single" w:color="auto" w:sz="4" w:space="0"/>
              <w:bottom w:val="single" w:color="000000" w:sz="6" w:space="0"/>
              <w:right w:val="single" w:color="000000" w:sz="6" w:space="0"/>
            </w:tcBorders>
            <w:noWrap w:val="0"/>
            <w:vAlign w:val="center"/>
          </w:tcPr>
          <w:p w14:paraId="24FC721D">
            <w:pPr>
              <w:autoSpaceDE w:val="0"/>
              <w:autoSpaceDN w:val="0"/>
              <w:adjustRightInd w:val="0"/>
              <w:spacing w:line="400" w:lineRule="exact"/>
              <w:jc w:val="center"/>
              <w:rPr>
                <w:rFonts w:ascii="宋体" w:hAnsi="宋体"/>
                <w:b/>
                <w:bCs/>
                <w:color w:val="auto"/>
                <w:szCs w:val="21"/>
                <w:highlight w:val="none"/>
              </w:rPr>
            </w:pPr>
            <w:r>
              <w:rPr>
                <w:rFonts w:hint="eastAsia" w:ascii="宋体" w:hAnsi="宋体"/>
                <w:b/>
                <w:bCs/>
                <w:color w:val="auto"/>
                <w:szCs w:val="21"/>
                <w:highlight w:val="none"/>
              </w:rPr>
              <w:t>序号</w:t>
            </w:r>
          </w:p>
        </w:tc>
        <w:tc>
          <w:tcPr>
            <w:tcW w:w="8684" w:type="dxa"/>
            <w:tcBorders>
              <w:top w:val="single" w:color="auto" w:sz="4" w:space="0"/>
              <w:left w:val="nil"/>
              <w:bottom w:val="single" w:color="000000" w:sz="6" w:space="0"/>
              <w:right w:val="single" w:color="auto" w:sz="4" w:space="0"/>
            </w:tcBorders>
            <w:noWrap w:val="0"/>
            <w:vAlign w:val="center"/>
          </w:tcPr>
          <w:p w14:paraId="6CC4616B">
            <w:pPr>
              <w:autoSpaceDE w:val="0"/>
              <w:autoSpaceDN w:val="0"/>
              <w:adjustRightInd w:val="0"/>
              <w:spacing w:line="400" w:lineRule="exact"/>
              <w:jc w:val="center"/>
              <w:rPr>
                <w:rFonts w:ascii="宋体" w:hAnsi="宋体"/>
                <w:b/>
                <w:bCs/>
                <w:color w:val="auto"/>
                <w:szCs w:val="21"/>
                <w:highlight w:val="none"/>
              </w:rPr>
            </w:pPr>
            <w:r>
              <w:rPr>
                <w:rFonts w:hint="eastAsia" w:ascii="宋体" w:hAnsi="宋体"/>
                <w:b/>
                <w:bCs/>
                <w:color w:val="auto"/>
                <w:szCs w:val="21"/>
                <w:highlight w:val="none"/>
              </w:rPr>
              <w:t>内      容</w:t>
            </w:r>
          </w:p>
        </w:tc>
      </w:tr>
      <w:tr w14:paraId="6EBC9B3A">
        <w:tblPrEx>
          <w:tblCellMar>
            <w:top w:w="0" w:type="dxa"/>
            <w:left w:w="108" w:type="dxa"/>
            <w:bottom w:w="0" w:type="dxa"/>
            <w:right w:w="108" w:type="dxa"/>
          </w:tblCellMar>
        </w:tblPrEx>
        <w:trPr>
          <w:trHeight w:val="576" w:hRule="atLeast"/>
        </w:trPr>
        <w:tc>
          <w:tcPr>
            <w:tcW w:w="922" w:type="dxa"/>
            <w:tcBorders>
              <w:top w:val="single" w:color="000000" w:sz="6" w:space="0"/>
              <w:left w:val="single" w:color="auto" w:sz="4" w:space="0"/>
              <w:bottom w:val="single" w:color="000000" w:sz="6" w:space="0"/>
              <w:right w:val="single" w:color="000000" w:sz="6" w:space="0"/>
            </w:tcBorders>
            <w:noWrap w:val="0"/>
            <w:vAlign w:val="center"/>
          </w:tcPr>
          <w:p w14:paraId="3A274CDA">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8684" w:type="dxa"/>
            <w:tcBorders>
              <w:top w:val="single" w:color="000000" w:sz="6" w:space="0"/>
              <w:left w:val="nil"/>
              <w:bottom w:val="single" w:color="000000" w:sz="6" w:space="0"/>
              <w:right w:val="single" w:color="auto" w:sz="4" w:space="0"/>
            </w:tcBorders>
            <w:noWrap w:val="0"/>
            <w:vAlign w:val="center"/>
          </w:tcPr>
          <w:p w14:paraId="49B7E68C">
            <w:pPr>
              <w:spacing w:line="400" w:lineRule="exact"/>
              <w:rPr>
                <w:rFonts w:hint="eastAsia" w:ascii="宋体" w:hAnsi="宋体"/>
                <w:color w:val="auto"/>
                <w:highlight w:val="none"/>
              </w:rPr>
            </w:pPr>
            <w:r>
              <w:rPr>
                <w:rFonts w:hint="eastAsia" w:ascii="宋体" w:hAnsi="宋体" w:cs="宋体"/>
                <w:color w:val="auto"/>
                <w:highlight w:val="none"/>
                <w:lang w:val="en-US" w:eastAsia="zh-CN"/>
              </w:rPr>
              <w:t>实施</w:t>
            </w:r>
            <w:r>
              <w:rPr>
                <w:rFonts w:hint="eastAsia" w:ascii="宋体" w:hAnsi="宋体" w:cs="宋体"/>
                <w:color w:val="auto"/>
                <w:highlight w:val="none"/>
              </w:rPr>
              <w:t>地点：采购人指定地点。</w:t>
            </w:r>
          </w:p>
        </w:tc>
      </w:tr>
      <w:tr w14:paraId="3804CFE7">
        <w:tblPrEx>
          <w:tblCellMar>
            <w:top w:w="0" w:type="dxa"/>
            <w:left w:w="108" w:type="dxa"/>
            <w:bottom w:w="0" w:type="dxa"/>
            <w:right w:w="108" w:type="dxa"/>
          </w:tblCellMar>
        </w:tblPrEx>
        <w:trPr>
          <w:trHeight w:val="552" w:hRule="atLeast"/>
        </w:trPr>
        <w:tc>
          <w:tcPr>
            <w:tcW w:w="922" w:type="dxa"/>
            <w:tcBorders>
              <w:top w:val="single" w:color="000000" w:sz="6" w:space="0"/>
              <w:left w:val="single" w:color="auto" w:sz="4" w:space="0"/>
              <w:bottom w:val="single" w:color="000000" w:sz="6" w:space="0"/>
              <w:right w:val="single" w:color="000000" w:sz="6" w:space="0"/>
            </w:tcBorders>
            <w:noWrap w:val="0"/>
            <w:vAlign w:val="center"/>
          </w:tcPr>
          <w:p w14:paraId="1AC3832D">
            <w:pPr>
              <w:autoSpaceDE w:val="0"/>
              <w:autoSpaceDN w:val="0"/>
              <w:adjustRightInd w:val="0"/>
              <w:spacing w:line="400" w:lineRule="exact"/>
              <w:jc w:val="center"/>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2</w:t>
            </w:r>
          </w:p>
        </w:tc>
        <w:tc>
          <w:tcPr>
            <w:tcW w:w="8684" w:type="dxa"/>
            <w:tcBorders>
              <w:top w:val="single" w:color="000000" w:sz="6" w:space="0"/>
              <w:left w:val="nil"/>
              <w:bottom w:val="single" w:color="000000" w:sz="6" w:space="0"/>
              <w:right w:val="single" w:color="auto" w:sz="4" w:space="0"/>
            </w:tcBorders>
            <w:noWrap w:val="0"/>
            <w:vAlign w:val="center"/>
          </w:tcPr>
          <w:p w14:paraId="458FCDB0">
            <w:pPr>
              <w:pageBreakBefore w:val="0"/>
              <w:widowControl w:val="0"/>
              <w:kinsoku/>
              <w:wordWrap/>
              <w:overflowPunct/>
              <w:topLinePunct w:val="0"/>
              <w:autoSpaceDE/>
              <w:autoSpaceDN/>
              <w:bidi w:val="0"/>
              <w:adjustRightInd/>
              <w:snapToGrid w:val="0"/>
              <w:spacing w:line="336" w:lineRule="auto"/>
              <w:textAlignment w:val="auto"/>
              <w:rPr>
                <w:rFonts w:hint="eastAsia" w:ascii="宋体" w:hAnsi="宋体"/>
                <w:color w:val="auto"/>
                <w:highlight w:val="none"/>
              </w:rPr>
            </w:pPr>
            <w:r>
              <w:rPr>
                <w:rFonts w:hint="eastAsia" w:ascii="宋体" w:hAnsi="宋体" w:cs="宋体"/>
                <w:color w:val="auto"/>
                <w:highlight w:val="none"/>
                <w:lang w:val="en-US" w:eastAsia="zh-CN"/>
              </w:rPr>
              <w:t>合同履行期限</w:t>
            </w:r>
            <w:r>
              <w:rPr>
                <w:rFonts w:hint="eastAsia" w:ascii="宋体" w:hAnsi="宋体" w:cs="宋体"/>
                <w:color w:val="auto"/>
                <w:highlight w:val="none"/>
              </w:rPr>
              <w:t>：自合同生效之日</w:t>
            </w:r>
            <w:r>
              <w:rPr>
                <w:rFonts w:hint="eastAsia" w:ascii="宋体" w:hAnsi="宋体" w:cs="宋体"/>
                <w:color w:val="auto"/>
                <w:highlight w:val="none"/>
                <w:lang w:val="en-US" w:eastAsia="zh-CN"/>
              </w:rPr>
              <w:t>起</w:t>
            </w:r>
            <w:r>
              <w:rPr>
                <w:rFonts w:hint="eastAsia" w:ascii="宋体" w:hAnsi="宋体" w:cs="宋体"/>
                <w:color w:val="auto"/>
                <w:highlight w:val="none"/>
              </w:rPr>
              <w:t>至合同</w:t>
            </w:r>
            <w:r>
              <w:rPr>
                <w:rFonts w:hint="eastAsia" w:ascii="宋体" w:hAnsi="宋体" w:cs="宋体"/>
                <w:color w:val="auto"/>
                <w:highlight w:val="none"/>
                <w:lang w:val="en-US" w:eastAsia="zh-CN"/>
              </w:rPr>
              <w:t>约定的</w:t>
            </w:r>
            <w:r>
              <w:rPr>
                <w:rFonts w:hint="eastAsia" w:ascii="宋体" w:hAnsi="宋体" w:cs="宋体"/>
                <w:color w:val="auto"/>
                <w:highlight w:val="none"/>
              </w:rPr>
              <w:t>全部权利义务履行完毕之日止。</w:t>
            </w:r>
          </w:p>
        </w:tc>
      </w:tr>
      <w:tr w14:paraId="425F41E5">
        <w:tblPrEx>
          <w:tblCellMar>
            <w:top w:w="0" w:type="dxa"/>
            <w:left w:w="108" w:type="dxa"/>
            <w:bottom w:w="0" w:type="dxa"/>
            <w:right w:w="108" w:type="dxa"/>
          </w:tblCellMar>
        </w:tblPrEx>
        <w:trPr>
          <w:trHeight w:val="1290" w:hRule="atLeast"/>
        </w:trPr>
        <w:tc>
          <w:tcPr>
            <w:tcW w:w="922" w:type="dxa"/>
            <w:tcBorders>
              <w:top w:val="single" w:color="000000" w:sz="6" w:space="0"/>
              <w:left w:val="single" w:color="auto" w:sz="4" w:space="0"/>
              <w:bottom w:val="single" w:color="000000" w:sz="6" w:space="0"/>
              <w:right w:val="single" w:color="000000" w:sz="6" w:space="0"/>
            </w:tcBorders>
            <w:noWrap w:val="0"/>
            <w:vAlign w:val="center"/>
          </w:tcPr>
          <w:p w14:paraId="4592CA01">
            <w:pPr>
              <w:autoSpaceDE w:val="0"/>
              <w:autoSpaceDN w:val="0"/>
              <w:adjustRightInd w:val="0"/>
              <w:spacing w:line="400" w:lineRule="exact"/>
              <w:jc w:val="center"/>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3</w:t>
            </w:r>
          </w:p>
        </w:tc>
        <w:tc>
          <w:tcPr>
            <w:tcW w:w="8684" w:type="dxa"/>
            <w:tcBorders>
              <w:top w:val="single" w:color="000000" w:sz="6" w:space="0"/>
              <w:left w:val="nil"/>
              <w:bottom w:val="single" w:color="000000" w:sz="6" w:space="0"/>
              <w:right w:val="single" w:color="auto" w:sz="4" w:space="0"/>
            </w:tcBorders>
            <w:noWrap w:val="0"/>
            <w:vAlign w:val="center"/>
          </w:tcPr>
          <w:p w14:paraId="6BC49894">
            <w:pPr>
              <w:spacing w:line="440" w:lineRule="exact"/>
              <w:rPr>
                <w:rFonts w:hint="eastAsia" w:ascii="宋体" w:hAnsi="宋体"/>
                <w:color w:val="auto"/>
                <w:szCs w:val="21"/>
                <w:highlight w:val="none"/>
                <w:lang w:val="zh-CN"/>
              </w:rPr>
            </w:pPr>
            <w:r>
              <w:rPr>
                <w:rFonts w:hint="eastAsia" w:ascii="宋体" w:hAnsi="宋体"/>
                <w:color w:val="auto"/>
                <w:szCs w:val="21"/>
                <w:highlight w:val="none"/>
                <w:lang w:val="zh-CN"/>
              </w:rPr>
              <w:t>付款方法和条件：（1）合同生效并具备实施条件后7个工作日内支付合同总价的</w:t>
            </w:r>
            <w:r>
              <w:rPr>
                <w:rFonts w:hint="eastAsia" w:ascii="宋体" w:hAnsi="宋体"/>
                <w:color w:val="auto"/>
                <w:szCs w:val="21"/>
                <w:highlight w:val="none"/>
                <w:lang w:val="en-US" w:eastAsia="zh-CN"/>
              </w:rPr>
              <w:t>40</w:t>
            </w:r>
            <w:r>
              <w:rPr>
                <w:rFonts w:hint="eastAsia" w:ascii="宋体" w:hAnsi="宋体"/>
                <w:color w:val="auto"/>
                <w:szCs w:val="21"/>
                <w:highlight w:val="none"/>
                <w:lang w:val="zh-CN"/>
              </w:rPr>
              <w:t>%；</w:t>
            </w:r>
          </w:p>
          <w:p w14:paraId="55FB0A7C">
            <w:pPr>
              <w:spacing w:line="440" w:lineRule="exact"/>
              <w:rPr>
                <w:rFonts w:hint="eastAsia" w:ascii="宋体" w:hAnsi="宋体"/>
                <w:color w:val="auto"/>
                <w:szCs w:val="21"/>
                <w:highlight w:val="none"/>
                <w:lang w:val="zh-CN"/>
              </w:rPr>
            </w:pPr>
            <w:r>
              <w:rPr>
                <w:rFonts w:hint="eastAsia" w:ascii="宋体" w:hAnsi="宋体"/>
                <w:color w:val="auto"/>
                <w:szCs w:val="21"/>
                <w:highlight w:val="none"/>
                <w:lang w:val="zh-CN"/>
              </w:rPr>
              <w:t>（</w:t>
            </w:r>
            <w:r>
              <w:rPr>
                <w:rFonts w:hint="eastAsia" w:ascii="宋体" w:hAnsi="宋体"/>
                <w:color w:val="auto"/>
                <w:szCs w:val="21"/>
                <w:highlight w:val="none"/>
                <w:lang w:val="en-US" w:eastAsia="zh-CN"/>
              </w:rPr>
              <w:t>2）</w:t>
            </w:r>
            <w:r>
              <w:rPr>
                <w:rFonts w:hint="eastAsia" w:ascii="宋体" w:hAnsi="宋体"/>
                <w:color w:val="auto"/>
                <w:szCs w:val="21"/>
                <w:highlight w:val="none"/>
                <w:lang w:val="zh-CN"/>
              </w:rPr>
              <w:t>中标人完成合同约定所有工作内容，地籍成果汇交后支付合同价款的50%;</w:t>
            </w:r>
          </w:p>
          <w:p w14:paraId="12D3B800">
            <w:pPr>
              <w:spacing w:line="440" w:lineRule="exact"/>
              <w:rPr>
                <w:rFonts w:hint="eastAsia" w:ascii="宋体" w:hAnsi="宋体"/>
                <w:color w:val="auto"/>
                <w:szCs w:val="21"/>
                <w:highlight w:val="none"/>
                <w:lang w:val="zh-CN"/>
              </w:rPr>
            </w:pPr>
            <w:r>
              <w:rPr>
                <w:rFonts w:hint="eastAsia" w:ascii="宋体" w:hAnsi="宋体"/>
                <w:color w:val="auto"/>
                <w:szCs w:val="21"/>
                <w:highlight w:val="none"/>
                <w:lang w:val="zh-CN"/>
              </w:rPr>
              <w:t>（</w:t>
            </w:r>
            <w:r>
              <w:rPr>
                <w:rFonts w:hint="eastAsia" w:ascii="宋体" w:hAnsi="宋体"/>
                <w:color w:val="auto"/>
                <w:szCs w:val="21"/>
                <w:highlight w:val="none"/>
                <w:lang w:val="en-US" w:eastAsia="zh-CN"/>
              </w:rPr>
              <w:t>3）</w:t>
            </w:r>
            <w:r>
              <w:rPr>
                <w:rFonts w:hint="eastAsia" w:ascii="宋体" w:hAnsi="宋体"/>
                <w:color w:val="auto"/>
                <w:szCs w:val="21"/>
                <w:highlight w:val="none"/>
                <w:lang w:val="zh-CN"/>
              </w:rPr>
              <w:t>项目整体验收通过后，招标人支付合同价款的10%。</w:t>
            </w:r>
          </w:p>
        </w:tc>
      </w:tr>
      <w:tr w14:paraId="210ECD2C">
        <w:tblPrEx>
          <w:tblCellMar>
            <w:top w:w="0" w:type="dxa"/>
            <w:left w:w="108" w:type="dxa"/>
            <w:bottom w:w="0" w:type="dxa"/>
            <w:right w:w="108" w:type="dxa"/>
          </w:tblCellMar>
        </w:tblPrEx>
        <w:trPr>
          <w:trHeight w:val="870" w:hRule="atLeast"/>
        </w:trPr>
        <w:tc>
          <w:tcPr>
            <w:tcW w:w="922" w:type="dxa"/>
            <w:tcBorders>
              <w:top w:val="single" w:color="000000" w:sz="6" w:space="0"/>
              <w:left w:val="single" w:color="auto" w:sz="4" w:space="0"/>
              <w:bottom w:val="single" w:color="000000" w:sz="6" w:space="0"/>
              <w:right w:val="single" w:color="000000" w:sz="6" w:space="0"/>
            </w:tcBorders>
            <w:noWrap w:val="0"/>
            <w:vAlign w:val="center"/>
          </w:tcPr>
          <w:p w14:paraId="55A43A32">
            <w:pPr>
              <w:autoSpaceDE w:val="0"/>
              <w:autoSpaceDN w:val="0"/>
              <w:adjustRightInd w:val="0"/>
              <w:spacing w:line="4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8684" w:type="dxa"/>
            <w:tcBorders>
              <w:top w:val="single" w:color="000000" w:sz="6" w:space="0"/>
              <w:left w:val="nil"/>
              <w:bottom w:val="single" w:color="000000" w:sz="6" w:space="0"/>
              <w:right w:val="single" w:color="auto" w:sz="4" w:space="0"/>
            </w:tcBorders>
            <w:noWrap w:val="0"/>
            <w:vAlign w:val="center"/>
          </w:tcPr>
          <w:p w14:paraId="1D4C937F">
            <w:pPr>
              <w:autoSpaceDE w:val="0"/>
              <w:autoSpaceDN w:val="0"/>
              <w:adjustRightInd w:val="0"/>
              <w:spacing w:line="400" w:lineRule="exact"/>
              <w:rPr>
                <w:rFonts w:ascii="宋体" w:hAnsi="宋体"/>
                <w:color w:val="auto"/>
                <w:szCs w:val="21"/>
                <w:highlight w:val="none"/>
                <w:lang w:val="zh-CN"/>
              </w:rPr>
            </w:pPr>
            <w:r>
              <w:rPr>
                <w:rFonts w:hint="eastAsia" w:ascii="宋体" w:hAnsi="宋体"/>
                <w:color w:val="auto"/>
                <w:szCs w:val="21"/>
                <w:highlight w:val="none"/>
                <w:lang w:val="zh-CN"/>
              </w:rPr>
              <w:t>授予合同：按照招标文件的规定、中标供应商的投标响应及中标通知书确定的金额签订合同。</w:t>
            </w:r>
          </w:p>
        </w:tc>
      </w:tr>
      <w:tr w14:paraId="6CC6EF11">
        <w:tblPrEx>
          <w:tblCellMar>
            <w:top w:w="0" w:type="dxa"/>
            <w:left w:w="108" w:type="dxa"/>
            <w:bottom w:w="0" w:type="dxa"/>
            <w:right w:w="108" w:type="dxa"/>
          </w:tblCellMar>
        </w:tblPrEx>
        <w:trPr>
          <w:trHeight w:val="538" w:hRule="atLeast"/>
        </w:trPr>
        <w:tc>
          <w:tcPr>
            <w:tcW w:w="922" w:type="dxa"/>
            <w:tcBorders>
              <w:top w:val="single" w:color="000000" w:sz="6" w:space="0"/>
              <w:left w:val="single" w:color="auto" w:sz="4" w:space="0"/>
              <w:bottom w:val="single" w:color="000000" w:sz="6" w:space="0"/>
              <w:right w:val="single" w:color="000000" w:sz="6" w:space="0"/>
            </w:tcBorders>
            <w:noWrap w:val="0"/>
            <w:vAlign w:val="center"/>
          </w:tcPr>
          <w:p w14:paraId="7B2D8793">
            <w:pPr>
              <w:autoSpaceDE w:val="0"/>
              <w:autoSpaceDN w:val="0"/>
              <w:adjustRightInd w:val="0"/>
              <w:spacing w:line="4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8684" w:type="dxa"/>
            <w:tcBorders>
              <w:top w:val="single" w:color="000000" w:sz="6" w:space="0"/>
              <w:left w:val="nil"/>
              <w:bottom w:val="single" w:color="000000" w:sz="6" w:space="0"/>
              <w:right w:val="single" w:color="auto" w:sz="4" w:space="0"/>
            </w:tcBorders>
            <w:noWrap w:val="0"/>
            <w:vAlign w:val="center"/>
          </w:tcPr>
          <w:p w14:paraId="7469FD15">
            <w:pPr>
              <w:autoSpaceDE w:val="0"/>
              <w:autoSpaceDN w:val="0"/>
              <w:adjustRightInd w:val="0"/>
              <w:spacing w:line="400" w:lineRule="exact"/>
              <w:rPr>
                <w:rFonts w:hint="eastAsia" w:ascii="宋体" w:hAnsi="宋体"/>
                <w:color w:val="auto"/>
                <w:szCs w:val="21"/>
                <w:highlight w:val="none"/>
                <w:lang w:val="zh-CN"/>
              </w:rPr>
            </w:pPr>
            <w:r>
              <w:rPr>
                <w:rFonts w:hint="eastAsia" w:ascii="宋体" w:hAnsi="宋体"/>
                <w:color w:val="auto"/>
                <w:szCs w:val="21"/>
                <w:highlight w:val="none"/>
                <w:lang w:val="zh-CN"/>
              </w:rPr>
              <w:t>合同签订时间：</w:t>
            </w:r>
            <w:r>
              <w:rPr>
                <w:rFonts w:hint="eastAsia" w:ascii="宋体" w:hAnsi="宋体" w:cs="宋体"/>
                <w:color w:val="auto"/>
                <w:highlight w:val="none"/>
                <w:lang w:eastAsia="zh-CN"/>
              </w:rPr>
              <w:t>中标通知书发出后</w:t>
            </w:r>
            <w:r>
              <w:rPr>
                <w:rFonts w:hint="eastAsia" w:ascii="宋体" w:hAnsi="宋体" w:cs="宋体"/>
                <w:color w:val="auto"/>
                <w:highlight w:val="none"/>
                <w:lang w:val="en-US" w:eastAsia="zh-CN"/>
              </w:rPr>
              <w:t>30天内签订合同</w:t>
            </w:r>
          </w:p>
        </w:tc>
      </w:tr>
    </w:tbl>
    <w:p w14:paraId="0454463E">
      <w:pPr>
        <w:pStyle w:val="4"/>
        <w:jc w:val="both"/>
        <w:rPr>
          <w:rFonts w:hint="eastAsia"/>
          <w:color w:val="auto"/>
          <w:highlight w:val="none"/>
        </w:rPr>
      </w:pPr>
    </w:p>
    <w:p w14:paraId="0D78F62C">
      <w:pPr>
        <w:rPr>
          <w:rFonts w:hint="eastAsia"/>
          <w:color w:val="auto"/>
          <w:highlight w:val="none"/>
        </w:rPr>
      </w:pPr>
    </w:p>
    <w:p w14:paraId="15C285E2">
      <w:pPr>
        <w:pStyle w:val="5"/>
        <w:numPr>
          <w:ilvl w:val="1"/>
          <w:numId w:val="0"/>
        </w:numPr>
        <w:ind w:leftChars="0"/>
        <w:rPr>
          <w:rFonts w:hint="eastAsia"/>
          <w:color w:val="auto"/>
          <w:highlight w:val="none"/>
        </w:rPr>
      </w:pPr>
    </w:p>
    <w:p w14:paraId="648F88FB">
      <w:pPr>
        <w:rPr>
          <w:rFonts w:hint="eastAsia"/>
          <w:color w:val="auto"/>
          <w:highlight w:val="none"/>
        </w:rPr>
      </w:pPr>
    </w:p>
    <w:p w14:paraId="7BC79DFC">
      <w:pPr>
        <w:pStyle w:val="2"/>
        <w:rPr>
          <w:rFonts w:hint="eastAsia"/>
          <w:color w:val="auto"/>
          <w:highlight w:val="none"/>
        </w:rPr>
      </w:pPr>
    </w:p>
    <w:p w14:paraId="0E58C4DD">
      <w:pPr>
        <w:pStyle w:val="2"/>
        <w:rPr>
          <w:rFonts w:hint="eastAsia"/>
          <w:color w:val="auto"/>
          <w:highlight w:val="none"/>
        </w:rPr>
      </w:pPr>
    </w:p>
    <w:p w14:paraId="2A0CBB91">
      <w:pPr>
        <w:pStyle w:val="2"/>
        <w:rPr>
          <w:rFonts w:hint="eastAsia"/>
          <w:color w:val="auto"/>
          <w:highlight w:val="none"/>
        </w:rPr>
      </w:pPr>
    </w:p>
    <w:p w14:paraId="1F843F10">
      <w:pPr>
        <w:pStyle w:val="2"/>
        <w:rPr>
          <w:rFonts w:hint="eastAsia"/>
          <w:color w:val="auto"/>
          <w:highlight w:val="none"/>
        </w:rPr>
      </w:pPr>
    </w:p>
    <w:p w14:paraId="4819D44E">
      <w:pPr>
        <w:pStyle w:val="2"/>
        <w:rPr>
          <w:rFonts w:hint="eastAsia"/>
          <w:color w:val="auto"/>
          <w:highlight w:val="none"/>
        </w:rPr>
      </w:pPr>
    </w:p>
    <w:p w14:paraId="5199CD69">
      <w:pPr>
        <w:pStyle w:val="2"/>
        <w:rPr>
          <w:rFonts w:hint="eastAsia"/>
          <w:color w:val="auto"/>
          <w:highlight w:val="none"/>
        </w:rPr>
      </w:pPr>
    </w:p>
    <w:p w14:paraId="64AB55E5">
      <w:pPr>
        <w:pStyle w:val="2"/>
        <w:rPr>
          <w:rFonts w:hint="eastAsia"/>
          <w:color w:val="auto"/>
          <w:highlight w:val="none"/>
        </w:rPr>
      </w:pPr>
    </w:p>
    <w:p w14:paraId="4307EF01">
      <w:pPr>
        <w:pStyle w:val="2"/>
        <w:rPr>
          <w:rFonts w:hint="eastAsia"/>
          <w:color w:val="auto"/>
          <w:highlight w:val="none"/>
        </w:rPr>
      </w:pPr>
    </w:p>
    <w:p w14:paraId="4FE8155B">
      <w:pPr>
        <w:pStyle w:val="2"/>
        <w:rPr>
          <w:rFonts w:hint="eastAsia"/>
          <w:color w:val="auto"/>
          <w:highlight w:val="none"/>
        </w:rPr>
      </w:pPr>
    </w:p>
    <w:p w14:paraId="5C15F52E">
      <w:pPr>
        <w:pStyle w:val="2"/>
        <w:rPr>
          <w:rFonts w:hint="eastAsia"/>
          <w:color w:val="auto"/>
          <w:highlight w:val="none"/>
        </w:rPr>
      </w:pPr>
    </w:p>
    <w:p w14:paraId="09534FBB">
      <w:pPr>
        <w:pStyle w:val="2"/>
        <w:rPr>
          <w:rFonts w:hint="eastAsia"/>
          <w:color w:val="auto"/>
          <w:highlight w:val="none"/>
        </w:rPr>
      </w:pPr>
    </w:p>
    <w:p w14:paraId="43309460">
      <w:pPr>
        <w:pStyle w:val="6"/>
        <w:rPr>
          <w:rFonts w:hint="eastAsia"/>
          <w:color w:val="auto"/>
          <w:highlight w:val="none"/>
        </w:rPr>
      </w:pPr>
    </w:p>
    <w:p w14:paraId="76BB8EB4">
      <w:pPr>
        <w:rPr>
          <w:rFonts w:hint="eastAsia"/>
          <w:color w:val="auto"/>
          <w:highlight w:val="none"/>
        </w:rPr>
      </w:pPr>
    </w:p>
    <w:p w14:paraId="3D1017C1">
      <w:pPr>
        <w:pStyle w:val="6"/>
        <w:rPr>
          <w:rFonts w:hint="eastAsia"/>
          <w:color w:val="auto"/>
          <w:highlight w:val="none"/>
        </w:rPr>
      </w:pPr>
    </w:p>
    <w:p w14:paraId="3EA35A97">
      <w:pPr>
        <w:rPr>
          <w:rFonts w:hint="eastAsia"/>
          <w:color w:val="auto"/>
          <w:highlight w:val="none"/>
        </w:rPr>
      </w:pPr>
    </w:p>
    <w:p w14:paraId="2BC307D6">
      <w:pPr>
        <w:pStyle w:val="4"/>
        <w:rPr>
          <w:color w:val="auto"/>
          <w:highlight w:val="none"/>
        </w:rPr>
      </w:pPr>
      <w:r>
        <w:rPr>
          <w:rFonts w:hint="eastAsia"/>
          <w:color w:val="auto"/>
          <w:highlight w:val="none"/>
        </w:rPr>
        <w:t>第四部分  评标办法及评分标准</w:t>
      </w:r>
      <w:bookmarkEnd w:id="36"/>
    </w:p>
    <w:p w14:paraId="20FBBA07">
      <w:pPr>
        <w:spacing w:line="360" w:lineRule="auto"/>
        <w:rPr>
          <w:rFonts w:ascii="宋体" w:hAnsi="宋体"/>
          <w:b/>
          <w:color w:val="auto"/>
          <w:highlight w:val="none"/>
        </w:rPr>
      </w:pPr>
      <w:r>
        <w:rPr>
          <w:rFonts w:hint="eastAsia" w:ascii="宋体" w:hAnsi="宋体"/>
          <w:b/>
          <w:color w:val="auto"/>
          <w:highlight w:val="none"/>
        </w:rPr>
        <w:t xml:space="preserve">    本办法严格遵照《中华人民共和国政府采购法》、《政府采购货物和服务招标投标管理办法》、《中华人民共和国政府采购法实施条例》，结合项目所在地政府有关政府采购规定和项目的实际情况制定。</w:t>
      </w:r>
    </w:p>
    <w:p w14:paraId="7D165ABF">
      <w:pPr>
        <w:spacing w:line="360" w:lineRule="auto"/>
        <w:rPr>
          <w:rFonts w:ascii="宋体" w:hAnsi="宋体"/>
          <w:b/>
          <w:bCs/>
          <w:color w:val="auto"/>
          <w:sz w:val="24"/>
          <w:highlight w:val="none"/>
        </w:rPr>
      </w:pPr>
      <w:r>
        <w:rPr>
          <w:rFonts w:hint="eastAsia" w:ascii="宋体" w:hAnsi="宋体"/>
          <w:b/>
          <w:bCs/>
          <w:color w:val="auto"/>
          <w:sz w:val="24"/>
          <w:highlight w:val="none"/>
        </w:rPr>
        <w:t>1.评标原则</w:t>
      </w:r>
    </w:p>
    <w:p w14:paraId="50D7C2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招标活动遵循公平、公正、科学、择优的原则依法进行，招标活动及当事人接受依法实施的监督。本次招标采用综合评分法。</w:t>
      </w:r>
    </w:p>
    <w:p w14:paraId="4A52BA2F">
      <w:pPr>
        <w:spacing w:line="360" w:lineRule="auto"/>
        <w:rPr>
          <w:rFonts w:ascii="宋体" w:hAnsi="宋体"/>
          <w:b/>
          <w:bCs/>
          <w:color w:val="auto"/>
          <w:sz w:val="24"/>
          <w:highlight w:val="none"/>
        </w:rPr>
      </w:pPr>
      <w:r>
        <w:rPr>
          <w:rFonts w:hint="eastAsia" w:ascii="宋体" w:hAnsi="宋体"/>
          <w:b/>
          <w:bCs/>
          <w:color w:val="auto"/>
          <w:sz w:val="24"/>
          <w:highlight w:val="none"/>
        </w:rPr>
        <w:t>2.评标办法</w:t>
      </w:r>
    </w:p>
    <w:p w14:paraId="5DA99E36">
      <w:pPr>
        <w:spacing w:line="360" w:lineRule="auto"/>
        <w:rPr>
          <w:rFonts w:ascii="宋体" w:hAnsi="宋体"/>
          <w:color w:val="auto"/>
          <w:highlight w:val="none"/>
        </w:rPr>
      </w:pPr>
      <w:r>
        <w:rPr>
          <w:rFonts w:hint="eastAsia" w:ascii="宋体" w:hAnsi="宋体"/>
          <w:color w:val="auto"/>
          <w:highlight w:val="none"/>
        </w:rPr>
        <w:t xml:space="preserve">    本次招标采用综合评分法。满分100分。</w:t>
      </w:r>
    </w:p>
    <w:p w14:paraId="1413E490">
      <w:pPr>
        <w:spacing w:line="360" w:lineRule="auto"/>
        <w:rPr>
          <w:rFonts w:ascii="宋体" w:hAnsi="宋体"/>
          <w:b/>
          <w:bCs/>
          <w:color w:val="auto"/>
          <w:sz w:val="24"/>
          <w:highlight w:val="none"/>
        </w:rPr>
      </w:pPr>
      <w:r>
        <w:rPr>
          <w:rFonts w:hint="eastAsia" w:ascii="宋体" w:hAnsi="宋体"/>
          <w:b/>
          <w:bCs/>
          <w:color w:val="auto"/>
          <w:sz w:val="24"/>
          <w:highlight w:val="none"/>
        </w:rPr>
        <w:t>3.评标组织</w:t>
      </w:r>
    </w:p>
    <w:p w14:paraId="559F9677">
      <w:pPr>
        <w:spacing w:line="360" w:lineRule="auto"/>
        <w:rPr>
          <w:rFonts w:ascii="宋体" w:hAnsi="宋体"/>
          <w:color w:val="auto"/>
          <w:highlight w:val="none"/>
        </w:rPr>
      </w:pPr>
      <w:r>
        <w:rPr>
          <w:rFonts w:hint="eastAsia" w:ascii="宋体" w:hAnsi="宋体"/>
          <w:color w:val="auto"/>
          <w:highlight w:val="none"/>
        </w:rPr>
        <w:t xml:space="preserve">    采购人和采购代理机构根据采购项目的内容特点按照规定组建评标委员会。</w:t>
      </w:r>
    </w:p>
    <w:p w14:paraId="525F6C99">
      <w:pPr>
        <w:spacing w:line="360" w:lineRule="auto"/>
        <w:rPr>
          <w:rFonts w:ascii="宋体" w:hAnsi="宋体"/>
          <w:color w:val="auto"/>
          <w:highlight w:val="none"/>
        </w:rPr>
      </w:pPr>
      <w:r>
        <w:rPr>
          <w:rFonts w:hint="eastAsia" w:ascii="宋体" w:hAnsi="宋体"/>
          <w:color w:val="auto"/>
          <w:highlight w:val="none"/>
        </w:rPr>
        <w:t xml:space="preserve">    评标委员会由采购人代表和评审专家或全部由评审专家组成，成员人数为5人以上单数，其中评审专家不少于成员总数的三分之二。</w:t>
      </w:r>
    </w:p>
    <w:p w14:paraId="0E6CFDFA">
      <w:pPr>
        <w:spacing w:line="360" w:lineRule="auto"/>
        <w:rPr>
          <w:rFonts w:ascii="宋体" w:hAnsi="宋体"/>
          <w:b/>
          <w:bCs/>
          <w:color w:val="auto"/>
          <w:sz w:val="24"/>
          <w:highlight w:val="none"/>
        </w:rPr>
      </w:pPr>
      <w:r>
        <w:rPr>
          <w:rFonts w:hint="eastAsia" w:ascii="宋体" w:hAnsi="宋体"/>
          <w:b/>
          <w:bCs/>
          <w:color w:val="auto"/>
          <w:sz w:val="24"/>
          <w:highlight w:val="none"/>
        </w:rPr>
        <w:t>4.评标程序</w:t>
      </w:r>
    </w:p>
    <w:p w14:paraId="0772B906">
      <w:pPr>
        <w:spacing w:line="360" w:lineRule="auto"/>
        <w:rPr>
          <w:rFonts w:ascii="宋体" w:hAnsi="宋体"/>
          <w:color w:val="auto"/>
          <w:highlight w:val="none"/>
        </w:rPr>
      </w:pPr>
      <w:r>
        <w:rPr>
          <w:rFonts w:hint="eastAsia" w:ascii="宋体" w:hAnsi="宋体"/>
          <w:color w:val="auto"/>
          <w:highlight w:val="none"/>
        </w:rPr>
        <w:t xml:space="preserve">    4.1采购代理机构按招标文件规定的时间、地点组织开标。开标会议由采购代理机构组织，按招标文件的规定对投标人的基本情况进行审核。</w:t>
      </w:r>
    </w:p>
    <w:p w14:paraId="01F4D759">
      <w:pPr>
        <w:spacing w:line="360" w:lineRule="auto"/>
        <w:ind w:firstLine="420"/>
        <w:rPr>
          <w:rFonts w:ascii="宋体" w:hAnsi="宋体" w:cs="宋体"/>
          <w:bCs/>
          <w:color w:val="auto"/>
          <w:szCs w:val="21"/>
          <w:highlight w:val="none"/>
        </w:rPr>
      </w:pPr>
      <w:r>
        <w:rPr>
          <w:rFonts w:hint="eastAsia" w:ascii="宋体" w:hAnsi="宋体"/>
          <w:color w:val="auto"/>
          <w:highlight w:val="none"/>
        </w:rPr>
        <w:t>4.2</w:t>
      </w:r>
      <w:r>
        <w:rPr>
          <w:rFonts w:hint="eastAsia" w:ascii="宋体" w:hAnsi="宋体" w:cs="宋体"/>
          <w:bCs/>
          <w:color w:val="auto"/>
          <w:szCs w:val="21"/>
          <w:highlight w:val="none"/>
        </w:rPr>
        <w:t>本次公开招标投标文件先开启资格证明文件、商务技术文件，资格证明文件和商务技术文件评审结束后，公布资格审查和商务技术评审符合采购需求的供应商名单并公布商务技术得分情况后再开启报价文件，由唱标人公布投标人名称、投标内容、投标价格等以及采购代理机构认为合适的其他内容，并由记录人做开标记录。</w:t>
      </w:r>
    </w:p>
    <w:p w14:paraId="6DF1F33C">
      <w:pPr>
        <w:spacing w:line="360" w:lineRule="auto"/>
        <w:ind w:firstLine="420"/>
        <w:rPr>
          <w:rFonts w:ascii="宋体" w:hAnsi="宋体"/>
          <w:color w:val="auto"/>
          <w:highlight w:val="none"/>
        </w:rPr>
      </w:pPr>
      <w:r>
        <w:rPr>
          <w:rFonts w:hint="eastAsia" w:ascii="宋体" w:hAnsi="宋体" w:cs="宋体"/>
          <w:bCs/>
          <w:color w:val="auto"/>
          <w:szCs w:val="21"/>
          <w:highlight w:val="none"/>
        </w:rPr>
        <w:t>4.3根据各有效投标人的商务技术得分和报价得分计算各投标人的总得分（总得分保留小数点后二位）。</w:t>
      </w:r>
    </w:p>
    <w:p w14:paraId="7ADDF261">
      <w:pPr>
        <w:spacing w:line="360" w:lineRule="auto"/>
        <w:rPr>
          <w:rFonts w:ascii="宋体" w:hAnsi="宋体"/>
          <w:color w:val="auto"/>
          <w:highlight w:val="none"/>
        </w:rPr>
      </w:pPr>
      <w:r>
        <w:rPr>
          <w:rFonts w:hint="eastAsia" w:ascii="宋体" w:hAnsi="宋体"/>
          <w:color w:val="auto"/>
          <w:highlight w:val="none"/>
        </w:rPr>
        <w:t xml:space="preserve">    4.4按照评标办法，评标委员会推荐中标候选人，经采购人确认中标供应商后，</w:t>
      </w:r>
      <w:r>
        <w:rPr>
          <w:rFonts w:hint="eastAsia" w:ascii="宋体" w:hAnsi="宋体" w:cs="宋体"/>
          <w:color w:val="auto"/>
          <w:szCs w:val="21"/>
          <w:highlight w:val="none"/>
        </w:rPr>
        <w:t>最后在招标公告发布的网站上公布评标结果。</w:t>
      </w:r>
    </w:p>
    <w:p w14:paraId="23DD2081">
      <w:pPr>
        <w:spacing w:line="360" w:lineRule="auto"/>
        <w:rPr>
          <w:rFonts w:ascii="宋体" w:hAnsi="宋体"/>
          <w:b/>
          <w:bCs/>
          <w:color w:val="auto"/>
          <w:sz w:val="24"/>
          <w:highlight w:val="none"/>
        </w:rPr>
      </w:pPr>
      <w:r>
        <w:rPr>
          <w:rFonts w:hint="eastAsia" w:ascii="宋体" w:hAnsi="宋体"/>
          <w:b/>
          <w:bCs/>
          <w:color w:val="auto"/>
          <w:sz w:val="24"/>
          <w:highlight w:val="none"/>
        </w:rPr>
        <w:t>5.评标过程</w:t>
      </w:r>
    </w:p>
    <w:p w14:paraId="2BC47E09">
      <w:pPr>
        <w:spacing w:line="360" w:lineRule="auto"/>
        <w:rPr>
          <w:rFonts w:ascii="宋体" w:hAnsi="宋体"/>
          <w:b/>
          <w:color w:val="auto"/>
          <w:highlight w:val="none"/>
        </w:rPr>
      </w:pPr>
      <w:r>
        <w:rPr>
          <w:rFonts w:hint="eastAsia" w:ascii="宋体" w:hAnsi="宋体"/>
          <w:b/>
          <w:color w:val="auto"/>
          <w:highlight w:val="none"/>
        </w:rPr>
        <w:t xml:space="preserve">    5.1 初步审查</w:t>
      </w:r>
    </w:p>
    <w:p w14:paraId="708275C5">
      <w:pPr>
        <w:spacing w:line="360" w:lineRule="auto"/>
        <w:rPr>
          <w:rFonts w:ascii="宋体" w:hAnsi="宋体"/>
          <w:color w:val="auto"/>
          <w:highlight w:val="none"/>
        </w:rPr>
      </w:pPr>
      <w:r>
        <w:rPr>
          <w:rFonts w:hint="eastAsia" w:ascii="宋体" w:hAnsi="宋体"/>
          <w:color w:val="auto"/>
          <w:highlight w:val="none"/>
        </w:rPr>
        <w:t xml:space="preserve">    初审分为资格性审查和符合性审查。</w:t>
      </w:r>
    </w:p>
    <w:p w14:paraId="27764694">
      <w:pPr>
        <w:spacing w:line="360" w:lineRule="auto"/>
        <w:rPr>
          <w:rFonts w:ascii="宋体" w:hAnsi="宋体"/>
          <w:color w:val="auto"/>
          <w:highlight w:val="none"/>
        </w:rPr>
      </w:pPr>
      <w:r>
        <w:rPr>
          <w:rFonts w:hint="eastAsia" w:ascii="宋体" w:hAnsi="宋体"/>
          <w:color w:val="auto"/>
          <w:highlight w:val="none"/>
        </w:rPr>
        <w:t xml:space="preserve">    资格性检查。采购人或者采购代理机构对投标人的资格进行审查。依据法律法规和招标文件的规定，对投标文件中的资格证明进行审查，以确定投标人是否具备投标资格。</w:t>
      </w:r>
    </w:p>
    <w:p w14:paraId="51EE0BDF">
      <w:pPr>
        <w:spacing w:line="360" w:lineRule="auto"/>
        <w:rPr>
          <w:rFonts w:ascii="宋体" w:hAnsi="宋体"/>
          <w:color w:val="auto"/>
          <w:highlight w:val="none"/>
        </w:rPr>
      </w:pPr>
      <w:r>
        <w:rPr>
          <w:rFonts w:hint="eastAsia" w:ascii="宋体" w:hAnsi="宋体"/>
          <w:color w:val="auto"/>
          <w:highlight w:val="none"/>
        </w:rPr>
        <w:t xml:space="preserve">    符合性检查。评标委员会依据招标文件的规定，从投标文件的有效性、完整性和对招标文件的响应程度进行审查，以确定是否对招标文件的实质性要求作出响应。</w:t>
      </w:r>
    </w:p>
    <w:p w14:paraId="28F51107">
      <w:pPr>
        <w:spacing w:line="360" w:lineRule="auto"/>
        <w:rPr>
          <w:rFonts w:ascii="宋体" w:hAnsi="宋体"/>
          <w:color w:val="auto"/>
          <w:highlight w:val="none"/>
        </w:rPr>
      </w:pPr>
      <w:r>
        <w:rPr>
          <w:rFonts w:hint="eastAsia" w:ascii="宋体" w:hAnsi="宋体"/>
          <w:color w:val="auto"/>
          <w:highlight w:val="none"/>
        </w:rPr>
        <w:t xml:space="preserve">    审查投标文件是否对招标文件提出的所有实质性要求和条件作出响应，有无重大偏差；如有重大偏差者，作无效投标处理，不予进入详细评审。（具体见本招标文件第二部分投标无效的情形）</w:t>
      </w:r>
    </w:p>
    <w:p w14:paraId="12DF1E29">
      <w:pPr>
        <w:pStyle w:val="16"/>
        <w:ind w:left="0" w:firstLine="0"/>
        <w:rPr>
          <w:color w:val="auto"/>
          <w:sz w:val="21"/>
          <w:highlight w:val="none"/>
        </w:rPr>
      </w:pPr>
      <w:r>
        <w:rPr>
          <w:rFonts w:hint="eastAsia"/>
          <w:color w:val="auto"/>
          <w:sz w:val="21"/>
          <w:highlight w:val="none"/>
        </w:rPr>
        <w:t>5.2澄清问题</w:t>
      </w:r>
    </w:p>
    <w:p w14:paraId="43317280">
      <w:pPr>
        <w:spacing w:line="360" w:lineRule="auto"/>
        <w:rPr>
          <w:rFonts w:ascii="宋体" w:hAnsi="宋体"/>
          <w:color w:val="auto"/>
          <w:highlight w:val="none"/>
        </w:rPr>
      </w:pPr>
      <w:r>
        <w:rPr>
          <w:rFonts w:hint="eastAsia" w:ascii="宋体" w:hAnsi="宋体"/>
          <w:color w:val="auto"/>
          <w:highlight w:val="none"/>
        </w:rPr>
        <w:t xml:space="preserve">    对于投标文件中含义不明确、同类问题表述不一致或者有明显文字和计算错误的内容，评标委员会可要求投标人以书面形式作出必要的澄清、说明或者补正。</w:t>
      </w:r>
    </w:p>
    <w:p w14:paraId="105C37F9">
      <w:pPr>
        <w:spacing w:line="360" w:lineRule="auto"/>
        <w:rPr>
          <w:rFonts w:ascii="宋体" w:hAnsi="宋体"/>
          <w:color w:val="auto"/>
          <w:highlight w:val="none"/>
        </w:rPr>
      </w:pPr>
      <w:r>
        <w:rPr>
          <w:rFonts w:hint="eastAsia" w:ascii="宋体" w:hAnsi="宋体"/>
          <w:color w:val="auto"/>
          <w:highlight w:val="none"/>
        </w:rPr>
        <w:t xml:space="preserve">    投标人的澄清、说明或者补正应当采用书面形式，并加盖公章，或者由法定代表人或其授权代表签字确认，投标人的澄清、说明或者补正不得超出投标文件的范围或者改变投标文件的实质性内容。</w:t>
      </w:r>
    </w:p>
    <w:p w14:paraId="63F7D661">
      <w:pPr>
        <w:pStyle w:val="16"/>
        <w:ind w:left="0" w:firstLine="0"/>
        <w:rPr>
          <w:color w:val="auto"/>
          <w:sz w:val="21"/>
          <w:highlight w:val="none"/>
        </w:rPr>
      </w:pPr>
      <w:r>
        <w:rPr>
          <w:rFonts w:hint="eastAsia"/>
          <w:color w:val="auto"/>
          <w:sz w:val="21"/>
          <w:highlight w:val="none"/>
        </w:rPr>
        <w:t>5.3详细评审</w:t>
      </w:r>
    </w:p>
    <w:p w14:paraId="73953DEB">
      <w:pPr>
        <w:pStyle w:val="16"/>
        <w:ind w:left="0" w:firstLine="0"/>
        <w:rPr>
          <w:b w:val="0"/>
          <w:color w:val="auto"/>
          <w:sz w:val="21"/>
          <w:highlight w:val="none"/>
        </w:rPr>
      </w:pPr>
      <w:r>
        <w:rPr>
          <w:rFonts w:hint="eastAsia"/>
          <w:b w:val="0"/>
          <w:color w:val="auto"/>
          <w:sz w:val="21"/>
          <w:highlight w:val="none"/>
        </w:rPr>
        <w:t xml:space="preserve">    </w:t>
      </w:r>
      <w:r>
        <w:rPr>
          <w:rFonts w:hint="eastAsia" w:cs="宋体"/>
          <w:b w:val="0"/>
          <w:bCs/>
          <w:color w:val="auto"/>
          <w:sz w:val="21"/>
          <w:szCs w:val="21"/>
          <w:highlight w:val="none"/>
        </w:rPr>
        <w:t>评标委员会对通过符合性审查的投标文件，依照本办法对技术、商务内容作进一步评审、比较。评标委员会成员经过阅标、审标和询标，对各投标人进行综合打分。</w:t>
      </w:r>
    </w:p>
    <w:p w14:paraId="76C3C738">
      <w:pPr>
        <w:widowControl/>
        <w:spacing w:line="360" w:lineRule="auto"/>
        <w:ind w:firstLine="420" w:firstLineChars="200"/>
        <w:jc w:val="left"/>
        <w:rPr>
          <w:rFonts w:ascii="宋体" w:hAnsi="宋体" w:cs="宋体"/>
          <w:color w:val="auto"/>
          <w:highlight w:val="none"/>
        </w:rPr>
      </w:pPr>
      <w:r>
        <w:rPr>
          <w:rFonts w:hint="eastAsia" w:ascii="宋体" w:hAnsi="宋体"/>
          <w:color w:val="auto"/>
          <w:highlight w:val="none"/>
        </w:rPr>
        <w:t>评委参照本部分附表（评分标准表）打分。</w:t>
      </w:r>
      <w:r>
        <w:rPr>
          <w:rFonts w:hint="eastAsia" w:ascii="宋体" w:hAnsi="宋体" w:cs="宋体"/>
          <w:color w:val="auto"/>
          <w:szCs w:val="21"/>
          <w:highlight w:val="none"/>
        </w:rPr>
        <w:t>商务技术得分由各评标委员会成员打分，根据投标人的投标文件及相关澄清文件，进行独立打分。价格分由评标委员会统一核算。评委打分采用记名方式，取所有评委汇总得分的算术平均分（小数点后保留二位小数）。</w:t>
      </w:r>
    </w:p>
    <w:p w14:paraId="54F13821">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注：评标委员会认为投标文件无效的，应组织相关投标人代表进行陈述、澄清或申辩。</w:t>
      </w:r>
    </w:p>
    <w:p w14:paraId="18DC3FC3">
      <w:pPr>
        <w:widowControl/>
        <w:spacing w:line="360" w:lineRule="auto"/>
        <w:ind w:firstLine="421"/>
        <w:rPr>
          <w:rFonts w:ascii="宋体" w:hAnsi="宋体" w:cs="宋体"/>
          <w:color w:val="auto"/>
          <w:szCs w:val="21"/>
          <w:highlight w:val="none"/>
        </w:rPr>
      </w:pPr>
      <w:r>
        <w:rPr>
          <w:rFonts w:hint="eastAsia" w:ascii="宋体" w:hAnsi="宋体" w:cs="宋体"/>
          <w:b/>
          <w:bCs/>
          <w:color w:val="auto"/>
          <w:szCs w:val="21"/>
          <w:highlight w:val="none"/>
        </w:rPr>
        <w:t>评标委员会认为投标人报价明显低于其它通过符合性审查投标人的报价，有可能影响服务质量或者不能诚信履约的，应要求其在评标现场合理时间内提供书面说明，必要时提供相关证明材料；投标人不能证明价格合理性，评标委员会应当将其作为无效标处理。</w:t>
      </w:r>
    </w:p>
    <w:p w14:paraId="5BB6454A">
      <w:pPr>
        <w:spacing w:line="360" w:lineRule="auto"/>
        <w:rPr>
          <w:rFonts w:ascii="宋体" w:hAnsi="宋体"/>
          <w:color w:val="auto"/>
          <w:highlight w:val="none"/>
        </w:rPr>
      </w:pPr>
      <w:r>
        <w:rPr>
          <w:rFonts w:hint="eastAsia" w:ascii="宋体" w:hAnsi="宋体" w:cs="宋体"/>
          <w:color w:val="auto"/>
          <w:szCs w:val="21"/>
          <w:highlight w:val="none"/>
        </w:rPr>
        <w:t xml:space="preserve">    采购代理机构可协助评审小组组长对打分结果进行校对、核对并汇总统计；对明显畸高、畸低的评分（其总评分偏离平均分30%以上的），评审小组组长应提醒相关评标委员会成员进行复核或书面说明理由，评标委员会成员拒绝说明的，由现场监督员据实记录；评标委员会成员的评审、修改记录应保留原件，随项目其他资料一并存档。</w:t>
      </w:r>
    </w:p>
    <w:p w14:paraId="29D86543">
      <w:pPr>
        <w:pStyle w:val="16"/>
        <w:ind w:left="0" w:firstLine="0"/>
        <w:rPr>
          <w:color w:val="auto"/>
          <w:sz w:val="21"/>
          <w:highlight w:val="none"/>
        </w:rPr>
      </w:pPr>
      <w:r>
        <w:rPr>
          <w:rFonts w:hint="eastAsia"/>
          <w:color w:val="auto"/>
          <w:sz w:val="21"/>
          <w:highlight w:val="none"/>
        </w:rPr>
        <w:t>5.4中标原则</w:t>
      </w:r>
    </w:p>
    <w:p w14:paraId="5ED55822">
      <w:pPr>
        <w:spacing w:line="360" w:lineRule="auto"/>
        <w:rPr>
          <w:rFonts w:ascii="宋体" w:hAnsi="宋体"/>
          <w:b/>
          <w:color w:val="auto"/>
          <w:highlight w:val="none"/>
        </w:rPr>
      </w:pPr>
      <w:r>
        <w:rPr>
          <w:rFonts w:hint="eastAsia" w:ascii="宋体" w:hAnsi="宋体"/>
          <w:color w:val="auto"/>
          <w:highlight w:val="none"/>
        </w:rPr>
        <w:t xml:space="preserve">    </w:t>
      </w:r>
      <w:r>
        <w:rPr>
          <w:rFonts w:hint="eastAsia" w:ascii="宋体" w:hAnsi="宋体"/>
          <w:b/>
          <w:color w:val="auto"/>
          <w:highlight w:val="none"/>
        </w:rPr>
        <w:t>评标委员会根据投标人的综合得分由高到低排定顺序，推荐综合得分排序第一的投标人为本项目的第一中标候选人。如投标人的综合得分相同，则投标价低者优先；如投标价也相同，则技术分高者优先；如技术分也相同，则由投标人抽签决定。</w:t>
      </w:r>
    </w:p>
    <w:p w14:paraId="2126CB12">
      <w:pPr>
        <w:spacing w:line="360" w:lineRule="auto"/>
        <w:rPr>
          <w:b/>
          <w:color w:val="auto"/>
          <w:highlight w:val="none"/>
        </w:rPr>
      </w:pPr>
      <w:r>
        <w:rPr>
          <w:rFonts w:hint="eastAsia" w:ascii="宋体" w:hAnsi="宋体"/>
          <w:color w:val="auto"/>
          <w:highlight w:val="none"/>
        </w:rPr>
        <w:t xml:space="preserve">    采购人根据评审报告推荐的中标候选人确定中标供应商。</w:t>
      </w:r>
    </w:p>
    <w:p w14:paraId="77666FF1">
      <w:pPr>
        <w:pStyle w:val="16"/>
        <w:tabs>
          <w:tab w:val="left" w:pos="5880"/>
        </w:tabs>
        <w:ind w:left="0" w:firstLine="0"/>
        <w:rPr>
          <w:color w:val="auto"/>
          <w:sz w:val="21"/>
          <w:highlight w:val="none"/>
        </w:rPr>
      </w:pPr>
      <w:r>
        <w:rPr>
          <w:rFonts w:hint="eastAsia"/>
          <w:color w:val="auto"/>
          <w:sz w:val="21"/>
          <w:highlight w:val="none"/>
        </w:rPr>
        <w:t>5.5中标结果</w:t>
      </w:r>
      <w:r>
        <w:rPr>
          <w:color w:val="auto"/>
          <w:sz w:val="21"/>
          <w:highlight w:val="none"/>
        </w:rPr>
        <w:tab/>
      </w:r>
    </w:p>
    <w:p w14:paraId="628AA510">
      <w:pPr>
        <w:spacing w:line="360" w:lineRule="auto"/>
        <w:rPr>
          <w:rFonts w:ascii="宋体" w:hAnsi="宋体"/>
          <w:color w:val="auto"/>
          <w:highlight w:val="none"/>
        </w:rPr>
      </w:pPr>
      <w:r>
        <w:rPr>
          <w:rFonts w:hint="eastAsia" w:ascii="宋体" w:hAnsi="宋体"/>
          <w:color w:val="auto"/>
          <w:highlight w:val="none"/>
        </w:rPr>
        <w:t>采购代理机构将中标结果在政府采购指定媒体上公告，并同时</w:t>
      </w:r>
      <w:r>
        <w:rPr>
          <w:rFonts w:ascii="宋体" w:hAnsi="宋体"/>
          <w:color w:val="auto"/>
          <w:highlight w:val="none"/>
        </w:rPr>
        <w:t>向中标</w:t>
      </w:r>
      <w:r>
        <w:rPr>
          <w:rFonts w:hint="eastAsia" w:ascii="宋体" w:hAnsi="宋体"/>
          <w:color w:val="auto"/>
          <w:highlight w:val="none"/>
        </w:rPr>
        <w:t>供应商</w:t>
      </w:r>
      <w:r>
        <w:rPr>
          <w:rFonts w:ascii="宋体" w:hAnsi="宋体"/>
          <w:color w:val="auto"/>
          <w:highlight w:val="none"/>
        </w:rPr>
        <w:t>发出中标通知书。</w:t>
      </w:r>
    </w:p>
    <w:p w14:paraId="3E92BABE">
      <w:pPr>
        <w:pStyle w:val="5"/>
        <w:keepNext/>
        <w:keepLines/>
        <w:pageBreakBefore w:val="0"/>
        <w:widowControl w:val="0"/>
        <w:numPr>
          <w:ilvl w:val="1"/>
          <w:numId w:val="0"/>
        </w:numPr>
        <w:kinsoku/>
        <w:wordWrap/>
        <w:overflowPunct/>
        <w:topLinePunct w:val="0"/>
        <w:autoSpaceDE/>
        <w:autoSpaceDN/>
        <w:bidi w:val="0"/>
        <w:adjustRightInd/>
        <w:snapToGrid/>
        <w:spacing w:before="0" w:after="0" w:line="413" w:lineRule="auto"/>
        <w:ind w:leftChars="0"/>
        <w:textAlignment w:val="auto"/>
        <w:rPr>
          <w:rFonts w:hint="eastAsia" w:ascii="宋体" w:hAnsi="宋体" w:eastAsia="宋体" w:cs="Times New Roman"/>
          <w:b/>
          <w:bCs w:val="0"/>
          <w:color w:val="auto"/>
          <w:kern w:val="2"/>
          <w:sz w:val="21"/>
          <w:szCs w:val="24"/>
          <w:highlight w:val="none"/>
          <w:lang w:val="en-US" w:eastAsia="zh-CN" w:bidi="ar-SA"/>
        </w:rPr>
      </w:pPr>
      <w:r>
        <w:rPr>
          <w:rFonts w:hint="eastAsia" w:ascii="宋体" w:hAnsi="宋体" w:eastAsia="宋体" w:cs="Times New Roman"/>
          <w:b/>
          <w:bCs w:val="0"/>
          <w:color w:val="auto"/>
          <w:kern w:val="2"/>
          <w:sz w:val="21"/>
          <w:szCs w:val="24"/>
          <w:highlight w:val="none"/>
          <w:lang w:val="en-US" w:eastAsia="zh-CN" w:bidi="ar-SA"/>
        </w:rPr>
        <w:t>6、特别声明：价格是评标的重要因素之一，但最低价不是中标的唯一依据。</w:t>
      </w:r>
    </w:p>
    <w:p w14:paraId="5F914886">
      <w:pPr>
        <w:spacing w:line="360" w:lineRule="auto"/>
        <w:rPr>
          <w:rFonts w:ascii="宋体" w:hAnsi="宋体"/>
          <w:b/>
          <w:bCs/>
          <w:color w:val="auto"/>
          <w:sz w:val="24"/>
          <w:highlight w:val="none"/>
        </w:rPr>
      </w:pPr>
      <w:r>
        <w:rPr>
          <w:rFonts w:hint="eastAsia" w:ascii="宋体" w:hAnsi="宋体"/>
          <w:b/>
          <w:bCs/>
          <w:color w:val="auto"/>
          <w:sz w:val="24"/>
          <w:highlight w:val="none"/>
          <w:lang w:val="en-US" w:eastAsia="zh-CN"/>
        </w:rPr>
        <w:t>7</w:t>
      </w:r>
      <w:r>
        <w:rPr>
          <w:rFonts w:hint="eastAsia" w:ascii="宋体" w:hAnsi="宋体"/>
          <w:b/>
          <w:bCs/>
          <w:color w:val="auto"/>
          <w:sz w:val="24"/>
          <w:highlight w:val="none"/>
        </w:rPr>
        <w:t>.评分标准</w:t>
      </w:r>
    </w:p>
    <w:p w14:paraId="744D1A98">
      <w:pPr>
        <w:spacing w:line="360" w:lineRule="auto"/>
        <w:rPr>
          <w:rFonts w:ascii="宋体" w:hAnsi="宋体"/>
          <w:color w:val="auto"/>
          <w:highlight w:val="none"/>
        </w:rPr>
      </w:pPr>
      <w:r>
        <w:rPr>
          <w:rFonts w:hint="eastAsia" w:ascii="宋体" w:hAnsi="宋体"/>
          <w:color w:val="auto"/>
          <w:highlight w:val="none"/>
        </w:rPr>
        <w:t>详见后附评分标准表。</w:t>
      </w:r>
    </w:p>
    <w:p w14:paraId="5AD30488">
      <w:pPr>
        <w:pStyle w:val="16"/>
        <w:ind w:left="0" w:firstLine="0"/>
        <w:jc w:val="left"/>
        <w:rPr>
          <w:color w:val="auto"/>
          <w:highlight w:val="none"/>
        </w:rPr>
      </w:pPr>
      <w:r>
        <w:rPr>
          <w:rFonts w:hint="eastAsia"/>
          <w:color w:val="auto"/>
          <w:sz w:val="21"/>
          <w:highlight w:val="none"/>
        </w:rPr>
        <w:t>附：评分标准表</w:t>
      </w:r>
    </w:p>
    <w:p w14:paraId="6FCAFFD4">
      <w:pPr>
        <w:spacing w:line="360" w:lineRule="auto"/>
        <w:rPr>
          <w:rFonts w:ascii="宋体" w:hAnsi="宋体"/>
          <w:color w:val="auto"/>
          <w:highlight w:val="none"/>
        </w:rPr>
      </w:pPr>
    </w:p>
    <w:p w14:paraId="3F035297">
      <w:pPr>
        <w:pStyle w:val="16"/>
        <w:ind w:left="0" w:firstLine="0"/>
        <w:jc w:val="left"/>
        <w:rPr>
          <w:color w:val="auto"/>
          <w:sz w:val="21"/>
          <w:highlight w:val="none"/>
        </w:rPr>
      </w:pPr>
      <w:r>
        <w:rPr>
          <w:color w:val="auto"/>
          <w:sz w:val="21"/>
          <w:highlight w:val="none"/>
        </w:rPr>
        <w:br w:type="page"/>
      </w:r>
      <w:r>
        <w:rPr>
          <w:rFonts w:hint="eastAsia"/>
          <w:color w:val="auto"/>
          <w:sz w:val="21"/>
          <w:highlight w:val="none"/>
        </w:rPr>
        <w:t>附：</w:t>
      </w:r>
    </w:p>
    <w:p w14:paraId="28AFA7B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color w:val="auto"/>
          <w:sz w:val="32"/>
          <w:szCs w:val="32"/>
          <w:highlight w:val="none"/>
        </w:rPr>
      </w:pPr>
      <w:r>
        <w:rPr>
          <w:rFonts w:hint="eastAsia"/>
          <w:b/>
          <w:color w:val="auto"/>
          <w:sz w:val="32"/>
          <w:szCs w:val="32"/>
          <w:highlight w:val="none"/>
        </w:rPr>
        <w:t>评分标准表</w:t>
      </w:r>
    </w:p>
    <w:tbl>
      <w:tblPr>
        <w:tblStyle w:val="25"/>
        <w:tblpPr w:leftFromText="180" w:rightFromText="180" w:vertAnchor="text" w:horzAnchor="page" w:tblpX="1370" w:tblpY="509"/>
        <w:tblOverlap w:val="never"/>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289"/>
        <w:gridCol w:w="6400"/>
        <w:gridCol w:w="730"/>
      </w:tblGrid>
      <w:tr w14:paraId="576F2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2286" w:type="dxa"/>
            <w:gridSpan w:val="2"/>
            <w:tcBorders>
              <w:top w:val="single" w:color="auto" w:sz="4" w:space="0"/>
              <w:left w:val="single" w:color="auto" w:sz="4" w:space="0"/>
              <w:bottom w:val="single" w:color="auto" w:sz="4" w:space="0"/>
              <w:right w:val="single" w:color="auto" w:sz="2" w:space="0"/>
            </w:tcBorders>
            <w:vAlign w:val="center"/>
          </w:tcPr>
          <w:p w14:paraId="1871C07F">
            <w:pPr>
              <w:widowControl/>
              <w:spacing w:line="360" w:lineRule="auto"/>
              <w:jc w:val="center"/>
              <w:textAlignment w:val="center"/>
              <w:rPr>
                <w:rFonts w:hint="eastAsia" w:ascii="宋体" w:hAnsi="宋体" w:cs="宋体"/>
                <w:snapToGrid w:val="0"/>
                <w:color w:val="auto"/>
                <w:spacing w:val="-4"/>
                <w:szCs w:val="21"/>
                <w:highlight w:val="none"/>
              </w:rPr>
            </w:pPr>
            <w:r>
              <w:rPr>
                <w:rFonts w:hint="eastAsia" w:ascii="宋体" w:hAnsi="宋体" w:cs="宋体"/>
                <w:b/>
                <w:bCs/>
                <w:color w:val="auto"/>
                <w:kern w:val="0"/>
                <w:szCs w:val="21"/>
                <w:highlight w:val="none"/>
                <w:lang w:bidi="ar"/>
              </w:rPr>
              <w:t>评分项目</w:t>
            </w:r>
          </w:p>
        </w:tc>
        <w:tc>
          <w:tcPr>
            <w:tcW w:w="6400" w:type="dxa"/>
            <w:tcBorders>
              <w:top w:val="single" w:color="auto" w:sz="4" w:space="0"/>
              <w:left w:val="single" w:color="auto" w:sz="4" w:space="0"/>
              <w:right w:val="single" w:color="auto" w:sz="2" w:space="0"/>
            </w:tcBorders>
            <w:vAlign w:val="center"/>
          </w:tcPr>
          <w:p w14:paraId="6EFE56F7">
            <w:pPr>
              <w:widowControl/>
              <w:spacing w:line="360"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评分标准</w:t>
            </w:r>
          </w:p>
        </w:tc>
        <w:tc>
          <w:tcPr>
            <w:tcW w:w="730" w:type="dxa"/>
            <w:tcBorders>
              <w:top w:val="single" w:color="auto" w:sz="4" w:space="0"/>
              <w:left w:val="single" w:color="auto" w:sz="4" w:space="0"/>
              <w:right w:val="single" w:color="auto" w:sz="2" w:space="0"/>
            </w:tcBorders>
            <w:vAlign w:val="center"/>
          </w:tcPr>
          <w:p w14:paraId="2871B51F">
            <w:pPr>
              <w:widowControl/>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3E6F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trPr>
        <w:tc>
          <w:tcPr>
            <w:tcW w:w="997" w:type="dxa"/>
            <w:vMerge w:val="restart"/>
            <w:tcBorders>
              <w:top w:val="single" w:color="auto" w:sz="4" w:space="0"/>
              <w:left w:val="single" w:color="auto" w:sz="4" w:space="0"/>
              <w:right w:val="single" w:color="auto" w:sz="2" w:space="0"/>
            </w:tcBorders>
            <w:vAlign w:val="center"/>
          </w:tcPr>
          <w:p w14:paraId="67390288">
            <w:pPr>
              <w:spacing w:line="360" w:lineRule="auto"/>
              <w:rPr>
                <w:rFonts w:hint="eastAsia"/>
                <w:color w:val="auto"/>
                <w:highlight w:val="none"/>
              </w:rPr>
            </w:pPr>
            <w:r>
              <w:rPr>
                <w:rFonts w:hint="eastAsia"/>
                <w:color w:val="auto"/>
                <w:highlight w:val="none"/>
              </w:rPr>
              <w:t>商务技术分</w:t>
            </w:r>
          </w:p>
          <w:p w14:paraId="732AC4A2">
            <w:pPr>
              <w:spacing w:line="360" w:lineRule="auto"/>
              <w:rPr>
                <w:rFonts w:hint="eastAsia"/>
                <w:color w:val="auto"/>
                <w:highlight w:val="none"/>
              </w:rPr>
            </w:pPr>
            <w:r>
              <w:rPr>
                <w:rFonts w:hint="eastAsia"/>
                <w:color w:val="auto"/>
                <w:highlight w:val="none"/>
              </w:rPr>
              <w:t>（</w:t>
            </w:r>
            <w:r>
              <w:rPr>
                <w:rFonts w:hint="eastAsia"/>
                <w:color w:val="auto"/>
                <w:highlight w:val="none"/>
                <w:lang w:val="en-US" w:eastAsia="zh-CN"/>
              </w:rPr>
              <w:t>80</w:t>
            </w:r>
            <w:r>
              <w:rPr>
                <w:rFonts w:hint="eastAsia"/>
                <w:color w:val="auto"/>
                <w:highlight w:val="none"/>
              </w:rPr>
              <w:t>分）</w:t>
            </w:r>
          </w:p>
        </w:tc>
        <w:tc>
          <w:tcPr>
            <w:tcW w:w="1289" w:type="dxa"/>
            <w:vMerge w:val="restart"/>
            <w:tcBorders>
              <w:top w:val="single" w:color="auto" w:sz="4" w:space="0"/>
              <w:left w:val="single" w:color="auto" w:sz="4" w:space="0"/>
              <w:right w:val="single" w:color="auto" w:sz="2" w:space="0"/>
            </w:tcBorders>
            <w:vAlign w:val="center"/>
          </w:tcPr>
          <w:p w14:paraId="24BE24AE">
            <w:pPr>
              <w:widowControl/>
              <w:numPr>
                <w:ilvl w:val="0"/>
                <w:numId w:val="0"/>
              </w:numPr>
              <w:spacing w:line="360" w:lineRule="auto"/>
              <w:jc w:val="center"/>
              <w:textAlignment w:val="center"/>
              <w:rPr>
                <w:rFonts w:hint="eastAsia" w:ascii="Times New Roman" w:hAnsi="Times New Roman" w:cs="Times New Roman"/>
                <w:color w:val="auto"/>
                <w:highlight w:val="none"/>
              </w:rPr>
            </w:pPr>
            <w:r>
              <w:rPr>
                <w:rFonts w:hint="eastAsia" w:ascii="Times New Roman" w:hAnsi="Times New Roman" w:eastAsia="宋体" w:cs="Times New Roman"/>
                <w:color w:val="auto"/>
                <w:kern w:val="2"/>
                <w:sz w:val="21"/>
                <w:szCs w:val="22"/>
                <w:lang w:val="en-US" w:eastAsia="zh-CN" w:bidi="ar-SA"/>
              </w:rPr>
              <w:t>1、</w:t>
            </w:r>
            <w:r>
              <w:rPr>
                <w:rFonts w:hint="eastAsia" w:ascii="Times New Roman" w:hAnsi="Times New Roman" w:cs="Times New Roman"/>
                <w:color w:val="auto"/>
                <w:highlight w:val="none"/>
              </w:rPr>
              <w:t>项目技术实施方案</w:t>
            </w:r>
          </w:p>
          <w:p w14:paraId="67EF83D6">
            <w:pPr>
              <w:widowControl/>
              <w:numPr>
                <w:ilvl w:val="0"/>
                <w:numId w:val="0"/>
              </w:numPr>
              <w:spacing w:line="360" w:lineRule="auto"/>
              <w:jc w:val="center"/>
              <w:textAlignment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24分）</w:t>
            </w:r>
          </w:p>
        </w:tc>
        <w:tc>
          <w:tcPr>
            <w:tcW w:w="6400" w:type="dxa"/>
            <w:tcBorders>
              <w:top w:val="single" w:color="auto" w:sz="4" w:space="0"/>
              <w:left w:val="single" w:color="auto" w:sz="4" w:space="0"/>
              <w:right w:val="single" w:color="auto" w:sz="2" w:space="0"/>
            </w:tcBorders>
            <w:shd w:val="clear" w:color="auto" w:fill="auto"/>
            <w:vAlign w:val="top"/>
          </w:tcPr>
          <w:p w14:paraId="667693C1">
            <w:pPr>
              <w:widowControl/>
              <w:spacing w:line="360" w:lineRule="auto"/>
              <w:jc w:val="both"/>
              <w:textAlignment w:val="center"/>
              <w:rPr>
                <w:rFonts w:hint="eastAsia" w:ascii="Times New Roman" w:hAnsi="Times New Roman" w:cs="Times New Roman"/>
                <w:color w:val="auto"/>
                <w:highlight w:val="none"/>
                <w:lang w:eastAsia="zh-CN"/>
              </w:rPr>
            </w:pPr>
            <w:r>
              <w:rPr>
                <w:rFonts w:hint="eastAsia" w:ascii="Times New Roman" w:hAnsi="Times New Roman" w:cs="Times New Roman"/>
                <w:b/>
                <w:bCs/>
                <w:color w:val="auto"/>
                <w:highlight w:val="none"/>
                <w:lang w:val="en-US" w:eastAsia="zh-CN"/>
              </w:rPr>
              <w:t>1.1</w:t>
            </w:r>
            <w:r>
              <w:rPr>
                <w:rFonts w:hint="eastAsia" w:ascii="Times New Roman" w:hAnsi="Times New Roman" w:cs="Times New Roman"/>
                <w:b/>
                <w:bCs/>
                <w:color w:val="auto"/>
                <w:highlight w:val="none"/>
                <w:lang w:eastAsia="zh-CN"/>
              </w:rPr>
              <w:t>投标人对本项目现状基本情况的调查分析</w:t>
            </w:r>
            <w:r>
              <w:rPr>
                <w:rFonts w:hint="eastAsia" w:ascii="Times New Roman" w:hAnsi="Times New Roman" w:cs="Times New Roman"/>
                <w:b/>
                <w:bCs/>
                <w:color w:val="auto"/>
                <w:highlight w:val="none"/>
                <w:lang w:val="en-US" w:eastAsia="zh-CN"/>
              </w:rPr>
              <w:t>完整性、准确性进行评议（6分）</w:t>
            </w:r>
            <w:r>
              <w:rPr>
                <w:rFonts w:hint="eastAsia" w:ascii="Times New Roman" w:hAnsi="Times New Roman" w:cs="Times New Roman"/>
                <w:b/>
                <w:bCs/>
                <w:color w:val="auto"/>
                <w:highlight w:val="none"/>
                <w:lang w:eastAsia="zh-CN"/>
              </w:rPr>
              <w:t>：</w:t>
            </w:r>
          </w:p>
          <w:p w14:paraId="33A9F6D0">
            <w:pPr>
              <w:widowControl/>
              <w:numPr>
                <w:ilvl w:val="0"/>
                <w:numId w:val="0"/>
              </w:numPr>
              <w:spacing w:line="360" w:lineRule="auto"/>
              <w:jc w:val="both"/>
              <w:textAlignment w:val="center"/>
              <w:rPr>
                <w:rFonts w:hint="eastAsia" w:ascii="Times New Roman" w:hAnsi="Times New Roman" w:cs="Times New Roman"/>
                <w:color w:val="auto"/>
                <w:highlight w:val="none"/>
                <w:lang w:val="en-US" w:eastAsia="zh-CN"/>
              </w:rPr>
            </w:pPr>
            <w:r>
              <w:rPr>
                <w:rFonts w:hint="eastAsia" w:ascii="Times New Roman" w:hAnsi="Times New Roman" w:eastAsia="宋体" w:cs="Times New Roman"/>
                <w:color w:val="auto"/>
                <w:kern w:val="2"/>
                <w:sz w:val="21"/>
                <w:szCs w:val="22"/>
                <w:lang w:val="en-US" w:eastAsia="zh-CN" w:bidi="ar-SA"/>
              </w:rPr>
              <w:t>（1）</w:t>
            </w:r>
            <w:r>
              <w:rPr>
                <w:rFonts w:hint="eastAsia" w:ascii="Times New Roman" w:hAnsi="Times New Roman" w:cs="Times New Roman"/>
                <w:color w:val="auto"/>
                <w:highlight w:val="none"/>
                <w:lang w:val="en-US" w:eastAsia="zh-CN"/>
              </w:rPr>
              <w:t>内容完整得3分；内容较完整得2分；内容欠完整得1分；无相关内容不得分。</w:t>
            </w:r>
          </w:p>
          <w:p w14:paraId="0E335441">
            <w:pPr>
              <w:widowControl/>
              <w:numPr>
                <w:ilvl w:val="0"/>
                <w:numId w:val="0"/>
              </w:numPr>
              <w:spacing w:line="360" w:lineRule="auto"/>
              <w:jc w:val="both"/>
              <w:textAlignment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（2）分析准确得3分；分析基本准确得2分；分析欠准确得1分；无相关内容不得分。</w:t>
            </w:r>
          </w:p>
        </w:tc>
        <w:tc>
          <w:tcPr>
            <w:tcW w:w="730" w:type="dxa"/>
            <w:tcBorders>
              <w:top w:val="single" w:color="auto" w:sz="4" w:space="0"/>
              <w:left w:val="single" w:color="auto" w:sz="4" w:space="0"/>
              <w:right w:val="single" w:color="auto" w:sz="2" w:space="0"/>
            </w:tcBorders>
            <w:vAlign w:val="center"/>
          </w:tcPr>
          <w:p w14:paraId="2FDD1B2B">
            <w:pPr>
              <w:widowControl/>
              <w:spacing w:line="360" w:lineRule="auto"/>
              <w:jc w:val="center"/>
              <w:textAlignment w:val="center"/>
              <w:rPr>
                <w:rFonts w:hint="eastAsia"/>
                <w:color w:val="auto"/>
                <w:highlight w:val="none"/>
              </w:rPr>
            </w:pPr>
            <w:r>
              <w:rPr>
                <w:rFonts w:hint="eastAsia"/>
                <w:color w:val="auto"/>
                <w:highlight w:val="none"/>
              </w:rPr>
              <w:t>主观评审</w:t>
            </w:r>
          </w:p>
        </w:tc>
      </w:tr>
      <w:tr w14:paraId="5D17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997" w:type="dxa"/>
            <w:vMerge w:val="continue"/>
            <w:tcBorders>
              <w:left w:val="single" w:color="auto" w:sz="4" w:space="0"/>
              <w:right w:val="single" w:color="auto" w:sz="2" w:space="0"/>
            </w:tcBorders>
            <w:vAlign w:val="center"/>
          </w:tcPr>
          <w:p w14:paraId="44B57AB6">
            <w:pPr>
              <w:spacing w:line="360" w:lineRule="auto"/>
              <w:rPr>
                <w:rFonts w:hint="eastAsia"/>
                <w:color w:val="auto"/>
                <w:highlight w:val="none"/>
              </w:rPr>
            </w:pPr>
          </w:p>
        </w:tc>
        <w:tc>
          <w:tcPr>
            <w:tcW w:w="1289" w:type="dxa"/>
            <w:vMerge w:val="continue"/>
            <w:tcBorders>
              <w:left w:val="single" w:color="auto" w:sz="4" w:space="0"/>
              <w:right w:val="single" w:color="auto" w:sz="2" w:space="0"/>
            </w:tcBorders>
            <w:vAlign w:val="center"/>
          </w:tcPr>
          <w:p w14:paraId="3C95D53B">
            <w:pPr>
              <w:widowControl/>
              <w:spacing w:line="360" w:lineRule="auto"/>
              <w:jc w:val="center"/>
              <w:textAlignment w:val="center"/>
              <w:rPr>
                <w:rFonts w:hint="eastAsia" w:ascii="Times New Roman" w:hAnsi="Times New Roman" w:cs="Times New Roman"/>
                <w:color w:val="auto"/>
                <w:highlight w:val="none"/>
              </w:rPr>
            </w:pPr>
          </w:p>
        </w:tc>
        <w:tc>
          <w:tcPr>
            <w:tcW w:w="6400" w:type="dxa"/>
            <w:tcBorders>
              <w:top w:val="single" w:color="auto" w:sz="4" w:space="0"/>
              <w:left w:val="single" w:color="auto" w:sz="4" w:space="0"/>
              <w:right w:val="single" w:color="auto" w:sz="2" w:space="0"/>
            </w:tcBorders>
            <w:vAlign w:val="top"/>
          </w:tcPr>
          <w:p w14:paraId="124483A7">
            <w:pPr>
              <w:widowControl/>
              <w:numPr>
                <w:ilvl w:val="0"/>
                <w:numId w:val="0"/>
              </w:numPr>
              <w:spacing w:line="360" w:lineRule="auto"/>
              <w:jc w:val="both"/>
              <w:textAlignment w:val="center"/>
              <w:rPr>
                <w:rFonts w:hint="eastAsia" w:ascii="Times New Roman" w:hAnsi="Times New Roman" w:cs="Times New Roman"/>
                <w:color w:val="auto"/>
                <w:highlight w:val="none"/>
                <w:lang w:val="en-US" w:eastAsia="zh-CN"/>
              </w:rPr>
            </w:pPr>
            <w:r>
              <w:rPr>
                <w:rFonts w:hint="eastAsia" w:ascii="Times New Roman" w:hAnsi="Times New Roman" w:cs="Times New Roman"/>
                <w:b/>
                <w:bCs/>
                <w:color w:val="auto"/>
                <w:highlight w:val="none"/>
                <w:lang w:eastAsia="zh-CN"/>
              </w:rPr>
              <w:t>1.2根据投标人针对本项目组织实施方案的完整性、可操作性进行评</w:t>
            </w:r>
            <w:r>
              <w:rPr>
                <w:rFonts w:hint="eastAsia" w:ascii="Times New Roman" w:hAnsi="Times New Roman" w:cs="Times New Roman"/>
                <w:b/>
                <w:bCs/>
                <w:color w:val="auto"/>
                <w:highlight w:val="none"/>
                <w:lang w:val="en-US" w:eastAsia="zh-CN"/>
              </w:rPr>
              <w:t>议（6分）：</w:t>
            </w:r>
          </w:p>
          <w:p w14:paraId="7D1F3BF2">
            <w:pPr>
              <w:widowControl/>
              <w:numPr>
                <w:ilvl w:val="0"/>
                <w:numId w:val="0"/>
              </w:numPr>
              <w:spacing w:line="360" w:lineRule="auto"/>
              <w:jc w:val="both"/>
              <w:textAlignment w:val="center"/>
              <w:rPr>
                <w:rFonts w:hint="eastAsia" w:ascii="Times New Roman" w:hAnsi="Times New Roman" w:cs="Times New Roman"/>
                <w:color w:val="auto"/>
                <w:highlight w:val="none"/>
                <w:lang w:val="en-US" w:eastAsia="zh-CN"/>
              </w:rPr>
            </w:pPr>
            <w:r>
              <w:rPr>
                <w:rFonts w:hint="eastAsia" w:ascii="Times New Roman" w:hAnsi="Times New Roman" w:eastAsia="宋体" w:cs="Times New Roman"/>
                <w:color w:val="auto"/>
                <w:kern w:val="2"/>
                <w:sz w:val="21"/>
                <w:szCs w:val="22"/>
                <w:lang w:val="en-US" w:eastAsia="zh-CN" w:bidi="ar-SA"/>
              </w:rPr>
              <w:t>（1）</w:t>
            </w:r>
            <w:r>
              <w:rPr>
                <w:rFonts w:hint="eastAsia" w:ascii="Times New Roman" w:hAnsi="Times New Roman" w:cs="Times New Roman"/>
                <w:color w:val="auto"/>
                <w:highlight w:val="none"/>
                <w:lang w:val="en-US" w:eastAsia="zh-CN"/>
              </w:rPr>
              <w:t>内容完整得3分；内容较完整得2分；内容欠完整得1分；无相关内容不得分。</w:t>
            </w:r>
          </w:p>
          <w:p w14:paraId="342CFF8B">
            <w:pPr>
              <w:widowControl/>
              <w:numPr>
                <w:ilvl w:val="0"/>
                <w:numId w:val="0"/>
              </w:numPr>
              <w:spacing w:line="360" w:lineRule="auto"/>
              <w:jc w:val="both"/>
              <w:textAlignment w:val="center"/>
              <w:rPr>
                <w:rFonts w:hint="eastAsia"/>
                <w:lang w:eastAsia="zh-CN"/>
              </w:rPr>
            </w:pPr>
            <w:r>
              <w:rPr>
                <w:rFonts w:hint="eastAsia" w:ascii="Times New Roman" w:hAnsi="Times New Roman" w:eastAsia="宋体" w:cs="Times New Roman"/>
                <w:color w:val="auto"/>
                <w:kern w:val="2"/>
                <w:sz w:val="21"/>
                <w:szCs w:val="22"/>
                <w:lang w:val="en-US" w:eastAsia="zh-CN" w:bidi="ar-SA"/>
              </w:rPr>
              <w:t>（</w:t>
            </w:r>
            <w:r>
              <w:rPr>
                <w:rFonts w:hint="eastAsia" w:ascii="Times New Roman" w:hAnsi="Times New Roman" w:cs="Times New Roman"/>
                <w:color w:val="auto"/>
                <w:kern w:val="2"/>
                <w:sz w:val="21"/>
                <w:szCs w:val="22"/>
                <w:lang w:val="en-US" w:eastAsia="zh-CN" w:bidi="ar-SA"/>
              </w:rPr>
              <w:t>2</w:t>
            </w:r>
            <w:r>
              <w:rPr>
                <w:rFonts w:hint="eastAsia" w:ascii="Times New Roman" w:hAnsi="Times New Roman" w:eastAsia="宋体" w:cs="Times New Roman"/>
                <w:color w:val="auto"/>
                <w:kern w:val="2"/>
                <w:sz w:val="21"/>
                <w:szCs w:val="22"/>
                <w:lang w:val="en-US" w:eastAsia="zh-CN" w:bidi="ar-SA"/>
              </w:rPr>
              <w:t>）</w:t>
            </w:r>
            <w:r>
              <w:rPr>
                <w:rFonts w:hint="eastAsia" w:ascii="Times New Roman" w:hAnsi="Times New Roman" w:cs="Times New Roman"/>
                <w:color w:val="auto"/>
                <w:highlight w:val="none"/>
                <w:lang w:val="en-US" w:eastAsia="zh-CN"/>
              </w:rPr>
              <w:t>可操作性强得3分；可操作性一般得2分；可操作性欠强得1分；无相关内容不得分。</w:t>
            </w:r>
          </w:p>
        </w:tc>
        <w:tc>
          <w:tcPr>
            <w:tcW w:w="730" w:type="dxa"/>
            <w:tcBorders>
              <w:top w:val="single" w:color="auto" w:sz="4" w:space="0"/>
              <w:left w:val="single" w:color="auto" w:sz="4" w:space="0"/>
              <w:right w:val="single" w:color="auto" w:sz="2" w:space="0"/>
            </w:tcBorders>
            <w:vAlign w:val="center"/>
          </w:tcPr>
          <w:p w14:paraId="31A66BA7">
            <w:pPr>
              <w:spacing w:line="360" w:lineRule="auto"/>
              <w:jc w:val="center"/>
              <w:rPr>
                <w:rFonts w:hint="eastAsia"/>
                <w:color w:val="auto"/>
                <w:highlight w:val="none"/>
              </w:rPr>
            </w:pPr>
            <w:r>
              <w:rPr>
                <w:rFonts w:hint="eastAsia"/>
                <w:color w:val="auto"/>
                <w:highlight w:val="none"/>
              </w:rPr>
              <w:t>主观评审</w:t>
            </w:r>
          </w:p>
        </w:tc>
      </w:tr>
      <w:tr w14:paraId="46EC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997" w:type="dxa"/>
            <w:vMerge w:val="continue"/>
            <w:tcBorders>
              <w:left w:val="single" w:color="auto" w:sz="4" w:space="0"/>
              <w:right w:val="single" w:color="auto" w:sz="2" w:space="0"/>
            </w:tcBorders>
            <w:vAlign w:val="center"/>
          </w:tcPr>
          <w:p w14:paraId="275676AC">
            <w:pPr>
              <w:spacing w:line="360" w:lineRule="auto"/>
              <w:rPr>
                <w:rFonts w:hint="eastAsia"/>
                <w:color w:val="auto"/>
                <w:highlight w:val="none"/>
              </w:rPr>
            </w:pPr>
          </w:p>
        </w:tc>
        <w:tc>
          <w:tcPr>
            <w:tcW w:w="1289" w:type="dxa"/>
            <w:vMerge w:val="continue"/>
            <w:tcBorders>
              <w:left w:val="single" w:color="auto" w:sz="4" w:space="0"/>
              <w:right w:val="single" w:color="auto" w:sz="2" w:space="0"/>
            </w:tcBorders>
            <w:vAlign w:val="center"/>
          </w:tcPr>
          <w:p w14:paraId="492C67F3">
            <w:pPr>
              <w:spacing w:line="360" w:lineRule="auto"/>
              <w:jc w:val="center"/>
              <w:rPr>
                <w:rFonts w:hint="eastAsia"/>
                <w:color w:val="auto"/>
                <w:highlight w:val="none"/>
                <w:lang w:val="en-US" w:eastAsia="zh-CN"/>
              </w:rPr>
            </w:pPr>
          </w:p>
        </w:tc>
        <w:tc>
          <w:tcPr>
            <w:tcW w:w="6400" w:type="dxa"/>
            <w:tcBorders>
              <w:top w:val="single" w:color="auto" w:sz="4" w:space="0"/>
              <w:left w:val="single" w:color="auto" w:sz="4" w:space="0"/>
              <w:right w:val="single" w:color="auto" w:sz="2" w:space="0"/>
            </w:tcBorders>
            <w:shd w:val="clear" w:color="auto" w:fill="auto"/>
            <w:vAlign w:val="center"/>
          </w:tcPr>
          <w:p w14:paraId="027C3884">
            <w:pPr>
              <w:widowControl/>
              <w:numPr>
                <w:ilvl w:val="0"/>
                <w:numId w:val="0"/>
              </w:numPr>
              <w:spacing w:line="360" w:lineRule="auto"/>
              <w:jc w:val="both"/>
              <w:textAlignment w:val="center"/>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1.3根据投标人针对项目实施的重难点分析及解决措施适用、有效性进行评议（6分）：</w:t>
            </w:r>
          </w:p>
          <w:p w14:paraId="64509511">
            <w:pPr>
              <w:widowControl/>
              <w:numPr>
                <w:ilvl w:val="0"/>
                <w:numId w:val="0"/>
              </w:numPr>
              <w:spacing w:line="360" w:lineRule="auto"/>
              <w:jc w:val="both"/>
              <w:textAlignment w:val="center"/>
              <w:rPr>
                <w:rFonts w:hint="eastAsia" w:ascii="Times New Roman" w:hAnsi="Times New Roman" w:cs="Times New Roman"/>
                <w:color w:val="auto"/>
                <w:highlight w:val="none"/>
                <w:lang w:val="en-US" w:eastAsia="zh-CN"/>
              </w:rPr>
            </w:pPr>
            <w:r>
              <w:rPr>
                <w:rFonts w:hint="eastAsia" w:ascii="Times New Roman" w:hAnsi="Times New Roman" w:eastAsia="宋体" w:cs="Times New Roman"/>
                <w:color w:val="auto"/>
                <w:kern w:val="2"/>
                <w:sz w:val="21"/>
                <w:szCs w:val="22"/>
                <w:lang w:val="en-US" w:eastAsia="zh-CN" w:bidi="ar-SA"/>
              </w:rPr>
              <w:t>（1）</w:t>
            </w:r>
            <w:r>
              <w:rPr>
                <w:rFonts w:hint="eastAsia" w:ascii="Times New Roman" w:hAnsi="Times New Roman" w:cs="Times New Roman"/>
                <w:color w:val="auto"/>
                <w:highlight w:val="none"/>
                <w:lang w:val="en-US" w:eastAsia="zh-CN"/>
              </w:rPr>
              <w:t>重难点分析完整、准确得3分；重难点分析基本完整、准确的得2分；重难点分析欠完整的得1分；无相关内容不得分。</w:t>
            </w:r>
          </w:p>
          <w:p w14:paraId="5EFFF31E">
            <w:pPr>
              <w:widowControl/>
              <w:numPr>
                <w:ilvl w:val="0"/>
                <w:numId w:val="0"/>
              </w:numPr>
              <w:spacing w:line="360" w:lineRule="auto"/>
              <w:jc w:val="both"/>
              <w:textAlignment w:val="center"/>
              <w:rPr>
                <w:rFonts w:hint="eastAsia" w:ascii="Times New Roman" w:hAnsi="Times New Roman" w:cs="Times New Roman"/>
                <w:color w:val="auto"/>
                <w:highlight w:val="none"/>
                <w:lang w:val="en-US" w:eastAsia="zh-CN"/>
              </w:rPr>
            </w:pPr>
            <w:r>
              <w:rPr>
                <w:rFonts w:hint="eastAsia" w:ascii="Times New Roman" w:hAnsi="Times New Roman" w:eastAsia="宋体" w:cs="Times New Roman"/>
                <w:color w:val="auto"/>
                <w:kern w:val="2"/>
                <w:sz w:val="21"/>
                <w:szCs w:val="22"/>
                <w:lang w:val="en-US" w:eastAsia="zh-CN" w:bidi="ar-SA"/>
              </w:rPr>
              <w:t>（</w:t>
            </w:r>
            <w:r>
              <w:rPr>
                <w:rFonts w:hint="eastAsia" w:ascii="Times New Roman" w:hAnsi="Times New Roman" w:cs="Times New Roman"/>
                <w:color w:val="auto"/>
                <w:kern w:val="2"/>
                <w:sz w:val="21"/>
                <w:szCs w:val="22"/>
                <w:lang w:val="en-US" w:eastAsia="zh-CN" w:bidi="ar-SA"/>
              </w:rPr>
              <w:t>2</w:t>
            </w:r>
            <w:r>
              <w:rPr>
                <w:rFonts w:hint="eastAsia" w:ascii="Times New Roman" w:hAnsi="Times New Roman" w:eastAsia="宋体" w:cs="Times New Roman"/>
                <w:color w:val="auto"/>
                <w:kern w:val="2"/>
                <w:sz w:val="21"/>
                <w:szCs w:val="22"/>
                <w:lang w:val="en-US" w:eastAsia="zh-CN" w:bidi="ar-SA"/>
              </w:rPr>
              <w:t>）</w:t>
            </w:r>
            <w:r>
              <w:rPr>
                <w:rFonts w:hint="eastAsia" w:ascii="Times New Roman" w:hAnsi="Times New Roman" w:cs="Times New Roman"/>
                <w:color w:val="auto"/>
                <w:highlight w:val="none"/>
                <w:lang w:val="en-US" w:eastAsia="zh-CN"/>
              </w:rPr>
              <w:t>解决措施适用、有效的得3分；解决基本措施适用、基本有效得2分；解决措施欠适用的得1分；无相关内容不得分。</w:t>
            </w:r>
          </w:p>
        </w:tc>
        <w:tc>
          <w:tcPr>
            <w:tcW w:w="730" w:type="dxa"/>
            <w:tcBorders>
              <w:top w:val="single" w:color="auto" w:sz="4" w:space="0"/>
              <w:left w:val="single" w:color="auto" w:sz="4" w:space="0"/>
              <w:right w:val="single" w:color="auto" w:sz="2" w:space="0"/>
            </w:tcBorders>
            <w:vAlign w:val="center"/>
          </w:tcPr>
          <w:p w14:paraId="34C84705">
            <w:pPr>
              <w:spacing w:line="360" w:lineRule="auto"/>
              <w:jc w:val="center"/>
              <w:rPr>
                <w:rFonts w:hint="default" w:eastAsia="宋体"/>
                <w:color w:val="auto"/>
                <w:highlight w:val="none"/>
                <w:lang w:val="en-US" w:eastAsia="zh-CN"/>
              </w:rPr>
            </w:pPr>
            <w:r>
              <w:rPr>
                <w:rFonts w:hint="eastAsia"/>
                <w:color w:val="auto"/>
                <w:highlight w:val="none"/>
                <w:lang w:val="en-US" w:eastAsia="zh-CN"/>
              </w:rPr>
              <w:t>主观评审</w:t>
            </w:r>
          </w:p>
        </w:tc>
      </w:tr>
      <w:tr w14:paraId="10B20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997" w:type="dxa"/>
            <w:vMerge w:val="continue"/>
            <w:tcBorders>
              <w:left w:val="single" w:color="auto" w:sz="4" w:space="0"/>
              <w:right w:val="single" w:color="auto" w:sz="2" w:space="0"/>
            </w:tcBorders>
            <w:vAlign w:val="center"/>
          </w:tcPr>
          <w:p w14:paraId="3DBB040A">
            <w:pPr>
              <w:spacing w:line="360" w:lineRule="auto"/>
              <w:rPr>
                <w:rFonts w:hint="eastAsia"/>
                <w:color w:val="auto"/>
                <w:highlight w:val="none"/>
              </w:rPr>
            </w:pPr>
          </w:p>
        </w:tc>
        <w:tc>
          <w:tcPr>
            <w:tcW w:w="1289" w:type="dxa"/>
            <w:vMerge w:val="continue"/>
            <w:tcBorders>
              <w:left w:val="single" w:color="auto" w:sz="4" w:space="0"/>
              <w:right w:val="single" w:color="auto" w:sz="2" w:space="0"/>
            </w:tcBorders>
            <w:vAlign w:val="center"/>
          </w:tcPr>
          <w:p w14:paraId="665913DC">
            <w:pPr>
              <w:spacing w:line="360" w:lineRule="auto"/>
              <w:jc w:val="center"/>
              <w:rPr>
                <w:rFonts w:hint="eastAsia"/>
                <w:color w:val="auto"/>
                <w:highlight w:val="none"/>
                <w:lang w:val="en-US" w:eastAsia="zh-CN"/>
              </w:rPr>
            </w:pPr>
          </w:p>
        </w:tc>
        <w:tc>
          <w:tcPr>
            <w:tcW w:w="6400" w:type="dxa"/>
            <w:tcBorders>
              <w:top w:val="single" w:color="auto" w:sz="4" w:space="0"/>
              <w:left w:val="single" w:color="auto" w:sz="4" w:space="0"/>
              <w:right w:val="single" w:color="auto" w:sz="2" w:space="0"/>
            </w:tcBorders>
            <w:vAlign w:val="center"/>
          </w:tcPr>
          <w:p w14:paraId="3DC719EA">
            <w:pPr>
              <w:widowControl/>
              <w:numPr>
                <w:ilvl w:val="0"/>
                <w:numId w:val="0"/>
              </w:numPr>
              <w:spacing w:line="360" w:lineRule="auto"/>
              <w:jc w:val="both"/>
              <w:textAlignment w:val="center"/>
              <w:rPr>
                <w:rFonts w:hint="eastAsia" w:ascii="Times New Roman" w:hAnsi="Times New Roman" w:cs="Times New Roman"/>
                <w:b/>
                <w:bCs/>
                <w:color w:val="auto"/>
                <w:highlight w:val="none"/>
                <w:lang w:val="en-US" w:eastAsia="zh-CN"/>
              </w:rPr>
            </w:pPr>
            <w:r>
              <w:rPr>
                <w:rFonts w:hint="eastAsia"/>
                <w:b/>
                <w:bCs/>
                <w:color w:val="auto"/>
                <w:highlight w:val="none"/>
                <w:lang w:val="en-US" w:eastAsia="zh-CN"/>
              </w:rPr>
              <w:t>1.4根据投标人针对本项目制定的安全保密措施内容的合理性、规范性进行</w:t>
            </w:r>
            <w:r>
              <w:rPr>
                <w:rFonts w:hint="eastAsia" w:ascii="Times New Roman" w:hAnsi="Times New Roman" w:cs="Times New Roman"/>
                <w:b/>
                <w:bCs/>
                <w:color w:val="auto"/>
                <w:highlight w:val="none"/>
                <w:lang w:val="en-US" w:eastAsia="zh-CN"/>
              </w:rPr>
              <w:t>评议（6分）：</w:t>
            </w:r>
          </w:p>
          <w:p w14:paraId="1C7AAE2C">
            <w:pPr>
              <w:widowControl/>
              <w:numPr>
                <w:ilvl w:val="0"/>
                <w:numId w:val="0"/>
              </w:numPr>
              <w:spacing w:line="360" w:lineRule="auto"/>
              <w:jc w:val="both"/>
              <w:textAlignment w:val="center"/>
              <w:rPr>
                <w:rFonts w:hint="eastAsia" w:ascii="Times New Roman" w:hAnsi="Times New Roman" w:cs="Times New Roman"/>
                <w:color w:val="auto"/>
                <w:highlight w:val="none"/>
                <w:lang w:val="en-US" w:eastAsia="zh-CN"/>
              </w:rPr>
            </w:pPr>
            <w:r>
              <w:rPr>
                <w:rFonts w:hint="eastAsia" w:ascii="Times New Roman" w:hAnsi="Times New Roman" w:eastAsia="宋体" w:cs="Times New Roman"/>
                <w:color w:val="auto"/>
                <w:kern w:val="2"/>
                <w:sz w:val="21"/>
                <w:szCs w:val="22"/>
                <w:lang w:val="en-US" w:eastAsia="zh-CN" w:bidi="ar-SA"/>
              </w:rPr>
              <w:t>（1）</w:t>
            </w:r>
            <w:r>
              <w:rPr>
                <w:rFonts w:hint="eastAsia" w:ascii="Times New Roman" w:hAnsi="Times New Roman" w:cs="Times New Roman"/>
                <w:color w:val="auto"/>
                <w:highlight w:val="none"/>
                <w:lang w:val="en-US" w:eastAsia="zh-CN"/>
              </w:rPr>
              <w:t>内容合理得3分；内容基本合理得2分；内容欠合理的得1分；无相关内容不得分。</w:t>
            </w:r>
          </w:p>
          <w:p w14:paraId="55B8E8A1">
            <w:pPr>
              <w:spacing w:line="360" w:lineRule="auto"/>
              <w:rPr>
                <w:rFonts w:hint="eastAsia"/>
                <w:color w:val="auto"/>
                <w:highlight w:val="none"/>
                <w:lang w:val="en-US" w:eastAsia="zh-CN"/>
              </w:rPr>
            </w:pPr>
            <w:r>
              <w:rPr>
                <w:rFonts w:hint="eastAsia" w:ascii="Times New Roman" w:hAnsi="Times New Roman" w:eastAsia="宋体" w:cs="Times New Roman"/>
                <w:color w:val="auto"/>
                <w:kern w:val="2"/>
                <w:sz w:val="21"/>
                <w:szCs w:val="22"/>
                <w:lang w:val="en-US" w:eastAsia="zh-CN" w:bidi="ar-SA"/>
              </w:rPr>
              <w:t>（</w:t>
            </w:r>
            <w:r>
              <w:rPr>
                <w:rFonts w:hint="eastAsia" w:ascii="Times New Roman" w:hAnsi="Times New Roman" w:cs="Times New Roman"/>
                <w:color w:val="auto"/>
                <w:kern w:val="2"/>
                <w:sz w:val="21"/>
                <w:szCs w:val="22"/>
                <w:lang w:val="en-US" w:eastAsia="zh-CN" w:bidi="ar-SA"/>
              </w:rPr>
              <w:t>2</w:t>
            </w:r>
            <w:r>
              <w:rPr>
                <w:rFonts w:hint="eastAsia" w:ascii="Times New Roman" w:hAnsi="Times New Roman" w:eastAsia="宋体" w:cs="Times New Roman"/>
                <w:color w:val="auto"/>
                <w:kern w:val="2"/>
                <w:sz w:val="21"/>
                <w:szCs w:val="22"/>
                <w:lang w:val="en-US" w:eastAsia="zh-CN" w:bidi="ar-SA"/>
              </w:rPr>
              <w:t>）</w:t>
            </w:r>
            <w:r>
              <w:rPr>
                <w:rFonts w:hint="eastAsia" w:ascii="Times New Roman" w:hAnsi="Times New Roman" w:cs="Times New Roman"/>
                <w:color w:val="auto"/>
                <w:highlight w:val="none"/>
                <w:lang w:val="en-US" w:eastAsia="zh-CN"/>
              </w:rPr>
              <w:t>内容规范得3分；内容基本规范得2分；内容欠规范的得1分；无相关内容不得分。</w:t>
            </w:r>
          </w:p>
        </w:tc>
        <w:tc>
          <w:tcPr>
            <w:tcW w:w="730" w:type="dxa"/>
            <w:tcBorders>
              <w:top w:val="single" w:color="auto" w:sz="4" w:space="0"/>
              <w:left w:val="single" w:color="auto" w:sz="4" w:space="0"/>
              <w:right w:val="single" w:color="auto" w:sz="2" w:space="0"/>
            </w:tcBorders>
            <w:vAlign w:val="center"/>
          </w:tcPr>
          <w:p w14:paraId="325901C3">
            <w:pPr>
              <w:spacing w:line="360" w:lineRule="auto"/>
              <w:jc w:val="center"/>
              <w:rPr>
                <w:rFonts w:hint="eastAsia"/>
                <w:color w:val="auto"/>
                <w:highlight w:val="none"/>
                <w:lang w:val="en-US" w:eastAsia="zh-CN"/>
              </w:rPr>
            </w:pPr>
            <w:r>
              <w:rPr>
                <w:rFonts w:hint="eastAsia"/>
                <w:color w:val="auto"/>
                <w:highlight w:val="none"/>
              </w:rPr>
              <w:t>主观评审</w:t>
            </w:r>
          </w:p>
        </w:tc>
      </w:tr>
      <w:tr w14:paraId="46C6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6" w:hRule="atLeast"/>
        </w:trPr>
        <w:tc>
          <w:tcPr>
            <w:tcW w:w="997" w:type="dxa"/>
            <w:vMerge w:val="continue"/>
            <w:tcBorders>
              <w:left w:val="single" w:color="auto" w:sz="4" w:space="0"/>
              <w:right w:val="single" w:color="auto" w:sz="2" w:space="0"/>
            </w:tcBorders>
            <w:vAlign w:val="center"/>
          </w:tcPr>
          <w:p w14:paraId="7E26E7F3">
            <w:pPr>
              <w:spacing w:line="360" w:lineRule="auto"/>
              <w:rPr>
                <w:rFonts w:hint="eastAsia"/>
                <w:color w:val="auto"/>
                <w:highlight w:val="none"/>
              </w:rPr>
            </w:pPr>
          </w:p>
        </w:tc>
        <w:tc>
          <w:tcPr>
            <w:tcW w:w="1289" w:type="dxa"/>
            <w:tcBorders>
              <w:left w:val="single" w:color="auto" w:sz="4" w:space="0"/>
              <w:right w:val="single" w:color="auto" w:sz="2" w:space="0"/>
            </w:tcBorders>
            <w:vAlign w:val="center"/>
          </w:tcPr>
          <w:p w14:paraId="0312E343">
            <w:pPr>
              <w:spacing w:line="360" w:lineRule="auto"/>
              <w:jc w:val="center"/>
              <w:rPr>
                <w:rFonts w:hint="default"/>
                <w:color w:val="auto"/>
                <w:highlight w:val="none"/>
                <w:lang w:val="en-US" w:eastAsia="zh-CN"/>
              </w:rPr>
            </w:pPr>
            <w:r>
              <w:rPr>
                <w:rFonts w:hint="eastAsia"/>
                <w:color w:val="auto"/>
                <w:highlight w:val="none"/>
                <w:lang w:val="en-US" w:eastAsia="zh-CN"/>
              </w:rPr>
              <w:t>2、进度保证（6分）</w:t>
            </w:r>
          </w:p>
        </w:tc>
        <w:tc>
          <w:tcPr>
            <w:tcW w:w="6400" w:type="dxa"/>
            <w:tcBorders>
              <w:top w:val="single" w:color="auto" w:sz="4" w:space="0"/>
              <w:left w:val="single" w:color="auto" w:sz="4" w:space="0"/>
              <w:right w:val="single" w:color="auto" w:sz="2" w:space="0"/>
            </w:tcBorders>
            <w:vAlign w:val="center"/>
          </w:tcPr>
          <w:p w14:paraId="425FF898">
            <w:pPr>
              <w:widowControl/>
              <w:numPr>
                <w:ilvl w:val="0"/>
                <w:numId w:val="0"/>
              </w:numPr>
              <w:spacing w:line="360" w:lineRule="auto"/>
              <w:jc w:val="both"/>
              <w:textAlignment w:val="center"/>
              <w:rPr>
                <w:rFonts w:hint="eastAsia" w:ascii="Times New Roman" w:hAnsi="Times New Roman" w:cs="Times New Roman"/>
                <w:b/>
                <w:bCs/>
                <w:color w:val="auto"/>
                <w:highlight w:val="none"/>
                <w:lang w:val="en-US" w:eastAsia="zh-CN"/>
              </w:rPr>
            </w:pPr>
            <w:r>
              <w:rPr>
                <w:rFonts w:hint="eastAsia"/>
                <w:b/>
                <w:bCs/>
                <w:color w:val="auto"/>
                <w:highlight w:val="none"/>
                <w:lang w:val="en-US" w:eastAsia="zh-CN"/>
              </w:rPr>
              <w:t>投标人根据项目整体工作阶段的任务划分、实施步骤及进度控制是否合理，提供详实的进度计划。根据进度计划安排的可行性、全面性、合理性进行</w:t>
            </w:r>
            <w:r>
              <w:rPr>
                <w:rFonts w:hint="eastAsia" w:ascii="Times New Roman" w:hAnsi="Times New Roman" w:cs="Times New Roman"/>
                <w:b/>
                <w:bCs/>
                <w:color w:val="auto"/>
                <w:highlight w:val="none"/>
                <w:lang w:val="en-US" w:eastAsia="zh-CN"/>
              </w:rPr>
              <w:t>评议（6分）：</w:t>
            </w:r>
          </w:p>
          <w:p w14:paraId="4302D64C">
            <w:pPr>
              <w:widowControl/>
              <w:numPr>
                <w:ilvl w:val="0"/>
                <w:numId w:val="0"/>
              </w:numPr>
              <w:spacing w:line="360" w:lineRule="auto"/>
              <w:jc w:val="both"/>
              <w:textAlignment w:val="center"/>
              <w:rPr>
                <w:rFonts w:hint="eastAsia" w:ascii="Times New Roman" w:hAnsi="Times New Roman" w:cs="Times New Roman"/>
                <w:color w:val="auto"/>
                <w:highlight w:val="none"/>
                <w:lang w:val="en-US" w:eastAsia="zh-CN"/>
              </w:rPr>
            </w:pPr>
            <w:r>
              <w:rPr>
                <w:rFonts w:hint="eastAsia" w:ascii="Times New Roman" w:hAnsi="Times New Roman" w:eastAsia="宋体" w:cs="Times New Roman"/>
                <w:color w:val="auto"/>
                <w:kern w:val="2"/>
                <w:sz w:val="21"/>
                <w:szCs w:val="22"/>
                <w:lang w:val="en-US" w:eastAsia="zh-CN" w:bidi="ar-SA"/>
              </w:rPr>
              <w:t>（1）</w:t>
            </w:r>
            <w:r>
              <w:rPr>
                <w:rFonts w:hint="eastAsia" w:ascii="Times New Roman" w:hAnsi="Times New Roman" w:cs="Times New Roman"/>
                <w:color w:val="auto"/>
                <w:highlight w:val="none"/>
                <w:lang w:val="en-US" w:eastAsia="zh-CN"/>
              </w:rPr>
              <w:t>计划安排可行得2分；计划安排基本可行得1分；无相关内容不得分。</w:t>
            </w:r>
          </w:p>
          <w:p w14:paraId="16EDB82B">
            <w:pPr>
              <w:widowControl/>
              <w:numPr>
                <w:ilvl w:val="0"/>
                <w:numId w:val="0"/>
              </w:numPr>
              <w:spacing w:line="360" w:lineRule="auto"/>
              <w:jc w:val="both"/>
              <w:textAlignment w:val="center"/>
              <w:rPr>
                <w:rFonts w:hint="eastAsia" w:ascii="Times New Roman" w:hAnsi="Times New Roman" w:cs="Times New Roman"/>
                <w:color w:val="auto"/>
                <w:highlight w:val="none"/>
                <w:lang w:val="en-US" w:eastAsia="zh-CN"/>
              </w:rPr>
            </w:pPr>
            <w:r>
              <w:rPr>
                <w:rFonts w:hint="eastAsia" w:ascii="Times New Roman" w:hAnsi="Times New Roman" w:eastAsia="宋体" w:cs="Times New Roman"/>
                <w:color w:val="auto"/>
                <w:kern w:val="2"/>
                <w:sz w:val="21"/>
                <w:szCs w:val="22"/>
                <w:lang w:val="en-US" w:eastAsia="zh-CN" w:bidi="ar-SA"/>
              </w:rPr>
              <w:t>（</w:t>
            </w:r>
            <w:r>
              <w:rPr>
                <w:rFonts w:hint="eastAsia" w:ascii="Times New Roman" w:hAnsi="Times New Roman" w:cs="Times New Roman"/>
                <w:color w:val="auto"/>
                <w:kern w:val="2"/>
                <w:sz w:val="21"/>
                <w:szCs w:val="22"/>
                <w:lang w:val="en-US" w:eastAsia="zh-CN" w:bidi="ar-SA"/>
              </w:rPr>
              <w:t>2</w:t>
            </w:r>
            <w:r>
              <w:rPr>
                <w:rFonts w:hint="eastAsia" w:ascii="Times New Roman" w:hAnsi="Times New Roman" w:eastAsia="宋体" w:cs="Times New Roman"/>
                <w:color w:val="auto"/>
                <w:kern w:val="2"/>
                <w:sz w:val="21"/>
                <w:szCs w:val="22"/>
                <w:lang w:val="en-US" w:eastAsia="zh-CN" w:bidi="ar-SA"/>
              </w:rPr>
              <w:t>）</w:t>
            </w:r>
            <w:r>
              <w:rPr>
                <w:rFonts w:hint="eastAsia" w:ascii="Times New Roman" w:hAnsi="Times New Roman" w:cs="Times New Roman"/>
                <w:color w:val="auto"/>
                <w:highlight w:val="none"/>
                <w:lang w:val="en-US" w:eastAsia="zh-CN"/>
              </w:rPr>
              <w:t>计划安排全面得2分；计划安排欠全面得1分；无相关内容不得分。</w:t>
            </w:r>
          </w:p>
          <w:p w14:paraId="729DFC71">
            <w:pPr>
              <w:widowControl/>
              <w:numPr>
                <w:ilvl w:val="0"/>
                <w:numId w:val="0"/>
              </w:numPr>
              <w:spacing w:line="360" w:lineRule="auto"/>
              <w:jc w:val="both"/>
              <w:textAlignment w:val="center"/>
              <w:rPr>
                <w:rFonts w:hint="eastAsia"/>
                <w:color w:val="auto"/>
                <w:highlight w:val="none"/>
                <w:lang w:val="en-US" w:eastAsia="zh-CN"/>
              </w:rPr>
            </w:pPr>
            <w:r>
              <w:rPr>
                <w:rFonts w:hint="eastAsia" w:ascii="Times New Roman" w:hAnsi="Times New Roman" w:cs="Times New Roman"/>
                <w:color w:val="auto"/>
                <w:highlight w:val="none"/>
                <w:lang w:val="en-US" w:eastAsia="zh-CN"/>
              </w:rPr>
              <w:t>（3）计划安排合理得2分；计划安排欠合理得1分；无相关内容不得分。</w:t>
            </w:r>
          </w:p>
        </w:tc>
        <w:tc>
          <w:tcPr>
            <w:tcW w:w="730" w:type="dxa"/>
            <w:tcBorders>
              <w:top w:val="single" w:color="auto" w:sz="4" w:space="0"/>
              <w:left w:val="single" w:color="auto" w:sz="4" w:space="0"/>
              <w:right w:val="single" w:color="auto" w:sz="2" w:space="0"/>
            </w:tcBorders>
            <w:vAlign w:val="center"/>
          </w:tcPr>
          <w:p w14:paraId="12A8C7A8">
            <w:pPr>
              <w:spacing w:line="360" w:lineRule="auto"/>
              <w:jc w:val="center"/>
              <w:rPr>
                <w:rFonts w:hint="eastAsia"/>
                <w:color w:val="auto"/>
                <w:highlight w:val="none"/>
              </w:rPr>
            </w:pPr>
            <w:r>
              <w:rPr>
                <w:rFonts w:hint="eastAsia"/>
                <w:color w:val="auto"/>
                <w:highlight w:val="none"/>
              </w:rPr>
              <w:t>主观评审</w:t>
            </w:r>
          </w:p>
        </w:tc>
      </w:tr>
      <w:tr w14:paraId="1CB2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997" w:type="dxa"/>
            <w:vMerge w:val="continue"/>
            <w:tcBorders>
              <w:left w:val="single" w:color="auto" w:sz="4" w:space="0"/>
              <w:right w:val="single" w:color="auto" w:sz="2" w:space="0"/>
            </w:tcBorders>
            <w:vAlign w:val="center"/>
          </w:tcPr>
          <w:p w14:paraId="1C780735">
            <w:pPr>
              <w:spacing w:line="360" w:lineRule="auto"/>
              <w:rPr>
                <w:rFonts w:hint="eastAsia"/>
                <w:color w:val="auto"/>
                <w:highlight w:val="none"/>
              </w:rPr>
            </w:pPr>
          </w:p>
        </w:tc>
        <w:tc>
          <w:tcPr>
            <w:tcW w:w="1289" w:type="dxa"/>
            <w:tcBorders>
              <w:top w:val="single" w:color="auto" w:sz="4" w:space="0"/>
              <w:left w:val="single" w:color="auto" w:sz="4" w:space="0"/>
              <w:right w:val="single" w:color="auto" w:sz="2" w:space="0"/>
            </w:tcBorders>
            <w:vAlign w:val="center"/>
          </w:tcPr>
          <w:p w14:paraId="0F6737FB">
            <w:pPr>
              <w:spacing w:line="360" w:lineRule="auto"/>
              <w:jc w:val="center"/>
              <w:rPr>
                <w:rFonts w:hint="default" w:eastAsia="宋体"/>
                <w:color w:val="auto"/>
                <w:highlight w:val="none"/>
                <w:lang w:val="en-US" w:eastAsia="zh-CN"/>
              </w:rPr>
            </w:pPr>
            <w:r>
              <w:rPr>
                <w:rFonts w:hint="eastAsia"/>
                <w:color w:val="auto"/>
                <w:highlight w:val="none"/>
                <w:lang w:val="en-US" w:eastAsia="zh-CN"/>
              </w:rPr>
              <w:t>3、质量保证（6分）</w:t>
            </w:r>
          </w:p>
        </w:tc>
        <w:tc>
          <w:tcPr>
            <w:tcW w:w="6400" w:type="dxa"/>
            <w:tcBorders>
              <w:top w:val="single" w:color="auto" w:sz="4" w:space="0"/>
              <w:left w:val="single" w:color="auto" w:sz="4" w:space="0"/>
              <w:right w:val="single" w:color="auto" w:sz="2" w:space="0"/>
            </w:tcBorders>
            <w:vAlign w:val="center"/>
          </w:tcPr>
          <w:p w14:paraId="7BBDC436">
            <w:pPr>
              <w:widowControl/>
              <w:numPr>
                <w:ilvl w:val="0"/>
                <w:numId w:val="0"/>
              </w:numPr>
              <w:spacing w:line="360" w:lineRule="auto"/>
              <w:jc w:val="both"/>
              <w:textAlignment w:val="center"/>
              <w:rPr>
                <w:rFonts w:hint="eastAsia" w:ascii="Times New Roman" w:hAnsi="Times New Roman" w:cs="Times New Roman"/>
                <w:b/>
                <w:bCs/>
                <w:color w:val="auto"/>
                <w:highlight w:val="none"/>
                <w:lang w:val="en-US" w:eastAsia="zh-CN"/>
              </w:rPr>
            </w:pPr>
            <w:r>
              <w:rPr>
                <w:rFonts w:hint="eastAsia"/>
                <w:b/>
                <w:bCs/>
                <w:color w:val="auto"/>
                <w:highlight w:val="none"/>
                <w:lang w:eastAsia="zh-CN"/>
              </w:rPr>
              <w:t>对投标人是否有具体、明确的质量保障承诺以及科学、可行的质量保证措施的可行性、全面</w:t>
            </w:r>
            <w:r>
              <w:rPr>
                <w:rFonts w:hint="eastAsia"/>
                <w:b/>
                <w:bCs/>
                <w:color w:val="auto"/>
                <w:highlight w:val="none"/>
              </w:rPr>
              <w:t>性</w:t>
            </w:r>
            <w:r>
              <w:rPr>
                <w:rFonts w:hint="eastAsia"/>
                <w:b/>
                <w:bCs/>
                <w:color w:val="auto"/>
                <w:highlight w:val="none"/>
                <w:lang w:eastAsia="zh-CN"/>
              </w:rPr>
              <w:t>、</w:t>
            </w:r>
            <w:r>
              <w:rPr>
                <w:rFonts w:hint="eastAsia"/>
                <w:b/>
                <w:bCs/>
                <w:color w:val="auto"/>
                <w:highlight w:val="none"/>
              </w:rPr>
              <w:t>合理性</w:t>
            </w:r>
            <w:r>
              <w:rPr>
                <w:rFonts w:hint="eastAsia"/>
                <w:b/>
                <w:bCs/>
                <w:color w:val="auto"/>
                <w:highlight w:val="none"/>
                <w:lang w:eastAsia="zh-CN"/>
              </w:rPr>
              <w:t>进行</w:t>
            </w:r>
            <w:r>
              <w:rPr>
                <w:rFonts w:hint="eastAsia" w:ascii="Times New Roman" w:hAnsi="Times New Roman" w:cs="Times New Roman"/>
                <w:b/>
                <w:bCs/>
                <w:color w:val="auto"/>
                <w:highlight w:val="none"/>
                <w:lang w:val="en-US" w:eastAsia="zh-CN"/>
              </w:rPr>
              <w:t>评议（6分）：</w:t>
            </w:r>
          </w:p>
          <w:p w14:paraId="6F033C7B">
            <w:pPr>
              <w:widowControl/>
              <w:numPr>
                <w:ilvl w:val="0"/>
                <w:numId w:val="0"/>
              </w:numPr>
              <w:spacing w:line="360" w:lineRule="auto"/>
              <w:jc w:val="both"/>
              <w:textAlignment w:val="center"/>
              <w:rPr>
                <w:rFonts w:hint="eastAsia" w:ascii="Times New Roman" w:hAnsi="Times New Roman" w:cs="Times New Roman"/>
                <w:color w:val="auto"/>
                <w:highlight w:val="none"/>
                <w:lang w:val="en-US" w:eastAsia="zh-CN"/>
              </w:rPr>
            </w:pPr>
            <w:r>
              <w:rPr>
                <w:rFonts w:hint="eastAsia" w:ascii="Times New Roman" w:hAnsi="Times New Roman" w:eastAsia="宋体" w:cs="Times New Roman"/>
                <w:color w:val="auto"/>
                <w:kern w:val="2"/>
                <w:sz w:val="21"/>
                <w:szCs w:val="22"/>
                <w:lang w:val="en-US" w:eastAsia="zh-CN" w:bidi="ar-SA"/>
              </w:rPr>
              <w:t>（1）</w:t>
            </w:r>
            <w:r>
              <w:rPr>
                <w:rFonts w:hint="eastAsia" w:ascii="Times New Roman" w:hAnsi="Times New Roman" w:cs="Times New Roman"/>
                <w:color w:val="auto"/>
                <w:kern w:val="2"/>
                <w:sz w:val="21"/>
                <w:szCs w:val="22"/>
                <w:lang w:val="en-US" w:eastAsia="zh-CN" w:bidi="ar-SA"/>
              </w:rPr>
              <w:t>保证措施</w:t>
            </w:r>
            <w:r>
              <w:rPr>
                <w:rFonts w:hint="eastAsia" w:ascii="Times New Roman" w:hAnsi="Times New Roman" w:cs="Times New Roman"/>
                <w:color w:val="auto"/>
                <w:highlight w:val="none"/>
                <w:lang w:val="en-US" w:eastAsia="zh-CN"/>
              </w:rPr>
              <w:t>可行得2分；</w:t>
            </w:r>
            <w:r>
              <w:rPr>
                <w:rFonts w:hint="eastAsia" w:ascii="Times New Roman" w:hAnsi="Times New Roman" w:cs="Times New Roman"/>
                <w:color w:val="auto"/>
                <w:kern w:val="2"/>
                <w:sz w:val="21"/>
                <w:szCs w:val="22"/>
                <w:lang w:val="en-US" w:eastAsia="zh-CN" w:bidi="ar-SA"/>
              </w:rPr>
              <w:t>保证措施</w:t>
            </w:r>
            <w:r>
              <w:rPr>
                <w:rFonts w:hint="eastAsia" w:ascii="Times New Roman" w:hAnsi="Times New Roman" w:cs="Times New Roman"/>
                <w:color w:val="auto"/>
                <w:highlight w:val="none"/>
                <w:lang w:val="en-US" w:eastAsia="zh-CN"/>
              </w:rPr>
              <w:t>基本可行得1分；无相关内容不得分。</w:t>
            </w:r>
          </w:p>
          <w:p w14:paraId="53B0A1AA">
            <w:pPr>
              <w:widowControl/>
              <w:numPr>
                <w:ilvl w:val="0"/>
                <w:numId w:val="0"/>
              </w:numPr>
              <w:spacing w:line="360" w:lineRule="auto"/>
              <w:jc w:val="both"/>
              <w:textAlignment w:val="center"/>
              <w:rPr>
                <w:rFonts w:hint="eastAsia" w:ascii="Times New Roman" w:hAnsi="Times New Roman" w:cs="Times New Roman"/>
                <w:color w:val="auto"/>
                <w:highlight w:val="none"/>
                <w:lang w:val="en-US" w:eastAsia="zh-CN"/>
              </w:rPr>
            </w:pPr>
            <w:r>
              <w:rPr>
                <w:rFonts w:hint="eastAsia" w:ascii="Times New Roman" w:hAnsi="Times New Roman" w:eastAsia="宋体" w:cs="Times New Roman"/>
                <w:color w:val="auto"/>
                <w:kern w:val="2"/>
                <w:sz w:val="21"/>
                <w:szCs w:val="22"/>
                <w:lang w:val="en-US" w:eastAsia="zh-CN" w:bidi="ar-SA"/>
              </w:rPr>
              <w:t>（</w:t>
            </w:r>
            <w:r>
              <w:rPr>
                <w:rFonts w:hint="eastAsia" w:ascii="Times New Roman" w:hAnsi="Times New Roman" w:cs="Times New Roman"/>
                <w:color w:val="auto"/>
                <w:kern w:val="2"/>
                <w:sz w:val="21"/>
                <w:szCs w:val="22"/>
                <w:lang w:val="en-US" w:eastAsia="zh-CN" w:bidi="ar-SA"/>
              </w:rPr>
              <w:t>2</w:t>
            </w:r>
            <w:r>
              <w:rPr>
                <w:rFonts w:hint="eastAsia" w:ascii="Times New Roman" w:hAnsi="Times New Roman" w:eastAsia="宋体" w:cs="Times New Roman"/>
                <w:color w:val="auto"/>
                <w:kern w:val="2"/>
                <w:sz w:val="21"/>
                <w:szCs w:val="22"/>
                <w:lang w:val="en-US" w:eastAsia="zh-CN" w:bidi="ar-SA"/>
              </w:rPr>
              <w:t>））</w:t>
            </w:r>
            <w:r>
              <w:rPr>
                <w:rFonts w:hint="eastAsia" w:ascii="Times New Roman" w:hAnsi="Times New Roman" w:cs="Times New Roman"/>
                <w:color w:val="auto"/>
                <w:kern w:val="2"/>
                <w:sz w:val="21"/>
                <w:szCs w:val="22"/>
                <w:lang w:val="en-US" w:eastAsia="zh-CN" w:bidi="ar-SA"/>
              </w:rPr>
              <w:t>保证措施</w:t>
            </w:r>
            <w:r>
              <w:rPr>
                <w:rFonts w:hint="eastAsia" w:ascii="Times New Roman" w:hAnsi="Times New Roman" w:cs="Times New Roman"/>
                <w:color w:val="auto"/>
                <w:highlight w:val="none"/>
                <w:lang w:val="en-US" w:eastAsia="zh-CN"/>
              </w:rPr>
              <w:t>全面得2分；</w:t>
            </w:r>
            <w:r>
              <w:rPr>
                <w:rFonts w:hint="eastAsia" w:ascii="Times New Roman" w:hAnsi="Times New Roman" w:cs="Times New Roman"/>
                <w:color w:val="auto"/>
                <w:kern w:val="2"/>
                <w:sz w:val="21"/>
                <w:szCs w:val="22"/>
                <w:lang w:val="en-US" w:eastAsia="zh-CN" w:bidi="ar-SA"/>
              </w:rPr>
              <w:t>保证措施</w:t>
            </w:r>
            <w:r>
              <w:rPr>
                <w:rFonts w:hint="eastAsia" w:ascii="Times New Roman" w:hAnsi="Times New Roman" w:cs="Times New Roman"/>
                <w:color w:val="auto"/>
                <w:highlight w:val="none"/>
                <w:lang w:val="en-US" w:eastAsia="zh-CN"/>
              </w:rPr>
              <w:t>欠全面得1分；无相关内容不得分。</w:t>
            </w:r>
          </w:p>
          <w:p w14:paraId="07E1E22D">
            <w:pPr>
              <w:spacing w:line="360" w:lineRule="auto"/>
              <w:rPr>
                <w:rFonts w:hint="eastAsia"/>
                <w:color w:val="auto"/>
                <w:highlight w:val="none"/>
              </w:rPr>
            </w:pPr>
            <w:r>
              <w:rPr>
                <w:rFonts w:hint="eastAsia" w:ascii="Times New Roman" w:hAnsi="Times New Roman" w:cs="Times New Roman"/>
                <w:color w:val="auto"/>
                <w:highlight w:val="none"/>
                <w:lang w:val="en-US" w:eastAsia="zh-CN"/>
              </w:rPr>
              <w:t>（3）</w:t>
            </w:r>
            <w:r>
              <w:rPr>
                <w:rFonts w:hint="eastAsia" w:ascii="Times New Roman" w:hAnsi="Times New Roman" w:eastAsia="宋体" w:cs="Times New Roman"/>
                <w:color w:val="auto"/>
                <w:kern w:val="2"/>
                <w:sz w:val="21"/>
                <w:szCs w:val="22"/>
                <w:lang w:val="en-US" w:eastAsia="zh-CN" w:bidi="ar-SA"/>
              </w:rPr>
              <w:t>）</w:t>
            </w:r>
            <w:r>
              <w:rPr>
                <w:rFonts w:hint="eastAsia" w:ascii="Times New Roman" w:hAnsi="Times New Roman" w:cs="Times New Roman"/>
                <w:color w:val="auto"/>
                <w:kern w:val="2"/>
                <w:sz w:val="21"/>
                <w:szCs w:val="22"/>
                <w:lang w:val="en-US" w:eastAsia="zh-CN" w:bidi="ar-SA"/>
              </w:rPr>
              <w:t>保证措施</w:t>
            </w:r>
            <w:r>
              <w:rPr>
                <w:rFonts w:hint="eastAsia" w:ascii="Times New Roman" w:hAnsi="Times New Roman" w:cs="Times New Roman"/>
                <w:color w:val="auto"/>
                <w:highlight w:val="none"/>
                <w:lang w:val="en-US" w:eastAsia="zh-CN"/>
              </w:rPr>
              <w:t>合理得2分；</w:t>
            </w:r>
            <w:r>
              <w:rPr>
                <w:rFonts w:hint="eastAsia" w:ascii="Times New Roman" w:hAnsi="Times New Roman" w:cs="Times New Roman"/>
                <w:color w:val="auto"/>
                <w:kern w:val="2"/>
                <w:sz w:val="21"/>
                <w:szCs w:val="22"/>
                <w:lang w:val="en-US" w:eastAsia="zh-CN" w:bidi="ar-SA"/>
              </w:rPr>
              <w:t>保证措施</w:t>
            </w:r>
            <w:r>
              <w:rPr>
                <w:rFonts w:hint="eastAsia" w:ascii="Times New Roman" w:hAnsi="Times New Roman" w:cs="Times New Roman"/>
                <w:color w:val="auto"/>
                <w:highlight w:val="none"/>
                <w:lang w:val="en-US" w:eastAsia="zh-CN"/>
              </w:rPr>
              <w:t>欠合理得1分；无相关内容不得分。</w:t>
            </w:r>
          </w:p>
        </w:tc>
        <w:tc>
          <w:tcPr>
            <w:tcW w:w="730" w:type="dxa"/>
            <w:tcBorders>
              <w:top w:val="single" w:color="auto" w:sz="4" w:space="0"/>
              <w:left w:val="single" w:color="auto" w:sz="4" w:space="0"/>
              <w:right w:val="single" w:color="auto" w:sz="2" w:space="0"/>
            </w:tcBorders>
            <w:vAlign w:val="center"/>
          </w:tcPr>
          <w:p w14:paraId="5B18CF12">
            <w:pPr>
              <w:spacing w:line="360" w:lineRule="auto"/>
              <w:jc w:val="center"/>
              <w:rPr>
                <w:rFonts w:hint="eastAsia"/>
                <w:color w:val="auto"/>
                <w:highlight w:val="none"/>
              </w:rPr>
            </w:pPr>
            <w:r>
              <w:rPr>
                <w:rFonts w:hint="eastAsia"/>
                <w:color w:val="auto"/>
                <w:highlight w:val="none"/>
              </w:rPr>
              <w:t>主观评审</w:t>
            </w:r>
          </w:p>
        </w:tc>
      </w:tr>
      <w:tr w14:paraId="76962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997" w:type="dxa"/>
            <w:vMerge w:val="continue"/>
            <w:tcBorders>
              <w:left w:val="single" w:color="auto" w:sz="4" w:space="0"/>
              <w:right w:val="single" w:color="auto" w:sz="2" w:space="0"/>
            </w:tcBorders>
            <w:vAlign w:val="center"/>
          </w:tcPr>
          <w:p w14:paraId="2F14D30B">
            <w:pPr>
              <w:spacing w:line="360" w:lineRule="auto"/>
              <w:rPr>
                <w:rFonts w:hint="eastAsia"/>
                <w:color w:val="auto"/>
                <w:highlight w:val="none"/>
              </w:rPr>
            </w:pPr>
          </w:p>
        </w:tc>
        <w:tc>
          <w:tcPr>
            <w:tcW w:w="1289" w:type="dxa"/>
            <w:tcBorders>
              <w:left w:val="single" w:color="auto" w:sz="4" w:space="0"/>
              <w:bottom w:val="single" w:color="auto" w:sz="4" w:space="0"/>
              <w:right w:val="single" w:color="auto" w:sz="2" w:space="0"/>
            </w:tcBorders>
            <w:vAlign w:val="center"/>
          </w:tcPr>
          <w:p w14:paraId="3E76EEFB">
            <w:pPr>
              <w:spacing w:line="360" w:lineRule="auto"/>
              <w:jc w:val="center"/>
              <w:rPr>
                <w:rFonts w:hint="default"/>
                <w:color w:val="auto"/>
                <w:highlight w:val="none"/>
                <w:lang w:val="en-US" w:eastAsia="zh-CN"/>
              </w:rPr>
            </w:pPr>
            <w:r>
              <w:rPr>
                <w:rFonts w:hint="eastAsia"/>
                <w:color w:val="auto"/>
                <w:highlight w:val="none"/>
                <w:lang w:val="en-US" w:eastAsia="zh-CN"/>
              </w:rPr>
              <w:t>4、验收方案（6分）</w:t>
            </w:r>
          </w:p>
        </w:tc>
        <w:tc>
          <w:tcPr>
            <w:tcW w:w="6400" w:type="dxa"/>
            <w:tcBorders>
              <w:top w:val="single" w:color="auto" w:sz="4" w:space="0"/>
              <w:left w:val="single" w:color="auto" w:sz="4" w:space="0"/>
              <w:right w:val="single" w:color="auto" w:sz="2" w:space="0"/>
            </w:tcBorders>
            <w:vAlign w:val="center"/>
          </w:tcPr>
          <w:p w14:paraId="4AC35D14">
            <w:pPr>
              <w:widowControl/>
              <w:numPr>
                <w:ilvl w:val="0"/>
                <w:numId w:val="0"/>
              </w:numPr>
              <w:spacing w:line="360" w:lineRule="auto"/>
              <w:jc w:val="both"/>
              <w:textAlignment w:val="center"/>
              <w:rPr>
                <w:rFonts w:hint="eastAsia" w:ascii="Times New Roman" w:hAnsi="Times New Roman" w:cs="Times New Roman"/>
                <w:b/>
                <w:bCs/>
                <w:color w:val="auto"/>
                <w:highlight w:val="none"/>
                <w:lang w:val="en-US" w:eastAsia="zh-CN"/>
              </w:rPr>
            </w:pPr>
            <w:r>
              <w:rPr>
                <w:rFonts w:hint="eastAsia"/>
                <w:b/>
                <w:bCs/>
                <w:color w:val="auto"/>
                <w:highlight w:val="none"/>
              </w:rPr>
              <w:t>根据投标人提供的验收方案</w:t>
            </w:r>
            <w:r>
              <w:rPr>
                <w:rFonts w:hint="eastAsia"/>
                <w:b/>
                <w:bCs/>
                <w:color w:val="auto"/>
                <w:highlight w:val="none"/>
                <w:lang w:eastAsia="zh-CN"/>
              </w:rPr>
              <w:t>的</w:t>
            </w:r>
            <w:r>
              <w:rPr>
                <w:rFonts w:hint="eastAsia"/>
                <w:b/>
                <w:bCs/>
                <w:color w:val="auto"/>
                <w:highlight w:val="none"/>
                <w:lang w:val="zh-CN"/>
              </w:rPr>
              <w:t>合理性</w:t>
            </w:r>
            <w:r>
              <w:rPr>
                <w:rFonts w:hint="eastAsia"/>
                <w:b/>
                <w:bCs/>
                <w:color w:val="auto"/>
                <w:highlight w:val="none"/>
                <w:lang w:eastAsia="zh-CN"/>
              </w:rPr>
              <w:t>、</w:t>
            </w:r>
            <w:r>
              <w:rPr>
                <w:rFonts w:hint="eastAsia"/>
                <w:b/>
                <w:bCs/>
                <w:color w:val="auto"/>
                <w:highlight w:val="none"/>
                <w:lang w:val="zh-CN"/>
              </w:rPr>
              <w:t>可操作性</w:t>
            </w:r>
            <w:r>
              <w:rPr>
                <w:rFonts w:hint="eastAsia"/>
                <w:b/>
                <w:bCs/>
                <w:color w:val="auto"/>
                <w:highlight w:val="none"/>
                <w:lang w:eastAsia="zh-CN"/>
              </w:rPr>
              <w:t>、</w:t>
            </w:r>
            <w:r>
              <w:rPr>
                <w:rFonts w:hint="eastAsia"/>
                <w:b/>
                <w:bCs/>
                <w:color w:val="auto"/>
                <w:highlight w:val="none"/>
                <w:lang w:val="zh-CN" w:eastAsia="zh-CN"/>
              </w:rPr>
              <w:t>针对性</w:t>
            </w:r>
            <w:r>
              <w:rPr>
                <w:rFonts w:hint="eastAsia"/>
                <w:b/>
                <w:bCs/>
                <w:color w:val="auto"/>
                <w:highlight w:val="none"/>
                <w:lang w:eastAsia="zh-CN"/>
              </w:rPr>
              <w:t>进行</w:t>
            </w:r>
            <w:r>
              <w:rPr>
                <w:rFonts w:hint="eastAsia" w:ascii="Times New Roman" w:hAnsi="Times New Roman" w:cs="Times New Roman"/>
                <w:b/>
                <w:bCs/>
                <w:color w:val="auto"/>
                <w:highlight w:val="none"/>
                <w:lang w:val="en-US" w:eastAsia="zh-CN"/>
              </w:rPr>
              <w:t>评议（6分）：</w:t>
            </w:r>
          </w:p>
          <w:p w14:paraId="42B4635F">
            <w:pPr>
              <w:widowControl/>
              <w:numPr>
                <w:ilvl w:val="0"/>
                <w:numId w:val="0"/>
              </w:numPr>
              <w:spacing w:line="360" w:lineRule="auto"/>
              <w:jc w:val="both"/>
              <w:textAlignment w:val="center"/>
              <w:rPr>
                <w:rFonts w:hint="eastAsia" w:ascii="Times New Roman" w:hAnsi="Times New Roman" w:cs="Times New Roman"/>
                <w:color w:val="auto"/>
                <w:highlight w:val="none"/>
                <w:lang w:val="en-US" w:eastAsia="zh-CN"/>
              </w:rPr>
            </w:pPr>
            <w:r>
              <w:rPr>
                <w:rFonts w:hint="eastAsia" w:ascii="Times New Roman" w:hAnsi="Times New Roman" w:eastAsia="宋体" w:cs="Times New Roman"/>
                <w:color w:val="auto"/>
                <w:kern w:val="2"/>
                <w:sz w:val="21"/>
                <w:szCs w:val="22"/>
                <w:lang w:val="en-US" w:eastAsia="zh-CN" w:bidi="ar-SA"/>
              </w:rPr>
              <w:t>（1）</w:t>
            </w:r>
            <w:r>
              <w:rPr>
                <w:rFonts w:hint="eastAsia" w:ascii="Times New Roman" w:hAnsi="Times New Roman" w:cs="Times New Roman"/>
                <w:color w:val="auto"/>
                <w:kern w:val="2"/>
                <w:sz w:val="21"/>
                <w:szCs w:val="22"/>
                <w:lang w:val="en-US" w:eastAsia="zh-CN" w:bidi="ar-SA"/>
              </w:rPr>
              <w:t>方案合理</w:t>
            </w:r>
            <w:r>
              <w:rPr>
                <w:rFonts w:hint="eastAsia" w:ascii="Times New Roman" w:hAnsi="Times New Roman" w:cs="Times New Roman"/>
                <w:color w:val="auto"/>
                <w:highlight w:val="none"/>
                <w:lang w:val="en-US" w:eastAsia="zh-CN"/>
              </w:rPr>
              <w:t>得2分；</w:t>
            </w:r>
            <w:r>
              <w:rPr>
                <w:rFonts w:hint="eastAsia" w:ascii="Times New Roman" w:hAnsi="Times New Roman" w:cs="Times New Roman"/>
                <w:color w:val="auto"/>
                <w:kern w:val="2"/>
                <w:sz w:val="21"/>
                <w:szCs w:val="22"/>
                <w:lang w:val="en-US" w:eastAsia="zh-CN" w:bidi="ar-SA"/>
              </w:rPr>
              <w:t>方案欠合理</w:t>
            </w:r>
            <w:r>
              <w:rPr>
                <w:rFonts w:hint="eastAsia" w:ascii="Times New Roman" w:hAnsi="Times New Roman" w:cs="Times New Roman"/>
                <w:color w:val="auto"/>
                <w:highlight w:val="none"/>
                <w:lang w:val="en-US" w:eastAsia="zh-CN"/>
              </w:rPr>
              <w:t>得1分；无相关内容不得分。</w:t>
            </w:r>
          </w:p>
          <w:p w14:paraId="38C5D1D8">
            <w:pPr>
              <w:widowControl/>
              <w:numPr>
                <w:ilvl w:val="0"/>
                <w:numId w:val="0"/>
              </w:numPr>
              <w:spacing w:line="360" w:lineRule="auto"/>
              <w:jc w:val="both"/>
              <w:textAlignment w:val="center"/>
              <w:rPr>
                <w:rFonts w:hint="default" w:ascii="Times New Roman" w:hAnsi="Times New Roman" w:cs="Times New Roman"/>
                <w:color w:val="auto"/>
                <w:highlight w:val="none"/>
                <w:lang w:val="en-US" w:eastAsia="zh-CN"/>
              </w:rPr>
            </w:pPr>
            <w:r>
              <w:rPr>
                <w:rFonts w:hint="eastAsia" w:ascii="Times New Roman" w:hAnsi="Times New Roman" w:eastAsia="宋体" w:cs="Times New Roman"/>
                <w:color w:val="auto"/>
                <w:kern w:val="2"/>
                <w:sz w:val="21"/>
                <w:szCs w:val="22"/>
                <w:lang w:val="en-US" w:eastAsia="zh-CN" w:bidi="ar-SA"/>
              </w:rPr>
              <w:t>（</w:t>
            </w:r>
            <w:r>
              <w:rPr>
                <w:rFonts w:hint="eastAsia" w:ascii="Times New Roman" w:hAnsi="Times New Roman" w:cs="Times New Roman"/>
                <w:color w:val="auto"/>
                <w:kern w:val="2"/>
                <w:sz w:val="21"/>
                <w:szCs w:val="22"/>
                <w:lang w:val="en-US" w:eastAsia="zh-CN" w:bidi="ar-SA"/>
              </w:rPr>
              <w:t>2</w:t>
            </w:r>
            <w:r>
              <w:rPr>
                <w:rFonts w:hint="eastAsia" w:ascii="Times New Roman" w:hAnsi="Times New Roman" w:eastAsia="宋体" w:cs="Times New Roman"/>
                <w:color w:val="auto"/>
                <w:kern w:val="2"/>
                <w:sz w:val="21"/>
                <w:szCs w:val="22"/>
                <w:lang w:val="en-US" w:eastAsia="zh-CN" w:bidi="ar-SA"/>
              </w:rPr>
              <w:t>）</w:t>
            </w:r>
            <w:r>
              <w:rPr>
                <w:rFonts w:hint="eastAsia" w:ascii="Times New Roman" w:hAnsi="Times New Roman" w:cs="Times New Roman"/>
                <w:color w:val="auto"/>
                <w:kern w:val="2"/>
                <w:sz w:val="21"/>
                <w:szCs w:val="22"/>
                <w:lang w:val="en-US" w:eastAsia="zh-CN" w:bidi="ar-SA"/>
              </w:rPr>
              <w:t>方案可操作性强得2分；方案可操作性一般得1分；</w:t>
            </w:r>
            <w:r>
              <w:rPr>
                <w:rFonts w:hint="eastAsia" w:ascii="Times New Roman" w:hAnsi="Times New Roman" w:cs="Times New Roman"/>
                <w:color w:val="auto"/>
                <w:highlight w:val="none"/>
                <w:lang w:val="en-US" w:eastAsia="zh-CN"/>
              </w:rPr>
              <w:t>无相关内容不得分。</w:t>
            </w:r>
          </w:p>
          <w:p w14:paraId="4913B132">
            <w:pPr>
              <w:widowControl/>
              <w:numPr>
                <w:ilvl w:val="0"/>
                <w:numId w:val="0"/>
              </w:numPr>
              <w:spacing w:line="360" w:lineRule="auto"/>
              <w:jc w:val="both"/>
              <w:textAlignment w:val="center"/>
              <w:rPr>
                <w:rFonts w:hint="eastAsia"/>
                <w:color w:val="auto"/>
                <w:highlight w:val="none"/>
              </w:rPr>
            </w:pP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kern w:val="2"/>
                <w:sz w:val="21"/>
                <w:szCs w:val="22"/>
                <w:lang w:val="en-US" w:eastAsia="zh-CN" w:bidi="ar-SA"/>
              </w:rPr>
              <w:t>方案针对性强</w:t>
            </w:r>
            <w:r>
              <w:rPr>
                <w:rFonts w:hint="eastAsia" w:ascii="Times New Roman" w:hAnsi="Times New Roman" w:cs="Times New Roman"/>
                <w:color w:val="auto"/>
                <w:highlight w:val="none"/>
                <w:lang w:val="en-US" w:eastAsia="zh-CN"/>
              </w:rPr>
              <w:t>得2分；方</w:t>
            </w:r>
            <w:r>
              <w:rPr>
                <w:rFonts w:hint="eastAsia" w:ascii="Times New Roman" w:hAnsi="Times New Roman" w:cs="Times New Roman"/>
                <w:color w:val="auto"/>
                <w:kern w:val="2"/>
                <w:sz w:val="21"/>
                <w:szCs w:val="22"/>
                <w:lang w:val="en-US" w:eastAsia="zh-CN" w:bidi="ar-SA"/>
              </w:rPr>
              <w:t>案针对性差</w:t>
            </w:r>
            <w:r>
              <w:rPr>
                <w:rFonts w:hint="eastAsia" w:ascii="Times New Roman" w:hAnsi="Times New Roman" w:cs="Times New Roman"/>
                <w:color w:val="auto"/>
                <w:highlight w:val="none"/>
                <w:lang w:val="en-US" w:eastAsia="zh-CN"/>
              </w:rPr>
              <w:t>得1分；无相关内容不得分。</w:t>
            </w:r>
          </w:p>
        </w:tc>
        <w:tc>
          <w:tcPr>
            <w:tcW w:w="730" w:type="dxa"/>
            <w:tcBorders>
              <w:top w:val="single" w:color="auto" w:sz="4" w:space="0"/>
              <w:left w:val="single" w:color="auto" w:sz="4" w:space="0"/>
              <w:right w:val="single" w:color="auto" w:sz="2" w:space="0"/>
            </w:tcBorders>
            <w:vAlign w:val="center"/>
          </w:tcPr>
          <w:p w14:paraId="2E633BD0">
            <w:pPr>
              <w:spacing w:line="360" w:lineRule="auto"/>
              <w:jc w:val="center"/>
              <w:rPr>
                <w:rFonts w:hint="eastAsia"/>
                <w:color w:val="auto"/>
                <w:highlight w:val="none"/>
              </w:rPr>
            </w:pPr>
            <w:r>
              <w:rPr>
                <w:rFonts w:hint="eastAsia"/>
                <w:color w:val="auto"/>
                <w:highlight w:val="none"/>
              </w:rPr>
              <w:t>主观评审</w:t>
            </w:r>
          </w:p>
        </w:tc>
      </w:tr>
      <w:tr w14:paraId="1ADF5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997" w:type="dxa"/>
            <w:vMerge w:val="continue"/>
            <w:tcBorders>
              <w:left w:val="single" w:color="auto" w:sz="4" w:space="0"/>
              <w:right w:val="single" w:color="auto" w:sz="2" w:space="0"/>
            </w:tcBorders>
            <w:vAlign w:val="center"/>
          </w:tcPr>
          <w:p w14:paraId="32C02835">
            <w:pPr>
              <w:spacing w:line="360" w:lineRule="auto"/>
              <w:rPr>
                <w:rFonts w:hint="eastAsia"/>
                <w:color w:val="auto"/>
                <w:highlight w:val="none"/>
              </w:rPr>
            </w:pPr>
          </w:p>
        </w:tc>
        <w:tc>
          <w:tcPr>
            <w:tcW w:w="1289" w:type="dxa"/>
            <w:tcBorders>
              <w:top w:val="single" w:color="auto" w:sz="4" w:space="0"/>
              <w:left w:val="single" w:color="auto" w:sz="4" w:space="0"/>
              <w:bottom w:val="single" w:color="auto" w:sz="4" w:space="0"/>
              <w:right w:val="single" w:color="auto" w:sz="2" w:space="0"/>
            </w:tcBorders>
            <w:vAlign w:val="center"/>
          </w:tcPr>
          <w:p w14:paraId="3E58D401">
            <w:pPr>
              <w:numPr>
                <w:ilvl w:val="0"/>
                <w:numId w:val="7"/>
              </w:numPr>
              <w:spacing w:line="360" w:lineRule="auto"/>
              <w:jc w:val="center"/>
              <w:rPr>
                <w:rFonts w:hint="eastAsia"/>
                <w:color w:val="auto"/>
                <w:highlight w:val="none"/>
                <w:lang w:val="en-US" w:eastAsia="zh-CN"/>
              </w:rPr>
            </w:pPr>
            <w:r>
              <w:rPr>
                <w:rFonts w:hint="eastAsia"/>
                <w:color w:val="auto"/>
                <w:highlight w:val="none"/>
                <w:lang w:val="en-US" w:eastAsia="zh-CN"/>
              </w:rPr>
              <w:t>现场技术支持方案</w:t>
            </w:r>
          </w:p>
          <w:p w14:paraId="1FDD7778">
            <w:pPr>
              <w:numPr>
                <w:ilvl w:val="0"/>
                <w:numId w:val="0"/>
              </w:numPr>
              <w:spacing w:line="360" w:lineRule="auto"/>
              <w:jc w:val="center"/>
              <w:rPr>
                <w:rFonts w:hint="default" w:eastAsia="宋体"/>
                <w:color w:val="auto"/>
                <w:highlight w:val="none"/>
                <w:lang w:val="en-US" w:eastAsia="zh-CN"/>
              </w:rPr>
            </w:pPr>
            <w:r>
              <w:rPr>
                <w:rFonts w:hint="eastAsia"/>
                <w:color w:val="auto"/>
                <w:highlight w:val="none"/>
                <w:lang w:val="en-US" w:eastAsia="zh-CN"/>
              </w:rPr>
              <w:t>（6分）</w:t>
            </w:r>
          </w:p>
        </w:tc>
        <w:tc>
          <w:tcPr>
            <w:tcW w:w="6400" w:type="dxa"/>
            <w:tcBorders>
              <w:top w:val="single" w:color="auto" w:sz="4" w:space="0"/>
              <w:left w:val="single" w:color="auto" w:sz="4" w:space="0"/>
              <w:right w:val="single" w:color="auto" w:sz="2" w:space="0"/>
            </w:tcBorders>
            <w:vAlign w:val="center"/>
          </w:tcPr>
          <w:p w14:paraId="27D497FF">
            <w:pPr>
              <w:widowControl/>
              <w:numPr>
                <w:ilvl w:val="0"/>
                <w:numId w:val="0"/>
              </w:numPr>
              <w:spacing w:line="360" w:lineRule="auto"/>
              <w:jc w:val="both"/>
              <w:textAlignment w:val="center"/>
              <w:rPr>
                <w:rFonts w:hint="eastAsia" w:ascii="Times New Roman" w:hAnsi="Times New Roman" w:cs="Times New Roman"/>
                <w:b/>
                <w:bCs/>
                <w:color w:val="auto"/>
                <w:highlight w:val="none"/>
                <w:lang w:val="en-US" w:eastAsia="zh-CN"/>
              </w:rPr>
            </w:pPr>
            <w:r>
              <w:rPr>
                <w:rFonts w:hint="eastAsia"/>
                <w:b/>
                <w:bCs/>
                <w:color w:val="auto"/>
                <w:highlight w:val="none"/>
              </w:rPr>
              <w:t>技术服务团队数量充足，技术能力较强、安排合理的配置切实可行性、完整性、合理性进行评</w:t>
            </w:r>
            <w:r>
              <w:rPr>
                <w:rFonts w:hint="eastAsia" w:ascii="Times New Roman" w:hAnsi="Times New Roman" w:cs="Times New Roman"/>
                <w:b/>
                <w:bCs/>
                <w:color w:val="auto"/>
                <w:highlight w:val="none"/>
                <w:lang w:val="en-US" w:eastAsia="zh-CN"/>
              </w:rPr>
              <w:t>议（6分）：</w:t>
            </w:r>
          </w:p>
          <w:p w14:paraId="1161A32E">
            <w:pPr>
              <w:widowControl/>
              <w:numPr>
                <w:ilvl w:val="0"/>
                <w:numId w:val="0"/>
              </w:numPr>
              <w:spacing w:line="360" w:lineRule="auto"/>
              <w:jc w:val="both"/>
              <w:textAlignment w:val="center"/>
              <w:rPr>
                <w:rFonts w:hint="eastAsia" w:ascii="Times New Roman" w:hAnsi="Times New Roman" w:cs="Times New Roman"/>
                <w:color w:val="auto"/>
                <w:highlight w:val="none"/>
                <w:lang w:val="en-US" w:eastAsia="zh-CN"/>
              </w:rPr>
            </w:pPr>
            <w:r>
              <w:rPr>
                <w:rFonts w:hint="eastAsia" w:ascii="Times New Roman" w:hAnsi="Times New Roman" w:eastAsia="宋体" w:cs="Times New Roman"/>
                <w:color w:val="auto"/>
                <w:kern w:val="2"/>
                <w:sz w:val="21"/>
                <w:szCs w:val="22"/>
                <w:lang w:val="en-US" w:eastAsia="zh-CN" w:bidi="ar-SA"/>
              </w:rPr>
              <w:t>（1）</w:t>
            </w:r>
            <w:r>
              <w:rPr>
                <w:rFonts w:hint="eastAsia" w:ascii="Times New Roman" w:hAnsi="Times New Roman" w:cs="Times New Roman"/>
                <w:color w:val="auto"/>
                <w:kern w:val="2"/>
                <w:sz w:val="21"/>
                <w:szCs w:val="22"/>
                <w:lang w:val="en-US" w:eastAsia="zh-CN" w:bidi="ar-SA"/>
              </w:rPr>
              <w:t>方案可行</w:t>
            </w:r>
            <w:r>
              <w:rPr>
                <w:rFonts w:hint="eastAsia" w:ascii="Times New Roman" w:hAnsi="Times New Roman" w:cs="Times New Roman"/>
                <w:color w:val="auto"/>
                <w:highlight w:val="none"/>
                <w:lang w:val="en-US" w:eastAsia="zh-CN"/>
              </w:rPr>
              <w:t>得2分；</w:t>
            </w:r>
            <w:r>
              <w:rPr>
                <w:rFonts w:hint="eastAsia" w:ascii="Times New Roman" w:hAnsi="Times New Roman" w:cs="Times New Roman"/>
                <w:color w:val="auto"/>
                <w:kern w:val="2"/>
                <w:sz w:val="21"/>
                <w:szCs w:val="22"/>
                <w:lang w:val="en-US" w:eastAsia="zh-CN" w:bidi="ar-SA"/>
              </w:rPr>
              <w:t>方案基本可行</w:t>
            </w:r>
            <w:r>
              <w:rPr>
                <w:rFonts w:hint="eastAsia" w:ascii="Times New Roman" w:hAnsi="Times New Roman" w:cs="Times New Roman"/>
                <w:color w:val="auto"/>
                <w:highlight w:val="none"/>
                <w:lang w:val="en-US" w:eastAsia="zh-CN"/>
              </w:rPr>
              <w:t>得1分；无相关内容不得分。</w:t>
            </w:r>
          </w:p>
          <w:p w14:paraId="0233E8DB">
            <w:pPr>
              <w:widowControl/>
              <w:numPr>
                <w:ilvl w:val="0"/>
                <w:numId w:val="0"/>
              </w:numPr>
              <w:spacing w:line="360" w:lineRule="auto"/>
              <w:jc w:val="both"/>
              <w:textAlignment w:val="center"/>
              <w:rPr>
                <w:rFonts w:hint="default" w:ascii="Times New Roman" w:hAnsi="Times New Roman" w:cs="Times New Roman"/>
                <w:color w:val="auto"/>
                <w:highlight w:val="none"/>
                <w:lang w:val="en-US" w:eastAsia="zh-CN"/>
              </w:rPr>
            </w:pPr>
            <w:r>
              <w:rPr>
                <w:rFonts w:hint="eastAsia" w:ascii="Times New Roman" w:hAnsi="Times New Roman" w:eastAsia="宋体" w:cs="Times New Roman"/>
                <w:color w:val="auto"/>
                <w:kern w:val="2"/>
                <w:sz w:val="21"/>
                <w:szCs w:val="22"/>
                <w:lang w:val="en-US" w:eastAsia="zh-CN" w:bidi="ar-SA"/>
              </w:rPr>
              <w:t>（</w:t>
            </w:r>
            <w:r>
              <w:rPr>
                <w:rFonts w:hint="eastAsia" w:ascii="Times New Roman" w:hAnsi="Times New Roman" w:cs="Times New Roman"/>
                <w:color w:val="auto"/>
                <w:kern w:val="2"/>
                <w:sz w:val="21"/>
                <w:szCs w:val="22"/>
                <w:lang w:val="en-US" w:eastAsia="zh-CN" w:bidi="ar-SA"/>
              </w:rPr>
              <w:t>2</w:t>
            </w:r>
            <w:r>
              <w:rPr>
                <w:rFonts w:hint="eastAsia" w:ascii="Times New Roman" w:hAnsi="Times New Roman" w:eastAsia="宋体" w:cs="Times New Roman"/>
                <w:color w:val="auto"/>
                <w:kern w:val="2"/>
                <w:sz w:val="21"/>
                <w:szCs w:val="22"/>
                <w:lang w:val="en-US" w:eastAsia="zh-CN" w:bidi="ar-SA"/>
              </w:rPr>
              <w:t>）</w:t>
            </w:r>
            <w:r>
              <w:rPr>
                <w:rFonts w:hint="eastAsia" w:ascii="Times New Roman" w:hAnsi="Times New Roman" w:cs="Times New Roman"/>
                <w:color w:val="auto"/>
                <w:kern w:val="2"/>
                <w:sz w:val="21"/>
                <w:szCs w:val="22"/>
                <w:lang w:val="en-US" w:eastAsia="zh-CN" w:bidi="ar-SA"/>
              </w:rPr>
              <w:t>方案完整得2分；方案欠完整得1分；</w:t>
            </w:r>
            <w:r>
              <w:rPr>
                <w:rFonts w:hint="eastAsia" w:ascii="Times New Roman" w:hAnsi="Times New Roman" w:cs="Times New Roman"/>
                <w:color w:val="auto"/>
                <w:highlight w:val="none"/>
                <w:lang w:val="en-US" w:eastAsia="zh-CN"/>
              </w:rPr>
              <w:t>无相关内容不得分。</w:t>
            </w:r>
          </w:p>
          <w:p w14:paraId="1A1242A7">
            <w:pPr>
              <w:spacing w:line="360" w:lineRule="auto"/>
              <w:rPr>
                <w:rFonts w:hint="eastAsia"/>
                <w:color w:val="auto"/>
                <w:highlight w:val="none"/>
              </w:rPr>
            </w:pP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kern w:val="2"/>
                <w:sz w:val="21"/>
                <w:szCs w:val="22"/>
                <w:lang w:val="en-US" w:eastAsia="zh-CN" w:bidi="ar-SA"/>
              </w:rPr>
              <w:t>方案合理</w:t>
            </w:r>
            <w:r>
              <w:rPr>
                <w:rFonts w:hint="eastAsia" w:ascii="Times New Roman" w:hAnsi="Times New Roman" w:cs="Times New Roman"/>
                <w:color w:val="auto"/>
                <w:highlight w:val="none"/>
                <w:lang w:val="en-US" w:eastAsia="zh-CN"/>
              </w:rPr>
              <w:t>得2分；方</w:t>
            </w:r>
            <w:r>
              <w:rPr>
                <w:rFonts w:hint="eastAsia" w:ascii="Times New Roman" w:hAnsi="Times New Roman" w:cs="Times New Roman"/>
                <w:color w:val="auto"/>
                <w:kern w:val="2"/>
                <w:sz w:val="21"/>
                <w:szCs w:val="22"/>
                <w:lang w:val="en-US" w:eastAsia="zh-CN" w:bidi="ar-SA"/>
              </w:rPr>
              <w:t>案欠合理</w:t>
            </w:r>
            <w:r>
              <w:rPr>
                <w:rFonts w:hint="eastAsia" w:ascii="Times New Roman" w:hAnsi="Times New Roman" w:cs="Times New Roman"/>
                <w:color w:val="auto"/>
                <w:highlight w:val="none"/>
                <w:lang w:val="en-US" w:eastAsia="zh-CN"/>
              </w:rPr>
              <w:t>得1分；无相关内容不得分。</w:t>
            </w:r>
          </w:p>
        </w:tc>
        <w:tc>
          <w:tcPr>
            <w:tcW w:w="730" w:type="dxa"/>
            <w:tcBorders>
              <w:top w:val="single" w:color="auto" w:sz="4" w:space="0"/>
              <w:left w:val="single" w:color="auto" w:sz="4" w:space="0"/>
              <w:right w:val="single" w:color="auto" w:sz="2" w:space="0"/>
            </w:tcBorders>
            <w:vAlign w:val="center"/>
          </w:tcPr>
          <w:p w14:paraId="5B4C543D">
            <w:pPr>
              <w:spacing w:line="360" w:lineRule="auto"/>
              <w:jc w:val="center"/>
              <w:rPr>
                <w:rFonts w:hint="eastAsia"/>
                <w:color w:val="auto"/>
                <w:highlight w:val="none"/>
              </w:rPr>
            </w:pPr>
            <w:r>
              <w:rPr>
                <w:rFonts w:hint="eastAsia"/>
                <w:color w:val="auto"/>
                <w:highlight w:val="none"/>
                <w:lang w:val="en-US" w:eastAsia="zh-CN"/>
              </w:rPr>
              <w:t>主</w:t>
            </w:r>
            <w:r>
              <w:rPr>
                <w:rFonts w:hint="eastAsia"/>
                <w:color w:val="auto"/>
                <w:highlight w:val="none"/>
              </w:rPr>
              <w:t>观评审</w:t>
            </w:r>
          </w:p>
        </w:tc>
      </w:tr>
      <w:tr w14:paraId="788F3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997" w:type="dxa"/>
            <w:vMerge w:val="continue"/>
            <w:tcBorders>
              <w:left w:val="single" w:color="auto" w:sz="4" w:space="0"/>
              <w:right w:val="single" w:color="auto" w:sz="2" w:space="0"/>
            </w:tcBorders>
            <w:vAlign w:val="center"/>
          </w:tcPr>
          <w:p w14:paraId="586A3627">
            <w:pPr>
              <w:spacing w:line="360" w:lineRule="auto"/>
              <w:rPr>
                <w:rFonts w:hint="eastAsia"/>
                <w:color w:val="auto"/>
                <w:highlight w:val="none"/>
              </w:rPr>
            </w:pPr>
          </w:p>
        </w:tc>
        <w:tc>
          <w:tcPr>
            <w:tcW w:w="1289" w:type="dxa"/>
            <w:vMerge w:val="restart"/>
            <w:tcBorders>
              <w:left w:val="single" w:color="auto" w:sz="4" w:space="0"/>
              <w:right w:val="single" w:color="auto" w:sz="2" w:space="0"/>
            </w:tcBorders>
            <w:vAlign w:val="center"/>
          </w:tcPr>
          <w:p w14:paraId="0283A71B">
            <w:pPr>
              <w:spacing w:line="360" w:lineRule="auto"/>
              <w:jc w:val="center"/>
              <w:rPr>
                <w:rFonts w:hint="default" w:eastAsia="宋体"/>
                <w:color w:val="auto"/>
                <w:highlight w:val="none"/>
                <w:lang w:val="en-US" w:eastAsia="zh-CN"/>
              </w:rPr>
            </w:pPr>
            <w:r>
              <w:rPr>
                <w:rFonts w:hint="eastAsia"/>
                <w:color w:val="auto"/>
                <w:highlight w:val="none"/>
                <w:lang w:val="en-US" w:eastAsia="zh-CN"/>
              </w:rPr>
              <w:t>6、售后服务方案（11分）</w:t>
            </w:r>
          </w:p>
        </w:tc>
        <w:tc>
          <w:tcPr>
            <w:tcW w:w="6400" w:type="dxa"/>
            <w:tcBorders>
              <w:top w:val="single" w:color="auto" w:sz="4" w:space="0"/>
              <w:left w:val="single" w:color="auto" w:sz="4" w:space="0"/>
              <w:right w:val="single" w:color="auto" w:sz="2" w:space="0"/>
            </w:tcBorders>
            <w:vAlign w:val="center"/>
          </w:tcPr>
          <w:p w14:paraId="3ED2A5E6">
            <w:pPr>
              <w:widowControl/>
              <w:numPr>
                <w:ilvl w:val="0"/>
                <w:numId w:val="0"/>
              </w:numPr>
              <w:spacing w:line="360" w:lineRule="auto"/>
              <w:jc w:val="both"/>
              <w:textAlignment w:val="center"/>
              <w:rPr>
                <w:rFonts w:hint="eastAsia" w:ascii="Times New Roman" w:hAnsi="Times New Roman" w:cs="Times New Roman"/>
                <w:b/>
                <w:bCs/>
                <w:color w:val="auto"/>
                <w:highlight w:val="none"/>
                <w:lang w:val="en-US" w:eastAsia="zh-CN"/>
              </w:rPr>
            </w:pPr>
            <w:r>
              <w:rPr>
                <w:rFonts w:hint="eastAsia"/>
                <w:b/>
                <w:bCs/>
                <w:color w:val="auto"/>
                <w:highlight w:val="none"/>
                <w:lang w:val="en-US" w:eastAsia="zh-CN"/>
              </w:rPr>
              <w:t>6.1</w:t>
            </w:r>
            <w:r>
              <w:rPr>
                <w:rFonts w:hint="eastAsia"/>
                <w:b/>
                <w:bCs/>
                <w:color w:val="auto"/>
                <w:highlight w:val="none"/>
              </w:rPr>
              <w:t>根据投标人提供的售后服务方案及保障措施合理性、可操作性</w:t>
            </w:r>
            <w:r>
              <w:rPr>
                <w:rFonts w:hint="eastAsia"/>
                <w:b/>
                <w:bCs/>
                <w:color w:val="auto"/>
                <w:highlight w:val="none"/>
                <w:lang w:val="en-US" w:eastAsia="zh-CN"/>
              </w:rPr>
              <w:t>、针对性</w:t>
            </w:r>
            <w:r>
              <w:rPr>
                <w:rFonts w:hint="eastAsia"/>
                <w:b/>
                <w:bCs/>
                <w:color w:val="auto"/>
                <w:highlight w:val="none"/>
                <w:lang w:eastAsia="zh-CN"/>
              </w:rPr>
              <w:t>进行评</w:t>
            </w:r>
            <w:r>
              <w:rPr>
                <w:rFonts w:hint="eastAsia" w:ascii="Times New Roman" w:hAnsi="Times New Roman" w:cs="Times New Roman"/>
                <w:b/>
                <w:bCs/>
                <w:color w:val="auto"/>
                <w:highlight w:val="none"/>
                <w:lang w:val="en-US" w:eastAsia="zh-CN"/>
              </w:rPr>
              <w:t>议（6分）：</w:t>
            </w:r>
          </w:p>
          <w:p w14:paraId="00788B9A">
            <w:pPr>
              <w:widowControl/>
              <w:numPr>
                <w:ilvl w:val="0"/>
                <w:numId w:val="0"/>
              </w:numPr>
              <w:spacing w:line="360" w:lineRule="auto"/>
              <w:jc w:val="both"/>
              <w:textAlignment w:val="center"/>
              <w:rPr>
                <w:rFonts w:hint="eastAsia" w:ascii="Times New Roman" w:hAnsi="Times New Roman" w:cs="Times New Roman"/>
                <w:color w:val="auto"/>
                <w:highlight w:val="none"/>
                <w:lang w:val="en-US" w:eastAsia="zh-CN"/>
              </w:rPr>
            </w:pPr>
            <w:r>
              <w:rPr>
                <w:rFonts w:hint="eastAsia" w:ascii="Times New Roman" w:hAnsi="Times New Roman" w:eastAsia="宋体" w:cs="Times New Roman"/>
                <w:color w:val="auto"/>
                <w:kern w:val="2"/>
                <w:sz w:val="21"/>
                <w:szCs w:val="22"/>
                <w:lang w:val="en-US" w:eastAsia="zh-CN" w:bidi="ar-SA"/>
              </w:rPr>
              <w:t>（1）</w:t>
            </w:r>
            <w:r>
              <w:rPr>
                <w:rFonts w:hint="eastAsia" w:ascii="Times New Roman" w:hAnsi="Times New Roman" w:cs="Times New Roman"/>
                <w:color w:val="auto"/>
                <w:kern w:val="2"/>
                <w:sz w:val="21"/>
                <w:szCs w:val="22"/>
                <w:lang w:val="en-US" w:eastAsia="zh-CN" w:bidi="ar-SA"/>
              </w:rPr>
              <w:t>方案合理</w:t>
            </w:r>
            <w:r>
              <w:rPr>
                <w:rFonts w:hint="eastAsia" w:ascii="Times New Roman" w:hAnsi="Times New Roman" w:cs="Times New Roman"/>
                <w:color w:val="auto"/>
                <w:highlight w:val="none"/>
                <w:lang w:val="en-US" w:eastAsia="zh-CN"/>
              </w:rPr>
              <w:t>得2分；</w:t>
            </w:r>
            <w:r>
              <w:rPr>
                <w:rFonts w:hint="eastAsia" w:ascii="Times New Roman" w:hAnsi="Times New Roman" w:cs="Times New Roman"/>
                <w:color w:val="auto"/>
                <w:kern w:val="2"/>
                <w:sz w:val="21"/>
                <w:szCs w:val="22"/>
                <w:lang w:val="en-US" w:eastAsia="zh-CN" w:bidi="ar-SA"/>
              </w:rPr>
              <w:t>方案欠合理</w:t>
            </w:r>
            <w:r>
              <w:rPr>
                <w:rFonts w:hint="eastAsia" w:ascii="Times New Roman" w:hAnsi="Times New Roman" w:cs="Times New Roman"/>
                <w:color w:val="auto"/>
                <w:highlight w:val="none"/>
                <w:lang w:val="en-US" w:eastAsia="zh-CN"/>
              </w:rPr>
              <w:t>得1分；无相关内容不得分。</w:t>
            </w:r>
          </w:p>
          <w:p w14:paraId="59870DCF">
            <w:pPr>
              <w:widowControl/>
              <w:numPr>
                <w:ilvl w:val="0"/>
                <w:numId w:val="0"/>
              </w:numPr>
              <w:spacing w:line="360" w:lineRule="auto"/>
              <w:jc w:val="both"/>
              <w:textAlignment w:val="center"/>
              <w:rPr>
                <w:rFonts w:hint="default" w:ascii="Times New Roman" w:hAnsi="Times New Roman" w:cs="Times New Roman"/>
                <w:color w:val="auto"/>
                <w:highlight w:val="none"/>
                <w:lang w:val="en-US" w:eastAsia="zh-CN"/>
              </w:rPr>
            </w:pPr>
            <w:r>
              <w:rPr>
                <w:rFonts w:hint="eastAsia" w:ascii="Times New Roman" w:hAnsi="Times New Roman" w:eastAsia="宋体" w:cs="Times New Roman"/>
                <w:color w:val="auto"/>
                <w:kern w:val="2"/>
                <w:sz w:val="21"/>
                <w:szCs w:val="22"/>
                <w:lang w:val="en-US" w:eastAsia="zh-CN" w:bidi="ar-SA"/>
              </w:rPr>
              <w:t>（</w:t>
            </w:r>
            <w:r>
              <w:rPr>
                <w:rFonts w:hint="eastAsia" w:ascii="Times New Roman" w:hAnsi="Times New Roman" w:cs="Times New Roman"/>
                <w:color w:val="auto"/>
                <w:kern w:val="2"/>
                <w:sz w:val="21"/>
                <w:szCs w:val="22"/>
                <w:lang w:val="en-US" w:eastAsia="zh-CN" w:bidi="ar-SA"/>
              </w:rPr>
              <w:t>2</w:t>
            </w:r>
            <w:r>
              <w:rPr>
                <w:rFonts w:hint="eastAsia" w:ascii="Times New Roman" w:hAnsi="Times New Roman" w:eastAsia="宋体" w:cs="Times New Roman"/>
                <w:color w:val="auto"/>
                <w:kern w:val="2"/>
                <w:sz w:val="21"/>
                <w:szCs w:val="22"/>
                <w:lang w:val="en-US" w:eastAsia="zh-CN" w:bidi="ar-SA"/>
              </w:rPr>
              <w:t>）</w:t>
            </w:r>
            <w:r>
              <w:rPr>
                <w:rFonts w:hint="eastAsia" w:ascii="Times New Roman" w:hAnsi="Times New Roman" w:cs="Times New Roman"/>
                <w:color w:val="auto"/>
                <w:kern w:val="2"/>
                <w:sz w:val="21"/>
                <w:szCs w:val="22"/>
                <w:lang w:val="en-US" w:eastAsia="zh-CN" w:bidi="ar-SA"/>
              </w:rPr>
              <w:t>方案可操作性强得2分；方案可操作性一般得1分；</w:t>
            </w:r>
            <w:r>
              <w:rPr>
                <w:rFonts w:hint="eastAsia" w:ascii="Times New Roman" w:hAnsi="Times New Roman" w:cs="Times New Roman"/>
                <w:color w:val="auto"/>
                <w:highlight w:val="none"/>
                <w:lang w:val="en-US" w:eastAsia="zh-CN"/>
              </w:rPr>
              <w:t>无相关内容不得分。</w:t>
            </w:r>
          </w:p>
          <w:p w14:paraId="3AF04F9C">
            <w:pPr>
              <w:spacing w:line="360" w:lineRule="auto"/>
              <w:rPr>
                <w:rFonts w:hint="eastAsia"/>
                <w:color w:val="auto"/>
                <w:highlight w:val="none"/>
              </w:rPr>
            </w:pP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kern w:val="2"/>
                <w:sz w:val="21"/>
                <w:szCs w:val="22"/>
                <w:lang w:val="en-US" w:eastAsia="zh-CN" w:bidi="ar-SA"/>
              </w:rPr>
              <w:t>方案针对性强</w:t>
            </w:r>
            <w:r>
              <w:rPr>
                <w:rFonts w:hint="eastAsia" w:ascii="Times New Roman" w:hAnsi="Times New Roman" w:cs="Times New Roman"/>
                <w:color w:val="auto"/>
                <w:highlight w:val="none"/>
                <w:lang w:val="en-US" w:eastAsia="zh-CN"/>
              </w:rPr>
              <w:t>得2分；方</w:t>
            </w:r>
            <w:r>
              <w:rPr>
                <w:rFonts w:hint="eastAsia" w:ascii="Times New Roman" w:hAnsi="Times New Roman" w:cs="Times New Roman"/>
                <w:color w:val="auto"/>
                <w:kern w:val="2"/>
                <w:sz w:val="21"/>
                <w:szCs w:val="22"/>
                <w:lang w:val="en-US" w:eastAsia="zh-CN" w:bidi="ar-SA"/>
              </w:rPr>
              <w:t>案针对性差</w:t>
            </w:r>
            <w:r>
              <w:rPr>
                <w:rFonts w:hint="eastAsia" w:ascii="Times New Roman" w:hAnsi="Times New Roman" w:cs="Times New Roman"/>
                <w:color w:val="auto"/>
                <w:highlight w:val="none"/>
                <w:lang w:val="en-US" w:eastAsia="zh-CN"/>
              </w:rPr>
              <w:t>得1分；无相关内容不得分。</w:t>
            </w:r>
          </w:p>
        </w:tc>
        <w:tc>
          <w:tcPr>
            <w:tcW w:w="730" w:type="dxa"/>
            <w:tcBorders>
              <w:top w:val="single" w:color="auto" w:sz="4" w:space="0"/>
              <w:left w:val="single" w:color="auto" w:sz="4" w:space="0"/>
              <w:right w:val="single" w:color="auto" w:sz="2" w:space="0"/>
            </w:tcBorders>
            <w:vAlign w:val="center"/>
          </w:tcPr>
          <w:p w14:paraId="60D5EABB">
            <w:pPr>
              <w:spacing w:line="360" w:lineRule="auto"/>
              <w:jc w:val="center"/>
              <w:rPr>
                <w:rFonts w:hint="eastAsia"/>
                <w:color w:val="auto"/>
                <w:highlight w:val="none"/>
              </w:rPr>
            </w:pPr>
            <w:r>
              <w:rPr>
                <w:rFonts w:hint="eastAsia"/>
                <w:color w:val="auto"/>
                <w:highlight w:val="none"/>
                <w:lang w:val="en-US" w:eastAsia="zh-CN"/>
              </w:rPr>
              <w:t>主</w:t>
            </w:r>
            <w:r>
              <w:rPr>
                <w:rFonts w:hint="eastAsia"/>
                <w:color w:val="auto"/>
                <w:highlight w:val="none"/>
              </w:rPr>
              <w:t>观评审</w:t>
            </w:r>
          </w:p>
        </w:tc>
      </w:tr>
      <w:tr w14:paraId="3E41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997" w:type="dxa"/>
            <w:vMerge w:val="continue"/>
            <w:tcBorders>
              <w:left w:val="single" w:color="auto" w:sz="4" w:space="0"/>
              <w:right w:val="single" w:color="auto" w:sz="2" w:space="0"/>
            </w:tcBorders>
            <w:vAlign w:val="center"/>
          </w:tcPr>
          <w:p w14:paraId="2A6B1F10">
            <w:pPr>
              <w:spacing w:line="360" w:lineRule="auto"/>
              <w:rPr>
                <w:rFonts w:hint="eastAsia"/>
                <w:color w:val="auto"/>
                <w:highlight w:val="none"/>
              </w:rPr>
            </w:pPr>
          </w:p>
        </w:tc>
        <w:tc>
          <w:tcPr>
            <w:tcW w:w="1289" w:type="dxa"/>
            <w:vMerge w:val="continue"/>
            <w:tcBorders>
              <w:left w:val="single" w:color="auto" w:sz="4" w:space="0"/>
              <w:right w:val="single" w:color="auto" w:sz="2" w:space="0"/>
            </w:tcBorders>
            <w:vAlign w:val="center"/>
          </w:tcPr>
          <w:p w14:paraId="55A1BFC2">
            <w:pPr>
              <w:spacing w:line="360" w:lineRule="auto"/>
              <w:jc w:val="center"/>
              <w:rPr>
                <w:rFonts w:hint="eastAsia"/>
                <w:color w:val="auto"/>
                <w:highlight w:val="none"/>
                <w:lang w:val="en-US" w:eastAsia="zh-CN"/>
              </w:rPr>
            </w:pPr>
          </w:p>
        </w:tc>
        <w:tc>
          <w:tcPr>
            <w:tcW w:w="6400" w:type="dxa"/>
            <w:tcBorders>
              <w:top w:val="single" w:color="auto" w:sz="4" w:space="0"/>
              <w:left w:val="single" w:color="auto" w:sz="4" w:space="0"/>
              <w:right w:val="single" w:color="auto" w:sz="2" w:space="0"/>
            </w:tcBorders>
            <w:vAlign w:val="center"/>
          </w:tcPr>
          <w:p w14:paraId="379DF8E2">
            <w:pPr>
              <w:spacing w:line="360" w:lineRule="auto"/>
              <w:rPr>
                <w:rFonts w:hint="default" w:ascii="Times New Roman" w:hAnsi="Times New Roman" w:cs="Times New Roman"/>
                <w:color w:val="auto"/>
                <w:highlight w:val="none"/>
                <w:lang w:val="en-US" w:eastAsia="zh-CN"/>
              </w:rPr>
            </w:pPr>
            <w:r>
              <w:rPr>
                <w:rFonts w:hint="eastAsia" w:ascii="Times New Roman" w:hAnsi="Times New Roman" w:cs="Times New Roman"/>
                <w:b/>
                <w:bCs/>
                <w:color w:val="auto"/>
                <w:highlight w:val="none"/>
                <w:lang w:val="en-US" w:eastAsia="zh-CN"/>
              </w:rPr>
              <w:t>6.2根据投标人提供的服务响应及时性及服务机构便捷性进行评议（5分）：</w:t>
            </w:r>
            <w:r>
              <w:rPr>
                <w:rFonts w:hint="eastAsia" w:ascii="Times New Roman" w:hAnsi="Times New Roman" w:cs="Times New Roman"/>
                <w:color w:val="auto"/>
                <w:highlight w:val="none"/>
                <w:lang w:val="en-US" w:eastAsia="zh-CN"/>
              </w:rPr>
              <w:t>服务响应迅速、服务十分便捷得5分；服务响应速度可行、服务便捷得4分；服务响应速度一般，基本满足项目需求得3分；服务响应较慢，仅能部分满足项目需求得2分；服务响应迟缓，无法保障项目需求的得1分；无相内容不得分。</w:t>
            </w:r>
          </w:p>
        </w:tc>
        <w:tc>
          <w:tcPr>
            <w:tcW w:w="730" w:type="dxa"/>
            <w:tcBorders>
              <w:top w:val="single" w:color="auto" w:sz="4" w:space="0"/>
              <w:left w:val="single" w:color="auto" w:sz="4" w:space="0"/>
              <w:right w:val="single" w:color="auto" w:sz="2" w:space="0"/>
            </w:tcBorders>
            <w:vAlign w:val="center"/>
          </w:tcPr>
          <w:p w14:paraId="0625AE4D">
            <w:pPr>
              <w:spacing w:line="360" w:lineRule="auto"/>
              <w:jc w:val="center"/>
              <w:rPr>
                <w:rFonts w:hint="eastAsia"/>
                <w:color w:val="auto"/>
                <w:highlight w:val="none"/>
              </w:rPr>
            </w:pPr>
            <w:r>
              <w:rPr>
                <w:rFonts w:hint="eastAsia"/>
                <w:color w:val="auto"/>
                <w:highlight w:val="none"/>
                <w:lang w:val="en-US" w:eastAsia="zh-CN"/>
              </w:rPr>
              <w:t>主</w:t>
            </w:r>
            <w:r>
              <w:rPr>
                <w:rFonts w:hint="eastAsia"/>
                <w:color w:val="auto"/>
                <w:highlight w:val="none"/>
              </w:rPr>
              <w:t>观评审</w:t>
            </w:r>
          </w:p>
        </w:tc>
      </w:tr>
      <w:tr w14:paraId="6628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trPr>
        <w:tc>
          <w:tcPr>
            <w:tcW w:w="997" w:type="dxa"/>
            <w:vMerge w:val="continue"/>
            <w:tcBorders>
              <w:left w:val="single" w:color="auto" w:sz="4" w:space="0"/>
              <w:right w:val="single" w:color="auto" w:sz="2" w:space="0"/>
            </w:tcBorders>
            <w:vAlign w:val="center"/>
          </w:tcPr>
          <w:p w14:paraId="531D8376">
            <w:pPr>
              <w:spacing w:line="360" w:lineRule="auto"/>
              <w:rPr>
                <w:rFonts w:hint="eastAsia"/>
                <w:color w:val="auto"/>
                <w:highlight w:val="none"/>
              </w:rPr>
            </w:pPr>
          </w:p>
        </w:tc>
        <w:tc>
          <w:tcPr>
            <w:tcW w:w="1289" w:type="dxa"/>
            <w:tcBorders>
              <w:top w:val="single" w:color="auto" w:sz="4" w:space="0"/>
              <w:left w:val="single" w:color="auto" w:sz="4" w:space="0"/>
              <w:right w:val="single" w:color="auto" w:sz="2" w:space="0"/>
            </w:tcBorders>
            <w:vAlign w:val="center"/>
          </w:tcPr>
          <w:p w14:paraId="10EA3D0C">
            <w:pPr>
              <w:spacing w:before="0" w:beforeLines="-2147483648" w:line="360"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7、类似业绩（2分）</w:t>
            </w:r>
          </w:p>
        </w:tc>
        <w:tc>
          <w:tcPr>
            <w:tcW w:w="6400" w:type="dxa"/>
            <w:tcBorders>
              <w:top w:val="single" w:color="auto" w:sz="4" w:space="0"/>
              <w:left w:val="single" w:color="auto" w:sz="4" w:space="0"/>
              <w:bottom w:val="single" w:color="auto" w:sz="4" w:space="0"/>
              <w:right w:val="single" w:color="auto" w:sz="2" w:space="0"/>
            </w:tcBorders>
            <w:vAlign w:val="center"/>
          </w:tcPr>
          <w:p w14:paraId="671D6CEC">
            <w:pPr>
              <w:pStyle w:val="53"/>
              <w:kinsoku w:val="0"/>
              <w:overflowPunct w:val="0"/>
              <w:spacing w:line="360" w:lineRule="auto"/>
              <w:rPr>
                <w:rFonts w:hint="eastAsia"/>
                <w:color w:val="auto"/>
                <w:sz w:val="21"/>
                <w:szCs w:val="21"/>
                <w:highlight w:val="none"/>
                <w:lang w:val="zh-CN" w:eastAsia="zh-CN"/>
              </w:rPr>
            </w:pPr>
            <w:r>
              <w:rPr>
                <w:rFonts w:hint="eastAsia"/>
                <w:color w:val="auto"/>
                <w:sz w:val="21"/>
                <w:szCs w:val="21"/>
                <w:highlight w:val="none"/>
                <w:lang w:val="zh-CN" w:eastAsia="zh-CN"/>
              </w:rPr>
              <w:t>投标人自2022年1月1日至今，投标人承担过</w:t>
            </w:r>
            <w:r>
              <w:rPr>
                <w:rFonts w:hint="eastAsia"/>
                <w:color w:val="auto"/>
                <w:sz w:val="21"/>
                <w:szCs w:val="21"/>
                <w:highlight w:val="none"/>
                <w:lang w:val="en-US" w:eastAsia="zh-CN"/>
              </w:rPr>
              <w:t>类似项目业绩（</w:t>
            </w:r>
            <w:r>
              <w:rPr>
                <w:rFonts w:hint="eastAsia"/>
                <w:color w:val="auto"/>
                <w:sz w:val="21"/>
                <w:szCs w:val="21"/>
                <w:highlight w:val="none"/>
                <w:lang w:val="zh-CN" w:eastAsia="zh-CN"/>
              </w:rPr>
              <w:t>不动产地籍调查类项目），每个项目得</w:t>
            </w:r>
            <w:r>
              <w:rPr>
                <w:rFonts w:hint="eastAsia"/>
                <w:color w:val="auto"/>
                <w:sz w:val="21"/>
                <w:szCs w:val="21"/>
                <w:highlight w:val="none"/>
                <w:lang w:val="en-US" w:eastAsia="zh-CN"/>
              </w:rPr>
              <w:t>1</w:t>
            </w:r>
            <w:r>
              <w:rPr>
                <w:rFonts w:hint="eastAsia"/>
                <w:color w:val="auto"/>
                <w:sz w:val="21"/>
                <w:szCs w:val="21"/>
                <w:highlight w:val="none"/>
                <w:lang w:val="zh-CN" w:eastAsia="zh-CN"/>
              </w:rPr>
              <w:t>分，最高得</w:t>
            </w:r>
            <w:r>
              <w:rPr>
                <w:rFonts w:hint="eastAsia"/>
                <w:color w:val="auto"/>
                <w:sz w:val="21"/>
                <w:szCs w:val="21"/>
                <w:highlight w:val="none"/>
                <w:lang w:val="en-US" w:eastAsia="zh-CN"/>
              </w:rPr>
              <w:t>2</w:t>
            </w:r>
            <w:r>
              <w:rPr>
                <w:rFonts w:hint="eastAsia"/>
                <w:color w:val="auto"/>
                <w:sz w:val="21"/>
                <w:szCs w:val="21"/>
                <w:highlight w:val="none"/>
                <w:lang w:val="zh-CN" w:eastAsia="zh-CN"/>
              </w:rPr>
              <w:t>分。</w:t>
            </w:r>
          </w:p>
          <w:p w14:paraId="611B76ED">
            <w:pPr>
              <w:pStyle w:val="53"/>
              <w:kinsoku w:val="0"/>
              <w:overflowPunct w:val="0"/>
              <w:spacing w:line="360" w:lineRule="auto"/>
              <w:rPr>
                <w:rFonts w:hint="eastAsia"/>
                <w:color w:val="auto"/>
                <w:sz w:val="21"/>
                <w:szCs w:val="21"/>
                <w:highlight w:val="none"/>
              </w:rPr>
            </w:pPr>
            <w:r>
              <w:rPr>
                <w:rFonts w:hint="eastAsia"/>
                <w:color w:val="auto"/>
                <w:sz w:val="21"/>
                <w:szCs w:val="21"/>
                <w:highlight w:val="none"/>
                <w:lang w:val="zh-CN" w:eastAsia="zh-CN"/>
              </w:rPr>
              <w:t>注：以合同签订时间为准，提供合同扫描件或复印件并加盖公章，</w:t>
            </w:r>
            <w:r>
              <w:rPr>
                <w:rFonts w:hint="eastAsia"/>
                <w:color w:val="auto"/>
                <w:sz w:val="21"/>
                <w:szCs w:val="21"/>
                <w:highlight w:val="none"/>
                <w:lang w:val="en-US" w:eastAsia="zh-CN"/>
              </w:rPr>
              <w:t>未</w:t>
            </w:r>
            <w:r>
              <w:rPr>
                <w:rFonts w:hint="eastAsia"/>
                <w:color w:val="auto"/>
                <w:sz w:val="21"/>
                <w:szCs w:val="21"/>
                <w:highlight w:val="none"/>
                <w:lang w:val="zh-CN" w:eastAsia="zh-CN"/>
              </w:rPr>
              <w:t>提供</w:t>
            </w:r>
            <w:r>
              <w:rPr>
                <w:rFonts w:hint="eastAsia"/>
                <w:color w:val="auto"/>
                <w:sz w:val="21"/>
                <w:szCs w:val="21"/>
                <w:highlight w:val="none"/>
                <w:lang w:val="en-US" w:eastAsia="zh-CN"/>
              </w:rPr>
              <w:t>或提供不符合要求的</w:t>
            </w:r>
            <w:r>
              <w:rPr>
                <w:rFonts w:hint="eastAsia"/>
                <w:color w:val="auto"/>
                <w:sz w:val="21"/>
                <w:szCs w:val="21"/>
                <w:highlight w:val="none"/>
                <w:lang w:val="zh-CN" w:eastAsia="zh-CN"/>
              </w:rPr>
              <w:t>不得分。</w:t>
            </w:r>
          </w:p>
        </w:tc>
        <w:tc>
          <w:tcPr>
            <w:tcW w:w="730" w:type="dxa"/>
            <w:tcBorders>
              <w:top w:val="single" w:color="auto" w:sz="4" w:space="0"/>
              <w:left w:val="single" w:color="auto" w:sz="4" w:space="0"/>
              <w:bottom w:val="single" w:color="auto" w:sz="4" w:space="0"/>
              <w:right w:val="single" w:color="auto" w:sz="2" w:space="0"/>
            </w:tcBorders>
            <w:vAlign w:val="center"/>
          </w:tcPr>
          <w:p w14:paraId="5282F3D9">
            <w:pPr>
              <w:spacing w:line="360" w:lineRule="auto"/>
              <w:jc w:val="center"/>
              <w:rPr>
                <w:rFonts w:hint="eastAsia"/>
                <w:color w:val="auto"/>
                <w:highlight w:val="none"/>
              </w:rPr>
            </w:pPr>
            <w:r>
              <w:rPr>
                <w:rFonts w:hint="eastAsia"/>
                <w:color w:val="auto"/>
                <w:highlight w:val="none"/>
              </w:rPr>
              <w:t>客观评审</w:t>
            </w:r>
          </w:p>
        </w:tc>
      </w:tr>
      <w:tr w14:paraId="6F19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trPr>
        <w:tc>
          <w:tcPr>
            <w:tcW w:w="997" w:type="dxa"/>
            <w:vMerge w:val="continue"/>
            <w:tcBorders>
              <w:left w:val="single" w:color="auto" w:sz="4" w:space="0"/>
              <w:right w:val="single" w:color="auto" w:sz="2" w:space="0"/>
            </w:tcBorders>
            <w:vAlign w:val="center"/>
          </w:tcPr>
          <w:p w14:paraId="53D8AF71">
            <w:pPr>
              <w:spacing w:line="360" w:lineRule="auto"/>
              <w:rPr>
                <w:rFonts w:hint="eastAsia"/>
                <w:color w:val="auto"/>
                <w:highlight w:val="none"/>
              </w:rPr>
            </w:pPr>
          </w:p>
        </w:tc>
        <w:tc>
          <w:tcPr>
            <w:tcW w:w="1289" w:type="dxa"/>
            <w:vMerge w:val="restart"/>
            <w:tcBorders>
              <w:top w:val="single" w:color="auto" w:sz="4" w:space="0"/>
              <w:left w:val="single" w:color="auto" w:sz="4" w:space="0"/>
              <w:right w:val="single" w:color="auto" w:sz="2" w:space="0"/>
            </w:tcBorders>
            <w:vAlign w:val="center"/>
          </w:tcPr>
          <w:p w14:paraId="7EB72D58">
            <w:pPr>
              <w:spacing w:line="360"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8、拟投入本项目人员配置（11分）</w:t>
            </w:r>
          </w:p>
        </w:tc>
        <w:tc>
          <w:tcPr>
            <w:tcW w:w="6400" w:type="dxa"/>
            <w:tcBorders>
              <w:top w:val="single" w:color="auto" w:sz="4" w:space="0"/>
              <w:left w:val="single" w:color="auto" w:sz="4" w:space="0"/>
              <w:bottom w:val="single" w:color="auto" w:sz="4" w:space="0"/>
              <w:right w:val="single" w:color="auto" w:sz="2" w:space="0"/>
            </w:tcBorders>
            <w:vAlign w:val="center"/>
          </w:tcPr>
          <w:p w14:paraId="4F64E065">
            <w:pPr>
              <w:pStyle w:val="53"/>
              <w:kinsoku w:val="0"/>
              <w:overflowPunct w:val="0"/>
              <w:spacing w:line="360" w:lineRule="auto"/>
              <w:rPr>
                <w:rFonts w:hint="eastAsia"/>
                <w:b/>
                <w:bCs/>
                <w:color w:val="auto"/>
                <w:sz w:val="21"/>
                <w:szCs w:val="21"/>
                <w:highlight w:val="none"/>
              </w:rPr>
            </w:pPr>
            <w:r>
              <w:rPr>
                <w:rFonts w:hint="eastAsia"/>
                <w:b/>
                <w:bCs/>
                <w:color w:val="auto"/>
                <w:sz w:val="21"/>
                <w:szCs w:val="21"/>
                <w:highlight w:val="none"/>
              </w:rPr>
              <w:t>8.1项目负责人</w:t>
            </w:r>
            <w:r>
              <w:rPr>
                <w:rFonts w:hint="eastAsia"/>
                <w:b/>
                <w:bCs/>
                <w:color w:val="auto"/>
                <w:sz w:val="21"/>
                <w:szCs w:val="21"/>
                <w:highlight w:val="none"/>
                <w:lang w:eastAsia="zh-CN"/>
              </w:rPr>
              <w:t>（</w:t>
            </w:r>
            <w:r>
              <w:rPr>
                <w:rFonts w:hint="eastAsia"/>
                <w:b/>
                <w:bCs/>
                <w:color w:val="auto"/>
                <w:sz w:val="21"/>
                <w:szCs w:val="21"/>
                <w:highlight w:val="none"/>
                <w:lang w:val="en-US" w:eastAsia="zh-CN"/>
              </w:rPr>
              <w:t>3分）</w:t>
            </w:r>
            <w:r>
              <w:rPr>
                <w:rFonts w:hint="eastAsia"/>
                <w:b/>
                <w:bCs/>
                <w:color w:val="auto"/>
                <w:sz w:val="21"/>
                <w:szCs w:val="21"/>
                <w:highlight w:val="none"/>
              </w:rPr>
              <w:t>：</w:t>
            </w:r>
          </w:p>
          <w:p w14:paraId="744071DA">
            <w:pPr>
              <w:pStyle w:val="53"/>
              <w:kinsoku w:val="0"/>
              <w:overflowPunct w:val="0"/>
              <w:spacing w:line="360" w:lineRule="auto"/>
              <w:rPr>
                <w:rFonts w:hint="eastAsia"/>
                <w:color w:val="auto"/>
                <w:sz w:val="21"/>
                <w:szCs w:val="21"/>
                <w:highlight w:val="none"/>
              </w:rPr>
            </w:pPr>
            <w:r>
              <w:rPr>
                <w:rFonts w:hint="eastAsia"/>
                <w:color w:val="auto"/>
                <w:sz w:val="21"/>
                <w:szCs w:val="21"/>
                <w:highlight w:val="none"/>
              </w:rPr>
              <w:t>项目负责人具有高级工程师职称（测绘、计算机相关专业）证书且获得数据库高级工程师资格证书的得3分，缺一项不得分。</w:t>
            </w:r>
          </w:p>
          <w:p w14:paraId="18A6ED69">
            <w:pPr>
              <w:pStyle w:val="53"/>
              <w:kinsoku w:val="0"/>
              <w:overflowPunct w:val="0"/>
              <w:spacing w:line="360" w:lineRule="auto"/>
              <w:rPr>
                <w:rFonts w:hint="eastAsia"/>
                <w:color w:val="auto"/>
                <w:sz w:val="21"/>
                <w:szCs w:val="21"/>
                <w:highlight w:val="none"/>
              </w:rPr>
            </w:pPr>
            <w:r>
              <w:rPr>
                <w:rFonts w:hint="eastAsia"/>
                <w:b/>
                <w:bCs/>
                <w:color w:val="auto"/>
                <w:sz w:val="21"/>
                <w:szCs w:val="21"/>
                <w:highlight w:val="none"/>
              </w:rPr>
              <w:t>注：提供证书扫描件</w:t>
            </w:r>
            <w:r>
              <w:rPr>
                <w:rFonts w:hint="eastAsia"/>
                <w:b/>
                <w:bCs/>
                <w:color w:val="auto"/>
                <w:sz w:val="21"/>
                <w:szCs w:val="21"/>
                <w:highlight w:val="none"/>
                <w:lang w:eastAsia="zh-CN"/>
              </w:rPr>
              <w:t>（</w:t>
            </w:r>
            <w:r>
              <w:rPr>
                <w:rFonts w:hint="eastAsia"/>
                <w:b/>
                <w:bCs/>
                <w:color w:val="auto"/>
                <w:sz w:val="21"/>
                <w:szCs w:val="21"/>
                <w:highlight w:val="none"/>
                <w:lang w:val="en-US" w:eastAsia="zh-CN"/>
              </w:rPr>
              <w:t>或复印件）</w:t>
            </w:r>
            <w:r>
              <w:rPr>
                <w:rFonts w:hint="eastAsia"/>
                <w:b/>
                <w:bCs/>
                <w:color w:val="auto"/>
                <w:sz w:val="21"/>
                <w:szCs w:val="21"/>
                <w:highlight w:val="none"/>
              </w:rPr>
              <w:t>及投标人为其缴纳的</w:t>
            </w:r>
            <w:r>
              <w:rPr>
                <w:rFonts w:hint="eastAsia"/>
                <w:b/>
                <w:bCs/>
                <w:color w:val="auto"/>
                <w:sz w:val="21"/>
                <w:szCs w:val="21"/>
                <w:highlight w:val="none"/>
                <w:lang w:val="en-US" w:eastAsia="zh-CN"/>
              </w:rPr>
              <w:t>开标前</w:t>
            </w:r>
            <w:r>
              <w:rPr>
                <w:rFonts w:hint="eastAsia"/>
                <w:b/>
                <w:bCs/>
                <w:color w:val="auto"/>
                <w:sz w:val="21"/>
                <w:szCs w:val="21"/>
                <w:highlight w:val="none"/>
              </w:rPr>
              <w:t>近三个月（2025年3月、2025年4月、2025年5月）的单位社保缴纳证明等材料。</w:t>
            </w:r>
          </w:p>
        </w:tc>
        <w:tc>
          <w:tcPr>
            <w:tcW w:w="730" w:type="dxa"/>
            <w:tcBorders>
              <w:top w:val="single" w:color="auto" w:sz="4" w:space="0"/>
              <w:left w:val="single" w:color="auto" w:sz="4" w:space="0"/>
              <w:bottom w:val="single" w:color="auto" w:sz="4" w:space="0"/>
              <w:right w:val="single" w:color="auto" w:sz="2" w:space="0"/>
            </w:tcBorders>
            <w:vAlign w:val="center"/>
          </w:tcPr>
          <w:p w14:paraId="0A5909B1">
            <w:pPr>
              <w:spacing w:line="360" w:lineRule="auto"/>
              <w:jc w:val="center"/>
              <w:rPr>
                <w:rFonts w:hint="eastAsia"/>
                <w:color w:val="auto"/>
                <w:highlight w:val="none"/>
              </w:rPr>
            </w:pPr>
            <w:r>
              <w:rPr>
                <w:rFonts w:hint="eastAsia"/>
                <w:color w:val="auto"/>
                <w:highlight w:val="none"/>
              </w:rPr>
              <w:t>客观评审</w:t>
            </w:r>
          </w:p>
        </w:tc>
      </w:tr>
      <w:tr w14:paraId="3F7DE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997" w:type="dxa"/>
            <w:vMerge w:val="continue"/>
            <w:tcBorders>
              <w:left w:val="single" w:color="auto" w:sz="4" w:space="0"/>
              <w:right w:val="single" w:color="auto" w:sz="2" w:space="0"/>
            </w:tcBorders>
            <w:vAlign w:val="center"/>
          </w:tcPr>
          <w:p w14:paraId="34B076D4">
            <w:pPr>
              <w:spacing w:line="360" w:lineRule="auto"/>
              <w:rPr>
                <w:rFonts w:hint="eastAsia"/>
                <w:color w:val="auto"/>
                <w:highlight w:val="none"/>
              </w:rPr>
            </w:pPr>
          </w:p>
        </w:tc>
        <w:tc>
          <w:tcPr>
            <w:tcW w:w="1289" w:type="dxa"/>
            <w:vMerge w:val="continue"/>
            <w:tcBorders>
              <w:left w:val="single" w:color="auto" w:sz="4" w:space="0"/>
              <w:right w:val="single" w:color="auto" w:sz="2" w:space="0"/>
            </w:tcBorders>
            <w:vAlign w:val="center"/>
          </w:tcPr>
          <w:p w14:paraId="5C80B2A6">
            <w:pPr>
              <w:spacing w:line="360" w:lineRule="auto"/>
              <w:jc w:val="center"/>
              <w:rPr>
                <w:rFonts w:hint="eastAsia"/>
                <w:color w:val="auto"/>
                <w:highlight w:val="none"/>
              </w:rPr>
            </w:pPr>
          </w:p>
        </w:tc>
        <w:tc>
          <w:tcPr>
            <w:tcW w:w="6400" w:type="dxa"/>
            <w:tcBorders>
              <w:top w:val="single" w:color="auto" w:sz="4" w:space="0"/>
              <w:left w:val="single" w:color="auto" w:sz="4" w:space="0"/>
              <w:bottom w:val="single" w:color="auto" w:sz="4" w:space="0"/>
              <w:right w:val="single" w:color="auto" w:sz="2" w:space="0"/>
            </w:tcBorders>
            <w:shd w:val="clear" w:color="auto" w:fill="auto"/>
            <w:vAlign w:val="center"/>
          </w:tcPr>
          <w:p w14:paraId="5F13D74D">
            <w:pPr>
              <w:pStyle w:val="53"/>
              <w:kinsoku w:val="0"/>
              <w:overflowPunct w:val="0"/>
              <w:spacing w:line="360" w:lineRule="auto"/>
              <w:rPr>
                <w:rFonts w:hint="eastAsia" w:ascii="Times New Roman" w:hAnsi="Times New Roman" w:eastAsia="宋体" w:cs="Times New Roman"/>
                <w:b/>
                <w:bCs/>
                <w:color w:val="auto"/>
                <w:sz w:val="21"/>
                <w:szCs w:val="21"/>
                <w:highlight w:val="none"/>
                <w:lang w:val="en-US" w:eastAsia="en-US"/>
              </w:rPr>
            </w:pPr>
            <w:r>
              <w:rPr>
                <w:rFonts w:hint="eastAsia" w:ascii="Times New Roman" w:hAnsi="Times New Roman" w:eastAsia="宋体" w:cs="Times New Roman"/>
                <w:b/>
                <w:bCs/>
                <w:color w:val="auto"/>
                <w:sz w:val="21"/>
                <w:szCs w:val="21"/>
                <w:highlight w:val="none"/>
                <w:lang w:val="en-US" w:eastAsia="zh-CN"/>
              </w:rPr>
              <w:t>8.2</w:t>
            </w:r>
            <w:r>
              <w:rPr>
                <w:rFonts w:hint="eastAsia" w:ascii="Times New Roman" w:hAnsi="Times New Roman" w:eastAsia="宋体" w:cs="Times New Roman"/>
                <w:b/>
                <w:bCs/>
                <w:color w:val="auto"/>
                <w:sz w:val="21"/>
                <w:szCs w:val="21"/>
                <w:highlight w:val="none"/>
                <w:lang w:val="en-US" w:eastAsia="en-US"/>
              </w:rPr>
              <w:t>项目组其他人员</w:t>
            </w:r>
            <w:r>
              <w:rPr>
                <w:rFonts w:hint="eastAsia" w:ascii="Times New Roman" w:hAnsi="Times New Roman" w:eastAsia="宋体" w:cs="Times New Roman"/>
                <w:b/>
                <w:bCs/>
                <w:color w:val="auto"/>
                <w:sz w:val="21"/>
                <w:szCs w:val="21"/>
                <w:highlight w:val="none"/>
                <w:lang w:val="en-US" w:eastAsia="zh-CN"/>
              </w:rPr>
              <w:t>（4分）</w:t>
            </w:r>
            <w:r>
              <w:rPr>
                <w:rFonts w:hint="eastAsia" w:ascii="Times New Roman" w:hAnsi="Times New Roman" w:eastAsia="宋体" w:cs="Times New Roman"/>
                <w:b/>
                <w:bCs/>
                <w:color w:val="auto"/>
                <w:sz w:val="21"/>
                <w:szCs w:val="21"/>
                <w:highlight w:val="none"/>
                <w:lang w:val="en-US" w:eastAsia="en-US"/>
              </w:rPr>
              <w:t>：</w:t>
            </w:r>
          </w:p>
          <w:p w14:paraId="29182235">
            <w:pPr>
              <w:pStyle w:val="53"/>
              <w:kinsoku w:val="0"/>
              <w:overflowPunct w:val="0"/>
              <w:spacing w:line="360" w:lineRule="auto"/>
              <w:rPr>
                <w:rFonts w:hint="eastAsia" w:ascii="Times New Roman" w:hAnsi="Times New Roman" w:eastAsia="宋体" w:cs="Times New Roman"/>
                <w:color w:val="auto"/>
                <w:sz w:val="21"/>
                <w:szCs w:val="21"/>
                <w:highlight w:val="none"/>
                <w:lang w:val="en-US" w:eastAsia="en-US"/>
              </w:rPr>
            </w:pPr>
            <w:r>
              <w:rPr>
                <w:rFonts w:hint="eastAsia" w:ascii="Times New Roman" w:hAnsi="Times New Roman" w:eastAsia="宋体" w:cs="Times New Roman"/>
                <w:color w:val="auto"/>
                <w:sz w:val="21"/>
                <w:szCs w:val="21"/>
                <w:highlight w:val="none"/>
                <w:lang w:val="en-US" w:eastAsia="en-US"/>
              </w:rPr>
              <w:t>投入本项目的其他实施人员</w:t>
            </w:r>
            <w:r>
              <w:rPr>
                <w:rFonts w:hint="eastAsia" w:ascii="Times New Roman" w:hAnsi="Times New Roman" w:eastAsia="宋体" w:cs="Times New Roman"/>
                <w:color w:val="auto"/>
                <w:sz w:val="21"/>
                <w:szCs w:val="21"/>
                <w:highlight w:val="none"/>
                <w:lang w:val="en-US" w:eastAsia="zh-CN"/>
              </w:rPr>
              <w:t>（除项目负责人外）</w:t>
            </w:r>
            <w:r>
              <w:rPr>
                <w:rFonts w:hint="eastAsia" w:ascii="Times New Roman" w:hAnsi="Times New Roman" w:eastAsia="宋体" w:cs="Times New Roman"/>
                <w:color w:val="auto"/>
                <w:sz w:val="21"/>
                <w:szCs w:val="21"/>
                <w:highlight w:val="none"/>
                <w:lang w:val="en-US" w:eastAsia="en-US"/>
              </w:rPr>
              <w:t>中具有涉密测绘成果管理人员岗位培训证书，每人得</w:t>
            </w:r>
            <w:r>
              <w:rPr>
                <w:rFonts w:hint="eastAsia" w:ascii="Times New Roman" w:hAnsi="Times New Roman" w:eastAsia="宋体" w:cs="Times New Roman"/>
                <w:color w:val="auto"/>
                <w:sz w:val="21"/>
                <w:szCs w:val="21"/>
                <w:highlight w:val="none"/>
                <w:lang w:val="en-US" w:eastAsia="zh-CN"/>
              </w:rPr>
              <w:t>0.5</w:t>
            </w:r>
            <w:r>
              <w:rPr>
                <w:rFonts w:hint="eastAsia" w:ascii="Times New Roman" w:hAnsi="Times New Roman" w:eastAsia="宋体" w:cs="Times New Roman"/>
                <w:color w:val="auto"/>
                <w:sz w:val="21"/>
                <w:szCs w:val="21"/>
                <w:highlight w:val="none"/>
                <w:lang w:val="en-US" w:eastAsia="en-US"/>
              </w:rPr>
              <w:t>分</w:t>
            </w:r>
            <w:r>
              <w:rPr>
                <w:rFonts w:hint="eastAsia"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en-US"/>
              </w:rPr>
              <w:t>最高</w:t>
            </w:r>
            <w:r>
              <w:rPr>
                <w:rFonts w:hint="eastAsia"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en-US"/>
              </w:rPr>
              <w:t>分。具有测绘或地理信息相关专业</w:t>
            </w:r>
            <w:r>
              <w:rPr>
                <w:rFonts w:hint="eastAsia" w:ascii="Times New Roman" w:hAnsi="Times New Roman" w:eastAsia="宋体" w:cs="Times New Roman"/>
                <w:color w:val="auto"/>
                <w:sz w:val="21"/>
                <w:szCs w:val="21"/>
                <w:highlight w:val="none"/>
                <w:lang w:val="en-US" w:eastAsia="zh-CN"/>
              </w:rPr>
              <w:t>中级及以上职称且为注册测绘师的</w:t>
            </w:r>
            <w:r>
              <w:rPr>
                <w:rFonts w:hint="eastAsia" w:ascii="Times New Roman" w:hAnsi="Times New Roman" w:eastAsia="宋体" w:cs="Times New Roman"/>
                <w:color w:val="auto"/>
                <w:sz w:val="21"/>
                <w:szCs w:val="21"/>
                <w:highlight w:val="none"/>
                <w:lang w:val="en-US" w:eastAsia="en-US"/>
              </w:rPr>
              <w:t>，每人得</w:t>
            </w:r>
            <w:r>
              <w:rPr>
                <w:rFonts w:hint="eastAsia" w:ascii="Times New Roman" w:hAnsi="Times New Roman" w:eastAsia="宋体" w:cs="Times New Roman"/>
                <w:color w:val="auto"/>
                <w:sz w:val="21"/>
                <w:szCs w:val="21"/>
                <w:highlight w:val="none"/>
                <w:lang w:val="en-US" w:eastAsia="zh-CN"/>
              </w:rPr>
              <w:t>0.5</w:t>
            </w:r>
            <w:r>
              <w:rPr>
                <w:rFonts w:hint="eastAsia" w:ascii="Times New Roman" w:hAnsi="Times New Roman" w:eastAsia="宋体" w:cs="Times New Roman"/>
                <w:color w:val="auto"/>
                <w:sz w:val="21"/>
                <w:szCs w:val="21"/>
                <w:highlight w:val="none"/>
                <w:lang w:val="en-US" w:eastAsia="en-US"/>
              </w:rPr>
              <w:t>分，最高</w:t>
            </w:r>
            <w:r>
              <w:rPr>
                <w:rFonts w:hint="eastAsia"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en-US"/>
              </w:rPr>
              <w:t>分。</w:t>
            </w:r>
          </w:p>
          <w:p w14:paraId="38546B67">
            <w:pPr>
              <w:pStyle w:val="53"/>
              <w:kinsoku w:val="0"/>
              <w:overflowPunct w:val="0"/>
              <w:spacing w:line="360" w:lineRule="auto"/>
              <w:rPr>
                <w:rFonts w:hint="eastAsia" w:ascii="仿宋" w:hAnsi="仿宋" w:eastAsia="仿宋" w:cs="仿宋"/>
                <w:color w:val="auto"/>
                <w:kern w:val="0"/>
                <w:sz w:val="22"/>
                <w:szCs w:val="22"/>
                <w:highlight w:val="none"/>
                <w:u w:val="none"/>
                <w:lang w:val="en-US" w:eastAsia="zh-CN" w:bidi="ar-SA"/>
              </w:rPr>
            </w:pPr>
            <w:r>
              <w:rPr>
                <w:rFonts w:hint="eastAsia" w:ascii="Times New Roman" w:hAnsi="Times New Roman" w:eastAsia="宋体" w:cs="Times New Roman"/>
                <w:b/>
                <w:bCs/>
                <w:color w:val="auto"/>
                <w:sz w:val="21"/>
                <w:szCs w:val="21"/>
                <w:highlight w:val="none"/>
                <w:lang w:val="en-US" w:eastAsia="en-US"/>
              </w:rPr>
              <w:t>注：以上同一个人员拥有多个证书不重复得分，按最高分计分。</w:t>
            </w:r>
            <w:r>
              <w:rPr>
                <w:rFonts w:hint="eastAsia"/>
                <w:b/>
                <w:bCs/>
                <w:color w:val="auto"/>
                <w:sz w:val="21"/>
                <w:szCs w:val="21"/>
                <w:highlight w:val="none"/>
              </w:rPr>
              <w:t>提供证书扫描件</w:t>
            </w:r>
            <w:r>
              <w:rPr>
                <w:rFonts w:hint="eastAsia"/>
                <w:b/>
                <w:bCs/>
                <w:color w:val="auto"/>
                <w:sz w:val="21"/>
                <w:szCs w:val="21"/>
                <w:highlight w:val="none"/>
                <w:lang w:eastAsia="zh-CN"/>
              </w:rPr>
              <w:t>（</w:t>
            </w:r>
            <w:r>
              <w:rPr>
                <w:rFonts w:hint="eastAsia"/>
                <w:b/>
                <w:bCs/>
                <w:color w:val="auto"/>
                <w:sz w:val="21"/>
                <w:szCs w:val="21"/>
                <w:highlight w:val="none"/>
                <w:lang w:val="en-US" w:eastAsia="zh-CN"/>
              </w:rPr>
              <w:t>或复印件）</w:t>
            </w:r>
            <w:r>
              <w:rPr>
                <w:rFonts w:hint="eastAsia"/>
                <w:b/>
                <w:bCs/>
                <w:color w:val="auto"/>
                <w:sz w:val="21"/>
                <w:szCs w:val="21"/>
                <w:highlight w:val="none"/>
              </w:rPr>
              <w:t>及投标人为其缴纳的</w:t>
            </w:r>
            <w:r>
              <w:rPr>
                <w:rFonts w:hint="eastAsia"/>
                <w:b/>
                <w:bCs/>
                <w:color w:val="auto"/>
                <w:sz w:val="21"/>
                <w:szCs w:val="21"/>
                <w:highlight w:val="none"/>
                <w:lang w:val="en-US" w:eastAsia="zh-CN"/>
              </w:rPr>
              <w:t>开标前</w:t>
            </w:r>
            <w:r>
              <w:rPr>
                <w:rFonts w:hint="eastAsia"/>
                <w:b/>
                <w:bCs/>
                <w:color w:val="auto"/>
                <w:sz w:val="21"/>
                <w:szCs w:val="21"/>
                <w:highlight w:val="none"/>
              </w:rPr>
              <w:t>近三个月（2025年3月、2025年4月、2025年5月）的单位社保缴纳证明等材料。</w:t>
            </w:r>
          </w:p>
        </w:tc>
        <w:tc>
          <w:tcPr>
            <w:tcW w:w="730" w:type="dxa"/>
            <w:tcBorders>
              <w:top w:val="single" w:color="auto" w:sz="4" w:space="0"/>
              <w:left w:val="single" w:color="auto" w:sz="4" w:space="0"/>
              <w:bottom w:val="single" w:color="auto" w:sz="4" w:space="0"/>
              <w:right w:val="single" w:color="auto" w:sz="2" w:space="0"/>
            </w:tcBorders>
            <w:vAlign w:val="center"/>
          </w:tcPr>
          <w:p w14:paraId="48D7E706">
            <w:pPr>
              <w:spacing w:line="360" w:lineRule="auto"/>
              <w:jc w:val="center"/>
              <w:rPr>
                <w:rFonts w:hint="eastAsia"/>
                <w:color w:val="auto"/>
                <w:highlight w:val="none"/>
              </w:rPr>
            </w:pPr>
            <w:r>
              <w:rPr>
                <w:rFonts w:hint="eastAsia"/>
                <w:color w:val="auto"/>
                <w:highlight w:val="none"/>
              </w:rPr>
              <w:t>客观评审</w:t>
            </w:r>
          </w:p>
        </w:tc>
      </w:tr>
      <w:tr w14:paraId="5AED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997" w:type="dxa"/>
            <w:vMerge w:val="continue"/>
            <w:tcBorders>
              <w:left w:val="single" w:color="auto" w:sz="4" w:space="0"/>
              <w:right w:val="single" w:color="auto" w:sz="2" w:space="0"/>
            </w:tcBorders>
            <w:vAlign w:val="center"/>
          </w:tcPr>
          <w:p w14:paraId="4A6C597C">
            <w:pPr>
              <w:spacing w:line="360" w:lineRule="auto"/>
              <w:rPr>
                <w:rFonts w:hint="eastAsia"/>
                <w:color w:val="auto"/>
                <w:highlight w:val="none"/>
              </w:rPr>
            </w:pPr>
          </w:p>
        </w:tc>
        <w:tc>
          <w:tcPr>
            <w:tcW w:w="1289" w:type="dxa"/>
            <w:vMerge w:val="continue"/>
            <w:tcBorders>
              <w:left w:val="single" w:color="auto" w:sz="4" w:space="0"/>
              <w:right w:val="single" w:color="auto" w:sz="2" w:space="0"/>
            </w:tcBorders>
            <w:vAlign w:val="center"/>
          </w:tcPr>
          <w:p w14:paraId="1017D09B">
            <w:pPr>
              <w:spacing w:line="360" w:lineRule="auto"/>
              <w:jc w:val="center"/>
              <w:rPr>
                <w:rFonts w:hint="eastAsia"/>
                <w:color w:val="auto"/>
                <w:highlight w:val="none"/>
              </w:rPr>
            </w:pPr>
          </w:p>
        </w:tc>
        <w:tc>
          <w:tcPr>
            <w:tcW w:w="6400" w:type="dxa"/>
            <w:tcBorders>
              <w:top w:val="single" w:color="auto" w:sz="4" w:space="0"/>
              <w:left w:val="single" w:color="auto" w:sz="4" w:space="0"/>
              <w:bottom w:val="single" w:color="auto" w:sz="4" w:space="0"/>
              <w:right w:val="single" w:color="auto" w:sz="2" w:space="0"/>
            </w:tcBorders>
            <w:shd w:val="clear" w:color="auto" w:fill="auto"/>
            <w:vAlign w:val="center"/>
          </w:tcPr>
          <w:p w14:paraId="5198D7AC">
            <w:pPr>
              <w:pStyle w:val="53"/>
              <w:kinsoku w:val="0"/>
              <w:overflowPunct w:val="0"/>
              <w:spacing w:line="360" w:lineRule="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8.3</w:t>
            </w:r>
            <w:r>
              <w:rPr>
                <w:rFonts w:hint="eastAsia" w:ascii="Times New Roman" w:hAnsi="Times New Roman" w:eastAsia="宋体" w:cs="Times New Roman"/>
                <w:b/>
                <w:bCs/>
                <w:color w:val="auto"/>
                <w:sz w:val="21"/>
                <w:szCs w:val="21"/>
                <w:highlight w:val="none"/>
                <w:lang w:val="en-US" w:eastAsia="en-US"/>
              </w:rPr>
              <w:t>根据投标人投入服务人员的数量、资历、经验、专业以及人员构成的合理性</w:t>
            </w:r>
            <w:r>
              <w:rPr>
                <w:rFonts w:hint="eastAsia" w:ascii="Times New Roman" w:hAnsi="Times New Roman" w:eastAsia="宋体" w:cs="Times New Roman"/>
                <w:b/>
                <w:bCs/>
                <w:color w:val="auto"/>
                <w:sz w:val="21"/>
                <w:szCs w:val="21"/>
                <w:highlight w:val="none"/>
                <w:lang w:val="en-US" w:eastAsia="zh-CN"/>
              </w:rPr>
              <w:t>进行评议（4分）：</w:t>
            </w:r>
            <w:r>
              <w:rPr>
                <w:rFonts w:hint="eastAsia" w:ascii="Times New Roman" w:hAnsi="Times New Roman" w:eastAsia="宋体" w:cs="Times New Roman"/>
                <w:color w:val="auto"/>
                <w:sz w:val="21"/>
                <w:szCs w:val="21"/>
                <w:highlight w:val="none"/>
                <w:lang w:val="en-US" w:eastAsia="zh-CN"/>
              </w:rPr>
              <w:t>拟投入人员合理，满足项目需求得4分；拟投入人员较合理，基本满足项目需求得3分；拟投入服务人员欠合理，仅能满足项目部分需求得2分；拟投入服务人员不合理，基本不能满足项目需求得1分；无相关内容的不得分。</w:t>
            </w:r>
          </w:p>
        </w:tc>
        <w:tc>
          <w:tcPr>
            <w:tcW w:w="730" w:type="dxa"/>
            <w:tcBorders>
              <w:top w:val="single" w:color="auto" w:sz="4" w:space="0"/>
              <w:left w:val="single" w:color="auto" w:sz="4" w:space="0"/>
              <w:bottom w:val="single" w:color="auto" w:sz="4" w:space="0"/>
              <w:right w:val="single" w:color="auto" w:sz="2" w:space="0"/>
            </w:tcBorders>
            <w:vAlign w:val="center"/>
          </w:tcPr>
          <w:p w14:paraId="4D90DCCD">
            <w:pPr>
              <w:spacing w:line="360" w:lineRule="auto"/>
              <w:jc w:val="center"/>
              <w:rPr>
                <w:rFonts w:hint="default" w:eastAsia="宋体"/>
                <w:color w:val="auto"/>
                <w:highlight w:val="none"/>
                <w:lang w:val="en-US" w:eastAsia="zh-CN"/>
              </w:rPr>
            </w:pPr>
            <w:r>
              <w:rPr>
                <w:rFonts w:hint="eastAsia"/>
                <w:color w:val="auto"/>
                <w:highlight w:val="none"/>
                <w:lang w:val="en-US" w:eastAsia="zh-CN"/>
              </w:rPr>
              <w:t>主观评审</w:t>
            </w:r>
          </w:p>
        </w:tc>
      </w:tr>
      <w:tr w14:paraId="297A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997" w:type="dxa"/>
            <w:vMerge w:val="continue"/>
            <w:tcBorders>
              <w:left w:val="single" w:color="auto" w:sz="4" w:space="0"/>
              <w:right w:val="single" w:color="auto" w:sz="2" w:space="0"/>
            </w:tcBorders>
            <w:vAlign w:val="center"/>
          </w:tcPr>
          <w:p w14:paraId="104131DC">
            <w:pPr>
              <w:spacing w:line="360" w:lineRule="auto"/>
              <w:rPr>
                <w:rFonts w:hint="eastAsia"/>
                <w:color w:val="auto"/>
                <w:highlight w:val="none"/>
              </w:rPr>
            </w:pPr>
          </w:p>
        </w:tc>
        <w:tc>
          <w:tcPr>
            <w:tcW w:w="1289" w:type="dxa"/>
            <w:vMerge w:val="restart"/>
            <w:tcBorders>
              <w:left w:val="single" w:color="auto" w:sz="4" w:space="0"/>
              <w:right w:val="single" w:color="auto" w:sz="2" w:space="0"/>
            </w:tcBorders>
            <w:vAlign w:val="center"/>
          </w:tcPr>
          <w:p w14:paraId="64A17C16">
            <w:pPr>
              <w:spacing w:line="360" w:lineRule="auto"/>
              <w:jc w:val="center"/>
              <w:rPr>
                <w:rFonts w:hint="eastAsia"/>
                <w:color w:val="auto"/>
                <w:highlight w:val="none"/>
                <w:lang w:val="en-US" w:eastAsia="zh-CN"/>
              </w:rPr>
            </w:pPr>
            <w:r>
              <w:rPr>
                <w:rFonts w:hint="eastAsia"/>
                <w:color w:val="auto"/>
                <w:highlight w:val="none"/>
                <w:lang w:val="en-US" w:eastAsia="zh-CN"/>
              </w:rPr>
              <w:t>9、投标人综合实力</w:t>
            </w:r>
          </w:p>
          <w:p w14:paraId="2BC65B8B">
            <w:pPr>
              <w:spacing w:line="360" w:lineRule="auto"/>
              <w:jc w:val="center"/>
              <w:rPr>
                <w:rFonts w:hint="default" w:eastAsia="宋体"/>
                <w:color w:val="auto"/>
                <w:highlight w:val="none"/>
                <w:lang w:val="en-US" w:eastAsia="zh-CN"/>
              </w:rPr>
            </w:pPr>
            <w:r>
              <w:rPr>
                <w:rFonts w:hint="eastAsia"/>
                <w:color w:val="auto"/>
                <w:highlight w:val="none"/>
                <w:lang w:val="en-US" w:eastAsia="zh-CN"/>
              </w:rPr>
              <w:t>（8分）</w:t>
            </w:r>
          </w:p>
        </w:tc>
        <w:tc>
          <w:tcPr>
            <w:tcW w:w="6400" w:type="dxa"/>
            <w:tcBorders>
              <w:top w:val="single" w:color="auto" w:sz="4" w:space="0"/>
              <w:left w:val="single" w:color="auto" w:sz="4" w:space="0"/>
              <w:bottom w:val="single" w:color="auto" w:sz="4" w:space="0"/>
              <w:right w:val="single" w:color="auto" w:sz="2" w:space="0"/>
            </w:tcBorders>
            <w:shd w:val="clear" w:color="auto" w:fill="auto"/>
            <w:vAlign w:val="center"/>
          </w:tcPr>
          <w:p w14:paraId="0FD873C4">
            <w:pPr>
              <w:pStyle w:val="53"/>
              <w:kinsoku w:val="0"/>
              <w:overflowPunct w:val="0"/>
              <w:spacing w:line="360" w:lineRule="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9.1体系认证（6分）：</w:t>
            </w:r>
            <w:r>
              <w:rPr>
                <w:rFonts w:hint="eastAsia" w:ascii="Times New Roman" w:hAnsi="Times New Roman" w:eastAsia="宋体" w:cs="Times New Roman"/>
                <w:color w:val="auto"/>
                <w:sz w:val="21"/>
                <w:szCs w:val="21"/>
                <w:highlight w:val="none"/>
                <w:lang w:val="en-US" w:eastAsia="zh-CN"/>
              </w:rPr>
              <w:t>投标人具有质量管理体系认证、环境管理体系认证、职业健康安全管理体系认证证书、信息安全管理体系认证证书的，每项得1.5分，最高得6分，没有不得分。</w:t>
            </w:r>
          </w:p>
          <w:p w14:paraId="2A333610">
            <w:pPr>
              <w:pStyle w:val="53"/>
              <w:kinsoku w:val="0"/>
              <w:overflowPunct w:val="0"/>
              <w:spacing w:line="360" w:lineRule="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注：提供证书扫描件（或复印件）及提供经国家认证认可监督管理委员会“https://www.cnca.gov.cn/”查询后显示证书状态为“有效”的相关截图并加盖公章，不提供不得分。</w:t>
            </w:r>
          </w:p>
        </w:tc>
        <w:tc>
          <w:tcPr>
            <w:tcW w:w="730" w:type="dxa"/>
            <w:tcBorders>
              <w:top w:val="single" w:color="auto" w:sz="4" w:space="0"/>
              <w:left w:val="single" w:color="auto" w:sz="4" w:space="0"/>
              <w:bottom w:val="single" w:color="auto" w:sz="4" w:space="0"/>
              <w:right w:val="single" w:color="auto" w:sz="2" w:space="0"/>
            </w:tcBorders>
            <w:vAlign w:val="center"/>
          </w:tcPr>
          <w:p w14:paraId="5E2179AE">
            <w:pPr>
              <w:spacing w:line="360" w:lineRule="auto"/>
              <w:jc w:val="center"/>
              <w:rPr>
                <w:rFonts w:hint="default"/>
                <w:color w:val="auto"/>
                <w:highlight w:val="none"/>
                <w:lang w:val="en-US" w:eastAsia="zh-CN"/>
              </w:rPr>
            </w:pPr>
            <w:r>
              <w:rPr>
                <w:rFonts w:hint="eastAsia"/>
                <w:color w:val="auto"/>
                <w:highlight w:val="none"/>
                <w:lang w:val="en-US" w:eastAsia="zh-CN"/>
              </w:rPr>
              <w:t>客观评审</w:t>
            </w:r>
          </w:p>
        </w:tc>
      </w:tr>
      <w:tr w14:paraId="135AB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997" w:type="dxa"/>
            <w:vMerge w:val="continue"/>
            <w:tcBorders>
              <w:left w:val="single" w:color="auto" w:sz="4" w:space="0"/>
              <w:right w:val="single" w:color="auto" w:sz="2" w:space="0"/>
            </w:tcBorders>
            <w:vAlign w:val="center"/>
          </w:tcPr>
          <w:p w14:paraId="5A75E3E3">
            <w:pPr>
              <w:spacing w:line="360" w:lineRule="auto"/>
              <w:rPr>
                <w:rFonts w:hint="eastAsia"/>
                <w:color w:val="auto"/>
                <w:highlight w:val="none"/>
              </w:rPr>
            </w:pPr>
          </w:p>
        </w:tc>
        <w:tc>
          <w:tcPr>
            <w:tcW w:w="1289" w:type="dxa"/>
            <w:vMerge w:val="continue"/>
            <w:tcBorders>
              <w:left w:val="single" w:color="auto" w:sz="4" w:space="0"/>
              <w:right w:val="single" w:color="auto" w:sz="2" w:space="0"/>
            </w:tcBorders>
            <w:vAlign w:val="center"/>
          </w:tcPr>
          <w:p w14:paraId="594A18DB">
            <w:pPr>
              <w:spacing w:line="360" w:lineRule="auto"/>
              <w:rPr>
                <w:rFonts w:hint="eastAsia"/>
                <w:color w:val="auto"/>
                <w:highlight w:val="none"/>
              </w:rPr>
            </w:pPr>
          </w:p>
        </w:tc>
        <w:tc>
          <w:tcPr>
            <w:tcW w:w="6400" w:type="dxa"/>
            <w:tcBorders>
              <w:top w:val="single" w:color="auto" w:sz="4" w:space="0"/>
              <w:left w:val="single" w:color="auto" w:sz="4" w:space="0"/>
              <w:bottom w:val="single" w:color="auto" w:sz="4" w:space="0"/>
              <w:right w:val="single" w:color="auto" w:sz="2" w:space="0"/>
            </w:tcBorders>
            <w:shd w:val="clear" w:color="auto" w:fill="auto"/>
            <w:vAlign w:val="center"/>
          </w:tcPr>
          <w:p w14:paraId="43B6B9B3">
            <w:pPr>
              <w:pStyle w:val="53"/>
              <w:kinsoku w:val="0"/>
              <w:overflowPunct w:val="0"/>
              <w:spacing w:line="360" w:lineRule="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9.2投标人承担过自然资源或土地管理类数据库标准研制课题并通过验收的得2分。</w:t>
            </w:r>
          </w:p>
          <w:p w14:paraId="62FF4840">
            <w:pPr>
              <w:pStyle w:val="53"/>
              <w:kinsoku w:val="0"/>
              <w:overflowPunct w:val="0"/>
              <w:spacing w:line="360" w:lineRule="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注：须提供证书扫描件或复印件并加盖公章，不提供不得分。</w:t>
            </w:r>
          </w:p>
        </w:tc>
        <w:tc>
          <w:tcPr>
            <w:tcW w:w="730" w:type="dxa"/>
            <w:tcBorders>
              <w:top w:val="single" w:color="auto" w:sz="4" w:space="0"/>
              <w:left w:val="single" w:color="auto" w:sz="4" w:space="0"/>
              <w:bottom w:val="single" w:color="auto" w:sz="4" w:space="0"/>
              <w:right w:val="single" w:color="auto" w:sz="2" w:space="0"/>
            </w:tcBorders>
            <w:vAlign w:val="center"/>
          </w:tcPr>
          <w:p w14:paraId="2B1FD1BA">
            <w:pPr>
              <w:spacing w:line="360" w:lineRule="auto"/>
              <w:jc w:val="center"/>
              <w:rPr>
                <w:rFonts w:hint="eastAsia"/>
                <w:color w:val="auto"/>
                <w:highlight w:val="none"/>
              </w:rPr>
            </w:pPr>
            <w:r>
              <w:rPr>
                <w:rFonts w:hint="eastAsia"/>
                <w:color w:val="auto"/>
                <w:highlight w:val="none"/>
                <w:lang w:val="en-US" w:eastAsia="zh-CN"/>
              </w:rPr>
              <w:t>客观评审</w:t>
            </w:r>
          </w:p>
        </w:tc>
      </w:tr>
      <w:tr w14:paraId="1701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2286" w:type="dxa"/>
            <w:gridSpan w:val="2"/>
            <w:tcBorders>
              <w:left w:val="single" w:color="auto" w:sz="4" w:space="0"/>
              <w:right w:val="single" w:color="auto" w:sz="2" w:space="0"/>
            </w:tcBorders>
            <w:vAlign w:val="center"/>
          </w:tcPr>
          <w:p w14:paraId="79CEB460">
            <w:pPr>
              <w:spacing w:line="360" w:lineRule="auto"/>
              <w:jc w:val="center"/>
              <w:rPr>
                <w:rFonts w:hint="eastAsia"/>
                <w:color w:val="auto"/>
                <w:highlight w:val="none"/>
              </w:rPr>
            </w:pPr>
            <w:r>
              <w:rPr>
                <w:rFonts w:hint="eastAsia"/>
                <w:color w:val="auto"/>
                <w:highlight w:val="none"/>
              </w:rPr>
              <w:t>价格分</w:t>
            </w:r>
          </w:p>
          <w:p w14:paraId="33136125">
            <w:pPr>
              <w:spacing w:line="360" w:lineRule="auto"/>
              <w:jc w:val="center"/>
              <w:rPr>
                <w:rFonts w:hint="eastAsia"/>
                <w:color w:val="auto"/>
                <w:highlight w:val="none"/>
              </w:rPr>
            </w:pPr>
            <w:r>
              <w:rPr>
                <w:rFonts w:hint="eastAsia"/>
                <w:color w:val="auto"/>
                <w:highlight w:val="none"/>
              </w:rPr>
              <w:t>（</w:t>
            </w:r>
            <w:r>
              <w:rPr>
                <w:rFonts w:hint="eastAsia"/>
                <w:color w:val="auto"/>
                <w:highlight w:val="none"/>
                <w:lang w:val="en-US" w:eastAsia="zh-CN"/>
              </w:rPr>
              <w:t>20</w:t>
            </w:r>
            <w:r>
              <w:rPr>
                <w:rFonts w:hint="eastAsia"/>
                <w:color w:val="auto"/>
                <w:highlight w:val="none"/>
              </w:rPr>
              <w:t>分）</w:t>
            </w:r>
          </w:p>
        </w:tc>
        <w:tc>
          <w:tcPr>
            <w:tcW w:w="7130" w:type="dxa"/>
            <w:gridSpan w:val="2"/>
            <w:tcBorders>
              <w:top w:val="single" w:color="auto" w:sz="4" w:space="0"/>
              <w:left w:val="single" w:color="auto" w:sz="4" w:space="0"/>
              <w:right w:val="single" w:color="auto" w:sz="2" w:space="0"/>
            </w:tcBorders>
            <w:vAlign w:val="center"/>
          </w:tcPr>
          <w:p w14:paraId="6EF89235">
            <w:pPr>
              <w:spacing w:line="360" w:lineRule="auto"/>
              <w:rPr>
                <w:rFonts w:hint="eastAsia"/>
                <w:b/>
                <w:bCs/>
                <w:color w:val="auto"/>
                <w:highlight w:val="none"/>
              </w:rPr>
            </w:pPr>
            <w:r>
              <w:rPr>
                <w:rFonts w:hint="eastAsia"/>
                <w:b/>
                <w:bCs/>
                <w:color w:val="auto"/>
                <w:highlight w:val="none"/>
              </w:rPr>
              <w:t>投标报价得分（</w:t>
            </w:r>
            <w:r>
              <w:rPr>
                <w:rFonts w:hint="eastAsia"/>
                <w:b/>
                <w:bCs/>
                <w:color w:val="auto"/>
                <w:highlight w:val="none"/>
                <w:lang w:val="en-US" w:eastAsia="zh-CN"/>
              </w:rPr>
              <w:t>20</w:t>
            </w:r>
            <w:r>
              <w:rPr>
                <w:rFonts w:hint="eastAsia"/>
                <w:b/>
                <w:bCs/>
                <w:color w:val="auto"/>
                <w:highlight w:val="none"/>
              </w:rPr>
              <w:t>分）</w:t>
            </w:r>
          </w:p>
          <w:p w14:paraId="7B217566">
            <w:pPr>
              <w:spacing w:line="360" w:lineRule="auto"/>
              <w:rPr>
                <w:rFonts w:hint="eastAsia"/>
                <w:color w:val="auto"/>
                <w:highlight w:val="none"/>
              </w:rPr>
            </w:pPr>
            <w:r>
              <w:rPr>
                <w:rFonts w:hint="eastAsia"/>
                <w:color w:val="auto"/>
                <w:highlight w:val="none"/>
              </w:rPr>
              <w:t>评标基准价指的是满足采购文件要求且最低的参与评审的价格。</w:t>
            </w:r>
          </w:p>
          <w:p w14:paraId="2A324183">
            <w:pPr>
              <w:spacing w:line="360" w:lineRule="auto"/>
              <w:rPr>
                <w:rFonts w:hint="eastAsia"/>
                <w:color w:val="auto"/>
                <w:highlight w:val="none"/>
              </w:rPr>
            </w:pPr>
            <w:r>
              <w:rPr>
                <w:rFonts w:hint="eastAsia"/>
                <w:color w:val="auto"/>
                <w:highlight w:val="none"/>
              </w:rPr>
              <w:t>参与评审的价格=投标报价</w:t>
            </w:r>
          </w:p>
          <w:p w14:paraId="17F8CF03">
            <w:pPr>
              <w:spacing w:line="360" w:lineRule="auto"/>
              <w:rPr>
                <w:rFonts w:hint="eastAsia"/>
                <w:color w:val="auto"/>
                <w:highlight w:val="none"/>
              </w:rPr>
            </w:pPr>
            <w:r>
              <w:rPr>
                <w:rFonts w:hint="eastAsia"/>
                <w:color w:val="auto"/>
                <w:highlight w:val="none"/>
              </w:rPr>
              <w:t>参与评审的价格为评标基准价的其价格得分得满分</w:t>
            </w:r>
            <w:r>
              <w:rPr>
                <w:rFonts w:hint="eastAsia"/>
                <w:color w:val="auto"/>
                <w:highlight w:val="none"/>
                <w:lang w:val="en-US" w:eastAsia="zh-CN"/>
              </w:rPr>
              <w:t>20</w:t>
            </w:r>
            <w:r>
              <w:rPr>
                <w:rFonts w:hint="eastAsia"/>
                <w:color w:val="auto"/>
                <w:highlight w:val="none"/>
              </w:rPr>
              <w:t>分。</w:t>
            </w:r>
          </w:p>
          <w:p w14:paraId="5176A769">
            <w:pPr>
              <w:spacing w:line="360" w:lineRule="auto"/>
              <w:rPr>
                <w:rFonts w:hint="eastAsia"/>
                <w:color w:val="auto"/>
                <w:highlight w:val="none"/>
              </w:rPr>
            </w:pPr>
            <w:r>
              <w:rPr>
                <w:rFonts w:hint="eastAsia"/>
                <w:color w:val="auto"/>
                <w:highlight w:val="none"/>
              </w:rPr>
              <w:t>其他投标人价格得分按照下列公式计算：</w:t>
            </w:r>
          </w:p>
          <w:p w14:paraId="723ACF40">
            <w:pPr>
              <w:spacing w:line="360" w:lineRule="auto"/>
              <w:rPr>
                <w:rFonts w:hint="eastAsia"/>
                <w:color w:val="auto"/>
                <w:highlight w:val="none"/>
                <w:lang w:val="zh-CN"/>
              </w:rPr>
            </w:pPr>
            <w:r>
              <w:rPr>
                <w:rFonts w:hint="eastAsia"/>
                <w:color w:val="auto"/>
                <w:highlight w:val="none"/>
              </w:rPr>
              <w:t>价格得分=（评标基准价/各投标人参与评审的价格）×</w:t>
            </w:r>
            <w:r>
              <w:rPr>
                <w:rFonts w:hint="eastAsia"/>
                <w:color w:val="auto"/>
                <w:highlight w:val="none"/>
                <w:lang w:val="en-US" w:eastAsia="zh-CN"/>
              </w:rPr>
              <w:t>20</w:t>
            </w:r>
            <w:r>
              <w:rPr>
                <w:rFonts w:hint="eastAsia"/>
                <w:color w:val="auto"/>
                <w:highlight w:val="none"/>
              </w:rPr>
              <w:t>。</w:t>
            </w:r>
          </w:p>
        </w:tc>
      </w:tr>
    </w:tbl>
    <w:p w14:paraId="63F11446">
      <w:pPr>
        <w:adjustRightInd w:val="0"/>
        <w:snapToGrid w:val="0"/>
        <w:spacing w:line="360" w:lineRule="auto"/>
        <w:jc w:val="center"/>
        <w:rPr>
          <w:rFonts w:hint="eastAsia"/>
          <w:b/>
          <w:color w:val="auto"/>
          <w:sz w:val="32"/>
          <w:szCs w:val="32"/>
          <w:highlight w:val="none"/>
        </w:rPr>
      </w:pPr>
    </w:p>
    <w:p w14:paraId="64536270">
      <w:pPr>
        <w:pStyle w:val="2"/>
        <w:rPr>
          <w:rFonts w:hint="eastAsia"/>
          <w:b/>
          <w:color w:val="auto"/>
          <w:sz w:val="32"/>
          <w:szCs w:val="32"/>
          <w:highlight w:val="none"/>
        </w:rPr>
      </w:pPr>
    </w:p>
    <w:p w14:paraId="19697BC5">
      <w:pPr>
        <w:rPr>
          <w:rFonts w:hint="eastAsia"/>
          <w:color w:val="auto"/>
          <w:highlight w:val="none"/>
        </w:rPr>
      </w:pPr>
    </w:p>
    <w:p w14:paraId="4C86EAC5">
      <w:pPr>
        <w:rPr>
          <w:rFonts w:hint="eastAsia"/>
          <w:color w:val="auto"/>
          <w:highlight w:val="none"/>
        </w:rPr>
      </w:pPr>
    </w:p>
    <w:p w14:paraId="77E509DA">
      <w:pPr>
        <w:rPr>
          <w:rFonts w:hint="eastAsia"/>
          <w:color w:val="auto"/>
          <w:highlight w:val="none"/>
        </w:rPr>
      </w:pPr>
    </w:p>
    <w:p w14:paraId="4ECB1783">
      <w:pPr>
        <w:rPr>
          <w:rFonts w:hint="eastAsia"/>
          <w:color w:val="auto"/>
          <w:highlight w:val="none"/>
        </w:rPr>
      </w:pPr>
    </w:p>
    <w:p w14:paraId="7792CE16">
      <w:pPr>
        <w:rPr>
          <w:rFonts w:hint="eastAsia"/>
          <w:color w:val="auto"/>
          <w:highlight w:val="none"/>
        </w:rPr>
      </w:pPr>
    </w:p>
    <w:p w14:paraId="6A523D79">
      <w:pPr>
        <w:rPr>
          <w:rFonts w:hint="eastAsia"/>
          <w:color w:val="auto"/>
          <w:highlight w:val="none"/>
        </w:rPr>
      </w:pPr>
    </w:p>
    <w:p w14:paraId="362CC58C">
      <w:pPr>
        <w:rPr>
          <w:rFonts w:hint="eastAsia"/>
          <w:color w:val="auto"/>
          <w:highlight w:val="none"/>
        </w:rPr>
      </w:pPr>
    </w:p>
    <w:p w14:paraId="615498C9">
      <w:pPr>
        <w:pStyle w:val="2"/>
        <w:rPr>
          <w:rFonts w:hint="eastAsia"/>
          <w:color w:val="auto"/>
          <w:highlight w:val="none"/>
        </w:rPr>
      </w:pPr>
    </w:p>
    <w:p w14:paraId="772E3764">
      <w:pPr>
        <w:rPr>
          <w:rFonts w:hint="eastAsia"/>
          <w:color w:val="auto"/>
          <w:highlight w:val="none"/>
        </w:rPr>
      </w:pPr>
    </w:p>
    <w:p w14:paraId="53D1F858">
      <w:pPr>
        <w:pStyle w:val="2"/>
        <w:rPr>
          <w:rFonts w:hint="eastAsia"/>
          <w:color w:val="auto"/>
          <w:highlight w:val="none"/>
        </w:rPr>
      </w:pPr>
    </w:p>
    <w:p w14:paraId="11FFCED1">
      <w:pPr>
        <w:rPr>
          <w:rFonts w:hint="eastAsia"/>
          <w:color w:val="auto"/>
          <w:highlight w:val="none"/>
        </w:rPr>
      </w:pPr>
    </w:p>
    <w:p w14:paraId="2619C6F9">
      <w:pPr>
        <w:pStyle w:val="2"/>
        <w:rPr>
          <w:rFonts w:hint="eastAsia"/>
          <w:color w:val="auto"/>
          <w:highlight w:val="none"/>
        </w:rPr>
      </w:pPr>
    </w:p>
    <w:p w14:paraId="7F8D5228">
      <w:pPr>
        <w:rPr>
          <w:rFonts w:hint="eastAsia"/>
          <w:color w:val="auto"/>
          <w:highlight w:val="none"/>
        </w:rPr>
      </w:pPr>
    </w:p>
    <w:p w14:paraId="5FBDC8E3">
      <w:pPr>
        <w:pStyle w:val="2"/>
        <w:rPr>
          <w:rFonts w:hint="eastAsia"/>
          <w:color w:val="auto"/>
          <w:highlight w:val="none"/>
        </w:rPr>
      </w:pPr>
    </w:p>
    <w:p w14:paraId="73071A18">
      <w:pPr>
        <w:rPr>
          <w:rFonts w:hint="eastAsia"/>
          <w:color w:val="auto"/>
          <w:highlight w:val="none"/>
        </w:rPr>
      </w:pPr>
    </w:p>
    <w:p w14:paraId="63287311">
      <w:pPr>
        <w:pStyle w:val="2"/>
        <w:rPr>
          <w:rFonts w:hint="eastAsia"/>
          <w:color w:val="auto"/>
          <w:highlight w:val="none"/>
        </w:rPr>
      </w:pPr>
    </w:p>
    <w:p w14:paraId="07E3DB60">
      <w:pPr>
        <w:rPr>
          <w:rFonts w:hint="eastAsia"/>
          <w:color w:val="auto"/>
          <w:highlight w:val="none"/>
        </w:rPr>
      </w:pPr>
    </w:p>
    <w:p w14:paraId="24FD41B0">
      <w:pPr>
        <w:pStyle w:val="2"/>
        <w:rPr>
          <w:rFonts w:hint="eastAsia"/>
          <w:color w:val="auto"/>
          <w:highlight w:val="none"/>
        </w:rPr>
      </w:pPr>
    </w:p>
    <w:p w14:paraId="4E89A72D">
      <w:pPr>
        <w:rPr>
          <w:rFonts w:hint="eastAsia"/>
          <w:color w:val="auto"/>
          <w:highlight w:val="none"/>
        </w:rPr>
      </w:pPr>
    </w:p>
    <w:p w14:paraId="06AAE365">
      <w:pPr>
        <w:pStyle w:val="4"/>
        <w:rPr>
          <w:color w:val="auto"/>
          <w:highlight w:val="none"/>
        </w:rPr>
      </w:pPr>
      <w:bookmarkStart w:id="39" w:name="_Toc65753670"/>
      <w:r>
        <w:rPr>
          <w:rFonts w:hint="eastAsia"/>
          <w:color w:val="auto"/>
          <w:highlight w:val="none"/>
        </w:rPr>
        <w:t>第五部分  合同主要条款及格式</w:t>
      </w:r>
      <w:bookmarkEnd w:id="39"/>
    </w:p>
    <w:p w14:paraId="461F9C3A">
      <w:pPr>
        <w:spacing w:line="360" w:lineRule="auto"/>
        <w:rPr>
          <w:rFonts w:ascii="宋体" w:hAnsi="宋体"/>
          <w:color w:val="auto"/>
          <w:highlight w:val="none"/>
        </w:rPr>
      </w:pPr>
    </w:p>
    <w:p w14:paraId="4253DFDC">
      <w:pPr>
        <w:spacing w:line="560" w:lineRule="exact"/>
        <w:jc w:val="center"/>
        <w:rPr>
          <w:b/>
          <w:snapToGrid w:val="0"/>
          <w:color w:val="auto"/>
          <w:kern w:val="0"/>
          <w:sz w:val="28"/>
          <w:szCs w:val="28"/>
          <w:highlight w:val="none"/>
        </w:rPr>
      </w:pPr>
      <w:r>
        <w:rPr>
          <w:rFonts w:hint="eastAsia"/>
          <w:bCs/>
          <w:snapToGrid w:val="0"/>
          <w:color w:val="auto"/>
          <w:kern w:val="0"/>
          <w:szCs w:val="21"/>
          <w:highlight w:val="none"/>
        </w:rPr>
        <w:t>（本合同为合同样稿，最终稿由甲乙双方协商后确定）</w:t>
      </w:r>
    </w:p>
    <w:p w14:paraId="61FC3067">
      <w:pPr>
        <w:spacing w:line="560" w:lineRule="exact"/>
        <w:jc w:val="center"/>
        <w:rPr>
          <w:b/>
          <w:snapToGrid w:val="0"/>
          <w:color w:val="auto"/>
          <w:kern w:val="0"/>
          <w:sz w:val="28"/>
          <w:szCs w:val="28"/>
          <w:highlight w:val="none"/>
        </w:rPr>
      </w:pPr>
    </w:p>
    <w:p w14:paraId="4CFAE1AA">
      <w:pPr>
        <w:pStyle w:val="14"/>
        <w:jc w:val="center"/>
        <w:rPr>
          <w:b/>
          <w:snapToGrid w:val="0"/>
          <w:kern w:val="0"/>
          <w:sz w:val="28"/>
          <w:szCs w:val="28"/>
          <w:u w:val="single"/>
        </w:rPr>
      </w:pPr>
      <w:r>
        <w:rPr>
          <w:rFonts w:hint="eastAsia"/>
          <w:b/>
          <w:snapToGrid w:val="0"/>
          <w:kern w:val="0"/>
          <w:sz w:val="28"/>
          <w:szCs w:val="28"/>
          <w:lang w:val="en-US" w:eastAsia="zh-CN"/>
        </w:rPr>
        <w:t xml:space="preserve">    </w:t>
      </w:r>
      <w:r>
        <w:rPr>
          <w:rFonts w:hint="eastAsia"/>
          <w:b/>
          <w:snapToGrid w:val="0"/>
          <w:kern w:val="0"/>
          <w:sz w:val="28"/>
          <w:szCs w:val="28"/>
        </w:rPr>
        <w:t>合同编号：</w:t>
      </w:r>
      <w:r>
        <w:rPr>
          <w:rFonts w:hint="eastAsia"/>
          <w:b/>
          <w:snapToGrid w:val="0"/>
          <w:kern w:val="0"/>
          <w:sz w:val="28"/>
          <w:szCs w:val="28"/>
          <w:u w:val="single"/>
        </w:rPr>
        <w:t xml:space="preserve">           </w:t>
      </w:r>
    </w:p>
    <w:p w14:paraId="177F649B">
      <w:pPr>
        <w:spacing w:line="540" w:lineRule="exact"/>
        <w:rPr>
          <w:rFonts w:ascii="华文中宋" w:hAnsi="华文中宋" w:eastAsia="华文中宋"/>
          <w:b/>
          <w:snapToGrid w:val="0"/>
          <w:kern w:val="0"/>
          <w:sz w:val="48"/>
        </w:rPr>
      </w:pPr>
    </w:p>
    <w:p w14:paraId="1C6DEA0A">
      <w:pPr>
        <w:spacing w:line="540" w:lineRule="exact"/>
        <w:rPr>
          <w:rFonts w:ascii="华文中宋" w:hAnsi="华文中宋" w:eastAsia="华文中宋"/>
          <w:b/>
          <w:snapToGrid w:val="0"/>
          <w:kern w:val="0"/>
          <w:sz w:val="48"/>
        </w:rPr>
      </w:pPr>
    </w:p>
    <w:p w14:paraId="065B53FA">
      <w:pPr>
        <w:spacing w:line="540" w:lineRule="exact"/>
        <w:rPr>
          <w:rFonts w:ascii="华文中宋" w:hAnsi="华文中宋" w:eastAsia="华文中宋"/>
          <w:b/>
          <w:snapToGrid w:val="0"/>
          <w:kern w:val="0"/>
          <w:sz w:val="48"/>
        </w:rPr>
      </w:pPr>
    </w:p>
    <w:p w14:paraId="381D6CCE">
      <w:pPr>
        <w:spacing w:line="800" w:lineRule="exact"/>
        <w:jc w:val="center"/>
        <w:rPr>
          <w:rFonts w:ascii="黑体" w:hAnsi="宋体" w:eastAsia="黑体"/>
          <w:b/>
          <w:snapToGrid w:val="0"/>
          <w:kern w:val="0"/>
          <w:sz w:val="48"/>
          <w:szCs w:val="48"/>
        </w:rPr>
      </w:pPr>
      <w:r>
        <w:rPr>
          <w:rFonts w:hint="eastAsia" w:ascii="黑体" w:hAnsi="宋体" w:eastAsia="黑体"/>
          <w:b/>
          <w:snapToGrid w:val="0"/>
          <w:kern w:val="0"/>
          <w:sz w:val="48"/>
          <w:szCs w:val="48"/>
        </w:rPr>
        <w:t>采购合同</w:t>
      </w:r>
    </w:p>
    <w:p w14:paraId="658D928A">
      <w:pPr>
        <w:spacing w:line="800" w:lineRule="exact"/>
        <w:jc w:val="center"/>
        <w:rPr>
          <w:rFonts w:ascii="宋体" w:hAnsi="宋体"/>
          <w:b/>
          <w:snapToGrid w:val="0"/>
          <w:kern w:val="0"/>
          <w:sz w:val="32"/>
          <w:szCs w:val="32"/>
        </w:rPr>
      </w:pPr>
    </w:p>
    <w:p w14:paraId="4808270C">
      <w:pPr>
        <w:spacing w:line="540" w:lineRule="exact"/>
        <w:jc w:val="center"/>
        <w:rPr>
          <w:rFonts w:ascii="华文中宋" w:hAnsi="华文中宋" w:eastAsia="华文中宋"/>
          <w:b/>
          <w:snapToGrid w:val="0"/>
          <w:kern w:val="0"/>
          <w:sz w:val="52"/>
        </w:rPr>
      </w:pPr>
    </w:p>
    <w:p w14:paraId="780DF138">
      <w:pPr>
        <w:spacing w:line="540" w:lineRule="exact"/>
        <w:jc w:val="center"/>
        <w:rPr>
          <w:rFonts w:ascii="华文中宋" w:hAnsi="华文中宋" w:eastAsia="华文中宋"/>
          <w:b/>
          <w:snapToGrid w:val="0"/>
          <w:kern w:val="0"/>
          <w:sz w:val="36"/>
        </w:rPr>
      </w:pPr>
    </w:p>
    <w:p w14:paraId="6FB9E24B">
      <w:pPr>
        <w:spacing w:line="540" w:lineRule="exact"/>
        <w:rPr>
          <w:rFonts w:ascii="宋体" w:hAnsi="宋体"/>
          <w:b/>
          <w:snapToGrid w:val="0"/>
          <w:kern w:val="0"/>
          <w:sz w:val="28"/>
          <w:szCs w:val="28"/>
        </w:rPr>
      </w:pPr>
    </w:p>
    <w:p w14:paraId="65800F70">
      <w:pPr>
        <w:spacing w:line="540" w:lineRule="exact"/>
        <w:rPr>
          <w:rFonts w:ascii="宋体" w:hAnsi="宋体"/>
          <w:b/>
          <w:snapToGrid w:val="0"/>
          <w:kern w:val="0"/>
          <w:sz w:val="28"/>
          <w:szCs w:val="28"/>
        </w:rPr>
      </w:pPr>
    </w:p>
    <w:p w14:paraId="486C0EFA">
      <w:pPr>
        <w:tabs>
          <w:tab w:val="left" w:pos="1800"/>
        </w:tabs>
        <w:spacing w:line="780" w:lineRule="exact"/>
        <w:ind w:firstLine="744" w:firstLineChars="200"/>
        <w:rPr>
          <w:spacing w:val="20"/>
          <w:sz w:val="32"/>
          <w:szCs w:val="32"/>
          <w:u w:val="single"/>
        </w:rPr>
      </w:pPr>
      <w:r>
        <w:rPr>
          <w:rFonts w:hint="eastAsia"/>
          <w:spacing w:val="26"/>
          <w:sz w:val="32"/>
          <w:szCs w:val="32"/>
        </w:rPr>
        <w:t>项目名称</w:t>
      </w:r>
      <w:r>
        <w:rPr>
          <w:rFonts w:hint="eastAsia"/>
          <w:spacing w:val="20"/>
          <w:sz w:val="32"/>
          <w:szCs w:val="32"/>
        </w:rPr>
        <w:t>：</w:t>
      </w:r>
      <w:r>
        <w:rPr>
          <w:rFonts w:hint="eastAsia"/>
          <w:spacing w:val="20"/>
          <w:sz w:val="32"/>
          <w:szCs w:val="32"/>
          <w:u w:val="single"/>
        </w:rPr>
        <w:t xml:space="preserve">                          </w:t>
      </w:r>
    </w:p>
    <w:p w14:paraId="2C1F4881">
      <w:pPr>
        <w:spacing w:line="780" w:lineRule="exact"/>
        <w:ind w:firstLine="800" w:firstLineChars="250"/>
        <w:rPr>
          <w:rFonts w:ascii="宋体" w:hAnsi="宋体"/>
          <w:snapToGrid w:val="0"/>
          <w:kern w:val="0"/>
          <w:sz w:val="32"/>
          <w:szCs w:val="32"/>
          <w:u w:val="single"/>
        </w:rPr>
      </w:pPr>
      <w:r>
        <w:rPr>
          <w:rFonts w:hint="eastAsia" w:ascii="宋体" w:hAnsi="宋体"/>
          <w:snapToGrid w:val="0"/>
          <w:kern w:val="0"/>
          <w:sz w:val="32"/>
          <w:szCs w:val="32"/>
          <w:lang w:val="en-US" w:eastAsia="zh-CN"/>
        </w:rPr>
        <w:t>甲     方</w:t>
      </w:r>
      <w:r>
        <w:rPr>
          <w:rFonts w:hint="eastAsia" w:ascii="宋体" w:hAnsi="宋体"/>
          <w:snapToGrid w:val="0"/>
          <w:kern w:val="0"/>
          <w:sz w:val="32"/>
          <w:szCs w:val="32"/>
        </w:rPr>
        <w:t>：</w:t>
      </w:r>
      <w:r>
        <w:rPr>
          <w:rFonts w:hint="eastAsia" w:ascii="宋体" w:hAnsi="宋体"/>
          <w:snapToGrid w:val="0"/>
          <w:kern w:val="0"/>
          <w:sz w:val="32"/>
          <w:szCs w:val="32"/>
          <w:u w:val="single"/>
        </w:rPr>
        <w:t xml:space="preserve">                                 </w:t>
      </w:r>
    </w:p>
    <w:p w14:paraId="0C4BBCBC">
      <w:pPr>
        <w:spacing w:line="780" w:lineRule="exact"/>
        <w:ind w:firstLine="800" w:firstLineChars="250"/>
        <w:rPr>
          <w:rFonts w:ascii="宋体" w:hAnsi="宋体"/>
          <w:snapToGrid w:val="0"/>
          <w:kern w:val="0"/>
          <w:sz w:val="32"/>
          <w:szCs w:val="32"/>
          <w:u w:val="single"/>
        </w:rPr>
      </w:pPr>
      <w:r>
        <w:rPr>
          <w:rFonts w:hint="eastAsia" w:ascii="宋体" w:hAnsi="宋体"/>
          <w:snapToGrid w:val="0"/>
          <w:kern w:val="0"/>
          <w:sz w:val="32"/>
          <w:szCs w:val="32"/>
          <w:lang w:val="en-US" w:eastAsia="zh-CN"/>
        </w:rPr>
        <w:t>乙</w:t>
      </w:r>
      <w:r>
        <w:rPr>
          <w:rFonts w:hint="eastAsia" w:ascii="宋体" w:hAnsi="宋体"/>
          <w:snapToGrid w:val="0"/>
          <w:kern w:val="0"/>
          <w:sz w:val="32"/>
          <w:szCs w:val="32"/>
        </w:rPr>
        <w:t xml:space="preserve"> </w:t>
      </w:r>
      <w:r>
        <w:rPr>
          <w:rFonts w:hint="eastAsia" w:ascii="宋体" w:hAnsi="宋体"/>
          <w:snapToGrid w:val="0"/>
          <w:kern w:val="0"/>
          <w:sz w:val="32"/>
          <w:szCs w:val="32"/>
          <w:lang w:val="en-US" w:eastAsia="zh-CN"/>
        </w:rPr>
        <w:t xml:space="preserve">   </w:t>
      </w:r>
      <w:r>
        <w:rPr>
          <w:rFonts w:hint="eastAsia" w:ascii="宋体" w:hAnsi="宋体"/>
          <w:snapToGrid w:val="0"/>
          <w:kern w:val="0"/>
          <w:sz w:val="32"/>
          <w:szCs w:val="32"/>
        </w:rPr>
        <w:t xml:space="preserve"> </w:t>
      </w:r>
      <w:r>
        <w:rPr>
          <w:rFonts w:hint="eastAsia" w:ascii="宋体" w:hAnsi="宋体"/>
          <w:snapToGrid w:val="0"/>
          <w:kern w:val="0"/>
          <w:sz w:val="32"/>
          <w:szCs w:val="32"/>
          <w:lang w:val="en-US" w:eastAsia="zh-CN"/>
        </w:rPr>
        <w:t>方</w:t>
      </w:r>
      <w:r>
        <w:rPr>
          <w:rFonts w:hint="eastAsia" w:ascii="宋体" w:hAnsi="宋体"/>
          <w:snapToGrid w:val="0"/>
          <w:kern w:val="0"/>
          <w:sz w:val="32"/>
          <w:szCs w:val="32"/>
        </w:rPr>
        <w:t>：</w:t>
      </w:r>
      <w:r>
        <w:rPr>
          <w:rFonts w:hint="eastAsia" w:ascii="宋体" w:hAnsi="宋体"/>
          <w:snapToGrid w:val="0"/>
          <w:kern w:val="0"/>
          <w:sz w:val="32"/>
          <w:szCs w:val="32"/>
          <w:u w:val="single"/>
        </w:rPr>
        <w:t xml:space="preserve">                                 </w:t>
      </w:r>
    </w:p>
    <w:p w14:paraId="69D5E085">
      <w:pPr>
        <w:adjustRightInd w:val="0"/>
        <w:snapToGrid w:val="0"/>
        <w:spacing w:line="360" w:lineRule="auto"/>
        <w:textAlignment w:val="baseline"/>
        <w:rPr>
          <w:rFonts w:ascii="宋体" w:hAnsi="宋体"/>
          <w:sz w:val="32"/>
          <w:szCs w:val="32"/>
          <w:u w:val="single"/>
        </w:rPr>
      </w:pPr>
    </w:p>
    <w:p w14:paraId="2157F6C7">
      <w:pPr>
        <w:adjustRightInd w:val="0"/>
        <w:snapToGrid w:val="0"/>
        <w:spacing w:line="360" w:lineRule="auto"/>
        <w:textAlignment w:val="baseline"/>
        <w:rPr>
          <w:rFonts w:ascii="宋体" w:hAnsi="宋体"/>
          <w:sz w:val="32"/>
          <w:szCs w:val="32"/>
          <w:u w:val="single"/>
        </w:rPr>
      </w:pPr>
    </w:p>
    <w:p w14:paraId="5C438FC1">
      <w:pPr>
        <w:adjustRightInd w:val="0"/>
        <w:snapToGrid w:val="0"/>
        <w:spacing w:line="360" w:lineRule="auto"/>
        <w:textAlignment w:val="baseline"/>
        <w:rPr>
          <w:rFonts w:ascii="宋体" w:hAnsi="宋体"/>
          <w:sz w:val="32"/>
          <w:szCs w:val="32"/>
          <w:u w:val="single"/>
        </w:rPr>
      </w:pPr>
    </w:p>
    <w:p w14:paraId="3FF7A20F">
      <w:pPr>
        <w:adjustRightInd w:val="0"/>
        <w:snapToGrid w:val="0"/>
        <w:spacing w:line="360" w:lineRule="auto"/>
        <w:textAlignment w:val="baseline"/>
        <w:rPr>
          <w:rFonts w:ascii="宋体" w:hAnsi="宋体"/>
          <w:sz w:val="32"/>
          <w:szCs w:val="32"/>
          <w:u w:val="single"/>
        </w:rPr>
      </w:pPr>
    </w:p>
    <w:p w14:paraId="186261EA">
      <w:pPr>
        <w:pStyle w:val="52"/>
      </w:pPr>
    </w:p>
    <w:p w14:paraId="28B7AC1D">
      <w:pPr>
        <w:adjustRightInd w:val="0"/>
        <w:snapToGrid w:val="0"/>
        <w:spacing w:line="360" w:lineRule="auto"/>
        <w:textAlignment w:val="baseline"/>
        <w:rPr>
          <w:rFonts w:ascii="宋体" w:hAnsi="宋体"/>
          <w:sz w:val="32"/>
          <w:szCs w:val="32"/>
          <w:u w:val="single"/>
        </w:rPr>
      </w:pPr>
    </w:p>
    <w:p w14:paraId="78BDEBF2">
      <w:pPr>
        <w:pStyle w:val="30"/>
      </w:pPr>
    </w:p>
    <w:p w14:paraId="0DAF6716">
      <w:pPr>
        <w:spacing w:line="800" w:lineRule="exact"/>
        <w:jc w:val="center"/>
        <w:rPr>
          <w:rFonts w:ascii="宋体" w:hAnsi="宋体"/>
          <w:b/>
          <w:snapToGrid w:val="0"/>
          <w:kern w:val="0"/>
          <w:sz w:val="30"/>
          <w:szCs w:val="30"/>
        </w:rPr>
      </w:pPr>
      <w:r>
        <w:rPr>
          <w:rFonts w:hint="eastAsia" w:ascii="宋体" w:hAnsi="宋体"/>
          <w:b/>
          <w:snapToGrid w:val="0"/>
          <w:kern w:val="0"/>
          <w:sz w:val="30"/>
          <w:szCs w:val="30"/>
        </w:rPr>
        <w:t>采购合同</w:t>
      </w:r>
    </w:p>
    <w:p w14:paraId="2D1D7C25">
      <w:pPr>
        <w:adjustRightInd w:val="0"/>
        <w:snapToGrid w:val="0"/>
        <w:spacing w:line="360" w:lineRule="auto"/>
        <w:ind w:firstLine="420" w:firstLineChars="200"/>
        <w:textAlignment w:val="baseline"/>
        <w:rPr>
          <w:rFonts w:hint="eastAsia" w:ascii="宋体" w:hAnsi="宋体" w:cs="宋体"/>
        </w:rPr>
      </w:pPr>
    </w:p>
    <w:p w14:paraId="506BD6A9">
      <w:pPr>
        <w:adjustRightInd w:val="0"/>
        <w:snapToGrid w:val="0"/>
        <w:spacing w:line="360" w:lineRule="auto"/>
        <w:ind w:firstLine="420" w:firstLineChars="200"/>
        <w:textAlignment w:val="baseline"/>
        <w:rPr>
          <w:rFonts w:hint="eastAsia" w:ascii="宋体" w:hAnsi="宋体" w:cs="宋体"/>
        </w:rPr>
      </w:pPr>
      <w:r>
        <w:rPr>
          <w:rFonts w:hint="eastAsia" w:ascii="宋体" w:hAnsi="宋体" w:cs="宋体"/>
        </w:rPr>
        <w:t>注：本合同文本格式、条款仅作为甲乙双方签订中标合同的参考，具体格式及条款由甲乙双方根据招标文件、乙方投标文件及其他与本次招标相关内容协商拟定。</w:t>
      </w:r>
    </w:p>
    <w:p w14:paraId="396C4A22">
      <w:pPr>
        <w:pStyle w:val="48"/>
        <w:adjustRightInd w:val="0"/>
        <w:snapToGrid w:val="0"/>
        <w:spacing w:line="360" w:lineRule="auto"/>
        <w:ind w:firstLine="420" w:firstLineChars="200"/>
        <w:textAlignment w:val="baseline"/>
        <w:rPr>
          <w:rFonts w:hint="eastAsia" w:hAnsi="宋体" w:eastAsia="宋体" w:cs="宋体"/>
        </w:rPr>
      </w:pPr>
    </w:p>
    <w:p w14:paraId="19DBB9A4">
      <w:pPr>
        <w:spacing w:line="360" w:lineRule="exact"/>
        <w:ind w:firstLine="420" w:firstLineChars="200"/>
        <w:rPr>
          <w:rFonts w:hAnsi="宋体" w:cs="宋体"/>
          <w:szCs w:val="21"/>
        </w:rPr>
      </w:pPr>
      <w:r>
        <w:rPr>
          <w:rFonts w:hint="eastAsia" w:hAnsi="宋体" w:cs="宋体"/>
          <w:szCs w:val="21"/>
        </w:rPr>
        <w:t>委托方（甲方）：</w:t>
      </w:r>
    </w:p>
    <w:p w14:paraId="5E2A0E70">
      <w:pPr>
        <w:spacing w:line="360" w:lineRule="exact"/>
        <w:ind w:firstLine="420" w:firstLineChars="200"/>
        <w:rPr>
          <w:rFonts w:hAnsi="宋体" w:cs="宋体"/>
          <w:szCs w:val="21"/>
        </w:rPr>
      </w:pPr>
      <w:r>
        <w:rPr>
          <w:rFonts w:hint="eastAsia" w:hAnsi="宋体" w:cs="宋体"/>
          <w:szCs w:val="21"/>
        </w:rPr>
        <w:t xml:space="preserve">地址： </w:t>
      </w:r>
    </w:p>
    <w:p w14:paraId="2CDD6F65">
      <w:pPr>
        <w:spacing w:line="360" w:lineRule="exact"/>
        <w:ind w:firstLine="420" w:firstLineChars="200"/>
        <w:rPr>
          <w:rFonts w:hAnsi="宋体" w:cs="宋体"/>
          <w:szCs w:val="21"/>
        </w:rPr>
      </w:pPr>
      <w:r>
        <w:rPr>
          <w:rFonts w:hint="eastAsia" w:hAnsi="宋体" w:cs="宋体"/>
          <w:szCs w:val="21"/>
        </w:rPr>
        <w:t xml:space="preserve">法定代表人/负责人：    </w:t>
      </w:r>
    </w:p>
    <w:p w14:paraId="06FEE474">
      <w:pPr>
        <w:spacing w:line="360" w:lineRule="exact"/>
        <w:ind w:firstLine="420" w:firstLineChars="200"/>
        <w:rPr>
          <w:rFonts w:hAnsi="宋体" w:cs="宋体"/>
          <w:szCs w:val="21"/>
        </w:rPr>
      </w:pPr>
      <w:r>
        <w:rPr>
          <w:rFonts w:hint="eastAsia" w:hAnsi="宋体" w:cs="宋体"/>
          <w:szCs w:val="21"/>
        </w:rPr>
        <w:t xml:space="preserve">项目联系人：        </w:t>
      </w:r>
    </w:p>
    <w:p w14:paraId="148F800D">
      <w:pPr>
        <w:spacing w:line="360" w:lineRule="exact"/>
        <w:ind w:firstLine="420" w:firstLineChars="200"/>
        <w:rPr>
          <w:rFonts w:hAnsi="宋体" w:cs="宋体"/>
          <w:szCs w:val="21"/>
        </w:rPr>
      </w:pPr>
    </w:p>
    <w:p w14:paraId="02AE62CE">
      <w:pPr>
        <w:spacing w:line="360" w:lineRule="exact"/>
        <w:ind w:firstLine="420" w:firstLineChars="200"/>
        <w:rPr>
          <w:rFonts w:hAnsi="宋体" w:cs="宋体"/>
          <w:szCs w:val="21"/>
        </w:rPr>
      </w:pPr>
      <w:r>
        <w:rPr>
          <w:rFonts w:hint="eastAsia" w:hAnsi="宋体" w:cs="宋体"/>
          <w:szCs w:val="21"/>
        </w:rPr>
        <w:t xml:space="preserve">受托方（乙方）：                  </w:t>
      </w:r>
    </w:p>
    <w:p w14:paraId="76D93BD8">
      <w:pPr>
        <w:spacing w:line="360" w:lineRule="exact"/>
        <w:ind w:firstLine="420" w:firstLineChars="200"/>
        <w:rPr>
          <w:rFonts w:hAnsi="宋体" w:cs="宋体"/>
          <w:szCs w:val="21"/>
        </w:rPr>
      </w:pPr>
      <w:r>
        <w:rPr>
          <w:rFonts w:hint="eastAsia" w:hAnsi="宋体" w:cs="宋体"/>
          <w:szCs w:val="21"/>
        </w:rPr>
        <w:t>地址：</w:t>
      </w:r>
    </w:p>
    <w:p w14:paraId="15FB0A63">
      <w:pPr>
        <w:spacing w:line="360" w:lineRule="exact"/>
        <w:ind w:firstLine="420" w:firstLineChars="200"/>
        <w:rPr>
          <w:rFonts w:hAnsi="宋体" w:cs="宋体"/>
          <w:szCs w:val="21"/>
        </w:rPr>
      </w:pPr>
      <w:r>
        <w:rPr>
          <w:rFonts w:hint="eastAsia" w:hAnsi="宋体" w:cs="宋体"/>
          <w:szCs w:val="21"/>
        </w:rPr>
        <w:t xml:space="preserve">法定代表人/负责人：       </w:t>
      </w:r>
    </w:p>
    <w:p w14:paraId="2DB635DB">
      <w:pPr>
        <w:spacing w:line="360" w:lineRule="exact"/>
        <w:ind w:firstLine="420" w:firstLineChars="200"/>
        <w:rPr>
          <w:rFonts w:hAnsi="宋体" w:cs="宋体"/>
          <w:szCs w:val="21"/>
        </w:rPr>
      </w:pPr>
      <w:r>
        <w:rPr>
          <w:rFonts w:hint="eastAsia" w:hAnsi="宋体" w:cs="宋体"/>
          <w:szCs w:val="21"/>
        </w:rPr>
        <w:t xml:space="preserve">项目联系人： </w:t>
      </w:r>
    </w:p>
    <w:p w14:paraId="0F40ACBB">
      <w:pPr>
        <w:spacing w:line="360" w:lineRule="exact"/>
        <w:ind w:firstLine="420" w:firstLineChars="200"/>
        <w:rPr>
          <w:rFonts w:hAnsi="宋体" w:cs="宋体"/>
          <w:szCs w:val="21"/>
        </w:rPr>
      </w:pPr>
      <w:r>
        <w:rPr>
          <w:rFonts w:hint="eastAsia" w:hAnsi="宋体" w:cs="宋体"/>
          <w:szCs w:val="21"/>
        </w:rPr>
        <w:t>本合同甲方委托乙方就[                      ]项目进行服务，并支付相应的服务报酬。双方经过平等协商，在真实、充分地表达各自意愿的基础上，根据《中华人民共和国民法典》的规定，达成如下合同，并由双方共同恪守。</w:t>
      </w:r>
    </w:p>
    <w:p w14:paraId="796AB1D3">
      <w:pPr>
        <w:spacing w:line="360" w:lineRule="exact"/>
        <w:ind w:firstLine="422" w:firstLineChars="200"/>
        <w:rPr>
          <w:rFonts w:hAnsi="宋体" w:cs="宋体"/>
          <w:szCs w:val="21"/>
        </w:rPr>
      </w:pPr>
      <w:r>
        <w:rPr>
          <w:rFonts w:hint="eastAsia" w:hAnsi="宋体" w:cs="宋体"/>
          <w:b/>
          <w:bCs/>
          <w:szCs w:val="21"/>
        </w:rPr>
        <w:t>第一条</w:t>
      </w:r>
      <w:r>
        <w:rPr>
          <w:rFonts w:hint="eastAsia" w:hAnsi="宋体" w:cs="宋体"/>
          <w:szCs w:val="21"/>
        </w:rPr>
        <w:t>服务内容及方式：</w:t>
      </w:r>
    </w:p>
    <w:p w14:paraId="18228620">
      <w:pPr>
        <w:spacing w:line="360" w:lineRule="exact"/>
        <w:ind w:firstLine="420" w:firstLineChars="200"/>
        <w:rPr>
          <w:rFonts w:hAnsi="宋体" w:cs="宋体"/>
          <w:szCs w:val="21"/>
        </w:rPr>
      </w:pPr>
      <w:r>
        <w:rPr>
          <w:rFonts w:hint="eastAsia" w:hAnsi="宋体" w:cs="宋体"/>
          <w:szCs w:val="21"/>
        </w:rPr>
        <w:t>1.1服务的内容：</w:t>
      </w:r>
    </w:p>
    <w:p w14:paraId="1C87CB7D">
      <w:pPr>
        <w:spacing w:line="360" w:lineRule="exact"/>
        <w:ind w:firstLine="420" w:firstLineChars="200"/>
        <w:rPr>
          <w:rFonts w:hAnsi="宋体" w:cs="宋体"/>
          <w:szCs w:val="21"/>
        </w:rPr>
      </w:pPr>
      <w:r>
        <w:rPr>
          <w:rFonts w:hint="eastAsia" w:hAnsi="宋体" w:cs="宋体"/>
          <w:szCs w:val="21"/>
        </w:rPr>
        <w:t>1.2服务的方式：</w:t>
      </w:r>
    </w:p>
    <w:p w14:paraId="47D52B65">
      <w:pPr>
        <w:spacing w:line="360" w:lineRule="exact"/>
        <w:ind w:firstLine="422" w:firstLineChars="200"/>
        <w:rPr>
          <w:rFonts w:hAnsi="宋体" w:cs="宋体"/>
          <w:szCs w:val="21"/>
        </w:rPr>
      </w:pPr>
      <w:r>
        <w:rPr>
          <w:rFonts w:hint="eastAsia" w:hAnsi="宋体" w:cs="宋体"/>
          <w:b/>
          <w:bCs/>
          <w:szCs w:val="21"/>
        </w:rPr>
        <w:t>第二条</w:t>
      </w:r>
      <w:r>
        <w:rPr>
          <w:rFonts w:hint="eastAsia" w:hAnsi="宋体" w:cs="宋体"/>
          <w:szCs w:val="21"/>
        </w:rPr>
        <w:t xml:space="preserve"> 乙方应按下列要求完成服务工作：</w:t>
      </w:r>
    </w:p>
    <w:p w14:paraId="6F54BA18">
      <w:pPr>
        <w:spacing w:line="360" w:lineRule="exact"/>
        <w:ind w:firstLine="420" w:firstLineChars="200"/>
        <w:rPr>
          <w:rFonts w:hAnsi="宋体" w:cs="宋体"/>
          <w:szCs w:val="21"/>
        </w:rPr>
      </w:pPr>
      <w:r>
        <w:rPr>
          <w:rFonts w:hint="eastAsia" w:hAnsi="宋体" w:cs="宋体"/>
          <w:szCs w:val="21"/>
        </w:rPr>
        <w:t>2.1服务地点：</w:t>
      </w:r>
    </w:p>
    <w:p w14:paraId="66311035">
      <w:pPr>
        <w:spacing w:line="360" w:lineRule="exact"/>
        <w:ind w:firstLine="420" w:firstLineChars="200"/>
        <w:rPr>
          <w:rFonts w:hAnsi="宋体" w:cs="宋体"/>
          <w:szCs w:val="21"/>
        </w:rPr>
      </w:pPr>
      <w:r>
        <w:rPr>
          <w:rFonts w:hint="eastAsia" w:hAnsi="宋体" w:cs="宋体"/>
          <w:szCs w:val="21"/>
        </w:rPr>
        <w:t>2.2服务期限：</w:t>
      </w:r>
    </w:p>
    <w:p w14:paraId="3D6EABE2">
      <w:pPr>
        <w:spacing w:line="360" w:lineRule="exact"/>
        <w:ind w:firstLine="422" w:firstLineChars="200"/>
        <w:rPr>
          <w:rFonts w:hAnsi="宋体" w:cs="宋体"/>
          <w:szCs w:val="21"/>
        </w:rPr>
      </w:pPr>
      <w:r>
        <w:rPr>
          <w:rFonts w:hint="eastAsia" w:hAnsi="宋体" w:cs="宋体"/>
          <w:b/>
          <w:bCs/>
          <w:szCs w:val="21"/>
        </w:rPr>
        <w:t>第三条</w:t>
      </w:r>
      <w:r>
        <w:rPr>
          <w:rFonts w:hint="eastAsia" w:hAnsi="宋体" w:cs="宋体"/>
          <w:szCs w:val="21"/>
        </w:rPr>
        <w:t>为保证乙方有效进行服务工作，甲方应当向乙方提供下列工作条件和协作事项：</w:t>
      </w:r>
    </w:p>
    <w:p w14:paraId="3D0C1236">
      <w:pPr>
        <w:spacing w:line="360" w:lineRule="exact"/>
        <w:ind w:firstLine="420" w:firstLineChars="200"/>
        <w:rPr>
          <w:rFonts w:hAnsi="宋体" w:cs="宋体"/>
          <w:szCs w:val="21"/>
        </w:rPr>
      </w:pPr>
      <w:r>
        <w:rPr>
          <w:rFonts w:hint="eastAsia" w:hAnsi="宋体" w:cs="宋体"/>
          <w:szCs w:val="21"/>
        </w:rPr>
        <w:t>3.1提供资料：[/]。</w:t>
      </w:r>
    </w:p>
    <w:p w14:paraId="6580C3B7">
      <w:pPr>
        <w:spacing w:line="360" w:lineRule="exact"/>
        <w:ind w:firstLine="420" w:firstLineChars="200"/>
        <w:rPr>
          <w:rFonts w:hAnsi="宋体" w:cs="宋体"/>
          <w:szCs w:val="21"/>
        </w:rPr>
      </w:pPr>
      <w:r>
        <w:rPr>
          <w:rFonts w:hint="eastAsia" w:hAnsi="宋体" w:cs="宋体"/>
          <w:szCs w:val="21"/>
        </w:rPr>
        <w:t>3.2提供工作条件：[/]。</w:t>
      </w:r>
    </w:p>
    <w:p w14:paraId="2FD1A4A8">
      <w:pPr>
        <w:spacing w:line="360" w:lineRule="exact"/>
        <w:ind w:firstLine="420" w:firstLineChars="200"/>
        <w:rPr>
          <w:rFonts w:hAnsi="宋体" w:cs="宋体"/>
          <w:szCs w:val="21"/>
        </w:rPr>
      </w:pPr>
      <w:r>
        <w:rPr>
          <w:rFonts w:hint="eastAsia" w:hAnsi="宋体" w:cs="宋体"/>
          <w:szCs w:val="21"/>
        </w:rPr>
        <w:t>3.3其他配合协作事项：[/]。</w:t>
      </w:r>
    </w:p>
    <w:p w14:paraId="3F34BA50">
      <w:pPr>
        <w:tabs>
          <w:tab w:val="left" w:pos="8085"/>
        </w:tabs>
        <w:spacing w:line="360" w:lineRule="exact"/>
        <w:ind w:firstLine="420" w:firstLineChars="200"/>
        <w:rPr>
          <w:rFonts w:hAnsi="宋体" w:cs="宋体"/>
          <w:szCs w:val="21"/>
        </w:rPr>
      </w:pPr>
      <w:r>
        <w:rPr>
          <w:rFonts w:hint="eastAsia" w:hAnsi="宋体" w:cs="宋体"/>
          <w:szCs w:val="21"/>
        </w:rPr>
        <w:t>3.4甲方提供上述资料、工作条件和配合协作事项的时间及方式：[自甲乙双方签署之日起，请甲方提供所需的资料，并合理配合服务工作]。</w:t>
      </w:r>
    </w:p>
    <w:p w14:paraId="5586D937">
      <w:pPr>
        <w:spacing w:line="360" w:lineRule="exact"/>
        <w:ind w:firstLine="422" w:firstLineChars="200"/>
        <w:rPr>
          <w:rFonts w:hAnsi="宋体" w:cs="宋体"/>
          <w:szCs w:val="21"/>
        </w:rPr>
      </w:pPr>
      <w:r>
        <w:rPr>
          <w:rFonts w:hint="eastAsia" w:hAnsi="宋体" w:cs="宋体"/>
          <w:b/>
          <w:bCs/>
          <w:szCs w:val="21"/>
        </w:rPr>
        <w:t>第四条</w:t>
      </w:r>
      <w:r>
        <w:rPr>
          <w:rFonts w:hint="eastAsia" w:hAnsi="宋体" w:cs="宋体"/>
          <w:szCs w:val="21"/>
        </w:rPr>
        <w:t>甲方向乙方支付服务报酬及支付方式为：</w:t>
      </w:r>
    </w:p>
    <w:p w14:paraId="45888388">
      <w:pPr>
        <w:spacing w:line="360" w:lineRule="auto"/>
        <w:ind w:firstLine="420" w:firstLineChars="200"/>
        <w:rPr>
          <w:rFonts w:hint="eastAsia" w:hAnsi="宋体" w:cs="宋体"/>
          <w:szCs w:val="21"/>
        </w:rPr>
      </w:pPr>
      <w:r>
        <w:rPr>
          <w:rFonts w:hint="eastAsia" w:hAnsi="宋体" w:cs="宋体"/>
          <w:szCs w:val="21"/>
        </w:rPr>
        <w:t>甲方凭乙方开具的相应金额的、符合国家规定的发票向乙方支付本合同费用总额。合同总费用为：人民币大写[      元]，小写[    ]元。</w:t>
      </w:r>
    </w:p>
    <w:p w14:paraId="202CF0D9">
      <w:pPr>
        <w:spacing w:line="360" w:lineRule="auto"/>
        <w:ind w:firstLine="420" w:firstLineChars="200"/>
        <w:rPr>
          <w:rFonts w:hint="eastAsia" w:hAnsi="宋体" w:cs="宋体"/>
          <w:szCs w:val="21"/>
          <w:highlight w:val="none"/>
        </w:rPr>
      </w:pPr>
      <w:r>
        <w:rPr>
          <w:rFonts w:hint="eastAsia" w:hAnsi="宋体" w:cs="宋体"/>
          <w:szCs w:val="21"/>
          <w:highlight w:val="none"/>
        </w:rPr>
        <w:t>付款方式：</w:t>
      </w:r>
    </w:p>
    <w:p w14:paraId="61DF8CB3">
      <w:pPr>
        <w:tabs>
          <w:tab w:val="left" w:pos="0"/>
        </w:tabs>
        <w:spacing w:line="360" w:lineRule="exact"/>
        <w:ind w:firstLine="420" w:firstLineChars="200"/>
        <w:textAlignment w:val="bottom"/>
        <w:rPr>
          <w:rFonts w:hint="eastAsia" w:ascii="宋体" w:hAnsi="宋体"/>
          <w:color w:val="auto"/>
          <w:szCs w:val="21"/>
          <w:highlight w:val="none"/>
          <w:lang w:val="zh-CN"/>
        </w:rPr>
      </w:pPr>
      <w:r>
        <w:rPr>
          <w:rFonts w:hint="eastAsia" w:ascii="宋体" w:hAnsi="宋体"/>
          <w:color w:val="auto"/>
          <w:szCs w:val="21"/>
          <w:highlight w:val="none"/>
          <w:lang w:val="zh-CN"/>
        </w:rPr>
        <w:t>（1）合同生效并具备实施条件后7个工作日内支付合同总价的</w:t>
      </w:r>
      <w:r>
        <w:rPr>
          <w:rFonts w:hint="eastAsia" w:ascii="宋体" w:hAnsi="宋体"/>
          <w:color w:val="auto"/>
          <w:szCs w:val="21"/>
          <w:highlight w:val="none"/>
          <w:lang w:val="zh-CN" w:eastAsia="zh-CN"/>
        </w:rPr>
        <w:t>40</w:t>
      </w:r>
      <w:r>
        <w:rPr>
          <w:rFonts w:hint="eastAsia" w:ascii="宋体" w:hAnsi="宋体"/>
          <w:color w:val="auto"/>
          <w:szCs w:val="21"/>
          <w:highlight w:val="none"/>
          <w:lang w:val="zh-CN"/>
        </w:rPr>
        <w:t>%；</w:t>
      </w:r>
    </w:p>
    <w:p w14:paraId="7E1FABAD">
      <w:pPr>
        <w:tabs>
          <w:tab w:val="left" w:pos="0"/>
        </w:tabs>
        <w:spacing w:line="360" w:lineRule="exact"/>
        <w:ind w:firstLine="420" w:firstLineChars="200"/>
        <w:textAlignment w:val="bottom"/>
        <w:rPr>
          <w:rFonts w:hint="eastAsia" w:ascii="宋体" w:hAnsi="宋体"/>
          <w:color w:val="auto"/>
          <w:szCs w:val="21"/>
          <w:highlight w:val="none"/>
          <w:lang w:val="zh-CN"/>
        </w:rPr>
      </w:pPr>
      <w:r>
        <w:rPr>
          <w:rFonts w:hint="eastAsia" w:ascii="宋体" w:hAnsi="宋体"/>
          <w:color w:val="auto"/>
          <w:szCs w:val="21"/>
          <w:highlight w:val="none"/>
          <w:lang w:val="zh-CN"/>
        </w:rPr>
        <w:t>（</w:t>
      </w:r>
      <w:r>
        <w:rPr>
          <w:rFonts w:hint="eastAsia" w:ascii="宋体" w:hAnsi="宋体"/>
          <w:color w:val="auto"/>
          <w:szCs w:val="21"/>
          <w:highlight w:val="none"/>
          <w:lang w:val="zh-CN" w:eastAsia="zh-CN"/>
        </w:rPr>
        <w:t>2）</w:t>
      </w:r>
      <w:r>
        <w:rPr>
          <w:rFonts w:hint="eastAsia" w:ascii="宋体" w:hAnsi="宋体"/>
          <w:color w:val="auto"/>
          <w:szCs w:val="21"/>
          <w:highlight w:val="none"/>
          <w:lang w:val="zh-CN"/>
        </w:rPr>
        <w:t>中标人完成合同约定所有工作内容，地籍成果汇交后支付合同价款的50%;</w:t>
      </w:r>
    </w:p>
    <w:p w14:paraId="4C301019">
      <w:pPr>
        <w:tabs>
          <w:tab w:val="left" w:pos="0"/>
        </w:tabs>
        <w:spacing w:line="360" w:lineRule="exact"/>
        <w:ind w:firstLine="420" w:firstLineChars="200"/>
        <w:textAlignment w:val="bottom"/>
        <w:rPr>
          <w:rFonts w:hint="eastAsia" w:ascii="宋体" w:hAnsi="宋体"/>
          <w:color w:val="auto"/>
          <w:szCs w:val="21"/>
          <w:highlight w:val="none"/>
          <w:lang w:val="zh-CN"/>
        </w:rPr>
      </w:pPr>
      <w:r>
        <w:rPr>
          <w:rFonts w:hint="eastAsia" w:ascii="宋体" w:hAnsi="宋体"/>
          <w:color w:val="auto"/>
          <w:szCs w:val="21"/>
          <w:highlight w:val="none"/>
          <w:lang w:val="zh-CN"/>
        </w:rPr>
        <w:t>（</w:t>
      </w:r>
      <w:r>
        <w:rPr>
          <w:rFonts w:hint="eastAsia" w:ascii="宋体" w:hAnsi="宋体"/>
          <w:color w:val="auto"/>
          <w:szCs w:val="21"/>
          <w:highlight w:val="none"/>
          <w:lang w:val="zh-CN" w:eastAsia="zh-CN"/>
        </w:rPr>
        <w:t>3）</w:t>
      </w:r>
      <w:r>
        <w:rPr>
          <w:rFonts w:hint="eastAsia" w:ascii="宋体" w:hAnsi="宋体"/>
          <w:color w:val="auto"/>
          <w:szCs w:val="21"/>
          <w:highlight w:val="none"/>
          <w:lang w:val="zh-CN"/>
        </w:rPr>
        <w:t>项目整体验收通过后，招标人支付合同价款的10%。</w:t>
      </w:r>
    </w:p>
    <w:p w14:paraId="68993552">
      <w:pPr>
        <w:tabs>
          <w:tab w:val="left" w:pos="0"/>
        </w:tabs>
        <w:spacing w:line="360" w:lineRule="exact"/>
        <w:ind w:firstLine="420" w:firstLineChars="200"/>
        <w:textAlignment w:val="bottom"/>
        <w:rPr>
          <w:rFonts w:hint="eastAsia" w:ascii="宋体" w:hAnsi="宋体"/>
          <w:color w:val="auto"/>
          <w:szCs w:val="21"/>
          <w:highlight w:val="none"/>
          <w:lang w:val="zh-CN"/>
        </w:rPr>
      </w:pPr>
      <w:r>
        <w:rPr>
          <w:rFonts w:hint="eastAsia" w:ascii="宋体" w:hAnsi="宋体"/>
          <w:color w:val="auto"/>
          <w:szCs w:val="21"/>
          <w:highlight w:val="none"/>
          <w:lang w:val="zh-CN"/>
        </w:rPr>
        <w:t>（4）最终付款条款以合同签订为准。</w:t>
      </w:r>
    </w:p>
    <w:p w14:paraId="4CF23238">
      <w:pPr>
        <w:tabs>
          <w:tab w:val="left" w:pos="0"/>
        </w:tabs>
        <w:spacing w:line="360" w:lineRule="exact"/>
        <w:ind w:firstLine="420" w:firstLineChars="200"/>
        <w:textAlignment w:val="bottom"/>
        <w:rPr>
          <w:rFonts w:hAnsi="宋体" w:cs="宋体"/>
          <w:color w:val="auto"/>
          <w:szCs w:val="21"/>
          <w:highlight w:val="none"/>
        </w:rPr>
      </w:pPr>
      <w:r>
        <w:rPr>
          <w:rFonts w:hint="eastAsia" w:hAnsi="宋体" w:cs="宋体"/>
          <w:color w:val="auto"/>
          <w:szCs w:val="21"/>
          <w:highlight w:val="none"/>
        </w:rPr>
        <w:t>上述合同总价已包括甲方就乙方履行本合同约定内容所需支付的全部必要费用及税费。</w:t>
      </w:r>
    </w:p>
    <w:p w14:paraId="4D5494C6">
      <w:pPr>
        <w:tabs>
          <w:tab w:val="left" w:pos="0"/>
        </w:tabs>
        <w:spacing w:line="360" w:lineRule="exact"/>
        <w:ind w:firstLine="420" w:firstLineChars="200"/>
        <w:textAlignment w:val="bottom"/>
        <w:rPr>
          <w:rFonts w:hAnsi="宋体" w:cs="宋体"/>
          <w:color w:val="000000"/>
          <w:szCs w:val="21"/>
          <w:highlight w:val="none"/>
        </w:rPr>
      </w:pPr>
      <w:r>
        <w:rPr>
          <w:rFonts w:hint="eastAsia" w:hAnsi="宋体" w:eastAsia="宋体" w:cs="宋体"/>
          <w:color w:val="auto"/>
          <w:szCs w:val="21"/>
          <w:highlight w:val="none"/>
        </w:rPr>
        <w:t>除另有约定外，甲方无需就本合同</w:t>
      </w:r>
      <w:r>
        <w:rPr>
          <w:rFonts w:hint="eastAsia" w:hAnsi="宋体" w:cs="宋体"/>
          <w:color w:val="000000"/>
          <w:szCs w:val="21"/>
          <w:highlight w:val="none"/>
        </w:rPr>
        <w:t>约定的委托事项向乙方支付上述费用之外的任何其他费用及税费。</w:t>
      </w:r>
    </w:p>
    <w:p w14:paraId="63E1AB52">
      <w:pPr>
        <w:spacing w:line="360" w:lineRule="exact"/>
        <w:ind w:firstLine="420" w:firstLineChars="200"/>
        <w:rPr>
          <w:rFonts w:hAnsi="宋体" w:cs="宋体"/>
          <w:szCs w:val="21"/>
          <w:highlight w:val="none"/>
        </w:rPr>
      </w:pPr>
      <w:r>
        <w:rPr>
          <w:rFonts w:hint="eastAsia" w:hAnsi="宋体" w:cs="宋体"/>
          <w:szCs w:val="21"/>
          <w:highlight w:val="none"/>
        </w:rPr>
        <w:t>本合同费用总额的所有支付由甲方以（银行转账等）方式付至乙方。乙方银行账户信息和纳税人信息：</w:t>
      </w:r>
    </w:p>
    <w:p w14:paraId="0D579A80">
      <w:pPr>
        <w:spacing w:line="360" w:lineRule="exact"/>
        <w:ind w:firstLine="420" w:firstLineChars="200"/>
        <w:rPr>
          <w:rFonts w:hAnsi="宋体" w:cs="宋体"/>
          <w:szCs w:val="21"/>
          <w:highlight w:val="none"/>
        </w:rPr>
      </w:pPr>
      <w:r>
        <w:rPr>
          <w:rFonts w:hint="eastAsia" w:hAnsi="宋体" w:cs="宋体"/>
          <w:szCs w:val="21"/>
          <w:highlight w:val="none"/>
        </w:rPr>
        <w:t>乙方信息如下：</w:t>
      </w:r>
    </w:p>
    <w:p w14:paraId="492A367F">
      <w:pPr>
        <w:spacing w:line="360" w:lineRule="exact"/>
        <w:ind w:firstLine="420" w:firstLineChars="200"/>
        <w:rPr>
          <w:rFonts w:hAnsi="宋体" w:cs="宋体"/>
          <w:szCs w:val="21"/>
          <w:highlight w:val="none"/>
        </w:rPr>
      </w:pPr>
      <w:r>
        <w:rPr>
          <w:rFonts w:hint="eastAsia" w:hAnsi="宋体" w:cs="宋体"/>
          <w:szCs w:val="21"/>
          <w:highlight w:val="none"/>
        </w:rPr>
        <w:t>开户行：</w:t>
      </w:r>
    </w:p>
    <w:p w14:paraId="1AD13FD4">
      <w:pPr>
        <w:spacing w:line="360" w:lineRule="exact"/>
        <w:ind w:firstLine="420" w:firstLineChars="200"/>
        <w:rPr>
          <w:rFonts w:hAnsi="宋体" w:cs="宋体"/>
          <w:szCs w:val="21"/>
          <w:highlight w:val="none"/>
        </w:rPr>
      </w:pPr>
      <w:r>
        <w:rPr>
          <w:rFonts w:hint="eastAsia" w:hAnsi="宋体" w:cs="宋体"/>
          <w:szCs w:val="21"/>
          <w:highlight w:val="none"/>
        </w:rPr>
        <w:t>银行地址：</w:t>
      </w:r>
    </w:p>
    <w:p w14:paraId="4B9D6DA8">
      <w:pPr>
        <w:spacing w:line="360" w:lineRule="exact"/>
        <w:ind w:firstLine="420" w:firstLineChars="200"/>
        <w:rPr>
          <w:rFonts w:hAnsi="宋体" w:cs="宋体"/>
          <w:szCs w:val="21"/>
          <w:highlight w:val="none"/>
        </w:rPr>
      </w:pPr>
      <w:r>
        <w:rPr>
          <w:rFonts w:hint="eastAsia" w:hAnsi="宋体" w:cs="宋体"/>
          <w:szCs w:val="21"/>
          <w:highlight w:val="none"/>
        </w:rPr>
        <w:t>户名：</w:t>
      </w:r>
    </w:p>
    <w:p w14:paraId="761C463B">
      <w:pPr>
        <w:spacing w:line="360" w:lineRule="exact"/>
        <w:ind w:firstLine="420" w:firstLineChars="200"/>
        <w:rPr>
          <w:rFonts w:hAnsi="宋体" w:cs="宋体"/>
          <w:szCs w:val="21"/>
          <w:highlight w:val="none"/>
        </w:rPr>
      </w:pPr>
      <w:r>
        <w:rPr>
          <w:rFonts w:hint="eastAsia" w:hAnsi="宋体" w:cs="宋体"/>
          <w:szCs w:val="21"/>
          <w:highlight w:val="none"/>
        </w:rPr>
        <w:t>账号：</w:t>
      </w:r>
    </w:p>
    <w:p w14:paraId="6B28F66E">
      <w:pPr>
        <w:spacing w:line="360" w:lineRule="exact"/>
        <w:ind w:firstLine="420" w:firstLineChars="200"/>
        <w:rPr>
          <w:rFonts w:hAnsi="宋体" w:cs="宋体"/>
          <w:szCs w:val="21"/>
        </w:rPr>
      </w:pPr>
      <w:r>
        <w:rPr>
          <w:rFonts w:hint="eastAsia" w:hAnsi="宋体" w:cs="宋体"/>
          <w:szCs w:val="21"/>
        </w:rPr>
        <w:t>纳税人识别号：</w:t>
      </w:r>
    </w:p>
    <w:p w14:paraId="5FF3D277">
      <w:pPr>
        <w:spacing w:line="360" w:lineRule="exact"/>
        <w:ind w:firstLine="420" w:firstLineChars="200"/>
        <w:rPr>
          <w:rFonts w:hAnsi="宋体" w:cs="宋体"/>
          <w:szCs w:val="21"/>
        </w:rPr>
      </w:pPr>
      <w:r>
        <w:rPr>
          <w:rFonts w:hint="eastAsia" w:hAnsi="宋体" w:cs="宋体"/>
          <w:szCs w:val="21"/>
        </w:rPr>
        <w:t>地址：</w:t>
      </w:r>
    </w:p>
    <w:p w14:paraId="5DD25EA8">
      <w:pPr>
        <w:spacing w:line="360" w:lineRule="exact"/>
        <w:ind w:firstLine="420" w:firstLineChars="200"/>
        <w:rPr>
          <w:rFonts w:hAnsi="宋体" w:cs="宋体"/>
          <w:szCs w:val="21"/>
        </w:rPr>
      </w:pPr>
      <w:r>
        <w:rPr>
          <w:rFonts w:hint="eastAsia" w:hAnsi="宋体" w:cs="宋体"/>
          <w:szCs w:val="21"/>
        </w:rPr>
        <w:t>电话：</w:t>
      </w:r>
    </w:p>
    <w:p w14:paraId="0C3C20BC">
      <w:pPr>
        <w:tabs>
          <w:tab w:val="left" w:pos="7980"/>
        </w:tabs>
        <w:spacing w:line="360" w:lineRule="exact"/>
        <w:ind w:firstLine="420" w:firstLineChars="200"/>
        <w:rPr>
          <w:rFonts w:hAnsi="宋体" w:cs="宋体"/>
          <w:szCs w:val="21"/>
        </w:rPr>
      </w:pPr>
      <w:r>
        <w:rPr>
          <w:rFonts w:hint="eastAsia" w:hAnsi="宋体" w:cs="宋体"/>
          <w:szCs w:val="21"/>
        </w:rPr>
        <w:t>若根据本合同约定乙方应当支付违约金和/或承担赔偿责任，则甲方有权从上述任何一笔付款中直接扣除相应金额。</w:t>
      </w:r>
    </w:p>
    <w:p w14:paraId="21E6DDD0">
      <w:pPr>
        <w:tabs>
          <w:tab w:val="left" w:pos="7980"/>
        </w:tabs>
        <w:spacing w:line="360" w:lineRule="exact"/>
        <w:ind w:firstLine="422" w:firstLineChars="200"/>
        <w:rPr>
          <w:rFonts w:hAnsi="宋体" w:cs="宋体"/>
          <w:b/>
          <w:bCs/>
          <w:szCs w:val="21"/>
        </w:rPr>
      </w:pPr>
      <w:r>
        <w:rPr>
          <w:rFonts w:hint="eastAsia" w:hAnsi="宋体" w:cs="宋体"/>
          <w:b/>
          <w:bCs/>
          <w:szCs w:val="21"/>
        </w:rPr>
        <w:t>第五条 保密</w:t>
      </w:r>
    </w:p>
    <w:p w14:paraId="62A0AD1B">
      <w:pPr>
        <w:spacing w:line="360" w:lineRule="exact"/>
        <w:ind w:firstLine="420" w:firstLineChars="200"/>
        <w:rPr>
          <w:rFonts w:hAnsi="宋体" w:cs="宋体"/>
          <w:szCs w:val="21"/>
        </w:rPr>
      </w:pPr>
      <w:r>
        <w:rPr>
          <w:rFonts w:hint="eastAsia" w:hAnsi="宋体" w:cs="宋体"/>
          <w:szCs w:val="21"/>
        </w:rPr>
        <w:t>5.1乙方对甲方提供的所有资料以及在本合同签订、履行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仅可为本合同目的向其内部有知悉保密资料必要的雇员披露保密资料，但同时须指示其雇员遵守本条规定的保密及不披露义务。</w:t>
      </w:r>
    </w:p>
    <w:p w14:paraId="78BAC2A0">
      <w:pPr>
        <w:spacing w:line="360" w:lineRule="exact"/>
        <w:ind w:firstLine="420" w:firstLineChars="200"/>
        <w:rPr>
          <w:rFonts w:hAnsi="宋体" w:cs="宋体"/>
          <w:szCs w:val="21"/>
        </w:rPr>
      </w:pPr>
      <w:r>
        <w:rPr>
          <w:rFonts w:hint="eastAsia" w:hAnsi="宋体" w:cs="宋体"/>
          <w:szCs w:val="21"/>
        </w:rPr>
        <w:t>5.2乙方仅得为履行本合同之目的对保密资料进行复制。乙方不得以任何方式（如软硬盘、图纸、彩样、照片、菲林、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14:paraId="060BF923">
      <w:pPr>
        <w:spacing w:line="360" w:lineRule="exact"/>
        <w:ind w:firstLine="420" w:firstLineChars="200"/>
        <w:rPr>
          <w:rFonts w:hAnsi="宋体" w:cs="宋体"/>
          <w:szCs w:val="21"/>
        </w:rPr>
      </w:pPr>
      <w:r>
        <w:rPr>
          <w:rFonts w:hint="eastAsia" w:hAnsi="宋体" w:cs="宋体"/>
          <w:szCs w:val="21"/>
        </w:rPr>
        <w:t>5.3如乙方违反本合同关于保密的约定，乙方应赔偿因此而给甲方造成的一切损失。</w:t>
      </w:r>
    </w:p>
    <w:p w14:paraId="3CE86D48">
      <w:pPr>
        <w:spacing w:line="360" w:lineRule="exact"/>
        <w:ind w:firstLine="420" w:firstLineChars="200"/>
        <w:rPr>
          <w:rFonts w:hAnsi="宋体" w:cs="宋体"/>
          <w:szCs w:val="21"/>
        </w:rPr>
      </w:pPr>
      <w:r>
        <w:rPr>
          <w:rFonts w:hint="eastAsia" w:hAnsi="宋体" w:cs="宋体"/>
          <w:szCs w:val="21"/>
        </w:rPr>
        <w:t>5.4除另有约定外，本保密条款自保密资料提供或披露之日起至本合同终止或解除后[二]年内持续有效。</w:t>
      </w:r>
    </w:p>
    <w:p w14:paraId="50683106">
      <w:pPr>
        <w:spacing w:line="360" w:lineRule="exact"/>
        <w:ind w:firstLine="420" w:firstLineChars="200"/>
        <w:rPr>
          <w:rFonts w:hAnsi="宋体" w:cs="宋体"/>
          <w:szCs w:val="21"/>
        </w:rPr>
      </w:pPr>
      <w:r>
        <w:rPr>
          <w:rFonts w:hint="eastAsia" w:hAnsi="宋体" w:cs="宋体"/>
          <w:szCs w:val="21"/>
        </w:rPr>
        <w:t>5.5对于乙方在本合同签订及履行过程中依法获得的个人信息和重要数据，乙方应当依法在境内存储，且不得向境外提供。</w:t>
      </w:r>
    </w:p>
    <w:p w14:paraId="7B5C6137">
      <w:pPr>
        <w:spacing w:line="360" w:lineRule="exact"/>
        <w:ind w:firstLine="420" w:firstLineChars="200"/>
        <w:rPr>
          <w:rFonts w:hAnsi="宋体" w:cs="宋体"/>
          <w:szCs w:val="21"/>
        </w:rPr>
      </w:pPr>
      <w:r>
        <w:rPr>
          <w:rFonts w:hint="eastAsia" w:hAnsi="宋体" w:cs="宋体"/>
          <w:szCs w:val="21"/>
        </w:rPr>
        <w:t>第六条 本合同的变更必须由双方协商一致，并以书面形式确定。但有下列情形之一的，一方可以向另一方提出变更合同权利与义务的书面请求，另一方应当在收到书面请求后[15]个工作日内予以答复；逾期未予答复的，视为同意：</w:t>
      </w:r>
    </w:p>
    <w:p w14:paraId="1C74B2DC">
      <w:pPr>
        <w:spacing w:line="360" w:lineRule="exact"/>
        <w:ind w:firstLine="420" w:firstLineChars="200"/>
        <w:rPr>
          <w:rFonts w:hAnsi="宋体" w:cs="宋体"/>
          <w:szCs w:val="21"/>
        </w:rPr>
      </w:pPr>
      <w:r>
        <w:rPr>
          <w:rFonts w:hint="eastAsia" w:hAnsi="宋体" w:cs="宋体"/>
          <w:szCs w:val="21"/>
        </w:rPr>
        <w:t>[/] 。</w:t>
      </w:r>
    </w:p>
    <w:p w14:paraId="1F362549">
      <w:pPr>
        <w:spacing w:line="360" w:lineRule="exact"/>
        <w:ind w:firstLine="420" w:firstLineChars="200"/>
        <w:rPr>
          <w:rFonts w:hAnsi="宋体" w:cs="宋体"/>
          <w:szCs w:val="21"/>
        </w:rPr>
      </w:pPr>
      <w:r>
        <w:rPr>
          <w:rFonts w:hint="eastAsia" w:hAnsi="宋体" w:cs="宋体"/>
          <w:szCs w:val="21"/>
        </w:rPr>
        <w:t>第七条 侵权处理</w:t>
      </w:r>
    </w:p>
    <w:p w14:paraId="736606F7">
      <w:pPr>
        <w:spacing w:line="360" w:lineRule="exact"/>
        <w:ind w:firstLine="420" w:firstLineChars="200"/>
        <w:rPr>
          <w:rFonts w:hAnsi="宋体" w:cs="宋体"/>
          <w:szCs w:val="21"/>
        </w:rPr>
      </w:pPr>
      <w:r>
        <w:rPr>
          <w:rFonts w:hint="eastAsia" w:hAnsi="宋体" w:cs="宋体"/>
          <w:szCs w:val="21"/>
        </w:rPr>
        <w:t>7.1乙方应当保证，其依本合同为甲方提供服务过程中和/或其为甲方提供的服务成果不侵犯任何第三人的合法权益。如果有人提出法律或行政程序(合称“侵权指控”)，声称甲方侵犯了其知识产权等合法权益的，乙方应当负责解决，并赔偿甲方就此所承担的一切损失和费用，包括但不限于上述侵权指控中所产生的诉讼费用、合理的律师费用、调查费用、和解金额或生效法律文书中规定的赔偿金额。</w:t>
      </w:r>
    </w:p>
    <w:p w14:paraId="3752A4D3">
      <w:pPr>
        <w:spacing w:line="360" w:lineRule="exact"/>
        <w:ind w:firstLine="420" w:firstLineChars="200"/>
        <w:rPr>
          <w:rFonts w:hAnsi="宋体" w:cs="宋体"/>
          <w:szCs w:val="21"/>
        </w:rPr>
      </w:pPr>
      <w:r>
        <w:rPr>
          <w:rFonts w:hint="eastAsia" w:hAnsi="宋体" w:cs="宋体"/>
          <w:szCs w:val="21"/>
        </w:rPr>
        <w:t>7.2如果在侵权指控的审理过程中有关机关禁止甲方继续使用服务成果的部分或全部，乙方应当采取以下措施之一：</w:t>
      </w:r>
    </w:p>
    <w:p w14:paraId="235825C2">
      <w:pPr>
        <w:spacing w:line="360" w:lineRule="exact"/>
        <w:ind w:firstLine="420" w:firstLineChars="200"/>
        <w:rPr>
          <w:rFonts w:hAnsi="宋体" w:cs="宋体"/>
          <w:szCs w:val="21"/>
        </w:rPr>
      </w:pPr>
      <w:r>
        <w:rPr>
          <w:rFonts w:hint="eastAsia" w:hAnsi="宋体" w:cs="宋体"/>
          <w:szCs w:val="21"/>
        </w:rPr>
        <w:t>（1）使甲方重新免费获得使用上述服务成果的权利</w:t>
      </w:r>
    </w:p>
    <w:p w14:paraId="190F0DC9">
      <w:pPr>
        <w:spacing w:line="360" w:lineRule="exact"/>
        <w:ind w:firstLine="420" w:firstLineChars="200"/>
        <w:rPr>
          <w:rFonts w:hAnsi="宋体" w:cs="宋体"/>
          <w:szCs w:val="21"/>
        </w:rPr>
      </w:pPr>
      <w:r>
        <w:rPr>
          <w:rFonts w:hint="eastAsia" w:hAnsi="宋体" w:cs="宋体"/>
          <w:szCs w:val="21"/>
        </w:rPr>
        <w:t>（2）免费更换或整改上述技术服务成果，使甲方不受上述禁令限制继续使用技术服务成果。</w:t>
      </w:r>
    </w:p>
    <w:p w14:paraId="595A79AA">
      <w:pPr>
        <w:spacing w:line="360" w:lineRule="exact"/>
        <w:ind w:firstLine="420" w:firstLineChars="200"/>
        <w:rPr>
          <w:rFonts w:hAnsi="宋体" w:cs="宋体"/>
          <w:szCs w:val="21"/>
        </w:rPr>
      </w:pPr>
      <w:r>
        <w:rPr>
          <w:rFonts w:hint="eastAsia" w:hAnsi="宋体" w:cs="宋体"/>
          <w:szCs w:val="21"/>
        </w:rPr>
        <w:t>（3）其它使甲方对技术服务成果拥有合法使用权，或其它弥补甲方受损利益、实现合同目的的合理方式，且不得向甲方收取任何费用。</w:t>
      </w:r>
    </w:p>
    <w:p w14:paraId="63BFBE2E">
      <w:pPr>
        <w:spacing w:line="360" w:lineRule="exact"/>
        <w:ind w:firstLine="420" w:firstLineChars="200"/>
        <w:rPr>
          <w:rFonts w:hAnsi="宋体" w:cs="宋体"/>
          <w:szCs w:val="21"/>
        </w:rPr>
      </w:pPr>
      <w:r>
        <w:rPr>
          <w:rFonts w:hint="eastAsia" w:hAnsi="宋体" w:cs="宋体"/>
          <w:szCs w:val="21"/>
        </w:rPr>
        <w:t>乙方采取上述措施不能免除乙方就甲方因此遭受的损失进行赔偿的义务。</w:t>
      </w:r>
    </w:p>
    <w:p w14:paraId="364D85B3">
      <w:pPr>
        <w:spacing w:line="360" w:lineRule="exact"/>
        <w:ind w:firstLine="420" w:firstLineChars="200"/>
        <w:rPr>
          <w:rFonts w:hAnsi="宋体" w:cs="宋体"/>
          <w:szCs w:val="21"/>
        </w:rPr>
      </w:pPr>
      <w:r>
        <w:rPr>
          <w:rFonts w:hint="eastAsia" w:hAnsi="宋体" w:cs="宋体"/>
          <w:szCs w:val="21"/>
        </w:rPr>
        <w:t>7.3 乙方承诺遵守国家相关法律法规，本合同项下技术服务若涉及可能影响国家安全的内容，乙方提供的技术服务必须首先通过国家相关部门的安全审查。</w:t>
      </w:r>
    </w:p>
    <w:p w14:paraId="2D0F7357">
      <w:pPr>
        <w:spacing w:line="360" w:lineRule="exact"/>
        <w:ind w:firstLine="420" w:firstLineChars="200"/>
        <w:rPr>
          <w:rFonts w:hAnsi="宋体" w:cs="宋体"/>
          <w:szCs w:val="21"/>
        </w:rPr>
      </w:pPr>
      <w:r>
        <w:rPr>
          <w:rFonts w:hint="eastAsia" w:hAnsi="宋体" w:cs="宋体"/>
          <w:szCs w:val="21"/>
        </w:rPr>
        <w:t>第八条 项目服务成果的权利归属</w:t>
      </w:r>
    </w:p>
    <w:p w14:paraId="576B2EF0">
      <w:pPr>
        <w:spacing w:line="360" w:lineRule="exact"/>
        <w:ind w:firstLine="420" w:firstLineChars="200"/>
        <w:rPr>
          <w:rFonts w:hAnsi="宋体" w:cs="宋体"/>
          <w:szCs w:val="21"/>
        </w:rPr>
      </w:pPr>
      <w:r>
        <w:rPr>
          <w:rFonts w:hint="eastAsia" w:hAnsi="宋体" w:cs="宋体"/>
          <w:szCs w:val="21"/>
        </w:rPr>
        <w:t>8.1双方确定，乙方所完成的服务成果的所有权利，包括但不限于知识产权、专利申请权和所有权，归甲方所有。</w:t>
      </w:r>
    </w:p>
    <w:p w14:paraId="7D4F83BE">
      <w:pPr>
        <w:spacing w:line="360" w:lineRule="exact"/>
        <w:ind w:firstLine="420" w:firstLineChars="200"/>
        <w:rPr>
          <w:rFonts w:hAnsi="宋体" w:cs="宋体"/>
          <w:szCs w:val="21"/>
        </w:rPr>
      </w:pPr>
      <w:r>
        <w:rPr>
          <w:rFonts w:hint="eastAsia" w:hAnsi="宋体" w:cs="宋体"/>
          <w:szCs w:val="21"/>
        </w:rPr>
        <w:t>8.2双方确定，甲方利用乙方的服务成果所完成的新的技术成果的所有权利，包括但不限于知识产权、专利申请权和所有权，归甲方所有。</w:t>
      </w:r>
    </w:p>
    <w:p w14:paraId="7334D04F">
      <w:pPr>
        <w:spacing w:line="360" w:lineRule="exact"/>
        <w:ind w:firstLine="420" w:firstLineChars="200"/>
        <w:rPr>
          <w:rFonts w:hAnsi="宋体" w:cs="宋体"/>
          <w:szCs w:val="21"/>
        </w:rPr>
      </w:pPr>
      <w:r>
        <w:rPr>
          <w:rFonts w:hint="eastAsia" w:hAnsi="宋体" w:cs="宋体"/>
          <w:szCs w:val="21"/>
        </w:rPr>
        <w:t>8.3乙方有义务根据甲方和/或采购方要求配合甲方相关知识产权的登记或申请工作。</w:t>
      </w:r>
    </w:p>
    <w:p w14:paraId="0C0BBEBB">
      <w:pPr>
        <w:spacing w:line="360" w:lineRule="exact"/>
        <w:ind w:firstLine="420" w:firstLineChars="200"/>
        <w:rPr>
          <w:rFonts w:hAnsi="宋体" w:cs="宋体"/>
          <w:szCs w:val="21"/>
        </w:rPr>
      </w:pPr>
      <w:r>
        <w:rPr>
          <w:rFonts w:hint="eastAsia" w:hAnsi="宋体" w:cs="宋体"/>
          <w:szCs w:val="21"/>
        </w:rPr>
        <w:t>第九条 违约责任</w:t>
      </w:r>
    </w:p>
    <w:p w14:paraId="4B94D8EA">
      <w:pPr>
        <w:spacing w:line="360" w:lineRule="exact"/>
        <w:ind w:firstLine="420" w:firstLineChars="200"/>
        <w:rPr>
          <w:rFonts w:hAnsi="宋体" w:cs="宋体"/>
          <w:szCs w:val="21"/>
        </w:rPr>
      </w:pPr>
      <w:r>
        <w:rPr>
          <w:rFonts w:hint="eastAsia" w:hAnsi="宋体" w:cs="宋体"/>
          <w:szCs w:val="21"/>
        </w:rPr>
        <w:t>9.1双方确定，任何一方未履行或未完全履行本合同项下的义务，均构成违约。违约方应赔偿因违约给对方造成的一切损失。</w:t>
      </w:r>
    </w:p>
    <w:p w14:paraId="53959C81">
      <w:pPr>
        <w:spacing w:line="360" w:lineRule="exact"/>
        <w:ind w:firstLine="420" w:firstLineChars="200"/>
        <w:rPr>
          <w:rFonts w:hAnsi="宋体" w:cs="宋体"/>
          <w:szCs w:val="21"/>
        </w:rPr>
      </w:pPr>
      <w:r>
        <w:rPr>
          <w:rFonts w:hint="eastAsia" w:hAnsi="宋体" w:cs="宋体"/>
          <w:szCs w:val="21"/>
        </w:rPr>
        <w:t>9.2选择一次性支付费用方式的情况下，甲方未按本合同约定支付乙方相关费用的，每逾期1日，甲方应按欠款总额1‰向乙方支付违约金至付清之日为止。甲方逾期付费累计达[45]日的，乙方有权单方解除本合同并不承担任何责任。</w:t>
      </w:r>
    </w:p>
    <w:p w14:paraId="62973A40">
      <w:pPr>
        <w:tabs>
          <w:tab w:val="left" w:pos="7980"/>
        </w:tabs>
        <w:spacing w:line="360" w:lineRule="exact"/>
        <w:ind w:firstLine="422" w:firstLineChars="200"/>
        <w:rPr>
          <w:rFonts w:hAnsi="宋体" w:cs="宋体"/>
          <w:szCs w:val="21"/>
        </w:rPr>
      </w:pPr>
      <w:r>
        <w:rPr>
          <w:rFonts w:hint="eastAsia" w:hAnsi="宋体" w:cs="宋体"/>
          <w:b/>
          <w:bCs/>
          <w:szCs w:val="21"/>
        </w:rPr>
        <w:t>第十条</w:t>
      </w:r>
      <w:r>
        <w:rPr>
          <w:rFonts w:hint="eastAsia" w:hAnsi="宋体" w:cs="宋体"/>
          <w:szCs w:val="21"/>
        </w:rPr>
        <w:t>双方确定，在本合同有效期内，甲方指定[]为甲方项目联系人，乙方指定[/]为乙方项目联系人。</w:t>
      </w:r>
    </w:p>
    <w:p w14:paraId="7133B4B0">
      <w:pPr>
        <w:tabs>
          <w:tab w:val="left" w:pos="7980"/>
        </w:tabs>
        <w:spacing w:line="360" w:lineRule="exact"/>
        <w:ind w:firstLine="420" w:firstLineChars="200"/>
        <w:rPr>
          <w:rFonts w:hAnsi="宋体" w:cs="宋体"/>
          <w:szCs w:val="21"/>
        </w:rPr>
      </w:pPr>
      <w:r>
        <w:rPr>
          <w:rFonts w:hint="eastAsia" w:hAnsi="宋体" w:cs="宋体"/>
          <w:szCs w:val="21"/>
        </w:rPr>
        <w:t>一方变更项目联系人的，应当及时以书面形式通知另一方。未及时通知并影响本合同履行或造成损失的，应承担相应的责任并赔偿甲方全部损失。</w:t>
      </w:r>
    </w:p>
    <w:p w14:paraId="7D319F2C">
      <w:pPr>
        <w:tabs>
          <w:tab w:val="left" w:pos="7980"/>
        </w:tabs>
        <w:spacing w:line="360" w:lineRule="exact"/>
        <w:ind w:firstLine="422" w:firstLineChars="200"/>
        <w:rPr>
          <w:rFonts w:hAnsi="宋体" w:cs="宋体"/>
          <w:szCs w:val="21"/>
        </w:rPr>
      </w:pPr>
      <w:r>
        <w:rPr>
          <w:rFonts w:hint="eastAsia" w:hAnsi="宋体" w:cs="宋体"/>
          <w:b/>
          <w:bCs/>
          <w:szCs w:val="21"/>
        </w:rPr>
        <w:t>第十一条</w:t>
      </w:r>
    </w:p>
    <w:p w14:paraId="7414BF8B">
      <w:pPr>
        <w:spacing w:line="360" w:lineRule="exact"/>
        <w:ind w:firstLine="420" w:firstLineChars="200"/>
        <w:textAlignment w:val="bottom"/>
        <w:rPr>
          <w:rFonts w:hAnsi="宋体" w:cs="宋体"/>
          <w:color w:val="000000"/>
          <w:szCs w:val="21"/>
        </w:rPr>
      </w:pPr>
      <w:r>
        <w:rPr>
          <w:rFonts w:hint="eastAsia" w:hAnsi="宋体" w:cs="宋体"/>
          <w:color w:val="000000"/>
          <w:szCs w:val="21"/>
        </w:rPr>
        <w:t>11.1本合同所称不可抗力，是指地震、台风、水灾、火灾、战争以及其它本合同各方不能预见、并且对其发生和后果不能防止或不能避免且不可克服的客观情况。</w:t>
      </w:r>
    </w:p>
    <w:p w14:paraId="0490391D">
      <w:pPr>
        <w:spacing w:line="360" w:lineRule="exact"/>
        <w:ind w:firstLine="420" w:firstLineChars="200"/>
        <w:textAlignment w:val="bottom"/>
        <w:rPr>
          <w:rFonts w:hAnsi="宋体" w:cs="宋体"/>
          <w:color w:val="000000"/>
          <w:szCs w:val="21"/>
        </w:rPr>
      </w:pPr>
      <w:r>
        <w:rPr>
          <w:rFonts w:hint="eastAsia" w:hAnsi="宋体" w:cs="宋体"/>
          <w:color w:val="000000"/>
          <w:szCs w:val="21"/>
        </w:rPr>
        <w:t>11.2本合同任何一方因不可抗力不能履行或不能完全履行本合同的义务时，应在不可抗力发生之日起[十]日内书面通知本合同的其它方，并在不可抗力发生之日起十五日内向其它方提供由有关部门出具的不可抗力证明。</w:t>
      </w:r>
    </w:p>
    <w:p w14:paraId="13AC2494">
      <w:pPr>
        <w:spacing w:line="360" w:lineRule="exact"/>
        <w:ind w:firstLine="420" w:firstLineChars="200"/>
        <w:textAlignment w:val="bottom"/>
        <w:rPr>
          <w:rFonts w:hAnsi="宋体" w:cs="宋体"/>
          <w:color w:val="000000"/>
          <w:szCs w:val="21"/>
        </w:rPr>
      </w:pPr>
      <w:r>
        <w:rPr>
          <w:rFonts w:hint="eastAsia" w:hAnsi="宋体" w:cs="宋体"/>
          <w:color w:val="000000"/>
          <w:szCs w:val="21"/>
        </w:rPr>
        <w:t>11.3因不可抗力不能履行合同的，根据不可抗力的影响，受影响方部分或全部免除责任，但法律另有规定的除外。迟延履行合同后发生不可抗力的，不能免除责任。</w:t>
      </w:r>
    </w:p>
    <w:p w14:paraId="184BE4CC">
      <w:pPr>
        <w:spacing w:line="360" w:lineRule="exact"/>
        <w:ind w:firstLine="420" w:firstLineChars="200"/>
        <w:rPr>
          <w:rFonts w:hAnsi="宋体" w:cs="宋体"/>
          <w:szCs w:val="21"/>
        </w:rPr>
      </w:pPr>
      <w:r>
        <w:rPr>
          <w:rFonts w:hint="eastAsia" w:hAnsi="宋体" w:cs="宋体"/>
          <w:color w:val="000000"/>
          <w:szCs w:val="21"/>
        </w:rPr>
        <w:t>11.4如果因不可抗力的影响致使本合同中止履行[三十]日或以上时，甲方有权决定是否继续履行或终止本合同，并书面通知乙方。</w:t>
      </w:r>
    </w:p>
    <w:p w14:paraId="4AC62C69">
      <w:pPr>
        <w:spacing w:line="360" w:lineRule="exact"/>
        <w:ind w:firstLine="422" w:firstLineChars="200"/>
        <w:rPr>
          <w:rFonts w:hAnsi="宋体" w:cs="宋体"/>
          <w:b/>
          <w:bCs/>
          <w:szCs w:val="21"/>
        </w:rPr>
      </w:pPr>
      <w:r>
        <w:rPr>
          <w:rFonts w:hint="eastAsia" w:hAnsi="宋体" w:cs="宋体"/>
          <w:b/>
          <w:bCs/>
          <w:szCs w:val="21"/>
        </w:rPr>
        <w:t>第十二条 法律适用和争议解决</w:t>
      </w:r>
    </w:p>
    <w:p w14:paraId="2B7EBBBE">
      <w:pPr>
        <w:spacing w:line="360" w:lineRule="exact"/>
        <w:ind w:firstLine="420" w:firstLineChars="200"/>
        <w:rPr>
          <w:rFonts w:hAnsi="宋体" w:cs="宋体"/>
          <w:szCs w:val="21"/>
        </w:rPr>
      </w:pPr>
      <w:r>
        <w:rPr>
          <w:rFonts w:hint="eastAsia" w:hAnsi="宋体" w:cs="宋体"/>
          <w:szCs w:val="21"/>
        </w:rPr>
        <w:t>12.1本合同适用中华人民共和国法律。</w:t>
      </w:r>
    </w:p>
    <w:p w14:paraId="78DC9F5C">
      <w:pPr>
        <w:spacing w:line="360" w:lineRule="exact"/>
        <w:ind w:firstLine="420" w:firstLineChars="200"/>
        <w:rPr>
          <w:rFonts w:hAnsi="宋体" w:cs="宋体"/>
          <w:szCs w:val="21"/>
        </w:rPr>
      </w:pPr>
      <w:r>
        <w:rPr>
          <w:rFonts w:hint="eastAsia" w:hAnsi="宋体" w:cs="宋体"/>
          <w:szCs w:val="21"/>
        </w:rPr>
        <w:t>12.2所有因本合同引起的或与本合同有关的任何争议将通过双方友好协商解决。如果双方不能通过友好协商解决争议，则任何一方均可采取下述第（2 ）种争议解决方式：</w:t>
      </w:r>
    </w:p>
    <w:p w14:paraId="6E574F65">
      <w:pPr>
        <w:spacing w:line="360" w:lineRule="exact"/>
        <w:ind w:firstLine="420" w:firstLineChars="200"/>
        <w:rPr>
          <w:rFonts w:hAnsi="宋体" w:cs="宋体"/>
          <w:szCs w:val="21"/>
        </w:rPr>
      </w:pPr>
      <w:r>
        <w:rPr>
          <w:rFonts w:hint="eastAsia" w:hAnsi="宋体" w:cs="宋体"/>
          <w:szCs w:val="21"/>
        </w:rPr>
        <w:t>（1）将该争议提交[/]仲裁委员会，按照申请仲裁时该会的仲裁规则进行仲裁。仲裁在[/]进行。仲裁语言为中文。仲裁裁决是终局的，对双方均有约束力。仲裁费用由败诉方承担。</w:t>
      </w:r>
    </w:p>
    <w:p w14:paraId="2E98590C">
      <w:pPr>
        <w:spacing w:line="360" w:lineRule="exact"/>
        <w:ind w:firstLine="420" w:firstLineChars="200"/>
        <w:rPr>
          <w:rFonts w:hAnsi="宋体" w:cs="宋体"/>
          <w:szCs w:val="21"/>
        </w:rPr>
      </w:pPr>
      <w:r>
        <w:rPr>
          <w:rFonts w:hint="eastAsia" w:hAnsi="宋体" w:cs="宋体"/>
          <w:szCs w:val="21"/>
        </w:rPr>
        <w:t>（2）向[北仑]有管辖权的人民法院起诉。</w:t>
      </w:r>
    </w:p>
    <w:p w14:paraId="5520E827">
      <w:pPr>
        <w:tabs>
          <w:tab w:val="left" w:pos="7980"/>
        </w:tabs>
        <w:spacing w:line="360" w:lineRule="exact"/>
        <w:ind w:firstLine="420" w:firstLineChars="200"/>
        <w:rPr>
          <w:rFonts w:hAnsi="宋体" w:cs="宋体"/>
          <w:szCs w:val="21"/>
        </w:rPr>
      </w:pPr>
      <w:r>
        <w:rPr>
          <w:rFonts w:hint="eastAsia" w:hAnsi="宋体" w:cs="宋体"/>
          <w:szCs w:val="21"/>
        </w:rPr>
        <w:t>12.3仲裁或诉讼进行过程中，双方将继续履行本合同未涉仲裁或诉讼的其它部分。</w:t>
      </w:r>
    </w:p>
    <w:p w14:paraId="51504349">
      <w:pPr>
        <w:tabs>
          <w:tab w:val="left" w:pos="7980"/>
        </w:tabs>
        <w:spacing w:line="360" w:lineRule="exact"/>
        <w:ind w:firstLine="422" w:firstLineChars="200"/>
        <w:rPr>
          <w:rFonts w:hAnsi="宋体" w:cs="宋体"/>
          <w:szCs w:val="21"/>
        </w:rPr>
      </w:pPr>
      <w:r>
        <w:rPr>
          <w:rFonts w:hint="eastAsia" w:hAnsi="宋体" w:cs="宋体"/>
          <w:b/>
          <w:bCs/>
          <w:szCs w:val="21"/>
        </w:rPr>
        <w:t>第十三条合同生效和其他</w:t>
      </w:r>
    </w:p>
    <w:p w14:paraId="4E8C0A18">
      <w:pPr>
        <w:spacing w:line="360" w:lineRule="exact"/>
        <w:ind w:firstLine="420" w:firstLineChars="200"/>
        <w:rPr>
          <w:rFonts w:hAnsi="宋体" w:cs="宋体"/>
          <w:szCs w:val="21"/>
        </w:rPr>
      </w:pPr>
      <w:r>
        <w:rPr>
          <w:rFonts w:hint="eastAsia" w:hAnsi="宋体" w:cs="宋体"/>
          <w:szCs w:val="21"/>
        </w:rPr>
        <w:t>13.1本合同自双方签字盖章之日起生效。</w:t>
      </w:r>
    </w:p>
    <w:p w14:paraId="438D9A30">
      <w:pPr>
        <w:spacing w:line="360" w:lineRule="exact"/>
        <w:ind w:firstLine="420" w:firstLineChars="200"/>
        <w:rPr>
          <w:rFonts w:hAnsi="宋体" w:cs="宋体"/>
          <w:szCs w:val="21"/>
        </w:rPr>
      </w:pPr>
      <w:r>
        <w:rPr>
          <w:rFonts w:hint="eastAsia" w:hAnsi="宋体" w:cs="宋体"/>
          <w:szCs w:val="21"/>
        </w:rPr>
        <w:t>13.2本合同一式[ 肆 ]份，甲方执[ 贰 ]份，乙方执[贰]份，具有同等法律效力。</w:t>
      </w:r>
    </w:p>
    <w:p w14:paraId="23891586">
      <w:pPr>
        <w:spacing w:line="360" w:lineRule="exact"/>
        <w:ind w:firstLine="420" w:firstLineChars="200"/>
        <w:textAlignment w:val="bottom"/>
        <w:rPr>
          <w:rFonts w:hAnsi="宋体" w:cs="宋体"/>
          <w:color w:val="000000"/>
          <w:szCs w:val="21"/>
        </w:rPr>
      </w:pPr>
      <w:r>
        <w:rPr>
          <w:rFonts w:hint="eastAsia" w:hAnsi="宋体" w:cs="宋体"/>
          <w:color w:val="000000"/>
          <w:szCs w:val="21"/>
        </w:rPr>
        <w:t>13.3任何一方未经另一方同意，不得向任何第三方透露本合同的签订及其内容。甲方向其关联公司披露的，不在此限。</w:t>
      </w:r>
    </w:p>
    <w:p w14:paraId="762DF87E">
      <w:pPr>
        <w:spacing w:line="360" w:lineRule="exact"/>
        <w:ind w:firstLine="420" w:firstLineChars="200"/>
        <w:textAlignment w:val="bottom"/>
        <w:rPr>
          <w:rFonts w:hAnsi="宋体" w:cs="宋体"/>
          <w:color w:val="000000"/>
          <w:szCs w:val="21"/>
        </w:rPr>
      </w:pPr>
      <w:r>
        <w:rPr>
          <w:rFonts w:hint="eastAsia" w:hAnsi="宋体" w:cs="宋体"/>
          <w:color w:val="000000"/>
          <w:szCs w:val="21"/>
        </w:rPr>
        <w:t>13.4任何与本合同相关但未在本合同中明确规定的事项将由双方另行友好协商解决。对本合同做出的任何修改和补充应为书面形式，由双方法定代表人/负责人/授权代表签字并盖章后成为本合同不可分割的部分。本合同与其补充合同冲突时，以补充合同为准。</w:t>
      </w:r>
    </w:p>
    <w:p w14:paraId="0F1FE129">
      <w:pPr>
        <w:tabs>
          <w:tab w:val="left" w:pos="7980"/>
        </w:tabs>
        <w:spacing w:line="360" w:lineRule="exact"/>
        <w:rPr>
          <w:rFonts w:hAnsi="宋体" w:cs="宋体"/>
          <w:szCs w:val="21"/>
        </w:rPr>
      </w:pPr>
    </w:p>
    <w:p w14:paraId="24C9C1A2">
      <w:pPr>
        <w:tabs>
          <w:tab w:val="left" w:pos="7980"/>
        </w:tabs>
        <w:spacing w:line="360" w:lineRule="exact"/>
        <w:ind w:firstLine="480"/>
        <w:rPr>
          <w:rFonts w:hAnsi="宋体" w:cs="宋体"/>
          <w:szCs w:val="21"/>
        </w:rPr>
      </w:pPr>
    </w:p>
    <w:p w14:paraId="38E0998F">
      <w:pPr>
        <w:tabs>
          <w:tab w:val="left" w:pos="7980"/>
        </w:tabs>
        <w:spacing w:line="360" w:lineRule="exact"/>
        <w:rPr>
          <w:rFonts w:hAnsi="宋体" w:cs="宋体"/>
          <w:szCs w:val="21"/>
        </w:rPr>
      </w:pPr>
    </w:p>
    <w:p w14:paraId="75B81D4C">
      <w:pPr>
        <w:spacing w:line="360" w:lineRule="exact"/>
        <w:rPr>
          <w:rFonts w:hAnsi="宋体" w:cs="宋体"/>
          <w:szCs w:val="21"/>
        </w:rPr>
      </w:pPr>
      <w:r>
        <w:rPr>
          <w:rFonts w:hint="eastAsia" w:hAnsi="宋体" w:cs="宋体"/>
          <w:szCs w:val="21"/>
        </w:rPr>
        <w:t>甲方：</w:t>
      </w:r>
    </w:p>
    <w:p w14:paraId="5774F40A">
      <w:pPr>
        <w:spacing w:line="360" w:lineRule="exact"/>
        <w:rPr>
          <w:rFonts w:hAnsi="宋体" w:cs="宋体"/>
          <w:szCs w:val="21"/>
        </w:rPr>
      </w:pPr>
      <w:r>
        <w:rPr>
          <w:rFonts w:hint="eastAsia" w:hAnsi="宋体" w:cs="宋体"/>
          <w:szCs w:val="21"/>
        </w:rPr>
        <w:t>法定代表人/负责人</w:t>
      </w:r>
    </w:p>
    <w:p w14:paraId="47323D0D">
      <w:pPr>
        <w:spacing w:line="360" w:lineRule="exact"/>
        <w:rPr>
          <w:rFonts w:hAnsi="宋体" w:cs="宋体"/>
          <w:szCs w:val="21"/>
        </w:rPr>
      </w:pPr>
      <w:r>
        <w:rPr>
          <w:rFonts w:hint="eastAsia" w:hAnsi="宋体" w:cs="宋体"/>
          <w:szCs w:val="21"/>
        </w:rPr>
        <w:t>或授权代表：</w:t>
      </w:r>
    </w:p>
    <w:p w14:paraId="2813E2CF">
      <w:pPr>
        <w:spacing w:line="360" w:lineRule="exact"/>
        <w:rPr>
          <w:rFonts w:hAnsi="宋体" w:cs="宋体"/>
          <w:szCs w:val="21"/>
        </w:rPr>
      </w:pPr>
    </w:p>
    <w:p w14:paraId="77718231">
      <w:pPr>
        <w:spacing w:line="360" w:lineRule="exact"/>
        <w:rPr>
          <w:rFonts w:hAnsi="宋体" w:cs="宋体"/>
          <w:szCs w:val="21"/>
        </w:rPr>
      </w:pPr>
      <w:r>
        <w:rPr>
          <w:rFonts w:hint="eastAsia" w:hAnsi="宋体" w:cs="宋体"/>
          <w:szCs w:val="21"/>
        </w:rPr>
        <w:t>[  ]年[  ]月[  ]日</w:t>
      </w:r>
    </w:p>
    <w:p w14:paraId="79D8588F">
      <w:pPr>
        <w:spacing w:line="360" w:lineRule="exact"/>
        <w:rPr>
          <w:rFonts w:hAnsi="宋体" w:cs="宋体"/>
          <w:szCs w:val="21"/>
        </w:rPr>
      </w:pPr>
    </w:p>
    <w:p w14:paraId="6F5EB948">
      <w:pPr>
        <w:spacing w:line="360" w:lineRule="exact"/>
        <w:rPr>
          <w:rFonts w:hAnsi="宋体" w:cs="宋体"/>
          <w:szCs w:val="21"/>
        </w:rPr>
      </w:pPr>
    </w:p>
    <w:p w14:paraId="5DA7CC52">
      <w:pPr>
        <w:spacing w:line="360" w:lineRule="exact"/>
        <w:rPr>
          <w:rFonts w:hAnsi="宋体" w:cs="宋体"/>
          <w:szCs w:val="21"/>
        </w:rPr>
      </w:pPr>
      <w:r>
        <w:rPr>
          <w:rFonts w:hint="eastAsia" w:hAnsi="宋体" w:cs="宋体"/>
          <w:szCs w:val="21"/>
        </w:rPr>
        <w:t>乙方：</w:t>
      </w:r>
    </w:p>
    <w:p w14:paraId="7EF2E0AE">
      <w:pPr>
        <w:spacing w:line="360" w:lineRule="exact"/>
        <w:rPr>
          <w:rFonts w:hAnsi="宋体" w:cs="宋体"/>
          <w:szCs w:val="21"/>
        </w:rPr>
      </w:pPr>
      <w:r>
        <w:rPr>
          <w:rFonts w:hint="eastAsia" w:hAnsi="宋体" w:cs="宋体"/>
          <w:szCs w:val="21"/>
        </w:rPr>
        <w:t>法定代表人/负责人</w:t>
      </w:r>
    </w:p>
    <w:p w14:paraId="1C589F28">
      <w:pPr>
        <w:spacing w:line="360" w:lineRule="exact"/>
        <w:rPr>
          <w:rFonts w:hAnsi="宋体" w:cs="宋体"/>
          <w:szCs w:val="21"/>
        </w:rPr>
      </w:pPr>
      <w:r>
        <w:rPr>
          <w:rFonts w:hint="eastAsia" w:hAnsi="宋体" w:cs="宋体"/>
          <w:szCs w:val="21"/>
        </w:rPr>
        <w:t>或授权代表：</w:t>
      </w:r>
    </w:p>
    <w:p w14:paraId="414BAB1B">
      <w:pPr>
        <w:spacing w:line="360" w:lineRule="exact"/>
        <w:rPr>
          <w:rFonts w:hAnsi="宋体" w:cs="宋体"/>
          <w:szCs w:val="21"/>
        </w:rPr>
      </w:pPr>
    </w:p>
    <w:p w14:paraId="5DCBE890">
      <w:pPr>
        <w:spacing w:line="360" w:lineRule="exact"/>
        <w:rPr>
          <w:rFonts w:hAnsi="宋体" w:cs="宋体"/>
          <w:b/>
          <w:bCs/>
          <w:szCs w:val="21"/>
        </w:rPr>
      </w:pPr>
      <w:r>
        <w:rPr>
          <w:rFonts w:hint="eastAsia" w:hAnsi="宋体" w:cs="宋体"/>
          <w:szCs w:val="21"/>
        </w:rPr>
        <w:t>[  ]年[  ]月[  ]日</w:t>
      </w:r>
    </w:p>
    <w:p w14:paraId="7716ECEC">
      <w:pPr>
        <w:spacing w:line="460" w:lineRule="exact"/>
        <w:rPr>
          <w:rFonts w:ascii="宋体" w:hAnsi="宋体" w:cs="宋体"/>
          <w:b/>
          <w:color w:val="auto"/>
          <w:sz w:val="36"/>
          <w:szCs w:val="36"/>
          <w:highlight w:val="none"/>
        </w:rPr>
        <w:sectPr>
          <w:pgSz w:w="11907" w:h="16840"/>
          <w:pgMar w:top="1304" w:right="1247" w:bottom="1304" w:left="1247" w:header="851" w:footer="851" w:gutter="0"/>
          <w:cols w:space="720" w:num="1"/>
        </w:sectPr>
      </w:pPr>
    </w:p>
    <w:p w14:paraId="453DD79F">
      <w:pPr>
        <w:spacing w:before="240" w:after="312" w:afterLines="100" w:line="480" w:lineRule="auto"/>
        <w:jc w:val="center"/>
        <w:rPr>
          <w:rFonts w:ascii="宋体" w:hAnsi="宋体"/>
          <w:b/>
          <w:bCs/>
          <w:color w:val="auto"/>
          <w:sz w:val="36"/>
          <w:szCs w:val="36"/>
          <w:highlight w:val="none"/>
        </w:rPr>
      </w:pPr>
    </w:p>
    <w:p w14:paraId="1043C37D">
      <w:pPr>
        <w:pStyle w:val="5"/>
        <w:numPr>
          <w:ilvl w:val="1"/>
          <w:numId w:val="0"/>
        </w:numPr>
        <w:ind w:leftChars="0"/>
        <w:rPr>
          <w:color w:val="auto"/>
          <w:highlight w:val="none"/>
        </w:rPr>
      </w:pPr>
    </w:p>
    <w:p w14:paraId="57232E29">
      <w:pPr>
        <w:rPr>
          <w:rFonts w:ascii="宋体" w:hAnsi="宋体"/>
          <w:b/>
          <w:bCs/>
          <w:color w:val="auto"/>
          <w:sz w:val="36"/>
          <w:szCs w:val="36"/>
          <w:highlight w:val="none"/>
        </w:rPr>
      </w:pPr>
    </w:p>
    <w:p w14:paraId="480FB069">
      <w:pPr>
        <w:pStyle w:val="5"/>
        <w:numPr>
          <w:ilvl w:val="1"/>
          <w:numId w:val="0"/>
        </w:numPr>
        <w:ind w:leftChars="0"/>
        <w:rPr>
          <w:color w:val="auto"/>
          <w:highlight w:val="none"/>
        </w:rPr>
      </w:pPr>
    </w:p>
    <w:p w14:paraId="167F612C">
      <w:pPr>
        <w:pStyle w:val="4"/>
        <w:rPr>
          <w:color w:val="auto"/>
          <w:highlight w:val="none"/>
        </w:rPr>
      </w:pPr>
      <w:bookmarkStart w:id="40" w:name="_Toc65753671"/>
      <w:r>
        <w:rPr>
          <w:rFonts w:hint="eastAsia"/>
          <w:color w:val="auto"/>
          <w:highlight w:val="none"/>
        </w:rPr>
        <w:t>第六部分  投标文件格式</w:t>
      </w:r>
      <w:bookmarkEnd w:id="40"/>
    </w:p>
    <w:p w14:paraId="7E49F480">
      <w:pPr>
        <w:spacing w:after="312" w:afterLines="100" w:line="360" w:lineRule="auto"/>
        <w:jc w:val="center"/>
        <w:rPr>
          <w:rFonts w:eastAsia="黑体"/>
          <w:color w:val="auto"/>
          <w:spacing w:val="20"/>
          <w:sz w:val="36"/>
          <w:szCs w:val="32"/>
          <w:highlight w:val="none"/>
        </w:rPr>
        <w:sectPr>
          <w:pgSz w:w="11906" w:h="16838"/>
          <w:pgMar w:top="1474" w:right="1418" w:bottom="1418" w:left="1418" w:header="851" w:footer="851" w:gutter="0"/>
          <w:cols w:space="720" w:num="1"/>
          <w:docGrid w:type="linesAndChars" w:linePitch="312" w:charSpace="0"/>
        </w:sectPr>
      </w:pPr>
    </w:p>
    <w:p w14:paraId="3F602DF5">
      <w:pPr>
        <w:snapToGrid w:val="0"/>
        <w:spacing w:before="156" w:beforeLines="50" w:after="50"/>
        <w:rPr>
          <w:rFonts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电子备份</w:t>
      </w:r>
      <w:r>
        <w:rPr>
          <w:rFonts w:hint="eastAsia" w:ascii="宋体" w:hAnsi="宋体" w:cs="宋体"/>
          <w:bCs/>
          <w:color w:val="auto"/>
          <w:szCs w:val="21"/>
          <w:highlight w:val="none"/>
        </w:rPr>
        <w:t>投标文件的外包装封面格式（可选用）：</w:t>
      </w:r>
    </w:p>
    <w:p w14:paraId="3C8A6221">
      <w:pPr>
        <w:snapToGrid w:val="0"/>
        <w:spacing w:before="156" w:beforeLines="50" w:after="50"/>
        <w:rPr>
          <w:rFonts w:ascii="宋体" w:hAnsi="宋体" w:cs="宋体"/>
          <w:bCs/>
          <w:color w:val="auto"/>
          <w:szCs w:val="21"/>
          <w:highlight w:val="none"/>
        </w:rPr>
      </w:pPr>
    </w:p>
    <w:p w14:paraId="7CD69610">
      <w:pPr>
        <w:snapToGrid w:val="0"/>
        <w:spacing w:before="156" w:beforeLines="50" w:after="50"/>
        <w:jc w:val="center"/>
        <w:rPr>
          <w:rFonts w:ascii="宋体" w:hAnsi="宋体" w:cs="宋体"/>
          <w:bCs/>
          <w:color w:val="auto"/>
          <w:szCs w:val="21"/>
          <w:highlight w:val="none"/>
        </w:rPr>
      </w:pPr>
    </w:p>
    <w:p w14:paraId="6A2B2A04">
      <w:pPr>
        <w:snapToGrid w:val="0"/>
        <w:spacing w:before="156" w:beforeLines="50" w:after="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投标文件</w:t>
      </w:r>
    </w:p>
    <w:p w14:paraId="55AA6C41">
      <w:pPr>
        <w:snapToGrid w:val="0"/>
        <w:spacing w:before="156" w:beforeLines="50" w:after="50"/>
        <w:rPr>
          <w:rFonts w:ascii="宋体" w:hAnsi="宋体" w:cs="宋体"/>
          <w:bCs/>
          <w:color w:val="auto"/>
          <w:szCs w:val="21"/>
          <w:highlight w:val="none"/>
        </w:rPr>
      </w:pPr>
    </w:p>
    <w:p w14:paraId="246C9240">
      <w:pPr>
        <w:snapToGrid w:val="0"/>
        <w:spacing w:line="400" w:lineRule="exact"/>
        <w:ind w:firstLine="1039" w:firstLineChars="495"/>
        <w:rPr>
          <w:rFonts w:ascii="宋体" w:hAnsi="宋体" w:cs="宋体"/>
          <w:bCs/>
          <w:color w:val="auto"/>
          <w:szCs w:val="21"/>
          <w:highlight w:val="none"/>
        </w:rPr>
      </w:pPr>
      <w:r>
        <w:rPr>
          <w:rFonts w:hint="eastAsia" w:ascii="宋体" w:hAnsi="宋体" w:cs="宋体"/>
          <w:bCs/>
          <w:color w:val="auto"/>
          <w:szCs w:val="21"/>
          <w:highlight w:val="none"/>
        </w:rPr>
        <w:t>项目名称：</w:t>
      </w:r>
      <w:r>
        <w:rPr>
          <w:rFonts w:hint="eastAsia" w:ascii="宋体" w:hAnsi="宋体" w:cs="宋体"/>
          <w:color w:val="auto"/>
          <w:szCs w:val="21"/>
          <w:highlight w:val="none"/>
        </w:rPr>
        <w:t xml:space="preserve"> </w:t>
      </w:r>
    </w:p>
    <w:p w14:paraId="6E6573DE">
      <w:pPr>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      项目编号：</w:t>
      </w:r>
    </w:p>
    <w:p w14:paraId="64EACD20">
      <w:pPr>
        <w:snapToGrid w:val="0"/>
        <w:spacing w:line="400" w:lineRule="exact"/>
        <w:ind w:firstLine="1050" w:firstLineChars="500"/>
        <w:rPr>
          <w:rFonts w:ascii="宋体" w:hAnsi="宋体" w:cs="宋体"/>
          <w:bCs/>
          <w:color w:val="auto"/>
          <w:kern w:val="0"/>
          <w:szCs w:val="21"/>
          <w:highlight w:val="none"/>
        </w:rPr>
      </w:pPr>
      <w:r>
        <w:rPr>
          <w:rFonts w:hint="eastAsia" w:ascii="宋体" w:hAnsi="宋体" w:cs="宋体"/>
          <w:bCs/>
          <w:color w:val="auto"/>
          <w:kern w:val="0"/>
          <w:szCs w:val="21"/>
          <w:highlight w:val="none"/>
        </w:rPr>
        <w:t>投标文件名称：</w:t>
      </w:r>
      <w:r>
        <w:rPr>
          <w:rFonts w:hint="eastAsia" w:ascii="宋体" w:hAnsi="宋体" w:cs="宋体"/>
          <w:bCs/>
          <w:color w:val="auto"/>
          <w:kern w:val="0"/>
          <w:szCs w:val="21"/>
          <w:highlight w:val="none"/>
          <w:lang w:val="en-US" w:eastAsia="zh-CN"/>
        </w:rPr>
        <w:t>电子备份文件</w:t>
      </w:r>
      <w:r>
        <w:rPr>
          <w:rFonts w:ascii="宋体" w:hAnsi="宋体" w:cs="宋体"/>
          <w:bCs/>
          <w:color w:val="auto"/>
          <w:kern w:val="0"/>
          <w:szCs w:val="21"/>
          <w:highlight w:val="none"/>
        </w:rPr>
        <w:t xml:space="preserve"> </w:t>
      </w:r>
    </w:p>
    <w:p w14:paraId="77AC5BF4">
      <w:pPr>
        <w:snapToGrid w:val="0"/>
        <w:spacing w:line="400" w:lineRule="exact"/>
        <w:ind w:firstLine="1050" w:firstLineChars="500"/>
        <w:rPr>
          <w:rFonts w:ascii="宋体" w:hAnsi="宋体" w:cs="宋体"/>
          <w:bCs/>
          <w:color w:val="auto"/>
          <w:kern w:val="0"/>
          <w:szCs w:val="21"/>
          <w:highlight w:val="none"/>
        </w:rPr>
      </w:pPr>
      <w:r>
        <w:rPr>
          <w:rFonts w:hint="eastAsia" w:ascii="宋体" w:hAnsi="宋体" w:cs="宋体"/>
          <w:bCs/>
          <w:color w:val="auto"/>
          <w:kern w:val="0"/>
          <w:szCs w:val="21"/>
          <w:highlight w:val="none"/>
        </w:rPr>
        <w:t>投标人名称（盖章）：</w:t>
      </w:r>
    </w:p>
    <w:p w14:paraId="557E97B4">
      <w:pPr>
        <w:snapToGrid w:val="0"/>
        <w:spacing w:line="400" w:lineRule="exact"/>
        <w:ind w:firstLine="1050" w:firstLineChars="500"/>
        <w:rPr>
          <w:rFonts w:ascii="宋体" w:hAnsi="宋体" w:cs="宋体"/>
          <w:bCs/>
          <w:color w:val="auto"/>
          <w:kern w:val="0"/>
          <w:szCs w:val="21"/>
          <w:highlight w:val="none"/>
        </w:rPr>
      </w:pPr>
      <w:r>
        <w:rPr>
          <w:rFonts w:hint="eastAsia" w:ascii="宋体" w:hAnsi="宋体" w:cs="宋体"/>
          <w:bCs/>
          <w:color w:val="auto"/>
          <w:kern w:val="0"/>
          <w:szCs w:val="21"/>
          <w:highlight w:val="none"/>
        </w:rPr>
        <w:t>投标人地址：</w:t>
      </w:r>
    </w:p>
    <w:p w14:paraId="70E07BB5">
      <w:pPr>
        <w:snapToGrid w:val="0"/>
        <w:spacing w:line="400" w:lineRule="exact"/>
        <w:ind w:firstLine="1050" w:firstLineChars="500"/>
        <w:rPr>
          <w:rFonts w:ascii="宋体" w:hAnsi="宋体" w:cs="宋体"/>
          <w:bCs/>
          <w:color w:val="auto"/>
          <w:kern w:val="0"/>
          <w:szCs w:val="21"/>
          <w:highlight w:val="none"/>
        </w:rPr>
      </w:pPr>
      <w:r>
        <w:rPr>
          <w:rFonts w:hint="eastAsia" w:ascii="宋体" w:hAnsi="宋体" w:cs="宋体"/>
          <w:bCs/>
          <w:color w:val="auto"/>
          <w:kern w:val="0"/>
          <w:szCs w:val="21"/>
          <w:highlight w:val="none"/>
        </w:rPr>
        <w:t>法定代表人或授权代表（签字或盖章）</w:t>
      </w:r>
    </w:p>
    <w:p w14:paraId="24251B12">
      <w:pPr>
        <w:pStyle w:val="6"/>
        <w:snapToGrid w:val="0"/>
        <w:spacing w:line="400" w:lineRule="exact"/>
        <w:ind w:firstLine="978" w:firstLineChars="466"/>
        <w:rPr>
          <w:rFonts w:hAnsi="宋体" w:cs="宋体"/>
          <w:bCs/>
          <w:color w:val="auto"/>
          <w:szCs w:val="21"/>
          <w:highlight w:val="none"/>
        </w:rPr>
      </w:pPr>
      <w:r>
        <w:rPr>
          <w:rFonts w:hint="eastAsia" w:hAnsi="宋体" w:cs="宋体"/>
          <w:bCs/>
          <w:color w:val="auto"/>
          <w:szCs w:val="21"/>
          <w:highlight w:val="none"/>
        </w:rPr>
        <w:t xml:space="preserve">                  开标时启封</w:t>
      </w:r>
    </w:p>
    <w:p w14:paraId="51F8A18B">
      <w:pPr>
        <w:snapToGrid w:val="0"/>
        <w:spacing w:line="400" w:lineRule="exact"/>
        <w:ind w:firstLine="645"/>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6764F7E9">
      <w:pPr>
        <w:snapToGrid w:val="0"/>
        <w:spacing w:before="156" w:beforeLines="50" w:after="50"/>
        <w:jc w:val="center"/>
        <w:rPr>
          <w:rFonts w:ascii="宋体" w:hAnsi="宋体" w:cs="宋体"/>
          <w:color w:val="auto"/>
          <w:szCs w:val="21"/>
          <w:highlight w:val="none"/>
        </w:rPr>
      </w:pPr>
    </w:p>
    <w:p w14:paraId="22CC91CA">
      <w:pPr>
        <w:snapToGrid w:val="0"/>
        <w:spacing w:before="156" w:beforeLines="50" w:after="50"/>
        <w:jc w:val="center"/>
        <w:rPr>
          <w:rFonts w:ascii="宋体" w:hAnsi="宋体" w:cs="宋体"/>
          <w:color w:val="auto"/>
          <w:szCs w:val="21"/>
          <w:highlight w:val="none"/>
        </w:rPr>
      </w:pPr>
    </w:p>
    <w:p w14:paraId="014BDD44">
      <w:pPr>
        <w:snapToGrid w:val="0"/>
        <w:spacing w:before="156" w:beforeLines="50" w:after="50"/>
        <w:jc w:val="center"/>
        <w:rPr>
          <w:rFonts w:ascii="宋体" w:hAnsi="宋体" w:cs="宋体"/>
          <w:color w:val="auto"/>
          <w:szCs w:val="21"/>
          <w:highlight w:val="none"/>
        </w:rPr>
      </w:pPr>
    </w:p>
    <w:p w14:paraId="16784106">
      <w:pPr>
        <w:snapToGrid w:val="0"/>
        <w:spacing w:before="156" w:beforeLines="50" w:after="50"/>
        <w:jc w:val="center"/>
        <w:rPr>
          <w:rFonts w:ascii="宋体" w:hAnsi="宋体" w:cs="宋体"/>
          <w:color w:val="auto"/>
          <w:szCs w:val="21"/>
          <w:highlight w:val="none"/>
        </w:rPr>
      </w:pPr>
    </w:p>
    <w:p w14:paraId="29333F34">
      <w:pPr>
        <w:snapToGrid w:val="0"/>
        <w:spacing w:before="156" w:beforeLines="50" w:after="50"/>
        <w:rPr>
          <w:rFonts w:ascii="宋体" w:hAnsi="宋体" w:cs="宋体"/>
          <w:color w:val="auto"/>
          <w:szCs w:val="21"/>
          <w:highlight w:val="none"/>
        </w:rPr>
      </w:pPr>
      <w:r>
        <w:rPr>
          <w:rFonts w:hint="eastAsia" w:ascii="宋体" w:hAnsi="宋体" w:cs="宋体"/>
          <w:color w:val="auto"/>
          <w:szCs w:val="21"/>
          <w:highlight w:val="none"/>
        </w:rPr>
        <w:t xml:space="preserve">2.封面格式： </w:t>
      </w:r>
    </w:p>
    <w:p w14:paraId="1BDE2480">
      <w:pPr>
        <w:snapToGrid w:val="0"/>
        <w:spacing w:before="156" w:beforeLines="50" w:after="50"/>
        <w:rPr>
          <w:rFonts w:ascii="宋体" w:hAnsi="宋体" w:cs="宋体"/>
          <w:color w:val="auto"/>
          <w:szCs w:val="21"/>
          <w:highlight w:val="none"/>
        </w:rPr>
      </w:pPr>
      <w:r>
        <w:rPr>
          <w:rFonts w:hint="eastAsia" w:ascii="宋体" w:hAnsi="宋体" w:cs="宋体"/>
          <w:color w:val="auto"/>
          <w:szCs w:val="21"/>
          <w:highlight w:val="none"/>
        </w:rPr>
        <w:t xml:space="preserve">                                                    </w:t>
      </w:r>
    </w:p>
    <w:p w14:paraId="30F5E533">
      <w:pPr>
        <w:snapToGrid w:val="0"/>
        <w:spacing w:before="156" w:beforeLines="50" w:after="50"/>
        <w:jc w:val="center"/>
        <w:rPr>
          <w:rFonts w:ascii="宋体" w:hAnsi="宋体" w:cs="宋体"/>
          <w:bCs/>
          <w:color w:val="auto"/>
          <w:szCs w:val="21"/>
          <w:highlight w:val="none"/>
        </w:rPr>
      </w:pPr>
    </w:p>
    <w:p w14:paraId="33293A53">
      <w:pPr>
        <w:snapToGrid w:val="0"/>
        <w:spacing w:before="156" w:beforeLines="50" w:after="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投标文件</w:t>
      </w:r>
    </w:p>
    <w:p w14:paraId="22688D14">
      <w:pPr>
        <w:snapToGrid w:val="0"/>
        <w:spacing w:before="156" w:beforeLines="50" w:after="50"/>
        <w:rPr>
          <w:rFonts w:ascii="宋体" w:hAnsi="宋体" w:cs="宋体"/>
          <w:bCs/>
          <w:color w:val="auto"/>
          <w:szCs w:val="21"/>
          <w:highlight w:val="none"/>
        </w:rPr>
      </w:pPr>
    </w:p>
    <w:p w14:paraId="1D4A795D">
      <w:pPr>
        <w:snapToGrid w:val="0"/>
        <w:spacing w:line="400" w:lineRule="exact"/>
        <w:ind w:firstLine="1039" w:firstLineChars="495"/>
        <w:rPr>
          <w:rFonts w:ascii="宋体" w:hAnsi="宋体" w:cs="宋体"/>
          <w:bCs/>
          <w:color w:val="auto"/>
          <w:szCs w:val="21"/>
          <w:highlight w:val="none"/>
        </w:rPr>
      </w:pPr>
      <w:r>
        <w:rPr>
          <w:rFonts w:hint="eastAsia" w:ascii="宋体" w:hAnsi="宋体" w:cs="宋体"/>
          <w:bCs/>
          <w:color w:val="auto"/>
          <w:szCs w:val="21"/>
          <w:highlight w:val="none"/>
        </w:rPr>
        <w:t>项目名称：</w:t>
      </w:r>
      <w:r>
        <w:rPr>
          <w:rFonts w:hint="eastAsia" w:ascii="宋体" w:hAnsi="宋体" w:cs="宋体"/>
          <w:color w:val="auto"/>
          <w:szCs w:val="21"/>
          <w:highlight w:val="none"/>
        </w:rPr>
        <w:t xml:space="preserve"> </w:t>
      </w:r>
    </w:p>
    <w:p w14:paraId="0D0716FA">
      <w:pPr>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      项目编号：</w:t>
      </w:r>
    </w:p>
    <w:p w14:paraId="51AB22CC">
      <w:pPr>
        <w:snapToGrid w:val="0"/>
        <w:spacing w:line="400" w:lineRule="exact"/>
        <w:ind w:firstLine="1050" w:firstLineChars="500"/>
        <w:rPr>
          <w:rFonts w:ascii="宋体" w:hAnsi="宋体" w:cs="宋体"/>
          <w:bCs/>
          <w:color w:val="auto"/>
          <w:kern w:val="0"/>
          <w:szCs w:val="21"/>
          <w:highlight w:val="none"/>
        </w:rPr>
      </w:pPr>
      <w:r>
        <w:rPr>
          <w:rFonts w:hint="eastAsia" w:ascii="宋体" w:hAnsi="宋体" w:cs="宋体"/>
          <w:bCs/>
          <w:color w:val="auto"/>
          <w:kern w:val="0"/>
          <w:szCs w:val="21"/>
          <w:highlight w:val="none"/>
        </w:rPr>
        <w:t>投标文件名称：资格证明文件/报价文件/技术商务文件</w:t>
      </w:r>
      <w:r>
        <w:rPr>
          <w:rFonts w:ascii="宋体" w:hAnsi="宋体" w:cs="宋体"/>
          <w:bCs/>
          <w:color w:val="auto"/>
          <w:kern w:val="0"/>
          <w:szCs w:val="21"/>
          <w:highlight w:val="none"/>
        </w:rPr>
        <w:t xml:space="preserve"> </w:t>
      </w:r>
    </w:p>
    <w:p w14:paraId="65819B14">
      <w:pPr>
        <w:snapToGrid w:val="0"/>
        <w:spacing w:line="400" w:lineRule="exact"/>
        <w:ind w:firstLine="1050" w:firstLineChars="500"/>
        <w:rPr>
          <w:rFonts w:ascii="宋体" w:hAnsi="宋体" w:cs="宋体"/>
          <w:bCs/>
          <w:color w:val="auto"/>
          <w:kern w:val="0"/>
          <w:szCs w:val="21"/>
          <w:highlight w:val="none"/>
        </w:rPr>
      </w:pPr>
      <w:r>
        <w:rPr>
          <w:rFonts w:hint="eastAsia" w:ascii="宋体" w:hAnsi="宋体" w:cs="宋体"/>
          <w:bCs/>
          <w:color w:val="auto"/>
          <w:kern w:val="0"/>
          <w:szCs w:val="21"/>
          <w:highlight w:val="none"/>
        </w:rPr>
        <w:t>投标人名称（盖章）：</w:t>
      </w:r>
    </w:p>
    <w:p w14:paraId="6E5C774B">
      <w:pPr>
        <w:snapToGrid w:val="0"/>
        <w:spacing w:line="400" w:lineRule="exact"/>
        <w:ind w:firstLine="1050" w:firstLineChars="500"/>
        <w:rPr>
          <w:rFonts w:ascii="宋体" w:hAnsi="宋体" w:cs="宋体"/>
          <w:bCs/>
          <w:color w:val="auto"/>
          <w:kern w:val="0"/>
          <w:szCs w:val="21"/>
          <w:highlight w:val="none"/>
        </w:rPr>
      </w:pPr>
      <w:r>
        <w:rPr>
          <w:rFonts w:hint="eastAsia" w:ascii="宋体" w:hAnsi="宋体" w:cs="宋体"/>
          <w:bCs/>
          <w:color w:val="auto"/>
          <w:kern w:val="0"/>
          <w:szCs w:val="21"/>
          <w:highlight w:val="none"/>
        </w:rPr>
        <w:t>投标人地址：</w:t>
      </w:r>
    </w:p>
    <w:p w14:paraId="61189879">
      <w:pPr>
        <w:snapToGrid w:val="0"/>
        <w:spacing w:line="400" w:lineRule="exact"/>
        <w:ind w:firstLine="1050" w:firstLineChars="500"/>
        <w:rPr>
          <w:rFonts w:ascii="宋体" w:hAnsi="宋体" w:cs="宋体"/>
          <w:bCs/>
          <w:color w:val="auto"/>
          <w:kern w:val="0"/>
          <w:szCs w:val="21"/>
          <w:highlight w:val="none"/>
        </w:rPr>
      </w:pPr>
      <w:r>
        <w:rPr>
          <w:rFonts w:hint="eastAsia" w:ascii="宋体" w:hAnsi="宋体" w:cs="宋体"/>
          <w:bCs/>
          <w:color w:val="auto"/>
          <w:kern w:val="0"/>
          <w:szCs w:val="21"/>
          <w:highlight w:val="none"/>
        </w:rPr>
        <w:t>法定代表人或授权代表（签字或盖章）</w:t>
      </w:r>
    </w:p>
    <w:p w14:paraId="403556DA">
      <w:pPr>
        <w:pStyle w:val="6"/>
        <w:snapToGrid w:val="0"/>
        <w:spacing w:line="400" w:lineRule="exact"/>
        <w:ind w:firstLine="978" w:firstLineChars="466"/>
        <w:rPr>
          <w:rFonts w:hAnsi="宋体" w:cs="宋体"/>
          <w:bCs/>
          <w:color w:val="auto"/>
          <w:szCs w:val="21"/>
          <w:highlight w:val="none"/>
        </w:rPr>
      </w:pPr>
      <w:r>
        <w:rPr>
          <w:rFonts w:hint="eastAsia" w:hAnsi="宋体" w:cs="宋体"/>
          <w:bCs/>
          <w:color w:val="auto"/>
          <w:szCs w:val="21"/>
          <w:highlight w:val="none"/>
        </w:rPr>
        <w:t xml:space="preserve">                  </w:t>
      </w:r>
    </w:p>
    <w:p w14:paraId="2D3202B3">
      <w:pPr>
        <w:snapToGrid w:val="0"/>
        <w:spacing w:line="400" w:lineRule="exact"/>
        <w:ind w:firstLine="645"/>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6B6AB650">
      <w:pPr>
        <w:spacing w:after="312" w:afterLines="100" w:line="360" w:lineRule="auto"/>
        <w:jc w:val="left"/>
        <w:rPr>
          <w:rFonts w:ascii="宋体" w:hAnsi="宋体" w:cs="宋体"/>
          <w:color w:val="auto"/>
          <w:szCs w:val="21"/>
          <w:highlight w:val="none"/>
        </w:rPr>
      </w:pPr>
      <w:r>
        <w:rPr>
          <w:rFonts w:hint="eastAsia" w:ascii="宋体" w:hAnsi="宋体" w:cs="宋体"/>
          <w:b/>
          <w:color w:val="auto"/>
          <w:szCs w:val="21"/>
          <w:highlight w:val="none"/>
        </w:rPr>
        <w:br w:type="page"/>
      </w:r>
      <w:r>
        <w:rPr>
          <w:rFonts w:hint="eastAsia" w:ascii="宋体" w:hAnsi="宋体" w:cs="宋体"/>
          <w:color w:val="auto"/>
          <w:szCs w:val="21"/>
          <w:highlight w:val="none"/>
        </w:rPr>
        <w:t>附件1：</w:t>
      </w:r>
    </w:p>
    <w:p w14:paraId="15600444">
      <w:pPr>
        <w:adjustRightInd w:val="0"/>
        <w:snapToGrid w:val="0"/>
        <w:jc w:val="center"/>
        <w:rPr>
          <w:rFonts w:ascii="宋体" w:hAnsi="宋体" w:cs="宋体"/>
          <w:b/>
          <w:color w:val="auto"/>
          <w:sz w:val="30"/>
          <w:szCs w:val="30"/>
          <w:highlight w:val="none"/>
        </w:rPr>
      </w:pPr>
      <w:r>
        <w:rPr>
          <w:rFonts w:hint="eastAsia" w:ascii="宋体" w:hAnsi="宋体" w:cs="宋体"/>
          <w:b/>
          <w:color w:val="auto"/>
          <w:sz w:val="30"/>
          <w:szCs w:val="30"/>
          <w:highlight w:val="none"/>
        </w:rPr>
        <w:t>投标人资格条件自查表</w:t>
      </w:r>
    </w:p>
    <w:p w14:paraId="78109787">
      <w:pPr>
        <w:adjustRightInd w:val="0"/>
        <w:snapToGrid w:val="0"/>
        <w:jc w:val="center"/>
        <w:rPr>
          <w:rFonts w:ascii="宋体" w:hAnsi="宋体" w:cs="宋体"/>
          <w:b/>
          <w:color w:val="auto"/>
          <w:szCs w:val="21"/>
          <w:highlight w:val="none"/>
        </w:rPr>
      </w:pPr>
    </w:p>
    <w:tbl>
      <w:tblPr>
        <w:tblStyle w:val="25"/>
        <w:tblW w:w="87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5219"/>
        <w:gridCol w:w="1240"/>
        <w:gridCol w:w="1468"/>
      </w:tblGrid>
      <w:tr w14:paraId="5005EE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Align w:val="center"/>
          </w:tcPr>
          <w:p w14:paraId="0629FC28">
            <w:pPr>
              <w:adjustRightInd w:val="0"/>
              <w:snapToGrid w:val="0"/>
              <w:jc w:val="center"/>
              <w:rPr>
                <w:rFonts w:ascii="宋体" w:hAnsi="宋体" w:cs="宋体"/>
                <w:color w:val="auto"/>
                <w:szCs w:val="21"/>
                <w:highlight w:val="none"/>
              </w:rPr>
            </w:pPr>
            <w:r>
              <w:rPr>
                <w:rStyle w:val="27"/>
                <w:rFonts w:hint="eastAsia" w:ascii="宋体" w:hAnsi="宋体" w:cs="宋体"/>
                <w:color w:val="auto"/>
                <w:szCs w:val="21"/>
                <w:highlight w:val="none"/>
              </w:rPr>
              <w:t>评审内容</w:t>
            </w:r>
          </w:p>
        </w:tc>
        <w:tc>
          <w:tcPr>
            <w:tcW w:w="5219" w:type="dxa"/>
            <w:vAlign w:val="center"/>
          </w:tcPr>
          <w:p w14:paraId="751A3707">
            <w:pPr>
              <w:adjustRightInd w:val="0"/>
              <w:snapToGrid w:val="0"/>
              <w:jc w:val="center"/>
              <w:rPr>
                <w:rFonts w:ascii="宋体" w:hAnsi="宋体" w:cs="宋体"/>
                <w:color w:val="auto"/>
                <w:szCs w:val="21"/>
                <w:highlight w:val="none"/>
              </w:rPr>
            </w:pPr>
            <w:r>
              <w:rPr>
                <w:rStyle w:val="27"/>
                <w:rFonts w:hint="eastAsia" w:ascii="宋体" w:hAnsi="宋体" w:cs="宋体"/>
                <w:color w:val="auto"/>
                <w:szCs w:val="21"/>
                <w:highlight w:val="none"/>
              </w:rPr>
              <w:t>招标文件要求</w:t>
            </w:r>
          </w:p>
        </w:tc>
        <w:tc>
          <w:tcPr>
            <w:tcW w:w="1240" w:type="dxa"/>
            <w:vAlign w:val="center"/>
          </w:tcPr>
          <w:p w14:paraId="3172AA4D">
            <w:pPr>
              <w:adjustRightInd w:val="0"/>
              <w:snapToGrid w:val="0"/>
              <w:jc w:val="center"/>
              <w:rPr>
                <w:rFonts w:ascii="宋体" w:hAnsi="宋体" w:cs="宋体"/>
                <w:color w:val="auto"/>
                <w:szCs w:val="21"/>
                <w:highlight w:val="none"/>
              </w:rPr>
            </w:pPr>
            <w:r>
              <w:rPr>
                <w:rStyle w:val="27"/>
                <w:rFonts w:hint="eastAsia" w:ascii="宋体" w:hAnsi="宋体" w:cs="宋体"/>
                <w:color w:val="auto"/>
                <w:szCs w:val="21"/>
                <w:highlight w:val="none"/>
              </w:rPr>
              <w:t>自查结论</w:t>
            </w:r>
          </w:p>
        </w:tc>
        <w:tc>
          <w:tcPr>
            <w:tcW w:w="1468" w:type="dxa"/>
            <w:vAlign w:val="center"/>
          </w:tcPr>
          <w:p w14:paraId="31CD8DAD">
            <w:pPr>
              <w:adjustRightInd w:val="0"/>
              <w:snapToGrid w:val="0"/>
              <w:jc w:val="center"/>
              <w:rPr>
                <w:rFonts w:ascii="宋体" w:hAnsi="宋体" w:cs="宋体"/>
                <w:color w:val="auto"/>
                <w:szCs w:val="21"/>
                <w:highlight w:val="none"/>
              </w:rPr>
            </w:pPr>
            <w:r>
              <w:rPr>
                <w:rStyle w:val="27"/>
                <w:rFonts w:hint="eastAsia" w:ascii="宋体" w:hAnsi="宋体" w:cs="宋体"/>
                <w:color w:val="auto"/>
                <w:szCs w:val="21"/>
                <w:highlight w:val="none"/>
              </w:rPr>
              <w:t>证明资料</w:t>
            </w:r>
          </w:p>
        </w:tc>
      </w:tr>
      <w:tr w14:paraId="49FADC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restart"/>
            <w:vAlign w:val="center"/>
          </w:tcPr>
          <w:p w14:paraId="7EC1E1CB">
            <w:pPr>
              <w:pStyle w:val="35"/>
              <w:adjustRightInd w:val="0"/>
              <w:snapToGrid w:val="0"/>
              <w:spacing w:before="0" w:beforeAutospacing="0" w:after="0" w:afterAutospacing="0"/>
              <w:jc w:val="center"/>
              <w:rPr>
                <w:rFonts w:cs="宋体"/>
                <w:b/>
                <w:color w:val="auto"/>
                <w:sz w:val="21"/>
                <w:szCs w:val="21"/>
                <w:highlight w:val="none"/>
              </w:rPr>
            </w:pPr>
            <w:r>
              <w:rPr>
                <w:rFonts w:hint="eastAsia" w:cs="宋体"/>
                <w:b/>
                <w:color w:val="auto"/>
                <w:sz w:val="21"/>
                <w:szCs w:val="21"/>
                <w:highlight w:val="none"/>
              </w:rPr>
              <w:t>资</w:t>
            </w:r>
          </w:p>
          <w:p w14:paraId="31393A4F">
            <w:pPr>
              <w:pStyle w:val="35"/>
              <w:adjustRightInd w:val="0"/>
              <w:snapToGrid w:val="0"/>
              <w:spacing w:before="0" w:beforeAutospacing="0" w:after="0" w:afterAutospacing="0"/>
              <w:jc w:val="center"/>
              <w:rPr>
                <w:rFonts w:cs="宋体"/>
                <w:b/>
                <w:color w:val="auto"/>
                <w:sz w:val="21"/>
                <w:szCs w:val="21"/>
                <w:highlight w:val="none"/>
              </w:rPr>
            </w:pPr>
            <w:r>
              <w:rPr>
                <w:rFonts w:hint="eastAsia" w:cs="宋体"/>
                <w:b/>
                <w:color w:val="auto"/>
                <w:sz w:val="21"/>
                <w:szCs w:val="21"/>
                <w:highlight w:val="none"/>
              </w:rPr>
              <w:t>格</w:t>
            </w:r>
          </w:p>
          <w:p w14:paraId="1C082CE0">
            <w:pPr>
              <w:pStyle w:val="35"/>
              <w:adjustRightInd w:val="0"/>
              <w:snapToGrid w:val="0"/>
              <w:spacing w:before="0" w:beforeAutospacing="0" w:after="0" w:afterAutospacing="0"/>
              <w:jc w:val="center"/>
              <w:rPr>
                <w:rFonts w:cs="宋体"/>
                <w:b/>
                <w:color w:val="auto"/>
                <w:sz w:val="21"/>
                <w:szCs w:val="21"/>
                <w:highlight w:val="none"/>
              </w:rPr>
            </w:pPr>
            <w:r>
              <w:rPr>
                <w:rFonts w:hint="eastAsia" w:cs="宋体"/>
                <w:b/>
                <w:color w:val="auto"/>
                <w:sz w:val="21"/>
                <w:szCs w:val="21"/>
                <w:highlight w:val="none"/>
              </w:rPr>
              <w:t>性</w:t>
            </w:r>
          </w:p>
          <w:p w14:paraId="491A9681">
            <w:pPr>
              <w:pStyle w:val="35"/>
              <w:adjustRightInd w:val="0"/>
              <w:snapToGrid w:val="0"/>
              <w:spacing w:before="0" w:beforeAutospacing="0" w:after="0" w:afterAutospacing="0"/>
              <w:jc w:val="center"/>
              <w:rPr>
                <w:rFonts w:cs="宋体"/>
                <w:b/>
                <w:color w:val="auto"/>
                <w:sz w:val="21"/>
                <w:szCs w:val="21"/>
                <w:highlight w:val="none"/>
              </w:rPr>
            </w:pPr>
            <w:r>
              <w:rPr>
                <w:rFonts w:hint="eastAsia" w:cs="宋体"/>
                <w:b/>
                <w:color w:val="auto"/>
                <w:sz w:val="21"/>
                <w:szCs w:val="21"/>
                <w:highlight w:val="none"/>
              </w:rPr>
              <w:t>审</w:t>
            </w:r>
          </w:p>
          <w:p w14:paraId="09532A35">
            <w:pPr>
              <w:pStyle w:val="35"/>
              <w:adjustRightInd w:val="0"/>
              <w:snapToGrid w:val="0"/>
              <w:spacing w:before="0" w:beforeAutospacing="0" w:after="0" w:afterAutospacing="0"/>
              <w:jc w:val="center"/>
              <w:rPr>
                <w:rStyle w:val="27"/>
                <w:rFonts w:cs="宋体"/>
                <w:color w:val="auto"/>
                <w:szCs w:val="21"/>
                <w:highlight w:val="none"/>
              </w:rPr>
            </w:pPr>
            <w:r>
              <w:rPr>
                <w:rFonts w:hint="eastAsia" w:cs="宋体"/>
                <w:b/>
                <w:color w:val="auto"/>
                <w:sz w:val="21"/>
                <w:szCs w:val="21"/>
                <w:highlight w:val="none"/>
              </w:rPr>
              <w:t>查</w:t>
            </w:r>
          </w:p>
        </w:tc>
        <w:tc>
          <w:tcPr>
            <w:tcW w:w="5219" w:type="dxa"/>
            <w:vAlign w:val="center"/>
          </w:tcPr>
          <w:p w14:paraId="2C4F777E">
            <w:pPr>
              <w:adjustRightInd w:val="0"/>
              <w:snapToGrid w:val="0"/>
              <w:jc w:val="left"/>
              <w:rPr>
                <w:rStyle w:val="27"/>
                <w:rFonts w:ascii="宋体" w:hAnsi="宋体" w:cs="宋体"/>
                <w:color w:val="auto"/>
                <w:szCs w:val="21"/>
                <w:highlight w:val="none"/>
              </w:rPr>
            </w:pPr>
            <w:r>
              <w:rPr>
                <w:rFonts w:hint="eastAsia" w:ascii="宋体" w:hAnsi="宋体" w:cs="宋体"/>
                <w:color w:val="auto"/>
                <w:szCs w:val="21"/>
                <w:highlight w:val="none"/>
              </w:rPr>
              <w:t>一、符合《中华人民共和国政府采购法》第22条的一般资格条件的规定</w:t>
            </w:r>
          </w:p>
        </w:tc>
        <w:tc>
          <w:tcPr>
            <w:tcW w:w="1240" w:type="dxa"/>
            <w:vAlign w:val="center"/>
          </w:tcPr>
          <w:p w14:paraId="52E7764E">
            <w:pPr>
              <w:adjustRightInd w:val="0"/>
              <w:snapToGrid w:val="0"/>
              <w:rPr>
                <w:rFonts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 xml:space="preserve">通过 </w:t>
            </w:r>
          </w:p>
          <w:p w14:paraId="62394F6A">
            <w:pPr>
              <w:adjustRightInd w:val="0"/>
              <w:snapToGrid w:val="0"/>
              <w:rPr>
                <w:rFonts w:ascii="宋体" w:hAnsi="宋体" w:cs="宋体"/>
                <w:color w:val="auto"/>
                <w:szCs w:val="21"/>
                <w:highlight w:val="none"/>
              </w:rPr>
            </w:pPr>
            <w:r>
              <w:rPr>
                <w:rFonts w:hint="eastAsia" w:ascii="宋体" w:hAnsi="宋体" w:cs="宋体"/>
                <w:color w:val="auto"/>
                <w:szCs w:val="21"/>
                <w:highlight w:val="none"/>
              </w:rPr>
              <w:t>□不通过</w:t>
            </w:r>
          </w:p>
        </w:tc>
        <w:tc>
          <w:tcPr>
            <w:tcW w:w="1468" w:type="dxa"/>
            <w:vAlign w:val="center"/>
          </w:tcPr>
          <w:p w14:paraId="4A590174">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12DDEA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3E0AFBE7">
            <w:pPr>
              <w:pStyle w:val="35"/>
              <w:adjustRightInd w:val="0"/>
              <w:snapToGrid w:val="0"/>
              <w:spacing w:before="0" w:beforeAutospacing="0" w:after="0" w:afterAutospacing="0"/>
              <w:jc w:val="center"/>
              <w:rPr>
                <w:rFonts w:cs="宋体"/>
                <w:b/>
                <w:color w:val="auto"/>
                <w:sz w:val="21"/>
                <w:szCs w:val="21"/>
                <w:highlight w:val="none"/>
              </w:rPr>
            </w:pPr>
          </w:p>
        </w:tc>
        <w:tc>
          <w:tcPr>
            <w:tcW w:w="5219" w:type="dxa"/>
            <w:vAlign w:val="center"/>
          </w:tcPr>
          <w:p w14:paraId="7BF7AD62">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二、投标人未被 </w:t>
            </w:r>
            <w:r>
              <w:rPr>
                <w:rFonts w:hint="eastAsia" w:ascii="宋体" w:hAnsi="宋体" w:eastAsia="宋体" w:cs="宋体"/>
                <w:color w:val="auto"/>
                <w:szCs w:val="21"/>
                <w:highlight w:val="none"/>
                <w:lang w:val="en"/>
              </w:rPr>
              <w:t>“信用中国”（www.creditchina.gov.cn)、中国政府采购网（www.ccgp.gov.cn）列入失信被执行人、重大税收违法案件当事人名单、政府采购严重违法失信行为记录名单。</w:t>
            </w:r>
          </w:p>
        </w:tc>
        <w:tc>
          <w:tcPr>
            <w:tcW w:w="1240" w:type="dxa"/>
            <w:vAlign w:val="center"/>
          </w:tcPr>
          <w:p w14:paraId="40C73FBB">
            <w:pPr>
              <w:adjustRightInd w:val="0"/>
              <w:snapToGrid w:val="0"/>
              <w:rPr>
                <w:rFonts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 xml:space="preserve">通过 </w:t>
            </w:r>
          </w:p>
          <w:p w14:paraId="7FADA3EA">
            <w:pPr>
              <w:adjustRightInd w:val="0"/>
              <w:snapToGrid w:val="0"/>
              <w:rPr>
                <w:rFonts w:ascii="宋体" w:hAnsi="宋体" w:cs="宋体"/>
                <w:color w:val="auto"/>
                <w:szCs w:val="21"/>
                <w:highlight w:val="none"/>
              </w:rPr>
            </w:pPr>
            <w:r>
              <w:rPr>
                <w:rFonts w:hint="eastAsia" w:ascii="宋体" w:hAnsi="宋体" w:cs="宋体"/>
                <w:color w:val="auto"/>
                <w:szCs w:val="21"/>
                <w:highlight w:val="none"/>
              </w:rPr>
              <w:t>□不通过</w:t>
            </w:r>
          </w:p>
        </w:tc>
        <w:tc>
          <w:tcPr>
            <w:tcW w:w="1468" w:type="dxa"/>
            <w:vAlign w:val="center"/>
          </w:tcPr>
          <w:p w14:paraId="6DB7D468">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41341A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30A77E88">
            <w:pPr>
              <w:pStyle w:val="35"/>
              <w:adjustRightInd w:val="0"/>
              <w:snapToGrid w:val="0"/>
              <w:spacing w:before="0" w:beforeAutospacing="0" w:after="0" w:afterAutospacing="0"/>
              <w:jc w:val="center"/>
              <w:rPr>
                <w:rFonts w:cs="宋体"/>
                <w:b/>
                <w:color w:val="auto"/>
                <w:sz w:val="21"/>
                <w:szCs w:val="21"/>
                <w:highlight w:val="none"/>
              </w:rPr>
            </w:pPr>
          </w:p>
        </w:tc>
        <w:tc>
          <w:tcPr>
            <w:tcW w:w="5219" w:type="dxa"/>
            <w:vAlign w:val="center"/>
          </w:tcPr>
          <w:p w14:paraId="2B8A440F">
            <w:pPr>
              <w:adjustRightInd w:val="0"/>
              <w:snapToGrid w:val="0"/>
              <w:jc w:val="left"/>
              <w:rPr>
                <w:rFonts w:hint="eastAsia" w:ascii="宋体" w:hAnsi="宋体" w:eastAsia="宋体" w:cs="宋体"/>
                <w:color w:val="auto"/>
                <w:szCs w:val="21"/>
                <w:highlight w:val="none"/>
                <w:lang w:val="en-US" w:eastAsia="zh-CN"/>
              </w:rPr>
            </w:pPr>
            <w:r>
              <w:rPr>
                <w:rFonts w:hint="eastAsia" w:ascii="宋体" w:hAnsi="宋体" w:cs="宋体"/>
                <w:szCs w:val="21"/>
                <w:lang w:val="en-US" w:eastAsia="zh-CN"/>
              </w:rPr>
              <w:t>三、落实政府采购政策需满足的资格要求：本项目属于专门面向中小企业采购的项目，投标人应为符合《政府采购促进中小企业发展管理办法》（财库﹝2020﹞46 号）规定的中小企业（其中，小微企业包括视同为小型、微型企业的监狱企业、残疾人福利性单位。）</w:t>
            </w:r>
          </w:p>
        </w:tc>
        <w:tc>
          <w:tcPr>
            <w:tcW w:w="1240" w:type="dxa"/>
            <w:vAlign w:val="center"/>
          </w:tcPr>
          <w:p w14:paraId="5CE9F71D">
            <w:pPr>
              <w:adjustRightInd w:val="0"/>
              <w:snapToGrid w:val="0"/>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通过 </w:t>
            </w:r>
          </w:p>
          <w:p w14:paraId="657F6686">
            <w:pPr>
              <w:adjustRightInd w:val="0"/>
              <w:snapToGrid w:val="0"/>
              <w:rPr>
                <w:rFonts w:hint="eastAsia" w:ascii="宋体" w:hAnsi="宋体" w:cs="宋体"/>
                <w:color w:val="auto"/>
                <w:szCs w:val="21"/>
                <w:highlight w:val="none"/>
              </w:rPr>
            </w:pPr>
            <w:r>
              <w:rPr>
                <w:rFonts w:hint="eastAsia" w:ascii="宋体" w:hAnsi="宋体" w:cs="宋体"/>
                <w:szCs w:val="21"/>
              </w:rPr>
              <w:t>□不通过</w:t>
            </w:r>
          </w:p>
        </w:tc>
        <w:tc>
          <w:tcPr>
            <w:tcW w:w="1468" w:type="dxa"/>
            <w:vAlign w:val="center"/>
          </w:tcPr>
          <w:p w14:paraId="2F33E894">
            <w:pPr>
              <w:adjustRightInd w:val="0"/>
              <w:snapToGrid w:val="0"/>
              <w:jc w:val="center"/>
              <w:rPr>
                <w:rFonts w:hint="eastAsia" w:ascii="宋体" w:hAnsi="宋体" w:cs="宋体"/>
                <w:color w:val="auto"/>
                <w:szCs w:val="21"/>
                <w:highlight w:val="none"/>
              </w:rPr>
            </w:pPr>
            <w:r>
              <w:rPr>
                <w:rFonts w:hint="eastAsia" w:ascii="宋体" w:hAnsi="宋体" w:cs="宋体"/>
                <w:szCs w:val="21"/>
              </w:rPr>
              <w:t>第（ ）页</w:t>
            </w:r>
          </w:p>
        </w:tc>
      </w:tr>
      <w:tr w14:paraId="7A127E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0F42037F">
            <w:pPr>
              <w:pStyle w:val="35"/>
              <w:adjustRightInd w:val="0"/>
              <w:snapToGrid w:val="0"/>
              <w:spacing w:before="0" w:beforeAutospacing="0" w:after="0" w:afterAutospacing="0"/>
              <w:jc w:val="center"/>
              <w:rPr>
                <w:rFonts w:cs="宋体"/>
                <w:b/>
                <w:color w:val="auto"/>
                <w:sz w:val="21"/>
                <w:szCs w:val="21"/>
                <w:highlight w:val="none"/>
              </w:rPr>
            </w:pPr>
          </w:p>
        </w:tc>
        <w:tc>
          <w:tcPr>
            <w:tcW w:w="5219" w:type="dxa"/>
            <w:vAlign w:val="center"/>
          </w:tcPr>
          <w:p w14:paraId="4E6315C2">
            <w:pPr>
              <w:adjustRightInd w:val="0"/>
              <w:snapToGrid w:val="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四、投标人具备乙级及以上测绘资质（含界线与不动产测绘、地理信息系统工程）。</w:t>
            </w:r>
          </w:p>
        </w:tc>
        <w:tc>
          <w:tcPr>
            <w:tcW w:w="1240" w:type="dxa"/>
            <w:vAlign w:val="center"/>
          </w:tcPr>
          <w:p w14:paraId="59FAAA7A">
            <w:pPr>
              <w:adjustRightInd w:val="0"/>
              <w:snapToGrid w:val="0"/>
              <w:rPr>
                <w:rFonts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 xml:space="preserve">通过 </w:t>
            </w:r>
          </w:p>
          <w:p w14:paraId="006839A8">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□不通过</w:t>
            </w:r>
          </w:p>
        </w:tc>
        <w:tc>
          <w:tcPr>
            <w:tcW w:w="1468" w:type="dxa"/>
            <w:vAlign w:val="center"/>
          </w:tcPr>
          <w:p w14:paraId="6D08A8FB">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 ）页</w:t>
            </w:r>
          </w:p>
        </w:tc>
      </w:tr>
      <w:tr w14:paraId="398958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36BD0BD0">
            <w:pPr>
              <w:adjustRightInd w:val="0"/>
              <w:snapToGrid w:val="0"/>
              <w:rPr>
                <w:rFonts w:ascii="宋体" w:hAnsi="宋体" w:cs="宋体"/>
                <w:color w:val="auto"/>
                <w:szCs w:val="21"/>
                <w:highlight w:val="none"/>
              </w:rPr>
            </w:pPr>
          </w:p>
        </w:tc>
        <w:tc>
          <w:tcPr>
            <w:tcW w:w="5219" w:type="dxa"/>
            <w:vAlign w:val="center"/>
          </w:tcPr>
          <w:p w14:paraId="4BF89D31">
            <w:pPr>
              <w:adjustRightInd w:val="0"/>
              <w:snapToGrid w:val="0"/>
              <w:rPr>
                <w:rFonts w:ascii="宋体" w:hAnsi="宋体" w:cs="宋体"/>
                <w:color w:val="auto"/>
                <w:szCs w:val="21"/>
                <w:highlight w:val="none"/>
              </w:rPr>
            </w:pP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、本项目不接受联合体投标。</w:t>
            </w:r>
          </w:p>
        </w:tc>
        <w:tc>
          <w:tcPr>
            <w:tcW w:w="1240" w:type="dxa"/>
            <w:vAlign w:val="center"/>
          </w:tcPr>
          <w:p w14:paraId="6EBFD90B">
            <w:pPr>
              <w:adjustRightInd w:val="0"/>
              <w:snapToGrid w:val="0"/>
              <w:rPr>
                <w:rFonts w:ascii="宋体" w:hAnsi="宋体" w:cs="宋体"/>
                <w:color w:val="auto"/>
                <w:szCs w:val="21"/>
                <w:highlight w:val="none"/>
              </w:rPr>
            </w:pPr>
            <w:r>
              <w:rPr>
                <w:rFonts w:hint="eastAsia" w:ascii="宋体" w:hAnsi="宋体" w:cs="宋体"/>
                <w:color w:val="auto"/>
                <w:szCs w:val="21"/>
                <w:highlight w:val="none"/>
              </w:rPr>
              <w:t>□通过</w:t>
            </w:r>
          </w:p>
          <w:p w14:paraId="739C1727">
            <w:pPr>
              <w:adjustRightInd w:val="0"/>
              <w:snapToGrid w:val="0"/>
              <w:rPr>
                <w:rFonts w:ascii="宋体" w:hAnsi="宋体" w:cs="宋体"/>
                <w:color w:val="auto"/>
                <w:szCs w:val="21"/>
                <w:highlight w:val="none"/>
              </w:rPr>
            </w:pPr>
            <w:r>
              <w:rPr>
                <w:rFonts w:hint="eastAsia" w:ascii="宋体" w:hAnsi="宋体" w:cs="宋体"/>
                <w:color w:val="auto"/>
                <w:szCs w:val="21"/>
                <w:highlight w:val="none"/>
              </w:rPr>
              <w:t>□不通过</w:t>
            </w:r>
          </w:p>
        </w:tc>
        <w:tc>
          <w:tcPr>
            <w:tcW w:w="1468" w:type="dxa"/>
            <w:vAlign w:val="center"/>
          </w:tcPr>
          <w:p w14:paraId="1248320D">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 ）页</w:t>
            </w:r>
          </w:p>
        </w:tc>
      </w:tr>
    </w:tbl>
    <w:p w14:paraId="6D0B3C44">
      <w:pPr>
        <w:snapToGrid w:val="0"/>
        <w:spacing w:before="50" w:after="156" w:afterLines="50"/>
        <w:jc w:val="left"/>
        <w:rPr>
          <w:rFonts w:ascii="宋体" w:hAnsi="宋体" w:cs="宋体"/>
          <w:color w:val="auto"/>
          <w:szCs w:val="21"/>
          <w:highlight w:val="none"/>
        </w:rPr>
      </w:pPr>
      <w:r>
        <w:rPr>
          <w:rFonts w:hint="eastAsia" w:ascii="宋体" w:hAnsi="宋体" w:cs="宋体"/>
          <w:b/>
          <w:color w:val="auto"/>
          <w:szCs w:val="21"/>
          <w:highlight w:val="none"/>
        </w:rPr>
        <w:t>备注：投标人自查表将作为投标人有效性审查的重要内容之一，投标投标人必须严格按照其内容及序列要求在投标文件中对应如实提供，对资格性证明文件的任何缺漏和不符合项将会直接导致投标无效！</w:t>
      </w:r>
    </w:p>
    <w:p w14:paraId="4275154E">
      <w:pPr>
        <w:jc w:val="center"/>
        <w:rPr>
          <w:rFonts w:ascii="宋体" w:hAnsi="宋体" w:cs="宋体"/>
          <w:b/>
          <w:color w:val="auto"/>
          <w:highlight w:val="none"/>
        </w:rPr>
      </w:pPr>
    </w:p>
    <w:p w14:paraId="7AD598E2">
      <w:pPr>
        <w:spacing w:after="312" w:afterLines="100" w:line="360" w:lineRule="auto"/>
        <w:jc w:val="left"/>
        <w:rPr>
          <w:rFonts w:eastAsia="黑体"/>
          <w:color w:val="auto"/>
          <w:spacing w:val="20"/>
          <w:sz w:val="36"/>
          <w:szCs w:val="32"/>
          <w:highlight w:val="none"/>
        </w:rPr>
        <w:sectPr>
          <w:pgSz w:w="11906" w:h="16838"/>
          <w:pgMar w:top="1474" w:right="1418" w:bottom="1418" w:left="1418" w:header="851" w:footer="851" w:gutter="0"/>
          <w:cols w:space="720" w:num="1"/>
          <w:docGrid w:type="linesAndChars" w:linePitch="312" w:charSpace="0"/>
        </w:sectPr>
      </w:pPr>
    </w:p>
    <w:p w14:paraId="77440D90">
      <w:pPr>
        <w:rPr>
          <w:color w:val="auto"/>
          <w:highlight w:val="none"/>
        </w:rPr>
      </w:pPr>
      <w:r>
        <w:rPr>
          <w:rFonts w:hint="eastAsia" w:ascii="宋体" w:hAnsi="宋体" w:cs="宋体"/>
          <w:color w:val="auto"/>
          <w:szCs w:val="21"/>
          <w:highlight w:val="none"/>
        </w:rPr>
        <w:t>附件2：</w:t>
      </w:r>
    </w:p>
    <w:p w14:paraId="3E8E17FD">
      <w:pPr>
        <w:adjustRightInd w:val="0"/>
        <w:snapToGrid w:val="0"/>
        <w:jc w:val="center"/>
        <w:rPr>
          <w:rFonts w:ascii="宋体" w:hAnsi="宋体" w:cs="宋体"/>
          <w:b/>
          <w:color w:val="auto"/>
          <w:sz w:val="30"/>
          <w:szCs w:val="30"/>
          <w:highlight w:val="none"/>
        </w:rPr>
      </w:pPr>
      <w:r>
        <w:rPr>
          <w:rFonts w:hint="eastAsia" w:ascii="宋体" w:hAnsi="宋体" w:cs="宋体"/>
          <w:b/>
          <w:color w:val="auto"/>
          <w:sz w:val="30"/>
          <w:szCs w:val="30"/>
          <w:highlight w:val="none"/>
        </w:rPr>
        <w:t>投标人资格声明函</w:t>
      </w:r>
    </w:p>
    <w:p w14:paraId="50F18DBD">
      <w:pPr>
        <w:keepNext w:val="0"/>
        <w:keepLines w:val="0"/>
        <w:pageBreakBefore w:val="0"/>
        <w:widowControl w:val="0"/>
        <w:kinsoku/>
        <w:wordWrap/>
        <w:overflowPunct/>
        <w:topLinePunct w:val="0"/>
        <w:autoSpaceDE/>
        <w:autoSpaceDN/>
        <w:bidi w:val="0"/>
        <w:adjustRightInd/>
        <w:spacing w:line="360" w:lineRule="auto"/>
        <w:textAlignment w:val="auto"/>
        <w:rPr>
          <w:b/>
          <w:color w:val="auto"/>
          <w:szCs w:val="21"/>
          <w:highlight w:val="none"/>
        </w:rPr>
      </w:pPr>
      <w:r>
        <w:rPr>
          <w:rFonts w:hint="eastAsia"/>
          <w:b/>
          <w:color w:val="auto"/>
          <w:szCs w:val="21"/>
          <w:highlight w:val="none"/>
        </w:rPr>
        <w:t>宁波杜威工程项目管理有限公司：</w:t>
      </w:r>
    </w:p>
    <w:p w14:paraId="62471D4B">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424" w:firstLineChars="202"/>
        <w:textAlignment w:val="auto"/>
        <w:rPr>
          <w:rFonts w:ascii="宋体" w:hAnsi="宋体"/>
          <w:color w:val="auto"/>
          <w:highlight w:val="none"/>
        </w:rPr>
      </w:pPr>
      <w:r>
        <w:rPr>
          <w:rFonts w:hint="eastAsia" w:ascii="宋体" w:hAnsi="宋体" w:cs="宋体"/>
          <w:color w:val="auto"/>
          <w:highlight w:val="none"/>
        </w:rPr>
        <w:t>关于</w:t>
      </w:r>
      <w:r>
        <w:rPr>
          <w:rFonts w:hint="eastAsia" w:ascii="宋体" w:hAnsi="宋体" w:cs="宋体"/>
          <w:color w:val="auto"/>
          <w:highlight w:val="none"/>
          <w:u w:val="single"/>
        </w:rPr>
        <w:t xml:space="preserve">  </w:t>
      </w:r>
      <w:r>
        <w:rPr>
          <w:rFonts w:hint="eastAsia" w:ascii="宋体" w:hAnsi="宋体" w:cs="宋体"/>
          <w:color w:val="auto"/>
          <w:kern w:val="28"/>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项目（项目编号：</w:t>
      </w:r>
      <w:r>
        <w:rPr>
          <w:rFonts w:hint="eastAsia" w:ascii="宋体" w:hAnsi="宋体" w:cs="宋体"/>
          <w:color w:val="auto"/>
          <w:highlight w:val="none"/>
          <w:u w:val="single"/>
        </w:rPr>
        <w:t>　　　</w:t>
      </w:r>
      <w:r>
        <w:rPr>
          <w:rFonts w:hint="eastAsia" w:ascii="宋体" w:hAnsi="宋体" w:cs="宋体"/>
          <w:color w:val="auto"/>
          <w:highlight w:val="none"/>
        </w:rPr>
        <w:t>），我方愿意参加投标，并</w:t>
      </w:r>
      <w:r>
        <w:rPr>
          <w:rFonts w:hint="eastAsia" w:ascii="宋体" w:hAnsi="宋体"/>
          <w:color w:val="auto"/>
          <w:highlight w:val="none"/>
        </w:rPr>
        <w:t>郑重声明如下：</w:t>
      </w:r>
    </w:p>
    <w:p w14:paraId="6513013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highlight w:val="none"/>
        </w:rPr>
      </w:pPr>
      <w:r>
        <w:rPr>
          <w:rFonts w:hint="eastAsia" w:ascii="宋体" w:hAnsi="宋体"/>
          <w:color w:val="auto"/>
          <w:highlight w:val="none"/>
        </w:rPr>
        <w:t>1、我方提交的所有投标文件、资料都是准确的和真实的。</w:t>
      </w:r>
    </w:p>
    <w:p w14:paraId="16E83DA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highlight w:val="none"/>
        </w:rPr>
      </w:pPr>
      <w:r>
        <w:rPr>
          <w:rFonts w:hint="eastAsia" w:ascii="宋体" w:hAnsi="宋体"/>
          <w:color w:val="auto"/>
          <w:highlight w:val="none"/>
        </w:rPr>
        <w:t>2、我方不是采购人的附属机构；与采购人聘请的为此项目进行设计、编制规范、提供咨询服务的公司及其附属机构没有任何直接或间接的关联。</w:t>
      </w:r>
    </w:p>
    <w:p w14:paraId="2D7C09B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3、我单位满足《中华人民共和国政府采购法》第二十二条 供应商参加政府采购活动应当具备的下列条件：</w:t>
      </w:r>
    </w:p>
    <w:p w14:paraId="40B41B7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（一）具有独立承担民事责任的能力；</w:t>
      </w:r>
    </w:p>
    <w:p w14:paraId="28FEA13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（二）具有良好的商业信誉和健全的财务会计制度；</w:t>
      </w:r>
    </w:p>
    <w:p w14:paraId="5F2C7F3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（三）具有履行合同所必需的设备和专业技术能力；</w:t>
      </w:r>
    </w:p>
    <w:p w14:paraId="337A264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（四）有依法缴纳税收和社会保障资金的良好记录；</w:t>
      </w:r>
    </w:p>
    <w:p w14:paraId="16F3AA7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（五）参加政府采购活动前三年内，在经营活动中没有重大违法记录；</w:t>
      </w:r>
    </w:p>
    <w:p w14:paraId="3F57A9B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（六）法律、行政法规规定的其他条件。</w:t>
      </w:r>
    </w:p>
    <w:p w14:paraId="7CDCD9A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highlight w:val="none"/>
        </w:rPr>
      </w:pPr>
      <w:r>
        <w:rPr>
          <w:rFonts w:hint="eastAsia" w:ascii="宋体" w:hAnsi="宋体"/>
          <w:color w:val="auto"/>
          <w:highlight w:val="none"/>
        </w:rPr>
        <w:t>4、我方未被“信用中国”（www.creditchina.gov.cn)、中国政府采购网（www.ccgp.gov.cn）列入失信被执行人、重大税收违法案件当事人名单、政府采购严重违法失信行为记录名单。</w:t>
      </w:r>
    </w:p>
    <w:p w14:paraId="7516446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highlight w:val="none"/>
        </w:rPr>
      </w:pPr>
      <w:r>
        <w:rPr>
          <w:rFonts w:hint="eastAsia" w:ascii="宋体" w:hAnsi="宋体"/>
          <w:color w:val="auto"/>
          <w:highlight w:val="none"/>
        </w:rPr>
        <w:t>我方对上述声明的真实性负责。本次招标采购活动中，如有违法、违规、弄虚作假行为，所造成的损失、不良后果及法律责任，一律由我我方承担。</w:t>
      </w:r>
    </w:p>
    <w:p w14:paraId="5DF82F39">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olor w:val="auto"/>
          <w:highlight w:val="none"/>
        </w:rPr>
      </w:pPr>
    </w:p>
    <w:p w14:paraId="4CF8B304">
      <w:pPr>
        <w:keepNext w:val="0"/>
        <w:keepLines w:val="0"/>
        <w:pageBreakBefore w:val="0"/>
        <w:widowControl w:val="0"/>
        <w:kinsoku/>
        <w:wordWrap/>
        <w:overflowPunct/>
        <w:topLinePunct w:val="0"/>
        <w:autoSpaceDE/>
        <w:autoSpaceDN/>
        <w:bidi w:val="0"/>
        <w:adjustRightInd/>
        <w:spacing w:line="360" w:lineRule="auto"/>
        <w:ind w:firstLine="420"/>
        <w:textAlignment w:val="auto"/>
        <w:rPr>
          <w:rFonts w:ascii="宋体" w:hAnsi="宋体" w:cs="宋体"/>
          <w:b/>
          <w:color w:val="auto"/>
          <w:highlight w:val="none"/>
        </w:rPr>
      </w:pPr>
      <w:r>
        <w:rPr>
          <w:rFonts w:hint="eastAsia" w:ascii="宋体" w:hAnsi="宋体" w:cs="宋体"/>
          <w:b/>
          <w:color w:val="auto"/>
          <w:highlight w:val="none"/>
        </w:rPr>
        <w:t>特此声明！</w:t>
      </w:r>
    </w:p>
    <w:p w14:paraId="7EAEB0F4">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olor w:val="auto"/>
          <w:highlight w:val="none"/>
        </w:rPr>
      </w:pPr>
    </w:p>
    <w:p w14:paraId="43610F2D">
      <w:pPr>
        <w:keepNext w:val="0"/>
        <w:keepLines w:val="0"/>
        <w:pageBreakBefore w:val="0"/>
        <w:widowControl w:val="0"/>
        <w:kinsoku/>
        <w:wordWrap/>
        <w:overflowPunct/>
        <w:topLinePunct w:val="0"/>
        <w:autoSpaceDE/>
        <w:autoSpaceDN/>
        <w:bidi w:val="0"/>
        <w:adjustRightInd/>
        <w:spacing w:line="360" w:lineRule="auto"/>
        <w:ind w:left="2940" w:firstLine="420"/>
        <w:jc w:val="left"/>
        <w:textAlignment w:val="auto"/>
        <w:rPr>
          <w:rFonts w:ascii="宋体" w:hAnsi="宋体"/>
          <w:color w:val="auto"/>
          <w:highlight w:val="none"/>
        </w:rPr>
      </w:pPr>
      <w:r>
        <w:rPr>
          <w:rFonts w:hint="eastAsia" w:ascii="宋体" w:hAnsi="宋体"/>
          <w:color w:val="auto"/>
          <w:highlight w:val="none"/>
        </w:rPr>
        <w:t>投标人名称（加盖公章）：</w:t>
      </w:r>
      <w:r>
        <w:rPr>
          <w:rFonts w:hint="eastAsia" w:ascii="宋体" w:hAnsi="宋体"/>
          <w:color w:val="auto"/>
          <w:highlight w:val="none"/>
          <w:u w:val="single"/>
        </w:rPr>
        <w:t xml:space="preserve">                            </w:t>
      </w:r>
    </w:p>
    <w:p w14:paraId="3FADC3AA">
      <w:pPr>
        <w:keepNext w:val="0"/>
        <w:keepLines w:val="0"/>
        <w:pageBreakBefore w:val="0"/>
        <w:widowControl w:val="0"/>
        <w:kinsoku/>
        <w:wordWrap/>
        <w:overflowPunct/>
        <w:topLinePunct w:val="0"/>
        <w:autoSpaceDE/>
        <w:autoSpaceDN/>
        <w:bidi w:val="0"/>
        <w:adjustRightInd/>
        <w:spacing w:line="360" w:lineRule="auto"/>
        <w:ind w:left="2940" w:firstLine="420"/>
        <w:jc w:val="left"/>
        <w:textAlignment w:val="auto"/>
        <w:rPr>
          <w:rFonts w:ascii="宋体" w:hAnsi="宋体"/>
          <w:color w:val="auto"/>
          <w:highlight w:val="none"/>
          <w:u w:val="single"/>
        </w:rPr>
      </w:pPr>
      <w:r>
        <w:rPr>
          <w:rFonts w:hint="eastAsia" w:ascii="宋体" w:hAnsi="宋体"/>
          <w:color w:val="auto"/>
          <w:highlight w:val="none"/>
        </w:rPr>
        <w:t>日      期：</w:t>
      </w:r>
      <w:r>
        <w:rPr>
          <w:rFonts w:hint="eastAsia" w:ascii="宋体" w:hAnsi="宋体"/>
          <w:color w:val="auto"/>
          <w:highlight w:val="none"/>
          <w:u w:val="single"/>
        </w:rPr>
        <w:t xml:space="preserve">                                       </w:t>
      </w:r>
    </w:p>
    <w:p w14:paraId="42A7D8C4">
      <w:pPr>
        <w:spacing w:line="360" w:lineRule="auto"/>
        <w:rPr>
          <w:rFonts w:ascii="宋体" w:hAnsi="宋体"/>
          <w:color w:val="auto"/>
          <w:highlight w:val="none"/>
        </w:rPr>
      </w:pPr>
    </w:p>
    <w:p w14:paraId="64442A9F">
      <w:pPr>
        <w:adjustRightInd w:val="0"/>
        <w:snapToGrid w:val="0"/>
        <w:jc w:val="left"/>
        <w:rPr>
          <w:color w:val="auto"/>
          <w:highlight w:val="none"/>
        </w:rPr>
      </w:pPr>
      <w:r>
        <w:rPr>
          <w:rFonts w:ascii="宋体" w:hAnsi="宋体"/>
          <w:color w:val="auto"/>
          <w:highlight w:val="none"/>
        </w:rPr>
        <w:br w:type="page"/>
      </w:r>
      <w:r>
        <w:rPr>
          <w:rFonts w:hint="eastAsia" w:ascii="宋体" w:hAnsi="宋体" w:cs="宋体"/>
          <w:color w:val="auto"/>
          <w:szCs w:val="21"/>
          <w:highlight w:val="none"/>
        </w:rPr>
        <w:t>附件3：</w:t>
      </w:r>
    </w:p>
    <w:p w14:paraId="3FC60E5F">
      <w:pPr>
        <w:spacing w:after="312" w:afterLines="100"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法定代表人身份</w:t>
      </w:r>
      <w:r>
        <w:rPr>
          <w:rFonts w:ascii="宋体" w:hAnsi="宋体" w:cs="宋体"/>
          <w:b/>
          <w:color w:val="auto"/>
          <w:sz w:val="30"/>
          <w:szCs w:val="30"/>
          <w:highlight w:val="none"/>
        </w:rPr>
        <w:t>证</w:t>
      </w:r>
      <w:r>
        <w:rPr>
          <w:rFonts w:hint="eastAsia" w:ascii="宋体" w:hAnsi="宋体" w:cs="宋体"/>
          <w:b/>
          <w:color w:val="auto"/>
          <w:sz w:val="30"/>
          <w:szCs w:val="30"/>
          <w:highlight w:val="none"/>
        </w:rPr>
        <w:t>明</w:t>
      </w:r>
      <w:r>
        <w:rPr>
          <w:rFonts w:ascii="宋体" w:hAnsi="宋体" w:cs="宋体"/>
          <w:b/>
          <w:color w:val="auto"/>
          <w:sz w:val="30"/>
          <w:szCs w:val="30"/>
          <w:highlight w:val="none"/>
        </w:rPr>
        <w:t>书</w:t>
      </w:r>
    </w:p>
    <w:p w14:paraId="74DE5DF0">
      <w:pPr>
        <w:spacing w:line="360" w:lineRule="auto"/>
        <w:rPr>
          <w:rFonts w:ascii="宋体" w:hAnsi="宋体"/>
          <w:color w:val="auto"/>
          <w:highlight w:val="none"/>
        </w:rPr>
      </w:pPr>
    </w:p>
    <w:p w14:paraId="3335F81D">
      <w:pPr>
        <w:spacing w:line="480" w:lineRule="auto"/>
        <w:ind w:firstLine="420"/>
        <w:rPr>
          <w:rFonts w:ascii="宋体" w:hAnsi="宋体"/>
          <w:color w:val="auto"/>
          <w:szCs w:val="21"/>
          <w:highlight w:val="none"/>
        </w:rPr>
      </w:pPr>
      <w:r>
        <w:rPr>
          <w:rFonts w:hint="eastAsia" w:ascii="宋体" w:hAnsi="宋体"/>
          <w:color w:val="auto"/>
          <w:szCs w:val="21"/>
          <w:highlight w:val="none"/>
        </w:rPr>
        <w:t>投</w:t>
      </w:r>
      <w:r>
        <w:rPr>
          <w:rFonts w:ascii="宋体" w:hAnsi="宋体"/>
          <w:color w:val="auto"/>
          <w:szCs w:val="21"/>
          <w:highlight w:val="none"/>
        </w:rPr>
        <w:t>标</w:t>
      </w:r>
      <w:r>
        <w:rPr>
          <w:rFonts w:hint="eastAsia" w:ascii="宋体" w:hAnsi="宋体"/>
          <w:color w:val="auto"/>
          <w:szCs w:val="21"/>
          <w:highlight w:val="none"/>
        </w:rPr>
        <w:t>人名</w:t>
      </w:r>
      <w:r>
        <w:rPr>
          <w:rFonts w:ascii="宋体" w:hAnsi="宋体"/>
          <w:color w:val="auto"/>
          <w:szCs w:val="21"/>
          <w:highlight w:val="none"/>
        </w:rPr>
        <w:t>称</w:t>
      </w:r>
      <w:r>
        <w:rPr>
          <w:rFonts w:hint="eastAsia" w:ascii="宋体" w:hAnsi="宋体"/>
          <w:color w:val="auto"/>
          <w:szCs w:val="21"/>
          <w:highlight w:val="none"/>
        </w:rPr>
        <w:t>：</w:t>
      </w:r>
    </w:p>
    <w:p w14:paraId="14C790EE">
      <w:pPr>
        <w:spacing w:line="480" w:lineRule="auto"/>
        <w:ind w:firstLine="420"/>
        <w:rPr>
          <w:rFonts w:ascii="宋体" w:hAnsi="宋体"/>
          <w:color w:val="auto"/>
          <w:szCs w:val="21"/>
          <w:highlight w:val="none"/>
        </w:rPr>
      </w:pPr>
      <w:r>
        <w:rPr>
          <w:rFonts w:hint="eastAsia" w:ascii="宋体" w:hAnsi="宋体"/>
          <w:color w:val="auto"/>
          <w:szCs w:val="21"/>
          <w:highlight w:val="none"/>
        </w:rPr>
        <w:t>地址：</w:t>
      </w:r>
    </w:p>
    <w:p w14:paraId="2A709BF8">
      <w:pPr>
        <w:spacing w:line="480" w:lineRule="auto"/>
        <w:ind w:firstLine="420"/>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rPr>
        <w:t xml:space="preserve">          </w:t>
      </w:r>
      <w:r>
        <w:rPr>
          <w:rFonts w:hint="eastAsia" w:ascii="宋体" w:hAnsi="宋体"/>
          <w:color w:val="auto"/>
          <w:szCs w:val="21"/>
          <w:highlight w:val="none"/>
        </w:rPr>
        <w:t>性</w:t>
      </w:r>
      <w:r>
        <w:rPr>
          <w:rFonts w:ascii="宋体" w:hAnsi="宋体"/>
          <w:color w:val="auto"/>
          <w:szCs w:val="21"/>
          <w:highlight w:val="none"/>
        </w:rPr>
        <w:t>别</w:t>
      </w: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龄</w:t>
      </w:r>
      <w:r>
        <w:rPr>
          <w:rFonts w:hint="eastAsia" w:ascii="宋体" w:hAnsi="宋体"/>
          <w:color w:val="auto"/>
          <w:szCs w:val="21"/>
          <w:highlight w:val="none"/>
        </w:rPr>
        <w:t>：</w:t>
      </w:r>
      <w:r>
        <w:rPr>
          <w:rFonts w:ascii="宋体" w:hAnsi="宋体"/>
          <w:color w:val="auto"/>
          <w:szCs w:val="21"/>
          <w:highlight w:val="none"/>
        </w:rPr>
        <w:t xml:space="preserve">            职务</w:t>
      </w:r>
      <w:r>
        <w:rPr>
          <w:rFonts w:hint="eastAsia" w:ascii="宋体" w:hAnsi="宋体"/>
          <w:color w:val="auto"/>
          <w:szCs w:val="21"/>
          <w:highlight w:val="none"/>
        </w:rPr>
        <w:t xml:space="preserve">： </w:t>
      </w:r>
    </w:p>
    <w:p w14:paraId="697C9E6E">
      <w:pPr>
        <w:spacing w:line="480" w:lineRule="auto"/>
        <w:ind w:firstLine="420"/>
        <w:rPr>
          <w:rFonts w:ascii="宋体" w:hAnsi="宋体"/>
          <w:color w:val="auto"/>
          <w:szCs w:val="21"/>
          <w:highlight w:val="none"/>
        </w:rPr>
      </w:pPr>
      <w:r>
        <w:rPr>
          <w:rFonts w:hint="eastAsia" w:ascii="宋体" w:hAnsi="宋体"/>
          <w:color w:val="auto"/>
          <w:szCs w:val="21"/>
          <w:highlight w:val="none"/>
        </w:rPr>
        <w:t>本人系</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&lt; 投</w:t>
      </w:r>
      <w:r>
        <w:rPr>
          <w:rFonts w:ascii="宋体" w:hAnsi="宋体"/>
          <w:color w:val="auto"/>
          <w:szCs w:val="21"/>
          <w:highlight w:val="none"/>
          <w:u w:val="single"/>
        </w:rPr>
        <w:t>标</w:t>
      </w:r>
      <w:r>
        <w:rPr>
          <w:rFonts w:hint="eastAsia" w:ascii="宋体" w:hAnsi="宋体"/>
          <w:color w:val="auto"/>
          <w:szCs w:val="21"/>
          <w:highlight w:val="none"/>
          <w:u w:val="single"/>
        </w:rPr>
        <w:t>人名</w:t>
      </w:r>
      <w:r>
        <w:rPr>
          <w:rFonts w:ascii="宋体" w:hAnsi="宋体"/>
          <w:color w:val="auto"/>
          <w:szCs w:val="21"/>
          <w:highlight w:val="none"/>
          <w:u w:val="single"/>
        </w:rPr>
        <w:t>称</w:t>
      </w:r>
      <w:r>
        <w:rPr>
          <w:rFonts w:hint="eastAsia" w:ascii="宋体" w:hAnsi="宋体"/>
          <w:color w:val="auto"/>
          <w:szCs w:val="21"/>
          <w:highlight w:val="none"/>
          <w:u w:val="single"/>
        </w:rPr>
        <w:t xml:space="preserve"> &gt;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的法定代表人。</w:t>
      </w:r>
      <w:r>
        <w:rPr>
          <w:rFonts w:ascii="宋体" w:hAnsi="宋体"/>
          <w:color w:val="auto"/>
          <w:szCs w:val="21"/>
          <w:highlight w:val="none"/>
        </w:rPr>
        <w:t>为</w:t>
      </w:r>
      <w:r>
        <w:rPr>
          <w:rFonts w:hint="eastAsia" w:ascii="宋体" w:hAnsi="宋体"/>
          <w:color w:val="auto"/>
          <w:szCs w:val="21"/>
          <w:highlight w:val="none"/>
        </w:rPr>
        <w:t>你中心</w:t>
      </w:r>
      <w:r>
        <w:rPr>
          <w:rFonts w:ascii="宋体" w:hAnsi="宋体"/>
          <w:color w:val="auto"/>
          <w:szCs w:val="21"/>
          <w:highlight w:val="none"/>
        </w:rPr>
        <w:t>组织的</w:t>
      </w:r>
      <w:r>
        <w:rPr>
          <w:rFonts w:hint="eastAsia" w:ascii="宋体" w:hAnsi="宋体"/>
          <w:color w:val="auto"/>
          <w:szCs w:val="21"/>
          <w:highlight w:val="none"/>
        </w:rPr>
        <w:t>项目</w:t>
      </w:r>
      <w:r>
        <w:rPr>
          <w:rFonts w:ascii="宋体" w:hAnsi="宋体"/>
          <w:color w:val="auto"/>
          <w:szCs w:val="21"/>
          <w:highlight w:val="none"/>
        </w:rPr>
        <w:t>编号为</w:t>
      </w:r>
      <w:r>
        <w:rPr>
          <w:rFonts w:hint="eastAsia" w:ascii="宋体" w:hAnsi="宋体"/>
          <w:b/>
          <w:color w:val="auto"/>
          <w:szCs w:val="21"/>
          <w:highlight w:val="none"/>
          <w:u w:val="single"/>
          <w:lang w:eastAsia="zh-CN"/>
        </w:rPr>
        <w:t>NBDW-20251195</w:t>
      </w:r>
      <w:r>
        <w:rPr>
          <w:rFonts w:hint="eastAsia" w:ascii="宋体" w:hAnsi="宋体"/>
          <w:b/>
          <w:color w:val="auto"/>
          <w:szCs w:val="21"/>
          <w:highlight w:val="none"/>
          <w:u w:val="single"/>
        </w:rPr>
        <w:t xml:space="preserve"> </w:t>
      </w:r>
      <w:r>
        <w:rPr>
          <w:rFonts w:hint="eastAsia" w:ascii="宋体" w:hAnsi="宋体"/>
          <w:color w:val="auto"/>
          <w:szCs w:val="21"/>
          <w:highlight w:val="none"/>
        </w:rPr>
        <w:t>的</w:t>
      </w:r>
      <w:r>
        <w:rPr>
          <w:rFonts w:hint="eastAsia"/>
          <w:b/>
          <w:bCs/>
          <w:color w:val="auto"/>
          <w:highlight w:val="none"/>
          <w:u w:val="single"/>
          <w:lang w:eastAsia="zh-CN"/>
        </w:rPr>
        <w:t>北仑区地籍图编制项目</w:t>
      </w:r>
      <w:r>
        <w:rPr>
          <w:rFonts w:hint="eastAsia" w:ascii="宋体" w:hAnsi="宋体"/>
          <w:color w:val="auto"/>
          <w:szCs w:val="21"/>
          <w:highlight w:val="none"/>
        </w:rPr>
        <w:t>政府采购项目，</w:t>
      </w:r>
      <w:r>
        <w:rPr>
          <w:rFonts w:ascii="宋体" w:hAnsi="宋体"/>
          <w:color w:val="auto"/>
          <w:szCs w:val="21"/>
          <w:highlight w:val="none"/>
        </w:rPr>
        <w:t>签</w:t>
      </w:r>
      <w:r>
        <w:rPr>
          <w:rFonts w:hint="eastAsia" w:ascii="宋体" w:hAnsi="宋体"/>
          <w:color w:val="auto"/>
          <w:szCs w:val="21"/>
          <w:highlight w:val="none"/>
        </w:rPr>
        <w:t>署上</w:t>
      </w:r>
      <w:r>
        <w:rPr>
          <w:rFonts w:ascii="宋体" w:hAnsi="宋体"/>
          <w:color w:val="auto"/>
          <w:szCs w:val="21"/>
          <w:highlight w:val="none"/>
        </w:rPr>
        <w:t>述项目</w:t>
      </w:r>
      <w:r>
        <w:rPr>
          <w:rFonts w:hint="eastAsia" w:ascii="宋体" w:hAnsi="宋体"/>
          <w:color w:val="auto"/>
          <w:szCs w:val="21"/>
          <w:highlight w:val="none"/>
        </w:rPr>
        <w:t>的</w:t>
      </w:r>
      <w:r>
        <w:rPr>
          <w:rFonts w:ascii="宋体" w:hAnsi="宋体"/>
          <w:color w:val="auto"/>
          <w:szCs w:val="21"/>
          <w:highlight w:val="none"/>
        </w:rPr>
        <w:t>投标文件、进行合同谈判、签署合同和处理与之有关的一切事务</w:t>
      </w:r>
      <w:r>
        <w:rPr>
          <w:rFonts w:hint="eastAsia" w:ascii="宋体" w:hAnsi="宋体"/>
          <w:color w:val="auto"/>
          <w:szCs w:val="21"/>
          <w:highlight w:val="none"/>
        </w:rPr>
        <w:t>。</w:t>
      </w:r>
    </w:p>
    <w:p w14:paraId="0259FF6F">
      <w:pPr>
        <w:spacing w:line="480" w:lineRule="auto"/>
        <w:ind w:firstLine="420"/>
        <w:rPr>
          <w:rFonts w:ascii="宋体" w:hAnsi="宋体"/>
          <w:color w:val="auto"/>
          <w:szCs w:val="21"/>
          <w:highlight w:val="none"/>
        </w:rPr>
      </w:pPr>
      <w:r>
        <w:rPr>
          <w:rFonts w:hint="eastAsia" w:ascii="宋体" w:hAnsi="宋体"/>
          <w:color w:val="auto"/>
          <w:szCs w:val="21"/>
          <w:highlight w:val="none"/>
        </w:rPr>
        <w:t>特此</w:t>
      </w:r>
      <w:r>
        <w:rPr>
          <w:rFonts w:ascii="宋体" w:hAnsi="宋体"/>
          <w:color w:val="auto"/>
          <w:szCs w:val="21"/>
          <w:highlight w:val="none"/>
        </w:rPr>
        <w:t>证</w:t>
      </w:r>
      <w:r>
        <w:rPr>
          <w:rFonts w:hint="eastAsia" w:ascii="宋体" w:hAnsi="宋体"/>
          <w:color w:val="auto"/>
          <w:szCs w:val="21"/>
          <w:highlight w:val="none"/>
        </w:rPr>
        <w:t>明。</w:t>
      </w:r>
    </w:p>
    <w:p w14:paraId="26DF7F0E">
      <w:pPr>
        <w:spacing w:line="360" w:lineRule="auto"/>
        <w:ind w:firstLine="420"/>
        <w:rPr>
          <w:rFonts w:ascii="宋体" w:hAnsi="宋体"/>
          <w:color w:val="auto"/>
          <w:szCs w:val="21"/>
          <w:highlight w:val="none"/>
        </w:rPr>
      </w:pPr>
    </w:p>
    <w:p w14:paraId="37B3F365">
      <w:pPr>
        <w:spacing w:line="360" w:lineRule="auto"/>
        <w:ind w:firstLine="420"/>
        <w:rPr>
          <w:rFonts w:ascii="宋体" w:hAnsi="宋体"/>
          <w:color w:val="auto"/>
          <w:szCs w:val="21"/>
          <w:highlight w:val="none"/>
        </w:rPr>
      </w:pPr>
    </w:p>
    <w:p w14:paraId="3365A22C">
      <w:pPr>
        <w:spacing w:line="360" w:lineRule="auto"/>
        <w:ind w:firstLine="420"/>
        <w:rPr>
          <w:rFonts w:ascii="宋体" w:hAnsi="宋体"/>
          <w:color w:val="auto"/>
          <w:szCs w:val="21"/>
          <w:highlight w:val="none"/>
        </w:rPr>
      </w:pPr>
    </w:p>
    <w:p w14:paraId="44DD1E83">
      <w:pPr>
        <w:spacing w:line="360" w:lineRule="auto"/>
        <w:ind w:firstLine="420"/>
        <w:rPr>
          <w:rFonts w:ascii="宋体" w:hAnsi="宋体"/>
          <w:color w:val="auto"/>
          <w:szCs w:val="21"/>
          <w:highlight w:val="none"/>
        </w:rPr>
      </w:pPr>
    </w:p>
    <w:p w14:paraId="05355D7C">
      <w:pPr>
        <w:jc w:val="center"/>
        <w:rPr>
          <w:rFonts w:ascii="宋体" w:hAnsi="宋体"/>
          <w:b/>
          <w:color w:val="auto"/>
          <w:highlight w:val="none"/>
          <w:u w:val="single"/>
        </w:rPr>
      </w:pPr>
      <w:r>
        <w:rPr>
          <w:rFonts w:hint="eastAsia" w:ascii="宋体" w:hAnsi="宋体"/>
          <w:b/>
          <w:color w:val="auto"/>
          <w:highlight w:val="none"/>
          <w:u w:val="single"/>
        </w:rPr>
        <w:t>（</w:t>
      </w:r>
      <w:r>
        <w:rPr>
          <w:rFonts w:ascii="宋体" w:hAnsi="宋体"/>
          <w:b/>
          <w:color w:val="auto"/>
          <w:highlight w:val="none"/>
          <w:u w:val="single"/>
        </w:rPr>
        <w:t>※</w:t>
      </w:r>
      <w:r>
        <w:rPr>
          <w:rFonts w:hint="eastAsia" w:ascii="宋体" w:hAnsi="宋体"/>
          <w:b/>
          <w:color w:val="auto"/>
          <w:highlight w:val="none"/>
          <w:u w:val="single"/>
        </w:rPr>
        <w:t xml:space="preserve"> 此</w:t>
      </w:r>
      <w:r>
        <w:rPr>
          <w:rFonts w:ascii="宋体" w:hAnsi="宋体"/>
          <w:b/>
          <w:color w:val="auto"/>
          <w:highlight w:val="none"/>
          <w:u w:val="single"/>
        </w:rPr>
        <w:t>处</w:t>
      </w:r>
      <w:r>
        <w:rPr>
          <w:rFonts w:hint="eastAsia" w:ascii="宋体" w:hAnsi="宋体"/>
          <w:b/>
          <w:color w:val="auto"/>
          <w:highlight w:val="none"/>
          <w:u w:val="single"/>
        </w:rPr>
        <w:t>附法定代表人身份</w:t>
      </w:r>
      <w:r>
        <w:rPr>
          <w:rFonts w:ascii="宋体" w:hAnsi="宋体"/>
          <w:b/>
          <w:color w:val="auto"/>
          <w:highlight w:val="none"/>
          <w:u w:val="single"/>
        </w:rPr>
        <w:t>证复</w:t>
      </w:r>
      <w:r>
        <w:rPr>
          <w:rFonts w:hint="eastAsia" w:ascii="宋体" w:hAnsi="宋体"/>
          <w:b/>
          <w:color w:val="auto"/>
          <w:highlight w:val="none"/>
          <w:u w:val="single"/>
        </w:rPr>
        <w:t>印件（正反两面）</w:t>
      </w:r>
      <w:r>
        <w:rPr>
          <w:rFonts w:ascii="宋体" w:hAnsi="宋体"/>
          <w:b/>
          <w:color w:val="auto"/>
          <w:highlight w:val="none"/>
          <w:u w:val="single"/>
        </w:rPr>
        <w:t>※</w:t>
      </w:r>
      <w:r>
        <w:rPr>
          <w:rFonts w:hint="eastAsia" w:ascii="宋体" w:hAnsi="宋体"/>
          <w:b/>
          <w:color w:val="auto"/>
          <w:highlight w:val="none"/>
          <w:u w:val="single"/>
        </w:rPr>
        <w:t>）</w:t>
      </w:r>
    </w:p>
    <w:p w14:paraId="002730F2">
      <w:pPr>
        <w:spacing w:line="360" w:lineRule="auto"/>
        <w:ind w:firstLine="420"/>
        <w:rPr>
          <w:rFonts w:ascii="宋体" w:hAnsi="宋体"/>
          <w:color w:val="auto"/>
          <w:szCs w:val="21"/>
          <w:highlight w:val="none"/>
        </w:rPr>
      </w:pPr>
    </w:p>
    <w:p w14:paraId="792DB061">
      <w:pPr>
        <w:spacing w:line="360" w:lineRule="auto"/>
        <w:ind w:firstLine="420"/>
        <w:rPr>
          <w:rFonts w:ascii="宋体" w:hAnsi="宋体"/>
          <w:color w:val="auto"/>
          <w:szCs w:val="21"/>
          <w:highlight w:val="none"/>
        </w:rPr>
      </w:pPr>
    </w:p>
    <w:p w14:paraId="33558D73">
      <w:pPr>
        <w:spacing w:line="360" w:lineRule="auto"/>
        <w:ind w:firstLine="420"/>
        <w:rPr>
          <w:rFonts w:ascii="宋体" w:hAnsi="宋体"/>
          <w:color w:val="auto"/>
          <w:szCs w:val="21"/>
          <w:highlight w:val="none"/>
        </w:rPr>
      </w:pPr>
    </w:p>
    <w:p w14:paraId="2F210216">
      <w:pPr>
        <w:spacing w:line="360" w:lineRule="auto"/>
        <w:ind w:firstLine="420"/>
        <w:rPr>
          <w:rFonts w:ascii="宋体" w:hAnsi="宋体"/>
          <w:color w:val="auto"/>
          <w:szCs w:val="21"/>
          <w:highlight w:val="none"/>
        </w:rPr>
      </w:pPr>
    </w:p>
    <w:p w14:paraId="1CC2FA05">
      <w:pPr>
        <w:spacing w:line="480" w:lineRule="auto"/>
        <w:ind w:firstLine="420"/>
        <w:rPr>
          <w:rFonts w:ascii="宋体" w:hAnsi="宋体"/>
          <w:color w:val="auto"/>
          <w:highlight w:val="none"/>
        </w:rPr>
      </w:pPr>
      <w:r>
        <w:rPr>
          <w:rFonts w:hint="eastAsia" w:ascii="宋体" w:hAnsi="宋体"/>
          <w:color w:val="auto"/>
          <w:highlight w:val="none"/>
        </w:rPr>
        <w:t>投标人名称（加盖公章）：</w:t>
      </w:r>
      <w:r>
        <w:rPr>
          <w:rFonts w:hint="eastAsia" w:ascii="宋体" w:hAnsi="宋体"/>
          <w:color w:val="auto"/>
          <w:highlight w:val="none"/>
          <w:u w:val="single"/>
        </w:rPr>
        <w:t xml:space="preserve">                            </w:t>
      </w:r>
    </w:p>
    <w:p w14:paraId="1FBA7EDA">
      <w:pPr>
        <w:spacing w:line="480" w:lineRule="auto"/>
        <w:ind w:firstLine="420"/>
        <w:rPr>
          <w:rFonts w:ascii="宋体" w:hAnsi="宋体"/>
          <w:color w:val="auto"/>
          <w:highlight w:val="none"/>
        </w:rPr>
      </w:pPr>
      <w:r>
        <w:rPr>
          <w:rFonts w:hint="eastAsia" w:ascii="宋体" w:hAnsi="宋体"/>
          <w:color w:val="auto"/>
          <w:highlight w:val="none"/>
        </w:rPr>
        <w:t>法定代表人（签字或盖章）：</w:t>
      </w:r>
      <w:r>
        <w:rPr>
          <w:rFonts w:hint="eastAsia" w:ascii="宋体" w:hAnsi="宋体"/>
          <w:color w:val="auto"/>
          <w:highlight w:val="none"/>
          <w:u w:val="single"/>
        </w:rPr>
        <w:t xml:space="preserve">                                </w:t>
      </w:r>
    </w:p>
    <w:p w14:paraId="11B7A451">
      <w:pPr>
        <w:spacing w:line="480" w:lineRule="auto"/>
        <w:ind w:firstLine="420"/>
        <w:rPr>
          <w:rFonts w:ascii="宋体" w:hAnsi="宋体"/>
          <w:color w:val="auto"/>
          <w:highlight w:val="none"/>
        </w:rPr>
      </w:pPr>
      <w:r>
        <w:rPr>
          <w:rFonts w:hint="eastAsia" w:ascii="宋体" w:hAnsi="宋体"/>
          <w:color w:val="auto"/>
          <w:highlight w:val="none"/>
        </w:rPr>
        <w:t>签署日期：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6BF9447E">
      <w:pPr>
        <w:spacing w:line="480" w:lineRule="auto"/>
        <w:rPr>
          <w:rFonts w:ascii="宋体" w:hAnsi="宋体"/>
          <w:color w:val="auto"/>
          <w:szCs w:val="21"/>
          <w:highlight w:val="none"/>
        </w:rPr>
      </w:pPr>
    </w:p>
    <w:p w14:paraId="21FD6C74">
      <w:pPr>
        <w:spacing w:line="360" w:lineRule="auto"/>
        <w:rPr>
          <w:rFonts w:ascii="宋体" w:hAnsi="宋体"/>
          <w:b/>
          <w:color w:val="auto"/>
          <w:highlight w:val="none"/>
        </w:rPr>
      </w:pPr>
      <w:r>
        <w:rPr>
          <w:rFonts w:hint="eastAsia" w:ascii="宋体" w:hAnsi="宋体"/>
          <w:b/>
          <w:color w:val="auto"/>
          <w:highlight w:val="none"/>
        </w:rPr>
        <w:t>说明：法定代表人</w:t>
      </w:r>
      <w:r>
        <w:rPr>
          <w:rFonts w:ascii="宋体" w:hAnsi="宋体"/>
          <w:b/>
          <w:color w:val="auto"/>
          <w:highlight w:val="none"/>
        </w:rPr>
        <w:t>参</w:t>
      </w:r>
      <w:r>
        <w:rPr>
          <w:rFonts w:hint="eastAsia" w:ascii="宋体" w:hAnsi="宋体"/>
          <w:b/>
          <w:color w:val="auto"/>
          <w:highlight w:val="none"/>
        </w:rPr>
        <w:t>加本招</w:t>
      </w:r>
      <w:r>
        <w:rPr>
          <w:rFonts w:ascii="宋体" w:hAnsi="宋体"/>
          <w:b/>
          <w:color w:val="auto"/>
          <w:highlight w:val="none"/>
        </w:rPr>
        <w:t>标项目</w:t>
      </w:r>
      <w:r>
        <w:rPr>
          <w:rFonts w:hint="eastAsia" w:ascii="宋体" w:hAnsi="宋体"/>
          <w:b/>
          <w:color w:val="auto"/>
          <w:highlight w:val="none"/>
        </w:rPr>
        <w:t>投</w:t>
      </w:r>
      <w:r>
        <w:rPr>
          <w:rFonts w:ascii="宋体" w:hAnsi="宋体"/>
          <w:b/>
          <w:color w:val="auto"/>
          <w:highlight w:val="none"/>
        </w:rPr>
        <w:t>标</w:t>
      </w:r>
      <w:r>
        <w:rPr>
          <w:rFonts w:hint="eastAsia" w:ascii="宋体" w:hAnsi="宋体"/>
          <w:b/>
          <w:color w:val="auto"/>
          <w:highlight w:val="none"/>
        </w:rPr>
        <w:t>的，</w:t>
      </w:r>
      <w:r>
        <w:rPr>
          <w:rFonts w:ascii="宋体" w:hAnsi="宋体"/>
          <w:b/>
          <w:color w:val="auto"/>
          <w:highlight w:val="none"/>
        </w:rPr>
        <w:t>仅须</w:t>
      </w:r>
      <w:r>
        <w:rPr>
          <w:rFonts w:hint="eastAsia" w:ascii="宋体" w:hAnsi="宋体"/>
          <w:b/>
          <w:color w:val="auto"/>
          <w:highlight w:val="none"/>
        </w:rPr>
        <w:t>提供此</w:t>
      </w:r>
      <w:r>
        <w:rPr>
          <w:rFonts w:ascii="宋体" w:hAnsi="宋体"/>
          <w:b/>
          <w:color w:val="auto"/>
          <w:highlight w:val="none"/>
        </w:rPr>
        <w:t>证</w:t>
      </w:r>
      <w:r>
        <w:rPr>
          <w:rFonts w:hint="eastAsia" w:ascii="宋体" w:hAnsi="宋体"/>
          <w:b/>
          <w:color w:val="auto"/>
          <w:highlight w:val="none"/>
        </w:rPr>
        <w:t>明</w:t>
      </w:r>
      <w:r>
        <w:rPr>
          <w:rFonts w:ascii="宋体" w:hAnsi="宋体"/>
          <w:b/>
          <w:color w:val="auto"/>
          <w:highlight w:val="none"/>
        </w:rPr>
        <w:t>书</w:t>
      </w:r>
      <w:r>
        <w:rPr>
          <w:rFonts w:hint="eastAsia" w:ascii="宋体" w:hAnsi="宋体"/>
          <w:b/>
          <w:color w:val="auto"/>
          <w:highlight w:val="none"/>
        </w:rPr>
        <w:t>。</w:t>
      </w:r>
    </w:p>
    <w:p w14:paraId="09849E8B">
      <w:pPr>
        <w:spacing w:line="360" w:lineRule="auto"/>
        <w:rPr>
          <w:rFonts w:ascii="宋体" w:hAnsi="宋体"/>
          <w:color w:val="auto"/>
          <w:highlight w:val="none"/>
        </w:rPr>
      </w:pPr>
      <w:r>
        <w:rPr>
          <w:rFonts w:ascii="宋体" w:hAnsi="宋体"/>
          <w:color w:val="auto"/>
          <w:highlight w:val="none"/>
        </w:rPr>
        <w:br w:type="page"/>
      </w:r>
    </w:p>
    <w:p w14:paraId="191BF4CB">
      <w:pPr>
        <w:spacing w:after="312" w:afterLines="100"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法定代表人授权书</w:t>
      </w:r>
    </w:p>
    <w:p w14:paraId="2ED3582D">
      <w:pPr>
        <w:spacing w:line="480" w:lineRule="auto"/>
        <w:rPr>
          <w:b/>
          <w:color w:val="auto"/>
          <w:szCs w:val="21"/>
          <w:highlight w:val="none"/>
        </w:rPr>
      </w:pPr>
      <w:r>
        <w:rPr>
          <w:rFonts w:hint="eastAsia"/>
          <w:b/>
          <w:color w:val="auto"/>
          <w:szCs w:val="21"/>
          <w:highlight w:val="none"/>
        </w:rPr>
        <w:t>宁波杜威工程项目管理有限公司：</w:t>
      </w:r>
    </w:p>
    <w:p w14:paraId="7B440F39">
      <w:pPr>
        <w:spacing w:line="480" w:lineRule="auto"/>
        <w:rPr>
          <w:rFonts w:ascii="宋体" w:hAnsi="宋体"/>
          <w:color w:val="auto"/>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&lt; 投</w:t>
      </w:r>
      <w:r>
        <w:rPr>
          <w:rFonts w:ascii="宋体" w:hAnsi="宋体"/>
          <w:color w:val="auto"/>
          <w:highlight w:val="none"/>
          <w:u w:val="single"/>
        </w:rPr>
        <w:t>标</w:t>
      </w:r>
      <w:r>
        <w:rPr>
          <w:rFonts w:hint="eastAsia" w:ascii="宋体" w:hAnsi="宋体"/>
          <w:color w:val="auto"/>
          <w:highlight w:val="none"/>
          <w:u w:val="single"/>
        </w:rPr>
        <w:t>人名</w:t>
      </w:r>
      <w:r>
        <w:rPr>
          <w:rFonts w:ascii="宋体" w:hAnsi="宋体"/>
          <w:color w:val="auto"/>
          <w:highlight w:val="none"/>
          <w:u w:val="single"/>
        </w:rPr>
        <w:t>称</w:t>
      </w:r>
      <w:r>
        <w:rPr>
          <w:rFonts w:hint="eastAsia" w:ascii="宋体" w:hAnsi="宋体"/>
          <w:color w:val="auto"/>
          <w:highlight w:val="none"/>
          <w:u w:val="single"/>
        </w:rPr>
        <w:t xml:space="preserve"> &gt;</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法定代表人</w:t>
      </w:r>
      <w:r>
        <w:rPr>
          <w:rFonts w:hint="eastAsia" w:ascii="宋体" w:hAnsi="宋体"/>
          <w:color w:val="auto"/>
          <w:highlight w:val="none"/>
          <w:u w:val="single"/>
        </w:rPr>
        <w:t xml:space="preserve">     &lt; 法定代表人姓名 &gt;</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授权本单位</w:t>
      </w:r>
      <w:r>
        <w:rPr>
          <w:rFonts w:hint="eastAsia" w:ascii="宋体" w:hAnsi="宋体"/>
          <w:color w:val="auto"/>
          <w:highlight w:val="none"/>
          <w:u w:val="single"/>
        </w:rPr>
        <w:t xml:space="preserve">      &lt; 全权代表任职部门 &gt;   &lt;全权代表姓名&gt;      </w:t>
      </w:r>
      <w:r>
        <w:rPr>
          <w:rFonts w:hint="eastAsia" w:ascii="宋体" w:hAnsi="宋体"/>
          <w:color w:val="auto"/>
          <w:highlight w:val="none"/>
        </w:rPr>
        <w:t>为本公司的合法全权代表，参加你中心组织的</w:t>
      </w:r>
      <w:r>
        <w:rPr>
          <w:rFonts w:hint="eastAsia" w:ascii="宋体" w:hAnsi="宋体"/>
          <w:color w:val="auto"/>
          <w:highlight w:val="none"/>
          <w:u w:val="single"/>
        </w:rPr>
        <w:t xml:space="preserve">  </w:t>
      </w:r>
      <w:r>
        <w:rPr>
          <w:rFonts w:hint="eastAsia" w:ascii="宋体" w:hAnsi="宋体"/>
          <w:b/>
          <w:color w:val="auto"/>
          <w:highlight w:val="none"/>
          <w:u w:val="single"/>
          <w:lang w:eastAsia="zh-CN"/>
        </w:rPr>
        <w:t>北仑区地籍图编制项目</w:t>
      </w:r>
      <w:r>
        <w:rPr>
          <w:rFonts w:hint="eastAsia" w:ascii="宋体" w:hAnsi="宋体"/>
          <w:b/>
          <w:color w:val="auto"/>
          <w:highlight w:val="none"/>
          <w:u w:val="single"/>
        </w:rPr>
        <w:t>（项目编号：</w:t>
      </w:r>
      <w:r>
        <w:rPr>
          <w:rFonts w:hint="eastAsia" w:ascii="宋体" w:hAnsi="宋体"/>
          <w:b/>
          <w:color w:val="auto"/>
          <w:highlight w:val="none"/>
          <w:u w:val="single"/>
          <w:lang w:eastAsia="zh-CN"/>
        </w:rPr>
        <w:t>NBDW-20251195</w:t>
      </w:r>
      <w:r>
        <w:rPr>
          <w:rFonts w:hint="eastAsia" w:ascii="宋体" w:hAnsi="宋体"/>
          <w:b/>
          <w:color w:val="auto"/>
          <w:highlight w:val="none"/>
          <w:u w:val="single"/>
        </w:rPr>
        <w:t>）</w:t>
      </w:r>
      <w:r>
        <w:rPr>
          <w:rFonts w:hint="eastAsia" w:ascii="宋体" w:hAnsi="宋体"/>
          <w:color w:val="auto"/>
          <w:highlight w:val="none"/>
          <w:u w:val="single"/>
        </w:rPr>
        <w:t xml:space="preserve"> </w:t>
      </w:r>
      <w:r>
        <w:rPr>
          <w:rFonts w:hint="eastAsia" w:ascii="宋体" w:hAnsi="宋体"/>
          <w:color w:val="auto"/>
          <w:highlight w:val="none"/>
        </w:rPr>
        <w:t>公</w:t>
      </w:r>
      <w:r>
        <w:rPr>
          <w:rFonts w:ascii="宋体" w:hAnsi="宋体"/>
          <w:color w:val="auto"/>
          <w:highlight w:val="none"/>
        </w:rPr>
        <w:t>开</w:t>
      </w:r>
      <w:r>
        <w:rPr>
          <w:rFonts w:hint="eastAsia" w:ascii="宋体" w:hAnsi="宋体"/>
          <w:color w:val="auto"/>
          <w:highlight w:val="none"/>
        </w:rPr>
        <w:t>招</w:t>
      </w:r>
      <w:r>
        <w:rPr>
          <w:rFonts w:ascii="宋体" w:hAnsi="宋体"/>
          <w:color w:val="auto"/>
          <w:highlight w:val="none"/>
        </w:rPr>
        <w:t>标项</w:t>
      </w:r>
      <w:r>
        <w:rPr>
          <w:rFonts w:hint="eastAsia" w:ascii="宋体" w:hAnsi="宋体"/>
          <w:color w:val="auto"/>
          <w:highlight w:val="none"/>
        </w:rPr>
        <w:t>目的投</w:t>
      </w:r>
      <w:r>
        <w:rPr>
          <w:rFonts w:ascii="宋体" w:hAnsi="宋体"/>
          <w:color w:val="auto"/>
          <w:highlight w:val="none"/>
        </w:rPr>
        <w:t>标报价、签订</w:t>
      </w:r>
      <w:r>
        <w:rPr>
          <w:rFonts w:hint="eastAsia" w:ascii="宋体" w:hAnsi="宋体"/>
          <w:color w:val="auto"/>
          <w:highlight w:val="none"/>
        </w:rPr>
        <w:t>合同以及合同的</w:t>
      </w:r>
      <w:r>
        <w:rPr>
          <w:rFonts w:ascii="宋体" w:hAnsi="宋体"/>
          <w:color w:val="auto"/>
          <w:highlight w:val="none"/>
        </w:rPr>
        <w:t>执</w:t>
      </w:r>
      <w:r>
        <w:rPr>
          <w:rFonts w:hint="eastAsia" w:ascii="宋体" w:hAnsi="宋体"/>
          <w:color w:val="auto"/>
          <w:highlight w:val="none"/>
        </w:rPr>
        <w:t>行、完成、服</w:t>
      </w:r>
      <w:r>
        <w:rPr>
          <w:rFonts w:ascii="宋体" w:hAnsi="宋体"/>
          <w:color w:val="auto"/>
          <w:highlight w:val="none"/>
        </w:rPr>
        <w:t>务</w:t>
      </w:r>
      <w:r>
        <w:rPr>
          <w:rFonts w:hint="eastAsia" w:ascii="宋体" w:hAnsi="宋体"/>
          <w:color w:val="auto"/>
          <w:highlight w:val="none"/>
        </w:rPr>
        <w:t>和保修，以本公司名</w:t>
      </w:r>
      <w:r>
        <w:rPr>
          <w:rFonts w:ascii="宋体" w:hAnsi="宋体"/>
          <w:color w:val="auto"/>
          <w:highlight w:val="none"/>
        </w:rPr>
        <w:t>义处</w:t>
      </w:r>
      <w:r>
        <w:rPr>
          <w:rFonts w:hint="eastAsia" w:ascii="宋体" w:hAnsi="宋体"/>
          <w:color w:val="auto"/>
          <w:highlight w:val="none"/>
        </w:rPr>
        <w:t>理一切与之有</w:t>
      </w:r>
      <w:r>
        <w:rPr>
          <w:rFonts w:ascii="宋体" w:hAnsi="宋体"/>
          <w:color w:val="auto"/>
          <w:highlight w:val="none"/>
        </w:rPr>
        <w:t>关的</w:t>
      </w:r>
      <w:r>
        <w:rPr>
          <w:rFonts w:hint="eastAsia" w:ascii="宋体" w:hAnsi="宋体"/>
          <w:color w:val="auto"/>
          <w:highlight w:val="none"/>
        </w:rPr>
        <w:t>事</w:t>
      </w:r>
      <w:r>
        <w:rPr>
          <w:rFonts w:ascii="宋体" w:hAnsi="宋体"/>
          <w:color w:val="auto"/>
          <w:highlight w:val="none"/>
        </w:rPr>
        <w:t>务</w:t>
      </w:r>
      <w:r>
        <w:rPr>
          <w:rFonts w:hint="eastAsia" w:ascii="宋体" w:hAnsi="宋体"/>
          <w:color w:val="auto"/>
          <w:highlight w:val="none"/>
        </w:rPr>
        <w:t>。</w:t>
      </w:r>
    </w:p>
    <w:p w14:paraId="44E3BAA5">
      <w:pPr>
        <w:spacing w:line="480" w:lineRule="auto"/>
        <w:rPr>
          <w:rFonts w:ascii="宋体" w:hAnsi="宋体"/>
          <w:color w:val="auto"/>
          <w:highlight w:val="none"/>
        </w:rPr>
      </w:pPr>
      <w:r>
        <w:rPr>
          <w:rFonts w:hint="eastAsia" w:ascii="宋体" w:hAnsi="宋体"/>
          <w:color w:val="auto"/>
          <w:highlight w:val="none"/>
        </w:rPr>
        <w:t>本授</w:t>
      </w:r>
      <w:r>
        <w:rPr>
          <w:rFonts w:ascii="宋体" w:hAnsi="宋体"/>
          <w:color w:val="auto"/>
          <w:highlight w:val="none"/>
        </w:rPr>
        <w:t>权书</w:t>
      </w:r>
      <w:r>
        <w:rPr>
          <w:rFonts w:hint="eastAsia" w:ascii="宋体" w:hAnsi="宋体"/>
          <w:color w:val="auto"/>
          <w:highlight w:val="none"/>
        </w:rPr>
        <w:t>于</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ascii="宋体" w:hAnsi="宋体"/>
          <w:color w:val="auto"/>
          <w:highlight w:val="none"/>
        </w:rPr>
        <w:t>日签</w:t>
      </w:r>
      <w:r>
        <w:rPr>
          <w:rFonts w:hint="eastAsia" w:ascii="宋体" w:hAnsi="宋体"/>
          <w:color w:val="auto"/>
          <w:highlight w:val="none"/>
        </w:rPr>
        <w:t>字生效，</w:t>
      </w:r>
      <w:r>
        <w:rPr>
          <w:rFonts w:ascii="宋体" w:hAnsi="宋体"/>
          <w:color w:val="auto"/>
          <w:highlight w:val="none"/>
        </w:rPr>
        <w:t>无转</w:t>
      </w:r>
      <w:r>
        <w:rPr>
          <w:rFonts w:hint="eastAsia" w:ascii="宋体" w:hAnsi="宋体"/>
          <w:color w:val="auto"/>
          <w:highlight w:val="none"/>
        </w:rPr>
        <w:t>委</w:t>
      </w:r>
      <w:r>
        <w:rPr>
          <w:rFonts w:ascii="宋体" w:hAnsi="宋体"/>
          <w:color w:val="auto"/>
          <w:highlight w:val="none"/>
        </w:rPr>
        <w:t>权</w:t>
      </w:r>
      <w:r>
        <w:rPr>
          <w:rFonts w:hint="eastAsia" w:ascii="宋体" w:hAnsi="宋体"/>
          <w:color w:val="auto"/>
          <w:highlight w:val="none"/>
        </w:rPr>
        <w:t>，特此</w:t>
      </w:r>
      <w:r>
        <w:rPr>
          <w:rFonts w:ascii="宋体" w:hAnsi="宋体"/>
          <w:color w:val="auto"/>
          <w:highlight w:val="none"/>
        </w:rPr>
        <w:t>声</w:t>
      </w:r>
      <w:r>
        <w:rPr>
          <w:rFonts w:hint="eastAsia" w:ascii="宋体" w:hAnsi="宋体"/>
          <w:color w:val="auto"/>
          <w:highlight w:val="none"/>
        </w:rPr>
        <w:t>明。</w:t>
      </w:r>
    </w:p>
    <w:p w14:paraId="08A6F770">
      <w:pPr>
        <w:spacing w:line="360" w:lineRule="auto"/>
        <w:rPr>
          <w:rFonts w:ascii="宋体" w:hAnsi="宋体"/>
          <w:color w:val="auto"/>
          <w:highlight w:val="none"/>
        </w:rPr>
      </w:pPr>
    </w:p>
    <w:p w14:paraId="71136C61">
      <w:pPr>
        <w:spacing w:line="360" w:lineRule="auto"/>
        <w:ind w:firstLine="420"/>
        <w:rPr>
          <w:rFonts w:ascii="宋体" w:hAnsi="宋体"/>
          <w:color w:val="auto"/>
          <w:szCs w:val="21"/>
          <w:highlight w:val="none"/>
        </w:rPr>
      </w:pPr>
      <w:r>
        <w:rPr>
          <w:rFonts w:hint="eastAsia" w:ascii="宋体" w:hAnsi="宋体"/>
          <w:color w:val="auto"/>
          <w:szCs w:val="21"/>
          <w:highlight w:val="none"/>
        </w:rPr>
        <w:t>投标人全称（加盖公章）</w:t>
      </w:r>
      <w:r>
        <w:rPr>
          <w:rFonts w:hint="eastAsia" w:ascii="宋体" w:hAnsi="宋体"/>
          <w:color w:val="auto"/>
          <w:szCs w:val="21"/>
          <w:highlight w:val="none"/>
          <w:u w:val="single"/>
        </w:rPr>
        <w:t xml:space="preserve">                                   </w:t>
      </w:r>
    </w:p>
    <w:p w14:paraId="5F43066E">
      <w:pPr>
        <w:spacing w:line="360" w:lineRule="auto"/>
        <w:ind w:firstLine="420"/>
        <w:rPr>
          <w:rFonts w:ascii="宋体" w:hAnsi="宋体"/>
          <w:color w:val="auto"/>
          <w:szCs w:val="21"/>
          <w:highlight w:val="none"/>
        </w:rPr>
      </w:pPr>
      <w:r>
        <w:rPr>
          <w:rFonts w:hint="eastAsia" w:ascii="宋体" w:hAnsi="宋体"/>
          <w:color w:val="auto"/>
          <w:szCs w:val="21"/>
          <w:highlight w:val="none"/>
        </w:rPr>
        <w:t>法定代表人（签字或盖章）</w:t>
      </w:r>
      <w:r>
        <w:rPr>
          <w:rFonts w:hint="eastAsia" w:ascii="宋体" w:hAnsi="宋体"/>
          <w:color w:val="auto"/>
          <w:szCs w:val="21"/>
          <w:highlight w:val="none"/>
          <w:u w:val="single"/>
        </w:rPr>
        <w:t xml:space="preserve">                                 </w:t>
      </w:r>
    </w:p>
    <w:p w14:paraId="62999E38">
      <w:pPr>
        <w:spacing w:line="360" w:lineRule="auto"/>
        <w:ind w:firstLine="420"/>
        <w:rPr>
          <w:rFonts w:ascii="宋体" w:hAnsi="宋体"/>
          <w:color w:val="auto"/>
          <w:szCs w:val="21"/>
          <w:highlight w:val="none"/>
        </w:rPr>
      </w:pPr>
      <w:r>
        <w:rPr>
          <w:rFonts w:hint="eastAsia" w:ascii="宋体" w:hAnsi="宋体"/>
          <w:color w:val="auto"/>
          <w:szCs w:val="21"/>
          <w:highlight w:val="none"/>
        </w:rPr>
        <w:t>被授权人（签字）</w:t>
      </w:r>
      <w:r>
        <w:rPr>
          <w:rFonts w:hint="eastAsia" w:ascii="宋体" w:hAnsi="宋体"/>
          <w:color w:val="auto"/>
          <w:szCs w:val="21"/>
          <w:highlight w:val="none"/>
          <w:u w:val="single"/>
        </w:rPr>
        <w:t xml:space="preserve">                                         </w:t>
      </w:r>
    </w:p>
    <w:p w14:paraId="33610CBE">
      <w:pPr>
        <w:spacing w:line="360" w:lineRule="auto"/>
        <w:ind w:firstLine="420"/>
        <w:rPr>
          <w:rFonts w:ascii="宋体" w:hAnsi="宋体"/>
          <w:color w:val="auto"/>
          <w:szCs w:val="21"/>
          <w:highlight w:val="none"/>
        </w:rPr>
      </w:pPr>
      <w:r>
        <w:rPr>
          <w:rFonts w:hint="eastAsia" w:ascii="宋体" w:hAnsi="宋体"/>
          <w:color w:val="auto"/>
          <w:szCs w:val="21"/>
          <w:highlight w:val="none"/>
        </w:rPr>
        <w:t>日          期</w:t>
      </w:r>
      <w:r>
        <w:rPr>
          <w:rFonts w:hint="eastAsia" w:ascii="宋体" w:hAnsi="宋体"/>
          <w:color w:val="auto"/>
          <w:szCs w:val="21"/>
          <w:highlight w:val="none"/>
          <w:u w:val="single"/>
        </w:rPr>
        <w:t xml:space="preserve">                                           </w:t>
      </w:r>
    </w:p>
    <w:p w14:paraId="39D16A5D">
      <w:pPr>
        <w:spacing w:line="360" w:lineRule="auto"/>
        <w:rPr>
          <w:rFonts w:ascii="宋体" w:hAnsi="宋体"/>
          <w:color w:val="auto"/>
          <w:highlight w:val="none"/>
        </w:rPr>
      </w:pPr>
    </w:p>
    <w:p w14:paraId="1C0A7678">
      <w:pPr>
        <w:spacing w:line="360" w:lineRule="auto"/>
        <w:rPr>
          <w:rFonts w:ascii="宋体" w:hAnsi="宋体"/>
          <w:color w:val="auto"/>
          <w:highlight w:val="none"/>
        </w:rPr>
      </w:pPr>
      <w:r>
        <w:rPr>
          <w:rFonts w:hint="eastAsia" w:ascii="宋体" w:hAnsi="宋体"/>
          <w:color w:val="auto"/>
          <w:highlight w:val="none"/>
        </w:rPr>
        <w:t>附：</w:t>
      </w:r>
    </w:p>
    <w:p w14:paraId="06DD57BF">
      <w:pPr>
        <w:spacing w:line="360" w:lineRule="auto"/>
        <w:rPr>
          <w:rFonts w:ascii="宋体" w:hAnsi="宋体"/>
          <w:color w:val="auto"/>
          <w:szCs w:val="21"/>
          <w:highlight w:val="none"/>
        </w:rPr>
      </w:pPr>
      <w:r>
        <w:rPr>
          <w:rFonts w:hint="eastAsia" w:ascii="宋体" w:hAnsi="宋体"/>
          <w:color w:val="auto"/>
          <w:szCs w:val="21"/>
          <w:highlight w:val="none"/>
        </w:rPr>
        <w:t>全权代表姓名：</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性</w:t>
      </w:r>
      <w:r>
        <w:rPr>
          <w:rFonts w:ascii="宋体" w:hAnsi="宋体"/>
          <w:color w:val="auto"/>
          <w:szCs w:val="21"/>
          <w:highlight w:val="none"/>
        </w:rPr>
        <w:t>别</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w:t>
      </w:r>
      <w:r>
        <w:rPr>
          <w:rFonts w:ascii="宋体" w:hAnsi="宋体"/>
          <w:color w:val="auto"/>
          <w:szCs w:val="21"/>
          <w:highlight w:val="none"/>
        </w:rPr>
        <w:t>龄</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0EB057B3">
      <w:pPr>
        <w:spacing w:line="360" w:lineRule="auto"/>
        <w:rPr>
          <w:rFonts w:ascii="宋体" w:hAnsi="宋体"/>
          <w:color w:val="auto"/>
          <w:szCs w:val="21"/>
          <w:highlight w:val="none"/>
        </w:rPr>
      </w:pPr>
      <w:r>
        <w:rPr>
          <w:rFonts w:ascii="宋体" w:hAnsi="宋体"/>
          <w:color w:val="auto"/>
          <w:szCs w:val="21"/>
          <w:highlight w:val="none"/>
        </w:rPr>
        <w:t>部门</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职务</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联系电话：</w:t>
      </w:r>
      <w:r>
        <w:rPr>
          <w:rFonts w:hint="eastAsia" w:ascii="宋体" w:hAnsi="宋体"/>
          <w:color w:val="auto"/>
          <w:szCs w:val="21"/>
          <w:highlight w:val="none"/>
          <w:u w:val="single"/>
        </w:rPr>
        <w:t xml:space="preserve">               </w:t>
      </w:r>
    </w:p>
    <w:p w14:paraId="11A83CE6">
      <w:pPr>
        <w:spacing w:line="360" w:lineRule="auto"/>
        <w:rPr>
          <w:rFonts w:ascii="宋体" w:hAnsi="宋体"/>
          <w:color w:val="auto"/>
          <w:highlight w:val="none"/>
        </w:rPr>
      </w:pPr>
    </w:p>
    <w:p w14:paraId="69E376A5">
      <w:pPr>
        <w:spacing w:line="360" w:lineRule="auto"/>
        <w:rPr>
          <w:rFonts w:ascii="宋体" w:hAnsi="宋体"/>
          <w:color w:val="auto"/>
          <w:highlight w:val="none"/>
        </w:rPr>
      </w:pPr>
    </w:p>
    <w:p w14:paraId="185E0649">
      <w:pPr>
        <w:spacing w:line="360" w:lineRule="auto"/>
        <w:rPr>
          <w:rFonts w:ascii="宋体" w:hAnsi="宋体"/>
          <w:color w:val="auto"/>
          <w:highlight w:val="none"/>
        </w:rPr>
      </w:pPr>
    </w:p>
    <w:p w14:paraId="27936AE2">
      <w:pPr>
        <w:spacing w:line="360" w:lineRule="auto"/>
        <w:rPr>
          <w:rFonts w:ascii="宋体" w:hAnsi="宋体"/>
          <w:color w:val="auto"/>
          <w:highlight w:val="none"/>
        </w:rPr>
      </w:pPr>
    </w:p>
    <w:p w14:paraId="5BC66FE5">
      <w:pPr>
        <w:jc w:val="center"/>
        <w:rPr>
          <w:b/>
          <w:color w:val="auto"/>
          <w:highlight w:val="none"/>
          <w:u w:val="single"/>
        </w:rPr>
      </w:pPr>
      <w:r>
        <w:rPr>
          <w:rFonts w:hint="eastAsia"/>
          <w:b/>
          <w:color w:val="auto"/>
          <w:highlight w:val="none"/>
          <w:u w:val="single"/>
        </w:rPr>
        <w:t>（</w:t>
      </w:r>
      <w:r>
        <w:rPr>
          <w:rFonts w:hint="eastAsia" w:ascii="宋体" w:hAnsi="宋体" w:cs="宋体"/>
          <w:b/>
          <w:color w:val="auto"/>
          <w:highlight w:val="none"/>
          <w:u w:val="single"/>
        </w:rPr>
        <w:t>※</w:t>
      </w:r>
      <w:r>
        <w:rPr>
          <w:rFonts w:hint="eastAsia"/>
          <w:b/>
          <w:color w:val="auto"/>
          <w:highlight w:val="none"/>
          <w:u w:val="single"/>
        </w:rPr>
        <w:t xml:space="preserve"> 此</w:t>
      </w:r>
      <w:r>
        <w:rPr>
          <w:b/>
          <w:color w:val="auto"/>
          <w:highlight w:val="none"/>
          <w:u w:val="single"/>
        </w:rPr>
        <w:t>处</w:t>
      </w:r>
      <w:r>
        <w:rPr>
          <w:rFonts w:hint="eastAsia"/>
          <w:b/>
          <w:color w:val="auto"/>
          <w:highlight w:val="none"/>
          <w:u w:val="single"/>
        </w:rPr>
        <w:t>附全权代表身份</w:t>
      </w:r>
      <w:r>
        <w:rPr>
          <w:b/>
          <w:color w:val="auto"/>
          <w:highlight w:val="none"/>
          <w:u w:val="single"/>
        </w:rPr>
        <w:t>证复</w:t>
      </w:r>
      <w:r>
        <w:rPr>
          <w:rFonts w:hint="eastAsia"/>
          <w:b/>
          <w:color w:val="auto"/>
          <w:highlight w:val="none"/>
          <w:u w:val="single"/>
        </w:rPr>
        <w:t>印件（正反两面）</w:t>
      </w:r>
      <w:r>
        <w:rPr>
          <w:rFonts w:hint="eastAsia" w:ascii="宋体" w:hAnsi="宋体" w:cs="宋体"/>
          <w:b/>
          <w:color w:val="auto"/>
          <w:highlight w:val="none"/>
          <w:u w:val="single"/>
        </w:rPr>
        <w:t>※</w:t>
      </w:r>
      <w:r>
        <w:rPr>
          <w:rFonts w:hint="eastAsia"/>
          <w:b/>
          <w:color w:val="auto"/>
          <w:highlight w:val="none"/>
          <w:u w:val="single"/>
        </w:rPr>
        <w:t>）</w:t>
      </w:r>
    </w:p>
    <w:p w14:paraId="1BF0C524">
      <w:pPr>
        <w:spacing w:line="360" w:lineRule="auto"/>
        <w:rPr>
          <w:rFonts w:ascii="宋体" w:hAnsi="宋体"/>
          <w:color w:val="auto"/>
          <w:highlight w:val="none"/>
        </w:rPr>
      </w:pPr>
    </w:p>
    <w:p w14:paraId="5BE4E14F">
      <w:pPr>
        <w:spacing w:line="360" w:lineRule="auto"/>
        <w:rPr>
          <w:rFonts w:ascii="宋体" w:hAnsi="宋体"/>
          <w:color w:val="auto"/>
          <w:highlight w:val="none"/>
        </w:rPr>
      </w:pPr>
    </w:p>
    <w:p w14:paraId="5C81B8AA">
      <w:pPr>
        <w:spacing w:line="360" w:lineRule="auto"/>
        <w:rPr>
          <w:rFonts w:ascii="宋体" w:hAnsi="宋体"/>
          <w:color w:val="auto"/>
          <w:highlight w:val="none"/>
        </w:rPr>
      </w:pPr>
    </w:p>
    <w:p w14:paraId="0A90F2B0">
      <w:pPr>
        <w:spacing w:line="360" w:lineRule="auto"/>
        <w:rPr>
          <w:rFonts w:ascii="宋体" w:hAnsi="宋体"/>
          <w:color w:val="auto"/>
          <w:highlight w:val="none"/>
        </w:rPr>
      </w:pPr>
      <w:r>
        <w:rPr>
          <w:rFonts w:hint="eastAsia" w:ascii="宋体" w:hAnsi="宋体"/>
          <w:b/>
          <w:color w:val="auto"/>
          <w:highlight w:val="none"/>
        </w:rPr>
        <w:t>说明：全权代表</w:t>
      </w:r>
      <w:r>
        <w:rPr>
          <w:rFonts w:ascii="宋体" w:hAnsi="宋体"/>
          <w:b/>
          <w:color w:val="auto"/>
          <w:highlight w:val="none"/>
        </w:rPr>
        <w:t>参</w:t>
      </w:r>
      <w:r>
        <w:rPr>
          <w:rFonts w:hint="eastAsia" w:ascii="宋体" w:hAnsi="宋体"/>
          <w:b/>
          <w:color w:val="auto"/>
          <w:highlight w:val="none"/>
        </w:rPr>
        <w:t>加本招</w:t>
      </w:r>
      <w:r>
        <w:rPr>
          <w:rFonts w:ascii="宋体" w:hAnsi="宋体"/>
          <w:b/>
          <w:color w:val="auto"/>
          <w:highlight w:val="none"/>
        </w:rPr>
        <w:t>标项目</w:t>
      </w:r>
      <w:r>
        <w:rPr>
          <w:rFonts w:hint="eastAsia" w:ascii="宋体" w:hAnsi="宋体"/>
          <w:b/>
          <w:color w:val="auto"/>
          <w:highlight w:val="none"/>
        </w:rPr>
        <w:t>投</w:t>
      </w:r>
      <w:r>
        <w:rPr>
          <w:rFonts w:ascii="宋体" w:hAnsi="宋体"/>
          <w:b/>
          <w:color w:val="auto"/>
          <w:highlight w:val="none"/>
        </w:rPr>
        <w:t>标</w:t>
      </w:r>
      <w:r>
        <w:rPr>
          <w:rFonts w:hint="eastAsia" w:ascii="宋体" w:hAnsi="宋体"/>
          <w:b/>
          <w:color w:val="auto"/>
          <w:highlight w:val="none"/>
        </w:rPr>
        <w:t>的，</w:t>
      </w:r>
      <w:r>
        <w:rPr>
          <w:rFonts w:ascii="宋体" w:hAnsi="宋体"/>
          <w:b/>
          <w:color w:val="auto"/>
          <w:highlight w:val="none"/>
        </w:rPr>
        <w:t>仅须</w:t>
      </w:r>
      <w:r>
        <w:rPr>
          <w:rFonts w:hint="eastAsia" w:ascii="宋体" w:hAnsi="宋体"/>
          <w:b/>
          <w:color w:val="auto"/>
          <w:highlight w:val="none"/>
        </w:rPr>
        <w:t>提供此</w:t>
      </w:r>
      <w:r>
        <w:rPr>
          <w:rFonts w:ascii="宋体" w:hAnsi="宋体"/>
          <w:b/>
          <w:color w:val="auto"/>
          <w:highlight w:val="none"/>
        </w:rPr>
        <w:t>证</w:t>
      </w:r>
      <w:r>
        <w:rPr>
          <w:rFonts w:hint="eastAsia" w:ascii="宋体" w:hAnsi="宋体"/>
          <w:b/>
          <w:color w:val="auto"/>
          <w:highlight w:val="none"/>
        </w:rPr>
        <w:t>明</w:t>
      </w:r>
      <w:r>
        <w:rPr>
          <w:rFonts w:ascii="宋体" w:hAnsi="宋体"/>
          <w:b/>
          <w:color w:val="auto"/>
          <w:highlight w:val="none"/>
        </w:rPr>
        <w:t>书</w:t>
      </w:r>
      <w:r>
        <w:rPr>
          <w:rFonts w:hint="eastAsia" w:ascii="宋体" w:hAnsi="宋体"/>
          <w:b/>
          <w:color w:val="auto"/>
          <w:highlight w:val="none"/>
        </w:rPr>
        <w:t>。</w:t>
      </w:r>
    </w:p>
    <w:p w14:paraId="3281A54A">
      <w:pPr>
        <w:adjustRightInd w:val="0"/>
        <w:snapToGrid w:val="0"/>
        <w:jc w:val="left"/>
        <w:rPr>
          <w:rFonts w:ascii="宋体" w:hAnsi="宋体" w:cs="宋体"/>
          <w:color w:val="auto"/>
          <w:szCs w:val="21"/>
          <w:highlight w:val="none"/>
        </w:rPr>
      </w:pPr>
    </w:p>
    <w:p w14:paraId="7BCF3FF5">
      <w:pPr>
        <w:adjustRightInd w:val="0"/>
        <w:snapToGrid w:val="0"/>
        <w:jc w:val="left"/>
        <w:rPr>
          <w:rFonts w:hint="eastAsia" w:ascii="宋体" w:hAnsi="宋体" w:cs="宋体"/>
          <w:color w:val="auto"/>
          <w:szCs w:val="21"/>
          <w:highlight w:val="none"/>
        </w:rPr>
      </w:pPr>
    </w:p>
    <w:p w14:paraId="3B1E2A36">
      <w:pPr>
        <w:adjustRightInd w:val="0"/>
        <w:snapToGrid w:val="0"/>
        <w:jc w:val="left"/>
        <w:rPr>
          <w:rFonts w:hint="eastAsia" w:ascii="宋体" w:hAnsi="宋体" w:cs="宋体"/>
          <w:color w:val="auto"/>
          <w:szCs w:val="21"/>
          <w:highlight w:val="none"/>
        </w:rPr>
      </w:pPr>
    </w:p>
    <w:p w14:paraId="37E58983">
      <w:pPr>
        <w:spacing w:line="360" w:lineRule="auto"/>
        <w:jc w:val="left"/>
        <w:rPr>
          <w:rFonts w:hint="eastAsia"/>
          <w:b/>
          <w:bCs/>
          <w:color w:val="auto"/>
          <w:sz w:val="32"/>
          <w:szCs w:val="32"/>
          <w:highlight w:val="none"/>
        </w:rPr>
      </w:pPr>
      <w:r>
        <w:rPr>
          <w:rFonts w:hint="eastAsia" w:ascii="宋体" w:hAnsi="宋体"/>
          <w:color w:val="auto"/>
          <w:highlight w:val="none"/>
        </w:rPr>
        <w:t>附件</w:t>
      </w:r>
      <w:r>
        <w:rPr>
          <w:rFonts w:hint="eastAsia" w:ascii="宋体" w:hAnsi="宋体"/>
          <w:color w:val="auto"/>
          <w:highlight w:val="none"/>
          <w:lang w:val="en-US" w:eastAsia="zh-CN"/>
        </w:rPr>
        <w:t>4</w:t>
      </w:r>
      <w:r>
        <w:rPr>
          <w:rFonts w:hint="eastAsia" w:ascii="宋体" w:hAnsi="宋体"/>
          <w:color w:val="auto"/>
          <w:highlight w:val="none"/>
        </w:rPr>
        <w:t>：</w:t>
      </w:r>
    </w:p>
    <w:p w14:paraId="65975BD6">
      <w:pPr>
        <w:spacing w:line="360" w:lineRule="auto"/>
        <w:jc w:val="center"/>
        <w:rPr>
          <w:b/>
          <w:bCs/>
          <w:color w:val="auto"/>
          <w:sz w:val="32"/>
          <w:szCs w:val="32"/>
          <w:highlight w:val="none"/>
        </w:rPr>
      </w:pPr>
      <w:r>
        <w:rPr>
          <w:rFonts w:hint="eastAsia"/>
          <w:b/>
          <w:bCs/>
          <w:color w:val="auto"/>
          <w:sz w:val="32"/>
          <w:szCs w:val="32"/>
          <w:highlight w:val="none"/>
        </w:rPr>
        <w:t>中小企业声明函（</w:t>
      </w:r>
      <w:r>
        <w:rPr>
          <w:rFonts w:hint="eastAsia"/>
          <w:b/>
          <w:bCs/>
          <w:color w:val="auto"/>
          <w:sz w:val="32"/>
          <w:szCs w:val="32"/>
          <w:highlight w:val="none"/>
          <w:lang w:val="en-US" w:eastAsia="zh-CN"/>
        </w:rPr>
        <w:t>服务</w:t>
      </w:r>
      <w:r>
        <w:rPr>
          <w:rFonts w:hint="eastAsia"/>
          <w:b/>
          <w:bCs/>
          <w:color w:val="auto"/>
          <w:sz w:val="32"/>
          <w:szCs w:val="32"/>
          <w:highlight w:val="none"/>
        </w:rPr>
        <w:t>）</w:t>
      </w:r>
    </w:p>
    <w:p w14:paraId="0710C145">
      <w:pPr>
        <w:spacing w:line="360" w:lineRule="auto"/>
        <w:rPr>
          <w:color w:val="auto"/>
          <w:sz w:val="24"/>
          <w:szCs w:val="24"/>
          <w:highlight w:val="none"/>
        </w:rPr>
      </w:pPr>
    </w:p>
    <w:p w14:paraId="655FC7AB">
      <w:pPr>
        <w:pStyle w:val="2"/>
        <w:spacing w:line="360" w:lineRule="auto"/>
        <w:ind w:firstLine="398" w:firstLineChars="200"/>
        <w:jc w:val="left"/>
        <w:rPr>
          <w:rFonts w:hint="eastAsia" w:cs="宋体"/>
          <w:i w:val="0"/>
          <w:iCs w:val="0"/>
          <w:color w:val="auto"/>
          <w:sz w:val="21"/>
          <w:szCs w:val="21"/>
          <w:highlight w:val="none"/>
        </w:rPr>
      </w:pPr>
      <w:r>
        <w:rPr>
          <w:rFonts w:hint="eastAsia" w:cs="宋体"/>
          <w:color w:val="auto"/>
          <w:w w:val="95"/>
          <w:sz w:val="21"/>
          <w:szCs w:val="21"/>
          <w:highlight w:val="none"/>
        </w:rPr>
        <w:t>本公司（联合体）郑重声明，根据《政府采购促进中小</w:t>
      </w:r>
      <w:r>
        <w:rPr>
          <w:rFonts w:hint="eastAsia" w:cs="宋体"/>
          <w:color w:val="auto"/>
          <w:spacing w:val="-6"/>
          <w:sz w:val="21"/>
          <w:szCs w:val="21"/>
          <w:highlight w:val="none"/>
        </w:rPr>
        <w:t>企业发展管理办法》（财库﹝2020﹞46</w:t>
      </w:r>
      <w:r>
        <w:rPr>
          <w:rFonts w:hint="eastAsia" w:cs="宋体"/>
          <w:color w:val="auto"/>
          <w:spacing w:val="-92"/>
          <w:sz w:val="21"/>
          <w:szCs w:val="21"/>
          <w:highlight w:val="none"/>
        </w:rPr>
        <w:t xml:space="preserve"> </w:t>
      </w:r>
      <w:r>
        <w:rPr>
          <w:rFonts w:hint="eastAsia" w:cs="宋体"/>
          <w:color w:val="auto"/>
          <w:spacing w:val="3"/>
          <w:sz w:val="21"/>
          <w:szCs w:val="21"/>
          <w:highlight w:val="none"/>
        </w:rPr>
        <w:t>号）的规定，本公司</w:t>
      </w:r>
      <w:r>
        <w:rPr>
          <w:rFonts w:hint="eastAsia" w:cs="宋体"/>
          <w:color w:val="auto"/>
          <w:w w:val="95"/>
          <w:sz w:val="21"/>
          <w:szCs w:val="21"/>
          <w:highlight w:val="none"/>
        </w:rPr>
        <w:t>（联合体</w:t>
      </w:r>
      <w:r>
        <w:rPr>
          <w:rFonts w:hint="eastAsia" w:cs="宋体"/>
          <w:i w:val="0"/>
          <w:iCs w:val="0"/>
          <w:color w:val="auto"/>
          <w:w w:val="95"/>
          <w:sz w:val="21"/>
          <w:szCs w:val="21"/>
          <w:highlight w:val="none"/>
        </w:rPr>
        <w:t>）参加</w:t>
      </w:r>
      <w:r>
        <w:rPr>
          <w:rFonts w:hint="eastAsia" w:cs="宋体"/>
          <w:i w:val="0"/>
          <w:iCs w:val="0"/>
          <w:color w:val="auto"/>
          <w:w w:val="95"/>
          <w:sz w:val="21"/>
          <w:szCs w:val="21"/>
          <w:highlight w:val="none"/>
          <w:u w:val="single"/>
        </w:rPr>
        <w:t>宁波市自然资源和规划局北仑分局</w:t>
      </w:r>
      <w:r>
        <w:rPr>
          <w:rFonts w:hint="eastAsia" w:cs="宋体"/>
          <w:i w:val="0"/>
          <w:iCs w:val="0"/>
          <w:color w:val="auto"/>
          <w:w w:val="95"/>
          <w:sz w:val="21"/>
          <w:szCs w:val="21"/>
          <w:highlight w:val="none"/>
        </w:rPr>
        <w:t>的</w:t>
      </w:r>
      <w:r>
        <w:rPr>
          <w:rFonts w:hint="eastAsia" w:cs="宋体"/>
          <w:i w:val="0"/>
          <w:iCs w:val="0"/>
          <w:color w:val="auto"/>
          <w:w w:val="95"/>
          <w:sz w:val="21"/>
          <w:szCs w:val="21"/>
          <w:highlight w:val="none"/>
          <w:u w:val="single"/>
        </w:rPr>
        <w:t>北仑区地籍图编制项目</w:t>
      </w:r>
      <w:r>
        <w:rPr>
          <w:rFonts w:hint="eastAsia" w:cs="宋体"/>
          <w:i w:val="0"/>
          <w:iCs w:val="0"/>
          <w:color w:val="auto"/>
          <w:w w:val="95"/>
          <w:sz w:val="21"/>
          <w:szCs w:val="21"/>
          <w:highlight w:val="none"/>
        </w:rPr>
        <w:t>采购活动</w:t>
      </w:r>
      <w:r>
        <w:rPr>
          <w:rFonts w:hint="eastAsia" w:cs="宋体"/>
          <w:i w:val="0"/>
          <w:iCs w:val="0"/>
          <w:color w:val="auto"/>
          <w:spacing w:val="-49"/>
          <w:sz w:val="21"/>
          <w:szCs w:val="21"/>
          <w:highlight w:val="none"/>
        </w:rPr>
        <w:t>，</w:t>
      </w:r>
      <w:r>
        <w:rPr>
          <w:rFonts w:hint="eastAsia" w:cs="宋体"/>
          <w:i w:val="0"/>
          <w:iCs w:val="0"/>
          <w:color w:val="auto"/>
          <w:w w:val="95"/>
          <w:sz w:val="21"/>
          <w:szCs w:val="21"/>
          <w:highlight w:val="none"/>
        </w:rPr>
        <w:t>服务全部由符合政策要求的中小企业承接。相关企业（含联合体中的中小企业、签订分包意向协议的中小企业）的具体情</w:t>
      </w:r>
      <w:r>
        <w:rPr>
          <w:rFonts w:hint="eastAsia" w:cs="宋体"/>
          <w:i w:val="0"/>
          <w:iCs w:val="0"/>
          <w:color w:val="auto"/>
          <w:sz w:val="21"/>
          <w:szCs w:val="21"/>
          <w:highlight w:val="none"/>
        </w:rPr>
        <w:t>况如下：</w:t>
      </w:r>
    </w:p>
    <w:p w14:paraId="5431CA7E">
      <w:pPr>
        <w:pStyle w:val="2"/>
        <w:numPr>
          <w:ilvl w:val="0"/>
          <w:numId w:val="8"/>
        </w:numPr>
        <w:spacing w:line="360" w:lineRule="auto"/>
        <w:jc w:val="left"/>
        <w:rPr>
          <w:rFonts w:hint="eastAsia" w:cs="宋体"/>
          <w:i w:val="0"/>
          <w:iCs w:val="0"/>
          <w:color w:val="auto"/>
          <w:sz w:val="21"/>
          <w:szCs w:val="21"/>
          <w:highlight w:val="none"/>
        </w:rPr>
      </w:pPr>
      <w:r>
        <w:rPr>
          <w:rFonts w:hint="eastAsia"/>
          <w:i w:val="0"/>
          <w:iCs w:val="0"/>
          <w:color w:val="auto"/>
          <w:sz w:val="21"/>
          <w:szCs w:val="21"/>
          <w:highlight w:val="none"/>
          <w:u w:val="single"/>
        </w:rPr>
        <w:t xml:space="preserve">标的名称   </w:t>
      </w:r>
      <w:r>
        <w:rPr>
          <w:rFonts w:hint="eastAsia" w:cs="宋体"/>
          <w:i w:val="0"/>
          <w:iCs w:val="0"/>
          <w:color w:val="auto"/>
          <w:w w:val="95"/>
          <w:sz w:val="21"/>
          <w:szCs w:val="21"/>
          <w:highlight w:val="none"/>
        </w:rPr>
        <w:t>，属于</w:t>
      </w:r>
      <w:r>
        <w:rPr>
          <w:rFonts w:hint="eastAsia" w:cs="宋体"/>
          <w:i w:val="0"/>
          <w:iCs w:val="0"/>
          <w:color w:val="auto"/>
          <w:w w:val="95"/>
          <w:sz w:val="21"/>
          <w:szCs w:val="21"/>
          <w:highlight w:val="none"/>
          <w:u w:val="single"/>
        </w:rPr>
        <w:t xml:space="preserve"> </w:t>
      </w:r>
      <w:r>
        <w:rPr>
          <w:rFonts w:hint="eastAsia" w:cs="宋体"/>
          <w:i w:val="0"/>
          <w:iCs w:val="0"/>
          <w:color w:val="auto"/>
          <w:w w:val="95"/>
          <w:sz w:val="21"/>
          <w:szCs w:val="21"/>
          <w:highlight w:val="none"/>
          <w:u w:val="single"/>
          <w:lang w:val="en-US" w:eastAsia="zh-CN"/>
        </w:rPr>
        <w:t>其他未列明行业</w:t>
      </w:r>
      <w:r>
        <w:rPr>
          <w:rFonts w:hint="eastAsia" w:cs="宋体"/>
          <w:i w:val="0"/>
          <w:iCs w:val="0"/>
          <w:color w:val="auto"/>
          <w:sz w:val="21"/>
          <w:szCs w:val="21"/>
          <w:highlight w:val="none"/>
          <w:u w:val="single"/>
        </w:rPr>
        <w:t xml:space="preserve"> </w:t>
      </w:r>
      <w:r>
        <w:rPr>
          <w:rFonts w:hint="eastAsia" w:cs="宋体"/>
          <w:i w:val="0"/>
          <w:iCs w:val="0"/>
          <w:color w:val="auto"/>
          <w:w w:val="95"/>
          <w:sz w:val="21"/>
          <w:szCs w:val="21"/>
          <w:highlight w:val="none"/>
        </w:rPr>
        <w:t>；承建（承接）企业为</w:t>
      </w:r>
      <w:r>
        <w:rPr>
          <w:rFonts w:hint="eastAsia" w:cs="宋体"/>
          <w:i w:val="0"/>
          <w:iCs w:val="0"/>
          <w:color w:val="auto"/>
          <w:w w:val="95"/>
          <w:sz w:val="21"/>
          <w:szCs w:val="21"/>
          <w:highlight w:val="none"/>
          <w:u w:val="single"/>
        </w:rPr>
        <w:t>（企业名称）</w:t>
      </w:r>
      <w:r>
        <w:rPr>
          <w:rFonts w:hint="eastAsia" w:cs="宋体"/>
          <w:i w:val="0"/>
          <w:iCs w:val="0"/>
          <w:color w:val="auto"/>
          <w:w w:val="95"/>
          <w:sz w:val="21"/>
          <w:szCs w:val="21"/>
          <w:highlight w:val="none"/>
        </w:rPr>
        <w:t>，从业人员</w:t>
      </w:r>
      <w:r>
        <w:rPr>
          <w:rFonts w:hint="eastAsia" w:cs="宋体"/>
          <w:i w:val="0"/>
          <w:iCs w:val="0"/>
          <w:color w:val="auto"/>
          <w:w w:val="95"/>
          <w:sz w:val="21"/>
          <w:szCs w:val="21"/>
          <w:highlight w:val="none"/>
          <w:u w:val="single"/>
        </w:rPr>
        <w:t xml:space="preserve">   </w:t>
      </w:r>
      <w:r>
        <w:rPr>
          <w:rFonts w:hint="eastAsia" w:cs="宋体"/>
          <w:i w:val="0"/>
          <w:iCs w:val="0"/>
          <w:color w:val="auto"/>
          <w:w w:val="95"/>
          <w:sz w:val="21"/>
          <w:szCs w:val="21"/>
          <w:highlight w:val="none"/>
        </w:rPr>
        <w:t>人，营业收入为</w:t>
      </w:r>
      <w:r>
        <w:rPr>
          <w:rFonts w:hint="eastAsia" w:cs="宋体"/>
          <w:i w:val="0"/>
          <w:iCs w:val="0"/>
          <w:color w:val="auto"/>
          <w:w w:val="95"/>
          <w:sz w:val="21"/>
          <w:szCs w:val="21"/>
          <w:highlight w:val="none"/>
          <w:u w:val="single"/>
        </w:rPr>
        <w:t xml:space="preserve">   </w:t>
      </w:r>
      <w:r>
        <w:rPr>
          <w:rFonts w:hint="eastAsia" w:cs="宋体"/>
          <w:i w:val="0"/>
          <w:iCs w:val="0"/>
          <w:color w:val="auto"/>
          <w:w w:val="95"/>
          <w:sz w:val="21"/>
          <w:szCs w:val="21"/>
          <w:highlight w:val="none"/>
        </w:rPr>
        <w:t>万元，资产总额为</w:t>
      </w:r>
      <w:r>
        <w:rPr>
          <w:rFonts w:hint="eastAsia" w:cs="宋体"/>
          <w:i w:val="0"/>
          <w:iCs w:val="0"/>
          <w:color w:val="auto"/>
          <w:w w:val="95"/>
          <w:sz w:val="21"/>
          <w:szCs w:val="21"/>
          <w:highlight w:val="none"/>
          <w:u w:val="single"/>
        </w:rPr>
        <w:t xml:space="preserve">   </w:t>
      </w:r>
      <w:r>
        <w:rPr>
          <w:rFonts w:hint="eastAsia" w:cs="宋体"/>
          <w:i w:val="0"/>
          <w:iCs w:val="0"/>
          <w:color w:val="auto"/>
          <w:w w:val="95"/>
          <w:sz w:val="21"/>
          <w:szCs w:val="21"/>
          <w:highlight w:val="none"/>
        </w:rPr>
        <w:t>万元，属于</w:t>
      </w:r>
      <w:r>
        <w:rPr>
          <w:rFonts w:hint="eastAsia" w:cs="宋体"/>
          <w:i w:val="0"/>
          <w:iCs w:val="0"/>
          <w:color w:val="auto"/>
          <w:w w:val="95"/>
          <w:sz w:val="21"/>
          <w:szCs w:val="21"/>
          <w:highlight w:val="none"/>
          <w:u w:val="single"/>
          <w:lang w:val="en-US" w:eastAsia="zh-CN"/>
        </w:rPr>
        <w:t xml:space="preserve">              </w:t>
      </w:r>
      <w:r>
        <w:rPr>
          <w:rFonts w:hint="eastAsia" w:cs="宋体"/>
          <w:i w:val="0"/>
          <w:iCs w:val="0"/>
          <w:color w:val="auto"/>
          <w:w w:val="95"/>
          <w:sz w:val="21"/>
          <w:szCs w:val="21"/>
          <w:highlight w:val="none"/>
          <w:u w:val="none"/>
        </w:rPr>
        <w:t>（中型企业、小型企业、微型企业）</w:t>
      </w:r>
      <w:r>
        <w:rPr>
          <w:rFonts w:hint="eastAsia" w:cs="宋体"/>
          <w:i w:val="0"/>
          <w:iCs w:val="0"/>
          <w:color w:val="auto"/>
          <w:w w:val="95"/>
          <w:sz w:val="21"/>
          <w:szCs w:val="21"/>
          <w:highlight w:val="none"/>
        </w:rPr>
        <w:t>；</w:t>
      </w:r>
    </w:p>
    <w:p w14:paraId="2902DDAF">
      <w:pPr>
        <w:pStyle w:val="2"/>
        <w:spacing w:line="360" w:lineRule="auto"/>
        <w:ind w:firstLine="398" w:firstLineChars="200"/>
        <w:jc w:val="left"/>
        <w:rPr>
          <w:rFonts w:hint="eastAsia" w:cs="宋体"/>
          <w:color w:val="auto"/>
          <w:w w:val="95"/>
          <w:sz w:val="21"/>
          <w:szCs w:val="21"/>
          <w:highlight w:val="none"/>
        </w:rPr>
      </w:pPr>
      <w:r>
        <w:rPr>
          <w:rFonts w:hint="eastAsia" w:cs="宋体"/>
          <w:i w:val="0"/>
          <w:iCs w:val="0"/>
          <w:color w:val="auto"/>
          <w:w w:val="95"/>
          <w:sz w:val="21"/>
          <w:szCs w:val="21"/>
          <w:highlight w:val="none"/>
        </w:rPr>
        <w:t>以上企业，不属于大企业的分支机构，不存在控股股东为大企业的情形，也不存在与大企业</w:t>
      </w:r>
      <w:r>
        <w:rPr>
          <w:rFonts w:hint="eastAsia" w:cs="宋体"/>
          <w:color w:val="auto"/>
          <w:w w:val="95"/>
          <w:sz w:val="21"/>
          <w:szCs w:val="21"/>
          <w:highlight w:val="none"/>
        </w:rPr>
        <w:t>的负责人为同一人的情形。</w:t>
      </w:r>
    </w:p>
    <w:p w14:paraId="70F69426">
      <w:pPr>
        <w:pStyle w:val="2"/>
        <w:spacing w:line="360" w:lineRule="auto"/>
        <w:ind w:firstLine="398" w:firstLineChars="200"/>
        <w:jc w:val="left"/>
        <w:rPr>
          <w:rFonts w:hint="eastAsia" w:cs="宋体"/>
          <w:color w:val="auto"/>
          <w:sz w:val="21"/>
          <w:szCs w:val="21"/>
          <w:highlight w:val="none"/>
        </w:rPr>
      </w:pPr>
      <w:r>
        <w:rPr>
          <w:rFonts w:hint="eastAsia" w:cs="宋体"/>
          <w:color w:val="auto"/>
          <w:w w:val="95"/>
          <w:sz w:val="21"/>
          <w:szCs w:val="21"/>
          <w:highlight w:val="none"/>
        </w:rPr>
        <w:t>本企业对上述声明内容的真实性负责。如有虚假，将依</w:t>
      </w:r>
      <w:r>
        <w:rPr>
          <w:rFonts w:hint="eastAsia" w:cs="宋体"/>
          <w:color w:val="auto"/>
          <w:sz w:val="21"/>
          <w:szCs w:val="21"/>
          <w:highlight w:val="none"/>
        </w:rPr>
        <w:t>法承担相应责任。</w:t>
      </w:r>
    </w:p>
    <w:p w14:paraId="2EF2D47E">
      <w:pPr>
        <w:pStyle w:val="2"/>
        <w:spacing w:line="360" w:lineRule="auto"/>
        <w:ind w:firstLine="2784" w:firstLineChars="1600"/>
        <w:jc w:val="left"/>
        <w:rPr>
          <w:rFonts w:hint="eastAsia" w:cs="宋体"/>
          <w:color w:val="auto"/>
          <w:spacing w:val="-18"/>
          <w:sz w:val="21"/>
          <w:szCs w:val="21"/>
          <w:highlight w:val="none"/>
        </w:rPr>
      </w:pPr>
    </w:p>
    <w:p w14:paraId="63F1CB33">
      <w:pPr>
        <w:pStyle w:val="2"/>
        <w:spacing w:line="360" w:lineRule="auto"/>
        <w:ind w:firstLine="2784" w:firstLineChars="1600"/>
        <w:jc w:val="left"/>
        <w:rPr>
          <w:rFonts w:hint="eastAsia" w:cs="宋体"/>
          <w:color w:val="auto"/>
          <w:spacing w:val="-18"/>
          <w:sz w:val="21"/>
          <w:szCs w:val="21"/>
          <w:highlight w:val="none"/>
        </w:rPr>
      </w:pPr>
    </w:p>
    <w:p w14:paraId="2CF82377">
      <w:pPr>
        <w:pStyle w:val="2"/>
        <w:spacing w:line="360" w:lineRule="auto"/>
        <w:ind w:firstLine="2784" w:firstLineChars="1600"/>
        <w:jc w:val="left"/>
        <w:rPr>
          <w:rFonts w:hint="eastAsia" w:cs="宋体"/>
          <w:color w:val="auto"/>
          <w:spacing w:val="-18"/>
          <w:sz w:val="21"/>
          <w:szCs w:val="21"/>
          <w:highlight w:val="none"/>
        </w:rPr>
      </w:pPr>
      <w:r>
        <w:rPr>
          <w:rFonts w:hint="eastAsia" w:cs="宋体"/>
          <w:color w:val="auto"/>
          <w:spacing w:val="-18"/>
          <w:sz w:val="21"/>
          <w:szCs w:val="21"/>
          <w:highlight w:val="none"/>
        </w:rPr>
        <w:t>企业名称（盖章）：</w:t>
      </w:r>
    </w:p>
    <w:p w14:paraId="3F324C6A">
      <w:pPr>
        <w:pStyle w:val="2"/>
        <w:spacing w:line="360" w:lineRule="auto"/>
        <w:ind w:firstLine="3013" w:firstLineChars="1435"/>
        <w:jc w:val="left"/>
        <w:rPr>
          <w:color w:val="auto"/>
          <w:sz w:val="21"/>
          <w:szCs w:val="21"/>
          <w:highlight w:val="none"/>
        </w:rPr>
      </w:pPr>
      <w:r>
        <w:rPr>
          <w:rFonts w:hint="eastAsia" w:cs="宋体"/>
          <w:color w:val="auto"/>
          <w:sz w:val="21"/>
          <w:szCs w:val="21"/>
          <w:highlight w:val="none"/>
        </w:rPr>
        <w:t>日</w:t>
      </w:r>
      <w:r>
        <w:rPr>
          <w:rFonts w:hint="eastAsia" w:cs="宋体"/>
          <w:color w:val="auto"/>
          <w:spacing w:val="-91"/>
          <w:sz w:val="21"/>
          <w:szCs w:val="21"/>
          <w:highlight w:val="none"/>
        </w:rPr>
        <w:t xml:space="preserve"> </w:t>
      </w:r>
      <w:r>
        <w:rPr>
          <w:rFonts w:hint="eastAsia" w:cs="宋体"/>
          <w:color w:val="auto"/>
          <w:sz w:val="21"/>
          <w:szCs w:val="21"/>
          <w:highlight w:val="none"/>
        </w:rPr>
        <w:t>期：</w:t>
      </w:r>
    </w:p>
    <w:p w14:paraId="0323785F">
      <w:pPr>
        <w:pStyle w:val="13"/>
        <w:spacing w:line="400" w:lineRule="exact"/>
        <w:ind w:left="0" w:leftChars="0" w:firstLine="0" w:firstLineChars="0"/>
        <w:rPr>
          <w:rFonts w:ascii="宋体" w:hAnsi="宋体" w:eastAsia="宋体"/>
          <w:b/>
          <w:color w:val="auto"/>
          <w:sz w:val="21"/>
          <w:szCs w:val="21"/>
          <w:highlight w:val="none"/>
        </w:rPr>
      </w:pPr>
      <w:r>
        <w:rPr>
          <w:rFonts w:hint="eastAsia" w:ascii="宋体" w:hAnsi="宋体" w:eastAsia="宋体"/>
          <w:b/>
          <w:color w:val="auto"/>
          <w:sz w:val="21"/>
          <w:szCs w:val="21"/>
          <w:highlight w:val="none"/>
        </w:rPr>
        <w:t>注：从业人员、营业收入、资产总额填报上一年度数据，无上一年度数据的新成立企业可不填报。</w:t>
      </w:r>
    </w:p>
    <w:p w14:paraId="6BF3E5F8">
      <w:pPr>
        <w:spacing w:line="360" w:lineRule="auto"/>
        <w:rPr>
          <w:color w:val="auto"/>
          <w:szCs w:val="21"/>
          <w:highlight w:val="none"/>
        </w:rPr>
      </w:pPr>
    </w:p>
    <w:p w14:paraId="69372648">
      <w:pPr>
        <w:rPr>
          <w:color w:val="auto"/>
          <w:szCs w:val="21"/>
          <w:highlight w:val="none"/>
        </w:rPr>
      </w:pPr>
    </w:p>
    <w:p w14:paraId="74E11C58">
      <w:pPr>
        <w:pStyle w:val="36"/>
        <w:ind w:left="0" w:firstLine="0"/>
        <w:rPr>
          <w:rFonts w:hAnsi="宋体"/>
          <w:color w:val="auto"/>
          <w:sz w:val="18"/>
          <w:szCs w:val="18"/>
          <w:highlight w:val="none"/>
        </w:rPr>
      </w:pPr>
      <w:r>
        <w:rPr>
          <w:rFonts w:hAnsi="宋体" w:cs="宋体"/>
          <w:b/>
          <w:bCs/>
          <w:color w:val="auto"/>
          <w:sz w:val="18"/>
          <w:szCs w:val="18"/>
          <w:highlight w:val="none"/>
        </w:rPr>
        <w:t>风险提示：</w:t>
      </w:r>
      <w:r>
        <w:rPr>
          <w:rFonts w:hAnsi="宋体" w:cs="宋体"/>
          <w:b/>
          <w:bCs/>
          <w:color w:val="auto"/>
          <w:sz w:val="18"/>
          <w:szCs w:val="18"/>
          <w:highlight w:val="none"/>
        </w:rPr>
        <w:br w:type="textWrapping"/>
      </w:r>
      <w:r>
        <w:rPr>
          <w:rFonts w:hAnsi="宋体" w:cs="宋体"/>
          <w:b/>
          <w:bCs/>
          <w:color w:val="auto"/>
          <w:sz w:val="18"/>
          <w:szCs w:val="18"/>
          <w:highlight w:val="none"/>
        </w:rPr>
        <w:t>1.对于非面向联合体的项目，在货物采购项目中，供应商提供的货物既有中型企业制造，也有小微企业制造的，不享受办法规定的小微企业扶持政策。</w:t>
      </w:r>
      <w:r>
        <w:rPr>
          <w:rFonts w:hAnsi="宋体" w:cs="宋体"/>
          <w:b/>
          <w:bCs/>
          <w:color w:val="auto"/>
          <w:sz w:val="18"/>
          <w:szCs w:val="18"/>
          <w:highlight w:val="none"/>
        </w:rPr>
        <w:br w:type="textWrapping"/>
      </w:r>
      <w:r>
        <w:rPr>
          <w:rFonts w:hAnsi="宋体" w:cs="宋体"/>
          <w:b/>
          <w:bCs/>
          <w:color w:val="auto"/>
          <w:sz w:val="18"/>
          <w:szCs w:val="18"/>
          <w:highlight w:val="none"/>
        </w:rPr>
        <w:t>2.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14:paraId="3C67DC72">
      <w:pPr>
        <w:spacing w:line="360" w:lineRule="auto"/>
        <w:jc w:val="center"/>
        <w:rPr>
          <w:rFonts w:ascii="宋体" w:hAnsi="宋体" w:cs="宋体"/>
          <w:b/>
          <w:color w:val="auto"/>
          <w:sz w:val="30"/>
          <w:szCs w:val="30"/>
          <w:highlight w:val="none"/>
        </w:rPr>
        <w:sectPr>
          <w:pgSz w:w="11906" w:h="16838"/>
          <w:pgMar w:top="1474" w:right="1418" w:bottom="1418" w:left="1418" w:header="851" w:footer="851" w:gutter="0"/>
          <w:cols w:space="720" w:num="1"/>
          <w:docGrid w:type="linesAndChars" w:linePitch="312" w:charSpace="0"/>
        </w:sectPr>
      </w:pPr>
    </w:p>
    <w:p w14:paraId="756248B7">
      <w:pPr>
        <w:spacing w:line="360" w:lineRule="auto"/>
        <w:rPr>
          <w:rFonts w:ascii="宋体" w:hAnsi="宋体"/>
          <w:color w:val="auto"/>
          <w:highlight w:val="none"/>
        </w:rPr>
      </w:pPr>
      <w:r>
        <w:rPr>
          <w:rFonts w:hint="eastAsia" w:ascii="宋体" w:hAnsi="宋体"/>
          <w:color w:val="auto"/>
          <w:highlight w:val="none"/>
        </w:rPr>
        <w:t>附件</w:t>
      </w:r>
      <w:r>
        <w:rPr>
          <w:rFonts w:hint="eastAsia" w:ascii="宋体" w:hAnsi="宋体"/>
          <w:color w:val="auto"/>
          <w:sz w:val="24"/>
          <w:szCs w:val="24"/>
          <w:highlight w:val="none"/>
          <w:lang w:val="en-US" w:eastAsia="zh-CN"/>
        </w:rPr>
        <w:t>5</w:t>
      </w:r>
      <w:r>
        <w:rPr>
          <w:rFonts w:hint="eastAsia" w:ascii="宋体" w:hAnsi="宋体"/>
          <w:color w:val="auto"/>
          <w:highlight w:val="none"/>
        </w:rPr>
        <w:t>：</w:t>
      </w:r>
    </w:p>
    <w:p w14:paraId="245717D1">
      <w:pPr>
        <w:spacing w:line="360" w:lineRule="auto"/>
        <w:rPr>
          <w:rFonts w:ascii="宋体" w:hAnsi="宋体"/>
          <w:color w:val="auto"/>
          <w:highlight w:val="none"/>
        </w:rPr>
      </w:pPr>
    </w:p>
    <w:p w14:paraId="5732E3AC">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残疾人福利性单位声明函</w:t>
      </w:r>
    </w:p>
    <w:p w14:paraId="5011C540">
      <w:pPr>
        <w:spacing w:line="588" w:lineRule="exact"/>
        <w:rPr>
          <w:rFonts w:ascii="宋体" w:hAnsi="宋体" w:cs="宋体"/>
          <w:b/>
          <w:color w:val="auto"/>
          <w:spacing w:val="6"/>
          <w:szCs w:val="21"/>
          <w:highlight w:val="none"/>
        </w:rPr>
      </w:pPr>
    </w:p>
    <w:p w14:paraId="23AF63D6">
      <w:pPr>
        <w:spacing w:line="588" w:lineRule="exact"/>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cs="宋体"/>
          <w:color w:val="auto"/>
          <w:szCs w:val="21"/>
          <w:highlight w:val="none"/>
        </w:rPr>
        <w:t>〔2017〕 141</w:t>
      </w:r>
      <w:r>
        <w:rPr>
          <w:rFonts w:hint="eastAsia" w:ascii="宋体" w:hAnsi="宋体" w:cs="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DB8AAE6">
      <w:pPr>
        <w:spacing w:line="588" w:lineRule="exact"/>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本单位对上述声明的真实性负责。如有虚假，将依法承担相应责任。</w:t>
      </w:r>
    </w:p>
    <w:p w14:paraId="2C3C4BA2">
      <w:pPr>
        <w:spacing w:line="588" w:lineRule="exact"/>
        <w:ind w:firstLine="444" w:firstLineChars="200"/>
        <w:rPr>
          <w:rFonts w:ascii="宋体" w:hAnsi="宋体" w:cs="宋体"/>
          <w:color w:val="auto"/>
          <w:spacing w:val="6"/>
          <w:szCs w:val="21"/>
          <w:highlight w:val="none"/>
        </w:rPr>
      </w:pPr>
    </w:p>
    <w:p w14:paraId="3ADD9526">
      <w:pPr>
        <w:spacing w:line="588" w:lineRule="exact"/>
        <w:ind w:firstLine="444" w:firstLineChars="200"/>
        <w:rPr>
          <w:rFonts w:ascii="宋体" w:hAnsi="宋体" w:cs="宋体"/>
          <w:color w:val="auto"/>
          <w:spacing w:val="6"/>
          <w:szCs w:val="21"/>
          <w:highlight w:val="none"/>
        </w:rPr>
      </w:pPr>
    </w:p>
    <w:p w14:paraId="5E09651A">
      <w:pPr>
        <w:spacing w:line="360" w:lineRule="auto"/>
        <w:ind w:firstLine="5106" w:firstLineChars="2300"/>
        <w:rPr>
          <w:rFonts w:ascii="宋体" w:hAnsi="宋体" w:cs="宋体"/>
          <w:color w:val="auto"/>
          <w:highlight w:val="none"/>
        </w:rPr>
      </w:pPr>
      <w:r>
        <w:rPr>
          <w:rFonts w:hint="eastAsia" w:ascii="宋体" w:hAnsi="宋体" w:cs="宋体"/>
          <w:color w:val="auto"/>
          <w:spacing w:val="6"/>
          <w:szCs w:val="21"/>
          <w:highlight w:val="none"/>
        </w:rPr>
        <w:t xml:space="preserve">       </w:t>
      </w:r>
      <w:r>
        <w:rPr>
          <w:rFonts w:hint="eastAsia" w:ascii="宋体" w:hAnsi="宋体" w:cs="宋体"/>
          <w:color w:val="auto"/>
          <w:highlight w:val="none"/>
        </w:rPr>
        <w:t>投标人（盖公章）：</w:t>
      </w:r>
    </w:p>
    <w:p w14:paraId="306A060B">
      <w:pPr>
        <w:tabs>
          <w:tab w:val="left" w:pos="4860"/>
        </w:tabs>
        <w:spacing w:line="588" w:lineRule="exact"/>
        <w:ind w:right="1560" w:firstLine="420" w:firstLineChars="200"/>
        <w:jc w:val="center"/>
        <w:rPr>
          <w:rFonts w:ascii="宋体" w:hAnsi="宋体" w:cs="宋体"/>
          <w:color w:val="auto"/>
          <w:spacing w:val="6"/>
          <w:szCs w:val="21"/>
          <w:highlight w:val="none"/>
        </w:rPr>
      </w:pPr>
      <w:r>
        <w:rPr>
          <w:rFonts w:hint="eastAsia" w:ascii="宋体" w:hAnsi="宋体" w:cs="宋体"/>
          <w:color w:val="auto"/>
          <w:highlight w:val="none"/>
        </w:rPr>
        <w:t xml:space="preserve">                                              日期：</w:t>
      </w:r>
    </w:p>
    <w:p w14:paraId="02391516">
      <w:pPr>
        <w:spacing w:line="588" w:lineRule="exact"/>
        <w:ind w:firstLine="444" w:firstLineChars="200"/>
        <w:rPr>
          <w:rFonts w:ascii="宋体" w:hAnsi="宋体" w:cs="宋体"/>
          <w:color w:val="auto"/>
          <w:spacing w:val="6"/>
          <w:szCs w:val="21"/>
          <w:highlight w:val="none"/>
        </w:rPr>
      </w:pPr>
    </w:p>
    <w:p w14:paraId="242656B7">
      <w:pPr>
        <w:spacing w:line="360" w:lineRule="auto"/>
        <w:rPr>
          <w:rFonts w:ascii="宋体" w:hAnsi="宋体"/>
          <w:color w:val="auto"/>
          <w:highlight w:val="none"/>
        </w:rPr>
        <w:sectPr>
          <w:pgSz w:w="11906" w:h="16838"/>
          <w:pgMar w:top="1474" w:right="1418" w:bottom="1418" w:left="1418" w:header="851" w:footer="851" w:gutter="0"/>
          <w:cols w:space="720" w:num="1"/>
          <w:docGrid w:type="linesAndChars" w:linePitch="312" w:charSpace="0"/>
        </w:sectPr>
      </w:pPr>
    </w:p>
    <w:p w14:paraId="427AE2B8">
      <w:pPr>
        <w:adjustRightInd w:val="0"/>
        <w:snapToGrid w:val="0"/>
        <w:jc w:val="left"/>
        <w:rPr>
          <w:color w:val="auto"/>
          <w:highlight w:val="none"/>
        </w:rPr>
      </w:pPr>
      <w:r>
        <w:rPr>
          <w:rFonts w:hint="eastAsia" w:ascii="宋体" w:hAnsi="宋体" w:cs="宋体"/>
          <w:color w:val="auto"/>
          <w:szCs w:val="21"/>
          <w:highlight w:val="none"/>
        </w:rPr>
        <w:t>附件</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p>
    <w:p w14:paraId="04F26470">
      <w:pPr>
        <w:spacing w:after="312" w:afterLines="100"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投</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标</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函</w:t>
      </w:r>
    </w:p>
    <w:p w14:paraId="6E94A2ED">
      <w:pPr>
        <w:spacing w:line="360" w:lineRule="auto"/>
        <w:rPr>
          <w:rFonts w:ascii="宋体" w:hAnsi="宋体"/>
          <w:b/>
          <w:color w:val="auto"/>
          <w:sz w:val="24"/>
          <w:highlight w:val="none"/>
        </w:rPr>
      </w:pPr>
      <w:r>
        <w:rPr>
          <w:rFonts w:hint="eastAsia" w:ascii="宋体" w:hAnsi="宋体"/>
          <w:b/>
          <w:color w:val="auto"/>
          <w:sz w:val="24"/>
          <w:highlight w:val="none"/>
        </w:rPr>
        <w:t>宁波杜威工程项目管理有限公司：</w:t>
      </w:r>
    </w:p>
    <w:p w14:paraId="6B1BEAEF">
      <w:pPr>
        <w:spacing w:line="360" w:lineRule="auto"/>
        <w:ind w:firstLine="420" w:firstLineChars="200"/>
        <w:rPr>
          <w:rFonts w:ascii="宋体" w:hAnsi="宋体"/>
          <w:color w:val="auto"/>
          <w:kern w:val="0"/>
          <w:highlight w:val="none"/>
        </w:rPr>
      </w:pPr>
      <w:r>
        <w:rPr>
          <w:rFonts w:hint="eastAsia" w:ascii="宋体" w:hAnsi="宋体"/>
          <w:color w:val="auto"/>
          <w:kern w:val="0"/>
          <w:highlight w:val="none"/>
          <w:u w:val="single"/>
        </w:rPr>
        <w:t xml:space="preserve">       &lt;投标人名称&gt;      </w:t>
      </w:r>
      <w:r>
        <w:rPr>
          <w:rFonts w:hint="eastAsia" w:ascii="宋体" w:hAnsi="宋体"/>
          <w:color w:val="auto"/>
          <w:kern w:val="0"/>
          <w:highlight w:val="none"/>
        </w:rPr>
        <w:t xml:space="preserve"> 正式授权</w:t>
      </w:r>
      <w:r>
        <w:rPr>
          <w:rFonts w:hint="eastAsia" w:ascii="宋体" w:hAnsi="宋体"/>
          <w:color w:val="auto"/>
          <w:kern w:val="0"/>
          <w:highlight w:val="none"/>
          <w:u w:val="single"/>
        </w:rPr>
        <w:t xml:space="preserve">      &lt;投标人代表姓名、职务、职称&gt;      </w:t>
      </w:r>
      <w:r>
        <w:rPr>
          <w:rFonts w:hint="eastAsia" w:ascii="宋体" w:hAnsi="宋体"/>
          <w:color w:val="auto"/>
          <w:kern w:val="0"/>
          <w:highlight w:val="none"/>
        </w:rPr>
        <w:t xml:space="preserve">为我方代表，参加贵方组织的 </w:t>
      </w:r>
      <w:r>
        <w:rPr>
          <w:rFonts w:hint="eastAsia" w:ascii="宋体" w:hAnsi="宋体"/>
          <w:color w:val="auto"/>
          <w:kern w:val="0"/>
          <w:highlight w:val="none"/>
          <w:u w:val="single"/>
        </w:rPr>
        <w:t xml:space="preserve">      &lt;项目名称、项目编号&gt;      </w:t>
      </w:r>
      <w:r>
        <w:rPr>
          <w:rFonts w:hint="eastAsia" w:ascii="宋体" w:hAnsi="宋体"/>
          <w:color w:val="auto"/>
          <w:kern w:val="0"/>
          <w:highlight w:val="none"/>
        </w:rPr>
        <w:t xml:space="preserve"> 项目公开招标的有关活动，并对此招标项目进行投标。为此：</w:t>
      </w:r>
    </w:p>
    <w:p w14:paraId="531C205F">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1. 我方同意在本招标项目招标文件中规定的开标日起90日历天内遵守本投标文件中的承诺且在此期限期满之前均具有约束力。</w:t>
      </w:r>
    </w:p>
    <w:p w14:paraId="7B1897BB">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2．本项目投标总价见投标报价文件所附《开标一览表》的“投标总价”。</w:t>
      </w:r>
    </w:p>
    <w:p w14:paraId="0D5FFFD0">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3. 提供招标文件规定的全部投标文件，包括投标文件电子文档1份。</w:t>
      </w:r>
    </w:p>
    <w:p w14:paraId="1E55B71B">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4. 如果我方中标，保证忠实地执行双方所签订的政府采购合同，并承担政府采购合同规定的责任和义务。</w:t>
      </w:r>
    </w:p>
    <w:p w14:paraId="02B9B635">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5. 我方保证遵守招标文件的全部规定。</w:t>
      </w:r>
    </w:p>
    <w:p w14:paraId="3B045863">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6. 我方保证尊重评标委员会的评标结果，完全理解本招标项目不一定接受最低报价的投标。</w:t>
      </w:r>
    </w:p>
    <w:p w14:paraId="5699DD6E">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7. 我方愿意向你中心提供任何与本招标项目投标有关的数据，并根据需要提供一切承诺的证明材料。</w:t>
      </w:r>
    </w:p>
    <w:p w14:paraId="404C4269">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8. 我方已详细审查全部招标文件，在投标之前已经与招标方进行了充分的沟通，完全理解并接受招标文件的各项规定和要求，对招标文件的合理性、合法性不再有异议。</w:t>
      </w:r>
    </w:p>
    <w:p w14:paraId="1B97D87A">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9. 与本项目投标活动有关的一切正式往来信函请寄：</w:t>
      </w:r>
    </w:p>
    <w:p w14:paraId="5F8EAD15">
      <w:pPr>
        <w:spacing w:line="360" w:lineRule="auto"/>
        <w:rPr>
          <w:rFonts w:ascii="宋体" w:hAnsi="宋体"/>
          <w:color w:val="auto"/>
          <w:kern w:val="0"/>
          <w:szCs w:val="21"/>
          <w:highlight w:val="none"/>
        </w:rPr>
      </w:pPr>
      <w:r>
        <w:rPr>
          <w:rFonts w:hint="eastAsia" w:ascii="宋体" w:hAnsi="宋体"/>
          <w:color w:val="auto"/>
          <w:kern w:val="0"/>
          <w:szCs w:val="21"/>
          <w:highlight w:val="none"/>
        </w:rPr>
        <w:t>地址：</w:t>
      </w:r>
      <w:r>
        <w:rPr>
          <w:rFonts w:hint="eastAsia" w:ascii="宋体" w:hAnsi="宋体"/>
          <w:color w:val="auto"/>
          <w:kern w:val="0"/>
          <w:szCs w:val="21"/>
          <w:highlight w:val="none"/>
          <w:u w:val="single"/>
        </w:rPr>
        <w:t xml:space="preserve">                                                                         </w:t>
      </w:r>
    </w:p>
    <w:p w14:paraId="5B245D1A">
      <w:pPr>
        <w:spacing w:line="360" w:lineRule="auto"/>
        <w:rPr>
          <w:rFonts w:ascii="宋体" w:hAnsi="宋体"/>
          <w:color w:val="auto"/>
          <w:kern w:val="0"/>
          <w:szCs w:val="21"/>
          <w:highlight w:val="none"/>
        </w:rPr>
      </w:pPr>
      <w:r>
        <w:rPr>
          <w:rFonts w:hint="eastAsia" w:ascii="宋体" w:hAnsi="宋体"/>
          <w:color w:val="auto"/>
          <w:kern w:val="0"/>
          <w:szCs w:val="21"/>
          <w:highlight w:val="none"/>
        </w:rPr>
        <w:t>邮编：</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电话：</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传真：</w:t>
      </w:r>
      <w:r>
        <w:rPr>
          <w:rFonts w:hint="eastAsia" w:ascii="宋体" w:hAnsi="宋体"/>
          <w:color w:val="auto"/>
          <w:kern w:val="0"/>
          <w:szCs w:val="21"/>
          <w:highlight w:val="none"/>
          <w:u w:val="single"/>
        </w:rPr>
        <w:t xml:space="preserve">                    </w:t>
      </w:r>
    </w:p>
    <w:p w14:paraId="67F48ACA">
      <w:pPr>
        <w:spacing w:line="360" w:lineRule="auto"/>
        <w:rPr>
          <w:color w:val="auto"/>
          <w:kern w:val="0"/>
          <w:highlight w:val="none"/>
        </w:rPr>
      </w:pPr>
    </w:p>
    <w:p w14:paraId="23675FEC">
      <w:pPr>
        <w:spacing w:line="360" w:lineRule="auto"/>
        <w:ind w:firstLine="3675" w:firstLineChars="1750"/>
        <w:rPr>
          <w:rFonts w:ascii="宋体" w:hAnsi="宋体"/>
          <w:color w:val="auto"/>
          <w:kern w:val="0"/>
          <w:szCs w:val="21"/>
          <w:highlight w:val="none"/>
          <w:u w:val="single"/>
        </w:rPr>
      </w:pPr>
      <w:r>
        <w:rPr>
          <w:rFonts w:hint="eastAsia" w:ascii="宋体" w:hAnsi="宋体"/>
          <w:color w:val="auto"/>
          <w:kern w:val="0"/>
          <w:szCs w:val="21"/>
          <w:highlight w:val="none"/>
        </w:rPr>
        <w:t xml:space="preserve">投标人（盖章）： </w:t>
      </w:r>
      <w:r>
        <w:rPr>
          <w:rFonts w:hint="eastAsia" w:ascii="宋体" w:hAnsi="宋体"/>
          <w:color w:val="auto"/>
          <w:kern w:val="0"/>
          <w:szCs w:val="21"/>
          <w:highlight w:val="none"/>
          <w:u w:val="single"/>
        </w:rPr>
        <w:t xml:space="preserve">                                </w:t>
      </w:r>
    </w:p>
    <w:p w14:paraId="479E4404">
      <w:pPr>
        <w:spacing w:line="360" w:lineRule="auto"/>
        <w:ind w:firstLine="3675" w:firstLineChars="1750"/>
        <w:rPr>
          <w:rFonts w:ascii="宋体" w:hAnsi="宋体"/>
          <w:color w:val="auto"/>
          <w:kern w:val="0"/>
          <w:szCs w:val="21"/>
          <w:highlight w:val="none"/>
          <w:u w:val="single"/>
        </w:rPr>
      </w:pPr>
      <w:r>
        <w:rPr>
          <w:rFonts w:hint="eastAsia" w:ascii="宋体" w:hAnsi="宋体"/>
          <w:color w:val="auto"/>
          <w:kern w:val="0"/>
          <w:szCs w:val="21"/>
          <w:highlight w:val="none"/>
        </w:rPr>
        <w:t>法定代表人（或全权代表）签字或盖章：</w:t>
      </w:r>
      <w:r>
        <w:rPr>
          <w:rFonts w:hint="eastAsia" w:ascii="宋体" w:hAnsi="宋体"/>
          <w:color w:val="auto"/>
          <w:kern w:val="0"/>
          <w:szCs w:val="21"/>
          <w:highlight w:val="none"/>
          <w:u w:val="single"/>
        </w:rPr>
        <w:t xml:space="preserve">              </w:t>
      </w:r>
    </w:p>
    <w:p w14:paraId="65A3ADE6">
      <w:pPr>
        <w:spacing w:line="360" w:lineRule="auto"/>
        <w:ind w:firstLine="3675" w:firstLineChars="1750"/>
        <w:rPr>
          <w:rFonts w:ascii="宋体" w:hAnsi="宋体"/>
          <w:color w:val="auto"/>
          <w:kern w:val="0"/>
          <w:szCs w:val="21"/>
          <w:highlight w:val="none"/>
          <w:u w:val="single"/>
        </w:rPr>
      </w:pPr>
      <w:r>
        <w:rPr>
          <w:rFonts w:hint="eastAsia" w:ascii="宋体" w:hAnsi="宋体"/>
          <w:color w:val="auto"/>
          <w:kern w:val="0"/>
          <w:szCs w:val="21"/>
          <w:highlight w:val="none"/>
        </w:rPr>
        <w:t>日   期：</w:t>
      </w:r>
      <w:r>
        <w:rPr>
          <w:rFonts w:hint="eastAsia" w:ascii="宋体" w:hAnsi="宋体"/>
          <w:color w:val="auto"/>
          <w:kern w:val="0"/>
          <w:szCs w:val="21"/>
          <w:highlight w:val="none"/>
          <w:u w:val="single"/>
        </w:rPr>
        <w:t xml:space="preserve">                                         </w:t>
      </w:r>
    </w:p>
    <w:p w14:paraId="797029BE">
      <w:pPr>
        <w:spacing w:line="360" w:lineRule="auto"/>
        <w:rPr>
          <w:rFonts w:ascii="宋体" w:hAnsi="宋体"/>
          <w:color w:val="auto"/>
          <w:kern w:val="0"/>
          <w:highlight w:val="none"/>
        </w:rPr>
      </w:pPr>
    </w:p>
    <w:p w14:paraId="2E118AF9">
      <w:pPr>
        <w:spacing w:line="360" w:lineRule="auto"/>
        <w:rPr>
          <w:rFonts w:ascii="宋体" w:hAnsi="宋体"/>
          <w:color w:val="auto"/>
          <w:highlight w:val="none"/>
        </w:rPr>
      </w:pPr>
      <w:r>
        <w:rPr>
          <w:rFonts w:ascii="宋体" w:hAnsi="宋体"/>
          <w:color w:val="auto"/>
          <w:highlight w:val="none"/>
        </w:rPr>
        <w:br w:type="page"/>
      </w:r>
      <w:r>
        <w:rPr>
          <w:rFonts w:hint="eastAsia" w:ascii="宋体" w:hAnsi="宋体"/>
          <w:color w:val="auto"/>
          <w:highlight w:val="none"/>
        </w:rPr>
        <w:t>附件</w:t>
      </w:r>
      <w:r>
        <w:rPr>
          <w:rFonts w:hint="eastAsia" w:ascii="宋体" w:hAnsi="宋体"/>
          <w:color w:val="auto"/>
          <w:highlight w:val="none"/>
          <w:lang w:val="en-US" w:eastAsia="zh-CN"/>
        </w:rPr>
        <w:t>7</w:t>
      </w:r>
      <w:r>
        <w:rPr>
          <w:rFonts w:hint="eastAsia" w:ascii="宋体" w:hAnsi="宋体"/>
          <w:color w:val="auto"/>
          <w:highlight w:val="none"/>
        </w:rPr>
        <w:t>：</w:t>
      </w:r>
    </w:p>
    <w:p w14:paraId="039C9494">
      <w:pPr>
        <w:spacing w:after="312" w:afterLines="100"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开</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标</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一</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览</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表</w:t>
      </w:r>
    </w:p>
    <w:p w14:paraId="13D660AC">
      <w:pPr>
        <w:spacing w:before="156" w:beforeLines="50" w:after="156" w:afterLines="50" w:line="360" w:lineRule="auto"/>
        <w:rPr>
          <w:rFonts w:ascii="宋体" w:hAnsi="宋体"/>
          <w:color w:val="auto"/>
          <w:szCs w:val="21"/>
          <w:highlight w:val="none"/>
        </w:rPr>
      </w:pPr>
      <w:r>
        <w:rPr>
          <w:rFonts w:hint="eastAsia" w:ascii="宋体" w:hAnsi="宋体"/>
          <w:color w:val="auto"/>
          <w:szCs w:val="21"/>
          <w:highlight w:val="none"/>
        </w:rPr>
        <w:t>投标人全称：</w:t>
      </w:r>
      <w:r>
        <w:rPr>
          <w:rFonts w:hint="eastAsia" w:ascii="宋体" w:hAnsi="宋体"/>
          <w:color w:val="auto"/>
          <w:szCs w:val="21"/>
          <w:highlight w:val="none"/>
          <w:u w:val="single"/>
        </w:rPr>
        <w:t xml:space="preserve">                           </w:t>
      </w:r>
      <w:r>
        <w:rPr>
          <w:rFonts w:hint="eastAsia" w:ascii="宋体" w:hAnsi="宋体"/>
          <w:color w:val="auto"/>
          <w:szCs w:val="21"/>
          <w:highlight w:val="none"/>
        </w:rPr>
        <w:t>（公章）</w:t>
      </w:r>
    </w:p>
    <w:p w14:paraId="1C80CC4D">
      <w:pPr>
        <w:spacing w:before="156" w:beforeLines="50" w:after="312" w:afterLines="100"/>
        <w:rPr>
          <w:rFonts w:ascii="宋体" w:hAnsi="宋体"/>
          <w:bCs/>
          <w:color w:val="auto"/>
          <w:spacing w:val="20"/>
          <w:szCs w:val="21"/>
          <w:highlight w:val="none"/>
        </w:rPr>
      </w:pPr>
      <w:r>
        <w:rPr>
          <w:rFonts w:hint="eastAsia" w:ascii="宋体" w:hAnsi="宋体"/>
          <w:color w:val="auto"/>
          <w:szCs w:val="21"/>
          <w:highlight w:val="none"/>
        </w:rPr>
        <w:t>项目编号：</w:t>
      </w:r>
      <w:r>
        <w:rPr>
          <w:rFonts w:hint="eastAsia" w:ascii="宋体" w:hAnsi="宋体"/>
          <w:b/>
          <w:bCs/>
          <w:color w:val="auto"/>
          <w:spacing w:val="20"/>
          <w:szCs w:val="21"/>
          <w:highlight w:val="none"/>
          <w:u w:val="single"/>
          <w:lang w:eastAsia="zh-CN"/>
        </w:rPr>
        <w:t>NBDW-20251195</w:t>
      </w:r>
      <w:r>
        <w:rPr>
          <w:rFonts w:hint="eastAsia" w:ascii="宋体" w:hAnsi="宋体"/>
          <w:bCs/>
          <w:color w:val="auto"/>
          <w:spacing w:val="20"/>
          <w:szCs w:val="21"/>
          <w:highlight w:val="none"/>
        </w:rPr>
        <w:t xml:space="preserve"> </w:t>
      </w:r>
    </w:p>
    <w:tbl>
      <w:tblPr>
        <w:tblStyle w:val="25"/>
        <w:tblW w:w="894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3274"/>
        <w:gridCol w:w="2127"/>
      </w:tblGrid>
      <w:tr w14:paraId="28F8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3545" w:type="dxa"/>
            <w:vAlign w:val="center"/>
          </w:tcPr>
          <w:p w14:paraId="715588B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项目名称</w:t>
            </w:r>
          </w:p>
        </w:tc>
        <w:tc>
          <w:tcPr>
            <w:tcW w:w="3274" w:type="dxa"/>
            <w:vAlign w:val="center"/>
          </w:tcPr>
          <w:p w14:paraId="5DCEA64D">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投标报价</w:t>
            </w:r>
            <w:r>
              <w:rPr>
                <w:rFonts w:hint="eastAsia" w:ascii="宋体" w:hAnsi="宋体" w:cs="宋体"/>
                <w:b/>
                <w:bCs/>
                <w:color w:val="auto"/>
                <w:kern w:val="0"/>
                <w:szCs w:val="21"/>
                <w:highlight w:val="none"/>
              </w:rPr>
              <w:t>（人民币：元）</w:t>
            </w:r>
          </w:p>
        </w:tc>
        <w:tc>
          <w:tcPr>
            <w:tcW w:w="2127" w:type="dxa"/>
            <w:vAlign w:val="center"/>
          </w:tcPr>
          <w:p w14:paraId="235B7D2D">
            <w:pPr>
              <w:widowControl/>
              <w:jc w:val="center"/>
              <w:rPr>
                <w:rFonts w:ascii="宋体" w:hAnsi="宋体"/>
                <w:b/>
                <w:bCs/>
                <w:color w:val="auto"/>
                <w:szCs w:val="21"/>
                <w:highlight w:val="none"/>
              </w:rPr>
            </w:pPr>
            <w:r>
              <w:rPr>
                <w:rFonts w:hint="eastAsia" w:ascii="宋体" w:hAnsi="宋体"/>
                <w:b/>
                <w:bCs/>
                <w:color w:val="auto"/>
                <w:szCs w:val="21"/>
                <w:highlight w:val="none"/>
              </w:rPr>
              <w:t>完成时间</w:t>
            </w:r>
          </w:p>
        </w:tc>
      </w:tr>
      <w:tr w14:paraId="052F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3545" w:type="dxa"/>
            <w:vAlign w:val="center"/>
          </w:tcPr>
          <w:p w14:paraId="2E50A814">
            <w:pPr>
              <w:widowControl/>
              <w:jc w:val="center"/>
              <w:rPr>
                <w:color w:val="auto"/>
                <w:highlight w:val="none"/>
              </w:rPr>
            </w:pPr>
            <w:r>
              <w:rPr>
                <w:rFonts w:hint="eastAsia" w:ascii="宋体" w:hAnsi="宋体" w:cs="宋体"/>
                <w:color w:val="auto"/>
                <w:highlight w:val="none"/>
                <w:lang w:eastAsia="zh-CN"/>
              </w:rPr>
              <w:t>北仑区地籍图编制项目</w:t>
            </w:r>
          </w:p>
        </w:tc>
        <w:tc>
          <w:tcPr>
            <w:tcW w:w="3274" w:type="dxa"/>
            <w:vAlign w:val="center"/>
          </w:tcPr>
          <w:p w14:paraId="79EE4B17">
            <w:pPr>
              <w:widowControl/>
              <w:rPr>
                <w:rFonts w:ascii="宋体" w:hAnsi="宋体" w:cs="宋体"/>
                <w:color w:val="auto"/>
                <w:kern w:val="0"/>
                <w:szCs w:val="21"/>
                <w:highlight w:val="none"/>
              </w:rPr>
            </w:pPr>
          </w:p>
        </w:tc>
        <w:tc>
          <w:tcPr>
            <w:tcW w:w="2127" w:type="dxa"/>
            <w:vAlign w:val="center"/>
          </w:tcPr>
          <w:p w14:paraId="2A0E1B80">
            <w:pPr>
              <w:widowControl/>
              <w:jc w:val="center"/>
              <w:rPr>
                <w:rFonts w:ascii="宋体" w:hAnsi="宋体" w:cs="宋体"/>
                <w:color w:val="auto"/>
                <w:kern w:val="0"/>
                <w:szCs w:val="21"/>
                <w:highlight w:val="none"/>
              </w:rPr>
            </w:pPr>
            <w:r>
              <w:rPr>
                <w:rFonts w:hint="eastAsia" w:ascii="宋体" w:hAnsi="宋体"/>
                <w:color w:val="auto"/>
                <w:highlight w:val="none"/>
              </w:rPr>
              <w:t>满足采购人要求</w:t>
            </w:r>
          </w:p>
        </w:tc>
      </w:tr>
      <w:tr w14:paraId="7D3DC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946" w:type="dxa"/>
            <w:gridSpan w:val="3"/>
            <w:vAlign w:val="center"/>
          </w:tcPr>
          <w:p w14:paraId="63810A14">
            <w:pPr>
              <w:widowControl/>
              <w:ind w:firstLine="420" w:firstLineChars="200"/>
              <w:jc w:val="left"/>
              <w:rPr>
                <w:rFonts w:ascii="宋体" w:hAnsi="宋体" w:cs="宋体"/>
                <w:color w:val="auto"/>
                <w:kern w:val="0"/>
                <w:szCs w:val="21"/>
                <w:highlight w:val="none"/>
              </w:rPr>
            </w:pPr>
            <w:r>
              <w:rPr>
                <w:rFonts w:hint="eastAsia" w:ascii="宋体" w:hAnsi="宋体"/>
                <w:b/>
                <w:bCs/>
                <w:color w:val="auto"/>
                <w:szCs w:val="21"/>
                <w:highlight w:val="none"/>
              </w:rPr>
              <w:t>投标总价大写：人民币</w:t>
            </w:r>
            <w:r>
              <w:rPr>
                <w:rFonts w:hint="eastAsia" w:ascii="宋体" w:hAnsi="宋体"/>
                <w:b/>
                <w:bCs/>
                <w:color w:val="auto"/>
                <w:szCs w:val="21"/>
                <w:highlight w:val="none"/>
                <w:u w:val="single"/>
              </w:rPr>
              <w:t xml:space="preserve">                 </w:t>
            </w:r>
            <w:r>
              <w:rPr>
                <w:rFonts w:hint="eastAsia" w:ascii="宋体" w:hAnsi="宋体"/>
                <w:b/>
                <w:bCs/>
                <w:color w:val="auto"/>
                <w:szCs w:val="21"/>
                <w:highlight w:val="none"/>
                <w:u w:val="single"/>
                <w:lang w:val="en-US" w:eastAsia="zh-CN"/>
              </w:rPr>
              <w:t xml:space="preserve">                 </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元整</w:t>
            </w:r>
          </w:p>
        </w:tc>
      </w:tr>
    </w:tbl>
    <w:p w14:paraId="239BFED2">
      <w:pPr>
        <w:pStyle w:val="8"/>
        <w:rPr>
          <w:color w:val="auto"/>
          <w:highlight w:val="none"/>
        </w:rPr>
      </w:pPr>
    </w:p>
    <w:p w14:paraId="29DFFE8A">
      <w:pPr>
        <w:spacing w:line="360" w:lineRule="auto"/>
        <w:rPr>
          <w:rFonts w:ascii="宋体" w:hAnsi="宋体"/>
          <w:b/>
          <w:color w:val="auto"/>
          <w:highlight w:val="none"/>
        </w:rPr>
      </w:pPr>
      <w:r>
        <w:rPr>
          <w:rFonts w:hint="eastAsia" w:ascii="宋体" w:hAnsi="宋体"/>
          <w:b/>
          <w:color w:val="auto"/>
          <w:highlight w:val="none"/>
        </w:rPr>
        <w:t>说明：</w:t>
      </w:r>
    </w:p>
    <w:p w14:paraId="126ECAB1">
      <w:pPr>
        <w:pStyle w:val="6"/>
        <w:spacing w:line="360" w:lineRule="auto"/>
        <w:ind w:firstLine="0"/>
        <w:rPr>
          <w:color w:val="auto"/>
          <w:highlight w:val="none"/>
        </w:rPr>
      </w:pPr>
      <w:r>
        <w:rPr>
          <w:rFonts w:hint="eastAsia"/>
          <w:color w:val="auto"/>
          <w:highlight w:val="none"/>
        </w:rPr>
        <w:t>1、本表格的“投标报价”应与投标报价明细表的“投</w:t>
      </w:r>
      <w:r>
        <w:rPr>
          <w:color w:val="auto"/>
          <w:highlight w:val="none"/>
        </w:rPr>
        <w:t>标总</w:t>
      </w:r>
      <w:r>
        <w:rPr>
          <w:rFonts w:hint="eastAsia"/>
          <w:color w:val="auto"/>
          <w:highlight w:val="none"/>
        </w:rPr>
        <w:t>价”一致。</w:t>
      </w:r>
    </w:p>
    <w:p w14:paraId="149ACC4F">
      <w:pPr>
        <w:pStyle w:val="6"/>
        <w:spacing w:line="360" w:lineRule="auto"/>
        <w:ind w:firstLine="0"/>
        <w:rPr>
          <w:color w:val="auto"/>
          <w:highlight w:val="none"/>
        </w:rPr>
      </w:pPr>
    </w:p>
    <w:p w14:paraId="02BB4FED">
      <w:pPr>
        <w:pStyle w:val="6"/>
        <w:spacing w:line="360" w:lineRule="auto"/>
        <w:ind w:firstLine="0"/>
        <w:rPr>
          <w:color w:val="auto"/>
          <w:highlight w:val="none"/>
        </w:rPr>
      </w:pPr>
    </w:p>
    <w:p w14:paraId="32609CFB">
      <w:pPr>
        <w:spacing w:line="360" w:lineRule="auto"/>
        <w:rPr>
          <w:rFonts w:ascii="宋体" w:hAnsi="宋体"/>
          <w:b/>
          <w:color w:val="auto"/>
          <w:szCs w:val="21"/>
          <w:highlight w:val="none"/>
          <w:u w:val="single"/>
        </w:rPr>
      </w:pPr>
      <w:r>
        <w:rPr>
          <w:rFonts w:hint="eastAsia" w:ascii="宋体" w:hAnsi="宋体"/>
          <w:color w:val="auto"/>
          <w:szCs w:val="21"/>
          <w:highlight w:val="none"/>
        </w:rPr>
        <w:t>法定代表人(或全权代表)签字或盖章：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日期：</w:t>
      </w:r>
      <w:r>
        <w:rPr>
          <w:rFonts w:hint="eastAsia" w:ascii="宋体" w:hAnsi="宋体"/>
          <w:color w:val="auto"/>
          <w:szCs w:val="21"/>
          <w:highlight w:val="none"/>
          <w:u w:val="single"/>
        </w:rPr>
        <w:t xml:space="preserve">                  </w:t>
      </w:r>
    </w:p>
    <w:p w14:paraId="7B5149F8">
      <w:pPr>
        <w:spacing w:line="360" w:lineRule="auto"/>
        <w:rPr>
          <w:rFonts w:ascii="宋体" w:hAnsi="宋体"/>
          <w:color w:val="auto"/>
          <w:highlight w:val="none"/>
        </w:rPr>
      </w:pPr>
      <w:r>
        <w:rPr>
          <w:b/>
          <w:color w:val="auto"/>
          <w:sz w:val="24"/>
          <w:highlight w:val="none"/>
        </w:rPr>
        <w:br w:type="page"/>
      </w:r>
      <w:r>
        <w:rPr>
          <w:rFonts w:hint="eastAsia" w:ascii="宋体" w:hAnsi="宋体"/>
          <w:color w:val="auto"/>
          <w:highlight w:val="none"/>
        </w:rPr>
        <w:t>附件</w:t>
      </w:r>
      <w:r>
        <w:rPr>
          <w:rFonts w:hint="eastAsia" w:ascii="宋体" w:hAnsi="宋体"/>
          <w:color w:val="auto"/>
          <w:highlight w:val="none"/>
          <w:lang w:val="en-US" w:eastAsia="zh-CN"/>
        </w:rPr>
        <w:t>8</w:t>
      </w:r>
      <w:r>
        <w:rPr>
          <w:rFonts w:hint="eastAsia" w:ascii="宋体" w:hAnsi="宋体"/>
          <w:color w:val="auto"/>
          <w:highlight w:val="none"/>
        </w:rPr>
        <w:t>：</w:t>
      </w:r>
    </w:p>
    <w:p w14:paraId="36B57D81">
      <w:pPr>
        <w:spacing w:after="312" w:afterLines="100"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投标报价明细表</w:t>
      </w:r>
    </w:p>
    <w:p w14:paraId="555CB9B7">
      <w:pPr>
        <w:spacing w:before="156" w:beforeLines="50" w:after="156" w:afterLines="50" w:line="360" w:lineRule="auto"/>
        <w:rPr>
          <w:rFonts w:ascii="宋体" w:hAnsi="宋体"/>
          <w:color w:val="auto"/>
          <w:szCs w:val="21"/>
          <w:highlight w:val="none"/>
        </w:rPr>
      </w:pPr>
      <w:r>
        <w:rPr>
          <w:rFonts w:hint="eastAsia" w:ascii="宋体" w:hAnsi="宋体"/>
          <w:color w:val="auto"/>
          <w:szCs w:val="21"/>
          <w:highlight w:val="none"/>
        </w:rPr>
        <w:t>投标人全称：</w:t>
      </w:r>
      <w:r>
        <w:rPr>
          <w:rFonts w:hint="eastAsia" w:ascii="宋体" w:hAnsi="宋体"/>
          <w:color w:val="auto"/>
          <w:szCs w:val="21"/>
          <w:highlight w:val="none"/>
          <w:u w:val="single"/>
        </w:rPr>
        <w:t xml:space="preserve">                           </w:t>
      </w:r>
      <w:r>
        <w:rPr>
          <w:rFonts w:hint="eastAsia" w:ascii="宋体" w:hAnsi="宋体"/>
          <w:color w:val="auto"/>
          <w:szCs w:val="21"/>
          <w:highlight w:val="none"/>
        </w:rPr>
        <w:t>（公章）</w:t>
      </w:r>
    </w:p>
    <w:p w14:paraId="22A14181">
      <w:pPr>
        <w:spacing w:before="156" w:beforeLines="50" w:after="312" w:afterLines="100"/>
        <w:rPr>
          <w:rFonts w:ascii="宋体" w:hAnsi="宋体"/>
          <w:b/>
          <w:bCs/>
          <w:color w:val="auto"/>
          <w:spacing w:val="20"/>
          <w:szCs w:val="21"/>
          <w:highlight w:val="none"/>
          <w:u w:val="single"/>
        </w:rPr>
      </w:pPr>
      <w:r>
        <w:rPr>
          <w:rFonts w:hint="eastAsia" w:ascii="宋体" w:hAnsi="宋体"/>
          <w:color w:val="auto"/>
          <w:szCs w:val="21"/>
          <w:highlight w:val="none"/>
        </w:rPr>
        <w:t>项目编号：</w:t>
      </w:r>
      <w:r>
        <w:rPr>
          <w:rFonts w:hint="eastAsia" w:ascii="宋体" w:hAnsi="宋体"/>
          <w:b/>
          <w:bCs/>
          <w:color w:val="auto"/>
          <w:spacing w:val="20"/>
          <w:szCs w:val="21"/>
          <w:highlight w:val="none"/>
          <w:u w:val="single"/>
          <w:lang w:eastAsia="zh-CN"/>
        </w:rPr>
        <w:t>NBDW-20251195</w:t>
      </w:r>
      <w:r>
        <w:rPr>
          <w:rFonts w:hint="eastAsia" w:ascii="宋体" w:hAnsi="宋体"/>
          <w:bCs/>
          <w:color w:val="auto"/>
          <w:spacing w:val="20"/>
          <w:szCs w:val="21"/>
          <w:highlight w:val="none"/>
        </w:rPr>
        <w:t xml:space="preserve">                       </w:t>
      </w:r>
    </w:p>
    <w:tbl>
      <w:tblPr>
        <w:tblStyle w:val="25"/>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64"/>
        <w:gridCol w:w="1586"/>
        <w:gridCol w:w="1090"/>
        <w:gridCol w:w="1160"/>
        <w:gridCol w:w="1686"/>
        <w:gridCol w:w="1306"/>
      </w:tblGrid>
      <w:tr w14:paraId="5487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358" w:type="dxa"/>
            <w:vAlign w:val="center"/>
          </w:tcPr>
          <w:p w14:paraId="4F721DF7">
            <w:pPr>
              <w:jc w:val="center"/>
              <w:rPr>
                <w:rFonts w:ascii="宋体" w:hAnsi="宋体"/>
                <w:b/>
                <w:color w:val="auto"/>
                <w:highlight w:val="none"/>
              </w:rPr>
            </w:pPr>
            <w:r>
              <w:rPr>
                <w:rFonts w:hint="eastAsia" w:ascii="宋体" w:hAnsi="宋体"/>
                <w:b/>
                <w:color w:val="auto"/>
                <w:highlight w:val="none"/>
              </w:rPr>
              <w:t>序号</w:t>
            </w:r>
          </w:p>
        </w:tc>
        <w:tc>
          <w:tcPr>
            <w:tcW w:w="2950" w:type="dxa"/>
            <w:gridSpan w:val="2"/>
            <w:vAlign w:val="center"/>
          </w:tcPr>
          <w:p w14:paraId="5FA05DFE">
            <w:pPr>
              <w:jc w:val="center"/>
              <w:rPr>
                <w:rFonts w:ascii="宋体" w:hAnsi="宋体"/>
                <w:b/>
                <w:color w:val="auto"/>
                <w:highlight w:val="none"/>
              </w:rPr>
            </w:pPr>
            <w:r>
              <w:rPr>
                <w:rFonts w:hint="eastAsia" w:ascii="宋体" w:hAnsi="宋体"/>
                <w:b/>
                <w:color w:val="auto"/>
                <w:highlight w:val="none"/>
              </w:rPr>
              <w:t>名称</w:t>
            </w:r>
          </w:p>
        </w:tc>
        <w:tc>
          <w:tcPr>
            <w:tcW w:w="1090" w:type="dxa"/>
            <w:vAlign w:val="center"/>
          </w:tcPr>
          <w:p w14:paraId="7AA78CF4">
            <w:pPr>
              <w:jc w:val="center"/>
              <w:rPr>
                <w:rFonts w:ascii="宋体" w:hAnsi="宋体"/>
                <w:b/>
                <w:color w:val="auto"/>
                <w:highlight w:val="none"/>
              </w:rPr>
            </w:pPr>
            <w:r>
              <w:rPr>
                <w:rFonts w:hint="eastAsia" w:ascii="宋体" w:hAnsi="宋体"/>
                <w:b/>
                <w:color w:val="auto"/>
                <w:highlight w:val="none"/>
              </w:rPr>
              <w:t>单位</w:t>
            </w:r>
          </w:p>
        </w:tc>
        <w:tc>
          <w:tcPr>
            <w:tcW w:w="1160" w:type="dxa"/>
            <w:vAlign w:val="center"/>
          </w:tcPr>
          <w:p w14:paraId="535274FD">
            <w:pPr>
              <w:jc w:val="center"/>
              <w:rPr>
                <w:rFonts w:ascii="宋体" w:hAnsi="宋体"/>
                <w:b/>
                <w:color w:val="auto"/>
                <w:highlight w:val="none"/>
              </w:rPr>
            </w:pPr>
            <w:r>
              <w:rPr>
                <w:rFonts w:hint="eastAsia" w:ascii="宋体" w:hAnsi="宋体"/>
                <w:b/>
                <w:color w:val="auto"/>
                <w:highlight w:val="none"/>
              </w:rPr>
              <w:t>数量</w:t>
            </w:r>
          </w:p>
        </w:tc>
        <w:tc>
          <w:tcPr>
            <w:tcW w:w="1686" w:type="dxa"/>
            <w:vAlign w:val="center"/>
          </w:tcPr>
          <w:p w14:paraId="1460CFB9">
            <w:pPr>
              <w:jc w:val="center"/>
              <w:rPr>
                <w:rFonts w:ascii="宋体" w:hAnsi="宋体"/>
                <w:b/>
                <w:color w:val="auto"/>
                <w:highlight w:val="none"/>
              </w:rPr>
            </w:pPr>
            <w:r>
              <w:rPr>
                <w:rFonts w:hint="eastAsia" w:ascii="宋体" w:hAnsi="宋体"/>
                <w:b/>
                <w:color w:val="auto"/>
                <w:highlight w:val="none"/>
              </w:rPr>
              <w:t>综合单价</w:t>
            </w:r>
          </w:p>
          <w:p w14:paraId="30A88151">
            <w:pPr>
              <w:jc w:val="center"/>
              <w:rPr>
                <w:rFonts w:ascii="宋体" w:hAnsi="宋体"/>
                <w:b/>
                <w:color w:val="auto"/>
                <w:highlight w:val="none"/>
              </w:rPr>
            </w:pPr>
            <w:r>
              <w:rPr>
                <w:rFonts w:hint="eastAsia" w:ascii="宋体" w:hAnsi="宋体"/>
                <w:b/>
                <w:color w:val="auto"/>
                <w:highlight w:val="none"/>
              </w:rPr>
              <w:t>(元/单位)</w:t>
            </w:r>
          </w:p>
        </w:tc>
        <w:tc>
          <w:tcPr>
            <w:tcW w:w="1306" w:type="dxa"/>
            <w:vAlign w:val="center"/>
          </w:tcPr>
          <w:p w14:paraId="315E912C">
            <w:pPr>
              <w:jc w:val="center"/>
              <w:rPr>
                <w:rFonts w:ascii="宋体" w:hAnsi="宋体"/>
                <w:b/>
                <w:color w:val="auto"/>
                <w:highlight w:val="none"/>
              </w:rPr>
            </w:pPr>
            <w:r>
              <w:rPr>
                <w:rFonts w:hint="eastAsia" w:ascii="宋体" w:hAnsi="宋体"/>
                <w:b/>
                <w:color w:val="auto"/>
                <w:highlight w:val="none"/>
              </w:rPr>
              <w:t>总价</w:t>
            </w:r>
          </w:p>
          <w:p w14:paraId="6A1B365C">
            <w:pPr>
              <w:jc w:val="center"/>
              <w:rPr>
                <w:rFonts w:ascii="宋体" w:hAnsi="宋体"/>
                <w:b/>
                <w:color w:val="auto"/>
                <w:highlight w:val="none"/>
              </w:rPr>
            </w:pPr>
            <w:r>
              <w:rPr>
                <w:rFonts w:hint="eastAsia" w:ascii="宋体" w:hAnsi="宋体"/>
                <w:b/>
                <w:color w:val="auto"/>
                <w:highlight w:val="none"/>
              </w:rPr>
              <w:t>（元）</w:t>
            </w:r>
          </w:p>
        </w:tc>
      </w:tr>
      <w:tr w14:paraId="1656B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58" w:type="dxa"/>
            <w:vAlign w:val="center"/>
          </w:tcPr>
          <w:p w14:paraId="23BDD5C5">
            <w:pPr>
              <w:jc w:val="center"/>
              <w:rPr>
                <w:rFonts w:hint="eastAsia" w:ascii="宋体" w:hAnsi="宋体"/>
                <w:b/>
                <w:color w:val="auto"/>
                <w:highlight w:val="none"/>
              </w:rPr>
            </w:pPr>
          </w:p>
        </w:tc>
        <w:tc>
          <w:tcPr>
            <w:tcW w:w="2950" w:type="dxa"/>
            <w:gridSpan w:val="2"/>
            <w:vAlign w:val="center"/>
          </w:tcPr>
          <w:p w14:paraId="6C16B788">
            <w:pPr>
              <w:jc w:val="center"/>
              <w:rPr>
                <w:rFonts w:hint="eastAsia" w:ascii="宋体" w:hAnsi="宋体"/>
                <w:b/>
                <w:color w:val="auto"/>
                <w:highlight w:val="none"/>
              </w:rPr>
            </w:pPr>
          </w:p>
        </w:tc>
        <w:tc>
          <w:tcPr>
            <w:tcW w:w="1090" w:type="dxa"/>
            <w:vAlign w:val="center"/>
          </w:tcPr>
          <w:p w14:paraId="5FC17CC8">
            <w:pPr>
              <w:jc w:val="center"/>
              <w:rPr>
                <w:rFonts w:hint="eastAsia" w:ascii="宋体" w:hAnsi="宋体"/>
                <w:b/>
                <w:color w:val="auto"/>
                <w:highlight w:val="none"/>
              </w:rPr>
            </w:pPr>
          </w:p>
        </w:tc>
        <w:tc>
          <w:tcPr>
            <w:tcW w:w="1160" w:type="dxa"/>
            <w:vAlign w:val="center"/>
          </w:tcPr>
          <w:p w14:paraId="042B7C35">
            <w:pPr>
              <w:jc w:val="center"/>
              <w:rPr>
                <w:rFonts w:hint="eastAsia" w:ascii="宋体" w:hAnsi="宋体"/>
                <w:b/>
                <w:color w:val="auto"/>
                <w:highlight w:val="none"/>
              </w:rPr>
            </w:pPr>
          </w:p>
        </w:tc>
        <w:tc>
          <w:tcPr>
            <w:tcW w:w="1686" w:type="dxa"/>
            <w:vAlign w:val="center"/>
          </w:tcPr>
          <w:p w14:paraId="6DCBACCF">
            <w:pPr>
              <w:jc w:val="center"/>
              <w:rPr>
                <w:rFonts w:hint="eastAsia" w:ascii="宋体" w:hAnsi="宋体"/>
                <w:b/>
                <w:color w:val="auto"/>
                <w:highlight w:val="none"/>
              </w:rPr>
            </w:pPr>
          </w:p>
        </w:tc>
        <w:tc>
          <w:tcPr>
            <w:tcW w:w="1306" w:type="dxa"/>
            <w:vAlign w:val="center"/>
          </w:tcPr>
          <w:p w14:paraId="6E398BC7">
            <w:pPr>
              <w:jc w:val="center"/>
              <w:rPr>
                <w:rFonts w:hint="eastAsia" w:ascii="宋体" w:hAnsi="宋体"/>
                <w:b/>
                <w:color w:val="auto"/>
                <w:highlight w:val="none"/>
              </w:rPr>
            </w:pPr>
          </w:p>
        </w:tc>
      </w:tr>
      <w:tr w14:paraId="6EDB8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58" w:type="dxa"/>
            <w:vAlign w:val="center"/>
          </w:tcPr>
          <w:p w14:paraId="78382141">
            <w:pPr>
              <w:jc w:val="center"/>
              <w:rPr>
                <w:rFonts w:hint="eastAsia" w:ascii="宋体" w:hAnsi="宋体"/>
                <w:b/>
                <w:color w:val="auto"/>
                <w:highlight w:val="none"/>
              </w:rPr>
            </w:pPr>
          </w:p>
        </w:tc>
        <w:tc>
          <w:tcPr>
            <w:tcW w:w="2950" w:type="dxa"/>
            <w:gridSpan w:val="2"/>
            <w:vAlign w:val="center"/>
          </w:tcPr>
          <w:p w14:paraId="554958E6">
            <w:pPr>
              <w:jc w:val="center"/>
              <w:rPr>
                <w:rFonts w:hint="eastAsia" w:ascii="宋体" w:hAnsi="宋体"/>
                <w:b/>
                <w:color w:val="auto"/>
                <w:highlight w:val="none"/>
              </w:rPr>
            </w:pPr>
          </w:p>
        </w:tc>
        <w:tc>
          <w:tcPr>
            <w:tcW w:w="1090" w:type="dxa"/>
            <w:vAlign w:val="center"/>
          </w:tcPr>
          <w:p w14:paraId="74843A92">
            <w:pPr>
              <w:jc w:val="center"/>
              <w:rPr>
                <w:rFonts w:hint="eastAsia" w:ascii="宋体" w:hAnsi="宋体"/>
                <w:b/>
                <w:color w:val="auto"/>
                <w:highlight w:val="none"/>
              </w:rPr>
            </w:pPr>
          </w:p>
        </w:tc>
        <w:tc>
          <w:tcPr>
            <w:tcW w:w="1160" w:type="dxa"/>
            <w:vAlign w:val="center"/>
          </w:tcPr>
          <w:p w14:paraId="3DB1D28B">
            <w:pPr>
              <w:jc w:val="center"/>
              <w:rPr>
                <w:rFonts w:hint="eastAsia" w:ascii="宋体" w:hAnsi="宋体"/>
                <w:b/>
                <w:color w:val="auto"/>
                <w:highlight w:val="none"/>
              </w:rPr>
            </w:pPr>
          </w:p>
        </w:tc>
        <w:tc>
          <w:tcPr>
            <w:tcW w:w="1686" w:type="dxa"/>
            <w:vAlign w:val="center"/>
          </w:tcPr>
          <w:p w14:paraId="44F4BA33">
            <w:pPr>
              <w:jc w:val="center"/>
              <w:rPr>
                <w:rFonts w:hint="eastAsia" w:ascii="宋体" w:hAnsi="宋体"/>
                <w:b/>
                <w:color w:val="auto"/>
                <w:highlight w:val="none"/>
              </w:rPr>
            </w:pPr>
          </w:p>
        </w:tc>
        <w:tc>
          <w:tcPr>
            <w:tcW w:w="1306" w:type="dxa"/>
            <w:vAlign w:val="center"/>
          </w:tcPr>
          <w:p w14:paraId="187885C6">
            <w:pPr>
              <w:jc w:val="center"/>
              <w:rPr>
                <w:rFonts w:hint="eastAsia" w:ascii="宋体" w:hAnsi="宋体"/>
                <w:b/>
                <w:color w:val="auto"/>
                <w:highlight w:val="none"/>
              </w:rPr>
            </w:pPr>
          </w:p>
        </w:tc>
      </w:tr>
      <w:tr w14:paraId="71035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58" w:type="dxa"/>
            <w:vAlign w:val="center"/>
          </w:tcPr>
          <w:p w14:paraId="5D9CCEFD">
            <w:pPr>
              <w:jc w:val="center"/>
              <w:rPr>
                <w:rFonts w:hint="eastAsia" w:ascii="宋体" w:hAnsi="宋体"/>
                <w:b/>
                <w:color w:val="auto"/>
                <w:highlight w:val="none"/>
              </w:rPr>
            </w:pPr>
          </w:p>
        </w:tc>
        <w:tc>
          <w:tcPr>
            <w:tcW w:w="2950" w:type="dxa"/>
            <w:gridSpan w:val="2"/>
            <w:vAlign w:val="center"/>
          </w:tcPr>
          <w:p w14:paraId="4A98849E">
            <w:pPr>
              <w:jc w:val="center"/>
              <w:rPr>
                <w:rFonts w:hint="eastAsia" w:ascii="宋体" w:hAnsi="宋体"/>
                <w:b/>
                <w:color w:val="auto"/>
                <w:highlight w:val="none"/>
              </w:rPr>
            </w:pPr>
          </w:p>
        </w:tc>
        <w:tc>
          <w:tcPr>
            <w:tcW w:w="1090" w:type="dxa"/>
            <w:vAlign w:val="center"/>
          </w:tcPr>
          <w:p w14:paraId="288863DB">
            <w:pPr>
              <w:jc w:val="center"/>
              <w:rPr>
                <w:rFonts w:hint="eastAsia" w:ascii="宋体" w:hAnsi="宋体"/>
                <w:b/>
                <w:color w:val="auto"/>
                <w:highlight w:val="none"/>
              </w:rPr>
            </w:pPr>
          </w:p>
        </w:tc>
        <w:tc>
          <w:tcPr>
            <w:tcW w:w="1160" w:type="dxa"/>
            <w:vAlign w:val="center"/>
          </w:tcPr>
          <w:p w14:paraId="7DEE314C">
            <w:pPr>
              <w:jc w:val="center"/>
              <w:rPr>
                <w:rFonts w:hint="eastAsia" w:ascii="宋体" w:hAnsi="宋体"/>
                <w:b/>
                <w:color w:val="auto"/>
                <w:highlight w:val="none"/>
              </w:rPr>
            </w:pPr>
          </w:p>
        </w:tc>
        <w:tc>
          <w:tcPr>
            <w:tcW w:w="1686" w:type="dxa"/>
            <w:vAlign w:val="center"/>
          </w:tcPr>
          <w:p w14:paraId="6F387D71">
            <w:pPr>
              <w:jc w:val="center"/>
              <w:rPr>
                <w:rFonts w:hint="eastAsia" w:ascii="宋体" w:hAnsi="宋体"/>
                <w:b/>
                <w:color w:val="auto"/>
                <w:highlight w:val="none"/>
              </w:rPr>
            </w:pPr>
          </w:p>
        </w:tc>
        <w:tc>
          <w:tcPr>
            <w:tcW w:w="1306" w:type="dxa"/>
            <w:vAlign w:val="center"/>
          </w:tcPr>
          <w:p w14:paraId="2CB45825">
            <w:pPr>
              <w:jc w:val="center"/>
              <w:rPr>
                <w:rFonts w:hint="eastAsia" w:ascii="宋体" w:hAnsi="宋体"/>
                <w:b/>
                <w:color w:val="auto"/>
                <w:highlight w:val="none"/>
              </w:rPr>
            </w:pPr>
          </w:p>
        </w:tc>
      </w:tr>
      <w:tr w14:paraId="5B5C0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58" w:type="dxa"/>
            <w:vAlign w:val="center"/>
          </w:tcPr>
          <w:p w14:paraId="3C640718">
            <w:pPr>
              <w:jc w:val="center"/>
              <w:rPr>
                <w:rFonts w:hint="eastAsia" w:ascii="宋体" w:hAnsi="宋体"/>
                <w:b/>
                <w:color w:val="auto"/>
                <w:highlight w:val="none"/>
              </w:rPr>
            </w:pPr>
          </w:p>
        </w:tc>
        <w:tc>
          <w:tcPr>
            <w:tcW w:w="2950" w:type="dxa"/>
            <w:gridSpan w:val="2"/>
            <w:vAlign w:val="center"/>
          </w:tcPr>
          <w:p w14:paraId="667E2E06">
            <w:pPr>
              <w:jc w:val="center"/>
              <w:rPr>
                <w:rFonts w:hint="eastAsia" w:ascii="宋体" w:hAnsi="宋体"/>
                <w:b/>
                <w:color w:val="auto"/>
                <w:highlight w:val="none"/>
              </w:rPr>
            </w:pPr>
          </w:p>
        </w:tc>
        <w:tc>
          <w:tcPr>
            <w:tcW w:w="1090" w:type="dxa"/>
            <w:vAlign w:val="center"/>
          </w:tcPr>
          <w:p w14:paraId="70199389">
            <w:pPr>
              <w:jc w:val="center"/>
              <w:rPr>
                <w:rFonts w:hint="eastAsia" w:ascii="宋体" w:hAnsi="宋体"/>
                <w:b/>
                <w:color w:val="auto"/>
                <w:highlight w:val="none"/>
              </w:rPr>
            </w:pPr>
          </w:p>
        </w:tc>
        <w:tc>
          <w:tcPr>
            <w:tcW w:w="1160" w:type="dxa"/>
            <w:vAlign w:val="center"/>
          </w:tcPr>
          <w:p w14:paraId="0A1C9B0E">
            <w:pPr>
              <w:jc w:val="center"/>
              <w:rPr>
                <w:rFonts w:hint="eastAsia" w:ascii="宋体" w:hAnsi="宋体"/>
                <w:b/>
                <w:color w:val="auto"/>
                <w:highlight w:val="none"/>
              </w:rPr>
            </w:pPr>
          </w:p>
        </w:tc>
        <w:tc>
          <w:tcPr>
            <w:tcW w:w="1686" w:type="dxa"/>
            <w:vAlign w:val="center"/>
          </w:tcPr>
          <w:p w14:paraId="368D3714">
            <w:pPr>
              <w:jc w:val="center"/>
              <w:rPr>
                <w:rFonts w:hint="eastAsia" w:ascii="宋体" w:hAnsi="宋体"/>
                <w:b/>
                <w:color w:val="auto"/>
                <w:highlight w:val="none"/>
              </w:rPr>
            </w:pPr>
          </w:p>
        </w:tc>
        <w:tc>
          <w:tcPr>
            <w:tcW w:w="1306" w:type="dxa"/>
            <w:vAlign w:val="center"/>
          </w:tcPr>
          <w:p w14:paraId="2327FA8B">
            <w:pPr>
              <w:jc w:val="center"/>
              <w:rPr>
                <w:rFonts w:hint="eastAsia" w:ascii="宋体" w:hAnsi="宋体"/>
                <w:b/>
                <w:color w:val="auto"/>
                <w:highlight w:val="none"/>
              </w:rPr>
            </w:pPr>
          </w:p>
        </w:tc>
      </w:tr>
      <w:tr w14:paraId="3DC8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58" w:type="dxa"/>
            <w:vAlign w:val="center"/>
          </w:tcPr>
          <w:p w14:paraId="59BFAAB4">
            <w:pPr>
              <w:jc w:val="center"/>
              <w:rPr>
                <w:rFonts w:hint="eastAsia" w:ascii="宋体" w:hAnsi="宋体"/>
                <w:b/>
                <w:color w:val="auto"/>
                <w:highlight w:val="none"/>
              </w:rPr>
            </w:pPr>
          </w:p>
        </w:tc>
        <w:tc>
          <w:tcPr>
            <w:tcW w:w="2950" w:type="dxa"/>
            <w:gridSpan w:val="2"/>
            <w:vAlign w:val="center"/>
          </w:tcPr>
          <w:p w14:paraId="696CA8A5">
            <w:pPr>
              <w:jc w:val="center"/>
              <w:rPr>
                <w:rFonts w:hint="eastAsia" w:ascii="宋体" w:hAnsi="宋体"/>
                <w:b/>
                <w:color w:val="auto"/>
                <w:highlight w:val="none"/>
              </w:rPr>
            </w:pPr>
          </w:p>
        </w:tc>
        <w:tc>
          <w:tcPr>
            <w:tcW w:w="1090" w:type="dxa"/>
            <w:vAlign w:val="center"/>
          </w:tcPr>
          <w:p w14:paraId="317C0568">
            <w:pPr>
              <w:jc w:val="center"/>
              <w:rPr>
                <w:rFonts w:hint="eastAsia" w:ascii="宋体" w:hAnsi="宋体"/>
                <w:b/>
                <w:color w:val="auto"/>
                <w:highlight w:val="none"/>
              </w:rPr>
            </w:pPr>
          </w:p>
        </w:tc>
        <w:tc>
          <w:tcPr>
            <w:tcW w:w="1160" w:type="dxa"/>
            <w:vAlign w:val="center"/>
          </w:tcPr>
          <w:p w14:paraId="38EBEC3A">
            <w:pPr>
              <w:jc w:val="center"/>
              <w:rPr>
                <w:rFonts w:hint="eastAsia" w:ascii="宋体" w:hAnsi="宋体"/>
                <w:b/>
                <w:color w:val="auto"/>
                <w:highlight w:val="none"/>
              </w:rPr>
            </w:pPr>
          </w:p>
        </w:tc>
        <w:tc>
          <w:tcPr>
            <w:tcW w:w="1686" w:type="dxa"/>
            <w:vAlign w:val="center"/>
          </w:tcPr>
          <w:p w14:paraId="4C069372">
            <w:pPr>
              <w:jc w:val="center"/>
              <w:rPr>
                <w:rFonts w:hint="eastAsia" w:ascii="宋体" w:hAnsi="宋体"/>
                <w:b/>
                <w:color w:val="auto"/>
                <w:highlight w:val="none"/>
              </w:rPr>
            </w:pPr>
          </w:p>
        </w:tc>
        <w:tc>
          <w:tcPr>
            <w:tcW w:w="1306" w:type="dxa"/>
            <w:vAlign w:val="center"/>
          </w:tcPr>
          <w:p w14:paraId="58AD52E3">
            <w:pPr>
              <w:jc w:val="center"/>
              <w:rPr>
                <w:rFonts w:hint="eastAsia" w:ascii="宋体" w:hAnsi="宋体"/>
                <w:b/>
                <w:color w:val="auto"/>
                <w:highlight w:val="none"/>
              </w:rPr>
            </w:pPr>
          </w:p>
        </w:tc>
      </w:tr>
      <w:tr w14:paraId="637FD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58" w:type="dxa"/>
            <w:vAlign w:val="center"/>
          </w:tcPr>
          <w:p w14:paraId="7652840D">
            <w:pPr>
              <w:jc w:val="center"/>
              <w:rPr>
                <w:rFonts w:hint="eastAsia" w:ascii="宋体" w:hAnsi="宋体"/>
                <w:b/>
                <w:color w:val="auto"/>
                <w:highlight w:val="none"/>
              </w:rPr>
            </w:pPr>
          </w:p>
        </w:tc>
        <w:tc>
          <w:tcPr>
            <w:tcW w:w="2950" w:type="dxa"/>
            <w:gridSpan w:val="2"/>
            <w:vAlign w:val="center"/>
          </w:tcPr>
          <w:p w14:paraId="44BEC747">
            <w:pPr>
              <w:jc w:val="center"/>
              <w:rPr>
                <w:rFonts w:hint="eastAsia" w:ascii="宋体" w:hAnsi="宋体"/>
                <w:b/>
                <w:color w:val="auto"/>
                <w:highlight w:val="none"/>
              </w:rPr>
            </w:pPr>
          </w:p>
        </w:tc>
        <w:tc>
          <w:tcPr>
            <w:tcW w:w="1090" w:type="dxa"/>
            <w:vAlign w:val="center"/>
          </w:tcPr>
          <w:p w14:paraId="4B937E04">
            <w:pPr>
              <w:jc w:val="center"/>
              <w:rPr>
                <w:rFonts w:hint="eastAsia" w:ascii="宋体" w:hAnsi="宋体"/>
                <w:b/>
                <w:color w:val="auto"/>
                <w:highlight w:val="none"/>
              </w:rPr>
            </w:pPr>
          </w:p>
        </w:tc>
        <w:tc>
          <w:tcPr>
            <w:tcW w:w="1160" w:type="dxa"/>
            <w:vAlign w:val="center"/>
          </w:tcPr>
          <w:p w14:paraId="392FBBDD">
            <w:pPr>
              <w:jc w:val="center"/>
              <w:rPr>
                <w:rFonts w:hint="eastAsia" w:ascii="宋体" w:hAnsi="宋体"/>
                <w:b/>
                <w:color w:val="auto"/>
                <w:highlight w:val="none"/>
              </w:rPr>
            </w:pPr>
          </w:p>
        </w:tc>
        <w:tc>
          <w:tcPr>
            <w:tcW w:w="1686" w:type="dxa"/>
            <w:vAlign w:val="center"/>
          </w:tcPr>
          <w:p w14:paraId="6B4C4E34">
            <w:pPr>
              <w:jc w:val="center"/>
              <w:rPr>
                <w:rFonts w:hint="eastAsia" w:ascii="宋体" w:hAnsi="宋体"/>
                <w:b/>
                <w:color w:val="auto"/>
                <w:highlight w:val="none"/>
              </w:rPr>
            </w:pPr>
          </w:p>
        </w:tc>
        <w:tc>
          <w:tcPr>
            <w:tcW w:w="1306" w:type="dxa"/>
            <w:vAlign w:val="center"/>
          </w:tcPr>
          <w:p w14:paraId="0B06796F">
            <w:pPr>
              <w:jc w:val="center"/>
              <w:rPr>
                <w:rFonts w:hint="eastAsia" w:ascii="宋体" w:hAnsi="宋体"/>
                <w:b/>
                <w:color w:val="auto"/>
                <w:highlight w:val="none"/>
              </w:rPr>
            </w:pPr>
          </w:p>
        </w:tc>
      </w:tr>
      <w:tr w14:paraId="729F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58" w:type="dxa"/>
            <w:vAlign w:val="center"/>
          </w:tcPr>
          <w:p w14:paraId="53C9705C">
            <w:pPr>
              <w:jc w:val="center"/>
              <w:rPr>
                <w:rFonts w:hint="eastAsia" w:ascii="宋体" w:hAnsi="宋体"/>
                <w:b/>
                <w:color w:val="auto"/>
                <w:highlight w:val="none"/>
              </w:rPr>
            </w:pPr>
          </w:p>
        </w:tc>
        <w:tc>
          <w:tcPr>
            <w:tcW w:w="2950" w:type="dxa"/>
            <w:gridSpan w:val="2"/>
            <w:vAlign w:val="center"/>
          </w:tcPr>
          <w:p w14:paraId="00DA664D">
            <w:pPr>
              <w:jc w:val="center"/>
              <w:rPr>
                <w:rFonts w:hint="eastAsia" w:ascii="宋体" w:hAnsi="宋体"/>
                <w:b/>
                <w:color w:val="auto"/>
                <w:highlight w:val="none"/>
              </w:rPr>
            </w:pPr>
          </w:p>
        </w:tc>
        <w:tc>
          <w:tcPr>
            <w:tcW w:w="1090" w:type="dxa"/>
            <w:vAlign w:val="center"/>
          </w:tcPr>
          <w:p w14:paraId="1D460434">
            <w:pPr>
              <w:jc w:val="center"/>
              <w:rPr>
                <w:rFonts w:hint="eastAsia" w:ascii="宋体" w:hAnsi="宋体"/>
                <w:b/>
                <w:color w:val="auto"/>
                <w:highlight w:val="none"/>
              </w:rPr>
            </w:pPr>
          </w:p>
        </w:tc>
        <w:tc>
          <w:tcPr>
            <w:tcW w:w="1160" w:type="dxa"/>
            <w:vAlign w:val="center"/>
          </w:tcPr>
          <w:p w14:paraId="7CD05933">
            <w:pPr>
              <w:jc w:val="center"/>
              <w:rPr>
                <w:rFonts w:hint="eastAsia" w:ascii="宋体" w:hAnsi="宋体"/>
                <w:b/>
                <w:color w:val="auto"/>
                <w:highlight w:val="none"/>
              </w:rPr>
            </w:pPr>
          </w:p>
        </w:tc>
        <w:tc>
          <w:tcPr>
            <w:tcW w:w="1686" w:type="dxa"/>
            <w:vAlign w:val="center"/>
          </w:tcPr>
          <w:p w14:paraId="6123E0CF">
            <w:pPr>
              <w:jc w:val="center"/>
              <w:rPr>
                <w:rFonts w:hint="eastAsia" w:ascii="宋体" w:hAnsi="宋体"/>
                <w:b/>
                <w:color w:val="auto"/>
                <w:highlight w:val="none"/>
              </w:rPr>
            </w:pPr>
          </w:p>
        </w:tc>
        <w:tc>
          <w:tcPr>
            <w:tcW w:w="1306" w:type="dxa"/>
            <w:vAlign w:val="center"/>
          </w:tcPr>
          <w:p w14:paraId="591FB0AB">
            <w:pPr>
              <w:jc w:val="center"/>
              <w:rPr>
                <w:rFonts w:hint="eastAsia" w:ascii="宋体" w:hAnsi="宋体"/>
                <w:b/>
                <w:color w:val="auto"/>
                <w:highlight w:val="none"/>
              </w:rPr>
            </w:pPr>
          </w:p>
        </w:tc>
      </w:tr>
      <w:tr w14:paraId="56C6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722" w:type="dxa"/>
            <w:gridSpan w:val="2"/>
            <w:vMerge w:val="restart"/>
            <w:vAlign w:val="center"/>
          </w:tcPr>
          <w:p w14:paraId="54BCB637">
            <w:pPr>
              <w:spacing w:line="260" w:lineRule="exact"/>
              <w:jc w:val="center"/>
              <w:rPr>
                <w:rFonts w:ascii="宋体" w:hAnsi="宋体"/>
                <w:color w:val="auto"/>
                <w:szCs w:val="21"/>
                <w:highlight w:val="none"/>
              </w:rPr>
            </w:pPr>
            <w:r>
              <w:rPr>
                <w:rFonts w:hint="eastAsia" w:ascii="宋体" w:hAnsi="宋体"/>
                <w:b/>
                <w:color w:val="auto"/>
                <w:szCs w:val="21"/>
                <w:highlight w:val="none"/>
              </w:rPr>
              <w:t>投标总价</w:t>
            </w:r>
            <w:r>
              <w:rPr>
                <w:rFonts w:hint="eastAsia" w:ascii="宋体" w:hAnsi="宋体"/>
                <w:b/>
                <w:bCs/>
                <w:color w:val="auto"/>
                <w:szCs w:val="21"/>
                <w:highlight w:val="none"/>
              </w:rPr>
              <w:t>（元）</w:t>
            </w:r>
          </w:p>
        </w:tc>
        <w:tc>
          <w:tcPr>
            <w:tcW w:w="6828" w:type="dxa"/>
            <w:gridSpan w:val="5"/>
            <w:vAlign w:val="center"/>
          </w:tcPr>
          <w:p w14:paraId="3D84E233">
            <w:pPr>
              <w:widowControl/>
              <w:rPr>
                <w:rFonts w:ascii="宋体" w:hAnsi="宋体" w:cs="宋体"/>
                <w:b/>
                <w:color w:val="auto"/>
                <w:kern w:val="0"/>
                <w:szCs w:val="21"/>
                <w:highlight w:val="none"/>
              </w:rPr>
            </w:pPr>
            <w:r>
              <w:rPr>
                <w:rFonts w:hint="eastAsia" w:ascii="宋体" w:hAnsi="宋体" w:cs="宋体"/>
                <w:b/>
                <w:color w:val="auto"/>
                <w:kern w:val="0"/>
                <w:szCs w:val="21"/>
                <w:highlight w:val="none"/>
              </w:rPr>
              <w:t>小写：</w:t>
            </w:r>
          </w:p>
        </w:tc>
      </w:tr>
      <w:tr w14:paraId="6F214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722" w:type="dxa"/>
            <w:gridSpan w:val="2"/>
            <w:vMerge w:val="continue"/>
            <w:vAlign w:val="center"/>
          </w:tcPr>
          <w:p w14:paraId="4BA6FE62">
            <w:pPr>
              <w:spacing w:line="260" w:lineRule="exact"/>
              <w:rPr>
                <w:rFonts w:ascii="宋体" w:hAnsi="宋体"/>
                <w:color w:val="auto"/>
                <w:sz w:val="18"/>
                <w:szCs w:val="18"/>
                <w:highlight w:val="none"/>
              </w:rPr>
            </w:pPr>
          </w:p>
        </w:tc>
        <w:tc>
          <w:tcPr>
            <w:tcW w:w="6828" w:type="dxa"/>
            <w:gridSpan w:val="5"/>
            <w:vAlign w:val="center"/>
          </w:tcPr>
          <w:p w14:paraId="64B8C02B">
            <w:pPr>
              <w:widowControl/>
              <w:rPr>
                <w:rFonts w:ascii="宋体" w:hAnsi="宋体" w:cs="宋体"/>
                <w:b/>
                <w:color w:val="auto"/>
                <w:kern w:val="0"/>
                <w:szCs w:val="21"/>
                <w:highlight w:val="none"/>
              </w:rPr>
            </w:pPr>
            <w:r>
              <w:rPr>
                <w:rFonts w:hint="eastAsia" w:ascii="宋体" w:hAnsi="宋体" w:cs="宋体"/>
                <w:b/>
                <w:color w:val="auto"/>
                <w:kern w:val="0"/>
                <w:szCs w:val="21"/>
                <w:highlight w:val="none"/>
              </w:rPr>
              <w:t>大写：</w:t>
            </w:r>
          </w:p>
        </w:tc>
      </w:tr>
    </w:tbl>
    <w:p w14:paraId="4EBFB694">
      <w:pPr>
        <w:spacing w:line="360" w:lineRule="auto"/>
        <w:rPr>
          <w:rFonts w:hint="eastAsia" w:ascii="宋体" w:hAnsi="宋体"/>
          <w:b/>
          <w:color w:val="auto"/>
          <w:highlight w:val="none"/>
        </w:rPr>
      </w:pPr>
    </w:p>
    <w:p w14:paraId="31E720B3">
      <w:pPr>
        <w:spacing w:line="360" w:lineRule="auto"/>
        <w:rPr>
          <w:rFonts w:ascii="宋体" w:hAnsi="宋体"/>
          <w:b/>
          <w:color w:val="auto"/>
          <w:highlight w:val="none"/>
        </w:rPr>
      </w:pPr>
      <w:r>
        <w:rPr>
          <w:rFonts w:hint="eastAsia" w:ascii="宋体" w:hAnsi="宋体"/>
          <w:b/>
          <w:color w:val="auto"/>
          <w:highlight w:val="none"/>
        </w:rPr>
        <w:t>说明：</w:t>
      </w:r>
    </w:p>
    <w:p w14:paraId="055ECE3C">
      <w:pPr>
        <w:pStyle w:val="6"/>
        <w:spacing w:line="360" w:lineRule="auto"/>
        <w:ind w:firstLine="0"/>
        <w:rPr>
          <w:rFonts w:ascii="宋体" w:hAnsi="宋体"/>
          <w:color w:val="auto"/>
          <w:szCs w:val="21"/>
          <w:highlight w:val="none"/>
        </w:rPr>
      </w:pPr>
      <w:r>
        <w:rPr>
          <w:rFonts w:hint="eastAsia"/>
          <w:color w:val="auto"/>
          <w:highlight w:val="none"/>
        </w:rPr>
        <w:t>1、</w:t>
      </w:r>
      <w:r>
        <w:rPr>
          <w:rFonts w:hint="eastAsia" w:ascii="宋体" w:hAnsi="宋体"/>
          <w:color w:val="auto"/>
          <w:szCs w:val="21"/>
          <w:highlight w:val="none"/>
        </w:rPr>
        <w:t>本表格的“投标总价”应与开标一览表的“投</w:t>
      </w:r>
      <w:r>
        <w:rPr>
          <w:rFonts w:ascii="宋体" w:hAnsi="宋体"/>
          <w:color w:val="auto"/>
          <w:szCs w:val="21"/>
          <w:highlight w:val="none"/>
        </w:rPr>
        <w:t>标</w:t>
      </w:r>
      <w:r>
        <w:rPr>
          <w:rFonts w:hint="eastAsia" w:ascii="宋体" w:hAnsi="宋体"/>
          <w:color w:val="auto"/>
          <w:szCs w:val="21"/>
          <w:highlight w:val="none"/>
        </w:rPr>
        <w:t>报价”一致。</w:t>
      </w:r>
    </w:p>
    <w:p w14:paraId="491A3791">
      <w:pPr>
        <w:spacing w:line="360" w:lineRule="auto"/>
        <w:rPr>
          <w:rFonts w:ascii="宋体" w:hAnsi="宋体"/>
          <w:color w:val="auto"/>
          <w:szCs w:val="21"/>
          <w:highlight w:val="none"/>
        </w:rPr>
      </w:pPr>
      <w:r>
        <w:rPr>
          <w:rFonts w:hint="eastAsia" w:ascii="宋体" w:hAnsi="宋体"/>
          <w:color w:val="auto"/>
          <w:szCs w:val="21"/>
          <w:highlight w:val="none"/>
        </w:rPr>
        <w:t>3、此表在不改变表式的情况下，可自行制作。</w:t>
      </w:r>
    </w:p>
    <w:p w14:paraId="73A01BF5">
      <w:pPr>
        <w:pStyle w:val="6"/>
        <w:spacing w:line="360" w:lineRule="auto"/>
        <w:ind w:firstLine="0"/>
        <w:rPr>
          <w:color w:val="auto"/>
          <w:highlight w:val="none"/>
        </w:rPr>
      </w:pPr>
    </w:p>
    <w:p w14:paraId="46B57D73">
      <w:pPr>
        <w:pStyle w:val="6"/>
        <w:spacing w:line="360" w:lineRule="auto"/>
        <w:ind w:firstLine="0"/>
        <w:rPr>
          <w:color w:val="auto"/>
          <w:highlight w:val="none"/>
        </w:rPr>
      </w:pPr>
    </w:p>
    <w:p w14:paraId="65D9FC9D">
      <w:pPr>
        <w:spacing w:line="360" w:lineRule="auto"/>
        <w:rPr>
          <w:rFonts w:ascii="宋体" w:hAnsi="宋体"/>
          <w:b/>
          <w:color w:val="auto"/>
          <w:szCs w:val="21"/>
          <w:highlight w:val="none"/>
          <w:u w:val="single"/>
        </w:rPr>
      </w:pPr>
      <w:r>
        <w:rPr>
          <w:rFonts w:hint="eastAsia" w:ascii="宋体" w:hAnsi="宋体"/>
          <w:color w:val="auto"/>
          <w:szCs w:val="21"/>
          <w:highlight w:val="none"/>
        </w:rPr>
        <w:t>法定代表人(或全权代表)签字或盖章：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日期：</w:t>
      </w:r>
      <w:r>
        <w:rPr>
          <w:rFonts w:hint="eastAsia" w:ascii="宋体" w:hAnsi="宋体"/>
          <w:color w:val="auto"/>
          <w:szCs w:val="21"/>
          <w:highlight w:val="none"/>
          <w:u w:val="single"/>
        </w:rPr>
        <w:t xml:space="preserve">                  </w:t>
      </w:r>
    </w:p>
    <w:p w14:paraId="3AB13CB9">
      <w:pPr>
        <w:spacing w:line="360" w:lineRule="auto"/>
        <w:rPr>
          <w:rFonts w:ascii="宋体" w:hAnsi="宋体"/>
          <w:color w:val="auto"/>
          <w:highlight w:val="none"/>
        </w:rPr>
      </w:pPr>
      <w:r>
        <w:rPr>
          <w:rFonts w:ascii="宋体" w:hAnsi="宋体"/>
          <w:color w:val="auto"/>
          <w:highlight w:val="none"/>
        </w:rPr>
        <w:br w:type="page"/>
      </w:r>
    </w:p>
    <w:p w14:paraId="08505F0D">
      <w:pPr>
        <w:spacing w:line="360" w:lineRule="auto"/>
        <w:rPr>
          <w:rFonts w:ascii="宋体" w:hAnsi="宋体"/>
          <w:color w:val="auto"/>
          <w:highlight w:val="none"/>
        </w:rPr>
      </w:pPr>
      <w:r>
        <w:rPr>
          <w:rFonts w:hint="eastAsia" w:ascii="宋体" w:hAnsi="宋体"/>
          <w:color w:val="auto"/>
          <w:highlight w:val="none"/>
        </w:rPr>
        <w:t>附件</w:t>
      </w:r>
      <w:r>
        <w:rPr>
          <w:rFonts w:hint="eastAsia" w:ascii="宋体" w:hAnsi="宋体"/>
          <w:color w:val="auto"/>
          <w:highlight w:val="none"/>
          <w:lang w:val="en-US" w:eastAsia="zh-CN"/>
        </w:rPr>
        <w:t>9</w:t>
      </w:r>
      <w:r>
        <w:rPr>
          <w:rFonts w:hint="eastAsia" w:ascii="宋体" w:hAnsi="宋体"/>
          <w:color w:val="auto"/>
          <w:highlight w:val="none"/>
        </w:rPr>
        <w:t>：</w:t>
      </w:r>
    </w:p>
    <w:p w14:paraId="7E3AE2E6">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投标人符合性自查表</w:t>
      </w:r>
    </w:p>
    <w:p w14:paraId="63DA31EA">
      <w:pPr>
        <w:jc w:val="center"/>
        <w:rPr>
          <w:rFonts w:ascii="宋体" w:hAnsi="宋体" w:cs="宋体"/>
          <w:b/>
          <w:color w:val="auto"/>
          <w:highlight w:val="none"/>
        </w:rPr>
      </w:pPr>
    </w:p>
    <w:tbl>
      <w:tblPr>
        <w:tblStyle w:val="25"/>
        <w:tblW w:w="8783"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4221"/>
        <w:gridCol w:w="1270"/>
        <w:gridCol w:w="2461"/>
      </w:tblGrid>
      <w:tr w14:paraId="63A271F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47" w:hRule="atLeast"/>
          <w:jc w:val="center"/>
        </w:trPr>
        <w:tc>
          <w:tcPr>
            <w:tcW w:w="831" w:type="dxa"/>
            <w:tcBorders>
              <w:top w:val="single" w:color="auto" w:sz="12" w:space="0"/>
              <w:left w:val="single" w:color="auto" w:sz="12" w:space="0"/>
              <w:bottom w:val="outset" w:color="111111" w:sz="6" w:space="0"/>
              <w:right w:val="outset" w:color="111111" w:sz="6" w:space="0"/>
            </w:tcBorders>
            <w:vAlign w:val="center"/>
          </w:tcPr>
          <w:p w14:paraId="3ABDA125">
            <w:pPr>
              <w:spacing w:line="240" w:lineRule="exact"/>
              <w:jc w:val="center"/>
              <w:rPr>
                <w:rFonts w:ascii="宋体" w:hAnsi="宋体" w:cs="宋体"/>
                <w:color w:val="auto"/>
                <w:highlight w:val="none"/>
              </w:rPr>
            </w:pPr>
            <w:r>
              <w:rPr>
                <w:rFonts w:hint="eastAsia" w:ascii="宋体" w:hAnsi="宋体" w:cs="宋体"/>
                <w:color w:val="auto"/>
                <w:highlight w:val="none"/>
              </w:rPr>
              <w:t>评审内容</w:t>
            </w:r>
          </w:p>
        </w:tc>
        <w:tc>
          <w:tcPr>
            <w:tcW w:w="4221" w:type="dxa"/>
            <w:tcBorders>
              <w:top w:val="single" w:color="auto" w:sz="12" w:space="0"/>
              <w:left w:val="outset" w:color="111111" w:sz="6" w:space="0"/>
              <w:bottom w:val="outset" w:color="111111" w:sz="6" w:space="0"/>
              <w:right w:val="outset" w:color="111111" w:sz="6" w:space="0"/>
            </w:tcBorders>
            <w:vAlign w:val="center"/>
          </w:tcPr>
          <w:p w14:paraId="6AAF553D">
            <w:pPr>
              <w:spacing w:line="240" w:lineRule="exact"/>
              <w:jc w:val="center"/>
              <w:rPr>
                <w:rFonts w:ascii="宋体" w:hAnsi="宋体" w:cs="宋体"/>
                <w:color w:val="auto"/>
                <w:highlight w:val="none"/>
              </w:rPr>
            </w:pPr>
            <w:r>
              <w:rPr>
                <w:rFonts w:hint="eastAsia" w:ascii="宋体" w:hAnsi="宋体" w:cs="宋体"/>
                <w:color w:val="auto"/>
                <w:highlight w:val="none"/>
              </w:rPr>
              <w:t>招标文件要求</w:t>
            </w:r>
          </w:p>
        </w:tc>
        <w:tc>
          <w:tcPr>
            <w:tcW w:w="1270" w:type="dxa"/>
            <w:tcBorders>
              <w:top w:val="single" w:color="auto" w:sz="12" w:space="0"/>
              <w:left w:val="outset" w:color="111111" w:sz="6" w:space="0"/>
              <w:bottom w:val="outset" w:color="111111" w:sz="6" w:space="0"/>
              <w:right w:val="outset" w:color="111111" w:sz="6" w:space="0"/>
            </w:tcBorders>
            <w:vAlign w:val="center"/>
          </w:tcPr>
          <w:p w14:paraId="4684A77C">
            <w:pPr>
              <w:spacing w:line="240" w:lineRule="exact"/>
              <w:jc w:val="center"/>
              <w:rPr>
                <w:rFonts w:ascii="宋体" w:hAnsi="宋体" w:cs="宋体"/>
                <w:color w:val="auto"/>
                <w:highlight w:val="none"/>
              </w:rPr>
            </w:pPr>
            <w:r>
              <w:rPr>
                <w:rFonts w:hint="eastAsia" w:ascii="宋体" w:hAnsi="宋体" w:cs="宋体"/>
                <w:color w:val="auto"/>
                <w:highlight w:val="none"/>
              </w:rPr>
              <w:t>自查结论</w:t>
            </w:r>
          </w:p>
        </w:tc>
        <w:tc>
          <w:tcPr>
            <w:tcW w:w="2461" w:type="dxa"/>
            <w:tcBorders>
              <w:top w:val="single" w:color="auto" w:sz="12" w:space="0"/>
              <w:left w:val="outset" w:color="111111" w:sz="6" w:space="0"/>
              <w:bottom w:val="outset" w:color="111111" w:sz="6" w:space="0"/>
              <w:right w:val="single" w:color="auto" w:sz="12" w:space="0"/>
            </w:tcBorders>
            <w:vAlign w:val="center"/>
          </w:tcPr>
          <w:p w14:paraId="115CFAAF">
            <w:pPr>
              <w:spacing w:line="240" w:lineRule="exact"/>
              <w:jc w:val="center"/>
              <w:rPr>
                <w:rFonts w:ascii="宋体" w:hAnsi="宋体" w:cs="宋体"/>
                <w:color w:val="auto"/>
                <w:highlight w:val="none"/>
              </w:rPr>
            </w:pPr>
            <w:r>
              <w:rPr>
                <w:rFonts w:hint="eastAsia" w:ascii="宋体" w:hAnsi="宋体" w:cs="宋体"/>
                <w:color w:val="auto"/>
                <w:highlight w:val="none"/>
              </w:rPr>
              <w:t>证明资料</w:t>
            </w:r>
          </w:p>
        </w:tc>
      </w:tr>
      <w:tr w14:paraId="50A51A8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0" w:hRule="atLeast"/>
          <w:jc w:val="center"/>
        </w:trPr>
        <w:tc>
          <w:tcPr>
            <w:tcW w:w="831" w:type="dxa"/>
            <w:vMerge w:val="restart"/>
            <w:tcBorders>
              <w:top w:val="outset" w:color="111111" w:sz="6" w:space="0"/>
              <w:left w:val="single" w:color="auto" w:sz="12" w:space="0"/>
              <w:right w:val="outset" w:color="111111" w:sz="6" w:space="0"/>
            </w:tcBorders>
            <w:vAlign w:val="center"/>
          </w:tcPr>
          <w:p w14:paraId="76D2FDF5">
            <w:pPr>
              <w:spacing w:line="240" w:lineRule="exact"/>
              <w:rPr>
                <w:rFonts w:ascii="宋体" w:hAnsi="宋体" w:cs="宋体"/>
                <w:color w:val="auto"/>
                <w:highlight w:val="none"/>
              </w:rPr>
            </w:pPr>
            <w:r>
              <w:rPr>
                <w:rFonts w:hint="eastAsia" w:ascii="宋体" w:hAnsi="宋体" w:cs="宋体"/>
                <w:color w:val="auto"/>
                <w:highlight w:val="none"/>
              </w:rPr>
              <w:t>符</w:t>
            </w:r>
          </w:p>
          <w:p w14:paraId="5EFAB2D8">
            <w:pPr>
              <w:spacing w:line="240" w:lineRule="exact"/>
              <w:rPr>
                <w:rFonts w:ascii="宋体" w:hAnsi="宋体" w:cs="宋体"/>
                <w:color w:val="auto"/>
                <w:highlight w:val="none"/>
              </w:rPr>
            </w:pPr>
            <w:r>
              <w:rPr>
                <w:rFonts w:hint="eastAsia" w:ascii="宋体" w:hAnsi="宋体" w:cs="宋体"/>
                <w:color w:val="auto"/>
                <w:highlight w:val="none"/>
              </w:rPr>
              <w:t>合</w:t>
            </w:r>
          </w:p>
          <w:p w14:paraId="12BCEA40">
            <w:pPr>
              <w:spacing w:line="240" w:lineRule="exact"/>
              <w:rPr>
                <w:rFonts w:ascii="宋体" w:hAnsi="宋体" w:cs="宋体"/>
                <w:color w:val="auto"/>
                <w:highlight w:val="none"/>
              </w:rPr>
            </w:pPr>
            <w:r>
              <w:rPr>
                <w:rFonts w:hint="eastAsia" w:ascii="宋体" w:hAnsi="宋体" w:cs="宋体"/>
                <w:color w:val="auto"/>
                <w:highlight w:val="none"/>
              </w:rPr>
              <w:t>性</w:t>
            </w:r>
          </w:p>
          <w:p w14:paraId="0843C0D5">
            <w:pPr>
              <w:spacing w:line="240" w:lineRule="exact"/>
              <w:rPr>
                <w:rFonts w:ascii="宋体" w:hAnsi="宋体" w:cs="宋体"/>
                <w:color w:val="auto"/>
                <w:highlight w:val="none"/>
              </w:rPr>
            </w:pPr>
            <w:r>
              <w:rPr>
                <w:rFonts w:hint="eastAsia" w:ascii="宋体" w:hAnsi="宋体" w:cs="宋体"/>
                <w:color w:val="auto"/>
                <w:highlight w:val="none"/>
              </w:rPr>
              <w:t>审</w:t>
            </w:r>
          </w:p>
          <w:p w14:paraId="7D3587ED">
            <w:pPr>
              <w:spacing w:line="240" w:lineRule="exact"/>
              <w:rPr>
                <w:rFonts w:ascii="宋体" w:hAnsi="宋体" w:cs="宋体"/>
                <w:color w:val="auto"/>
                <w:highlight w:val="none"/>
              </w:rPr>
            </w:pPr>
            <w:r>
              <w:rPr>
                <w:rFonts w:hint="eastAsia" w:ascii="宋体" w:hAnsi="宋体" w:cs="宋体"/>
                <w:color w:val="auto"/>
                <w:highlight w:val="none"/>
              </w:rPr>
              <w:t>查</w:t>
            </w:r>
          </w:p>
        </w:tc>
        <w:tc>
          <w:tcPr>
            <w:tcW w:w="4221" w:type="dxa"/>
            <w:tcBorders>
              <w:top w:val="outset" w:color="111111" w:sz="6" w:space="0"/>
              <w:left w:val="outset" w:color="111111" w:sz="6" w:space="0"/>
              <w:bottom w:val="single" w:color="auto" w:sz="4" w:space="0"/>
              <w:right w:val="outset" w:color="111111" w:sz="6" w:space="0"/>
            </w:tcBorders>
            <w:vAlign w:val="center"/>
          </w:tcPr>
          <w:p w14:paraId="706CFE9A">
            <w:pPr>
              <w:spacing w:line="240" w:lineRule="exact"/>
              <w:rPr>
                <w:rFonts w:ascii="宋体" w:hAnsi="宋体" w:cs="宋体"/>
                <w:color w:val="auto"/>
                <w:highlight w:val="none"/>
              </w:rPr>
            </w:pPr>
            <w:r>
              <w:rPr>
                <w:rFonts w:hint="eastAsia" w:ascii="宋体" w:hAnsi="宋体" w:cs="宋体"/>
                <w:color w:val="auto"/>
                <w:highlight w:val="none"/>
              </w:rPr>
              <w:t>1、</w:t>
            </w:r>
            <w:r>
              <w:rPr>
                <w:rFonts w:hint="eastAsia" w:hAnsi="宋体" w:cs="宋体"/>
                <w:bCs/>
                <w:color w:val="auto"/>
                <w:szCs w:val="21"/>
                <w:highlight w:val="none"/>
              </w:rPr>
              <w:t>按招标文件要求签署、签章的；</w:t>
            </w:r>
          </w:p>
        </w:tc>
        <w:tc>
          <w:tcPr>
            <w:tcW w:w="1270" w:type="dxa"/>
            <w:tcBorders>
              <w:top w:val="outset" w:color="111111" w:sz="6" w:space="0"/>
              <w:left w:val="outset" w:color="111111" w:sz="6" w:space="0"/>
              <w:right w:val="outset" w:color="111111" w:sz="6" w:space="0"/>
            </w:tcBorders>
            <w:vAlign w:val="center"/>
          </w:tcPr>
          <w:p w14:paraId="1DFCA3DE">
            <w:pPr>
              <w:spacing w:line="240" w:lineRule="exact"/>
              <w:rPr>
                <w:rFonts w:ascii="宋体" w:hAnsi="宋体" w:cs="宋体"/>
                <w:color w:val="auto"/>
                <w:highlight w:val="none"/>
              </w:rPr>
            </w:pPr>
            <w:r>
              <w:rPr>
                <w:rFonts w:hint="eastAsia" w:ascii="宋体" w:hAnsi="宋体" w:cs="宋体"/>
                <w:color w:val="auto"/>
                <w:highlight w:val="none"/>
              </w:rPr>
              <w:t xml:space="preserve">□通过 </w:t>
            </w:r>
          </w:p>
          <w:p w14:paraId="73C83E86">
            <w:pPr>
              <w:spacing w:line="240" w:lineRule="exact"/>
              <w:rPr>
                <w:rFonts w:ascii="宋体" w:hAnsi="宋体" w:cs="宋体"/>
                <w:color w:val="auto"/>
                <w:highlight w:val="none"/>
              </w:rPr>
            </w:pPr>
            <w:r>
              <w:rPr>
                <w:rFonts w:hint="eastAsia" w:ascii="宋体" w:hAnsi="宋体" w:cs="宋体"/>
                <w:color w:val="auto"/>
                <w:highlight w:val="none"/>
              </w:rPr>
              <w:t>□不通过</w:t>
            </w:r>
          </w:p>
        </w:tc>
        <w:tc>
          <w:tcPr>
            <w:tcW w:w="2461" w:type="dxa"/>
            <w:tcBorders>
              <w:top w:val="outset" w:color="111111" w:sz="6" w:space="0"/>
              <w:left w:val="outset" w:color="111111" w:sz="6" w:space="0"/>
              <w:bottom w:val="single" w:color="auto" w:sz="4" w:space="0"/>
              <w:right w:val="single" w:color="auto" w:sz="12" w:space="0"/>
            </w:tcBorders>
            <w:vAlign w:val="center"/>
          </w:tcPr>
          <w:p w14:paraId="5C1144BD">
            <w:pPr>
              <w:spacing w:line="240" w:lineRule="exact"/>
              <w:rPr>
                <w:rFonts w:ascii="宋体" w:hAnsi="宋体" w:cs="宋体"/>
                <w:color w:val="auto"/>
                <w:highlight w:val="none"/>
              </w:rPr>
            </w:pPr>
            <w:r>
              <w:rPr>
                <w:rFonts w:hint="eastAsia" w:ascii="宋体" w:hAnsi="宋体" w:cs="宋体"/>
                <w:color w:val="auto"/>
                <w:highlight w:val="none"/>
              </w:rPr>
              <w:t>第（ ）页</w:t>
            </w:r>
          </w:p>
        </w:tc>
      </w:tr>
      <w:tr w14:paraId="4D737FA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831" w:type="dxa"/>
            <w:vMerge w:val="continue"/>
            <w:tcBorders>
              <w:left w:val="single" w:color="auto" w:sz="12" w:space="0"/>
              <w:right w:val="outset" w:color="111111" w:sz="6" w:space="0"/>
            </w:tcBorders>
            <w:vAlign w:val="center"/>
          </w:tcPr>
          <w:p w14:paraId="696A0088">
            <w:pPr>
              <w:spacing w:line="240" w:lineRule="exact"/>
              <w:rPr>
                <w:rFonts w:ascii="宋体" w:hAnsi="宋体" w:cs="宋体"/>
                <w:color w:val="auto"/>
                <w:highlight w:val="none"/>
              </w:rPr>
            </w:pPr>
          </w:p>
        </w:tc>
        <w:tc>
          <w:tcPr>
            <w:tcW w:w="4221" w:type="dxa"/>
            <w:tcBorders>
              <w:top w:val="outset" w:color="111111" w:sz="6" w:space="0"/>
              <w:left w:val="outset" w:color="111111" w:sz="6" w:space="0"/>
              <w:bottom w:val="outset" w:color="111111" w:sz="6" w:space="0"/>
              <w:right w:val="outset" w:color="111111" w:sz="6" w:space="0"/>
            </w:tcBorders>
            <w:vAlign w:val="center"/>
          </w:tcPr>
          <w:p w14:paraId="0177B1FC">
            <w:pPr>
              <w:spacing w:line="240" w:lineRule="exact"/>
              <w:rPr>
                <w:rFonts w:ascii="宋体" w:hAnsi="宋体" w:cs="宋体"/>
                <w:color w:val="auto"/>
                <w:highlight w:val="none"/>
              </w:rPr>
            </w:pPr>
            <w:r>
              <w:rPr>
                <w:rFonts w:ascii="宋体" w:hAnsi="宋体" w:cs="宋体"/>
                <w:color w:val="auto"/>
                <w:highlight w:val="none"/>
              </w:rPr>
              <w:t>2</w:t>
            </w:r>
            <w:r>
              <w:rPr>
                <w:rFonts w:hint="eastAsia" w:ascii="宋体" w:hAnsi="宋体" w:cs="宋体"/>
                <w:color w:val="auto"/>
                <w:highlight w:val="none"/>
              </w:rPr>
              <w:t>、提供法定代表人证明书或法定代表人授权委托书，内容齐全。</w:t>
            </w:r>
          </w:p>
        </w:tc>
        <w:tc>
          <w:tcPr>
            <w:tcW w:w="1270" w:type="dxa"/>
            <w:tcBorders>
              <w:top w:val="outset" w:color="111111" w:sz="6" w:space="0"/>
              <w:left w:val="outset" w:color="111111" w:sz="6" w:space="0"/>
              <w:bottom w:val="outset" w:color="111111" w:sz="6" w:space="0"/>
              <w:right w:val="outset" w:color="111111" w:sz="6" w:space="0"/>
            </w:tcBorders>
            <w:vAlign w:val="center"/>
          </w:tcPr>
          <w:p w14:paraId="660C5D51">
            <w:pPr>
              <w:spacing w:line="240" w:lineRule="exact"/>
              <w:rPr>
                <w:rFonts w:ascii="宋体" w:hAnsi="宋体" w:cs="宋体"/>
                <w:color w:val="auto"/>
                <w:highlight w:val="none"/>
              </w:rPr>
            </w:pPr>
            <w:r>
              <w:rPr>
                <w:rFonts w:hint="eastAsia" w:ascii="宋体" w:hAnsi="宋体" w:cs="宋体"/>
                <w:color w:val="auto"/>
                <w:highlight w:val="none"/>
              </w:rPr>
              <w:t xml:space="preserve">□通过 </w:t>
            </w:r>
          </w:p>
          <w:p w14:paraId="3C28E840">
            <w:pPr>
              <w:spacing w:line="240" w:lineRule="exact"/>
              <w:rPr>
                <w:rFonts w:ascii="宋体" w:hAnsi="宋体" w:cs="宋体"/>
                <w:color w:val="auto"/>
                <w:highlight w:val="none"/>
              </w:rPr>
            </w:pPr>
            <w:r>
              <w:rPr>
                <w:rFonts w:hint="eastAsia" w:ascii="宋体" w:hAnsi="宋体" w:cs="宋体"/>
                <w:color w:val="auto"/>
                <w:highlight w:val="none"/>
              </w:rPr>
              <w:t>□不通过</w:t>
            </w:r>
          </w:p>
        </w:tc>
        <w:tc>
          <w:tcPr>
            <w:tcW w:w="2461" w:type="dxa"/>
            <w:tcBorders>
              <w:top w:val="outset" w:color="111111" w:sz="6" w:space="0"/>
              <w:left w:val="outset" w:color="111111" w:sz="6" w:space="0"/>
              <w:bottom w:val="outset" w:color="111111" w:sz="6" w:space="0"/>
              <w:right w:val="single" w:color="auto" w:sz="12" w:space="0"/>
            </w:tcBorders>
            <w:vAlign w:val="center"/>
          </w:tcPr>
          <w:p w14:paraId="5CF8F522">
            <w:pPr>
              <w:spacing w:line="240" w:lineRule="exact"/>
              <w:rPr>
                <w:rFonts w:ascii="宋体" w:hAnsi="宋体" w:cs="宋体"/>
                <w:color w:val="auto"/>
                <w:highlight w:val="none"/>
              </w:rPr>
            </w:pPr>
            <w:r>
              <w:rPr>
                <w:rFonts w:hint="eastAsia" w:ascii="宋体" w:hAnsi="宋体" w:cs="宋体"/>
                <w:color w:val="auto"/>
                <w:highlight w:val="none"/>
              </w:rPr>
              <w:t>第（ ）页</w:t>
            </w:r>
          </w:p>
        </w:tc>
      </w:tr>
      <w:tr w14:paraId="5E6A2F9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vAlign w:val="center"/>
          </w:tcPr>
          <w:p w14:paraId="06F35113">
            <w:pPr>
              <w:spacing w:line="240" w:lineRule="exact"/>
              <w:rPr>
                <w:rFonts w:ascii="宋体" w:hAnsi="宋体" w:cs="宋体"/>
                <w:color w:val="auto"/>
                <w:highlight w:val="none"/>
              </w:rPr>
            </w:pPr>
          </w:p>
        </w:tc>
        <w:tc>
          <w:tcPr>
            <w:tcW w:w="4221" w:type="dxa"/>
            <w:tcBorders>
              <w:top w:val="outset" w:color="111111" w:sz="6" w:space="0"/>
              <w:left w:val="outset" w:color="111111" w:sz="6" w:space="0"/>
              <w:bottom w:val="outset" w:color="111111" w:sz="6" w:space="0"/>
              <w:right w:val="outset" w:color="111111" w:sz="6" w:space="0"/>
            </w:tcBorders>
            <w:vAlign w:val="center"/>
          </w:tcPr>
          <w:p w14:paraId="0DE7BD3F">
            <w:pPr>
              <w:spacing w:line="240" w:lineRule="exact"/>
              <w:rPr>
                <w:rFonts w:ascii="宋体" w:hAnsi="宋体" w:cs="宋体"/>
                <w:color w:val="auto"/>
                <w:highlight w:val="none"/>
              </w:rPr>
            </w:pPr>
            <w:r>
              <w:rPr>
                <w:rFonts w:ascii="宋体" w:hAnsi="宋体" w:cs="宋体"/>
                <w:color w:val="auto"/>
                <w:highlight w:val="none"/>
              </w:rPr>
              <w:t>3</w:t>
            </w:r>
            <w:r>
              <w:rPr>
                <w:rFonts w:hint="eastAsia" w:ascii="宋体" w:hAnsi="宋体" w:cs="宋体"/>
                <w:color w:val="auto"/>
                <w:highlight w:val="none"/>
              </w:rPr>
              <w:t>、</w:t>
            </w:r>
            <w:r>
              <w:rPr>
                <w:rFonts w:hint="eastAsia" w:ascii="宋体" w:hAnsi="宋体"/>
                <w:color w:val="auto"/>
                <w:szCs w:val="21"/>
                <w:highlight w:val="none"/>
              </w:rPr>
              <w:t>投标文件格式规范、提供资料齐全或者未提供虚假内容。</w:t>
            </w:r>
          </w:p>
        </w:tc>
        <w:tc>
          <w:tcPr>
            <w:tcW w:w="1270" w:type="dxa"/>
            <w:tcBorders>
              <w:top w:val="outset" w:color="111111" w:sz="6" w:space="0"/>
              <w:left w:val="outset" w:color="111111" w:sz="6" w:space="0"/>
              <w:bottom w:val="outset" w:color="111111" w:sz="6" w:space="0"/>
              <w:right w:val="outset" w:color="111111" w:sz="6" w:space="0"/>
            </w:tcBorders>
            <w:vAlign w:val="center"/>
          </w:tcPr>
          <w:p w14:paraId="03779D9F">
            <w:pPr>
              <w:spacing w:line="240" w:lineRule="exact"/>
              <w:rPr>
                <w:rFonts w:ascii="宋体" w:hAnsi="宋体" w:cs="宋体"/>
                <w:color w:val="auto"/>
                <w:highlight w:val="none"/>
              </w:rPr>
            </w:pPr>
            <w:r>
              <w:rPr>
                <w:rFonts w:hint="eastAsia" w:ascii="宋体" w:hAnsi="宋体" w:cs="宋体"/>
                <w:color w:val="auto"/>
                <w:highlight w:val="none"/>
              </w:rPr>
              <w:t xml:space="preserve">□通过 </w:t>
            </w:r>
          </w:p>
          <w:p w14:paraId="7FF8842F">
            <w:pPr>
              <w:spacing w:line="240" w:lineRule="exact"/>
              <w:rPr>
                <w:rFonts w:ascii="宋体" w:hAnsi="宋体" w:cs="宋体"/>
                <w:color w:val="auto"/>
                <w:highlight w:val="none"/>
              </w:rPr>
            </w:pPr>
            <w:r>
              <w:rPr>
                <w:rFonts w:hint="eastAsia" w:ascii="宋体" w:hAnsi="宋体" w:cs="宋体"/>
                <w:color w:val="auto"/>
                <w:highlight w:val="none"/>
              </w:rPr>
              <w:t>□不通过</w:t>
            </w:r>
          </w:p>
        </w:tc>
        <w:tc>
          <w:tcPr>
            <w:tcW w:w="2461" w:type="dxa"/>
            <w:tcBorders>
              <w:top w:val="outset" w:color="111111" w:sz="6" w:space="0"/>
              <w:left w:val="outset" w:color="111111" w:sz="6" w:space="0"/>
              <w:bottom w:val="outset" w:color="111111" w:sz="6" w:space="0"/>
              <w:right w:val="single" w:color="auto" w:sz="12" w:space="0"/>
            </w:tcBorders>
            <w:vAlign w:val="center"/>
          </w:tcPr>
          <w:p w14:paraId="1F853572">
            <w:pPr>
              <w:spacing w:line="240" w:lineRule="exact"/>
              <w:rPr>
                <w:rFonts w:ascii="宋体" w:hAnsi="宋体" w:cs="宋体"/>
                <w:color w:val="auto"/>
                <w:highlight w:val="none"/>
              </w:rPr>
            </w:pPr>
            <w:r>
              <w:rPr>
                <w:rFonts w:hint="eastAsia" w:ascii="宋体" w:hAnsi="宋体" w:cs="宋体"/>
                <w:color w:val="auto"/>
                <w:highlight w:val="none"/>
              </w:rPr>
              <w:t>第（ ）页</w:t>
            </w:r>
          </w:p>
        </w:tc>
      </w:tr>
      <w:tr w14:paraId="291EF88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vAlign w:val="center"/>
          </w:tcPr>
          <w:p w14:paraId="68B9D52F">
            <w:pPr>
              <w:spacing w:line="240" w:lineRule="exact"/>
              <w:rPr>
                <w:rFonts w:ascii="宋体" w:hAnsi="宋体" w:cs="宋体"/>
                <w:color w:val="auto"/>
                <w:highlight w:val="none"/>
              </w:rPr>
            </w:pPr>
          </w:p>
        </w:tc>
        <w:tc>
          <w:tcPr>
            <w:tcW w:w="4221" w:type="dxa"/>
            <w:tcBorders>
              <w:top w:val="outset" w:color="111111" w:sz="6" w:space="0"/>
              <w:left w:val="outset" w:color="111111" w:sz="6" w:space="0"/>
              <w:bottom w:val="outset" w:color="111111" w:sz="6" w:space="0"/>
              <w:right w:val="outset" w:color="111111" w:sz="6" w:space="0"/>
            </w:tcBorders>
            <w:vAlign w:val="center"/>
          </w:tcPr>
          <w:p w14:paraId="7AE340ED">
            <w:pPr>
              <w:spacing w:line="240" w:lineRule="exact"/>
              <w:rPr>
                <w:rFonts w:ascii="宋体" w:hAnsi="宋体" w:cs="宋体"/>
                <w:color w:val="auto"/>
                <w:highlight w:val="none"/>
              </w:rPr>
            </w:pPr>
            <w:r>
              <w:rPr>
                <w:rFonts w:ascii="宋体" w:hAnsi="宋体" w:cs="宋体"/>
                <w:color w:val="auto"/>
                <w:highlight w:val="none"/>
              </w:rPr>
              <w:t>4</w:t>
            </w:r>
            <w:r>
              <w:rPr>
                <w:rFonts w:hint="eastAsia" w:ascii="宋体" w:hAnsi="宋体" w:cs="宋体"/>
                <w:color w:val="auto"/>
                <w:highlight w:val="none"/>
              </w:rPr>
              <w:t>、</w:t>
            </w:r>
            <w:r>
              <w:rPr>
                <w:rFonts w:hint="eastAsia" w:ascii="宋体" w:hAnsi="宋体"/>
                <w:color w:val="auto"/>
                <w:szCs w:val="21"/>
                <w:highlight w:val="none"/>
              </w:rPr>
              <w:t>投标文件的实质性内容使用中文表述、表述明确、前后不矛盾或者使用计量单位符合招标文件要求的（经评标委员会认定并允许其当场更正的笔误除外）。</w:t>
            </w:r>
          </w:p>
        </w:tc>
        <w:tc>
          <w:tcPr>
            <w:tcW w:w="1270" w:type="dxa"/>
            <w:tcBorders>
              <w:top w:val="outset" w:color="111111" w:sz="6" w:space="0"/>
              <w:left w:val="outset" w:color="111111" w:sz="6" w:space="0"/>
              <w:bottom w:val="outset" w:color="111111" w:sz="6" w:space="0"/>
              <w:right w:val="outset" w:color="111111" w:sz="6" w:space="0"/>
            </w:tcBorders>
            <w:vAlign w:val="center"/>
          </w:tcPr>
          <w:p w14:paraId="041A9D12">
            <w:pPr>
              <w:spacing w:line="240" w:lineRule="exact"/>
              <w:rPr>
                <w:rFonts w:ascii="宋体" w:hAnsi="宋体" w:cs="宋体"/>
                <w:color w:val="auto"/>
                <w:highlight w:val="none"/>
              </w:rPr>
            </w:pPr>
            <w:r>
              <w:rPr>
                <w:rFonts w:hint="eastAsia" w:ascii="宋体" w:hAnsi="宋体" w:cs="宋体"/>
                <w:color w:val="auto"/>
                <w:highlight w:val="none"/>
              </w:rPr>
              <w:t xml:space="preserve">□通过 </w:t>
            </w:r>
          </w:p>
          <w:p w14:paraId="7D8BF7F8">
            <w:pPr>
              <w:spacing w:line="240" w:lineRule="exact"/>
              <w:rPr>
                <w:rFonts w:ascii="宋体" w:hAnsi="宋体" w:cs="宋体"/>
                <w:color w:val="auto"/>
                <w:highlight w:val="none"/>
              </w:rPr>
            </w:pPr>
            <w:r>
              <w:rPr>
                <w:rFonts w:hint="eastAsia" w:ascii="宋体" w:hAnsi="宋体" w:cs="宋体"/>
                <w:color w:val="auto"/>
                <w:highlight w:val="none"/>
              </w:rPr>
              <w:t>□不通过</w:t>
            </w:r>
          </w:p>
        </w:tc>
        <w:tc>
          <w:tcPr>
            <w:tcW w:w="2461" w:type="dxa"/>
            <w:tcBorders>
              <w:top w:val="outset" w:color="111111" w:sz="6" w:space="0"/>
              <w:left w:val="outset" w:color="111111" w:sz="6" w:space="0"/>
              <w:bottom w:val="outset" w:color="111111" w:sz="6" w:space="0"/>
              <w:right w:val="single" w:color="auto" w:sz="12" w:space="0"/>
            </w:tcBorders>
            <w:vAlign w:val="center"/>
          </w:tcPr>
          <w:p w14:paraId="79C44D8B">
            <w:pPr>
              <w:spacing w:line="240" w:lineRule="exact"/>
              <w:rPr>
                <w:rFonts w:ascii="宋体" w:hAnsi="宋体" w:cs="宋体"/>
                <w:color w:val="auto"/>
                <w:highlight w:val="none"/>
              </w:rPr>
            </w:pPr>
            <w:r>
              <w:rPr>
                <w:rFonts w:hint="eastAsia" w:ascii="宋体" w:hAnsi="宋体" w:cs="宋体"/>
                <w:color w:val="auto"/>
                <w:highlight w:val="none"/>
              </w:rPr>
              <w:t>第（ ）页</w:t>
            </w:r>
          </w:p>
        </w:tc>
      </w:tr>
      <w:tr w14:paraId="1AE1257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vAlign w:val="center"/>
          </w:tcPr>
          <w:p w14:paraId="6D4B9BBC">
            <w:pPr>
              <w:spacing w:line="240" w:lineRule="exact"/>
              <w:rPr>
                <w:rFonts w:ascii="宋体" w:hAnsi="宋体" w:cs="宋体"/>
                <w:color w:val="auto"/>
                <w:highlight w:val="none"/>
              </w:rPr>
            </w:pPr>
          </w:p>
        </w:tc>
        <w:tc>
          <w:tcPr>
            <w:tcW w:w="4221" w:type="dxa"/>
            <w:tcBorders>
              <w:top w:val="outset" w:color="111111" w:sz="6" w:space="0"/>
              <w:left w:val="outset" w:color="111111" w:sz="6" w:space="0"/>
              <w:bottom w:val="outset" w:color="111111" w:sz="6" w:space="0"/>
              <w:right w:val="outset" w:color="111111" w:sz="6" w:space="0"/>
            </w:tcBorders>
            <w:vAlign w:val="center"/>
          </w:tcPr>
          <w:p w14:paraId="27E3A604">
            <w:pPr>
              <w:spacing w:line="240" w:lineRule="exact"/>
              <w:rPr>
                <w:rFonts w:ascii="宋体" w:hAnsi="宋体" w:cs="宋体"/>
                <w:color w:val="auto"/>
                <w:highlight w:val="none"/>
              </w:rPr>
            </w:pPr>
            <w:r>
              <w:rPr>
                <w:rFonts w:ascii="宋体" w:hAnsi="宋体" w:cs="宋体"/>
                <w:color w:val="auto"/>
                <w:highlight w:val="none"/>
              </w:rPr>
              <w:t>5</w:t>
            </w:r>
            <w:r>
              <w:rPr>
                <w:rFonts w:hint="eastAsia" w:ascii="宋体" w:hAnsi="宋体" w:cs="宋体"/>
                <w:color w:val="auto"/>
                <w:highlight w:val="none"/>
              </w:rPr>
              <w:t>、</w:t>
            </w:r>
            <w:r>
              <w:rPr>
                <w:rFonts w:hint="eastAsia" w:ascii="宋体" w:hAnsi="宋体"/>
                <w:color w:val="auto"/>
                <w:szCs w:val="21"/>
                <w:highlight w:val="none"/>
              </w:rPr>
              <w:t>投标有效期满足招标文件要求。</w:t>
            </w:r>
          </w:p>
        </w:tc>
        <w:tc>
          <w:tcPr>
            <w:tcW w:w="1270" w:type="dxa"/>
            <w:tcBorders>
              <w:top w:val="outset" w:color="111111" w:sz="6" w:space="0"/>
              <w:left w:val="outset" w:color="111111" w:sz="6" w:space="0"/>
              <w:bottom w:val="outset" w:color="111111" w:sz="6" w:space="0"/>
              <w:right w:val="outset" w:color="111111" w:sz="6" w:space="0"/>
            </w:tcBorders>
            <w:vAlign w:val="center"/>
          </w:tcPr>
          <w:p w14:paraId="787AD96A">
            <w:pPr>
              <w:spacing w:line="240" w:lineRule="exact"/>
              <w:rPr>
                <w:rFonts w:ascii="宋体" w:hAnsi="宋体" w:cs="宋体"/>
                <w:color w:val="auto"/>
                <w:highlight w:val="none"/>
              </w:rPr>
            </w:pPr>
            <w:r>
              <w:rPr>
                <w:rFonts w:hint="eastAsia" w:ascii="宋体" w:hAnsi="宋体" w:cs="宋体"/>
                <w:color w:val="auto"/>
                <w:highlight w:val="none"/>
              </w:rPr>
              <w:t xml:space="preserve">□通过 </w:t>
            </w:r>
          </w:p>
          <w:p w14:paraId="4589947C">
            <w:pPr>
              <w:spacing w:line="240" w:lineRule="exact"/>
              <w:rPr>
                <w:rFonts w:ascii="宋体" w:hAnsi="宋体" w:cs="宋体"/>
                <w:color w:val="auto"/>
                <w:highlight w:val="none"/>
              </w:rPr>
            </w:pPr>
            <w:r>
              <w:rPr>
                <w:rFonts w:hint="eastAsia" w:ascii="宋体" w:hAnsi="宋体" w:cs="宋体"/>
                <w:color w:val="auto"/>
                <w:highlight w:val="none"/>
              </w:rPr>
              <w:t>□不通过</w:t>
            </w:r>
          </w:p>
        </w:tc>
        <w:tc>
          <w:tcPr>
            <w:tcW w:w="2461" w:type="dxa"/>
            <w:tcBorders>
              <w:top w:val="outset" w:color="111111" w:sz="6" w:space="0"/>
              <w:left w:val="outset" w:color="111111" w:sz="6" w:space="0"/>
              <w:bottom w:val="outset" w:color="111111" w:sz="6" w:space="0"/>
              <w:right w:val="single" w:color="auto" w:sz="12" w:space="0"/>
            </w:tcBorders>
            <w:vAlign w:val="center"/>
          </w:tcPr>
          <w:p w14:paraId="6C392B3A">
            <w:pPr>
              <w:spacing w:line="240" w:lineRule="exact"/>
              <w:rPr>
                <w:rFonts w:ascii="宋体" w:hAnsi="宋体" w:cs="宋体"/>
                <w:color w:val="auto"/>
                <w:highlight w:val="none"/>
              </w:rPr>
            </w:pPr>
            <w:r>
              <w:rPr>
                <w:rFonts w:hint="eastAsia" w:ascii="宋体" w:hAnsi="宋体" w:cs="宋体"/>
                <w:color w:val="auto"/>
                <w:highlight w:val="none"/>
              </w:rPr>
              <w:t>第（ ）页</w:t>
            </w:r>
          </w:p>
        </w:tc>
      </w:tr>
      <w:tr w14:paraId="449FFC3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vAlign w:val="center"/>
          </w:tcPr>
          <w:p w14:paraId="2C832400">
            <w:pPr>
              <w:spacing w:line="240" w:lineRule="exact"/>
              <w:rPr>
                <w:rFonts w:ascii="宋体" w:hAnsi="宋体" w:cs="宋体"/>
                <w:color w:val="auto"/>
                <w:highlight w:val="none"/>
              </w:rPr>
            </w:pPr>
          </w:p>
        </w:tc>
        <w:tc>
          <w:tcPr>
            <w:tcW w:w="4221" w:type="dxa"/>
            <w:tcBorders>
              <w:top w:val="outset" w:color="111111" w:sz="6" w:space="0"/>
              <w:left w:val="outset" w:color="111111" w:sz="6" w:space="0"/>
              <w:bottom w:val="outset" w:color="111111" w:sz="6" w:space="0"/>
              <w:right w:val="outset" w:color="111111" w:sz="6" w:space="0"/>
            </w:tcBorders>
            <w:vAlign w:val="center"/>
          </w:tcPr>
          <w:p w14:paraId="2E1CF036">
            <w:pPr>
              <w:spacing w:line="240" w:lineRule="exact"/>
              <w:rPr>
                <w:rFonts w:ascii="宋体" w:hAnsi="宋体" w:cs="宋体"/>
                <w:color w:val="auto"/>
                <w:highlight w:val="none"/>
              </w:rPr>
            </w:pPr>
            <w:r>
              <w:rPr>
                <w:rFonts w:ascii="宋体" w:hAnsi="宋体" w:cs="宋体"/>
                <w:color w:val="auto"/>
                <w:highlight w:val="none"/>
              </w:rPr>
              <w:t>6</w:t>
            </w:r>
            <w:r>
              <w:rPr>
                <w:rFonts w:hint="eastAsia" w:ascii="宋体" w:hAnsi="宋体" w:cs="宋体"/>
                <w:color w:val="auto"/>
                <w:highlight w:val="none"/>
              </w:rPr>
              <w:t>、</w:t>
            </w:r>
            <w:r>
              <w:rPr>
                <w:rFonts w:hint="eastAsia" w:ascii="宋体" w:hAnsi="宋体" w:cs="宋体"/>
                <w:color w:val="auto"/>
                <w:szCs w:val="21"/>
                <w:highlight w:val="none"/>
              </w:rPr>
              <w:t>带“★”的条款满足招标文件要求、响应招标文件要求，投标文件无采购方不能接受的附加条件的</w:t>
            </w:r>
          </w:p>
        </w:tc>
        <w:tc>
          <w:tcPr>
            <w:tcW w:w="1270" w:type="dxa"/>
            <w:tcBorders>
              <w:top w:val="outset" w:color="111111" w:sz="6" w:space="0"/>
              <w:left w:val="outset" w:color="111111" w:sz="6" w:space="0"/>
              <w:bottom w:val="outset" w:color="111111" w:sz="6" w:space="0"/>
              <w:right w:val="outset" w:color="111111" w:sz="6" w:space="0"/>
            </w:tcBorders>
            <w:vAlign w:val="center"/>
          </w:tcPr>
          <w:p w14:paraId="3E7F12EA">
            <w:pPr>
              <w:spacing w:line="240" w:lineRule="exact"/>
              <w:rPr>
                <w:rFonts w:ascii="宋体" w:hAnsi="宋体" w:cs="宋体"/>
                <w:color w:val="auto"/>
                <w:highlight w:val="none"/>
              </w:rPr>
            </w:pPr>
            <w:r>
              <w:rPr>
                <w:rFonts w:hint="eastAsia" w:ascii="宋体" w:hAnsi="宋体" w:cs="宋体"/>
                <w:color w:val="auto"/>
                <w:highlight w:val="none"/>
              </w:rPr>
              <w:t xml:space="preserve">□通过 </w:t>
            </w:r>
          </w:p>
          <w:p w14:paraId="05C3E35B">
            <w:pPr>
              <w:spacing w:line="240" w:lineRule="exact"/>
              <w:rPr>
                <w:rFonts w:ascii="宋体" w:hAnsi="宋体" w:cs="宋体"/>
                <w:color w:val="auto"/>
                <w:highlight w:val="none"/>
              </w:rPr>
            </w:pPr>
            <w:r>
              <w:rPr>
                <w:rFonts w:hint="eastAsia" w:ascii="宋体" w:hAnsi="宋体" w:cs="宋体"/>
                <w:color w:val="auto"/>
                <w:highlight w:val="none"/>
              </w:rPr>
              <w:t>□不通过</w:t>
            </w:r>
          </w:p>
        </w:tc>
        <w:tc>
          <w:tcPr>
            <w:tcW w:w="2461" w:type="dxa"/>
            <w:tcBorders>
              <w:top w:val="outset" w:color="111111" w:sz="6" w:space="0"/>
              <w:left w:val="outset" w:color="111111" w:sz="6" w:space="0"/>
              <w:bottom w:val="outset" w:color="111111" w:sz="6" w:space="0"/>
              <w:right w:val="single" w:color="auto" w:sz="12" w:space="0"/>
            </w:tcBorders>
            <w:vAlign w:val="center"/>
          </w:tcPr>
          <w:p w14:paraId="13C6AB76">
            <w:pPr>
              <w:spacing w:line="240" w:lineRule="exact"/>
              <w:rPr>
                <w:rFonts w:ascii="宋体" w:hAnsi="宋体" w:cs="宋体"/>
                <w:color w:val="auto"/>
                <w:highlight w:val="none"/>
              </w:rPr>
            </w:pPr>
            <w:r>
              <w:rPr>
                <w:rFonts w:hint="eastAsia" w:ascii="宋体" w:hAnsi="宋体" w:cs="宋体"/>
                <w:color w:val="auto"/>
                <w:highlight w:val="none"/>
              </w:rPr>
              <w:t>第（ ）页</w:t>
            </w:r>
          </w:p>
        </w:tc>
      </w:tr>
      <w:tr w14:paraId="5093700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tcBorders>
              <w:left w:val="single" w:color="auto" w:sz="12" w:space="0"/>
              <w:right w:val="outset" w:color="111111" w:sz="6" w:space="0"/>
            </w:tcBorders>
            <w:vAlign w:val="center"/>
          </w:tcPr>
          <w:p w14:paraId="6830AA23">
            <w:pPr>
              <w:spacing w:line="240" w:lineRule="exact"/>
              <w:rPr>
                <w:rFonts w:ascii="宋体" w:hAnsi="宋体" w:cs="宋体"/>
                <w:color w:val="auto"/>
                <w:highlight w:val="none"/>
              </w:rPr>
            </w:pPr>
          </w:p>
        </w:tc>
        <w:tc>
          <w:tcPr>
            <w:tcW w:w="4221" w:type="dxa"/>
            <w:tcBorders>
              <w:top w:val="outset" w:color="111111" w:sz="6" w:space="0"/>
              <w:left w:val="outset" w:color="111111" w:sz="6" w:space="0"/>
              <w:bottom w:val="outset" w:color="111111" w:sz="6" w:space="0"/>
              <w:right w:val="outset" w:color="111111" w:sz="6" w:space="0"/>
            </w:tcBorders>
            <w:vAlign w:val="center"/>
          </w:tcPr>
          <w:p w14:paraId="23D80BAC">
            <w:pPr>
              <w:spacing w:line="240" w:lineRule="exact"/>
              <w:rPr>
                <w:rFonts w:ascii="宋体" w:hAnsi="宋体" w:cs="宋体"/>
                <w:color w:val="auto"/>
                <w:highlight w:val="none"/>
              </w:rPr>
            </w:pPr>
            <w:r>
              <w:rPr>
                <w:rFonts w:hint="eastAsia" w:ascii="宋体" w:hAnsi="宋体" w:cs="宋体"/>
                <w:color w:val="auto"/>
                <w:highlight w:val="none"/>
              </w:rPr>
              <w:t>7、</w:t>
            </w:r>
            <w:r>
              <w:rPr>
                <w:rFonts w:hint="eastAsia" w:ascii="宋体" w:hAnsi="宋体" w:cs="宋体"/>
                <w:color w:val="auto"/>
                <w:szCs w:val="21"/>
                <w:highlight w:val="none"/>
              </w:rPr>
              <w:t>与其他参加本次供应商的投标文件（技术文件）的文字表述内容差错相同3处以下</w:t>
            </w:r>
          </w:p>
        </w:tc>
        <w:tc>
          <w:tcPr>
            <w:tcW w:w="1270" w:type="dxa"/>
            <w:tcBorders>
              <w:top w:val="outset" w:color="111111" w:sz="6" w:space="0"/>
              <w:left w:val="outset" w:color="111111" w:sz="6" w:space="0"/>
              <w:bottom w:val="outset" w:color="111111" w:sz="6" w:space="0"/>
              <w:right w:val="outset" w:color="111111" w:sz="6" w:space="0"/>
            </w:tcBorders>
            <w:vAlign w:val="center"/>
          </w:tcPr>
          <w:p w14:paraId="578444B9">
            <w:pPr>
              <w:spacing w:line="240" w:lineRule="exact"/>
              <w:rPr>
                <w:rFonts w:ascii="宋体" w:hAnsi="宋体" w:cs="宋体"/>
                <w:color w:val="auto"/>
                <w:highlight w:val="none"/>
              </w:rPr>
            </w:pPr>
          </w:p>
        </w:tc>
        <w:tc>
          <w:tcPr>
            <w:tcW w:w="2461" w:type="dxa"/>
            <w:tcBorders>
              <w:top w:val="outset" w:color="111111" w:sz="6" w:space="0"/>
              <w:left w:val="outset" w:color="111111" w:sz="6" w:space="0"/>
              <w:bottom w:val="outset" w:color="111111" w:sz="6" w:space="0"/>
              <w:right w:val="single" w:color="auto" w:sz="12" w:space="0"/>
            </w:tcBorders>
            <w:vAlign w:val="center"/>
          </w:tcPr>
          <w:p w14:paraId="5585DC2C">
            <w:pPr>
              <w:spacing w:line="240" w:lineRule="exact"/>
              <w:rPr>
                <w:rFonts w:ascii="宋体" w:hAnsi="宋体" w:cs="宋体"/>
                <w:color w:val="auto"/>
                <w:highlight w:val="none"/>
              </w:rPr>
            </w:pPr>
          </w:p>
        </w:tc>
      </w:tr>
      <w:tr w14:paraId="2A26CA5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tcBorders>
              <w:left w:val="single" w:color="auto" w:sz="12" w:space="0"/>
              <w:right w:val="outset" w:color="111111" w:sz="6" w:space="0"/>
            </w:tcBorders>
            <w:vAlign w:val="center"/>
          </w:tcPr>
          <w:p w14:paraId="106BC69F">
            <w:pPr>
              <w:spacing w:line="240" w:lineRule="exact"/>
              <w:rPr>
                <w:rFonts w:ascii="宋体" w:hAnsi="宋体" w:cs="宋体"/>
                <w:color w:val="auto"/>
                <w:highlight w:val="none"/>
              </w:rPr>
            </w:pPr>
          </w:p>
        </w:tc>
        <w:tc>
          <w:tcPr>
            <w:tcW w:w="4221" w:type="dxa"/>
            <w:tcBorders>
              <w:top w:val="outset" w:color="111111" w:sz="6" w:space="0"/>
              <w:left w:val="outset" w:color="111111" w:sz="6" w:space="0"/>
              <w:bottom w:val="outset" w:color="111111" w:sz="6" w:space="0"/>
              <w:right w:val="outset" w:color="111111" w:sz="6" w:space="0"/>
            </w:tcBorders>
            <w:vAlign w:val="center"/>
          </w:tcPr>
          <w:p w14:paraId="33497BC9">
            <w:pPr>
              <w:spacing w:line="240" w:lineRule="exact"/>
              <w:rPr>
                <w:rFonts w:ascii="宋体" w:hAnsi="宋体" w:cs="宋体"/>
                <w:color w:val="auto"/>
                <w:highlight w:val="none"/>
              </w:rPr>
            </w:pPr>
            <w:r>
              <w:rPr>
                <w:rFonts w:hint="eastAsia" w:ascii="宋体" w:hAnsi="宋体" w:cs="宋体"/>
                <w:color w:val="auto"/>
                <w:highlight w:val="none"/>
              </w:rPr>
              <w:t>8、</w:t>
            </w:r>
            <w:r>
              <w:rPr>
                <w:rFonts w:hint="eastAsia" w:ascii="宋体" w:hAnsi="宋体"/>
                <w:color w:val="auto"/>
                <w:szCs w:val="21"/>
                <w:highlight w:val="none"/>
              </w:rPr>
              <w:t>投标文件的关键内容字迹清晰、易辨认的，或者投标文件中经修正的内容字迹易辩认或者修改处按规定签署、盖章。</w:t>
            </w:r>
          </w:p>
        </w:tc>
        <w:tc>
          <w:tcPr>
            <w:tcW w:w="1270" w:type="dxa"/>
            <w:tcBorders>
              <w:top w:val="outset" w:color="111111" w:sz="6" w:space="0"/>
              <w:left w:val="outset" w:color="111111" w:sz="6" w:space="0"/>
              <w:bottom w:val="outset" w:color="111111" w:sz="6" w:space="0"/>
              <w:right w:val="outset" w:color="111111" w:sz="6" w:space="0"/>
            </w:tcBorders>
            <w:vAlign w:val="center"/>
          </w:tcPr>
          <w:p w14:paraId="2568D822">
            <w:pPr>
              <w:spacing w:line="240" w:lineRule="exact"/>
              <w:rPr>
                <w:rFonts w:ascii="宋体" w:hAnsi="宋体" w:cs="宋体"/>
                <w:color w:val="auto"/>
                <w:highlight w:val="none"/>
              </w:rPr>
            </w:pPr>
          </w:p>
        </w:tc>
        <w:tc>
          <w:tcPr>
            <w:tcW w:w="2461" w:type="dxa"/>
            <w:tcBorders>
              <w:top w:val="outset" w:color="111111" w:sz="6" w:space="0"/>
              <w:left w:val="outset" w:color="111111" w:sz="6" w:space="0"/>
              <w:bottom w:val="outset" w:color="111111" w:sz="6" w:space="0"/>
              <w:right w:val="single" w:color="auto" w:sz="12" w:space="0"/>
            </w:tcBorders>
            <w:vAlign w:val="center"/>
          </w:tcPr>
          <w:p w14:paraId="05A23452">
            <w:pPr>
              <w:spacing w:line="240" w:lineRule="exact"/>
              <w:rPr>
                <w:rFonts w:ascii="宋体" w:hAnsi="宋体" w:cs="宋体"/>
                <w:color w:val="auto"/>
                <w:highlight w:val="none"/>
              </w:rPr>
            </w:pPr>
          </w:p>
        </w:tc>
      </w:tr>
      <w:tr w14:paraId="3D012D3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tcBorders>
              <w:left w:val="single" w:color="auto" w:sz="12" w:space="0"/>
              <w:bottom w:val="outset" w:color="111111" w:sz="6" w:space="0"/>
              <w:right w:val="outset" w:color="111111" w:sz="6" w:space="0"/>
            </w:tcBorders>
            <w:vAlign w:val="center"/>
          </w:tcPr>
          <w:p w14:paraId="67C0A97F">
            <w:pPr>
              <w:spacing w:line="240" w:lineRule="exact"/>
              <w:rPr>
                <w:rFonts w:ascii="宋体" w:hAnsi="宋体" w:cs="宋体"/>
                <w:color w:val="auto"/>
                <w:highlight w:val="none"/>
              </w:rPr>
            </w:pPr>
          </w:p>
        </w:tc>
        <w:tc>
          <w:tcPr>
            <w:tcW w:w="4221" w:type="dxa"/>
            <w:tcBorders>
              <w:top w:val="outset" w:color="111111" w:sz="6" w:space="0"/>
              <w:left w:val="outset" w:color="111111" w:sz="6" w:space="0"/>
              <w:bottom w:val="outset" w:color="111111" w:sz="6" w:space="0"/>
              <w:right w:val="outset" w:color="111111" w:sz="6" w:space="0"/>
            </w:tcBorders>
            <w:vAlign w:val="center"/>
          </w:tcPr>
          <w:p w14:paraId="7329B595">
            <w:pPr>
              <w:spacing w:line="240" w:lineRule="exact"/>
              <w:rPr>
                <w:rFonts w:ascii="宋体" w:hAnsi="宋体" w:cs="宋体"/>
                <w:color w:val="auto"/>
                <w:highlight w:val="none"/>
              </w:rPr>
            </w:pPr>
            <w:r>
              <w:rPr>
                <w:rFonts w:hint="eastAsia" w:ascii="宋体" w:hAnsi="宋体" w:cs="宋体"/>
                <w:color w:val="auto"/>
                <w:highlight w:val="none"/>
              </w:rPr>
              <w:t>9、</w:t>
            </w:r>
            <w:r>
              <w:rPr>
                <w:rFonts w:hint="eastAsia" w:ascii="宋体" w:hAnsi="宋体"/>
                <w:color w:val="auto"/>
                <w:szCs w:val="21"/>
                <w:highlight w:val="none"/>
              </w:rPr>
              <w:t>未发现法律、法规和招标文件规定的其他无效情形。</w:t>
            </w:r>
          </w:p>
        </w:tc>
        <w:tc>
          <w:tcPr>
            <w:tcW w:w="1270" w:type="dxa"/>
            <w:tcBorders>
              <w:top w:val="outset" w:color="111111" w:sz="6" w:space="0"/>
              <w:left w:val="outset" w:color="111111" w:sz="6" w:space="0"/>
              <w:bottom w:val="outset" w:color="111111" w:sz="6" w:space="0"/>
              <w:right w:val="outset" w:color="111111" w:sz="6" w:space="0"/>
            </w:tcBorders>
            <w:vAlign w:val="center"/>
          </w:tcPr>
          <w:p w14:paraId="17F21644">
            <w:pPr>
              <w:spacing w:line="240" w:lineRule="exact"/>
              <w:rPr>
                <w:rFonts w:ascii="宋体" w:hAnsi="宋体" w:cs="宋体"/>
                <w:color w:val="auto"/>
                <w:highlight w:val="none"/>
              </w:rPr>
            </w:pPr>
          </w:p>
        </w:tc>
        <w:tc>
          <w:tcPr>
            <w:tcW w:w="2461" w:type="dxa"/>
            <w:tcBorders>
              <w:top w:val="outset" w:color="111111" w:sz="6" w:space="0"/>
              <w:left w:val="outset" w:color="111111" w:sz="6" w:space="0"/>
              <w:bottom w:val="outset" w:color="111111" w:sz="6" w:space="0"/>
              <w:right w:val="single" w:color="auto" w:sz="12" w:space="0"/>
            </w:tcBorders>
            <w:vAlign w:val="center"/>
          </w:tcPr>
          <w:p w14:paraId="22434C3F">
            <w:pPr>
              <w:spacing w:line="240" w:lineRule="exact"/>
              <w:rPr>
                <w:rFonts w:ascii="宋体" w:hAnsi="宋体" w:cs="宋体"/>
                <w:color w:val="auto"/>
                <w:highlight w:val="none"/>
              </w:rPr>
            </w:pPr>
          </w:p>
        </w:tc>
      </w:tr>
    </w:tbl>
    <w:p w14:paraId="7594BE4C">
      <w:pPr>
        <w:adjustRightInd w:val="0"/>
        <w:snapToGrid w:val="0"/>
        <w:spacing w:line="440" w:lineRule="exact"/>
        <w:rPr>
          <w:rFonts w:ascii="宋体" w:hAnsi="宋体"/>
          <w:b/>
          <w:color w:val="auto"/>
          <w:szCs w:val="21"/>
          <w:highlight w:val="none"/>
        </w:rPr>
      </w:pPr>
      <w:r>
        <w:rPr>
          <w:rFonts w:hint="eastAsia" w:ascii="宋体" w:hAnsi="宋体"/>
          <w:b/>
          <w:color w:val="auto"/>
          <w:szCs w:val="21"/>
          <w:highlight w:val="none"/>
        </w:rPr>
        <w:t xml:space="preserve">备注：投标人自查表将作为投标投标人有效性审查的重要内容之一，投标投标人必须严格按照其内容及序列要求在投标文件中对应如实提供。 </w:t>
      </w:r>
    </w:p>
    <w:p w14:paraId="5D787E47">
      <w:pPr>
        <w:spacing w:line="360" w:lineRule="auto"/>
        <w:rPr>
          <w:rFonts w:ascii="宋体" w:hAnsi="宋体"/>
          <w:color w:val="auto"/>
          <w:highlight w:val="none"/>
        </w:rPr>
      </w:pPr>
    </w:p>
    <w:p w14:paraId="27CD6512">
      <w:pPr>
        <w:pStyle w:val="36"/>
        <w:rPr>
          <w:rFonts w:hAnsi="宋体"/>
          <w:color w:val="auto"/>
          <w:highlight w:val="none"/>
        </w:rPr>
      </w:pPr>
    </w:p>
    <w:p w14:paraId="09D23666">
      <w:pPr>
        <w:pStyle w:val="36"/>
        <w:rPr>
          <w:rFonts w:hAnsi="宋体"/>
          <w:color w:val="auto"/>
          <w:highlight w:val="none"/>
        </w:rPr>
      </w:pPr>
    </w:p>
    <w:p w14:paraId="230336F2">
      <w:pPr>
        <w:pStyle w:val="36"/>
        <w:rPr>
          <w:rFonts w:hAnsi="宋体"/>
          <w:color w:val="auto"/>
          <w:highlight w:val="none"/>
        </w:rPr>
      </w:pPr>
    </w:p>
    <w:p w14:paraId="0870790B">
      <w:pPr>
        <w:spacing w:line="360" w:lineRule="auto"/>
        <w:rPr>
          <w:rFonts w:ascii="宋体" w:hAnsi="宋体"/>
          <w:color w:val="auto"/>
          <w:highlight w:val="none"/>
        </w:rPr>
      </w:pPr>
    </w:p>
    <w:p w14:paraId="1BB8A553">
      <w:pPr>
        <w:spacing w:line="360" w:lineRule="auto"/>
        <w:rPr>
          <w:rFonts w:ascii="宋体" w:hAnsi="宋体"/>
          <w:color w:val="auto"/>
          <w:highlight w:val="none"/>
        </w:rPr>
      </w:pPr>
    </w:p>
    <w:p w14:paraId="4DE19575">
      <w:pPr>
        <w:spacing w:line="360" w:lineRule="auto"/>
        <w:rPr>
          <w:rFonts w:ascii="宋体" w:hAnsi="宋体"/>
          <w:color w:val="auto"/>
          <w:highlight w:val="none"/>
        </w:rPr>
      </w:pPr>
      <w:r>
        <w:rPr>
          <w:rFonts w:hint="eastAsia" w:ascii="宋体" w:hAnsi="宋体"/>
          <w:color w:val="auto"/>
          <w:highlight w:val="none"/>
        </w:rPr>
        <w:t>附件</w:t>
      </w:r>
      <w:r>
        <w:rPr>
          <w:rFonts w:hint="eastAsia" w:ascii="宋体" w:hAnsi="宋体"/>
          <w:color w:val="auto"/>
          <w:highlight w:val="none"/>
          <w:lang w:val="en-US" w:eastAsia="zh-CN"/>
        </w:rPr>
        <w:t>10</w:t>
      </w:r>
      <w:r>
        <w:rPr>
          <w:rFonts w:hint="eastAsia" w:ascii="宋体" w:hAnsi="宋体"/>
          <w:color w:val="auto"/>
          <w:highlight w:val="none"/>
        </w:rPr>
        <w:t xml:space="preserve">： </w:t>
      </w:r>
    </w:p>
    <w:p w14:paraId="44CB2274">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技术及服务条款偏离表</w:t>
      </w:r>
    </w:p>
    <w:p w14:paraId="238C2F18">
      <w:pPr>
        <w:spacing w:before="156" w:beforeLines="50" w:after="156" w:afterLines="50" w:line="360" w:lineRule="auto"/>
        <w:rPr>
          <w:rFonts w:ascii="宋体" w:hAnsi="宋体"/>
          <w:color w:val="auto"/>
          <w:szCs w:val="21"/>
          <w:highlight w:val="none"/>
        </w:rPr>
      </w:pPr>
      <w:r>
        <w:rPr>
          <w:rFonts w:hint="eastAsia" w:ascii="宋体" w:hAnsi="宋体"/>
          <w:color w:val="auto"/>
          <w:szCs w:val="21"/>
          <w:highlight w:val="none"/>
        </w:rPr>
        <w:t>投标人全称：</w:t>
      </w:r>
      <w:r>
        <w:rPr>
          <w:rFonts w:hint="eastAsia" w:ascii="宋体" w:hAnsi="宋体"/>
          <w:color w:val="auto"/>
          <w:szCs w:val="21"/>
          <w:highlight w:val="none"/>
          <w:u w:val="single"/>
        </w:rPr>
        <w:t xml:space="preserve">                           </w:t>
      </w:r>
      <w:r>
        <w:rPr>
          <w:rFonts w:hint="eastAsia" w:ascii="宋体" w:hAnsi="宋体"/>
          <w:color w:val="auto"/>
          <w:szCs w:val="21"/>
          <w:highlight w:val="none"/>
        </w:rPr>
        <w:t>（公章）</w:t>
      </w:r>
    </w:p>
    <w:p w14:paraId="28AEE214">
      <w:pPr>
        <w:spacing w:before="156" w:beforeLines="50" w:after="312" w:afterLines="100"/>
        <w:rPr>
          <w:rFonts w:hint="eastAsia" w:ascii="宋体" w:hAnsi="宋体" w:eastAsia="宋体"/>
          <w:b/>
          <w:bCs/>
          <w:color w:val="auto"/>
          <w:spacing w:val="20"/>
          <w:szCs w:val="21"/>
          <w:highlight w:val="none"/>
          <w:u w:val="single"/>
          <w:lang w:eastAsia="zh-CN"/>
        </w:rPr>
      </w:pPr>
      <w:r>
        <w:rPr>
          <w:rFonts w:hint="eastAsia" w:ascii="宋体" w:hAnsi="宋体"/>
          <w:color w:val="auto"/>
          <w:szCs w:val="21"/>
          <w:highlight w:val="none"/>
        </w:rPr>
        <w:t>项目编号：</w:t>
      </w:r>
      <w:r>
        <w:rPr>
          <w:rFonts w:hint="eastAsia" w:ascii="宋体" w:hAnsi="宋体"/>
          <w:b/>
          <w:bCs/>
          <w:color w:val="auto"/>
          <w:spacing w:val="20"/>
          <w:szCs w:val="21"/>
          <w:highlight w:val="none"/>
          <w:u w:val="single"/>
          <w:lang w:eastAsia="zh-CN"/>
        </w:rPr>
        <w:t>NBDW-20251195</w:t>
      </w:r>
    </w:p>
    <w:tbl>
      <w:tblPr>
        <w:tblStyle w:val="2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14:paraId="108EB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vAlign w:val="center"/>
          </w:tcPr>
          <w:p w14:paraId="41B2BEBE">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690" w:type="dxa"/>
            <w:vAlign w:val="center"/>
          </w:tcPr>
          <w:p w14:paraId="31C2784E">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名称</w:t>
            </w:r>
          </w:p>
        </w:tc>
        <w:tc>
          <w:tcPr>
            <w:tcW w:w="3402" w:type="dxa"/>
            <w:vAlign w:val="center"/>
          </w:tcPr>
          <w:p w14:paraId="48A91EC9">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招标文件技术、服务要求</w:t>
            </w:r>
          </w:p>
        </w:tc>
        <w:tc>
          <w:tcPr>
            <w:tcW w:w="3188" w:type="dxa"/>
            <w:vAlign w:val="center"/>
          </w:tcPr>
          <w:p w14:paraId="2237C638">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投标文件响应情况</w:t>
            </w:r>
          </w:p>
        </w:tc>
      </w:tr>
      <w:tr w14:paraId="173E2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5AA27F7F">
            <w:pPr>
              <w:jc w:val="center"/>
              <w:rPr>
                <w:rFonts w:ascii="宋体" w:hAnsi="宋体"/>
                <w:color w:val="auto"/>
                <w:szCs w:val="21"/>
                <w:highlight w:val="none"/>
              </w:rPr>
            </w:pPr>
          </w:p>
        </w:tc>
        <w:tc>
          <w:tcPr>
            <w:tcW w:w="1690" w:type="dxa"/>
            <w:vAlign w:val="center"/>
          </w:tcPr>
          <w:p w14:paraId="29E00F98">
            <w:pPr>
              <w:jc w:val="center"/>
              <w:rPr>
                <w:rFonts w:ascii="宋体" w:hAnsi="宋体"/>
                <w:color w:val="auto"/>
                <w:sz w:val="18"/>
                <w:szCs w:val="18"/>
                <w:highlight w:val="none"/>
              </w:rPr>
            </w:pPr>
          </w:p>
        </w:tc>
        <w:tc>
          <w:tcPr>
            <w:tcW w:w="3402" w:type="dxa"/>
            <w:vAlign w:val="center"/>
          </w:tcPr>
          <w:p w14:paraId="735FFF87">
            <w:pPr>
              <w:rPr>
                <w:rFonts w:ascii="宋体" w:hAnsi="宋体"/>
                <w:color w:val="auto"/>
                <w:sz w:val="18"/>
                <w:szCs w:val="18"/>
                <w:highlight w:val="none"/>
              </w:rPr>
            </w:pPr>
          </w:p>
        </w:tc>
        <w:tc>
          <w:tcPr>
            <w:tcW w:w="3188" w:type="dxa"/>
            <w:vAlign w:val="center"/>
          </w:tcPr>
          <w:p w14:paraId="7576AB0C">
            <w:pPr>
              <w:rPr>
                <w:rFonts w:ascii="宋体" w:hAnsi="宋体"/>
                <w:color w:val="auto"/>
                <w:sz w:val="18"/>
                <w:szCs w:val="18"/>
                <w:highlight w:val="none"/>
              </w:rPr>
            </w:pPr>
          </w:p>
        </w:tc>
      </w:tr>
      <w:tr w14:paraId="4EF75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35236275">
            <w:pPr>
              <w:jc w:val="center"/>
              <w:rPr>
                <w:rFonts w:ascii="宋体" w:hAnsi="宋体"/>
                <w:color w:val="auto"/>
                <w:szCs w:val="21"/>
                <w:highlight w:val="none"/>
              </w:rPr>
            </w:pPr>
          </w:p>
        </w:tc>
        <w:tc>
          <w:tcPr>
            <w:tcW w:w="1690" w:type="dxa"/>
            <w:vAlign w:val="center"/>
          </w:tcPr>
          <w:p w14:paraId="5F7B9337">
            <w:pPr>
              <w:jc w:val="center"/>
              <w:rPr>
                <w:rFonts w:ascii="宋体" w:hAnsi="宋体"/>
                <w:color w:val="auto"/>
                <w:sz w:val="18"/>
                <w:szCs w:val="18"/>
                <w:highlight w:val="none"/>
              </w:rPr>
            </w:pPr>
          </w:p>
        </w:tc>
        <w:tc>
          <w:tcPr>
            <w:tcW w:w="3402" w:type="dxa"/>
            <w:vAlign w:val="center"/>
          </w:tcPr>
          <w:p w14:paraId="0D7BE45C">
            <w:pPr>
              <w:rPr>
                <w:rFonts w:ascii="宋体" w:hAnsi="宋体"/>
                <w:color w:val="auto"/>
                <w:sz w:val="18"/>
                <w:szCs w:val="18"/>
                <w:highlight w:val="none"/>
              </w:rPr>
            </w:pPr>
          </w:p>
        </w:tc>
        <w:tc>
          <w:tcPr>
            <w:tcW w:w="3188" w:type="dxa"/>
            <w:vAlign w:val="center"/>
          </w:tcPr>
          <w:p w14:paraId="7E3461ED">
            <w:pPr>
              <w:rPr>
                <w:rFonts w:ascii="宋体" w:hAnsi="宋体"/>
                <w:color w:val="auto"/>
                <w:sz w:val="18"/>
                <w:szCs w:val="18"/>
                <w:highlight w:val="none"/>
              </w:rPr>
            </w:pPr>
          </w:p>
        </w:tc>
      </w:tr>
      <w:tr w14:paraId="4D1D9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5FD2A37B">
            <w:pPr>
              <w:jc w:val="center"/>
              <w:rPr>
                <w:rFonts w:ascii="宋体" w:hAnsi="宋体"/>
                <w:color w:val="auto"/>
                <w:szCs w:val="21"/>
                <w:highlight w:val="none"/>
              </w:rPr>
            </w:pPr>
          </w:p>
        </w:tc>
        <w:tc>
          <w:tcPr>
            <w:tcW w:w="1690" w:type="dxa"/>
            <w:vAlign w:val="center"/>
          </w:tcPr>
          <w:p w14:paraId="2CA78B38">
            <w:pPr>
              <w:jc w:val="center"/>
              <w:rPr>
                <w:rFonts w:ascii="宋体" w:hAnsi="宋体"/>
                <w:color w:val="auto"/>
                <w:sz w:val="18"/>
                <w:szCs w:val="18"/>
                <w:highlight w:val="none"/>
              </w:rPr>
            </w:pPr>
          </w:p>
        </w:tc>
        <w:tc>
          <w:tcPr>
            <w:tcW w:w="3402" w:type="dxa"/>
            <w:vAlign w:val="center"/>
          </w:tcPr>
          <w:p w14:paraId="30B98915">
            <w:pPr>
              <w:rPr>
                <w:rFonts w:ascii="宋体" w:hAnsi="宋体"/>
                <w:color w:val="auto"/>
                <w:sz w:val="18"/>
                <w:szCs w:val="18"/>
                <w:highlight w:val="none"/>
              </w:rPr>
            </w:pPr>
          </w:p>
        </w:tc>
        <w:tc>
          <w:tcPr>
            <w:tcW w:w="3188" w:type="dxa"/>
            <w:vAlign w:val="center"/>
          </w:tcPr>
          <w:p w14:paraId="5B2DEAAB">
            <w:pPr>
              <w:rPr>
                <w:rFonts w:ascii="宋体" w:hAnsi="宋体"/>
                <w:color w:val="auto"/>
                <w:sz w:val="18"/>
                <w:szCs w:val="18"/>
                <w:highlight w:val="none"/>
              </w:rPr>
            </w:pPr>
          </w:p>
        </w:tc>
      </w:tr>
      <w:tr w14:paraId="3ABD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59F88688">
            <w:pPr>
              <w:jc w:val="center"/>
              <w:rPr>
                <w:rFonts w:ascii="宋体" w:hAnsi="宋体"/>
                <w:color w:val="auto"/>
                <w:szCs w:val="21"/>
                <w:highlight w:val="none"/>
              </w:rPr>
            </w:pPr>
          </w:p>
        </w:tc>
        <w:tc>
          <w:tcPr>
            <w:tcW w:w="1690" w:type="dxa"/>
            <w:vAlign w:val="center"/>
          </w:tcPr>
          <w:p w14:paraId="1B8322E5">
            <w:pPr>
              <w:jc w:val="center"/>
              <w:rPr>
                <w:rFonts w:ascii="宋体" w:hAnsi="宋体"/>
                <w:color w:val="auto"/>
                <w:sz w:val="18"/>
                <w:szCs w:val="18"/>
                <w:highlight w:val="none"/>
              </w:rPr>
            </w:pPr>
          </w:p>
        </w:tc>
        <w:tc>
          <w:tcPr>
            <w:tcW w:w="3402" w:type="dxa"/>
            <w:vAlign w:val="center"/>
          </w:tcPr>
          <w:p w14:paraId="72AFABF7">
            <w:pPr>
              <w:rPr>
                <w:rFonts w:ascii="宋体" w:hAnsi="宋体"/>
                <w:color w:val="auto"/>
                <w:sz w:val="18"/>
                <w:szCs w:val="18"/>
                <w:highlight w:val="none"/>
              </w:rPr>
            </w:pPr>
          </w:p>
        </w:tc>
        <w:tc>
          <w:tcPr>
            <w:tcW w:w="3188" w:type="dxa"/>
            <w:vAlign w:val="center"/>
          </w:tcPr>
          <w:p w14:paraId="76253779">
            <w:pPr>
              <w:rPr>
                <w:rFonts w:ascii="宋体" w:hAnsi="宋体"/>
                <w:color w:val="auto"/>
                <w:sz w:val="18"/>
                <w:szCs w:val="18"/>
                <w:highlight w:val="none"/>
              </w:rPr>
            </w:pPr>
          </w:p>
        </w:tc>
      </w:tr>
      <w:tr w14:paraId="2EC3B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66039BC0">
            <w:pPr>
              <w:jc w:val="center"/>
              <w:rPr>
                <w:rFonts w:ascii="宋体" w:hAnsi="宋体"/>
                <w:color w:val="auto"/>
                <w:szCs w:val="21"/>
                <w:highlight w:val="none"/>
              </w:rPr>
            </w:pPr>
          </w:p>
        </w:tc>
        <w:tc>
          <w:tcPr>
            <w:tcW w:w="1690" w:type="dxa"/>
            <w:vAlign w:val="center"/>
          </w:tcPr>
          <w:p w14:paraId="75FFFB79">
            <w:pPr>
              <w:jc w:val="center"/>
              <w:rPr>
                <w:rFonts w:ascii="宋体" w:hAnsi="宋体"/>
                <w:color w:val="auto"/>
                <w:sz w:val="18"/>
                <w:szCs w:val="18"/>
                <w:highlight w:val="none"/>
              </w:rPr>
            </w:pPr>
          </w:p>
        </w:tc>
        <w:tc>
          <w:tcPr>
            <w:tcW w:w="3402" w:type="dxa"/>
            <w:vAlign w:val="center"/>
          </w:tcPr>
          <w:p w14:paraId="14972897">
            <w:pPr>
              <w:rPr>
                <w:rFonts w:ascii="宋体" w:hAnsi="宋体"/>
                <w:color w:val="auto"/>
                <w:sz w:val="18"/>
                <w:szCs w:val="18"/>
                <w:highlight w:val="none"/>
              </w:rPr>
            </w:pPr>
          </w:p>
        </w:tc>
        <w:tc>
          <w:tcPr>
            <w:tcW w:w="3188" w:type="dxa"/>
            <w:vAlign w:val="center"/>
          </w:tcPr>
          <w:p w14:paraId="7777D4F2">
            <w:pPr>
              <w:rPr>
                <w:rFonts w:ascii="宋体" w:hAnsi="宋体"/>
                <w:color w:val="auto"/>
                <w:sz w:val="18"/>
                <w:szCs w:val="18"/>
                <w:highlight w:val="none"/>
              </w:rPr>
            </w:pPr>
          </w:p>
        </w:tc>
      </w:tr>
      <w:tr w14:paraId="14A5D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3E8ED572">
            <w:pPr>
              <w:jc w:val="center"/>
              <w:rPr>
                <w:rFonts w:ascii="宋体" w:hAnsi="宋体"/>
                <w:color w:val="auto"/>
                <w:szCs w:val="21"/>
                <w:highlight w:val="none"/>
              </w:rPr>
            </w:pPr>
          </w:p>
        </w:tc>
        <w:tc>
          <w:tcPr>
            <w:tcW w:w="1690" w:type="dxa"/>
            <w:vAlign w:val="center"/>
          </w:tcPr>
          <w:p w14:paraId="52A63918">
            <w:pPr>
              <w:jc w:val="center"/>
              <w:rPr>
                <w:rFonts w:ascii="宋体" w:hAnsi="宋体"/>
                <w:color w:val="auto"/>
                <w:sz w:val="18"/>
                <w:szCs w:val="18"/>
                <w:highlight w:val="none"/>
              </w:rPr>
            </w:pPr>
          </w:p>
        </w:tc>
        <w:tc>
          <w:tcPr>
            <w:tcW w:w="3402" w:type="dxa"/>
            <w:vAlign w:val="center"/>
          </w:tcPr>
          <w:p w14:paraId="55629748">
            <w:pPr>
              <w:rPr>
                <w:rFonts w:ascii="宋体" w:hAnsi="宋体"/>
                <w:color w:val="auto"/>
                <w:sz w:val="18"/>
                <w:szCs w:val="18"/>
                <w:highlight w:val="none"/>
              </w:rPr>
            </w:pPr>
          </w:p>
        </w:tc>
        <w:tc>
          <w:tcPr>
            <w:tcW w:w="3188" w:type="dxa"/>
            <w:vAlign w:val="center"/>
          </w:tcPr>
          <w:p w14:paraId="4981C999">
            <w:pPr>
              <w:rPr>
                <w:rFonts w:ascii="宋体" w:hAnsi="宋体"/>
                <w:color w:val="auto"/>
                <w:sz w:val="18"/>
                <w:szCs w:val="18"/>
                <w:highlight w:val="none"/>
              </w:rPr>
            </w:pPr>
          </w:p>
        </w:tc>
      </w:tr>
      <w:tr w14:paraId="532A8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291B801A">
            <w:pPr>
              <w:jc w:val="center"/>
              <w:rPr>
                <w:rFonts w:ascii="宋体" w:hAnsi="宋体"/>
                <w:color w:val="auto"/>
                <w:szCs w:val="21"/>
                <w:highlight w:val="none"/>
              </w:rPr>
            </w:pPr>
          </w:p>
        </w:tc>
        <w:tc>
          <w:tcPr>
            <w:tcW w:w="1690" w:type="dxa"/>
            <w:vAlign w:val="center"/>
          </w:tcPr>
          <w:p w14:paraId="31B4D53F">
            <w:pPr>
              <w:jc w:val="center"/>
              <w:rPr>
                <w:rFonts w:ascii="宋体" w:hAnsi="宋体"/>
                <w:color w:val="auto"/>
                <w:sz w:val="18"/>
                <w:szCs w:val="18"/>
                <w:highlight w:val="none"/>
              </w:rPr>
            </w:pPr>
          </w:p>
        </w:tc>
        <w:tc>
          <w:tcPr>
            <w:tcW w:w="3402" w:type="dxa"/>
            <w:vAlign w:val="center"/>
          </w:tcPr>
          <w:p w14:paraId="3049DB6C">
            <w:pPr>
              <w:rPr>
                <w:rFonts w:ascii="宋体" w:hAnsi="宋体"/>
                <w:color w:val="auto"/>
                <w:sz w:val="18"/>
                <w:szCs w:val="18"/>
                <w:highlight w:val="none"/>
              </w:rPr>
            </w:pPr>
          </w:p>
        </w:tc>
        <w:tc>
          <w:tcPr>
            <w:tcW w:w="3188" w:type="dxa"/>
            <w:vAlign w:val="center"/>
          </w:tcPr>
          <w:p w14:paraId="345A959A">
            <w:pPr>
              <w:rPr>
                <w:rFonts w:ascii="宋体" w:hAnsi="宋体"/>
                <w:color w:val="auto"/>
                <w:sz w:val="18"/>
                <w:szCs w:val="18"/>
                <w:highlight w:val="none"/>
              </w:rPr>
            </w:pPr>
          </w:p>
        </w:tc>
      </w:tr>
    </w:tbl>
    <w:p w14:paraId="4A612A9C">
      <w:pPr>
        <w:spacing w:line="360" w:lineRule="auto"/>
        <w:rPr>
          <w:b/>
          <w:color w:val="auto"/>
          <w:highlight w:val="none"/>
        </w:rPr>
      </w:pPr>
      <w:r>
        <w:rPr>
          <w:rFonts w:hint="eastAsia"/>
          <w:b/>
          <w:color w:val="auto"/>
          <w:highlight w:val="none"/>
        </w:rPr>
        <w:t>说明：</w:t>
      </w:r>
    </w:p>
    <w:p w14:paraId="067248E3">
      <w:pPr>
        <w:pStyle w:val="6"/>
        <w:spacing w:line="360" w:lineRule="auto"/>
        <w:ind w:firstLine="0"/>
        <w:rPr>
          <w:color w:val="auto"/>
          <w:highlight w:val="none"/>
        </w:rPr>
      </w:pPr>
      <w:r>
        <w:rPr>
          <w:rFonts w:hint="eastAsia"/>
          <w:color w:val="auto"/>
          <w:highlight w:val="none"/>
        </w:rPr>
        <w:t>1、技术、服务条款内容主要是针对招标文件有关的技术</w:t>
      </w:r>
      <w:r>
        <w:rPr>
          <w:rFonts w:hint="eastAsia"/>
          <w:color w:val="auto"/>
          <w:highlight w:val="none"/>
          <w:lang w:val="en-US" w:eastAsia="zh-CN"/>
        </w:rPr>
        <w:t>及</w:t>
      </w:r>
      <w:r>
        <w:rPr>
          <w:rFonts w:hint="eastAsia"/>
          <w:color w:val="auto"/>
          <w:highlight w:val="none"/>
        </w:rPr>
        <w:t>服务要求等内容。</w:t>
      </w:r>
    </w:p>
    <w:p w14:paraId="14DC81F1">
      <w:pPr>
        <w:pStyle w:val="6"/>
        <w:spacing w:line="360" w:lineRule="auto"/>
        <w:ind w:firstLine="0"/>
        <w:rPr>
          <w:color w:val="auto"/>
          <w:highlight w:val="none"/>
        </w:rPr>
      </w:pPr>
      <w:r>
        <w:rPr>
          <w:rFonts w:hint="eastAsia"/>
          <w:color w:val="auto"/>
          <w:highlight w:val="none"/>
        </w:rPr>
        <w:t>2、无偏离应在本表“投标文件响应情况”栏注明“无技术及服务条款偏离”的字样。</w:t>
      </w:r>
    </w:p>
    <w:p w14:paraId="65A0BDF7">
      <w:pPr>
        <w:pStyle w:val="6"/>
        <w:spacing w:line="360" w:lineRule="auto"/>
        <w:ind w:firstLine="0"/>
        <w:rPr>
          <w:color w:val="auto"/>
          <w:highlight w:val="none"/>
        </w:rPr>
      </w:pPr>
    </w:p>
    <w:p w14:paraId="32D56B54">
      <w:pPr>
        <w:pStyle w:val="6"/>
        <w:spacing w:line="360" w:lineRule="auto"/>
        <w:ind w:firstLine="0"/>
        <w:rPr>
          <w:color w:val="auto"/>
          <w:highlight w:val="none"/>
        </w:rPr>
      </w:pPr>
    </w:p>
    <w:p w14:paraId="100D3FD3">
      <w:pPr>
        <w:spacing w:line="360" w:lineRule="auto"/>
        <w:rPr>
          <w:rFonts w:ascii="宋体" w:hAnsi="宋体"/>
          <w:b/>
          <w:color w:val="auto"/>
          <w:szCs w:val="21"/>
          <w:highlight w:val="none"/>
          <w:u w:val="single"/>
        </w:rPr>
      </w:pPr>
      <w:r>
        <w:rPr>
          <w:rFonts w:hint="eastAsia" w:ascii="宋体" w:hAnsi="宋体"/>
          <w:color w:val="auto"/>
          <w:szCs w:val="21"/>
          <w:highlight w:val="none"/>
        </w:rPr>
        <w:t>法定代表人(或全权代表)签字或盖章：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日期：</w:t>
      </w:r>
      <w:r>
        <w:rPr>
          <w:rFonts w:hint="eastAsia" w:ascii="宋体" w:hAnsi="宋体"/>
          <w:color w:val="auto"/>
          <w:szCs w:val="21"/>
          <w:highlight w:val="none"/>
          <w:u w:val="single"/>
        </w:rPr>
        <w:t xml:space="preserve">                  </w:t>
      </w:r>
    </w:p>
    <w:p w14:paraId="1536873F">
      <w:pPr>
        <w:spacing w:line="360" w:lineRule="auto"/>
        <w:rPr>
          <w:rFonts w:ascii="宋体" w:hAnsi="宋体"/>
          <w:color w:val="auto"/>
          <w:szCs w:val="21"/>
          <w:highlight w:val="none"/>
        </w:rPr>
      </w:pPr>
    </w:p>
    <w:p w14:paraId="603DDD15">
      <w:pPr>
        <w:spacing w:line="360" w:lineRule="auto"/>
        <w:rPr>
          <w:rFonts w:ascii="宋体" w:hAnsi="宋体"/>
          <w:color w:val="auto"/>
          <w:highlight w:val="none"/>
        </w:rPr>
      </w:pPr>
      <w:r>
        <w:rPr>
          <w:rFonts w:ascii="宋体" w:hAnsi="宋体"/>
          <w:color w:val="auto"/>
          <w:highlight w:val="none"/>
        </w:rPr>
        <w:br w:type="page"/>
      </w:r>
      <w:r>
        <w:rPr>
          <w:rFonts w:hint="eastAsia" w:ascii="宋体" w:hAnsi="宋体"/>
          <w:color w:val="auto"/>
          <w:highlight w:val="none"/>
        </w:rPr>
        <w:t>附件</w:t>
      </w:r>
      <w:r>
        <w:rPr>
          <w:rFonts w:hint="eastAsia" w:ascii="宋体" w:hAnsi="宋体"/>
          <w:color w:val="auto"/>
          <w:highlight w:val="none"/>
          <w:lang w:val="en-US" w:eastAsia="zh-CN"/>
        </w:rPr>
        <w:t>11</w:t>
      </w:r>
      <w:r>
        <w:rPr>
          <w:rFonts w:hint="eastAsia" w:ascii="宋体" w:hAnsi="宋体"/>
          <w:color w:val="auto"/>
          <w:highlight w:val="none"/>
        </w:rPr>
        <w:t>：</w:t>
      </w:r>
    </w:p>
    <w:p w14:paraId="61BB391C">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商务条款偏离表</w:t>
      </w:r>
    </w:p>
    <w:p w14:paraId="0A642133">
      <w:pPr>
        <w:spacing w:before="156" w:beforeLines="50" w:after="156" w:afterLines="50" w:line="360" w:lineRule="auto"/>
        <w:rPr>
          <w:rFonts w:ascii="宋体" w:hAnsi="宋体"/>
          <w:color w:val="auto"/>
          <w:szCs w:val="21"/>
          <w:highlight w:val="none"/>
        </w:rPr>
      </w:pPr>
      <w:r>
        <w:rPr>
          <w:rFonts w:hint="eastAsia" w:ascii="宋体" w:hAnsi="宋体"/>
          <w:color w:val="auto"/>
          <w:szCs w:val="21"/>
          <w:highlight w:val="none"/>
        </w:rPr>
        <w:t>投标人全称：</w:t>
      </w:r>
      <w:r>
        <w:rPr>
          <w:rFonts w:hint="eastAsia" w:ascii="宋体" w:hAnsi="宋体"/>
          <w:color w:val="auto"/>
          <w:szCs w:val="21"/>
          <w:highlight w:val="none"/>
          <w:u w:val="single"/>
        </w:rPr>
        <w:t xml:space="preserve">                           </w:t>
      </w:r>
      <w:r>
        <w:rPr>
          <w:rFonts w:hint="eastAsia" w:ascii="宋体" w:hAnsi="宋体"/>
          <w:color w:val="auto"/>
          <w:szCs w:val="21"/>
          <w:highlight w:val="none"/>
        </w:rPr>
        <w:t>（公章）</w:t>
      </w:r>
    </w:p>
    <w:p w14:paraId="18DABBDA">
      <w:pPr>
        <w:spacing w:before="156" w:beforeLines="50" w:after="312" w:afterLines="100"/>
        <w:rPr>
          <w:rFonts w:hint="eastAsia" w:ascii="宋体" w:hAnsi="宋体" w:eastAsia="宋体"/>
          <w:b/>
          <w:bCs/>
          <w:color w:val="auto"/>
          <w:spacing w:val="20"/>
          <w:szCs w:val="21"/>
          <w:highlight w:val="none"/>
          <w:u w:val="single"/>
          <w:lang w:eastAsia="zh-CN"/>
        </w:rPr>
      </w:pPr>
      <w:r>
        <w:rPr>
          <w:rFonts w:hint="eastAsia" w:ascii="宋体" w:hAnsi="宋体"/>
          <w:color w:val="auto"/>
          <w:szCs w:val="21"/>
          <w:highlight w:val="none"/>
        </w:rPr>
        <w:t>项目编号：</w:t>
      </w:r>
      <w:r>
        <w:rPr>
          <w:rFonts w:hint="eastAsia" w:ascii="宋体" w:hAnsi="宋体"/>
          <w:b/>
          <w:bCs/>
          <w:color w:val="auto"/>
          <w:spacing w:val="20"/>
          <w:szCs w:val="21"/>
          <w:highlight w:val="none"/>
          <w:u w:val="single"/>
          <w:lang w:eastAsia="zh-CN"/>
        </w:rPr>
        <w:t>NBDW-20251195</w:t>
      </w:r>
    </w:p>
    <w:tbl>
      <w:tblPr>
        <w:tblStyle w:val="2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14:paraId="73F6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vAlign w:val="center"/>
          </w:tcPr>
          <w:p w14:paraId="6A461AAD">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690" w:type="dxa"/>
            <w:vAlign w:val="center"/>
          </w:tcPr>
          <w:p w14:paraId="701FCF97">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名称</w:t>
            </w:r>
          </w:p>
        </w:tc>
        <w:tc>
          <w:tcPr>
            <w:tcW w:w="3402" w:type="dxa"/>
            <w:vAlign w:val="center"/>
          </w:tcPr>
          <w:p w14:paraId="7B9468B0">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招标文件商务要求</w:t>
            </w:r>
          </w:p>
        </w:tc>
        <w:tc>
          <w:tcPr>
            <w:tcW w:w="3188" w:type="dxa"/>
            <w:vAlign w:val="center"/>
          </w:tcPr>
          <w:p w14:paraId="42B531DD">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投标文件响应情况</w:t>
            </w:r>
          </w:p>
        </w:tc>
      </w:tr>
      <w:tr w14:paraId="0049C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3F9C3D7C">
            <w:pPr>
              <w:jc w:val="center"/>
              <w:rPr>
                <w:rFonts w:ascii="宋体" w:hAnsi="宋体"/>
                <w:color w:val="auto"/>
                <w:szCs w:val="21"/>
                <w:highlight w:val="none"/>
              </w:rPr>
            </w:pPr>
          </w:p>
        </w:tc>
        <w:tc>
          <w:tcPr>
            <w:tcW w:w="1690" w:type="dxa"/>
            <w:vAlign w:val="center"/>
          </w:tcPr>
          <w:p w14:paraId="762BD820">
            <w:pPr>
              <w:jc w:val="center"/>
              <w:rPr>
                <w:rFonts w:ascii="宋体" w:hAnsi="宋体"/>
                <w:color w:val="auto"/>
                <w:sz w:val="18"/>
                <w:szCs w:val="18"/>
                <w:highlight w:val="none"/>
              </w:rPr>
            </w:pPr>
          </w:p>
        </w:tc>
        <w:tc>
          <w:tcPr>
            <w:tcW w:w="3402" w:type="dxa"/>
            <w:vAlign w:val="center"/>
          </w:tcPr>
          <w:p w14:paraId="5BA3A2AD">
            <w:pPr>
              <w:rPr>
                <w:rFonts w:ascii="宋体" w:hAnsi="宋体"/>
                <w:color w:val="auto"/>
                <w:sz w:val="18"/>
                <w:szCs w:val="18"/>
                <w:highlight w:val="none"/>
              </w:rPr>
            </w:pPr>
          </w:p>
        </w:tc>
        <w:tc>
          <w:tcPr>
            <w:tcW w:w="3188" w:type="dxa"/>
            <w:vAlign w:val="center"/>
          </w:tcPr>
          <w:p w14:paraId="403CD7A1">
            <w:pPr>
              <w:rPr>
                <w:rFonts w:ascii="宋体" w:hAnsi="宋体"/>
                <w:color w:val="auto"/>
                <w:sz w:val="18"/>
                <w:szCs w:val="18"/>
                <w:highlight w:val="none"/>
              </w:rPr>
            </w:pPr>
          </w:p>
        </w:tc>
      </w:tr>
      <w:tr w14:paraId="6BA8F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251F1C22">
            <w:pPr>
              <w:jc w:val="center"/>
              <w:rPr>
                <w:rFonts w:ascii="宋体" w:hAnsi="宋体"/>
                <w:color w:val="auto"/>
                <w:szCs w:val="21"/>
                <w:highlight w:val="none"/>
              </w:rPr>
            </w:pPr>
          </w:p>
        </w:tc>
        <w:tc>
          <w:tcPr>
            <w:tcW w:w="1690" w:type="dxa"/>
            <w:vAlign w:val="center"/>
          </w:tcPr>
          <w:p w14:paraId="038FBFA3">
            <w:pPr>
              <w:jc w:val="center"/>
              <w:rPr>
                <w:rFonts w:ascii="宋体" w:hAnsi="宋体"/>
                <w:color w:val="auto"/>
                <w:sz w:val="18"/>
                <w:szCs w:val="18"/>
                <w:highlight w:val="none"/>
              </w:rPr>
            </w:pPr>
          </w:p>
        </w:tc>
        <w:tc>
          <w:tcPr>
            <w:tcW w:w="3402" w:type="dxa"/>
            <w:vAlign w:val="center"/>
          </w:tcPr>
          <w:p w14:paraId="4D8E6185">
            <w:pPr>
              <w:rPr>
                <w:rFonts w:ascii="宋体" w:hAnsi="宋体"/>
                <w:color w:val="auto"/>
                <w:sz w:val="18"/>
                <w:szCs w:val="18"/>
                <w:highlight w:val="none"/>
              </w:rPr>
            </w:pPr>
          </w:p>
        </w:tc>
        <w:tc>
          <w:tcPr>
            <w:tcW w:w="3188" w:type="dxa"/>
            <w:vAlign w:val="center"/>
          </w:tcPr>
          <w:p w14:paraId="6FF69C88">
            <w:pPr>
              <w:rPr>
                <w:rFonts w:ascii="宋体" w:hAnsi="宋体"/>
                <w:color w:val="auto"/>
                <w:sz w:val="18"/>
                <w:szCs w:val="18"/>
                <w:highlight w:val="none"/>
              </w:rPr>
            </w:pPr>
          </w:p>
        </w:tc>
      </w:tr>
      <w:tr w14:paraId="5FC1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1B238833">
            <w:pPr>
              <w:jc w:val="center"/>
              <w:rPr>
                <w:rFonts w:ascii="宋体" w:hAnsi="宋体"/>
                <w:color w:val="auto"/>
                <w:szCs w:val="21"/>
                <w:highlight w:val="none"/>
              </w:rPr>
            </w:pPr>
          </w:p>
        </w:tc>
        <w:tc>
          <w:tcPr>
            <w:tcW w:w="1690" w:type="dxa"/>
            <w:vAlign w:val="center"/>
          </w:tcPr>
          <w:p w14:paraId="74236046">
            <w:pPr>
              <w:jc w:val="center"/>
              <w:rPr>
                <w:rFonts w:ascii="宋体" w:hAnsi="宋体"/>
                <w:color w:val="auto"/>
                <w:sz w:val="18"/>
                <w:szCs w:val="18"/>
                <w:highlight w:val="none"/>
              </w:rPr>
            </w:pPr>
          </w:p>
        </w:tc>
        <w:tc>
          <w:tcPr>
            <w:tcW w:w="3402" w:type="dxa"/>
            <w:vAlign w:val="center"/>
          </w:tcPr>
          <w:p w14:paraId="25A3F812">
            <w:pPr>
              <w:rPr>
                <w:rFonts w:ascii="宋体" w:hAnsi="宋体"/>
                <w:color w:val="auto"/>
                <w:sz w:val="18"/>
                <w:szCs w:val="18"/>
                <w:highlight w:val="none"/>
              </w:rPr>
            </w:pPr>
          </w:p>
        </w:tc>
        <w:tc>
          <w:tcPr>
            <w:tcW w:w="3188" w:type="dxa"/>
            <w:vAlign w:val="center"/>
          </w:tcPr>
          <w:p w14:paraId="2F0A21E5">
            <w:pPr>
              <w:rPr>
                <w:rFonts w:ascii="宋体" w:hAnsi="宋体"/>
                <w:color w:val="auto"/>
                <w:sz w:val="18"/>
                <w:szCs w:val="18"/>
                <w:highlight w:val="none"/>
              </w:rPr>
            </w:pPr>
          </w:p>
        </w:tc>
      </w:tr>
      <w:tr w14:paraId="31F2F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5F988D10">
            <w:pPr>
              <w:jc w:val="center"/>
              <w:rPr>
                <w:rFonts w:ascii="宋体" w:hAnsi="宋体"/>
                <w:color w:val="auto"/>
                <w:szCs w:val="21"/>
                <w:highlight w:val="none"/>
              </w:rPr>
            </w:pPr>
          </w:p>
        </w:tc>
        <w:tc>
          <w:tcPr>
            <w:tcW w:w="1690" w:type="dxa"/>
            <w:vAlign w:val="center"/>
          </w:tcPr>
          <w:p w14:paraId="24BCF041">
            <w:pPr>
              <w:jc w:val="center"/>
              <w:rPr>
                <w:rFonts w:ascii="宋体" w:hAnsi="宋体"/>
                <w:color w:val="auto"/>
                <w:sz w:val="18"/>
                <w:szCs w:val="18"/>
                <w:highlight w:val="none"/>
              </w:rPr>
            </w:pPr>
          </w:p>
        </w:tc>
        <w:tc>
          <w:tcPr>
            <w:tcW w:w="3402" w:type="dxa"/>
            <w:vAlign w:val="center"/>
          </w:tcPr>
          <w:p w14:paraId="2B466019">
            <w:pPr>
              <w:rPr>
                <w:rFonts w:ascii="宋体" w:hAnsi="宋体"/>
                <w:color w:val="auto"/>
                <w:sz w:val="18"/>
                <w:szCs w:val="18"/>
                <w:highlight w:val="none"/>
              </w:rPr>
            </w:pPr>
          </w:p>
        </w:tc>
        <w:tc>
          <w:tcPr>
            <w:tcW w:w="3188" w:type="dxa"/>
            <w:vAlign w:val="center"/>
          </w:tcPr>
          <w:p w14:paraId="1939AA5B">
            <w:pPr>
              <w:rPr>
                <w:rFonts w:ascii="宋体" w:hAnsi="宋体"/>
                <w:color w:val="auto"/>
                <w:sz w:val="18"/>
                <w:szCs w:val="18"/>
                <w:highlight w:val="none"/>
              </w:rPr>
            </w:pPr>
          </w:p>
        </w:tc>
      </w:tr>
      <w:tr w14:paraId="03FAD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69D5ED4F">
            <w:pPr>
              <w:jc w:val="center"/>
              <w:rPr>
                <w:rFonts w:ascii="宋体" w:hAnsi="宋体"/>
                <w:color w:val="auto"/>
                <w:szCs w:val="21"/>
                <w:highlight w:val="none"/>
              </w:rPr>
            </w:pPr>
          </w:p>
        </w:tc>
        <w:tc>
          <w:tcPr>
            <w:tcW w:w="1690" w:type="dxa"/>
            <w:vAlign w:val="center"/>
          </w:tcPr>
          <w:p w14:paraId="28B8CFF3">
            <w:pPr>
              <w:jc w:val="center"/>
              <w:rPr>
                <w:rFonts w:ascii="宋体" w:hAnsi="宋体"/>
                <w:color w:val="auto"/>
                <w:sz w:val="18"/>
                <w:szCs w:val="18"/>
                <w:highlight w:val="none"/>
              </w:rPr>
            </w:pPr>
          </w:p>
        </w:tc>
        <w:tc>
          <w:tcPr>
            <w:tcW w:w="3402" w:type="dxa"/>
            <w:vAlign w:val="center"/>
          </w:tcPr>
          <w:p w14:paraId="13B6575B">
            <w:pPr>
              <w:rPr>
                <w:rFonts w:ascii="宋体" w:hAnsi="宋体"/>
                <w:color w:val="auto"/>
                <w:sz w:val="18"/>
                <w:szCs w:val="18"/>
                <w:highlight w:val="none"/>
              </w:rPr>
            </w:pPr>
          </w:p>
        </w:tc>
        <w:tc>
          <w:tcPr>
            <w:tcW w:w="3188" w:type="dxa"/>
            <w:vAlign w:val="center"/>
          </w:tcPr>
          <w:p w14:paraId="683FB929">
            <w:pPr>
              <w:rPr>
                <w:rFonts w:ascii="宋体" w:hAnsi="宋体"/>
                <w:color w:val="auto"/>
                <w:sz w:val="18"/>
                <w:szCs w:val="18"/>
                <w:highlight w:val="none"/>
              </w:rPr>
            </w:pPr>
          </w:p>
        </w:tc>
      </w:tr>
      <w:tr w14:paraId="0CE49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2511E30D">
            <w:pPr>
              <w:jc w:val="center"/>
              <w:rPr>
                <w:rFonts w:ascii="宋体" w:hAnsi="宋体"/>
                <w:color w:val="auto"/>
                <w:szCs w:val="21"/>
                <w:highlight w:val="none"/>
              </w:rPr>
            </w:pPr>
          </w:p>
        </w:tc>
        <w:tc>
          <w:tcPr>
            <w:tcW w:w="1690" w:type="dxa"/>
            <w:vAlign w:val="center"/>
          </w:tcPr>
          <w:p w14:paraId="63995913">
            <w:pPr>
              <w:jc w:val="center"/>
              <w:rPr>
                <w:rFonts w:ascii="宋体" w:hAnsi="宋体"/>
                <w:color w:val="auto"/>
                <w:sz w:val="18"/>
                <w:szCs w:val="18"/>
                <w:highlight w:val="none"/>
              </w:rPr>
            </w:pPr>
          </w:p>
        </w:tc>
        <w:tc>
          <w:tcPr>
            <w:tcW w:w="3402" w:type="dxa"/>
            <w:vAlign w:val="center"/>
          </w:tcPr>
          <w:p w14:paraId="3D056A16">
            <w:pPr>
              <w:rPr>
                <w:rFonts w:ascii="宋体" w:hAnsi="宋体"/>
                <w:color w:val="auto"/>
                <w:sz w:val="18"/>
                <w:szCs w:val="18"/>
                <w:highlight w:val="none"/>
              </w:rPr>
            </w:pPr>
          </w:p>
        </w:tc>
        <w:tc>
          <w:tcPr>
            <w:tcW w:w="3188" w:type="dxa"/>
            <w:vAlign w:val="center"/>
          </w:tcPr>
          <w:p w14:paraId="5F8D0B6E">
            <w:pPr>
              <w:rPr>
                <w:rFonts w:ascii="宋体" w:hAnsi="宋体"/>
                <w:color w:val="auto"/>
                <w:sz w:val="18"/>
                <w:szCs w:val="18"/>
                <w:highlight w:val="none"/>
              </w:rPr>
            </w:pPr>
          </w:p>
        </w:tc>
      </w:tr>
      <w:tr w14:paraId="277BF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72C9A0ED">
            <w:pPr>
              <w:jc w:val="center"/>
              <w:rPr>
                <w:rFonts w:ascii="宋体" w:hAnsi="宋体"/>
                <w:color w:val="auto"/>
                <w:szCs w:val="21"/>
                <w:highlight w:val="none"/>
              </w:rPr>
            </w:pPr>
          </w:p>
        </w:tc>
        <w:tc>
          <w:tcPr>
            <w:tcW w:w="1690" w:type="dxa"/>
            <w:vAlign w:val="center"/>
          </w:tcPr>
          <w:p w14:paraId="3EF932EA">
            <w:pPr>
              <w:jc w:val="center"/>
              <w:rPr>
                <w:rFonts w:ascii="宋体" w:hAnsi="宋体"/>
                <w:color w:val="auto"/>
                <w:sz w:val="18"/>
                <w:szCs w:val="18"/>
                <w:highlight w:val="none"/>
              </w:rPr>
            </w:pPr>
          </w:p>
        </w:tc>
        <w:tc>
          <w:tcPr>
            <w:tcW w:w="3402" w:type="dxa"/>
            <w:vAlign w:val="center"/>
          </w:tcPr>
          <w:p w14:paraId="1FAA0B7C">
            <w:pPr>
              <w:rPr>
                <w:rFonts w:ascii="宋体" w:hAnsi="宋体"/>
                <w:color w:val="auto"/>
                <w:sz w:val="18"/>
                <w:szCs w:val="18"/>
                <w:highlight w:val="none"/>
              </w:rPr>
            </w:pPr>
          </w:p>
        </w:tc>
        <w:tc>
          <w:tcPr>
            <w:tcW w:w="3188" w:type="dxa"/>
            <w:vAlign w:val="center"/>
          </w:tcPr>
          <w:p w14:paraId="42C73A93">
            <w:pPr>
              <w:rPr>
                <w:rFonts w:ascii="宋体" w:hAnsi="宋体"/>
                <w:color w:val="auto"/>
                <w:sz w:val="18"/>
                <w:szCs w:val="18"/>
                <w:highlight w:val="none"/>
              </w:rPr>
            </w:pPr>
          </w:p>
        </w:tc>
      </w:tr>
      <w:tr w14:paraId="4AEFC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59E3D281">
            <w:pPr>
              <w:jc w:val="center"/>
              <w:rPr>
                <w:rFonts w:ascii="宋体" w:hAnsi="宋体"/>
                <w:color w:val="auto"/>
                <w:szCs w:val="21"/>
                <w:highlight w:val="none"/>
              </w:rPr>
            </w:pPr>
          </w:p>
        </w:tc>
        <w:tc>
          <w:tcPr>
            <w:tcW w:w="1690" w:type="dxa"/>
            <w:vAlign w:val="center"/>
          </w:tcPr>
          <w:p w14:paraId="2E5BC592">
            <w:pPr>
              <w:jc w:val="center"/>
              <w:rPr>
                <w:rFonts w:ascii="宋体" w:hAnsi="宋体"/>
                <w:color w:val="auto"/>
                <w:sz w:val="18"/>
                <w:szCs w:val="18"/>
                <w:highlight w:val="none"/>
              </w:rPr>
            </w:pPr>
          </w:p>
        </w:tc>
        <w:tc>
          <w:tcPr>
            <w:tcW w:w="3402" w:type="dxa"/>
            <w:vAlign w:val="center"/>
          </w:tcPr>
          <w:p w14:paraId="1E5DEFB4">
            <w:pPr>
              <w:rPr>
                <w:rFonts w:ascii="宋体" w:hAnsi="宋体"/>
                <w:color w:val="auto"/>
                <w:sz w:val="18"/>
                <w:szCs w:val="18"/>
                <w:highlight w:val="none"/>
              </w:rPr>
            </w:pPr>
          </w:p>
        </w:tc>
        <w:tc>
          <w:tcPr>
            <w:tcW w:w="3188" w:type="dxa"/>
            <w:vAlign w:val="center"/>
          </w:tcPr>
          <w:p w14:paraId="582ABFF8">
            <w:pPr>
              <w:rPr>
                <w:rFonts w:ascii="宋体" w:hAnsi="宋体"/>
                <w:color w:val="auto"/>
                <w:sz w:val="18"/>
                <w:szCs w:val="18"/>
                <w:highlight w:val="none"/>
              </w:rPr>
            </w:pPr>
          </w:p>
        </w:tc>
      </w:tr>
    </w:tbl>
    <w:p w14:paraId="0951D8FA">
      <w:pPr>
        <w:spacing w:line="360" w:lineRule="auto"/>
        <w:rPr>
          <w:b/>
          <w:color w:val="auto"/>
          <w:highlight w:val="none"/>
        </w:rPr>
      </w:pPr>
      <w:r>
        <w:rPr>
          <w:rFonts w:hint="eastAsia"/>
          <w:b/>
          <w:color w:val="auto"/>
          <w:highlight w:val="none"/>
        </w:rPr>
        <w:t>说明：</w:t>
      </w:r>
    </w:p>
    <w:p w14:paraId="53EE6546">
      <w:pPr>
        <w:pStyle w:val="6"/>
        <w:spacing w:line="360" w:lineRule="auto"/>
        <w:ind w:firstLine="0"/>
        <w:rPr>
          <w:color w:val="auto"/>
          <w:highlight w:val="none"/>
        </w:rPr>
      </w:pPr>
      <w:r>
        <w:rPr>
          <w:rFonts w:hint="eastAsia"/>
          <w:color w:val="auto"/>
          <w:highlight w:val="none"/>
        </w:rPr>
        <w:t>1、商务条款内容主要是针对招标文件有关的付款条件、</w:t>
      </w:r>
      <w:r>
        <w:rPr>
          <w:rFonts w:hint="eastAsia"/>
          <w:color w:val="auto"/>
          <w:highlight w:val="none"/>
          <w:lang w:val="en-US" w:eastAsia="zh-CN"/>
        </w:rPr>
        <w:t>服务期限</w:t>
      </w:r>
      <w:r>
        <w:rPr>
          <w:rFonts w:hint="eastAsia"/>
          <w:color w:val="auto"/>
          <w:highlight w:val="none"/>
        </w:rPr>
        <w:t>、合同主要条款等内容。</w:t>
      </w:r>
    </w:p>
    <w:p w14:paraId="42720B7C">
      <w:pPr>
        <w:pStyle w:val="6"/>
        <w:spacing w:line="360" w:lineRule="auto"/>
        <w:ind w:firstLine="0"/>
        <w:rPr>
          <w:color w:val="auto"/>
          <w:highlight w:val="none"/>
        </w:rPr>
      </w:pPr>
      <w:r>
        <w:rPr>
          <w:rFonts w:hint="eastAsia"/>
          <w:color w:val="auto"/>
          <w:highlight w:val="none"/>
        </w:rPr>
        <w:t>2、无偏离应在本表“投标文件响应情况”栏注明“无商务条款偏离”的字样。</w:t>
      </w:r>
    </w:p>
    <w:p w14:paraId="5F08201D">
      <w:pPr>
        <w:pStyle w:val="6"/>
        <w:spacing w:line="360" w:lineRule="auto"/>
        <w:ind w:firstLine="0"/>
        <w:rPr>
          <w:color w:val="auto"/>
          <w:highlight w:val="none"/>
        </w:rPr>
      </w:pPr>
    </w:p>
    <w:p w14:paraId="58414D56">
      <w:pPr>
        <w:pStyle w:val="6"/>
        <w:spacing w:line="360" w:lineRule="auto"/>
        <w:ind w:firstLine="0"/>
        <w:rPr>
          <w:color w:val="auto"/>
          <w:highlight w:val="none"/>
        </w:rPr>
      </w:pPr>
    </w:p>
    <w:p w14:paraId="2FCD7248">
      <w:pPr>
        <w:spacing w:line="360" w:lineRule="auto"/>
        <w:rPr>
          <w:rFonts w:ascii="宋体" w:hAnsi="宋体"/>
          <w:b/>
          <w:color w:val="auto"/>
          <w:szCs w:val="21"/>
          <w:highlight w:val="none"/>
          <w:u w:val="single"/>
        </w:rPr>
      </w:pPr>
      <w:r>
        <w:rPr>
          <w:rFonts w:hint="eastAsia" w:ascii="宋体" w:hAnsi="宋体"/>
          <w:color w:val="auto"/>
          <w:szCs w:val="21"/>
          <w:highlight w:val="none"/>
        </w:rPr>
        <w:t>法定代表人(或全权代表)签字或盖章：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日期：</w:t>
      </w:r>
      <w:r>
        <w:rPr>
          <w:rFonts w:hint="eastAsia" w:ascii="宋体" w:hAnsi="宋体"/>
          <w:color w:val="auto"/>
          <w:szCs w:val="21"/>
          <w:highlight w:val="none"/>
          <w:u w:val="single"/>
        </w:rPr>
        <w:t xml:space="preserve">                  </w:t>
      </w:r>
    </w:p>
    <w:p w14:paraId="7F6CE5E6">
      <w:pPr>
        <w:spacing w:line="360" w:lineRule="auto"/>
        <w:rPr>
          <w:rFonts w:ascii="宋体" w:hAnsi="宋体"/>
          <w:color w:val="auto"/>
          <w:szCs w:val="21"/>
          <w:highlight w:val="none"/>
        </w:rPr>
      </w:pPr>
    </w:p>
    <w:p w14:paraId="5727F8E6">
      <w:pPr>
        <w:spacing w:line="360" w:lineRule="auto"/>
        <w:rPr>
          <w:rFonts w:ascii="宋体" w:hAnsi="宋体"/>
          <w:color w:val="auto"/>
          <w:highlight w:val="none"/>
        </w:rPr>
      </w:pPr>
      <w:r>
        <w:rPr>
          <w:rFonts w:ascii="宋体" w:hAnsi="宋体"/>
          <w:color w:val="auto"/>
          <w:highlight w:val="none"/>
        </w:rPr>
        <w:br w:type="page"/>
      </w:r>
      <w:r>
        <w:rPr>
          <w:rFonts w:hint="eastAsia" w:ascii="宋体" w:hAnsi="宋体"/>
          <w:color w:val="auto"/>
          <w:highlight w:val="none"/>
        </w:rPr>
        <w:t>附件</w:t>
      </w:r>
      <w:r>
        <w:rPr>
          <w:rFonts w:hint="eastAsia" w:ascii="宋体" w:hAnsi="宋体"/>
          <w:color w:val="auto"/>
          <w:highlight w:val="none"/>
          <w:lang w:val="en-US" w:eastAsia="zh-CN"/>
        </w:rPr>
        <w:t>12</w:t>
      </w:r>
      <w:r>
        <w:rPr>
          <w:rFonts w:hint="eastAsia" w:ascii="宋体" w:hAnsi="宋体"/>
          <w:color w:val="auto"/>
          <w:highlight w:val="none"/>
        </w:rPr>
        <w:t>：</w:t>
      </w:r>
    </w:p>
    <w:p w14:paraId="19089994">
      <w:pPr>
        <w:spacing w:after="312" w:afterLines="100"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项目团队人员配备情况表</w:t>
      </w:r>
    </w:p>
    <w:p w14:paraId="2AD46372">
      <w:pPr>
        <w:spacing w:before="156" w:beforeLines="50" w:after="156" w:afterLines="50" w:line="360" w:lineRule="auto"/>
        <w:rPr>
          <w:rFonts w:ascii="宋体" w:hAnsi="宋体"/>
          <w:color w:val="auto"/>
          <w:szCs w:val="21"/>
          <w:highlight w:val="none"/>
        </w:rPr>
      </w:pPr>
      <w:r>
        <w:rPr>
          <w:rFonts w:hint="eastAsia" w:ascii="宋体" w:hAnsi="宋体"/>
          <w:color w:val="auto"/>
          <w:szCs w:val="21"/>
          <w:highlight w:val="none"/>
        </w:rPr>
        <w:t>投标人全称：</w:t>
      </w:r>
      <w:r>
        <w:rPr>
          <w:rFonts w:hint="eastAsia" w:ascii="宋体" w:hAnsi="宋体"/>
          <w:color w:val="auto"/>
          <w:szCs w:val="21"/>
          <w:highlight w:val="none"/>
          <w:u w:val="single"/>
        </w:rPr>
        <w:t xml:space="preserve">                           </w:t>
      </w:r>
      <w:r>
        <w:rPr>
          <w:rFonts w:hint="eastAsia" w:ascii="宋体" w:hAnsi="宋体"/>
          <w:color w:val="auto"/>
          <w:szCs w:val="21"/>
          <w:highlight w:val="none"/>
        </w:rPr>
        <w:t>（公章）</w:t>
      </w:r>
    </w:p>
    <w:p w14:paraId="5D349FD5">
      <w:pPr>
        <w:spacing w:before="156" w:beforeLines="50" w:after="312" w:afterLines="100"/>
        <w:rPr>
          <w:rFonts w:hint="eastAsia" w:ascii="宋体" w:hAnsi="宋体" w:eastAsia="宋体"/>
          <w:b/>
          <w:bCs/>
          <w:color w:val="auto"/>
          <w:spacing w:val="20"/>
          <w:szCs w:val="21"/>
          <w:highlight w:val="none"/>
          <w:u w:val="single"/>
          <w:lang w:eastAsia="zh-CN"/>
        </w:rPr>
      </w:pPr>
      <w:r>
        <w:rPr>
          <w:rFonts w:hint="eastAsia" w:ascii="宋体" w:hAnsi="宋体"/>
          <w:color w:val="auto"/>
          <w:szCs w:val="21"/>
          <w:highlight w:val="none"/>
        </w:rPr>
        <w:t>项目编号：</w:t>
      </w:r>
      <w:r>
        <w:rPr>
          <w:rFonts w:hint="eastAsia" w:ascii="宋体" w:hAnsi="宋体"/>
          <w:b/>
          <w:bCs/>
          <w:color w:val="auto"/>
          <w:spacing w:val="20"/>
          <w:szCs w:val="21"/>
          <w:highlight w:val="none"/>
          <w:u w:val="single"/>
          <w:lang w:eastAsia="zh-CN"/>
        </w:rPr>
        <w:t>NBDW-20251195</w:t>
      </w:r>
    </w:p>
    <w:tbl>
      <w:tblPr>
        <w:tblStyle w:val="25"/>
        <w:tblW w:w="9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475"/>
        <w:gridCol w:w="1620"/>
        <w:gridCol w:w="1898"/>
        <w:gridCol w:w="3595"/>
      </w:tblGrid>
      <w:tr w14:paraId="09322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754" w:type="dxa"/>
            <w:vAlign w:val="center"/>
          </w:tcPr>
          <w:p w14:paraId="319E3A27">
            <w:pPr>
              <w:snapToGrid w:val="0"/>
              <w:jc w:val="center"/>
              <w:rPr>
                <w:rFonts w:ascii="宋体" w:hAnsi="宋体"/>
                <w:b/>
                <w:color w:val="auto"/>
                <w:szCs w:val="21"/>
                <w:highlight w:val="none"/>
              </w:rPr>
            </w:pPr>
            <w:r>
              <w:rPr>
                <w:rFonts w:hint="eastAsia" w:ascii="宋体" w:hAnsi="宋体"/>
                <w:b/>
                <w:color w:val="auto"/>
                <w:szCs w:val="21"/>
                <w:highlight w:val="none"/>
              </w:rPr>
              <w:t>序号</w:t>
            </w:r>
          </w:p>
        </w:tc>
        <w:tc>
          <w:tcPr>
            <w:tcW w:w="1475" w:type="dxa"/>
            <w:vAlign w:val="center"/>
          </w:tcPr>
          <w:p w14:paraId="4C7EC727">
            <w:pPr>
              <w:snapToGrid w:val="0"/>
              <w:jc w:val="center"/>
              <w:rPr>
                <w:rFonts w:ascii="宋体" w:hAnsi="宋体"/>
                <w:b/>
                <w:color w:val="auto"/>
                <w:szCs w:val="21"/>
                <w:highlight w:val="none"/>
              </w:rPr>
            </w:pPr>
            <w:r>
              <w:rPr>
                <w:rFonts w:hint="eastAsia" w:ascii="宋体" w:hAnsi="宋体"/>
                <w:b/>
                <w:color w:val="auto"/>
                <w:szCs w:val="21"/>
                <w:highlight w:val="none"/>
              </w:rPr>
              <w:t>拟在本项目中担任职务</w:t>
            </w:r>
          </w:p>
        </w:tc>
        <w:tc>
          <w:tcPr>
            <w:tcW w:w="1620" w:type="dxa"/>
            <w:vAlign w:val="center"/>
          </w:tcPr>
          <w:p w14:paraId="43428A35">
            <w:pPr>
              <w:snapToGrid w:val="0"/>
              <w:jc w:val="center"/>
              <w:rPr>
                <w:rFonts w:ascii="宋体" w:hAnsi="宋体"/>
                <w:b/>
                <w:color w:val="auto"/>
                <w:szCs w:val="21"/>
                <w:highlight w:val="none"/>
              </w:rPr>
            </w:pPr>
            <w:r>
              <w:rPr>
                <w:rFonts w:hint="eastAsia" w:ascii="宋体" w:hAnsi="宋体"/>
                <w:b/>
                <w:color w:val="auto"/>
                <w:szCs w:val="21"/>
                <w:highlight w:val="none"/>
              </w:rPr>
              <w:t>姓名</w:t>
            </w:r>
          </w:p>
        </w:tc>
        <w:tc>
          <w:tcPr>
            <w:tcW w:w="1898" w:type="dxa"/>
            <w:vAlign w:val="center"/>
          </w:tcPr>
          <w:p w14:paraId="67324725">
            <w:pPr>
              <w:snapToGrid w:val="0"/>
              <w:jc w:val="center"/>
              <w:rPr>
                <w:rFonts w:ascii="宋体" w:hAnsi="宋体"/>
                <w:b/>
                <w:color w:val="auto"/>
                <w:szCs w:val="21"/>
                <w:highlight w:val="none"/>
              </w:rPr>
            </w:pPr>
            <w:r>
              <w:rPr>
                <w:rFonts w:hint="eastAsia" w:ascii="宋体" w:hAnsi="宋体"/>
                <w:b/>
                <w:color w:val="auto"/>
                <w:szCs w:val="21"/>
                <w:highlight w:val="none"/>
              </w:rPr>
              <w:t>身份证号码</w:t>
            </w:r>
          </w:p>
        </w:tc>
        <w:tc>
          <w:tcPr>
            <w:tcW w:w="3595" w:type="dxa"/>
            <w:vAlign w:val="center"/>
          </w:tcPr>
          <w:p w14:paraId="7B6AE33F">
            <w:pPr>
              <w:pStyle w:val="37"/>
              <w:tabs>
                <w:tab w:val="left" w:pos="0"/>
              </w:tabs>
              <w:adjustRightInd w:val="0"/>
              <w:snapToGrid w:val="0"/>
              <w:jc w:val="center"/>
              <w:rPr>
                <w:rFonts w:ascii="宋体" w:hAnsi="宋体"/>
                <w:color w:val="auto"/>
                <w:sz w:val="21"/>
                <w:szCs w:val="21"/>
                <w:highlight w:val="none"/>
              </w:rPr>
            </w:pPr>
            <w:r>
              <w:rPr>
                <w:rFonts w:hint="eastAsia" w:ascii="宋体" w:hAnsi="宋体"/>
                <w:b/>
                <w:color w:val="auto"/>
                <w:sz w:val="21"/>
                <w:szCs w:val="21"/>
                <w:highlight w:val="none"/>
              </w:rPr>
              <w:t>获得的相关证书名称、主要项目实施经历、工作经验（或另附简历）</w:t>
            </w:r>
          </w:p>
        </w:tc>
      </w:tr>
      <w:tr w14:paraId="0CCB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2216991D">
            <w:pPr>
              <w:pStyle w:val="14"/>
              <w:tabs>
                <w:tab w:val="left" w:pos="0"/>
              </w:tabs>
              <w:adjustRightInd w:val="0"/>
              <w:snapToGrid w:val="0"/>
              <w:jc w:val="center"/>
              <w:rPr>
                <w:color w:val="auto"/>
                <w:highlight w:val="none"/>
              </w:rPr>
            </w:pPr>
          </w:p>
        </w:tc>
        <w:tc>
          <w:tcPr>
            <w:tcW w:w="1475" w:type="dxa"/>
            <w:vAlign w:val="center"/>
          </w:tcPr>
          <w:p w14:paraId="028A3229">
            <w:pPr>
              <w:pStyle w:val="14"/>
              <w:tabs>
                <w:tab w:val="left" w:pos="0"/>
              </w:tabs>
              <w:adjustRightInd w:val="0"/>
              <w:snapToGrid w:val="0"/>
              <w:jc w:val="center"/>
              <w:rPr>
                <w:color w:val="auto"/>
                <w:highlight w:val="none"/>
              </w:rPr>
            </w:pPr>
          </w:p>
        </w:tc>
        <w:tc>
          <w:tcPr>
            <w:tcW w:w="1620" w:type="dxa"/>
            <w:vAlign w:val="center"/>
          </w:tcPr>
          <w:p w14:paraId="611A4A1C">
            <w:pPr>
              <w:pStyle w:val="14"/>
              <w:tabs>
                <w:tab w:val="left" w:pos="0"/>
              </w:tabs>
              <w:adjustRightInd w:val="0"/>
              <w:snapToGrid w:val="0"/>
              <w:jc w:val="center"/>
              <w:rPr>
                <w:color w:val="auto"/>
                <w:highlight w:val="none"/>
              </w:rPr>
            </w:pPr>
          </w:p>
        </w:tc>
        <w:tc>
          <w:tcPr>
            <w:tcW w:w="1898" w:type="dxa"/>
            <w:vAlign w:val="center"/>
          </w:tcPr>
          <w:p w14:paraId="3E34E9FE">
            <w:pPr>
              <w:pStyle w:val="14"/>
              <w:tabs>
                <w:tab w:val="left" w:pos="0"/>
              </w:tabs>
              <w:adjustRightInd w:val="0"/>
              <w:snapToGrid w:val="0"/>
              <w:jc w:val="center"/>
              <w:rPr>
                <w:color w:val="auto"/>
                <w:highlight w:val="none"/>
              </w:rPr>
            </w:pPr>
          </w:p>
        </w:tc>
        <w:tc>
          <w:tcPr>
            <w:tcW w:w="3595" w:type="dxa"/>
            <w:vAlign w:val="center"/>
          </w:tcPr>
          <w:p w14:paraId="05B1C8CB">
            <w:pPr>
              <w:pStyle w:val="14"/>
              <w:tabs>
                <w:tab w:val="left" w:pos="0"/>
              </w:tabs>
              <w:adjustRightInd w:val="0"/>
              <w:snapToGrid w:val="0"/>
              <w:jc w:val="center"/>
              <w:rPr>
                <w:color w:val="auto"/>
                <w:highlight w:val="none"/>
              </w:rPr>
            </w:pPr>
          </w:p>
        </w:tc>
      </w:tr>
      <w:tr w14:paraId="79084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47C80D56">
            <w:pPr>
              <w:pStyle w:val="14"/>
              <w:tabs>
                <w:tab w:val="left" w:pos="0"/>
              </w:tabs>
              <w:adjustRightInd w:val="0"/>
              <w:snapToGrid w:val="0"/>
              <w:jc w:val="center"/>
              <w:rPr>
                <w:color w:val="auto"/>
                <w:highlight w:val="none"/>
              </w:rPr>
            </w:pPr>
          </w:p>
        </w:tc>
        <w:tc>
          <w:tcPr>
            <w:tcW w:w="1475" w:type="dxa"/>
            <w:vAlign w:val="center"/>
          </w:tcPr>
          <w:p w14:paraId="14B31304">
            <w:pPr>
              <w:pStyle w:val="14"/>
              <w:tabs>
                <w:tab w:val="left" w:pos="0"/>
              </w:tabs>
              <w:adjustRightInd w:val="0"/>
              <w:snapToGrid w:val="0"/>
              <w:jc w:val="center"/>
              <w:rPr>
                <w:color w:val="auto"/>
                <w:highlight w:val="none"/>
              </w:rPr>
            </w:pPr>
          </w:p>
        </w:tc>
        <w:tc>
          <w:tcPr>
            <w:tcW w:w="1620" w:type="dxa"/>
            <w:vAlign w:val="center"/>
          </w:tcPr>
          <w:p w14:paraId="58CAD16D">
            <w:pPr>
              <w:pStyle w:val="14"/>
              <w:tabs>
                <w:tab w:val="left" w:pos="0"/>
              </w:tabs>
              <w:adjustRightInd w:val="0"/>
              <w:snapToGrid w:val="0"/>
              <w:jc w:val="center"/>
              <w:rPr>
                <w:color w:val="auto"/>
                <w:highlight w:val="none"/>
              </w:rPr>
            </w:pPr>
          </w:p>
        </w:tc>
        <w:tc>
          <w:tcPr>
            <w:tcW w:w="1898" w:type="dxa"/>
            <w:vAlign w:val="center"/>
          </w:tcPr>
          <w:p w14:paraId="4544FAF2">
            <w:pPr>
              <w:pStyle w:val="14"/>
              <w:tabs>
                <w:tab w:val="left" w:pos="0"/>
              </w:tabs>
              <w:adjustRightInd w:val="0"/>
              <w:snapToGrid w:val="0"/>
              <w:jc w:val="center"/>
              <w:rPr>
                <w:color w:val="auto"/>
                <w:highlight w:val="none"/>
              </w:rPr>
            </w:pPr>
          </w:p>
        </w:tc>
        <w:tc>
          <w:tcPr>
            <w:tcW w:w="3595" w:type="dxa"/>
            <w:vAlign w:val="center"/>
          </w:tcPr>
          <w:p w14:paraId="12B875AD">
            <w:pPr>
              <w:pStyle w:val="14"/>
              <w:tabs>
                <w:tab w:val="left" w:pos="0"/>
              </w:tabs>
              <w:adjustRightInd w:val="0"/>
              <w:snapToGrid w:val="0"/>
              <w:jc w:val="center"/>
              <w:rPr>
                <w:color w:val="auto"/>
                <w:highlight w:val="none"/>
              </w:rPr>
            </w:pPr>
          </w:p>
        </w:tc>
      </w:tr>
      <w:tr w14:paraId="03389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4C345643">
            <w:pPr>
              <w:pStyle w:val="14"/>
              <w:tabs>
                <w:tab w:val="left" w:pos="0"/>
              </w:tabs>
              <w:adjustRightInd w:val="0"/>
              <w:snapToGrid w:val="0"/>
              <w:jc w:val="center"/>
              <w:rPr>
                <w:color w:val="auto"/>
                <w:highlight w:val="none"/>
              </w:rPr>
            </w:pPr>
          </w:p>
        </w:tc>
        <w:tc>
          <w:tcPr>
            <w:tcW w:w="1475" w:type="dxa"/>
            <w:vAlign w:val="center"/>
          </w:tcPr>
          <w:p w14:paraId="7ECE34A5">
            <w:pPr>
              <w:pStyle w:val="14"/>
              <w:tabs>
                <w:tab w:val="left" w:pos="0"/>
              </w:tabs>
              <w:adjustRightInd w:val="0"/>
              <w:snapToGrid w:val="0"/>
              <w:jc w:val="center"/>
              <w:rPr>
                <w:color w:val="auto"/>
                <w:highlight w:val="none"/>
              </w:rPr>
            </w:pPr>
          </w:p>
        </w:tc>
        <w:tc>
          <w:tcPr>
            <w:tcW w:w="1620" w:type="dxa"/>
            <w:vAlign w:val="center"/>
          </w:tcPr>
          <w:p w14:paraId="029D6C0B">
            <w:pPr>
              <w:pStyle w:val="14"/>
              <w:tabs>
                <w:tab w:val="left" w:pos="0"/>
              </w:tabs>
              <w:adjustRightInd w:val="0"/>
              <w:snapToGrid w:val="0"/>
              <w:jc w:val="center"/>
              <w:rPr>
                <w:color w:val="auto"/>
                <w:highlight w:val="none"/>
              </w:rPr>
            </w:pPr>
          </w:p>
        </w:tc>
        <w:tc>
          <w:tcPr>
            <w:tcW w:w="1898" w:type="dxa"/>
            <w:vAlign w:val="center"/>
          </w:tcPr>
          <w:p w14:paraId="40CB2FA0">
            <w:pPr>
              <w:pStyle w:val="14"/>
              <w:tabs>
                <w:tab w:val="left" w:pos="0"/>
              </w:tabs>
              <w:adjustRightInd w:val="0"/>
              <w:snapToGrid w:val="0"/>
              <w:jc w:val="center"/>
              <w:rPr>
                <w:color w:val="auto"/>
                <w:highlight w:val="none"/>
              </w:rPr>
            </w:pPr>
          </w:p>
        </w:tc>
        <w:tc>
          <w:tcPr>
            <w:tcW w:w="3595" w:type="dxa"/>
            <w:vAlign w:val="center"/>
          </w:tcPr>
          <w:p w14:paraId="66487CEF">
            <w:pPr>
              <w:pStyle w:val="14"/>
              <w:tabs>
                <w:tab w:val="left" w:pos="0"/>
              </w:tabs>
              <w:adjustRightInd w:val="0"/>
              <w:snapToGrid w:val="0"/>
              <w:jc w:val="center"/>
              <w:rPr>
                <w:color w:val="auto"/>
                <w:highlight w:val="none"/>
              </w:rPr>
            </w:pPr>
          </w:p>
        </w:tc>
      </w:tr>
      <w:tr w14:paraId="7EFD5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2BC1B4EB">
            <w:pPr>
              <w:pStyle w:val="14"/>
              <w:tabs>
                <w:tab w:val="left" w:pos="0"/>
              </w:tabs>
              <w:adjustRightInd w:val="0"/>
              <w:snapToGrid w:val="0"/>
              <w:jc w:val="center"/>
              <w:rPr>
                <w:color w:val="auto"/>
                <w:highlight w:val="none"/>
              </w:rPr>
            </w:pPr>
          </w:p>
        </w:tc>
        <w:tc>
          <w:tcPr>
            <w:tcW w:w="1475" w:type="dxa"/>
            <w:vAlign w:val="center"/>
          </w:tcPr>
          <w:p w14:paraId="74AD347B">
            <w:pPr>
              <w:pStyle w:val="14"/>
              <w:tabs>
                <w:tab w:val="left" w:pos="0"/>
              </w:tabs>
              <w:adjustRightInd w:val="0"/>
              <w:snapToGrid w:val="0"/>
              <w:jc w:val="center"/>
              <w:rPr>
                <w:color w:val="auto"/>
                <w:highlight w:val="none"/>
              </w:rPr>
            </w:pPr>
          </w:p>
        </w:tc>
        <w:tc>
          <w:tcPr>
            <w:tcW w:w="1620" w:type="dxa"/>
            <w:vAlign w:val="center"/>
          </w:tcPr>
          <w:p w14:paraId="4A851AA3">
            <w:pPr>
              <w:pStyle w:val="14"/>
              <w:tabs>
                <w:tab w:val="left" w:pos="0"/>
              </w:tabs>
              <w:adjustRightInd w:val="0"/>
              <w:snapToGrid w:val="0"/>
              <w:jc w:val="center"/>
              <w:rPr>
                <w:color w:val="auto"/>
                <w:highlight w:val="none"/>
              </w:rPr>
            </w:pPr>
          </w:p>
        </w:tc>
        <w:tc>
          <w:tcPr>
            <w:tcW w:w="1898" w:type="dxa"/>
            <w:vAlign w:val="center"/>
          </w:tcPr>
          <w:p w14:paraId="02D32DE8">
            <w:pPr>
              <w:pStyle w:val="14"/>
              <w:tabs>
                <w:tab w:val="left" w:pos="0"/>
              </w:tabs>
              <w:adjustRightInd w:val="0"/>
              <w:snapToGrid w:val="0"/>
              <w:jc w:val="center"/>
              <w:rPr>
                <w:color w:val="auto"/>
                <w:highlight w:val="none"/>
              </w:rPr>
            </w:pPr>
          </w:p>
        </w:tc>
        <w:tc>
          <w:tcPr>
            <w:tcW w:w="3595" w:type="dxa"/>
            <w:vAlign w:val="center"/>
          </w:tcPr>
          <w:p w14:paraId="0A958FBB">
            <w:pPr>
              <w:pStyle w:val="14"/>
              <w:tabs>
                <w:tab w:val="left" w:pos="0"/>
              </w:tabs>
              <w:adjustRightInd w:val="0"/>
              <w:snapToGrid w:val="0"/>
              <w:jc w:val="center"/>
              <w:rPr>
                <w:color w:val="auto"/>
                <w:highlight w:val="none"/>
              </w:rPr>
            </w:pPr>
          </w:p>
        </w:tc>
      </w:tr>
      <w:tr w14:paraId="2701D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2C0C4392">
            <w:pPr>
              <w:pStyle w:val="14"/>
              <w:tabs>
                <w:tab w:val="left" w:pos="0"/>
              </w:tabs>
              <w:adjustRightInd w:val="0"/>
              <w:snapToGrid w:val="0"/>
              <w:jc w:val="center"/>
              <w:rPr>
                <w:color w:val="auto"/>
                <w:highlight w:val="none"/>
              </w:rPr>
            </w:pPr>
          </w:p>
        </w:tc>
        <w:tc>
          <w:tcPr>
            <w:tcW w:w="1475" w:type="dxa"/>
            <w:vAlign w:val="center"/>
          </w:tcPr>
          <w:p w14:paraId="5B3DF8FD">
            <w:pPr>
              <w:pStyle w:val="14"/>
              <w:tabs>
                <w:tab w:val="left" w:pos="0"/>
              </w:tabs>
              <w:adjustRightInd w:val="0"/>
              <w:snapToGrid w:val="0"/>
              <w:jc w:val="center"/>
              <w:rPr>
                <w:color w:val="auto"/>
                <w:highlight w:val="none"/>
              </w:rPr>
            </w:pPr>
          </w:p>
        </w:tc>
        <w:tc>
          <w:tcPr>
            <w:tcW w:w="1620" w:type="dxa"/>
            <w:vAlign w:val="center"/>
          </w:tcPr>
          <w:p w14:paraId="253DEA9E">
            <w:pPr>
              <w:pStyle w:val="14"/>
              <w:tabs>
                <w:tab w:val="left" w:pos="0"/>
              </w:tabs>
              <w:adjustRightInd w:val="0"/>
              <w:snapToGrid w:val="0"/>
              <w:jc w:val="center"/>
              <w:rPr>
                <w:color w:val="auto"/>
                <w:highlight w:val="none"/>
              </w:rPr>
            </w:pPr>
          </w:p>
        </w:tc>
        <w:tc>
          <w:tcPr>
            <w:tcW w:w="1898" w:type="dxa"/>
            <w:vAlign w:val="center"/>
          </w:tcPr>
          <w:p w14:paraId="05076CDC">
            <w:pPr>
              <w:pStyle w:val="14"/>
              <w:tabs>
                <w:tab w:val="left" w:pos="0"/>
              </w:tabs>
              <w:adjustRightInd w:val="0"/>
              <w:snapToGrid w:val="0"/>
              <w:jc w:val="center"/>
              <w:rPr>
                <w:color w:val="auto"/>
                <w:highlight w:val="none"/>
              </w:rPr>
            </w:pPr>
          </w:p>
        </w:tc>
        <w:tc>
          <w:tcPr>
            <w:tcW w:w="3595" w:type="dxa"/>
            <w:vAlign w:val="center"/>
          </w:tcPr>
          <w:p w14:paraId="6ABF806E">
            <w:pPr>
              <w:pStyle w:val="14"/>
              <w:tabs>
                <w:tab w:val="left" w:pos="0"/>
              </w:tabs>
              <w:adjustRightInd w:val="0"/>
              <w:snapToGrid w:val="0"/>
              <w:jc w:val="center"/>
              <w:rPr>
                <w:color w:val="auto"/>
                <w:highlight w:val="none"/>
              </w:rPr>
            </w:pPr>
          </w:p>
        </w:tc>
      </w:tr>
      <w:tr w14:paraId="75E70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5CD3A0FD">
            <w:pPr>
              <w:pStyle w:val="14"/>
              <w:tabs>
                <w:tab w:val="left" w:pos="0"/>
              </w:tabs>
              <w:adjustRightInd w:val="0"/>
              <w:snapToGrid w:val="0"/>
              <w:jc w:val="center"/>
              <w:rPr>
                <w:color w:val="auto"/>
                <w:highlight w:val="none"/>
              </w:rPr>
            </w:pPr>
          </w:p>
        </w:tc>
        <w:tc>
          <w:tcPr>
            <w:tcW w:w="1475" w:type="dxa"/>
            <w:vAlign w:val="center"/>
          </w:tcPr>
          <w:p w14:paraId="4911AC99">
            <w:pPr>
              <w:pStyle w:val="14"/>
              <w:tabs>
                <w:tab w:val="left" w:pos="0"/>
              </w:tabs>
              <w:adjustRightInd w:val="0"/>
              <w:snapToGrid w:val="0"/>
              <w:jc w:val="center"/>
              <w:rPr>
                <w:color w:val="auto"/>
                <w:highlight w:val="none"/>
              </w:rPr>
            </w:pPr>
          </w:p>
        </w:tc>
        <w:tc>
          <w:tcPr>
            <w:tcW w:w="1620" w:type="dxa"/>
            <w:vAlign w:val="center"/>
          </w:tcPr>
          <w:p w14:paraId="706996A2">
            <w:pPr>
              <w:pStyle w:val="14"/>
              <w:tabs>
                <w:tab w:val="left" w:pos="0"/>
              </w:tabs>
              <w:adjustRightInd w:val="0"/>
              <w:snapToGrid w:val="0"/>
              <w:jc w:val="center"/>
              <w:rPr>
                <w:color w:val="auto"/>
                <w:highlight w:val="none"/>
              </w:rPr>
            </w:pPr>
          </w:p>
        </w:tc>
        <w:tc>
          <w:tcPr>
            <w:tcW w:w="1898" w:type="dxa"/>
            <w:vAlign w:val="center"/>
          </w:tcPr>
          <w:p w14:paraId="20D4E8E0">
            <w:pPr>
              <w:pStyle w:val="14"/>
              <w:tabs>
                <w:tab w:val="left" w:pos="0"/>
              </w:tabs>
              <w:adjustRightInd w:val="0"/>
              <w:snapToGrid w:val="0"/>
              <w:jc w:val="center"/>
              <w:rPr>
                <w:color w:val="auto"/>
                <w:highlight w:val="none"/>
              </w:rPr>
            </w:pPr>
          </w:p>
        </w:tc>
        <w:tc>
          <w:tcPr>
            <w:tcW w:w="3595" w:type="dxa"/>
            <w:vAlign w:val="center"/>
          </w:tcPr>
          <w:p w14:paraId="3E49D678">
            <w:pPr>
              <w:pStyle w:val="14"/>
              <w:tabs>
                <w:tab w:val="left" w:pos="0"/>
              </w:tabs>
              <w:adjustRightInd w:val="0"/>
              <w:snapToGrid w:val="0"/>
              <w:jc w:val="center"/>
              <w:rPr>
                <w:color w:val="auto"/>
                <w:highlight w:val="none"/>
              </w:rPr>
            </w:pPr>
          </w:p>
        </w:tc>
      </w:tr>
      <w:tr w14:paraId="50737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37ED52FC">
            <w:pPr>
              <w:pStyle w:val="14"/>
              <w:tabs>
                <w:tab w:val="left" w:pos="0"/>
              </w:tabs>
              <w:adjustRightInd w:val="0"/>
              <w:snapToGrid w:val="0"/>
              <w:jc w:val="center"/>
              <w:rPr>
                <w:color w:val="auto"/>
                <w:highlight w:val="none"/>
              </w:rPr>
            </w:pPr>
          </w:p>
        </w:tc>
        <w:tc>
          <w:tcPr>
            <w:tcW w:w="1475" w:type="dxa"/>
            <w:vAlign w:val="center"/>
          </w:tcPr>
          <w:p w14:paraId="5877CF64">
            <w:pPr>
              <w:pStyle w:val="14"/>
              <w:tabs>
                <w:tab w:val="left" w:pos="0"/>
              </w:tabs>
              <w:adjustRightInd w:val="0"/>
              <w:snapToGrid w:val="0"/>
              <w:jc w:val="center"/>
              <w:rPr>
                <w:color w:val="auto"/>
                <w:highlight w:val="none"/>
              </w:rPr>
            </w:pPr>
          </w:p>
        </w:tc>
        <w:tc>
          <w:tcPr>
            <w:tcW w:w="1620" w:type="dxa"/>
            <w:vAlign w:val="center"/>
          </w:tcPr>
          <w:p w14:paraId="22F5E64E">
            <w:pPr>
              <w:pStyle w:val="14"/>
              <w:tabs>
                <w:tab w:val="left" w:pos="0"/>
              </w:tabs>
              <w:adjustRightInd w:val="0"/>
              <w:snapToGrid w:val="0"/>
              <w:jc w:val="center"/>
              <w:rPr>
                <w:color w:val="auto"/>
                <w:highlight w:val="none"/>
              </w:rPr>
            </w:pPr>
          </w:p>
        </w:tc>
        <w:tc>
          <w:tcPr>
            <w:tcW w:w="1898" w:type="dxa"/>
            <w:vAlign w:val="center"/>
          </w:tcPr>
          <w:p w14:paraId="45467ED3">
            <w:pPr>
              <w:pStyle w:val="14"/>
              <w:tabs>
                <w:tab w:val="left" w:pos="0"/>
              </w:tabs>
              <w:adjustRightInd w:val="0"/>
              <w:snapToGrid w:val="0"/>
              <w:jc w:val="center"/>
              <w:rPr>
                <w:color w:val="auto"/>
                <w:highlight w:val="none"/>
              </w:rPr>
            </w:pPr>
          </w:p>
        </w:tc>
        <w:tc>
          <w:tcPr>
            <w:tcW w:w="3595" w:type="dxa"/>
            <w:vAlign w:val="center"/>
          </w:tcPr>
          <w:p w14:paraId="3B7DD58D">
            <w:pPr>
              <w:pStyle w:val="14"/>
              <w:tabs>
                <w:tab w:val="left" w:pos="0"/>
              </w:tabs>
              <w:adjustRightInd w:val="0"/>
              <w:snapToGrid w:val="0"/>
              <w:jc w:val="center"/>
              <w:rPr>
                <w:color w:val="auto"/>
                <w:highlight w:val="none"/>
              </w:rPr>
            </w:pPr>
          </w:p>
        </w:tc>
      </w:tr>
    </w:tbl>
    <w:p w14:paraId="457E6C57">
      <w:pPr>
        <w:spacing w:line="360" w:lineRule="auto"/>
        <w:rPr>
          <w:rFonts w:ascii="宋体" w:hAnsi="宋体"/>
          <w:b/>
          <w:color w:val="auto"/>
          <w:highlight w:val="none"/>
        </w:rPr>
      </w:pPr>
      <w:r>
        <w:rPr>
          <w:rFonts w:hint="eastAsia" w:ascii="宋体" w:hAnsi="宋体"/>
          <w:b/>
          <w:color w:val="auto"/>
          <w:highlight w:val="none"/>
        </w:rPr>
        <w:t>说明：</w:t>
      </w:r>
    </w:p>
    <w:p w14:paraId="1246769C">
      <w:pPr>
        <w:pStyle w:val="6"/>
        <w:spacing w:line="360" w:lineRule="auto"/>
        <w:ind w:firstLine="0"/>
        <w:rPr>
          <w:color w:val="auto"/>
          <w:highlight w:val="none"/>
        </w:rPr>
      </w:pPr>
      <w:r>
        <w:rPr>
          <w:rFonts w:hint="eastAsia"/>
          <w:color w:val="auto"/>
          <w:highlight w:val="none"/>
        </w:rPr>
        <w:t>1、表后附拟派人员的社保证明、有关证书</w:t>
      </w:r>
      <w:r>
        <w:rPr>
          <w:rFonts w:hint="eastAsia"/>
          <w:color w:val="auto"/>
          <w:highlight w:val="none"/>
          <w:lang w:val="en-US" w:eastAsia="zh-CN"/>
        </w:rPr>
        <w:t>等</w:t>
      </w:r>
      <w:r>
        <w:rPr>
          <w:rFonts w:hint="eastAsia"/>
          <w:color w:val="auto"/>
          <w:highlight w:val="none"/>
        </w:rPr>
        <w:t>复印件。</w:t>
      </w:r>
    </w:p>
    <w:p w14:paraId="4A7A2B02">
      <w:pPr>
        <w:pStyle w:val="6"/>
        <w:spacing w:line="360" w:lineRule="auto"/>
        <w:ind w:firstLine="0"/>
        <w:rPr>
          <w:color w:val="auto"/>
          <w:highlight w:val="none"/>
        </w:rPr>
      </w:pPr>
      <w:r>
        <w:rPr>
          <w:rFonts w:hint="eastAsia"/>
          <w:color w:val="auto"/>
          <w:highlight w:val="none"/>
        </w:rPr>
        <w:t>2、此表在不改变表式的情况下，可自行制作。</w:t>
      </w:r>
    </w:p>
    <w:p w14:paraId="6F9AA527">
      <w:pPr>
        <w:pStyle w:val="6"/>
        <w:spacing w:line="360" w:lineRule="auto"/>
        <w:ind w:firstLine="0"/>
        <w:rPr>
          <w:color w:val="auto"/>
          <w:highlight w:val="none"/>
        </w:rPr>
      </w:pPr>
    </w:p>
    <w:p w14:paraId="72415DA1">
      <w:pPr>
        <w:pStyle w:val="6"/>
        <w:spacing w:line="360" w:lineRule="auto"/>
        <w:ind w:firstLine="0"/>
        <w:rPr>
          <w:color w:val="auto"/>
          <w:highlight w:val="none"/>
        </w:rPr>
      </w:pPr>
    </w:p>
    <w:p w14:paraId="72D639D2">
      <w:pPr>
        <w:spacing w:line="360" w:lineRule="auto"/>
        <w:rPr>
          <w:rFonts w:ascii="宋体" w:hAnsi="宋体"/>
          <w:b/>
          <w:color w:val="auto"/>
          <w:szCs w:val="21"/>
          <w:highlight w:val="none"/>
          <w:u w:val="single"/>
        </w:rPr>
      </w:pPr>
      <w:r>
        <w:rPr>
          <w:rFonts w:hint="eastAsia" w:ascii="宋体" w:hAnsi="宋体"/>
          <w:color w:val="auto"/>
          <w:szCs w:val="21"/>
          <w:highlight w:val="none"/>
        </w:rPr>
        <w:t>法定代表人(或全权代表)签字或盖章：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日期：</w:t>
      </w:r>
      <w:r>
        <w:rPr>
          <w:rFonts w:hint="eastAsia" w:ascii="宋体" w:hAnsi="宋体"/>
          <w:color w:val="auto"/>
          <w:szCs w:val="21"/>
          <w:highlight w:val="none"/>
          <w:u w:val="single"/>
        </w:rPr>
        <w:t xml:space="preserve">                  </w:t>
      </w:r>
    </w:p>
    <w:p w14:paraId="37D91773">
      <w:pPr>
        <w:spacing w:line="360" w:lineRule="auto"/>
        <w:rPr>
          <w:rFonts w:ascii="宋体" w:hAnsi="宋体"/>
          <w:color w:val="auto"/>
          <w:szCs w:val="21"/>
          <w:highlight w:val="none"/>
        </w:rPr>
      </w:pPr>
    </w:p>
    <w:p w14:paraId="4013E65A">
      <w:pPr>
        <w:spacing w:line="360" w:lineRule="auto"/>
        <w:rPr>
          <w:rFonts w:ascii="宋体" w:hAnsi="宋体"/>
          <w:color w:val="auto"/>
          <w:highlight w:val="none"/>
        </w:rPr>
      </w:pPr>
      <w:r>
        <w:rPr>
          <w:rFonts w:ascii="宋体" w:hAnsi="宋体"/>
          <w:color w:val="auto"/>
          <w:highlight w:val="none"/>
        </w:rPr>
        <w:br w:type="page"/>
      </w:r>
      <w:r>
        <w:rPr>
          <w:rFonts w:hint="eastAsia" w:ascii="宋体" w:hAnsi="宋体"/>
          <w:color w:val="auto"/>
          <w:highlight w:val="none"/>
        </w:rPr>
        <w:t>附件</w:t>
      </w:r>
      <w:r>
        <w:rPr>
          <w:rFonts w:hint="eastAsia" w:ascii="宋体" w:hAnsi="宋体"/>
          <w:color w:val="auto"/>
          <w:sz w:val="24"/>
          <w:szCs w:val="24"/>
          <w:highlight w:val="none"/>
          <w:lang w:val="en-US" w:eastAsia="zh-CN"/>
        </w:rPr>
        <w:t>13</w:t>
      </w:r>
      <w:r>
        <w:rPr>
          <w:rFonts w:hint="eastAsia" w:ascii="宋体" w:hAnsi="宋体"/>
          <w:color w:val="auto"/>
          <w:highlight w:val="none"/>
        </w:rPr>
        <w:t>：</w:t>
      </w:r>
    </w:p>
    <w:p w14:paraId="74EBB221">
      <w:pPr>
        <w:spacing w:after="312" w:afterLines="100"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类似项目业绩表</w:t>
      </w:r>
    </w:p>
    <w:p w14:paraId="4A7F587F">
      <w:pPr>
        <w:spacing w:before="156" w:beforeLines="50" w:after="156" w:afterLines="50" w:line="360" w:lineRule="auto"/>
        <w:rPr>
          <w:rFonts w:ascii="宋体" w:hAnsi="宋体"/>
          <w:color w:val="auto"/>
          <w:szCs w:val="21"/>
          <w:highlight w:val="none"/>
        </w:rPr>
      </w:pPr>
      <w:r>
        <w:rPr>
          <w:rFonts w:hint="eastAsia" w:ascii="宋体" w:hAnsi="宋体"/>
          <w:color w:val="auto"/>
          <w:szCs w:val="21"/>
          <w:highlight w:val="none"/>
        </w:rPr>
        <w:t>投标人全称：</w:t>
      </w:r>
      <w:r>
        <w:rPr>
          <w:rFonts w:hint="eastAsia" w:ascii="宋体" w:hAnsi="宋体"/>
          <w:color w:val="auto"/>
          <w:szCs w:val="21"/>
          <w:highlight w:val="none"/>
          <w:u w:val="single"/>
        </w:rPr>
        <w:t xml:space="preserve">                           </w:t>
      </w:r>
      <w:r>
        <w:rPr>
          <w:rFonts w:hint="eastAsia" w:ascii="宋体" w:hAnsi="宋体"/>
          <w:color w:val="auto"/>
          <w:szCs w:val="21"/>
          <w:highlight w:val="none"/>
        </w:rPr>
        <w:t>（公章）</w:t>
      </w:r>
    </w:p>
    <w:p w14:paraId="09A91D09">
      <w:pPr>
        <w:spacing w:before="156" w:beforeLines="50" w:after="312" w:afterLines="100"/>
        <w:rPr>
          <w:rFonts w:hint="eastAsia" w:ascii="宋体" w:hAnsi="宋体" w:eastAsia="宋体"/>
          <w:b/>
          <w:bCs/>
          <w:color w:val="auto"/>
          <w:spacing w:val="20"/>
          <w:szCs w:val="21"/>
          <w:highlight w:val="none"/>
          <w:u w:val="single"/>
          <w:lang w:eastAsia="zh-CN"/>
        </w:rPr>
      </w:pPr>
      <w:r>
        <w:rPr>
          <w:rFonts w:hint="eastAsia" w:ascii="宋体" w:hAnsi="宋体"/>
          <w:color w:val="auto"/>
          <w:szCs w:val="21"/>
          <w:highlight w:val="none"/>
        </w:rPr>
        <w:t>项目编号：</w:t>
      </w:r>
      <w:r>
        <w:rPr>
          <w:rFonts w:hint="eastAsia" w:ascii="宋体" w:hAnsi="宋体"/>
          <w:b/>
          <w:bCs/>
          <w:color w:val="auto"/>
          <w:spacing w:val="20"/>
          <w:szCs w:val="21"/>
          <w:highlight w:val="none"/>
          <w:u w:val="single"/>
          <w:lang w:eastAsia="zh-CN"/>
        </w:rPr>
        <w:t>NBDW-20251195</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853"/>
        <w:gridCol w:w="1843"/>
        <w:gridCol w:w="1134"/>
        <w:gridCol w:w="1134"/>
        <w:gridCol w:w="1417"/>
      </w:tblGrid>
      <w:tr w14:paraId="070A8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99" w:type="dxa"/>
            <w:vAlign w:val="center"/>
          </w:tcPr>
          <w:p w14:paraId="3071815E">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2853" w:type="dxa"/>
            <w:vAlign w:val="center"/>
          </w:tcPr>
          <w:p w14:paraId="2FBC407C">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项目名称</w:t>
            </w:r>
          </w:p>
        </w:tc>
        <w:tc>
          <w:tcPr>
            <w:tcW w:w="1843" w:type="dxa"/>
            <w:vAlign w:val="center"/>
          </w:tcPr>
          <w:p w14:paraId="379068CE">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业主名称</w:t>
            </w:r>
          </w:p>
        </w:tc>
        <w:tc>
          <w:tcPr>
            <w:tcW w:w="1134" w:type="dxa"/>
            <w:vAlign w:val="center"/>
          </w:tcPr>
          <w:p w14:paraId="77C00F48">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合同金额</w:t>
            </w:r>
          </w:p>
        </w:tc>
        <w:tc>
          <w:tcPr>
            <w:tcW w:w="1134" w:type="dxa"/>
            <w:vAlign w:val="center"/>
          </w:tcPr>
          <w:p w14:paraId="4814E28F">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合同签订</w:t>
            </w:r>
            <w:r>
              <w:rPr>
                <w:rFonts w:hint="eastAsia" w:ascii="宋体" w:hAnsi="宋体" w:cs="宋体"/>
                <w:b/>
                <w:color w:val="auto"/>
                <w:kern w:val="0"/>
                <w:szCs w:val="21"/>
                <w:highlight w:val="none"/>
              </w:rPr>
              <w:t>时间</w:t>
            </w:r>
          </w:p>
        </w:tc>
        <w:tc>
          <w:tcPr>
            <w:tcW w:w="1417" w:type="dxa"/>
            <w:vAlign w:val="center"/>
          </w:tcPr>
          <w:p w14:paraId="3F851063">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业主联系人及电话</w:t>
            </w:r>
          </w:p>
        </w:tc>
      </w:tr>
      <w:tr w14:paraId="0076A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14:paraId="4C1E8277">
            <w:pPr>
              <w:widowControl/>
              <w:jc w:val="center"/>
              <w:rPr>
                <w:rFonts w:ascii="宋体" w:hAnsi="宋体" w:cs="宋体"/>
                <w:color w:val="auto"/>
                <w:kern w:val="0"/>
                <w:szCs w:val="21"/>
                <w:highlight w:val="none"/>
              </w:rPr>
            </w:pPr>
          </w:p>
        </w:tc>
        <w:tc>
          <w:tcPr>
            <w:tcW w:w="2853" w:type="dxa"/>
            <w:vAlign w:val="center"/>
          </w:tcPr>
          <w:p w14:paraId="2D16FC13">
            <w:pPr>
              <w:widowControl/>
              <w:jc w:val="center"/>
              <w:rPr>
                <w:rFonts w:ascii="宋体" w:hAnsi="宋体" w:cs="宋体"/>
                <w:color w:val="auto"/>
                <w:kern w:val="0"/>
                <w:szCs w:val="21"/>
                <w:highlight w:val="none"/>
              </w:rPr>
            </w:pPr>
          </w:p>
        </w:tc>
        <w:tc>
          <w:tcPr>
            <w:tcW w:w="1843" w:type="dxa"/>
            <w:vAlign w:val="center"/>
          </w:tcPr>
          <w:p w14:paraId="78015FA5">
            <w:pPr>
              <w:widowControl/>
              <w:jc w:val="center"/>
              <w:rPr>
                <w:rFonts w:ascii="宋体" w:hAnsi="宋体" w:cs="宋体"/>
                <w:color w:val="auto"/>
                <w:kern w:val="0"/>
                <w:szCs w:val="21"/>
                <w:highlight w:val="none"/>
              </w:rPr>
            </w:pPr>
          </w:p>
        </w:tc>
        <w:tc>
          <w:tcPr>
            <w:tcW w:w="1134" w:type="dxa"/>
            <w:vAlign w:val="center"/>
          </w:tcPr>
          <w:p w14:paraId="66968BCF">
            <w:pPr>
              <w:widowControl/>
              <w:jc w:val="center"/>
              <w:rPr>
                <w:rFonts w:ascii="宋体" w:hAnsi="宋体" w:cs="宋体"/>
                <w:color w:val="auto"/>
                <w:kern w:val="0"/>
                <w:szCs w:val="21"/>
                <w:highlight w:val="none"/>
              </w:rPr>
            </w:pPr>
          </w:p>
        </w:tc>
        <w:tc>
          <w:tcPr>
            <w:tcW w:w="1134" w:type="dxa"/>
            <w:vAlign w:val="center"/>
          </w:tcPr>
          <w:p w14:paraId="74BF3822">
            <w:pPr>
              <w:widowControl/>
              <w:jc w:val="center"/>
              <w:rPr>
                <w:rFonts w:ascii="宋体" w:hAnsi="宋体" w:cs="宋体"/>
                <w:color w:val="auto"/>
                <w:kern w:val="0"/>
                <w:szCs w:val="21"/>
                <w:highlight w:val="none"/>
              </w:rPr>
            </w:pPr>
          </w:p>
        </w:tc>
        <w:tc>
          <w:tcPr>
            <w:tcW w:w="1417" w:type="dxa"/>
            <w:vAlign w:val="center"/>
          </w:tcPr>
          <w:p w14:paraId="129DF9B1">
            <w:pPr>
              <w:widowControl/>
              <w:jc w:val="center"/>
              <w:rPr>
                <w:rFonts w:ascii="宋体" w:hAnsi="宋体" w:cs="宋体"/>
                <w:color w:val="auto"/>
                <w:kern w:val="0"/>
                <w:szCs w:val="21"/>
                <w:highlight w:val="none"/>
              </w:rPr>
            </w:pPr>
          </w:p>
        </w:tc>
      </w:tr>
      <w:tr w14:paraId="35B1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14:paraId="1181DEF9">
            <w:pPr>
              <w:widowControl/>
              <w:jc w:val="center"/>
              <w:rPr>
                <w:rFonts w:ascii="宋体" w:hAnsi="宋体" w:cs="宋体"/>
                <w:color w:val="auto"/>
                <w:kern w:val="0"/>
                <w:szCs w:val="21"/>
                <w:highlight w:val="none"/>
              </w:rPr>
            </w:pPr>
          </w:p>
        </w:tc>
        <w:tc>
          <w:tcPr>
            <w:tcW w:w="2853" w:type="dxa"/>
            <w:vAlign w:val="center"/>
          </w:tcPr>
          <w:p w14:paraId="42926D4A">
            <w:pPr>
              <w:widowControl/>
              <w:jc w:val="center"/>
              <w:rPr>
                <w:rFonts w:ascii="宋体" w:hAnsi="宋体" w:cs="宋体"/>
                <w:color w:val="auto"/>
                <w:kern w:val="0"/>
                <w:szCs w:val="21"/>
                <w:highlight w:val="none"/>
              </w:rPr>
            </w:pPr>
          </w:p>
        </w:tc>
        <w:tc>
          <w:tcPr>
            <w:tcW w:w="1843" w:type="dxa"/>
            <w:vAlign w:val="center"/>
          </w:tcPr>
          <w:p w14:paraId="030D6DF2">
            <w:pPr>
              <w:widowControl/>
              <w:jc w:val="center"/>
              <w:rPr>
                <w:rFonts w:ascii="宋体" w:hAnsi="宋体" w:cs="宋体"/>
                <w:color w:val="auto"/>
                <w:kern w:val="0"/>
                <w:szCs w:val="21"/>
                <w:highlight w:val="none"/>
              </w:rPr>
            </w:pPr>
          </w:p>
        </w:tc>
        <w:tc>
          <w:tcPr>
            <w:tcW w:w="1134" w:type="dxa"/>
            <w:vAlign w:val="center"/>
          </w:tcPr>
          <w:p w14:paraId="2123F39E">
            <w:pPr>
              <w:widowControl/>
              <w:jc w:val="center"/>
              <w:rPr>
                <w:rFonts w:ascii="宋体" w:hAnsi="宋体" w:cs="宋体"/>
                <w:color w:val="auto"/>
                <w:kern w:val="0"/>
                <w:szCs w:val="21"/>
                <w:highlight w:val="none"/>
              </w:rPr>
            </w:pPr>
          </w:p>
        </w:tc>
        <w:tc>
          <w:tcPr>
            <w:tcW w:w="1134" w:type="dxa"/>
            <w:vAlign w:val="center"/>
          </w:tcPr>
          <w:p w14:paraId="455D1DB3">
            <w:pPr>
              <w:widowControl/>
              <w:jc w:val="center"/>
              <w:rPr>
                <w:rFonts w:ascii="宋体" w:hAnsi="宋体" w:cs="宋体"/>
                <w:color w:val="auto"/>
                <w:kern w:val="0"/>
                <w:szCs w:val="21"/>
                <w:highlight w:val="none"/>
              </w:rPr>
            </w:pPr>
          </w:p>
        </w:tc>
        <w:tc>
          <w:tcPr>
            <w:tcW w:w="1417" w:type="dxa"/>
            <w:vAlign w:val="center"/>
          </w:tcPr>
          <w:p w14:paraId="2DABEEC2">
            <w:pPr>
              <w:widowControl/>
              <w:jc w:val="center"/>
              <w:rPr>
                <w:rFonts w:ascii="宋体" w:hAnsi="宋体" w:cs="宋体"/>
                <w:color w:val="auto"/>
                <w:kern w:val="0"/>
                <w:szCs w:val="21"/>
                <w:highlight w:val="none"/>
              </w:rPr>
            </w:pPr>
          </w:p>
        </w:tc>
      </w:tr>
      <w:tr w14:paraId="5472E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14:paraId="556380E4">
            <w:pPr>
              <w:widowControl/>
              <w:jc w:val="center"/>
              <w:rPr>
                <w:rFonts w:ascii="宋体" w:hAnsi="宋体" w:cs="宋体"/>
                <w:color w:val="auto"/>
                <w:kern w:val="0"/>
                <w:szCs w:val="21"/>
                <w:highlight w:val="none"/>
              </w:rPr>
            </w:pPr>
          </w:p>
        </w:tc>
        <w:tc>
          <w:tcPr>
            <w:tcW w:w="2853" w:type="dxa"/>
            <w:vAlign w:val="center"/>
          </w:tcPr>
          <w:p w14:paraId="0DA27651">
            <w:pPr>
              <w:widowControl/>
              <w:jc w:val="center"/>
              <w:rPr>
                <w:rFonts w:ascii="宋体" w:hAnsi="宋体" w:cs="宋体"/>
                <w:color w:val="auto"/>
                <w:kern w:val="0"/>
                <w:szCs w:val="21"/>
                <w:highlight w:val="none"/>
              </w:rPr>
            </w:pPr>
          </w:p>
        </w:tc>
        <w:tc>
          <w:tcPr>
            <w:tcW w:w="1843" w:type="dxa"/>
            <w:vAlign w:val="center"/>
          </w:tcPr>
          <w:p w14:paraId="13235D85">
            <w:pPr>
              <w:widowControl/>
              <w:jc w:val="center"/>
              <w:rPr>
                <w:rFonts w:ascii="宋体" w:hAnsi="宋体" w:cs="宋体"/>
                <w:color w:val="auto"/>
                <w:kern w:val="0"/>
                <w:szCs w:val="21"/>
                <w:highlight w:val="none"/>
              </w:rPr>
            </w:pPr>
          </w:p>
        </w:tc>
        <w:tc>
          <w:tcPr>
            <w:tcW w:w="1134" w:type="dxa"/>
            <w:vAlign w:val="center"/>
          </w:tcPr>
          <w:p w14:paraId="126BC1C5">
            <w:pPr>
              <w:widowControl/>
              <w:jc w:val="center"/>
              <w:rPr>
                <w:rFonts w:ascii="宋体" w:hAnsi="宋体" w:cs="宋体"/>
                <w:color w:val="auto"/>
                <w:kern w:val="0"/>
                <w:szCs w:val="21"/>
                <w:highlight w:val="none"/>
              </w:rPr>
            </w:pPr>
          </w:p>
        </w:tc>
        <w:tc>
          <w:tcPr>
            <w:tcW w:w="1134" w:type="dxa"/>
            <w:vAlign w:val="center"/>
          </w:tcPr>
          <w:p w14:paraId="65F7064F">
            <w:pPr>
              <w:widowControl/>
              <w:jc w:val="center"/>
              <w:rPr>
                <w:rFonts w:ascii="宋体" w:hAnsi="宋体" w:cs="宋体"/>
                <w:color w:val="auto"/>
                <w:kern w:val="0"/>
                <w:szCs w:val="21"/>
                <w:highlight w:val="none"/>
              </w:rPr>
            </w:pPr>
          </w:p>
        </w:tc>
        <w:tc>
          <w:tcPr>
            <w:tcW w:w="1417" w:type="dxa"/>
            <w:vAlign w:val="center"/>
          </w:tcPr>
          <w:p w14:paraId="035C4428">
            <w:pPr>
              <w:widowControl/>
              <w:jc w:val="center"/>
              <w:rPr>
                <w:rFonts w:ascii="宋体" w:hAnsi="宋体" w:cs="宋体"/>
                <w:color w:val="auto"/>
                <w:kern w:val="0"/>
                <w:szCs w:val="21"/>
                <w:highlight w:val="none"/>
              </w:rPr>
            </w:pPr>
          </w:p>
        </w:tc>
      </w:tr>
      <w:tr w14:paraId="62B00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14:paraId="3C96A707">
            <w:pPr>
              <w:widowControl/>
              <w:jc w:val="center"/>
              <w:rPr>
                <w:rFonts w:ascii="宋体" w:hAnsi="宋体" w:cs="宋体"/>
                <w:color w:val="auto"/>
                <w:kern w:val="0"/>
                <w:szCs w:val="21"/>
                <w:highlight w:val="none"/>
              </w:rPr>
            </w:pPr>
          </w:p>
        </w:tc>
        <w:tc>
          <w:tcPr>
            <w:tcW w:w="2853" w:type="dxa"/>
            <w:vAlign w:val="center"/>
          </w:tcPr>
          <w:p w14:paraId="455787F3">
            <w:pPr>
              <w:widowControl/>
              <w:jc w:val="center"/>
              <w:rPr>
                <w:rFonts w:ascii="宋体" w:hAnsi="宋体" w:cs="宋体"/>
                <w:color w:val="auto"/>
                <w:kern w:val="0"/>
                <w:szCs w:val="21"/>
                <w:highlight w:val="none"/>
              </w:rPr>
            </w:pPr>
          </w:p>
        </w:tc>
        <w:tc>
          <w:tcPr>
            <w:tcW w:w="1843" w:type="dxa"/>
            <w:vAlign w:val="center"/>
          </w:tcPr>
          <w:p w14:paraId="1D967030">
            <w:pPr>
              <w:widowControl/>
              <w:jc w:val="center"/>
              <w:rPr>
                <w:rFonts w:ascii="宋体" w:hAnsi="宋体" w:cs="宋体"/>
                <w:color w:val="auto"/>
                <w:kern w:val="0"/>
                <w:szCs w:val="21"/>
                <w:highlight w:val="none"/>
              </w:rPr>
            </w:pPr>
          </w:p>
        </w:tc>
        <w:tc>
          <w:tcPr>
            <w:tcW w:w="1134" w:type="dxa"/>
            <w:vAlign w:val="center"/>
          </w:tcPr>
          <w:p w14:paraId="0C556BCD">
            <w:pPr>
              <w:widowControl/>
              <w:jc w:val="center"/>
              <w:rPr>
                <w:rFonts w:ascii="宋体" w:hAnsi="宋体" w:cs="宋体"/>
                <w:color w:val="auto"/>
                <w:kern w:val="0"/>
                <w:szCs w:val="21"/>
                <w:highlight w:val="none"/>
              </w:rPr>
            </w:pPr>
          </w:p>
        </w:tc>
        <w:tc>
          <w:tcPr>
            <w:tcW w:w="1134" w:type="dxa"/>
            <w:vAlign w:val="center"/>
          </w:tcPr>
          <w:p w14:paraId="14160CB9">
            <w:pPr>
              <w:widowControl/>
              <w:jc w:val="center"/>
              <w:rPr>
                <w:rFonts w:ascii="宋体" w:hAnsi="宋体" w:cs="宋体"/>
                <w:color w:val="auto"/>
                <w:kern w:val="0"/>
                <w:szCs w:val="21"/>
                <w:highlight w:val="none"/>
              </w:rPr>
            </w:pPr>
          </w:p>
        </w:tc>
        <w:tc>
          <w:tcPr>
            <w:tcW w:w="1417" w:type="dxa"/>
            <w:vAlign w:val="center"/>
          </w:tcPr>
          <w:p w14:paraId="6971DA15">
            <w:pPr>
              <w:widowControl/>
              <w:jc w:val="center"/>
              <w:rPr>
                <w:rFonts w:ascii="宋体" w:hAnsi="宋体" w:cs="宋体"/>
                <w:color w:val="auto"/>
                <w:kern w:val="0"/>
                <w:szCs w:val="21"/>
                <w:highlight w:val="none"/>
              </w:rPr>
            </w:pPr>
          </w:p>
        </w:tc>
      </w:tr>
      <w:tr w14:paraId="36DE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14:paraId="5990E304">
            <w:pPr>
              <w:widowControl/>
              <w:jc w:val="center"/>
              <w:rPr>
                <w:rFonts w:ascii="宋体" w:hAnsi="宋体" w:cs="宋体"/>
                <w:color w:val="auto"/>
                <w:kern w:val="0"/>
                <w:szCs w:val="21"/>
                <w:highlight w:val="none"/>
              </w:rPr>
            </w:pPr>
          </w:p>
        </w:tc>
        <w:tc>
          <w:tcPr>
            <w:tcW w:w="2853" w:type="dxa"/>
            <w:vAlign w:val="center"/>
          </w:tcPr>
          <w:p w14:paraId="04A4BFDA">
            <w:pPr>
              <w:widowControl/>
              <w:jc w:val="center"/>
              <w:rPr>
                <w:rFonts w:ascii="宋体" w:hAnsi="宋体" w:cs="宋体"/>
                <w:color w:val="auto"/>
                <w:kern w:val="0"/>
                <w:szCs w:val="21"/>
                <w:highlight w:val="none"/>
              </w:rPr>
            </w:pPr>
          </w:p>
        </w:tc>
        <w:tc>
          <w:tcPr>
            <w:tcW w:w="1843" w:type="dxa"/>
            <w:vAlign w:val="center"/>
          </w:tcPr>
          <w:p w14:paraId="5044444B">
            <w:pPr>
              <w:widowControl/>
              <w:jc w:val="center"/>
              <w:rPr>
                <w:rFonts w:ascii="宋体" w:hAnsi="宋体" w:cs="宋体"/>
                <w:color w:val="auto"/>
                <w:kern w:val="0"/>
                <w:szCs w:val="21"/>
                <w:highlight w:val="none"/>
              </w:rPr>
            </w:pPr>
          </w:p>
        </w:tc>
        <w:tc>
          <w:tcPr>
            <w:tcW w:w="1134" w:type="dxa"/>
            <w:vAlign w:val="center"/>
          </w:tcPr>
          <w:p w14:paraId="6CB4CC79">
            <w:pPr>
              <w:widowControl/>
              <w:jc w:val="center"/>
              <w:rPr>
                <w:rFonts w:ascii="宋体" w:hAnsi="宋体" w:cs="宋体"/>
                <w:color w:val="auto"/>
                <w:kern w:val="0"/>
                <w:szCs w:val="21"/>
                <w:highlight w:val="none"/>
              </w:rPr>
            </w:pPr>
          </w:p>
        </w:tc>
        <w:tc>
          <w:tcPr>
            <w:tcW w:w="1134" w:type="dxa"/>
            <w:vAlign w:val="center"/>
          </w:tcPr>
          <w:p w14:paraId="2FD61E5C">
            <w:pPr>
              <w:widowControl/>
              <w:jc w:val="center"/>
              <w:rPr>
                <w:rFonts w:ascii="宋体" w:hAnsi="宋体" w:cs="宋体"/>
                <w:color w:val="auto"/>
                <w:kern w:val="0"/>
                <w:szCs w:val="21"/>
                <w:highlight w:val="none"/>
              </w:rPr>
            </w:pPr>
          </w:p>
        </w:tc>
        <w:tc>
          <w:tcPr>
            <w:tcW w:w="1417" w:type="dxa"/>
            <w:vAlign w:val="center"/>
          </w:tcPr>
          <w:p w14:paraId="53D81495">
            <w:pPr>
              <w:widowControl/>
              <w:jc w:val="center"/>
              <w:rPr>
                <w:rFonts w:ascii="宋体" w:hAnsi="宋体" w:cs="宋体"/>
                <w:color w:val="auto"/>
                <w:kern w:val="0"/>
                <w:szCs w:val="21"/>
                <w:highlight w:val="none"/>
              </w:rPr>
            </w:pPr>
          </w:p>
        </w:tc>
      </w:tr>
      <w:tr w14:paraId="5DC90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14:paraId="3F81B834">
            <w:pPr>
              <w:widowControl/>
              <w:jc w:val="center"/>
              <w:rPr>
                <w:rFonts w:ascii="宋体" w:hAnsi="宋体" w:cs="宋体"/>
                <w:color w:val="auto"/>
                <w:kern w:val="0"/>
                <w:szCs w:val="21"/>
                <w:highlight w:val="none"/>
              </w:rPr>
            </w:pPr>
          </w:p>
        </w:tc>
        <w:tc>
          <w:tcPr>
            <w:tcW w:w="2853" w:type="dxa"/>
            <w:vAlign w:val="center"/>
          </w:tcPr>
          <w:p w14:paraId="6393BAEE">
            <w:pPr>
              <w:widowControl/>
              <w:jc w:val="center"/>
              <w:rPr>
                <w:rFonts w:ascii="宋体" w:hAnsi="宋体" w:cs="宋体"/>
                <w:color w:val="auto"/>
                <w:kern w:val="0"/>
                <w:szCs w:val="21"/>
                <w:highlight w:val="none"/>
              </w:rPr>
            </w:pPr>
          </w:p>
        </w:tc>
        <w:tc>
          <w:tcPr>
            <w:tcW w:w="1843" w:type="dxa"/>
            <w:vAlign w:val="center"/>
          </w:tcPr>
          <w:p w14:paraId="27D96B18">
            <w:pPr>
              <w:widowControl/>
              <w:jc w:val="center"/>
              <w:rPr>
                <w:rFonts w:ascii="宋体" w:hAnsi="宋体" w:cs="宋体"/>
                <w:color w:val="auto"/>
                <w:kern w:val="0"/>
                <w:szCs w:val="21"/>
                <w:highlight w:val="none"/>
              </w:rPr>
            </w:pPr>
          </w:p>
        </w:tc>
        <w:tc>
          <w:tcPr>
            <w:tcW w:w="1134" w:type="dxa"/>
            <w:vAlign w:val="center"/>
          </w:tcPr>
          <w:p w14:paraId="240FCE74">
            <w:pPr>
              <w:widowControl/>
              <w:jc w:val="center"/>
              <w:rPr>
                <w:rFonts w:ascii="宋体" w:hAnsi="宋体" w:cs="宋体"/>
                <w:color w:val="auto"/>
                <w:kern w:val="0"/>
                <w:szCs w:val="21"/>
                <w:highlight w:val="none"/>
              </w:rPr>
            </w:pPr>
          </w:p>
        </w:tc>
        <w:tc>
          <w:tcPr>
            <w:tcW w:w="1134" w:type="dxa"/>
            <w:vAlign w:val="center"/>
          </w:tcPr>
          <w:p w14:paraId="0536DEB7">
            <w:pPr>
              <w:widowControl/>
              <w:jc w:val="center"/>
              <w:rPr>
                <w:rFonts w:ascii="宋体" w:hAnsi="宋体" w:cs="宋体"/>
                <w:color w:val="auto"/>
                <w:kern w:val="0"/>
                <w:szCs w:val="21"/>
                <w:highlight w:val="none"/>
              </w:rPr>
            </w:pPr>
          </w:p>
        </w:tc>
        <w:tc>
          <w:tcPr>
            <w:tcW w:w="1417" w:type="dxa"/>
            <w:vAlign w:val="center"/>
          </w:tcPr>
          <w:p w14:paraId="31D8B9BF">
            <w:pPr>
              <w:widowControl/>
              <w:jc w:val="center"/>
              <w:rPr>
                <w:rFonts w:ascii="宋体" w:hAnsi="宋体" w:cs="宋体"/>
                <w:color w:val="auto"/>
                <w:kern w:val="0"/>
                <w:szCs w:val="21"/>
                <w:highlight w:val="none"/>
              </w:rPr>
            </w:pPr>
          </w:p>
        </w:tc>
      </w:tr>
      <w:tr w14:paraId="0109F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14:paraId="07D1340B">
            <w:pPr>
              <w:widowControl/>
              <w:jc w:val="center"/>
              <w:rPr>
                <w:rFonts w:ascii="宋体" w:hAnsi="宋体" w:cs="宋体"/>
                <w:color w:val="auto"/>
                <w:kern w:val="0"/>
                <w:szCs w:val="21"/>
                <w:highlight w:val="none"/>
              </w:rPr>
            </w:pPr>
          </w:p>
        </w:tc>
        <w:tc>
          <w:tcPr>
            <w:tcW w:w="2853" w:type="dxa"/>
            <w:vAlign w:val="center"/>
          </w:tcPr>
          <w:p w14:paraId="1CBFD204">
            <w:pPr>
              <w:widowControl/>
              <w:jc w:val="center"/>
              <w:rPr>
                <w:rFonts w:ascii="宋体" w:hAnsi="宋体" w:cs="宋体"/>
                <w:color w:val="auto"/>
                <w:kern w:val="0"/>
                <w:szCs w:val="21"/>
                <w:highlight w:val="none"/>
              </w:rPr>
            </w:pPr>
          </w:p>
        </w:tc>
        <w:tc>
          <w:tcPr>
            <w:tcW w:w="1843" w:type="dxa"/>
            <w:vAlign w:val="center"/>
          </w:tcPr>
          <w:p w14:paraId="41BE7C70">
            <w:pPr>
              <w:widowControl/>
              <w:jc w:val="center"/>
              <w:rPr>
                <w:rFonts w:ascii="宋体" w:hAnsi="宋体" w:cs="宋体"/>
                <w:color w:val="auto"/>
                <w:kern w:val="0"/>
                <w:szCs w:val="21"/>
                <w:highlight w:val="none"/>
              </w:rPr>
            </w:pPr>
          </w:p>
        </w:tc>
        <w:tc>
          <w:tcPr>
            <w:tcW w:w="1134" w:type="dxa"/>
            <w:vAlign w:val="center"/>
          </w:tcPr>
          <w:p w14:paraId="28CA6187">
            <w:pPr>
              <w:widowControl/>
              <w:jc w:val="center"/>
              <w:rPr>
                <w:rFonts w:ascii="宋体" w:hAnsi="宋体" w:cs="宋体"/>
                <w:color w:val="auto"/>
                <w:kern w:val="0"/>
                <w:szCs w:val="21"/>
                <w:highlight w:val="none"/>
              </w:rPr>
            </w:pPr>
          </w:p>
        </w:tc>
        <w:tc>
          <w:tcPr>
            <w:tcW w:w="1134" w:type="dxa"/>
            <w:vAlign w:val="center"/>
          </w:tcPr>
          <w:p w14:paraId="482716DA">
            <w:pPr>
              <w:widowControl/>
              <w:jc w:val="center"/>
              <w:rPr>
                <w:rFonts w:ascii="宋体" w:hAnsi="宋体" w:cs="宋体"/>
                <w:color w:val="auto"/>
                <w:kern w:val="0"/>
                <w:szCs w:val="21"/>
                <w:highlight w:val="none"/>
              </w:rPr>
            </w:pPr>
          </w:p>
        </w:tc>
        <w:tc>
          <w:tcPr>
            <w:tcW w:w="1417" w:type="dxa"/>
            <w:vAlign w:val="center"/>
          </w:tcPr>
          <w:p w14:paraId="0FFCAD78">
            <w:pPr>
              <w:widowControl/>
              <w:jc w:val="center"/>
              <w:rPr>
                <w:rFonts w:ascii="宋体" w:hAnsi="宋体" w:cs="宋体"/>
                <w:color w:val="auto"/>
                <w:kern w:val="0"/>
                <w:szCs w:val="21"/>
                <w:highlight w:val="none"/>
              </w:rPr>
            </w:pPr>
          </w:p>
        </w:tc>
      </w:tr>
    </w:tbl>
    <w:p w14:paraId="53196D64">
      <w:pPr>
        <w:tabs>
          <w:tab w:val="left" w:pos="7740"/>
        </w:tabs>
        <w:spacing w:line="360" w:lineRule="auto"/>
        <w:rPr>
          <w:rFonts w:ascii="宋体" w:hAnsi="宋体"/>
          <w:b/>
          <w:color w:val="auto"/>
          <w:szCs w:val="21"/>
          <w:highlight w:val="none"/>
        </w:rPr>
      </w:pPr>
      <w:r>
        <w:rPr>
          <w:rFonts w:hint="eastAsia" w:ascii="宋体" w:hAnsi="宋体"/>
          <w:b/>
          <w:color w:val="auto"/>
          <w:szCs w:val="21"/>
          <w:highlight w:val="none"/>
        </w:rPr>
        <w:t>说明：</w:t>
      </w:r>
    </w:p>
    <w:p w14:paraId="0522D03D">
      <w:pPr>
        <w:pStyle w:val="6"/>
        <w:spacing w:line="360" w:lineRule="auto"/>
        <w:ind w:firstLine="0"/>
        <w:rPr>
          <w:color w:val="auto"/>
          <w:highlight w:val="none"/>
        </w:rPr>
      </w:pPr>
      <w:r>
        <w:rPr>
          <w:rFonts w:hint="eastAsia"/>
          <w:color w:val="auto"/>
          <w:highlight w:val="none"/>
        </w:rPr>
        <w:t>1、提供符合本招标文件要求的类似项目业绩，表后附合同复印件加盖公章，否则相关评分项目不得分。</w:t>
      </w:r>
    </w:p>
    <w:p w14:paraId="2ED9F364">
      <w:pPr>
        <w:pStyle w:val="6"/>
        <w:spacing w:line="360" w:lineRule="auto"/>
        <w:ind w:firstLine="0"/>
        <w:rPr>
          <w:color w:val="auto"/>
          <w:highlight w:val="none"/>
        </w:rPr>
      </w:pPr>
      <w:r>
        <w:rPr>
          <w:rFonts w:hint="eastAsia"/>
          <w:color w:val="auto"/>
          <w:highlight w:val="none"/>
        </w:rPr>
        <w:t>2、投标人所提供合同必须是真实有效的。在合同签订前，如采购人经核实后发现与实际情况不符，取消其中标资格，并按有关规定处理。</w:t>
      </w:r>
    </w:p>
    <w:p w14:paraId="30C49E12">
      <w:pPr>
        <w:pStyle w:val="6"/>
        <w:spacing w:line="360" w:lineRule="auto"/>
        <w:ind w:firstLine="0"/>
        <w:rPr>
          <w:color w:val="auto"/>
          <w:highlight w:val="none"/>
        </w:rPr>
      </w:pPr>
      <w:r>
        <w:rPr>
          <w:rFonts w:hint="eastAsia"/>
          <w:color w:val="auto"/>
          <w:highlight w:val="none"/>
        </w:rPr>
        <w:t>3、此表在不改变表式的情况下，可自行制作。</w:t>
      </w:r>
    </w:p>
    <w:p w14:paraId="2EE6CFC6">
      <w:pPr>
        <w:pStyle w:val="6"/>
        <w:spacing w:line="360" w:lineRule="auto"/>
        <w:ind w:firstLine="0"/>
        <w:rPr>
          <w:color w:val="auto"/>
          <w:highlight w:val="none"/>
        </w:rPr>
      </w:pPr>
    </w:p>
    <w:p w14:paraId="512D7540">
      <w:pPr>
        <w:pStyle w:val="6"/>
        <w:spacing w:line="360" w:lineRule="auto"/>
        <w:ind w:firstLine="0"/>
        <w:rPr>
          <w:color w:val="auto"/>
          <w:highlight w:val="none"/>
        </w:rPr>
      </w:pPr>
    </w:p>
    <w:p w14:paraId="2A007495">
      <w:pPr>
        <w:spacing w:line="360" w:lineRule="auto"/>
        <w:rPr>
          <w:rFonts w:ascii="宋体" w:hAnsi="宋体"/>
          <w:b/>
          <w:color w:val="auto"/>
          <w:szCs w:val="21"/>
          <w:highlight w:val="none"/>
          <w:u w:val="single"/>
        </w:rPr>
      </w:pPr>
      <w:r>
        <w:rPr>
          <w:rFonts w:hint="eastAsia" w:ascii="宋体" w:hAnsi="宋体"/>
          <w:color w:val="auto"/>
          <w:szCs w:val="21"/>
          <w:highlight w:val="none"/>
        </w:rPr>
        <w:t>法定代表人(或全权代表)签字或盖章：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日期：</w:t>
      </w:r>
      <w:r>
        <w:rPr>
          <w:rFonts w:hint="eastAsia" w:ascii="宋体" w:hAnsi="宋体"/>
          <w:color w:val="auto"/>
          <w:szCs w:val="21"/>
          <w:highlight w:val="none"/>
          <w:u w:val="single"/>
        </w:rPr>
        <w:t xml:space="preserve">                  </w:t>
      </w:r>
    </w:p>
    <w:p w14:paraId="6695B30B">
      <w:pPr>
        <w:spacing w:line="360" w:lineRule="auto"/>
        <w:rPr>
          <w:rFonts w:ascii="宋体" w:hAnsi="宋体"/>
          <w:color w:val="auto"/>
          <w:szCs w:val="21"/>
          <w:highlight w:val="none"/>
        </w:rPr>
      </w:pPr>
    </w:p>
    <w:p w14:paraId="761EEE99">
      <w:pPr>
        <w:spacing w:line="360" w:lineRule="auto"/>
        <w:rPr>
          <w:rFonts w:ascii="宋体" w:hAnsi="宋体"/>
          <w:color w:val="auto"/>
          <w:szCs w:val="21"/>
          <w:highlight w:val="none"/>
        </w:rPr>
        <w:sectPr>
          <w:pgSz w:w="11906" w:h="16838"/>
          <w:pgMar w:top="1474" w:right="1418" w:bottom="1418" w:left="1418" w:header="851" w:footer="851" w:gutter="0"/>
          <w:cols w:space="720" w:num="1"/>
          <w:docGrid w:type="linesAndChars" w:linePitch="312" w:charSpace="0"/>
        </w:sectPr>
      </w:pPr>
    </w:p>
    <w:tbl>
      <w:tblPr>
        <w:tblStyle w:val="25"/>
        <w:tblW w:w="14480" w:type="dxa"/>
        <w:tblInd w:w="-176" w:type="dxa"/>
        <w:tblLayout w:type="fixed"/>
        <w:tblCellMar>
          <w:top w:w="0" w:type="dxa"/>
          <w:left w:w="108" w:type="dxa"/>
          <w:bottom w:w="0" w:type="dxa"/>
          <w:right w:w="108" w:type="dxa"/>
        </w:tblCellMar>
      </w:tblPr>
      <w:tblGrid>
        <w:gridCol w:w="14480"/>
      </w:tblGrid>
      <w:tr w14:paraId="5A88572A">
        <w:tblPrEx>
          <w:tblCellMar>
            <w:top w:w="0" w:type="dxa"/>
            <w:left w:w="108" w:type="dxa"/>
            <w:bottom w:w="0" w:type="dxa"/>
            <w:right w:w="108" w:type="dxa"/>
          </w:tblCellMar>
        </w:tblPrEx>
        <w:trPr>
          <w:trHeight w:val="684" w:hRule="atLeast"/>
        </w:trPr>
        <w:tc>
          <w:tcPr>
            <w:tcW w:w="14480" w:type="dxa"/>
            <w:tcBorders>
              <w:top w:val="nil"/>
              <w:left w:val="nil"/>
              <w:bottom w:val="nil"/>
              <w:right w:val="nil"/>
            </w:tcBorders>
            <w:noWrap w:val="0"/>
            <w:vAlign w:val="bottom"/>
          </w:tcPr>
          <w:p w14:paraId="70A792BC">
            <w:pPr>
              <w:pStyle w:val="4"/>
              <w:jc w:val="both"/>
              <w:rPr>
                <w:rFonts w:ascii="宋体" w:hAnsi="宋体" w:cs="宋体"/>
                <w:b/>
                <w:bCs/>
                <w:color w:val="auto"/>
                <w:kern w:val="0"/>
                <w:sz w:val="21"/>
                <w:szCs w:val="21"/>
                <w:highlight w:val="none"/>
              </w:rPr>
            </w:pPr>
            <w:r>
              <w:rPr>
                <w:rFonts w:hint="eastAsia" w:ascii="宋体" w:hAnsi="宋体"/>
                <w:color w:val="auto"/>
                <w:highlight w:val="none"/>
              </w:rPr>
              <w:t xml:space="preserve"> </w:t>
            </w:r>
            <w:r>
              <w:rPr>
                <w:rFonts w:hint="eastAsia" w:ascii="宋体" w:hAnsi="宋体" w:cs="宋体"/>
                <w:b/>
                <w:bCs/>
                <w:color w:val="auto"/>
                <w:kern w:val="0"/>
                <w:sz w:val="21"/>
                <w:szCs w:val="21"/>
                <w:highlight w:val="none"/>
              </w:rPr>
              <w:t xml:space="preserve">附件：                             </w:t>
            </w:r>
            <w:r>
              <w:rPr>
                <w:rFonts w:hint="eastAsia" w:ascii="宋体" w:hAnsi="宋体" w:cs="宋体"/>
                <w:b/>
                <w:bCs/>
                <w:color w:val="auto"/>
                <w:sz w:val="21"/>
                <w:szCs w:val="21"/>
                <w:highlight w:val="none"/>
              </w:rPr>
              <w:t>中小企业划型标准规定（工信部联企业[2011]300号）</w:t>
            </w:r>
          </w:p>
        </w:tc>
      </w:tr>
      <w:tr w14:paraId="33CCDAC8">
        <w:tblPrEx>
          <w:tblCellMar>
            <w:top w:w="0" w:type="dxa"/>
            <w:left w:w="108" w:type="dxa"/>
            <w:bottom w:w="0" w:type="dxa"/>
            <w:right w:w="108" w:type="dxa"/>
          </w:tblCellMar>
        </w:tblPrEx>
        <w:trPr>
          <w:trHeight w:val="7901" w:hRule="atLeast"/>
        </w:trPr>
        <w:tc>
          <w:tcPr>
            <w:tcW w:w="14480" w:type="dxa"/>
            <w:tcBorders>
              <w:top w:val="nil"/>
              <w:left w:val="nil"/>
              <w:bottom w:val="nil"/>
              <w:right w:val="nil"/>
            </w:tcBorders>
            <w:noWrap w:val="0"/>
            <w:vAlign w:val="bottom"/>
          </w:tcPr>
          <w:p w14:paraId="2097C9EA">
            <w:pPr>
              <w:pStyle w:val="5"/>
              <w:numPr>
                <w:ilvl w:val="0"/>
                <w:numId w:val="0"/>
              </w:numPr>
              <w:ind w:leftChars="0"/>
              <w:jc w:val="both"/>
              <w:rPr>
                <w:color w:val="auto"/>
                <w:sz w:val="21"/>
                <w:szCs w:val="21"/>
                <w:highlight w:val="none"/>
                <w:lang w:val="en-US" w:eastAsia="zh-CN"/>
              </w:rPr>
            </w:pPr>
            <w:bookmarkStart w:id="41" w:name="_Toc26608"/>
            <w:r>
              <w:rPr>
                <w:color w:val="auto"/>
                <w:sz w:val="21"/>
                <w:szCs w:val="21"/>
                <w:highlight w:val="none"/>
                <w:lang w:val="en-US" w:eastAsia="zh-CN"/>
              </w:rPr>
              <w:drawing>
                <wp:inline distT="0" distB="0" distL="114300" distR="114300">
                  <wp:extent cx="8990965" cy="4803775"/>
                  <wp:effectExtent l="0" t="0" r="635" b="1206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8990965" cy="4803775"/>
                          </a:xfrm>
                          <a:prstGeom prst="rect">
                            <a:avLst/>
                          </a:prstGeom>
                          <a:noFill/>
                          <a:ln>
                            <a:noFill/>
                          </a:ln>
                        </pic:spPr>
                      </pic:pic>
                    </a:graphicData>
                  </a:graphic>
                </wp:inline>
              </w:drawing>
            </w:r>
            <w:bookmarkEnd w:id="41"/>
          </w:p>
        </w:tc>
      </w:tr>
    </w:tbl>
    <w:p w14:paraId="7815ECD9">
      <w:pPr>
        <w:rPr>
          <w:color w:val="auto"/>
          <w:highlight w:val="none"/>
        </w:rPr>
      </w:pPr>
    </w:p>
    <w:sectPr>
      <w:pgSz w:w="16838" w:h="11906" w:orient="landscape"/>
      <w:pgMar w:top="1418" w:right="1247" w:bottom="1077" w:left="1191" w:header="851"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C11B7">
    <w:pPr>
      <w:pStyle w:val="17"/>
      <w:tabs>
        <w:tab w:val="left" w:pos="4305"/>
        <w:tab w:val="center" w:pos="4535"/>
      </w:tabs>
    </w:pPr>
    <w:r>
      <w:tab/>
    </w:r>
    <w:r>
      <w:tab/>
    </w:r>
    <w:r>
      <w:tab/>
    </w:r>
    <w:r>
      <w:fldChar w:fldCharType="begin"/>
    </w:r>
    <w:r>
      <w:instrText xml:space="preserve"> PAGE   \* MERGEFORMAT </w:instrText>
    </w:r>
    <w:r>
      <w:fldChar w:fldCharType="separate"/>
    </w:r>
    <w:r>
      <w:rPr>
        <w:lang w:val="zh-CN"/>
      </w:rPr>
      <w:t>74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7EEA4">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3EBE2">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1DA83">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B10EB">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4403F">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F1585"/>
    <w:multiLevelType w:val="singleLevel"/>
    <w:tmpl w:val="993F1585"/>
    <w:lvl w:ilvl="0" w:tentative="0">
      <w:start w:val="5"/>
      <w:numFmt w:val="decimal"/>
      <w:suff w:val="nothing"/>
      <w:lvlText w:val="%1、"/>
      <w:lvlJc w:val="left"/>
    </w:lvl>
  </w:abstractNum>
  <w:abstractNum w:abstractNumId="1">
    <w:nsid w:val="C20DCAA4"/>
    <w:multiLevelType w:val="singleLevel"/>
    <w:tmpl w:val="C20DCAA4"/>
    <w:lvl w:ilvl="0" w:tentative="0">
      <w:start w:val="9"/>
      <w:numFmt w:val="chineseCounting"/>
      <w:suff w:val="nothing"/>
      <w:lvlText w:val="%1、"/>
      <w:lvlJc w:val="left"/>
      <w:rPr>
        <w:rFonts w:hint="eastAsia"/>
      </w:rPr>
    </w:lvl>
  </w:abstractNum>
  <w:abstractNum w:abstractNumId="2">
    <w:nsid w:val="00000017"/>
    <w:multiLevelType w:val="singleLevel"/>
    <w:tmpl w:val="00000017"/>
    <w:lvl w:ilvl="0" w:tentative="0">
      <w:start w:val="1"/>
      <w:numFmt w:val="decimal"/>
      <w:suff w:val="nothing"/>
      <w:lvlText w:val="%1."/>
      <w:lvlJc w:val="left"/>
    </w:lvl>
  </w:abstractNum>
  <w:abstractNum w:abstractNumId="3">
    <w:nsid w:val="11A75968"/>
    <w:multiLevelType w:val="multilevel"/>
    <w:tmpl w:val="11A75968"/>
    <w:lvl w:ilvl="0" w:tentative="0">
      <w:start w:val="1"/>
      <w:numFmt w:val="chineseCountingThousand"/>
      <w:lvlText w:val="第%1章. "/>
      <w:lvlJc w:val="left"/>
      <w:pPr>
        <w:tabs>
          <w:tab w:val="left" w:pos="1560"/>
        </w:tabs>
        <w:ind w:left="1560" w:hanging="425"/>
      </w:pPr>
      <w:rPr>
        <w:rFonts w:hint="eastAsia" w:eastAsia="仿宋_GB2312"/>
        <w:b/>
        <w:i w:val="0"/>
        <w:sz w:val="32"/>
      </w:rPr>
    </w:lvl>
    <w:lvl w:ilvl="1" w:tentative="0">
      <w:start w:val="1"/>
      <w:numFmt w:val="decimal"/>
      <w:isLgl/>
      <w:lvlText w:val="%1.%2."/>
      <w:lvlJc w:val="left"/>
      <w:pPr>
        <w:tabs>
          <w:tab w:val="left" w:pos="4537"/>
        </w:tabs>
        <w:ind w:left="4537" w:hanging="567"/>
      </w:pPr>
      <w:rPr>
        <w:rFonts w:hint="eastAsia"/>
      </w:rPr>
    </w:lvl>
    <w:lvl w:ilvl="2" w:tentative="0">
      <w:start w:val="1"/>
      <w:numFmt w:val="decimal"/>
      <w:isLgl/>
      <w:lvlText w:val="%1.%2.%3."/>
      <w:lvlJc w:val="left"/>
      <w:pPr>
        <w:tabs>
          <w:tab w:val="left" w:pos="851"/>
        </w:tabs>
        <w:ind w:left="851" w:hanging="709"/>
      </w:pPr>
      <w:rPr>
        <w:rFonts w:hint="default" w:ascii="Times New Roman" w:hAnsi="Times New Roman" w:cs="Times New Roman"/>
      </w:rPr>
    </w:lvl>
    <w:lvl w:ilvl="3" w:tentative="0">
      <w:start w:val="1"/>
      <w:numFmt w:val="decimal"/>
      <w:isLgl/>
      <w:lvlText w:val="%1.%2.%3.%4."/>
      <w:lvlJc w:val="left"/>
      <w:pPr>
        <w:tabs>
          <w:tab w:val="left" w:pos="851"/>
        </w:tabs>
        <w:ind w:left="851" w:hanging="851"/>
      </w:pPr>
      <w:rPr>
        <w:rFonts w:hint="eastAsia"/>
      </w:rPr>
    </w:lvl>
    <w:lvl w:ilvl="4" w:tentative="0">
      <w:start w:val="1"/>
      <w:numFmt w:val="decimal"/>
      <w:pStyle w:val="9"/>
      <w:isLgl/>
      <w:lvlText w:val="%1.%2.%3.%4.%5."/>
      <w:lvlJc w:val="left"/>
      <w:pPr>
        <w:tabs>
          <w:tab w:val="left" w:pos="1134"/>
        </w:tabs>
        <w:ind w:left="1134" w:hanging="992"/>
      </w:pPr>
      <w:rPr>
        <w:rFonts w:hint="eastAsia"/>
      </w:rPr>
    </w:lvl>
    <w:lvl w:ilvl="5" w:tentative="0">
      <w:start w:val="1"/>
      <w:numFmt w:val="decimal"/>
      <w:lvlText w:val="%6、"/>
      <w:lvlJc w:val="left"/>
      <w:pPr>
        <w:ind w:left="862" w:hanging="720"/>
      </w:pPr>
      <w:rPr>
        <w:rFonts w:hint="default"/>
      </w:rPr>
    </w:lvl>
    <w:lvl w:ilvl="6" w:tentative="0">
      <w:start w:val="2"/>
      <w:numFmt w:val="decimal"/>
      <w:lvlText w:val="%7．"/>
      <w:lvlJc w:val="left"/>
      <w:pPr>
        <w:ind w:left="862" w:hanging="720"/>
      </w:pPr>
      <w:rPr>
        <w:rFonts w:hint="default"/>
      </w:rPr>
    </w:lvl>
    <w:lvl w:ilvl="7" w:tentative="0">
      <w:start w:val="1"/>
      <w:numFmt w:val="decimal"/>
      <w:lvlText w:val="%8."/>
      <w:lvlJc w:val="left"/>
      <w:pPr>
        <w:ind w:left="862" w:hanging="720"/>
      </w:pPr>
      <w:rPr>
        <w:rFonts w:hint="eastAsia"/>
      </w:rPr>
    </w:lvl>
    <w:lvl w:ilvl="8" w:tentative="0">
      <w:start w:val="1"/>
      <w:numFmt w:val="japaneseCounting"/>
      <w:lvlText w:val="（%9）"/>
      <w:lvlJc w:val="left"/>
      <w:pPr>
        <w:ind w:left="1027" w:hanging="885"/>
      </w:pPr>
      <w:rPr>
        <w:rFonts w:hint="default"/>
      </w:rPr>
    </w:lvl>
  </w:abstractNum>
  <w:abstractNum w:abstractNumId="4">
    <w:nsid w:val="1AFA19EE"/>
    <w:multiLevelType w:val="multilevel"/>
    <w:tmpl w:val="1AFA19EE"/>
    <w:lvl w:ilvl="0" w:tentative="0">
      <w:start w:val="1"/>
      <w:numFmt w:val="decimal"/>
      <w:lvlText w:val="%1."/>
      <w:lvlJc w:val="left"/>
      <w:pPr>
        <w:ind w:left="757" w:hanging="360"/>
      </w:pPr>
      <w:rPr>
        <w:rFonts w:hint="default"/>
        <w:w w:val="95"/>
      </w:rPr>
    </w:lvl>
    <w:lvl w:ilvl="1" w:tentative="0">
      <w:start w:val="1"/>
      <w:numFmt w:val="lowerLetter"/>
      <w:lvlText w:val="%2)"/>
      <w:lvlJc w:val="left"/>
      <w:pPr>
        <w:ind w:left="1237" w:hanging="420"/>
      </w:pPr>
    </w:lvl>
    <w:lvl w:ilvl="2" w:tentative="0">
      <w:start w:val="1"/>
      <w:numFmt w:val="lowerRoman"/>
      <w:lvlText w:val="%3."/>
      <w:lvlJc w:val="right"/>
      <w:pPr>
        <w:ind w:left="1657" w:hanging="420"/>
      </w:pPr>
    </w:lvl>
    <w:lvl w:ilvl="3" w:tentative="0">
      <w:start w:val="1"/>
      <w:numFmt w:val="decimal"/>
      <w:lvlText w:val="%4."/>
      <w:lvlJc w:val="left"/>
      <w:pPr>
        <w:ind w:left="2077" w:hanging="420"/>
      </w:pPr>
    </w:lvl>
    <w:lvl w:ilvl="4" w:tentative="0">
      <w:start w:val="1"/>
      <w:numFmt w:val="lowerLetter"/>
      <w:lvlText w:val="%5)"/>
      <w:lvlJc w:val="left"/>
      <w:pPr>
        <w:ind w:left="2497" w:hanging="420"/>
      </w:pPr>
    </w:lvl>
    <w:lvl w:ilvl="5" w:tentative="0">
      <w:start w:val="1"/>
      <w:numFmt w:val="lowerRoman"/>
      <w:lvlText w:val="%6."/>
      <w:lvlJc w:val="right"/>
      <w:pPr>
        <w:ind w:left="2917" w:hanging="420"/>
      </w:pPr>
    </w:lvl>
    <w:lvl w:ilvl="6" w:tentative="0">
      <w:start w:val="1"/>
      <w:numFmt w:val="decimal"/>
      <w:lvlText w:val="%7."/>
      <w:lvlJc w:val="left"/>
      <w:pPr>
        <w:ind w:left="3337" w:hanging="420"/>
      </w:pPr>
    </w:lvl>
    <w:lvl w:ilvl="7" w:tentative="0">
      <w:start w:val="1"/>
      <w:numFmt w:val="lowerLetter"/>
      <w:lvlText w:val="%8)"/>
      <w:lvlJc w:val="left"/>
      <w:pPr>
        <w:ind w:left="3757" w:hanging="420"/>
      </w:pPr>
    </w:lvl>
    <w:lvl w:ilvl="8" w:tentative="0">
      <w:start w:val="1"/>
      <w:numFmt w:val="lowerRoman"/>
      <w:lvlText w:val="%9."/>
      <w:lvlJc w:val="right"/>
      <w:pPr>
        <w:ind w:left="4177" w:hanging="420"/>
      </w:pPr>
    </w:lvl>
  </w:abstractNum>
  <w:abstractNum w:abstractNumId="5">
    <w:nsid w:val="2C37CBC2"/>
    <w:multiLevelType w:val="singleLevel"/>
    <w:tmpl w:val="2C37CBC2"/>
    <w:lvl w:ilvl="0" w:tentative="0">
      <w:start w:val="2"/>
      <w:numFmt w:val="decimal"/>
      <w:suff w:val="space"/>
      <w:lvlText w:val="%1."/>
      <w:lvlJc w:val="left"/>
    </w:lvl>
  </w:abstractNum>
  <w:abstractNum w:abstractNumId="6">
    <w:nsid w:val="4C4C4634"/>
    <w:multiLevelType w:val="multilevel"/>
    <w:tmpl w:val="4C4C4634"/>
    <w:lvl w:ilvl="0" w:tentative="0">
      <w:start w:val="1"/>
      <w:numFmt w:val="decimal"/>
      <w:lvlText w:val="%1"/>
      <w:lvlJc w:val="left"/>
      <w:pPr>
        <w:tabs>
          <w:tab w:val="left" w:pos="432"/>
        </w:tabs>
        <w:ind w:left="432" w:hanging="432"/>
      </w:pPr>
      <w:rPr>
        <w:rFonts w:hint="eastAsia"/>
      </w:rPr>
    </w:lvl>
    <w:lvl w:ilvl="1" w:tentative="0">
      <w:start w:val="1"/>
      <w:numFmt w:val="decimal"/>
      <w:pStyle w:val="5"/>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
    <w:nsid w:val="520EB797"/>
    <w:multiLevelType w:val="multilevel"/>
    <w:tmpl w:val="520EB797"/>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7"/>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pStyle w:val="11"/>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6"/>
  </w:num>
  <w:num w:numId="2">
    <w:abstractNumId w:val="7"/>
  </w:num>
  <w:num w:numId="3">
    <w:abstractNumId w:val="3"/>
  </w:num>
  <w:num w:numId="4">
    <w:abstractNumId w:val="2"/>
  </w:num>
  <w:num w:numId="5">
    <w:abstractNumId w:val="1"/>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46D360DD"/>
    <w:rsid w:val="00004AF4"/>
    <w:rsid w:val="0005754F"/>
    <w:rsid w:val="000901ED"/>
    <w:rsid w:val="00093F43"/>
    <w:rsid w:val="000A3340"/>
    <w:rsid w:val="000B5FF1"/>
    <w:rsid w:val="000D705B"/>
    <w:rsid w:val="000E21E0"/>
    <w:rsid w:val="001006DE"/>
    <w:rsid w:val="0010568F"/>
    <w:rsid w:val="001060AF"/>
    <w:rsid w:val="00110B76"/>
    <w:rsid w:val="00136F7A"/>
    <w:rsid w:val="0016027F"/>
    <w:rsid w:val="00176F8B"/>
    <w:rsid w:val="00176FCA"/>
    <w:rsid w:val="001828FB"/>
    <w:rsid w:val="001A1287"/>
    <w:rsid w:val="001C3E66"/>
    <w:rsid w:val="001E3500"/>
    <w:rsid w:val="0022727B"/>
    <w:rsid w:val="00240246"/>
    <w:rsid w:val="0026253C"/>
    <w:rsid w:val="002742F0"/>
    <w:rsid w:val="00274732"/>
    <w:rsid w:val="002A6EF7"/>
    <w:rsid w:val="002A7279"/>
    <w:rsid w:val="002B3395"/>
    <w:rsid w:val="002D0FD4"/>
    <w:rsid w:val="002D14D3"/>
    <w:rsid w:val="00331098"/>
    <w:rsid w:val="00344C0A"/>
    <w:rsid w:val="00367A5E"/>
    <w:rsid w:val="00373D97"/>
    <w:rsid w:val="0037688B"/>
    <w:rsid w:val="00390779"/>
    <w:rsid w:val="003B76C1"/>
    <w:rsid w:val="003C2CC5"/>
    <w:rsid w:val="003D28C4"/>
    <w:rsid w:val="003D421F"/>
    <w:rsid w:val="003E2CEE"/>
    <w:rsid w:val="003E6040"/>
    <w:rsid w:val="00436256"/>
    <w:rsid w:val="00440223"/>
    <w:rsid w:val="004464B1"/>
    <w:rsid w:val="00447A96"/>
    <w:rsid w:val="0048273C"/>
    <w:rsid w:val="004A2E8B"/>
    <w:rsid w:val="004A7E2F"/>
    <w:rsid w:val="004B5DE3"/>
    <w:rsid w:val="004B6BFC"/>
    <w:rsid w:val="004D38B8"/>
    <w:rsid w:val="004D4EFB"/>
    <w:rsid w:val="00526A2A"/>
    <w:rsid w:val="0054451C"/>
    <w:rsid w:val="00555265"/>
    <w:rsid w:val="0057405F"/>
    <w:rsid w:val="00580055"/>
    <w:rsid w:val="005A24FE"/>
    <w:rsid w:val="005D3080"/>
    <w:rsid w:val="005E4F4D"/>
    <w:rsid w:val="005F6F8D"/>
    <w:rsid w:val="0061150A"/>
    <w:rsid w:val="006128A5"/>
    <w:rsid w:val="006202CC"/>
    <w:rsid w:val="006612DB"/>
    <w:rsid w:val="0066420D"/>
    <w:rsid w:val="006818A3"/>
    <w:rsid w:val="0069750D"/>
    <w:rsid w:val="006A3CFC"/>
    <w:rsid w:val="006B1158"/>
    <w:rsid w:val="006C0AC5"/>
    <w:rsid w:val="006C0EC3"/>
    <w:rsid w:val="006D52E3"/>
    <w:rsid w:val="007072BD"/>
    <w:rsid w:val="007111B5"/>
    <w:rsid w:val="007145D9"/>
    <w:rsid w:val="007324AC"/>
    <w:rsid w:val="00746311"/>
    <w:rsid w:val="00766CFB"/>
    <w:rsid w:val="00770AD3"/>
    <w:rsid w:val="00782FFA"/>
    <w:rsid w:val="00791DD4"/>
    <w:rsid w:val="007D6F02"/>
    <w:rsid w:val="007E273A"/>
    <w:rsid w:val="007E3273"/>
    <w:rsid w:val="007F2E40"/>
    <w:rsid w:val="008255F3"/>
    <w:rsid w:val="008315A9"/>
    <w:rsid w:val="008416D8"/>
    <w:rsid w:val="00856B4E"/>
    <w:rsid w:val="00872F24"/>
    <w:rsid w:val="00882C50"/>
    <w:rsid w:val="0089034B"/>
    <w:rsid w:val="008B377B"/>
    <w:rsid w:val="008B4FFA"/>
    <w:rsid w:val="008C1D72"/>
    <w:rsid w:val="008C75D0"/>
    <w:rsid w:val="008F3DC8"/>
    <w:rsid w:val="00914285"/>
    <w:rsid w:val="009200AD"/>
    <w:rsid w:val="00960E9B"/>
    <w:rsid w:val="00986BA9"/>
    <w:rsid w:val="009B4475"/>
    <w:rsid w:val="009C105A"/>
    <w:rsid w:val="009C117A"/>
    <w:rsid w:val="009E2F44"/>
    <w:rsid w:val="009E5ECD"/>
    <w:rsid w:val="009E6CC2"/>
    <w:rsid w:val="009F4DFB"/>
    <w:rsid w:val="00A05102"/>
    <w:rsid w:val="00A332EF"/>
    <w:rsid w:val="00A41318"/>
    <w:rsid w:val="00A44CDA"/>
    <w:rsid w:val="00A65986"/>
    <w:rsid w:val="00A812AD"/>
    <w:rsid w:val="00AC112F"/>
    <w:rsid w:val="00AC3938"/>
    <w:rsid w:val="00B07265"/>
    <w:rsid w:val="00B23367"/>
    <w:rsid w:val="00BD0E1C"/>
    <w:rsid w:val="00BE2DDB"/>
    <w:rsid w:val="00BF3A0C"/>
    <w:rsid w:val="00C25CA2"/>
    <w:rsid w:val="00C63247"/>
    <w:rsid w:val="00C64A14"/>
    <w:rsid w:val="00C7093B"/>
    <w:rsid w:val="00C86A7F"/>
    <w:rsid w:val="00CA6B04"/>
    <w:rsid w:val="00CF72F7"/>
    <w:rsid w:val="00D241F6"/>
    <w:rsid w:val="00D37C0E"/>
    <w:rsid w:val="00D7470B"/>
    <w:rsid w:val="00D772A3"/>
    <w:rsid w:val="00D7783C"/>
    <w:rsid w:val="00D877D7"/>
    <w:rsid w:val="00D9442C"/>
    <w:rsid w:val="00DC2B57"/>
    <w:rsid w:val="00DD11F2"/>
    <w:rsid w:val="00DE04D6"/>
    <w:rsid w:val="00DE7C6B"/>
    <w:rsid w:val="00DF2347"/>
    <w:rsid w:val="00E053B5"/>
    <w:rsid w:val="00E06571"/>
    <w:rsid w:val="00E110FB"/>
    <w:rsid w:val="00E15375"/>
    <w:rsid w:val="00E20648"/>
    <w:rsid w:val="00E35209"/>
    <w:rsid w:val="00E41008"/>
    <w:rsid w:val="00E91CF8"/>
    <w:rsid w:val="00E93A07"/>
    <w:rsid w:val="00EA48A9"/>
    <w:rsid w:val="00ED669E"/>
    <w:rsid w:val="00ED7640"/>
    <w:rsid w:val="00EE5F77"/>
    <w:rsid w:val="00EF1337"/>
    <w:rsid w:val="00F0524B"/>
    <w:rsid w:val="00F11985"/>
    <w:rsid w:val="00F51B41"/>
    <w:rsid w:val="00F54775"/>
    <w:rsid w:val="00F6210E"/>
    <w:rsid w:val="00F673CD"/>
    <w:rsid w:val="00FA3657"/>
    <w:rsid w:val="00FD4D95"/>
    <w:rsid w:val="00FE4927"/>
    <w:rsid w:val="00FF232A"/>
    <w:rsid w:val="01791E9A"/>
    <w:rsid w:val="01D82259"/>
    <w:rsid w:val="05ED42CA"/>
    <w:rsid w:val="05FD6068"/>
    <w:rsid w:val="06781C69"/>
    <w:rsid w:val="07840B49"/>
    <w:rsid w:val="07ED4B98"/>
    <w:rsid w:val="082D18F6"/>
    <w:rsid w:val="0BC628DC"/>
    <w:rsid w:val="0D314605"/>
    <w:rsid w:val="0F9E6502"/>
    <w:rsid w:val="11E456A6"/>
    <w:rsid w:val="158D3B6D"/>
    <w:rsid w:val="15FFDC88"/>
    <w:rsid w:val="19B836C8"/>
    <w:rsid w:val="1B881512"/>
    <w:rsid w:val="1D246940"/>
    <w:rsid w:val="1D2B423B"/>
    <w:rsid w:val="1DC31132"/>
    <w:rsid w:val="1EAE5338"/>
    <w:rsid w:val="20D33114"/>
    <w:rsid w:val="21145152"/>
    <w:rsid w:val="22DC4BFA"/>
    <w:rsid w:val="23311AAC"/>
    <w:rsid w:val="234565C0"/>
    <w:rsid w:val="24F22462"/>
    <w:rsid w:val="267E268D"/>
    <w:rsid w:val="26C42C79"/>
    <w:rsid w:val="26FB4E8B"/>
    <w:rsid w:val="2B373A28"/>
    <w:rsid w:val="30657E19"/>
    <w:rsid w:val="34BD160E"/>
    <w:rsid w:val="35842849"/>
    <w:rsid w:val="35A61826"/>
    <w:rsid w:val="36D448E6"/>
    <w:rsid w:val="37E813AF"/>
    <w:rsid w:val="38881C19"/>
    <w:rsid w:val="399863F1"/>
    <w:rsid w:val="39BF125B"/>
    <w:rsid w:val="3A09051C"/>
    <w:rsid w:val="3A0E0140"/>
    <w:rsid w:val="3BF45E76"/>
    <w:rsid w:val="3C712836"/>
    <w:rsid w:val="3CFB7642"/>
    <w:rsid w:val="3E762CFE"/>
    <w:rsid w:val="3EB44F6F"/>
    <w:rsid w:val="3FA71584"/>
    <w:rsid w:val="3FD62755"/>
    <w:rsid w:val="40BB267C"/>
    <w:rsid w:val="40DC6B5C"/>
    <w:rsid w:val="43EB3FCC"/>
    <w:rsid w:val="44EE6A8B"/>
    <w:rsid w:val="44F91E72"/>
    <w:rsid w:val="46182CFF"/>
    <w:rsid w:val="46D360DD"/>
    <w:rsid w:val="49D339D7"/>
    <w:rsid w:val="49FA4587"/>
    <w:rsid w:val="4A6127E8"/>
    <w:rsid w:val="4AA14247"/>
    <w:rsid w:val="4AD35B4B"/>
    <w:rsid w:val="4C1A5148"/>
    <w:rsid w:val="4D2D2912"/>
    <w:rsid w:val="4D8C76BD"/>
    <w:rsid w:val="4FBB16CE"/>
    <w:rsid w:val="4FCF0F72"/>
    <w:rsid w:val="525F623A"/>
    <w:rsid w:val="53676424"/>
    <w:rsid w:val="564F551D"/>
    <w:rsid w:val="586E47C8"/>
    <w:rsid w:val="590E5A4D"/>
    <w:rsid w:val="5C6725BA"/>
    <w:rsid w:val="5CD86913"/>
    <w:rsid w:val="5E2E614E"/>
    <w:rsid w:val="619A4E2A"/>
    <w:rsid w:val="626F2345"/>
    <w:rsid w:val="62B4714F"/>
    <w:rsid w:val="657C6111"/>
    <w:rsid w:val="65A23EE2"/>
    <w:rsid w:val="65DD64D2"/>
    <w:rsid w:val="690B2A58"/>
    <w:rsid w:val="6A6439CF"/>
    <w:rsid w:val="6AD236BC"/>
    <w:rsid w:val="6D087755"/>
    <w:rsid w:val="6D9E1ACD"/>
    <w:rsid w:val="6E277775"/>
    <w:rsid w:val="6F552E90"/>
    <w:rsid w:val="70870830"/>
    <w:rsid w:val="738719E2"/>
    <w:rsid w:val="7466777F"/>
    <w:rsid w:val="74BB03D1"/>
    <w:rsid w:val="77FD0F38"/>
    <w:rsid w:val="793267D2"/>
    <w:rsid w:val="794444AF"/>
    <w:rsid w:val="7BEB6C79"/>
    <w:rsid w:val="7C924AF1"/>
    <w:rsid w:val="7CAC7927"/>
    <w:rsid w:val="7DBA1A87"/>
    <w:rsid w:val="7EAE0F67"/>
    <w:rsid w:val="7F703DD9"/>
    <w:rsid w:val="BD9FB129"/>
    <w:rsid w:val="E35D3B75"/>
    <w:rsid w:val="F6AF35CB"/>
    <w:rsid w:val="FDF78167"/>
    <w:rsid w:val="FFD6B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9"/>
    <w:pPr>
      <w:keepNext/>
      <w:keepLines/>
      <w:spacing w:line="720" w:lineRule="exact"/>
      <w:jc w:val="center"/>
      <w:outlineLvl w:val="0"/>
    </w:pPr>
    <w:rPr>
      <w:b/>
      <w:bCs/>
      <w:kern w:val="44"/>
      <w:sz w:val="32"/>
      <w:szCs w:val="44"/>
    </w:rPr>
  </w:style>
  <w:style w:type="paragraph" w:styleId="5">
    <w:name w:val="heading 2"/>
    <w:basedOn w:val="1"/>
    <w:next w:val="6"/>
    <w:qFormat/>
    <w:uiPriority w:val="0"/>
    <w:pPr>
      <w:keepNext/>
      <w:keepLines/>
      <w:numPr>
        <w:ilvl w:val="1"/>
        <w:numId w:val="1"/>
      </w:numPr>
      <w:spacing w:before="260" w:after="260" w:line="412" w:lineRule="auto"/>
      <w:outlineLvl w:val="1"/>
    </w:pPr>
    <w:rPr>
      <w:rFonts w:ascii="Arial" w:hAnsi="Arial" w:eastAsia="黑体"/>
      <w:b/>
      <w:bCs/>
      <w:kern w:val="0"/>
      <w:sz w:val="32"/>
      <w:szCs w:val="32"/>
    </w:rPr>
  </w:style>
  <w:style w:type="paragraph" w:styleId="7">
    <w:name w:val="heading 3"/>
    <w:basedOn w:val="1"/>
    <w:next w:val="1"/>
    <w:qFormat/>
    <w:uiPriority w:val="9"/>
    <w:pPr>
      <w:keepNext/>
      <w:keepLines/>
      <w:numPr>
        <w:ilvl w:val="2"/>
        <w:numId w:val="2"/>
      </w:numPr>
      <w:spacing w:line="240" w:lineRule="auto"/>
      <w:ind w:firstLineChars="0"/>
      <w:outlineLvl w:val="2"/>
    </w:pPr>
    <w:rPr>
      <w:b/>
      <w:bCs/>
      <w:szCs w:val="32"/>
    </w:rPr>
  </w:style>
  <w:style w:type="paragraph" w:styleId="8">
    <w:name w:val="heading 4"/>
    <w:basedOn w:val="1"/>
    <w:next w:val="1"/>
    <w:qFormat/>
    <w:uiPriority w:val="0"/>
    <w:pPr>
      <w:keepNext/>
      <w:keepLines/>
      <w:spacing w:line="372" w:lineRule="auto"/>
      <w:outlineLvl w:val="3"/>
    </w:pPr>
    <w:rPr>
      <w:rFonts w:ascii="Cambria" w:hAnsi="Cambria"/>
      <w:b/>
      <w:bCs/>
      <w:sz w:val="28"/>
      <w:szCs w:val="28"/>
    </w:rPr>
  </w:style>
  <w:style w:type="paragraph" w:styleId="9">
    <w:name w:val="heading 5"/>
    <w:basedOn w:val="1"/>
    <w:next w:val="10"/>
    <w:qFormat/>
    <w:uiPriority w:val="0"/>
    <w:pPr>
      <w:keepNext/>
      <w:keepLines/>
      <w:numPr>
        <w:ilvl w:val="4"/>
        <w:numId w:val="3"/>
      </w:numPr>
      <w:tabs>
        <w:tab w:val="left" w:pos="425"/>
        <w:tab w:val="left" w:pos="1418"/>
        <w:tab w:val="left" w:pos="1560"/>
      </w:tabs>
      <w:spacing w:before="280" w:after="290" w:line="376" w:lineRule="auto"/>
      <w:outlineLvl w:val="4"/>
    </w:pPr>
    <w:rPr>
      <w:b/>
      <w:bCs/>
      <w:szCs w:val="28"/>
    </w:rPr>
  </w:style>
  <w:style w:type="paragraph" w:styleId="11">
    <w:name w:val="heading 6"/>
    <w:basedOn w:val="1"/>
    <w:next w:val="1"/>
    <w:qFormat/>
    <w:uiPriority w:val="0"/>
    <w:pPr>
      <w:keepNext/>
      <w:keepLines/>
      <w:numPr>
        <w:ilvl w:val="5"/>
        <w:numId w:val="2"/>
      </w:numPr>
      <w:spacing w:before="240" w:after="64" w:line="320" w:lineRule="auto"/>
      <w:ind w:left="1151" w:hanging="1151"/>
      <w:outlineLvl w:val="5"/>
    </w:pPr>
    <w:rPr>
      <w:rFonts w:ascii="Cambria" w:hAnsi="Cambria" w:eastAsia="宋体" w:cs="Times New Roman"/>
      <w:b/>
      <w:bCs/>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sz w:val="24"/>
    </w:rPr>
  </w:style>
  <w:style w:type="paragraph" w:styleId="3">
    <w:name w:val="toc 5"/>
    <w:basedOn w:val="1"/>
    <w:next w:val="1"/>
    <w:qFormat/>
    <w:uiPriority w:val="0"/>
    <w:pPr>
      <w:ind w:left="1680" w:leftChars="800"/>
    </w:pPr>
  </w:style>
  <w:style w:type="paragraph" w:styleId="6">
    <w:name w:val="Normal Indent"/>
    <w:basedOn w:val="1"/>
    <w:next w:val="1"/>
    <w:qFormat/>
    <w:uiPriority w:val="0"/>
    <w:pPr>
      <w:adjustRightInd w:val="0"/>
      <w:spacing w:line="315" w:lineRule="atLeast"/>
      <w:ind w:firstLine="420"/>
      <w:jc w:val="left"/>
      <w:textAlignment w:val="baseline"/>
    </w:pPr>
    <w:rPr>
      <w:rFonts w:ascii="宋体"/>
      <w:kern w:val="0"/>
      <w:szCs w:val="20"/>
    </w:rPr>
  </w:style>
  <w:style w:type="paragraph" w:customStyle="1" w:styleId="10">
    <w:name w:val="段落文字"/>
    <w:basedOn w:val="1"/>
    <w:qFormat/>
    <w:uiPriority w:val="0"/>
    <w:pPr>
      <w:spacing w:line="360" w:lineRule="auto"/>
      <w:ind w:firstLine="200" w:firstLineChars="200"/>
    </w:pPr>
    <w:rPr>
      <w:sz w:val="24"/>
    </w:rPr>
  </w:style>
  <w:style w:type="paragraph" w:styleId="12">
    <w:name w:val="annotation text"/>
    <w:basedOn w:val="1"/>
    <w:qFormat/>
    <w:uiPriority w:val="0"/>
    <w:pPr>
      <w:jc w:val="left"/>
    </w:pPr>
  </w:style>
  <w:style w:type="paragraph" w:styleId="13">
    <w:name w:val="Body Text Indent"/>
    <w:basedOn w:val="1"/>
    <w:next w:val="1"/>
    <w:link w:val="42"/>
    <w:qFormat/>
    <w:uiPriority w:val="0"/>
    <w:pPr>
      <w:spacing w:after="120"/>
      <w:ind w:left="420" w:leftChars="200"/>
    </w:pPr>
    <w:rPr>
      <w:szCs w:val="24"/>
    </w:rPr>
  </w:style>
  <w:style w:type="paragraph" w:styleId="14">
    <w:name w:val="Plain Text"/>
    <w:basedOn w:val="1"/>
    <w:qFormat/>
    <w:uiPriority w:val="0"/>
    <w:rPr>
      <w:rFonts w:ascii="宋体" w:hAnsi="Courier New"/>
      <w:szCs w:val="20"/>
    </w:rPr>
  </w:style>
  <w:style w:type="paragraph" w:styleId="15">
    <w:name w:val="Date"/>
    <w:basedOn w:val="1"/>
    <w:next w:val="1"/>
    <w:qFormat/>
    <w:uiPriority w:val="0"/>
    <w:pPr>
      <w:adjustRightInd/>
      <w:spacing w:line="240" w:lineRule="auto"/>
      <w:ind w:left="2500" w:leftChars="2500"/>
      <w:jc w:val="both"/>
      <w:textAlignment w:val="auto"/>
    </w:pPr>
    <w:rPr>
      <w:kern w:val="2"/>
      <w:sz w:val="21"/>
    </w:rPr>
  </w:style>
  <w:style w:type="paragraph" w:styleId="16">
    <w:name w:val="Body Text Indent 2"/>
    <w:basedOn w:val="1"/>
    <w:qFormat/>
    <w:uiPriority w:val="0"/>
    <w:pPr>
      <w:spacing w:line="360" w:lineRule="auto"/>
      <w:ind w:left="420" w:firstLine="482"/>
    </w:pPr>
    <w:rPr>
      <w:rFonts w:ascii="宋体" w:hAnsi="宋体"/>
      <w:b/>
      <w:sz w:val="24"/>
      <w:szCs w:val="24"/>
    </w:rPr>
  </w:style>
  <w:style w:type="paragraph" w:styleId="17">
    <w:name w:val="footer"/>
    <w:basedOn w:val="1"/>
    <w:unhideWhenUsed/>
    <w:qFormat/>
    <w:uiPriority w:val="99"/>
    <w:pPr>
      <w:tabs>
        <w:tab w:val="center" w:pos="4153"/>
        <w:tab w:val="right" w:pos="8306"/>
      </w:tabs>
      <w:snapToGrid w:val="0"/>
      <w:jc w:val="left"/>
    </w:pPr>
    <w:rPr>
      <w:sz w:val="18"/>
      <w:szCs w:val="18"/>
    </w:rPr>
  </w:style>
  <w:style w:type="paragraph" w:styleId="1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style>
  <w:style w:type="paragraph" w:styleId="20">
    <w:name w:val="toc 2"/>
    <w:basedOn w:val="1"/>
    <w:next w:val="1"/>
    <w:qFormat/>
    <w:uiPriority w:val="39"/>
    <w:pPr>
      <w:ind w:left="420" w:leftChars="200"/>
    </w:pPr>
    <w:rPr>
      <w:szCs w:val="20"/>
    </w:rPr>
  </w:style>
  <w:style w:type="paragraph" w:styleId="21">
    <w:name w:val="Normal (Web)"/>
    <w:basedOn w:val="1"/>
    <w:qFormat/>
    <w:uiPriority w:val="0"/>
    <w:pPr>
      <w:widowControl/>
      <w:spacing w:before="100" w:beforeAutospacing="1" w:after="100" w:afterAutospacing="1"/>
      <w:jc w:val="left"/>
    </w:pPr>
    <w:rPr>
      <w:kern w:val="0"/>
      <w:sz w:val="24"/>
    </w:rPr>
  </w:style>
  <w:style w:type="paragraph" w:styleId="22">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3">
    <w:name w:val="Body Text First Indent"/>
    <w:basedOn w:val="2"/>
    <w:next w:val="1"/>
    <w:qFormat/>
    <w:uiPriority w:val="0"/>
    <w:pPr>
      <w:ind w:firstLine="200" w:firstLineChars="200"/>
    </w:pPr>
  </w:style>
  <w:style w:type="paragraph" w:styleId="24">
    <w:name w:val="Body Text First Indent 2"/>
    <w:basedOn w:val="13"/>
    <w:next w:val="1"/>
    <w:link w:val="43"/>
    <w:qFormat/>
    <w:uiPriority w:val="0"/>
    <w:pPr>
      <w:ind w:firstLine="420" w:firstLineChars="200"/>
    </w:pPr>
    <w:rPr>
      <w:szCs w:val="22"/>
    </w:rPr>
  </w:style>
  <w:style w:type="character" w:styleId="27">
    <w:name w:val="Strong"/>
    <w:qFormat/>
    <w:uiPriority w:val="0"/>
    <w:rPr>
      <w:b/>
      <w:bCs/>
    </w:rPr>
  </w:style>
  <w:style w:type="character" w:styleId="28">
    <w:name w:val="Hyperlink"/>
    <w:basedOn w:val="26"/>
    <w:unhideWhenUsed/>
    <w:qFormat/>
    <w:uiPriority w:val="99"/>
    <w:rPr>
      <w:color w:val="0000FF"/>
      <w:u w:val="single"/>
    </w:rPr>
  </w:style>
  <w:style w:type="paragraph" w:customStyle="1" w:styleId="29">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0">
    <w:name w:val="首行缩进"/>
    <w:basedOn w:val="1"/>
    <w:qFormat/>
    <w:uiPriority w:val="0"/>
    <w:pPr>
      <w:spacing w:line="360" w:lineRule="auto"/>
      <w:ind w:firstLine="480" w:firstLineChars="200"/>
    </w:pPr>
    <w:rPr>
      <w:rFonts w:hAnsi="宋体" w:cs="宋体"/>
      <w:sz w:val="24"/>
    </w:rPr>
  </w:style>
  <w:style w:type="character" w:customStyle="1" w:styleId="31">
    <w:name w:val="bookmark-item"/>
    <w:basedOn w:val="26"/>
    <w:qFormat/>
    <w:uiPriority w:val="0"/>
  </w:style>
  <w:style w:type="paragraph" w:customStyle="1" w:styleId="32">
    <w:name w:val="纯文本1"/>
    <w:basedOn w:val="1"/>
    <w:qFormat/>
    <w:uiPriority w:val="0"/>
    <w:pPr>
      <w:spacing w:before="156" w:beforeLines="50" w:after="156" w:afterLines="50" w:line="400" w:lineRule="exact"/>
    </w:pPr>
    <w:rPr>
      <w:rFonts w:ascii="宋体" w:hAnsi="Courier New"/>
      <w:sz w:val="24"/>
      <w:szCs w:val="24"/>
    </w:rPr>
  </w:style>
  <w:style w:type="character" w:customStyle="1" w:styleId="33">
    <w:name w:val="font21"/>
    <w:basedOn w:val="26"/>
    <w:qFormat/>
    <w:uiPriority w:val="0"/>
    <w:rPr>
      <w:rFonts w:hint="eastAsia" w:ascii="微软雅黑" w:hAnsi="微软雅黑" w:eastAsia="微软雅黑" w:cs="微软雅黑"/>
      <w:color w:val="000000"/>
      <w:sz w:val="20"/>
      <w:szCs w:val="20"/>
      <w:u w:val="none"/>
    </w:rPr>
  </w:style>
  <w:style w:type="character" w:customStyle="1" w:styleId="34">
    <w:name w:val="font11"/>
    <w:basedOn w:val="26"/>
    <w:qFormat/>
    <w:uiPriority w:val="0"/>
    <w:rPr>
      <w:rFonts w:hint="eastAsia" w:ascii="微软雅黑" w:hAnsi="微软雅黑" w:eastAsia="微软雅黑" w:cs="微软雅黑"/>
      <w:color w:val="000000"/>
      <w:sz w:val="20"/>
      <w:szCs w:val="20"/>
      <w:u w:val="none"/>
    </w:rPr>
  </w:style>
  <w:style w:type="paragraph" w:customStyle="1" w:styleId="35">
    <w:name w:val="普通(网站)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6">
    <w:name w:val="正文1"/>
    <w:basedOn w:val="1"/>
    <w:qFormat/>
    <w:uiPriority w:val="0"/>
    <w:pPr>
      <w:adjustRightInd w:val="0"/>
      <w:spacing w:line="318" w:lineRule="atLeast"/>
      <w:ind w:left="369" w:firstLine="369"/>
      <w:textAlignment w:val="baseline"/>
    </w:pPr>
    <w:rPr>
      <w:rFonts w:ascii="宋体"/>
      <w:szCs w:val="20"/>
    </w:rPr>
  </w:style>
  <w:style w:type="paragraph" w:customStyle="1" w:styleId="37">
    <w:name w:val="默认段落字体 Para Char Char Char Char Char Char Char Char Char1 Char Char Char Char"/>
    <w:basedOn w:val="1"/>
    <w:qFormat/>
    <w:uiPriority w:val="0"/>
    <w:rPr>
      <w:rFonts w:ascii="Tahoma" w:hAnsi="Tahoma"/>
      <w:sz w:val="24"/>
      <w:szCs w:val="20"/>
    </w:rPr>
  </w:style>
  <w:style w:type="paragraph" w:customStyle="1" w:styleId="38">
    <w:name w:val="列出段落1"/>
    <w:basedOn w:val="1"/>
    <w:qFormat/>
    <w:uiPriority w:val="34"/>
    <w:pPr>
      <w:ind w:firstLine="420" w:firstLineChars="200"/>
    </w:pPr>
  </w:style>
  <w:style w:type="character" w:customStyle="1" w:styleId="39">
    <w:name w:val="正文首行缩进 Char1"/>
    <w:qFormat/>
    <w:uiPriority w:val="0"/>
    <w:rPr>
      <w:rFonts w:eastAsia="仿宋_GB2312"/>
      <w:kern w:val="2"/>
      <w:sz w:val="28"/>
      <w:szCs w:val="24"/>
    </w:rPr>
  </w:style>
  <w:style w:type="paragraph" w:customStyle="1" w:styleId="40">
    <w:name w:val="列出段落11"/>
    <w:basedOn w:val="1"/>
    <w:qFormat/>
    <w:uiPriority w:val="0"/>
    <w:pPr>
      <w:ind w:firstLine="420" w:firstLineChars="200"/>
    </w:pPr>
    <w:rPr>
      <w:rFonts w:ascii="Calibri" w:hAnsi="Calibri" w:cs="黑体"/>
    </w:rPr>
  </w:style>
  <w:style w:type="paragraph" w:customStyle="1" w:styleId="41">
    <w:name w:val="修订1"/>
    <w:hidden/>
    <w:semiHidden/>
    <w:qFormat/>
    <w:uiPriority w:val="99"/>
    <w:rPr>
      <w:rFonts w:ascii="Times New Roman" w:hAnsi="Times New Roman" w:eastAsia="宋体" w:cs="Times New Roman"/>
      <w:kern w:val="2"/>
      <w:sz w:val="21"/>
      <w:szCs w:val="22"/>
      <w:lang w:val="en-US" w:eastAsia="zh-CN" w:bidi="ar-SA"/>
    </w:rPr>
  </w:style>
  <w:style w:type="character" w:customStyle="1" w:styleId="42">
    <w:name w:val="正文文本缩进 字符"/>
    <w:basedOn w:val="26"/>
    <w:link w:val="13"/>
    <w:qFormat/>
    <w:uiPriority w:val="0"/>
    <w:rPr>
      <w:rFonts w:ascii="Times New Roman" w:hAnsi="Times New Roman"/>
      <w:kern w:val="2"/>
      <w:sz w:val="21"/>
      <w:szCs w:val="24"/>
    </w:rPr>
  </w:style>
  <w:style w:type="character" w:customStyle="1" w:styleId="43">
    <w:name w:val="正文文本首行缩进 2 字符"/>
    <w:basedOn w:val="42"/>
    <w:link w:val="24"/>
    <w:qFormat/>
    <w:uiPriority w:val="0"/>
    <w:rPr>
      <w:rFonts w:ascii="Times New Roman" w:hAnsi="Times New Roman"/>
      <w:kern w:val="2"/>
      <w:sz w:val="21"/>
      <w:szCs w:val="22"/>
    </w:rPr>
  </w:style>
  <w:style w:type="paragraph" w:customStyle="1" w:styleId="44">
    <w:name w:val="正文2"/>
    <w:basedOn w:val="1"/>
    <w:link w:val="45"/>
    <w:qFormat/>
    <w:uiPriority w:val="0"/>
    <w:pPr>
      <w:spacing w:beforeLines="50" w:afterLines="50" w:line="360" w:lineRule="auto"/>
      <w:ind w:firstLine="480" w:firstLineChars="200"/>
    </w:pPr>
    <w:rPr>
      <w:rFonts w:ascii="宋体" w:hAnsi="宋体"/>
      <w:sz w:val="24"/>
      <w:szCs w:val="24"/>
    </w:rPr>
  </w:style>
  <w:style w:type="character" w:customStyle="1" w:styleId="45">
    <w:name w:val="正文2 Char"/>
    <w:link w:val="44"/>
    <w:qFormat/>
    <w:uiPriority w:val="0"/>
    <w:rPr>
      <w:rFonts w:ascii="宋体" w:hAnsi="宋体"/>
      <w:kern w:val="2"/>
      <w:sz w:val="24"/>
      <w:szCs w:val="24"/>
    </w:rPr>
  </w:style>
  <w:style w:type="paragraph" w:customStyle="1" w:styleId="46">
    <w:name w:val="Revision"/>
    <w:hidden/>
    <w:semiHidden/>
    <w:qFormat/>
    <w:uiPriority w:val="99"/>
    <w:rPr>
      <w:rFonts w:ascii="Times New Roman" w:hAnsi="Times New Roman" w:eastAsia="宋体" w:cs="Times New Roman"/>
      <w:kern w:val="2"/>
      <w:sz w:val="21"/>
      <w:szCs w:val="22"/>
      <w:lang w:val="en-US" w:eastAsia="zh-CN" w:bidi="ar-SA"/>
    </w:rPr>
  </w:style>
  <w:style w:type="paragraph" w:styleId="47">
    <w:name w:val="List Paragraph"/>
    <w:basedOn w:val="1"/>
    <w:qFormat/>
    <w:uiPriority w:val="99"/>
    <w:pPr>
      <w:ind w:firstLine="420" w:firstLineChars="200"/>
    </w:pPr>
  </w:style>
  <w:style w:type="paragraph" w:customStyle="1" w:styleId="48">
    <w:name w:val="Plain Text"/>
    <w:basedOn w:val="1"/>
    <w:qFormat/>
    <w:uiPriority w:val="0"/>
    <w:rPr>
      <w:rFonts w:ascii="宋体" w:hAnsi="Courier New" w:eastAsia="仿宋" w:cs="Courier New"/>
      <w:sz w:val="21"/>
      <w:szCs w:val="21"/>
    </w:rPr>
  </w:style>
  <w:style w:type="paragraph" w:customStyle="1" w:styleId="49">
    <w:name w:val="图表内文字"/>
    <w:basedOn w:val="50"/>
    <w:qFormat/>
    <w:uiPriority w:val="0"/>
    <w:pPr>
      <w:spacing w:before="0" w:after="0"/>
    </w:pPr>
    <w:rPr>
      <w:rFonts w:ascii="Times New Roman" w:hAnsi="Times New Roman"/>
      <w:sz w:val="24"/>
    </w:rPr>
  </w:style>
  <w:style w:type="paragraph" w:customStyle="1" w:styleId="50">
    <w:name w:val="图表"/>
    <w:basedOn w:val="1"/>
    <w:next w:val="10"/>
    <w:qFormat/>
    <w:uiPriority w:val="0"/>
    <w:pPr>
      <w:widowControl/>
      <w:spacing w:before="160" w:after="120"/>
      <w:jc w:val="center"/>
    </w:pPr>
    <w:rPr>
      <w:rFonts w:ascii="宋体" w:hAnsi="宋体" w:eastAsia="宋体"/>
    </w:rPr>
  </w:style>
  <w:style w:type="paragraph" w:customStyle="1" w:styleId="51">
    <w:name w:val="Body text|1"/>
    <w:basedOn w:val="1"/>
    <w:qFormat/>
    <w:uiPriority w:val="0"/>
    <w:pPr>
      <w:spacing w:line="398" w:lineRule="auto"/>
      <w:ind w:firstLine="400"/>
    </w:pPr>
    <w:rPr>
      <w:rFonts w:ascii="宋体" w:hAnsi="宋体" w:cs="宋体"/>
      <w:color w:val="252726"/>
      <w:sz w:val="20"/>
      <w:szCs w:val="20"/>
      <w:lang w:val="zh-TW" w:eastAsia="zh-TW" w:bidi="zh-TW"/>
    </w:rPr>
  </w:style>
  <w:style w:type="paragraph" w:customStyle="1" w:styleId="52">
    <w:name w:val="Default"/>
    <w:next w:val="17"/>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3">
    <w:name w:val="Table Paragraph"/>
    <w:basedOn w:val="1"/>
    <w:unhideWhenUsed/>
    <w:qFormat/>
    <w:uiPriority w:val="1"/>
    <w:rPr>
      <w:rFonts w:hint="eastAsia"/>
      <w:sz w:val="24"/>
      <w:szCs w:val="24"/>
    </w:rPr>
  </w:style>
  <w:style w:type="paragraph" w:customStyle="1" w:styleId="54">
    <w:name w:val="正文首行缩进2字符"/>
    <w:basedOn w:val="1"/>
    <w:autoRedefine/>
    <w:qFormat/>
    <w:uiPriority w:val="0"/>
    <w:pPr>
      <w:ind w:firstLine="20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48</Pages>
  <Words>25119</Words>
  <Characters>26246</Characters>
  <Lines>321</Lines>
  <Paragraphs>90</Paragraphs>
  <TotalTime>11</TotalTime>
  <ScaleCrop>false</ScaleCrop>
  <LinksUpToDate>false</LinksUpToDate>
  <CharactersWithSpaces>27580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2022-06-21T03:31:00Z</dcterms:created>
  <dc:creator>86159</dc:creator>
  <cp:lastModifiedBy>DW</cp:lastModifiedBy>
  <cp:lastPrinted>2021-07-02T17:46:00Z</cp:lastPrinted>
  <dcterms:modified xsi:type="dcterms:W3CDTF">2025-07-02T02:44:08Z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AFE3CE9B5E024796872BA7156C164C40_13</vt:lpwstr>
  </property>
  <property fmtid="{D5CDD505-2E9C-101B-9397-08002B2CF9AE}" pid="4" name="KSOTemplateDocerSaveRecord">
    <vt:lpwstr>eyJoZGlkIjoiMzEwNTM5NzYwMDRjMzkwZTVkZjY2ODkwMGIxNGU0OTUiLCJ1c2VySWQiOiI3MDM5NTM2NDkifQ==</vt:lpwstr>
  </property>
</Properties>
</file>