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bookmarkStart w:id="4" w:name="_GoBack"/>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r>
        <w:rPr>
          <w:rFonts w:hint="eastAsia" w:ascii="宋体" w:hAnsi="宋体"/>
          <w:b/>
          <w:bCs/>
          <w:color w:val="auto"/>
          <w:sz w:val="36"/>
          <w:szCs w:val="36"/>
          <w:highlight w:val="none"/>
          <w:u w:val="single"/>
          <w:lang w:eastAsia="zh-CN"/>
        </w:rPr>
        <w:t>新碶高级中学台式计算机</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BLZFCG2025026</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0" w:name="OLE_LINK5"/>
      <w:bookmarkStart w:id="1" w:name="OLE_LINK4"/>
      <w:r>
        <w:rPr>
          <w:rFonts w:hint="eastAsia"/>
          <w:b/>
          <w:bCs/>
          <w:color w:val="auto"/>
          <w:sz w:val="30"/>
          <w:szCs w:val="30"/>
          <w:highlight w:val="none"/>
          <w:lang w:eastAsia="zh-CN"/>
        </w:rPr>
        <w:t>宁波市北仑区新碶高级中学</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五</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六</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宁波市北仑区新碶高级中学</w:t>
      </w:r>
      <w:r>
        <w:rPr>
          <w:rFonts w:hint="eastAsia" w:ascii="宋体" w:hAnsi="宋体" w:eastAsia="宋体" w:cs="宋体"/>
          <w:color w:val="auto"/>
          <w:highlight w:val="none"/>
        </w:rPr>
        <w:t>委托，就</w:t>
      </w:r>
      <w:r>
        <w:rPr>
          <w:rFonts w:hint="eastAsia" w:ascii="宋体" w:hAnsi="宋体" w:cs="宋体"/>
          <w:color w:val="auto"/>
          <w:highlight w:val="none"/>
          <w:lang w:eastAsia="zh-CN"/>
        </w:rPr>
        <w:t>新碶高级中学台式计算机</w:t>
      </w:r>
      <w:r>
        <w:rPr>
          <w:rFonts w:hint="eastAsia" w:ascii="宋体" w:hAnsi="宋体" w:eastAsia="宋体" w:cs="宋体"/>
          <w:color w:val="auto"/>
          <w:highlight w:val="none"/>
        </w:rPr>
        <w:t>项</w:t>
      </w:r>
      <w:r>
        <w:rPr>
          <w:rFonts w:hint="eastAsia" w:ascii="宋体" w:hAnsi="宋体" w:eastAsia="宋体" w:cs="宋体"/>
          <w:color w:val="auto"/>
          <w:highlight w:val="none"/>
        </w:rPr>
        <w:t>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BLZFCG2025026</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color w:val="auto"/>
          <w:highlight w:val="none"/>
          <w:lang w:eastAsia="zh-CN"/>
        </w:rPr>
        <w:t>新碶高级中学台式计算机</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w:t>
      </w:r>
      <w:r>
        <w:rPr>
          <w:rFonts w:hint="eastAsia" w:ascii="宋体" w:hAnsi="宋体" w:cs="宋体"/>
          <w:color w:val="auto"/>
          <w:highlight w:val="none"/>
          <w:lang w:eastAsia="zh-CN"/>
        </w:rPr>
        <w:t>人民币43.195万元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人民币43.195万元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eastAsia="zh-CN"/>
        </w:rPr>
        <w:t xml:space="preserve">新碶高级中学台式计算机 </w:t>
      </w:r>
      <w:r>
        <w:rPr>
          <w:rFonts w:hint="eastAsia" w:ascii="宋体" w:hAnsi="宋体" w:cs="宋体"/>
          <w:color w:val="auto"/>
          <w:highlight w:val="none"/>
          <w:lang w:val="en-US" w:eastAsia="zh-CN"/>
        </w:rPr>
        <w:t>一批</w:t>
      </w:r>
      <w:r>
        <w:rPr>
          <w:rFonts w:hint="eastAsia" w:ascii="宋体" w:hAnsi="宋体" w:cs="宋体"/>
          <w:color w:val="auto"/>
          <w:highlight w:val="none"/>
          <w:lang w:eastAsia="zh-CN"/>
        </w:rPr>
        <w:t>，具体详见采购需求部分。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合同签订后</w:t>
      </w:r>
      <w:r>
        <w:rPr>
          <w:rFonts w:hint="eastAsia" w:ascii="宋体" w:hAnsi="宋体"/>
          <w:color w:val="auto"/>
          <w:highlight w:val="none"/>
          <w:lang w:val="en-US" w:eastAsia="zh-CN"/>
        </w:rPr>
        <w:t>1</w:t>
      </w:r>
      <w:r>
        <w:rPr>
          <w:rFonts w:hint="eastAsia" w:ascii="宋体" w:hAnsi="宋体"/>
          <w:color w:val="auto"/>
          <w:highlight w:val="none"/>
        </w:rPr>
        <w:t>个月内完成安装、调试并交付使用。</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8、本项目不接受</w:t>
      </w:r>
      <w:r>
        <w:rPr>
          <w:rFonts w:hint="eastAsia" w:ascii="宋体" w:hAnsi="宋体" w:eastAsia="宋体" w:cs="宋体"/>
          <w:color w:val="auto"/>
          <w:highlight w:val="none"/>
        </w:rPr>
        <w:t>联合体投标</w:t>
      </w:r>
      <w:r>
        <w:rPr>
          <w:rFonts w:hint="eastAsia" w:ascii="宋体" w:hAnsi="宋体" w:cs="宋体"/>
          <w:color w:val="auto"/>
          <w:highlight w:val="none"/>
          <w:lang w:val="en-US" w:eastAsia="zh-CN"/>
        </w:rPr>
        <w:t>。</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 xml:space="preserve">2、落实政府采购政策需满足的资格要求：无 </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w:t>
      </w:r>
      <w:r>
        <w:rPr>
          <w:rFonts w:hint="eastAsia" w:ascii="宋体" w:hAnsi="宋体" w:eastAsia="宋体" w:cs="宋体"/>
          <w:color w:val="auto"/>
          <w:highlight w:val="none"/>
        </w:rPr>
        <w:t>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lang w:val="en-US" w:eastAsia="zh-CN"/>
        </w:rPr>
        <w:t>23</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r>
        <w:rPr>
          <w:rFonts w:hint="eastAsia" w:ascii="宋体" w:hAnsi="宋体" w:eastAsia="宋体" w:cs="宋体"/>
          <w:color w:val="auto"/>
          <w:highlight w:val="none"/>
        </w:rPr>
        <w:t>（具体场所安排详见电子指示屏幕）。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1、参加投标的供应商有义务在采购活动期间浏览</w:t>
      </w:r>
      <w:r>
        <w:rPr>
          <w:rFonts w:hint="eastAsia" w:ascii="宋体" w:hAnsi="宋体" w:eastAsia="宋体" w:cs="宋体"/>
          <w:color w:val="auto"/>
          <w:highlight w:val="none"/>
        </w:rPr>
        <w:t>宁波政府采购网（zfcg.czj.ningbo.gov.cn）</w:t>
      </w:r>
      <w:r>
        <w:rPr>
          <w:rFonts w:hint="eastAsia" w:ascii="宋体" w:hAnsi="宋体" w:eastAsia="宋体" w:cs="宋体"/>
          <w:color w:val="auto"/>
          <w:highlight w:val="none"/>
        </w:rPr>
        <w:t>和</w:t>
      </w:r>
      <w:r>
        <w:rPr>
          <w:rFonts w:hint="eastAsia" w:ascii="宋体" w:hAnsi="宋体" w:cs="宋体"/>
          <w:color w:val="auto"/>
          <w:highlight w:val="none"/>
          <w:lang w:eastAsia="zh-CN"/>
        </w:rPr>
        <w:t>宁波市政务服务中心网（jyxt.zwb.ningbo.gov.cn:4011）</w:t>
      </w:r>
      <w:r>
        <w:rPr>
          <w:rFonts w:hint="eastAsia" w:ascii="宋体" w:hAnsi="宋体" w:eastAsia="宋体" w:cs="宋体"/>
          <w:color w:val="auto"/>
          <w:highlight w:val="none"/>
        </w:rPr>
        <w:t>，采购人（采购代理机构）在以上两个网站发布的与本次招标项目有关的信息视为已送达各供应商，不再</w:t>
      </w:r>
      <w:r>
        <w:rPr>
          <w:rFonts w:hint="eastAsia" w:ascii="宋体" w:hAnsi="宋体" w:eastAsia="宋体" w:cs="宋体"/>
          <w:color w:val="auto"/>
          <w:highlight w:val="none"/>
        </w:rPr>
        <w:t>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w:t>
      </w:r>
      <w:r>
        <w:rPr>
          <w:rFonts w:hint="eastAsia" w:ascii="宋体" w:hAnsi="宋体" w:eastAsia="宋体" w:cs="宋体"/>
          <w:color w:val="auto"/>
          <w:highlight w:val="none"/>
        </w:rPr>
        <w:t>，则视为无效投标。供应商制作电子投标文件和解密投标文件时必须使用同一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strike w:val="0"/>
          <w:dstrike w:val="0"/>
          <w:color w:val="auto"/>
          <w:highlight w:val="none"/>
          <w:lang w:val="en-US" w:eastAsia="zh-CN"/>
        </w:rPr>
        <w:t>本项目投标供应商可以不派代表到现场参加开标会议，只需准时在线参加</w:t>
      </w:r>
      <w:r>
        <w:rPr>
          <w:rFonts w:hint="eastAsia" w:ascii="宋体" w:hAnsi="宋体" w:cs="宋体"/>
          <w:strike w:val="0"/>
          <w:dstrike w:val="0"/>
          <w:color w:val="auto"/>
          <w:highlight w:val="none"/>
          <w:lang w:val="en-US" w:eastAsia="zh-CN"/>
        </w:rPr>
        <w:t>即可</w:t>
      </w:r>
      <w:r>
        <w:rPr>
          <w:rFonts w:hint="eastAsia" w:ascii="宋体" w:hAnsi="宋体" w:eastAsia="宋体" w:cs="宋体"/>
          <w:strike w:val="0"/>
          <w:dstrike w:val="0"/>
          <w:color w:val="auto"/>
          <w:highlight w:val="none"/>
          <w:lang w:val="en-US" w:eastAsia="zh-CN"/>
        </w:rPr>
        <w:t>。</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w:t>
      </w:r>
      <w:r>
        <w:rPr>
          <w:rFonts w:hint="eastAsia" w:ascii="宋体" w:hAnsi="宋体" w:eastAsia="宋体" w:cs="宋体"/>
          <w:color w:val="auto"/>
          <w:highlight w:val="none"/>
        </w:rPr>
        <w:t>、投标响应文件制作加密上传等），可登录政府采购云平台网站（www.zcygov.cn）“服务中心”版块查阅相关的帮助文档和教学视频，也可致电政采云平台技术支持热线咨询，热线电话：95763（工作日8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宁波市北仑区新碶高级中学</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cs="宋体"/>
          <w:color w:val="auto"/>
          <w:highlight w:val="none"/>
          <w:lang w:eastAsia="zh-CN"/>
        </w:rPr>
        <w:t>宁波市北仑区新碶街道凤洋一路99号</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严锋钢</w:t>
      </w:r>
      <w:r>
        <w:rPr>
          <w:rFonts w:hint="eastAsia" w:ascii="宋体" w:hAnsi="宋体" w:eastAsia="宋体" w:cs="宋体"/>
          <w:color w:val="auto"/>
          <w:highlight w:val="none"/>
        </w:rPr>
        <w:t xml:space="preserve">    电话：</w:t>
      </w:r>
      <w:r>
        <w:rPr>
          <w:rFonts w:hint="eastAsia" w:ascii="宋体" w:hAnsi="宋体" w:cs="宋体"/>
          <w:color w:val="auto"/>
          <w:highlight w:val="none"/>
          <w:lang w:eastAsia="zh-CN"/>
        </w:rPr>
        <w:t>0574-86889299</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贝小明</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8"/>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新碶高级中学台式计算机</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宁波市北仑区新碶高级中学</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严锋钢</w:t>
            </w:r>
            <w:r>
              <w:rPr>
                <w:rFonts w:hint="eastAsia" w:ascii="宋体" w:hAnsi="宋体" w:eastAsia="宋体" w:cs="宋体"/>
                <w:color w:val="auto"/>
                <w:highlight w:val="none"/>
              </w:rPr>
              <w:t xml:space="preserve">     电话：</w:t>
            </w:r>
            <w:r>
              <w:rPr>
                <w:rFonts w:hint="eastAsia" w:ascii="宋体" w:hAnsi="宋体" w:cs="宋体"/>
                <w:color w:val="auto"/>
                <w:highlight w:val="none"/>
                <w:lang w:eastAsia="zh-CN"/>
              </w:rPr>
              <w:t>0574-86889299</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lang w:eastAsia="zh-CN"/>
              </w:rPr>
              <w:t>宁波市北仑区新碶街道凤洋一路99号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w:t>
            </w:r>
            <w:r>
              <w:rPr>
                <w:rFonts w:hint="eastAsia" w:ascii="宋体" w:hAnsi="宋体" w:eastAsia="宋体" w:cs="宋体"/>
                <w:color w:val="auto"/>
                <w:highlight w:val="none"/>
              </w:rPr>
              <w:t>构：</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贝小明</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rPr>
              <w:t>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采购预算（最高限价）：</w:t>
            </w:r>
            <w:r>
              <w:rPr>
                <w:rFonts w:hint="eastAsia" w:ascii="宋体" w:hAnsi="宋体" w:cs="宋体"/>
                <w:color w:val="auto"/>
                <w:highlight w:val="none"/>
                <w:lang w:eastAsia="zh-CN"/>
              </w:rPr>
              <w:t>人民币43.195万元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是否为</w:t>
            </w:r>
            <w:r>
              <w:rPr>
                <w:rFonts w:hint="eastAsia" w:ascii="宋体" w:hAnsi="宋体" w:eastAsia="宋体" w:cs="宋体"/>
                <w:color w:val="auto"/>
                <w:highlight w:val="none"/>
              </w:rPr>
              <w:t>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w:t>
            </w:r>
            <w:r>
              <w:rPr>
                <w:rFonts w:hint="eastAsia" w:ascii="宋体" w:hAnsi="宋体" w:eastAsia="宋体" w:cs="宋体"/>
                <w:color w:val="auto"/>
                <w:highlight w:val="none"/>
              </w:rPr>
              <w:t>购项目：</w:t>
            </w:r>
            <w:r>
              <w:rPr>
                <w:rFonts w:hint="eastAsia" w:ascii="宋体" w:hAnsi="宋体" w:cs="宋体"/>
                <w:color w:val="auto"/>
                <w:highlight w:val="none"/>
                <w:lang w:val="en-US" w:eastAsia="zh-CN"/>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w:t>
            </w: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是否允许投标人将项目非主体、非关键性</w:t>
            </w:r>
            <w:r>
              <w:rPr>
                <w:rFonts w:hint="eastAsia" w:ascii="宋体" w:hAnsi="宋体" w:eastAsia="宋体" w:cs="宋体"/>
                <w:color w:val="auto"/>
                <w:highlight w:val="none"/>
              </w:rPr>
              <w:t>工作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w:t>
            </w:r>
            <w:r>
              <w:rPr>
                <w:rFonts w:hint="eastAsia" w:ascii="宋体" w:hAnsi="宋体" w:eastAsia="宋体" w:cs="宋体"/>
                <w:color w:val="auto"/>
                <w:highlight w:val="none"/>
              </w:rPr>
              <w:t>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eastAsia="宋体" w:cs="宋体"/>
                <w:color w:val="auto"/>
                <w:highlight w:val="none"/>
              </w:rPr>
              <w:t>日</w:t>
            </w:r>
            <w:r>
              <w:rPr>
                <w:rFonts w:hint="eastAsia" w:ascii="宋体" w:hAnsi="宋体" w:eastAsia="宋体" w:cs="宋体"/>
                <w:color w:val="auto"/>
                <w:highlight w:val="none"/>
              </w:rPr>
              <w:t>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w:t>
            </w:r>
            <w:r>
              <w:rPr>
                <w:rFonts w:hint="eastAsia" w:ascii="宋体" w:hAnsi="宋体" w:eastAsia="宋体" w:cs="宋体"/>
                <w:b w:val="0"/>
                <w:bCs w:val="0"/>
                <w:color w:val="auto"/>
                <w:highlight w:val="none"/>
              </w:rPr>
              <w:t>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w:t>
            </w:r>
            <w:r>
              <w:rPr>
                <w:rFonts w:hint="eastAsia" w:ascii="宋体" w:hAnsi="宋体" w:eastAsia="宋体" w:cs="宋体"/>
                <w:color w:val="auto"/>
                <w:highlight w:val="none"/>
              </w:rPr>
              <w:t>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eastAsia="宋体" w:cs="宋体"/>
                <w:color w:val="auto"/>
                <w:highlight w:val="none"/>
              </w:rPr>
              <w:t>日</w:t>
            </w:r>
            <w:r>
              <w:rPr>
                <w:rFonts w:hint="eastAsia" w:ascii="宋体" w:hAnsi="宋体" w:eastAsia="宋体" w:cs="宋体"/>
                <w:color w:val="auto"/>
                <w:highlight w:val="none"/>
              </w:rPr>
              <w:t>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履约保证金：</w:t>
            </w:r>
            <w:r>
              <w:rPr>
                <w:rFonts w:hint="eastAsia" w:ascii="宋体" w:hAnsi="宋体" w:eastAsia="宋体" w:cs="宋体"/>
                <w:color w:val="auto"/>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参与同一个标项投标的供应商存在下列情形之一且无法合理解释的，其投标（响应）文件无效。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①不同投标供应商的电子投标（响应）文件上传计算机的IP地址或网卡MAC地址或硬盘序列号等硬件信息相同的；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②上传的电子投标（响应）文件出现使用本项目其他投标（响应）供应商的数字证书加密，或加盖本项目其他投标（响应）供应商的电子印章的；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③不同投标供应商的投标（响应）文件内容存在 3 处（含）以上错误一致的；</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④不同投标供应商联系人为同一人或不同联系人的联系电话一致的。</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除银行、保险、电信等特定行业的分支机构可直接参加许可证范围内项目的投标外，分支机构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w:t>
      </w:r>
      <w:r>
        <w:rPr>
          <w:rFonts w:hint="eastAsia" w:ascii="宋体" w:hAnsi="宋体" w:eastAsia="宋体" w:cs="宋体"/>
          <w:color w:val="auto"/>
          <w:highlight w:val="none"/>
        </w:rPr>
        <w:t>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参加投标的供应商有义务在采购活动期</w:t>
      </w:r>
      <w:r>
        <w:rPr>
          <w:rFonts w:hint="eastAsia" w:ascii="宋体" w:hAnsi="宋体" w:eastAsia="宋体" w:cs="宋体"/>
          <w:color w:val="auto"/>
          <w:sz w:val="21"/>
          <w:szCs w:val="21"/>
          <w:highlight w:val="none"/>
        </w:rPr>
        <w:t>间浏览</w:t>
      </w:r>
      <w:r>
        <w:rPr>
          <w:rFonts w:hint="eastAsia" w:ascii="宋体" w:hAnsi="宋体" w:eastAsia="宋体" w:cs="宋体"/>
          <w:color w:val="auto"/>
          <w:highlight w:val="none"/>
        </w:rPr>
        <w:t>宁波政府采购网（zfcg.czj.ningbo.gov.cn）</w:t>
      </w:r>
      <w:r>
        <w:rPr>
          <w:rFonts w:hint="eastAsia" w:ascii="宋体" w:hAnsi="宋体" w:eastAsia="宋体" w:cs="宋体"/>
          <w:color w:val="auto"/>
          <w:sz w:val="21"/>
          <w:szCs w:val="21"/>
          <w:highlight w:val="none"/>
        </w:rPr>
        <w:t>和</w:t>
      </w:r>
      <w:r>
        <w:rPr>
          <w:rFonts w:hint="eastAsia" w:ascii="宋体" w:hAnsi="宋体" w:cs="宋体"/>
          <w:color w:val="auto"/>
          <w:sz w:val="21"/>
          <w:szCs w:val="21"/>
          <w:highlight w:val="none"/>
          <w:lang w:eastAsia="zh-CN"/>
        </w:rPr>
        <w:t>宁波市政务服务中心网（jyxt.zwb.ningbo.gov.cn:4011）</w:t>
      </w: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sz w:val="21"/>
          <w:szCs w:val="21"/>
          <w:highlight w:val="none"/>
        </w:rPr>
        <w:t>）在以上两个网站发布的与本次招标项目有关的信息视为已送达各供应商，不再采用其它方式传达相关信息。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w:t>
      </w:r>
      <w:r>
        <w:rPr>
          <w:rFonts w:hint="eastAsia" w:ascii="宋体" w:hAnsi="宋体" w:eastAsia="宋体" w:cs="宋体"/>
          <w:b w:val="0"/>
          <w:bCs w:val="0"/>
          <w:color w:val="auto"/>
          <w:sz w:val="21"/>
          <w:szCs w:val="21"/>
          <w:highlight w:val="none"/>
        </w:rPr>
        <w:t>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w:t>
      </w:r>
      <w:r>
        <w:rPr>
          <w:rFonts w:hint="eastAsia" w:ascii="宋体" w:hAnsi="宋体" w:eastAsia="宋体" w:cs="宋体"/>
          <w:b w:val="0"/>
          <w:bCs w:val="0"/>
          <w:color w:val="auto"/>
          <w:sz w:val="21"/>
          <w:szCs w:val="21"/>
          <w:highlight w:val="none"/>
        </w:rPr>
        <w:t>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.1投标报价是履行合同的最终价格，包含购买货物及服务需交纳的所有税费及其他一切相关费用</w:t>
      </w:r>
      <w:r>
        <w:rPr>
          <w:rFonts w:hint="eastAsia" w:ascii="宋体" w:hAnsi="宋体" w:eastAsia="宋体" w:cs="宋体"/>
          <w:color w:val="auto"/>
          <w:highlight w:val="none"/>
        </w:rPr>
        <w:t>，具体详见本招标文件第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w:t>
      </w:r>
      <w:r>
        <w:rPr>
          <w:rFonts w:hint="eastAsia" w:ascii="宋体" w:hAnsi="宋体" w:eastAsia="宋体" w:cs="宋体"/>
          <w:color w:val="auto"/>
          <w:sz w:val="21"/>
          <w:szCs w:val="21"/>
          <w:highlight w:val="none"/>
        </w:rPr>
        <w:t>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公告的方式通知所有投标人。在这种情况下，采购人和投标人的权利和义务将受到新的截止时间和新</w:t>
      </w:r>
      <w:r>
        <w:rPr>
          <w:rFonts w:hint="eastAsia" w:ascii="宋体" w:hAnsi="宋体" w:eastAsia="宋体" w:cs="宋体"/>
          <w:color w:val="auto"/>
          <w:sz w:val="21"/>
          <w:szCs w:val="21"/>
          <w:highlight w:val="none"/>
        </w:rPr>
        <w:t>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val="en-US" w:eastAsia="zh-CN"/>
        </w:rPr>
        <w:t>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lang w:val="en-US" w:eastAsia="zh-CN"/>
        </w:rPr>
        <w:t>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w:t>
      </w:r>
      <w:r>
        <w:rPr>
          <w:rFonts w:hint="eastAsia" w:ascii="宋体" w:hAnsi="宋体" w:eastAsia="宋体" w:cs="宋体"/>
          <w:color w:val="auto"/>
          <w:highlight w:val="none"/>
          <w:lang w:val="en-US" w:eastAsia="zh-CN"/>
        </w:rPr>
        <w:t>云平台并</w:t>
      </w:r>
      <w:r>
        <w:rPr>
          <w:rFonts w:hint="eastAsia" w:ascii="宋体" w:hAnsi="宋体" w:eastAsia="宋体" w:cs="宋体"/>
          <w:color w:val="auto"/>
          <w:highlight w:val="none"/>
          <w:lang w:val="en-US" w:eastAsia="zh-CN"/>
        </w:rPr>
        <w:t>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w:t>
      </w:r>
      <w:r>
        <w:rPr>
          <w:rFonts w:hint="eastAsia" w:ascii="宋体" w:hAnsi="宋体" w:eastAsia="宋体" w:cs="宋体"/>
          <w:color w:val="auto"/>
          <w:highlight w:val="none"/>
          <w:lang w:val="en-US" w:eastAsia="zh-CN"/>
        </w:rPr>
        <w:t>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w:t>
      </w:r>
      <w:r>
        <w:rPr>
          <w:rFonts w:hint="eastAsia" w:ascii="宋体" w:hAnsi="宋体" w:eastAsia="宋体" w:cs="宋体"/>
          <w:color w:val="auto"/>
          <w:sz w:val="21"/>
          <w:szCs w:val="21"/>
          <w:highlight w:val="none"/>
        </w:rPr>
        <w:t>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新碶高级中学台式计算机</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BLZFCG2025026</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4.2本项目交付期限：</w:t>
      </w:r>
      <w:r>
        <w:rPr>
          <w:rFonts w:hint="eastAsia" w:ascii="宋体" w:hAnsi="宋体" w:eastAsia="宋体" w:cs="宋体"/>
          <w:color w:val="auto"/>
          <w:sz w:val="21"/>
          <w:szCs w:val="21"/>
          <w:highlight w:val="none"/>
        </w:rPr>
        <w:t>合同签订后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个月内完成安装、调试并交付使用。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w:t>
      </w:r>
      <w:r>
        <w:rPr>
          <w:rFonts w:hint="eastAsia" w:ascii="宋体" w:hAnsi="宋体" w:eastAsia="宋体" w:cs="宋体"/>
          <w:b w:val="0"/>
          <w:bCs w:val="0"/>
          <w:color w:val="auto"/>
          <w:sz w:val="21"/>
          <w:szCs w:val="21"/>
          <w:highlight w:val="none"/>
        </w:rPr>
        <w:t>没有特别说明时，产品质保期为</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年，质保期自项目正式验收合格之日起计算</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具体要求详见本部分附件。</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w:t>
      </w:r>
      <w:r>
        <w:rPr>
          <w:rFonts w:hint="eastAsia" w:ascii="宋体" w:hAnsi="宋体" w:eastAsia="宋体" w:cs="宋体"/>
          <w:b w:val="0"/>
          <w:bCs w:val="0"/>
          <w:color w:val="auto"/>
          <w:sz w:val="21"/>
          <w:szCs w:val="21"/>
          <w:highlight w:val="none"/>
        </w:rPr>
        <w:t>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响应，简单故障能通过电话予以解决，如用户提出需要上门服务，维修人员应在4小时内赶到现场，并在</w:t>
      </w:r>
      <w:r>
        <w:rPr>
          <w:rFonts w:hint="eastAsia" w:ascii="宋体" w:hAnsi="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小时内解决问题。如在规定时间内不能解决问题，应提供同规格的替代设备给用户代用，直至设备故障修复。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w:t>
      </w:r>
      <w:r>
        <w:rPr>
          <w:rFonts w:hint="eastAsia" w:ascii="宋体" w:hAnsi="宋体" w:eastAsia="宋体" w:cs="宋体"/>
          <w:color w:val="auto"/>
          <w:sz w:val="21"/>
          <w:szCs w:val="21"/>
          <w:highlight w:val="none"/>
        </w:rPr>
        <w:t>若投标人提供的技术（服务）方案、设备（材料）性能参数与采购人要求不一致，</w:t>
      </w:r>
      <w:r>
        <w:rPr>
          <w:rFonts w:hint="eastAsia" w:ascii="宋体" w:hAnsi="宋体" w:eastAsia="宋体" w:cs="宋体"/>
          <w:color w:val="auto"/>
          <w:sz w:val="21"/>
          <w:szCs w:val="21"/>
          <w:highlight w:val="none"/>
        </w:rPr>
        <w:t>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5.1投标货物说明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5.1.1投标货物清单。根据采购需求，详细列出符合要求的货物配置情况及各项指标对应情况。</w:t>
      </w:r>
      <w:r>
        <w:rPr>
          <w:rFonts w:hint="eastAsia" w:ascii="宋体" w:hAnsi="宋体" w:cs="宋体"/>
          <w:color w:val="auto"/>
          <w:sz w:val="21"/>
          <w:szCs w:val="21"/>
          <w:highlight w:val="none"/>
          <w:lang w:eastAsia="zh-CN"/>
        </w:rPr>
        <w:t>格式参照第六部分格式</w:t>
      </w:r>
      <w:r>
        <w:rPr>
          <w:rFonts w:hint="eastAsia" w:ascii="宋体" w:hAnsi="宋体" w:eastAsia="宋体" w:cs="宋体"/>
          <w:color w:val="auto"/>
          <w:sz w:val="21"/>
          <w:szCs w:val="21"/>
          <w:highlight w:val="none"/>
        </w:rPr>
        <w:t>：投标货物（服务）清单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lang w:eastAsia="zh-CN"/>
        </w:rPr>
        <w:t>性能技术指标对照表。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5.1.2投标货物说明。供应商应详细描述货物的特点和性能、技术规格</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并提供资料进行说明。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5.1.3设备主要部件。说明货物的主要部件组成，详细说明其特点和性能。同时采用清单方式说明，并提供主要部件的原产地。</w:t>
      </w:r>
      <w:r>
        <w:rPr>
          <w:rFonts w:hint="eastAsia" w:ascii="宋体" w:hAnsi="宋体" w:cs="宋体"/>
          <w:color w:val="auto"/>
          <w:sz w:val="21"/>
          <w:szCs w:val="21"/>
          <w:highlight w:val="none"/>
          <w:lang w:eastAsia="zh-CN"/>
        </w:rPr>
        <w:t>格式参照第六部分格式</w:t>
      </w:r>
      <w:r>
        <w:rPr>
          <w:rFonts w:hint="eastAsia" w:ascii="宋体" w:hAnsi="宋体" w:eastAsia="宋体" w:cs="宋体"/>
          <w:color w:val="auto"/>
          <w:sz w:val="21"/>
          <w:szCs w:val="21"/>
          <w:highlight w:val="none"/>
        </w:rPr>
        <w:t>：货物主要部件情况表。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5.2.1项目实施方案包括供货方案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进度计划安排</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实施团队人员配备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安装调试方案等，内容应简洁实用。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供应商应派技术好、经验丰富的专业技术人员进行安装调试，在合同签订后按要求进行设备采购、安装、调试、验收等。在货物交付买方前，负责对货物的保护。在交付前如果货物遇到损坏或丢失，所造成的损失由中标人承担。</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拟派本项目的主要实施人员未经采购人许可不得更换。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5.3质量保证和售后服务方案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供应商应保证本项目质量符合合同规定的要求，所提供的设备材料为未使用过的全新产品，安装施工方法符合国家标准、规范的要求。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项目验收要求。项目安装、调试完成后，由采购人进行统一验收。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在质保期内，供应商须免费负责修理和替换任何由于产品自身的质量问题造成的损坏及故障。如果在短时内故障无法修复，则应提供同规格设备代用。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技术服务。供应商应对本项目提供长期有效的技术支持，投标文件中应提供技术服务和售后服务的内容及措施承诺，并列出售后服务机构设置情况，包括人员数量、人员技术资格情况、办公地址、联系方式及负责人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5.4技术培训方案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5.4.1供应商须对</w:t>
      </w:r>
      <w:r>
        <w:rPr>
          <w:rFonts w:hint="eastAsia" w:ascii="宋体" w:hAnsi="宋体" w:cs="宋体"/>
          <w:color w:val="auto"/>
          <w:sz w:val="21"/>
          <w:szCs w:val="21"/>
          <w:highlight w:val="none"/>
          <w:lang w:val="en-US" w:eastAsia="zh-CN"/>
        </w:rPr>
        <w:t>买</w:t>
      </w:r>
      <w:r>
        <w:rPr>
          <w:rFonts w:hint="eastAsia" w:ascii="宋体" w:hAnsi="宋体" w:eastAsia="宋体" w:cs="宋体"/>
          <w:color w:val="auto"/>
          <w:sz w:val="21"/>
          <w:szCs w:val="21"/>
          <w:highlight w:val="none"/>
        </w:rPr>
        <w:t>方的技术人员和操作人员进行培训。在投标文件中提供培训方案，包括负责培训的人员、培训内容、培训时间等内容。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5.4.2具体要求详见本部分附件。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rPr>
        <w:t>合同生效并具备实施条件后，采购人凭中标人开具的发票和预付款保函在7个工作日内，向中标人支付合同总价40%的预付款。预付款保函应当由银行、保险公司等金融机构出具且与预付款同等金额。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货到采购人指定地点经安装、调试，验收合格</w:t>
      </w:r>
      <w:r>
        <w:rPr>
          <w:rFonts w:hint="eastAsia" w:ascii="宋体" w:hAnsi="宋体" w:cs="宋体"/>
          <w:color w:val="auto"/>
          <w:sz w:val="21"/>
          <w:szCs w:val="21"/>
          <w:highlight w:val="none"/>
          <w:lang w:val="en-US" w:eastAsia="zh-CN"/>
        </w:rPr>
        <w:t>后</w:t>
      </w:r>
      <w:r>
        <w:rPr>
          <w:rFonts w:hint="eastAsia" w:ascii="宋体" w:hAnsi="宋体" w:eastAsia="宋体" w:cs="宋体"/>
          <w:color w:val="auto"/>
          <w:sz w:val="21"/>
          <w:szCs w:val="21"/>
          <w:highlight w:val="none"/>
        </w:rPr>
        <w:t>，采购人收到发票后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日内，向供应商付清剩余合同款。</w:t>
      </w:r>
    </w:p>
    <w:p>
      <w:pPr>
        <w:spacing w:line="360" w:lineRule="auto"/>
        <w:rPr>
          <w:rFonts w:hint="eastAsia" w:ascii="宋体" w:hAnsi="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3</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w:t>
      </w:r>
      <w:r>
        <w:rPr>
          <w:rFonts w:hint="eastAsia" w:ascii="宋体" w:hAnsi="宋体" w:eastAsia="宋体" w:cs="宋体"/>
          <w:color w:val="auto"/>
          <w:sz w:val="21"/>
          <w:szCs w:val="21"/>
          <w:highlight w:val="none"/>
        </w:rPr>
        <w:t>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8.1.1本次采购为非专门面向中小企业项目，根据《政府采购促进中小企业发展管理办法》（财库[2020]46号）</w:t>
      </w:r>
      <w:r>
        <w:rPr>
          <w:rFonts w:hint="eastAsia" w:ascii="宋体" w:hAnsi="宋体" w:cs="宋体"/>
          <w:color w:val="auto"/>
          <w:sz w:val="21"/>
          <w:szCs w:val="21"/>
          <w:highlight w:val="none"/>
          <w:lang w:val="en-US" w:eastAsia="zh-CN"/>
        </w:rPr>
        <w:t>及相关</w:t>
      </w:r>
      <w:r>
        <w:rPr>
          <w:rFonts w:hint="eastAsia" w:ascii="宋体" w:hAnsi="宋体" w:eastAsia="宋体" w:cs="宋体"/>
          <w:color w:val="auto"/>
          <w:sz w:val="21"/>
          <w:szCs w:val="21"/>
          <w:highlight w:val="none"/>
        </w:rPr>
        <w:t>规定，本次政府采购活动，对满足招标文件要求的</w:t>
      </w:r>
      <w:r>
        <w:rPr>
          <w:rFonts w:hint="eastAsia" w:ascii="宋体" w:hAnsi="宋体" w:eastAsia="宋体" w:cs="宋体"/>
          <w:color w:val="auto"/>
          <w:sz w:val="21"/>
          <w:szCs w:val="21"/>
          <w:highlight w:val="none"/>
        </w:rPr>
        <w:t>小微企业的价格给予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w:t>
      </w:r>
      <w:r>
        <w:rPr>
          <w:rFonts w:hint="eastAsia" w:ascii="宋体" w:hAnsi="宋体" w:eastAsia="宋体" w:cs="宋体"/>
          <w:color w:val="auto"/>
          <w:sz w:val="21"/>
          <w:szCs w:val="21"/>
          <w:highlight w:val="none"/>
        </w:rPr>
        <w:t>用扣除后的价格参与评审。价格扣除只用于评审过程，如中标，中标价格仍按照其投标价格进行公告。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8.1.2符合</w:t>
      </w:r>
      <w:r>
        <w:rPr>
          <w:rFonts w:hint="eastAsia" w:ascii="宋体" w:hAnsi="宋体" w:eastAsia="宋体" w:cs="宋体"/>
          <w:color w:val="auto"/>
          <w:sz w:val="21"/>
          <w:szCs w:val="21"/>
          <w:highlight w:val="none"/>
          <w:lang w:val="en-US" w:eastAsia="zh-CN"/>
        </w:rPr>
        <w:t>中小企业认定标准的供应商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在参加本次政府采购活动时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应</w:t>
      </w:r>
      <w:r>
        <w:rPr>
          <w:rFonts w:hint="eastAsia" w:ascii="宋体" w:hAnsi="宋体" w:eastAsia="宋体" w:cs="宋体"/>
          <w:color w:val="auto"/>
          <w:sz w:val="21"/>
          <w:szCs w:val="21"/>
          <w:highlight w:val="none"/>
        </w:rPr>
        <w:t>当提供《中小企业声明函》，</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部分格式：中小企业声明函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并对声明的真实性负责。未按要求提供声明函的不执行中小微型企业优惠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8.1.3中标、成交供应商为小微企业的，采购人或采购代理机构将随中标、成交结果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本次政府采购活动，残疾人福利性单位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符合条件的残疾人福利性单位在参加本次政府采购活动时，应当提供《残疾人福利性单位声明函》，</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部分格式：残疾人福利性单位声明函，</w:t>
      </w:r>
      <w:r>
        <w:rPr>
          <w:rFonts w:hint="eastAsia" w:ascii="宋体" w:hAnsi="宋体" w:eastAsia="宋体" w:cs="宋体"/>
          <w:color w:val="auto"/>
          <w:sz w:val="21"/>
          <w:szCs w:val="21"/>
          <w:highlight w:val="none"/>
        </w:rPr>
        <w:t>并对声明的真实性负责。未按要求提供声明函的不执行残疾人福利性单位优惠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。残疾人福利性单位属于小型、微型企业的，不重复享受政策。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中标、成交供应商为残疾人福利性单位的，采购人或采购代理机构将随中标、成交结果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8.3.2监狱企业参加政府采购活动时，应当提供由省级以上监狱管理局、戒毒管理局（含新疆生产建设兵团）出具的属于监狱企业的证明文件。未提供证明文件的不执行监狱企业优惠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《节能产品政府采购品目清单》和《环境标志产品政府采购品目清单》查询网址：中国政府采购网（www.ccgp.gov.cn）。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w:t>
      </w:r>
      <w:r>
        <w:rPr>
          <w:rFonts w:hint="eastAsia" w:ascii="宋体" w:hAnsi="宋体" w:cs="宋体"/>
          <w:color w:val="auto"/>
          <w:sz w:val="21"/>
          <w:szCs w:val="21"/>
          <w:highlight w:val="none"/>
          <w:lang w:val="en-US" w:eastAsia="zh-CN"/>
        </w:rPr>
        <w:t>台式计算机、便携式计算机、激光打印机、针式打印机、液晶显示器、空调机等为政府强制采购产品，</w:t>
      </w:r>
      <w:r>
        <w:rPr>
          <w:rFonts w:hint="eastAsia" w:ascii="宋体" w:hAnsi="宋体" w:cs="宋体"/>
          <w:color w:val="auto"/>
          <w:sz w:val="21"/>
          <w:szCs w:val="21"/>
          <w:highlight w:val="none"/>
          <w:lang w:val="en-US" w:eastAsia="zh-CN"/>
        </w:rPr>
        <w:t>施行强制采购政策。</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w:t>
      </w:r>
      <w:r>
        <w:rPr>
          <w:rFonts w:hint="eastAsia" w:ascii="宋体" w:hAnsi="宋体" w:eastAsia="宋体" w:cs="宋体"/>
          <w:color w:val="auto"/>
          <w:sz w:val="21"/>
          <w:szCs w:val="21"/>
          <w:highlight w:val="none"/>
        </w:rPr>
        <w:t>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关于品牌</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9.2.1</w:t>
      </w:r>
      <w:r>
        <w:rPr>
          <w:rFonts w:hint="eastAsia" w:ascii="宋体" w:hAnsi="宋体"/>
          <w:b w:val="0"/>
          <w:bCs w:val="0"/>
          <w:color w:val="auto"/>
          <w:highlight w:val="none"/>
        </w:rPr>
        <w:t>不同投标人所投核心产品的品牌相同时，按以下原则处理：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由采购人自行选取一个投标人获得中标人推荐资格，</w:t>
      </w:r>
      <w:r>
        <w:rPr>
          <w:rFonts w:hint="eastAsia" w:ascii="宋体" w:hAnsi="宋体" w:eastAsia="宋体" w:cs="宋体"/>
          <w:color w:val="auto"/>
          <w:sz w:val="21"/>
          <w:szCs w:val="21"/>
          <w:highlight w:val="none"/>
        </w:rPr>
        <w:t>其他同品牌投标人不作为中标候选人。</w:t>
      </w:r>
    </w:p>
    <w:p>
      <w:pPr>
        <w:spacing w:line="360" w:lineRule="auto"/>
        <w:rPr>
          <w:rFonts w:hint="default" w:ascii="宋体" w:hAnsi="宋体" w:eastAsia="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9.2.2</w:t>
      </w:r>
      <w:r>
        <w:rPr>
          <w:rFonts w:hint="eastAsia" w:ascii="宋体" w:hAnsi="宋体"/>
          <w:b w:val="0"/>
          <w:bCs w:val="0"/>
          <w:strike w:val="0"/>
          <w:dstrike w:val="0"/>
          <w:color w:val="auto"/>
          <w:highlight w:val="none"/>
          <w:lang w:val="en-US" w:eastAsia="zh-CN"/>
        </w:rPr>
        <w:t>本项目的核心产品详见本部分附件。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b/>
          <w:color w:val="auto"/>
          <w:highlight w:val="none"/>
        </w:rPr>
      </w:pPr>
      <w:r>
        <w:rPr>
          <w:rFonts w:hint="eastAsia" w:ascii="宋体" w:hAnsi="宋体"/>
          <w:b/>
          <w:color w:val="auto"/>
          <w:highlight w:val="none"/>
        </w:rPr>
        <w:t>一、采购清单</w:t>
      </w:r>
    </w:p>
    <w:tbl>
      <w:tblPr>
        <w:tblStyle w:val="8"/>
        <w:tblW w:w="9206" w:type="dxa"/>
        <w:tblInd w:w="0" w:type="dxa"/>
        <w:tblLayout w:type="fixed"/>
        <w:tblCellMar>
          <w:top w:w="0" w:type="dxa"/>
          <w:left w:w="108" w:type="dxa"/>
          <w:bottom w:w="0" w:type="dxa"/>
          <w:right w:w="108" w:type="dxa"/>
        </w:tblCellMar>
      </w:tblPr>
      <w:tblGrid>
        <w:gridCol w:w="661"/>
        <w:gridCol w:w="1290"/>
        <w:gridCol w:w="3769"/>
        <w:gridCol w:w="643"/>
        <w:gridCol w:w="674"/>
        <w:gridCol w:w="2169"/>
      </w:tblGrid>
      <w:tr>
        <w:tblPrEx>
          <w:tblLayout w:type="fixed"/>
          <w:tblCellMar>
            <w:top w:w="0" w:type="dxa"/>
            <w:left w:w="108" w:type="dxa"/>
            <w:bottom w:w="0" w:type="dxa"/>
            <w:right w:w="108" w:type="dxa"/>
          </w:tblCellMar>
        </w:tblPrEx>
        <w:trPr>
          <w:trHeight w:val="59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1"/>
                <w:szCs w:val="21"/>
                <w:highlight w:val="none"/>
              </w:rPr>
            </w:pPr>
            <w:r>
              <w:rPr>
                <w:rFonts w:hint="eastAsia"/>
                <w:b/>
                <w:bCs/>
                <w:color w:val="auto"/>
                <w:sz w:val="21"/>
                <w:szCs w:val="21"/>
                <w:highlight w:val="none"/>
                <w:lang w:bidi="ar"/>
              </w:rPr>
              <w:t>序号</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1"/>
                <w:szCs w:val="21"/>
                <w:highlight w:val="none"/>
              </w:rPr>
            </w:pPr>
            <w:r>
              <w:rPr>
                <w:rFonts w:hint="eastAsia"/>
                <w:b/>
                <w:bCs/>
                <w:color w:val="auto"/>
                <w:sz w:val="21"/>
                <w:szCs w:val="21"/>
                <w:highlight w:val="none"/>
                <w:lang w:bidi="ar"/>
              </w:rPr>
              <w:t>产品名称</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1"/>
                <w:szCs w:val="21"/>
                <w:highlight w:val="none"/>
              </w:rPr>
            </w:pPr>
            <w:r>
              <w:rPr>
                <w:rFonts w:hint="eastAsia"/>
                <w:b/>
                <w:bCs/>
                <w:color w:val="auto"/>
                <w:sz w:val="21"/>
                <w:szCs w:val="21"/>
                <w:highlight w:val="none"/>
                <w:lang w:bidi="ar"/>
              </w:rPr>
              <w:t>技术规格</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1"/>
                <w:szCs w:val="21"/>
                <w:highlight w:val="none"/>
              </w:rPr>
            </w:pPr>
            <w:r>
              <w:rPr>
                <w:rFonts w:hint="eastAsia"/>
                <w:b/>
                <w:bCs/>
                <w:color w:val="auto"/>
                <w:sz w:val="21"/>
                <w:szCs w:val="21"/>
                <w:highlight w:val="none"/>
                <w:lang w:bidi="ar"/>
              </w:rPr>
              <w:t>数量</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1"/>
                <w:szCs w:val="21"/>
                <w:highlight w:val="none"/>
              </w:rPr>
            </w:pPr>
            <w:r>
              <w:rPr>
                <w:rFonts w:hint="eastAsia"/>
                <w:b/>
                <w:bCs/>
                <w:color w:val="auto"/>
                <w:sz w:val="21"/>
                <w:szCs w:val="21"/>
                <w:highlight w:val="none"/>
                <w:lang w:bidi="ar"/>
              </w:rPr>
              <w:t>单位</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auto"/>
                <w:sz w:val="21"/>
                <w:szCs w:val="21"/>
                <w:highlight w:val="none"/>
              </w:rPr>
            </w:pPr>
            <w:r>
              <w:rPr>
                <w:rFonts w:hint="eastAsia" w:ascii="宋体" w:hAnsi="宋体" w:eastAsia="宋体" w:cs="宋体"/>
                <w:b/>
                <w:bCs/>
                <w:color w:val="auto"/>
                <w:sz w:val="21"/>
                <w:szCs w:val="21"/>
                <w:highlight w:val="none"/>
                <w:lang w:val="en-US" w:eastAsia="zh-CN"/>
              </w:rPr>
              <w:t>产品示例</w:t>
            </w:r>
          </w:p>
        </w:tc>
      </w:tr>
      <w:tr>
        <w:tblPrEx>
          <w:tblLayout w:type="fixed"/>
          <w:tblCellMar>
            <w:top w:w="0" w:type="dxa"/>
            <w:left w:w="108" w:type="dxa"/>
            <w:bottom w:w="0" w:type="dxa"/>
            <w:right w:w="108" w:type="dxa"/>
          </w:tblCellMar>
        </w:tblPrEx>
        <w:trPr>
          <w:trHeight w:val="7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auto"/>
                <w:sz w:val="21"/>
                <w:szCs w:val="21"/>
                <w:highlight w:val="none"/>
                <w:lang w:bidi="ar"/>
              </w:rPr>
            </w:pPr>
            <w:r>
              <w:rPr>
                <w:rFonts w:hint="eastAsia" w:ascii="宋体" w:hAnsi="宋体" w:cs="宋体"/>
                <w:color w:val="auto"/>
                <w:kern w:val="0"/>
                <w:sz w:val="21"/>
                <w:szCs w:val="21"/>
                <w:highlight w:val="none"/>
                <w:lang w:bidi="ar"/>
              </w:rPr>
              <w:t>台式计算机</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（教师机）</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val="en-US" w:eastAsia="zh-CN" w:bidi="ar"/>
              </w:rPr>
              <w:t>核心产品</w:t>
            </w:r>
            <w:r>
              <w:rPr>
                <w:rFonts w:hint="eastAsia" w:ascii="宋体" w:hAnsi="宋体" w:eastAsia="宋体" w:cs="宋体"/>
                <w:b/>
                <w:bCs/>
                <w:color w:val="auto"/>
                <w:kern w:val="0"/>
                <w:sz w:val="21"/>
                <w:szCs w:val="21"/>
                <w:highlight w:val="none"/>
                <w:lang w:eastAsia="zh-CN" w:bidi="ar"/>
              </w:rPr>
              <w:t>）</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1"/>
                <w:szCs w:val="21"/>
                <w:highlight w:val="none"/>
                <w:lang w:bidi="ar"/>
              </w:rPr>
            </w:pPr>
            <w:r>
              <w:rPr>
                <w:rFonts w:hint="eastAsia" w:ascii="宋体" w:hAnsi="宋体" w:eastAsia="宋体" w:cs="宋体"/>
                <w:b/>
                <w:bCs/>
                <w:color w:val="auto"/>
                <w:sz w:val="21"/>
                <w:szCs w:val="21"/>
                <w:highlight w:val="none"/>
                <w:lang w:bidi="ar"/>
              </w:rPr>
              <w:t>（详见技术要求）</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bidi="ar"/>
              </w:rPr>
              <w:t>30</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套</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长城世恒TD120A2、联想开天M740Z P-597、</w:t>
            </w:r>
            <w:r>
              <w:rPr>
                <w:rFonts w:hint="eastAsia" w:ascii="宋体" w:hAnsi="宋体" w:eastAsia="宋体" w:cs="宋体"/>
                <w:color w:val="auto"/>
                <w:sz w:val="21"/>
                <w:szCs w:val="21"/>
                <w:highlight w:val="none"/>
                <w:lang w:val="en-US" w:eastAsia="zh-CN" w:bidi="ar"/>
              </w:rPr>
              <w:t>同方超翔JF830-V050</w:t>
            </w:r>
          </w:p>
        </w:tc>
      </w:tr>
      <w:tr>
        <w:tblPrEx>
          <w:tblLayout w:type="fixed"/>
          <w:tblCellMar>
            <w:top w:w="0" w:type="dxa"/>
            <w:left w:w="108" w:type="dxa"/>
            <w:bottom w:w="0" w:type="dxa"/>
            <w:right w:w="108" w:type="dxa"/>
          </w:tblCellMar>
        </w:tblPrEx>
        <w:trPr>
          <w:trHeight w:val="750"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color w:val="auto"/>
                <w:sz w:val="21"/>
                <w:szCs w:val="21"/>
                <w:highlight w:val="none"/>
                <w:lang w:bidi="ar"/>
              </w:rPr>
            </w:pPr>
            <w:r>
              <w:rPr>
                <w:rFonts w:hint="eastAsia" w:ascii="宋体" w:hAnsi="宋体" w:cs="宋体"/>
                <w:color w:val="auto"/>
                <w:kern w:val="0"/>
                <w:sz w:val="21"/>
                <w:szCs w:val="21"/>
                <w:highlight w:val="none"/>
                <w:lang w:bidi="ar"/>
              </w:rPr>
              <w:t>台式计算机</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(学生机)</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1"/>
                <w:szCs w:val="21"/>
                <w:highlight w:val="none"/>
                <w:lang w:bidi="ar"/>
              </w:rPr>
            </w:pPr>
            <w:r>
              <w:rPr>
                <w:rFonts w:hint="eastAsia" w:ascii="宋体" w:hAnsi="宋体" w:cs="宋体"/>
                <w:b/>
                <w:bCs/>
                <w:color w:val="auto"/>
                <w:sz w:val="21"/>
                <w:szCs w:val="21"/>
                <w:highlight w:val="none"/>
                <w:lang w:bidi="ar"/>
              </w:rPr>
              <w:t>（详见技术要求）</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51</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套</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长城世恒TD120A2、联想开天M740Z P-597、</w:t>
            </w:r>
            <w:r>
              <w:rPr>
                <w:rFonts w:hint="eastAsia" w:ascii="宋体" w:hAnsi="宋体" w:eastAsia="宋体" w:cs="宋体"/>
                <w:color w:val="auto"/>
                <w:sz w:val="21"/>
                <w:szCs w:val="21"/>
                <w:highlight w:val="none"/>
                <w:lang w:val="en-US" w:eastAsia="zh-CN" w:bidi="ar"/>
              </w:rPr>
              <w:t>同方超翔JF830-V050</w:t>
            </w:r>
          </w:p>
        </w:tc>
      </w:tr>
      <w:tr>
        <w:tblPrEx>
          <w:tblLayout w:type="fixed"/>
          <w:tblCellMar>
            <w:top w:w="0" w:type="dxa"/>
            <w:left w:w="108" w:type="dxa"/>
            <w:bottom w:w="0" w:type="dxa"/>
            <w:right w:w="108" w:type="dxa"/>
          </w:tblCellMar>
        </w:tblPrEx>
        <w:trPr>
          <w:trHeight w:val="90" w:hRule="atLeast"/>
        </w:trPr>
        <w:tc>
          <w:tcPr>
            <w:tcW w:w="661"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3</w:t>
            </w:r>
          </w:p>
        </w:tc>
        <w:tc>
          <w:tcPr>
            <w:tcW w:w="1290" w:type="dxa"/>
            <w:vMerge w:val="restart"/>
            <w:tcBorders>
              <w:top w:val="single" w:color="000000" w:sz="4" w:space="0"/>
              <w:left w:val="single" w:color="000000" w:sz="4" w:space="0"/>
              <w:right w:val="single" w:color="000000" w:sz="4" w:space="0"/>
            </w:tcBorders>
            <w:noWrap w:val="0"/>
            <w:vAlign w:val="center"/>
          </w:tcPr>
          <w:p>
            <w:pPr>
              <w:rPr>
                <w:rFonts w:hint="eastAsia"/>
                <w:color w:val="auto"/>
                <w:sz w:val="21"/>
                <w:szCs w:val="21"/>
                <w:highlight w:val="none"/>
                <w:lang w:bidi="ar"/>
              </w:rPr>
            </w:pPr>
            <w:r>
              <w:rPr>
                <w:rFonts w:hint="eastAsia"/>
                <w:color w:val="auto"/>
                <w:sz w:val="21"/>
                <w:szCs w:val="21"/>
                <w:highlight w:val="none"/>
                <w:lang w:bidi="ar"/>
              </w:rPr>
              <w:t>系统软件</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机房同传管理软件、电子教室</w:t>
            </w:r>
            <w:r>
              <w:rPr>
                <w:rFonts w:hint="eastAsia" w:ascii="宋体" w:hAnsi="宋体" w:cs="宋体"/>
                <w:b/>
                <w:bCs/>
                <w:color w:val="auto"/>
                <w:sz w:val="21"/>
                <w:szCs w:val="21"/>
                <w:highlight w:val="none"/>
                <w:lang w:bidi="ar"/>
              </w:rPr>
              <w:t>（详见技术要求）</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51</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套</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开天智能云教室、网耘维护系统、集智桌面管理系统</w:t>
            </w:r>
          </w:p>
        </w:tc>
      </w:tr>
      <w:tr>
        <w:tblPrEx>
          <w:tblLayout w:type="fixed"/>
          <w:tblCellMar>
            <w:top w:w="0" w:type="dxa"/>
            <w:left w:w="108" w:type="dxa"/>
            <w:bottom w:w="0" w:type="dxa"/>
            <w:right w:w="108" w:type="dxa"/>
          </w:tblCellMar>
        </w:tblPrEx>
        <w:trPr>
          <w:trHeight w:val="90" w:hRule="atLeast"/>
        </w:trPr>
        <w:tc>
          <w:tcPr>
            <w:tcW w:w="66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lang w:bidi="ar"/>
              </w:rPr>
            </w:pPr>
          </w:p>
        </w:tc>
        <w:tc>
          <w:tcPr>
            <w:tcW w:w="1290" w:type="dxa"/>
            <w:vMerge w:val="continue"/>
            <w:tcBorders>
              <w:left w:val="single" w:color="000000" w:sz="4" w:space="0"/>
              <w:bottom w:val="single" w:color="000000" w:sz="4" w:space="0"/>
              <w:right w:val="single" w:color="000000" w:sz="4" w:space="0"/>
            </w:tcBorders>
            <w:noWrap w:val="0"/>
            <w:vAlign w:val="center"/>
          </w:tcPr>
          <w:p>
            <w:pPr>
              <w:rPr>
                <w:rFonts w:hint="eastAsia"/>
                <w:color w:val="auto"/>
                <w:sz w:val="21"/>
                <w:szCs w:val="21"/>
                <w:highlight w:val="none"/>
                <w:lang w:bidi="ar"/>
              </w:rPr>
            </w:pPr>
          </w:p>
        </w:tc>
        <w:tc>
          <w:tcPr>
            <w:tcW w:w="3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办公套件流式软件</w:t>
            </w:r>
            <w:r>
              <w:rPr>
                <w:rFonts w:hint="eastAsia" w:ascii="宋体" w:hAnsi="宋体" w:cs="宋体"/>
                <w:b/>
                <w:bCs/>
                <w:color w:val="auto"/>
                <w:sz w:val="21"/>
                <w:szCs w:val="21"/>
                <w:highlight w:val="none"/>
                <w:lang w:bidi="ar"/>
              </w:rPr>
              <w:t>（详见技术要求）</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51</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套</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WPS、永中、泰山office</w:t>
            </w:r>
          </w:p>
        </w:tc>
      </w:tr>
      <w:tr>
        <w:tblPrEx>
          <w:tblLayout w:type="fixed"/>
          <w:tblCellMar>
            <w:top w:w="0" w:type="dxa"/>
            <w:left w:w="108" w:type="dxa"/>
            <w:bottom w:w="0" w:type="dxa"/>
            <w:right w:w="108" w:type="dxa"/>
          </w:tblCellMar>
        </w:tblPrEx>
        <w:trPr>
          <w:trHeight w:val="313" w:hRule="atLeast"/>
        </w:trPr>
        <w:tc>
          <w:tcPr>
            <w:tcW w:w="6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网络综合布线</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网络综合布线</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1</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项</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rPr>
                <w:color w:val="auto"/>
                <w:sz w:val="21"/>
                <w:szCs w:val="21"/>
                <w:highlight w:val="none"/>
              </w:rPr>
            </w:pPr>
          </w:p>
        </w:tc>
      </w:tr>
    </w:tbl>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注：采购</w:t>
      </w:r>
      <w:r>
        <w:rPr>
          <w:rFonts w:hint="eastAsia" w:ascii="宋体" w:hAnsi="宋体" w:cs="Times New Roman"/>
          <w:b/>
          <w:bCs/>
          <w:color w:val="auto"/>
          <w:highlight w:val="none"/>
          <w:lang w:val="en-US" w:eastAsia="zh-CN"/>
        </w:rPr>
        <w:t>清单中的“台式计算机（教师机）”（</w:t>
      </w:r>
      <w:r>
        <w:rPr>
          <w:rFonts w:hint="eastAsia" w:ascii="宋体" w:hAnsi="宋体"/>
          <w:b/>
          <w:bCs/>
          <w:color w:val="auto"/>
          <w:highlight w:val="none"/>
          <w:lang w:val="en-US" w:eastAsia="zh-CN"/>
        </w:rPr>
        <w:t>序号1）为本次采购的核心产品。</w:t>
      </w:r>
    </w:p>
    <w:p>
      <w:pPr>
        <w:spacing w:line="360" w:lineRule="auto"/>
        <w:rPr>
          <w:rFonts w:hint="eastAsia" w:ascii="宋体" w:hAnsi="宋体"/>
          <w:b/>
          <w:bCs/>
          <w:color w:val="auto"/>
          <w:highlight w:val="none"/>
        </w:rPr>
      </w:pPr>
    </w:p>
    <w:p>
      <w:pPr>
        <w:spacing w:line="360" w:lineRule="auto"/>
        <w:rPr>
          <w:rFonts w:hint="eastAsia" w:ascii="宋体" w:hAnsi="宋体" w:eastAsia="宋体" w:cs="宋体"/>
          <w:b/>
          <w:bCs/>
          <w:color w:val="auto"/>
          <w:sz w:val="18"/>
          <w:szCs w:val="18"/>
          <w:highlight w:val="none"/>
        </w:rPr>
      </w:pPr>
      <w:r>
        <w:rPr>
          <w:rFonts w:hint="eastAsia" w:ascii="宋体" w:hAnsi="宋体"/>
          <w:b/>
          <w:bCs/>
          <w:color w:val="auto"/>
          <w:highlight w:val="none"/>
        </w:rPr>
        <w:t>二、技术要求</w:t>
      </w:r>
    </w:p>
    <w:p>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1、台式计算机（教师机）</w:t>
      </w:r>
    </w:p>
    <w:tbl>
      <w:tblPr>
        <w:tblStyle w:val="8"/>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038"/>
        <w:gridCol w:w="1004"/>
        <w:gridCol w:w="1173"/>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名称</w:t>
            </w:r>
          </w:p>
        </w:tc>
        <w:tc>
          <w:tcPr>
            <w:tcW w:w="758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038"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台式计算机（教师机）</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CPU</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▲1、CPU 需符合国家安全可靠测评要求。</w:t>
            </w:r>
          </w:p>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▲2、ARM架构芯片，主频≥2.3GHz，核心数≥8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主板</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主板集成模块</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集成资源扩展模块、计算处理模块、音频扩展模块等，主板的互联拓扑可通过处理器或交换电路实现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▲主板设计</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自研主板</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 厚导电泡棉IO挡片，起到降低电磁辐射和降噪作用</w:t>
            </w:r>
          </w:p>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b) 标配IO接口全部板载设计，减少走线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▲主板BIOS固件</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国产自研BIOS固件，台式机的BIOS固件和所投台式机设备同品牌。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内存</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▲内存：支持DDR4 2666MHz及以上内存类型，内存插槽≥2个，实际配置内存≥16GB，支持内存扩展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光驱</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DVDRW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显卡</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▲独立显卡：显存容量≥2GB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硬盘</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▲≥512GB M.2接口NVME协议SSD，支持3.5寸硬盘及2.5寸硬盘扩展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显示器</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显示屏尺寸</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显示器应与主机同品牌，配置≥23.8寸LED显示器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显示屏分辨率</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显示屏可视角度</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水平≥178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显示屏屏幕比例</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显示屏防蓝光</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低蓝光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★显示屏响应时间</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显示屏亮度</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≥250 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信号接口</w:t>
            </w:r>
          </w:p>
        </w:tc>
        <w:tc>
          <w:tcPr>
            <w:tcW w:w="5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VGA≥1个，HDMI≥1个，标配HDMI视频连接线，与显卡直连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网络</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1个RJ45 10/100/1000自适应以太网口，标配1个内置M.2 WiFi接口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键盘鼠标</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与主机同品牌有线键盘鼠标套装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接口扩展</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★1个PCIe x16，1个PCIe x8，2个PCIe x1扩展槽；</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接口：前置USB3.0接口≥4个,Type-C≥1个；后置USB3.0接口≥2个，USB2.0接口≥2个；音频接口：麦克风1个，耳机1个；后端3个Audio音频接口；串口1个；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电源</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★电源功率≤180W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机箱</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机箱≤8.2L，整机支持免工具拆卸；机箱可立可卧（双面脚垫、减轻共振，利于散热），散热风罩，便于维护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数据安全</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1、支持基于BIOS级的一键备份和恢复的功能（非操作系统自带功能）；</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2、BIOS级USB屏蔽及智能USB数据保护：USB支持BIOS下全部接口一键开关、前后置USB口分组开关、USB口逐个开关；针对存储设备支持全部USB接口一键切换、前后置USB口分组切换、USB口逐个切换禁止访问/只读模式。</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▲3、支持桌面水印公告显示功能，对重要数据支持水印功能，可对机器开启水印功能，支持生成用户名，终端名称，IP地址或者自定义文字生成水印，从而防止数据泄漏</w:t>
            </w:r>
            <w:r>
              <w:rPr>
                <w:rFonts w:hint="eastAsia" w:ascii="宋体" w:hAnsi="宋体" w:eastAsia="宋体" w:cs="宋体"/>
                <w:b/>
                <w:bCs/>
                <w:color w:val="auto"/>
                <w:sz w:val="18"/>
                <w:szCs w:val="18"/>
                <w:highlight w:val="none"/>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设备认证</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▲免费提供电脑管理软件，可实现：1、硬件主要参数检测；优化加速； 2、系统垃圾清理；3、病毒查杀；4、原厂驱动更新；5、网络测速；网络诊断，6、自动识别品牌型号，自动识别序列号，自动识别保修开始至截止信息</w:t>
            </w:r>
            <w:r>
              <w:rPr>
                <w:rFonts w:hint="eastAsia" w:ascii="宋体" w:hAnsi="宋体" w:eastAsia="宋体" w:cs="宋体"/>
                <w:b/>
                <w:bCs/>
                <w:color w:val="auto"/>
                <w:sz w:val="18"/>
                <w:szCs w:val="18"/>
                <w:highlight w:val="none"/>
              </w:rPr>
              <w:t>（投标文件中提供1-6项功能截图）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WPS</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WPS Office 2023 教育版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操作系统</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★1、操作系统需符合国家安全可靠测评要求。</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2、原厂免费升级服务期限≥3年。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基础服务</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▲原厂三年上门保修，免费更换部件。7x24小时全年支持，早8:30至下午18:00工作时间；400或800大客户专线接听，非工作时间切换到工程师手机无缝接听。本地供应商送货上门，安装调试办公常用软件。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快修服务</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▲快速处理，当日下午4点前报修，下一自然日24点前修复，若没有完成修复，原厂或者中标供应商需为客户延迟日数对应的原厂月度延保服务。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01"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拯救服务</w:t>
            </w:r>
          </w:p>
        </w:tc>
        <w:tc>
          <w:tcPr>
            <w:tcW w:w="657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▲三年内，面向硬盘，针对其软件原因或硬件原因导致数据丢失的情况，原厂须提供1次免费的尝试性故障硬盘（单盘）数据拯救服务，若未恢复则不计次数。</w:t>
            </w:r>
          </w:p>
        </w:tc>
      </w:tr>
    </w:tbl>
    <w:p>
      <w:pPr>
        <w:rPr>
          <w:rFonts w:hint="eastAsia" w:ascii="宋体" w:hAnsi="宋体" w:eastAsia="宋体" w:cs="宋体"/>
          <w:b/>
          <w:bCs/>
          <w:color w:val="auto"/>
          <w:sz w:val="18"/>
          <w:szCs w:val="18"/>
          <w:highlight w:val="none"/>
        </w:rPr>
      </w:pPr>
    </w:p>
    <w:p>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2、台式计算机(学生机)</w:t>
      </w:r>
    </w:p>
    <w:tbl>
      <w:tblPr>
        <w:tblStyle w:val="8"/>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38"/>
        <w:gridCol w:w="1004"/>
        <w:gridCol w:w="1173"/>
        <w:gridCol w:w="5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名称</w:t>
            </w:r>
          </w:p>
        </w:tc>
        <w:tc>
          <w:tcPr>
            <w:tcW w:w="75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bookmarkStart w:id="2" w:name="OLE_LINK1"/>
            <w:r>
              <w:rPr>
                <w:rFonts w:hint="eastAsia" w:ascii="宋体" w:hAnsi="宋体" w:eastAsia="宋体" w:cs="宋体"/>
                <w:color w:val="auto"/>
                <w:sz w:val="18"/>
                <w:szCs w:val="18"/>
                <w:highlight w:val="none"/>
              </w:rPr>
              <w:t>技术要求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038"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台式计算机(学生机)</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CPU</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▲1、CPU 需符合国家安全可靠测评要求。</w:t>
            </w:r>
          </w:p>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▲2、ARM架构芯片，主频≥2.3GHz，核心数≥8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主板</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主板集成模块</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集成资源扩展模块、计算处理模块、音频扩展模块等，主板的互联拓扑可通过处理器或交换电路实现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▲主板设计</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自研主板</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 厚导电泡棉IO挡片，起到降低电磁辐射和降噪作用</w:t>
            </w:r>
          </w:p>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b) 标配IO接口全部板载设计，减少走线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▲主板BIOS固件</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国产自研BIOS固件，台式机的BIOS固件和所投台式机设备同品牌。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内存</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▲内存：支持DDR4 2666MHz及以上内存类型，内存插槽≥2个，实际配置内存≥16GB，支持内存扩展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光驱</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DVDRW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显卡</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rPr>
              <w:t xml:space="preserve">独立显卡：显存容量≥2GB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硬盘</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rPr>
              <w:t>≥512GB M.2接口NVME协议SSD，支持3.5寸硬盘及2.5寸硬盘扩展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显示器</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显示屏尺寸</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显示器应与主机同品牌，配置≥23.8寸LED显示器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显示屏分辨率</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显示屏可视角度</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水平≥178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显示屏屏幕比例</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显示屏防蓝光</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低蓝光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sz w:val="18"/>
                <w:szCs w:val="18"/>
                <w:highlight w:val="none"/>
              </w:rPr>
              <w:t>显示屏响应时间</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显示屏亮度</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≥250 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信号接口</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VGA≥1个，HDMI≥1个，标配HDMI视频连接线，与显卡直连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网络</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1个RJ45 10/100/1000自适应以太网口，标配1个内置M.2 WiFi接口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键盘鼠标</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与主机同品牌有线键盘鼠标套装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接口扩展</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sz w:val="18"/>
                <w:szCs w:val="18"/>
                <w:highlight w:val="none"/>
              </w:rPr>
              <w:t>1个PCIe x16，1个PCIe x8，2个PCIe x1扩展槽；</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接口：前置USB3.0接口≥4个,Type-C≥1个；后置USB3.0接口≥2个，USB2.0接口≥2个；音频接口：麦克风1个，耳机1个；后端3个Audio音频接口；串口1个；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电源</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★电源功率≤180W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机箱</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机箱≤8.2L，整机支持免工具拆卸；机箱可立可卧（双面脚垫、减轻共振，利于散热），散热风罩，便于维护</w:t>
            </w:r>
            <w:r>
              <w:rPr>
                <w:rFonts w:hint="eastAsia" w:ascii="宋体" w:hAnsi="宋体" w:cs="宋体"/>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数据安全</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1、支持基于BIOS级的一键备份和恢复的功能（非操作系统自带功能）；</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2、BIOS级USB屏蔽及智能USB数据保护：USB支持BIOS下全部接口一键开关、前后置USB口分组开关、USB口逐个开关；针对存储设备支持全部USB接口一键切换、前后置USB口分组切换、USB口逐个切换禁止访问/只读模式。</w:t>
            </w:r>
          </w:p>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▲3、支持桌面水印公告显示功能，对重要数据支持水印功能，可对机器开启水印功能，支持生成用户名，终端名称，IP地址或者自定义文字生成水印，从而防止数据泄漏</w:t>
            </w:r>
            <w:r>
              <w:rPr>
                <w:rFonts w:hint="eastAsia" w:ascii="宋体" w:hAnsi="宋体" w:eastAsia="宋体" w:cs="宋体"/>
                <w:b/>
                <w:bCs/>
                <w:color w:val="auto"/>
                <w:sz w:val="18"/>
                <w:szCs w:val="18"/>
                <w:highlight w:val="none"/>
              </w:rPr>
              <w:t>（提供相关证明材料）</w:t>
            </w:r>
            <w:r>
              <w:rPr>
                <w:rFonts w:hint="eastAsia" w:ascii="宋体" w:hAnsi="宋体" w:cs="宋体"/>
                <w:b/>
                <w:bCs/>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设备认证</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▲免费提供电脑管理软件，可实现：1、硬件主要参数检测；优化加速； 2、系统垃圾清理；3、病毒查杀；4、原厂驱动更新；5、网络测速；网络诊断，6、自动识别品牌型号，自动识别序列号，自动识别保修开始至截止信息</w:t>
            </w:r>
            <w:r>
              <w:rPr>
                <w:rFonts w:hint="eastAsia" w:ascii="宋体" w:hAnsi="宋体" w:eastAsia="宋体" w:cs="宋体"/>
                <w:b/>
                <w:bCs/>
                <w:color w:val="auto"/>
                <w:sz w:val="18"/>
                <w:szCs w:val="18"/>
                <w:highlight w:val="none"/>
              </w:rPr>
              <w:t>（投标文件中提供1-6项功能截图）</w:t>
            </w:r>
            <w:r>
              <w:rPr>
                <w:rFonts w:hint="eastAsia" w:ascii="宋体" w:hAnsi="宋体" w:cs="宋体"/>
                <w:b/>
                <w:bCs/>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操作系统</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★1、操作系统需符合国家安全可靠测评要求。</w:t>
            </w:r>
          </w:p>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2、原厂免费升级服务期限≥3年。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7"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38" w:type="dxa"/>
            <w:vMerge w:val="continue"/>
            <w:tcBorders>
              <w:left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基础服务</w:t>
            </w:r>
          </w:p>
        </w:tc>
        <w:tc>
          <w:tcPr>
            <w:tcW w:w="656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▲原厂三年上门保修，免费更换部件。7x24小时全年支持，早8:30至下午18:00工作时间；400或800大客户专线接听，非工作时间切换到工程师手机无缝接听。本地供应商送货上门，安装调试办公常用软件。</w:t>
            </w:r>
          </w:p>
        </w:tc>
      </w:tr>
    </w:tbl>
    <w:p>
      <w:pPr>
        <w:rPr>
          <w:rFonts w:hint="eastAsia" w:ascii="宋体" w:hAnsi="宋体" w:eastAsia="宋体" w:cs="宋体"/>
          <w:b/>
          <w:bCs/>
          <w:color w:val="auto"/>
          <w:sz w:val="18"/>
          <w:szCs w:val="18"/>
          <w:highlight w:val="none"/>
        </w:rPr>
      </w:pPr>
    </w:p>
    <w:p>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3、系统软件</w:t>
      </w:r>
    </w:p>
    <w:p>
      <w:pP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3.1、</w:t>
      </w:r>
      <w:r>
        <w:rPr>
          <w:rFonts w:hint="eastAsia" w:ascii="宋体" w:hAnsi="宋体" w:eastAsia="宋体" w:cs="宋体"/>
          <w:b/>
          <w:bCs/>
          <w:color w:val="auto"/>
          <w:sz w:val="18"/>
          <w:szCs w:val="18"/>
          <w:highlight w:val="none"/>
        </w:rPr>
        <w:t>机房同传管理软件</w:t>
      </w:r>
    </w:p>
    <w:tbl>
      <w:tblPr>
        <w:tblStyle w:val="8"/>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38"/>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序号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宋体" w:hAnsi="宋体" w:eastAsia="宋体" w:cs="宋体"/>
                <w:color w:val="auto"/>
                <w:sz w:val="18"/>
                <w:szCs w:val="18"/>
                <w:highlight w:val="none"/>
              </w:rPr>
            </w:pPr>
            <w:r>
              <w:rPr>
                <w:rFonts w:hint="eastAsia" w:ascii="宋体" w:hAnsi="宋体" w:cs="宋体"/>
                <w:bCs/>
                <w:color w:val="auto"/>
                <w:sz w:val="18"/>
                <w:szCs w:val="18"/>
                <w:highlight w:val="none"/>
                <w:lang w:val="en-US" w:eastAsia="zh-CN"/>
              </w:rPr>
              <w:t>名称</w:t>
            </w:r>
          </w:p>
        </w:tc>
        <w:tc>
          <w:tcPr>
            <w:tcW w:w="7526" w:type="dxa"/>
            <w:tcBorders>
              <w:top w:val="single" w:color="auto" w:sz="4" w:space="0"/>
              <w:left w:val="single" w:color="auto" w:sz="4" w:space="0"/>
              <w:bottom w:val="single" w:color="auto" w:sz="4" w:space="0"/>
              <w:right w:val="single" w:color="auto" w:sz="4" w:space="0"/>
            </w:tcBorders>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机房同传管理软件</w:t>
            </w:r>
          </w:p>
        </w:tc>
        <w:tc>
          <w:tcPr>
            <w:tcW w:w="752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通过与主机同一品牌或第三方品牌管理软件</w:t>
            </w:r>
            <w:r>
              <w:rPr>
                <w:rFonts w:hint="eastAsia" w:ascii="宋体" w:hAnsi="宋体" w:eastAsia="宋体" w:cs="宋体"/>
                <w:color w:val="auto"/>
                <w:sz w:val="18"/>
                <w:szCs w:val="18"/>
                <w:highlight w:val="none"/>
              </w:rPr>
              <w:t>(若为第三方的，在</w:t>
            </w:r>
            <w:r>
              <w:rPr>
                <w:rFonts w:hint="eastAsia" w:ascii="宋体" w:hAnsi="宋体" w:cs="宋体"/>
                <w:color w:val="auto"/>
                <w:sz w:val="18"/>
                <w:szCs w:val="18"/>
                <w:highlight w:val="none"/>
                <w:lang w:val="en-US" w:eastAsia="zh-CN"/>
              </w:rPr>
              <w:t>投标文件中</w:t>
            </w:r>
            <w:r>
              <w:rPr>
                <w:rFonts w:hint="eastAsia" w:ascii="宋体" w:hAnsi="宋体" w:eastAsia="宋体" w:cs="宋体"/>
                <w:color w:val="auto"/>
                <w:sz w:val="18"/>
                <w:szCs w:val="18"/>
                <w:highlight w:val="none"/>
              </w:rPr>
              <w:t>提供6年质保服务</w:t>
            </w:r>
            <w:r>
              <w:rPr>
                <w:rFonts w:hint="eastAsia" w:ascii="宋体" w:hAnsi="宋体" w:cs="宋体"/>
                <w:color w:val="auto"/>
                <w:sz w:val="18"/>
                <w:szCs w:val="18"/>
                <w:highlight w:val="none"/>
                <w:lang w:val="en-US" w:eastAsia="zh-CN"/>
              </w:rPr>
              <w:t>的承诺书</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rPr>
              <w:t>实现所有的计算机终端集中统一管理、部署、同传及还原等功能，具体功能要求如下：</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1、软件采用B/S架构，基于WEB的全中文图形化管理界面，支持跨网段、跨路由管理。</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2、服务端支持多个平台部署，包括ARM、X86，支持异构管理。一台服务器可以同时管理多种架构的终端（ARM、X86、LongArch），支持主流国产操作系统（UOS、kylin）等其他系统的下发部署。</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3、支持每个分组的策略化管理，且每个桌面支持单独设置对应的管理策略，如引导顺序、保护还原、引导密码、系统是否隐藏等参数；</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▲4、软件支持对分组中的所有终端统一设置还原策略，也可以单独对某台终端进行还原策略的设置；</w:t>
            </w:r>
            <w:r>
              <w:rPr>
                <w:rFonts w:hint="eastAsia" w:ascii="宋体" w:hAnsi="宋体" w:eastAsia="宋体" w:cs="宋体"/>
                <w:b/>
                <w:bCs/>
                <w:color w:val="auto"/>
                <w:sz w:val="18"/>
                <w:szCs w:val="18"/>
                <w:highlight w:val="none"/>
              </w:rPr>
              <w:t>（提供截图证明）</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5、为方便用户自管理，支持终端创建本地快照，终端本地可以自建本地快照。</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6、支持多个不同的系统同时部署在同一个终端上，且每个系统可独立操作，互不影响，也可任意添加和删除某个系统，满足各种不同的教学环境；</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▲7、支持预占位功能，为故障终端预留机器名、IP地址等信息，不会由于单点的故障，而影响整体的计算机名和IP排序管理；</w:t>
            </w:r>
            <w:r>
              <w:rPr>
                <w:rFonts w:hint="eastAsia" w:ascii="宋体" w:hAnsi="宋体" w:eastAsia="宋体" w:cs="宋体"/>
                <w:b/>
                <w:bCs/>
                <w:color w:val="auto"/>
                <w:sz w:val="18"/>
                <w:szCs w:val="18"/>
                <w:highlight w:val="none"/>
              </w:rPr>
              <w:t>（提供截图证明）</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▲8、为方便管理员远程运维，服务器支持远程管理，可在管理平台对服务器进行关机重启以及修改IP等操作，降低用户运维复杂程度。</w:t>
            </w:r>
            <w:r>
              <w:rPr>
                <w:rFonts w:hint="eastAsia" w:ascii="宋体" w:hAnsi="宋体" w:eastAsia="宋体" w:cs="宋体"/>
                <w:b/>
                <w:bCs/>
                <w:color w:val="auto"/>
                <w:sz w:val="18"/>
                <w:szCs w:val="18"/>
                <w:highlight w:val="none"/>
              </w:rPr>
              <w:t>（提供截图证明）</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▲9、具备文件共享功能，可以进行文件资料共享，每个学员都可以共享文件，视频点播，方便学员选取需要的课件；可支持上传、下载、 音视频等功能。</w:t>
            </w:r>
            <w:r>
              <w:rPr>
                <w:rFonts w:hint="eastAsia" w:ascii="宋体" w:hAnsi="宋体" w:eastAsia="宋体" w:cs="宋体"/>
                <w:b/>
                <w:bCs/>
                <w:color w:val="auto"/>
                <w:sz w:val="18"/>
                <w:szCs w:val="18"/>
                <w:highlight w:val="none"/>
              </w:rPr>
              <w:t xml:space="preserve">（提供产品截图证明） </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▲10、截屏测验：不需老师事先按模板制作试卷，直接截取教师机电脑屏幕内容做为考题分发到学生端，以考核学生的学习成果。</w:t>
            </w:r>
            <w:r>
              <w:rPr>
                <w:rFonts w:hint="eastAsia" w:ascii="宋体" w:hAnsi="宋体" w:eastAsia="宋体" w:cs="宋体"/>
                <w:b/>
                <w:bCs/>
                <w:color w:val="auto"/>
                <w:sz w:val="18"/>
                <w:szCs w:val="18"/>
                <w:highlight w:val="none"/>
              </w:rPr>
              <w:t>（提供产品截图证明）</w:t>
            </w:r>
          </w:p>
          <w:p>
            <w:pPr>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11、抽答：随机抽选一名学生进行答题，并根据其表现进行评分奖惩。</w:t>
            </w:r>
            <w:r>
              <w:rPr>
                <w:rFonts w:hint="eastAsia" w:ascii="宋体" w:hAnsi="宋体" w:eastAsia="宋体" w:cs="宋体"/>
                <w:b/>
                <w:bCs/>
                <w:color w:val="auto"/>
                <w:sz w:val="18"/>
                <w:szCs w:val="18"/>
                <w:highlight w:val="none"/>
              </w:rPr>
              <w:t>（提供产品截图证明）</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12、课件点播：对教学音视频资源进行管理，学生可以实现音视频资源的点播收看，方便自主学习，可添加多种格式文件包括音视频文件</w:t>
            </w:r>
            <w:r>
              <w:rPr>
                <w:rFonts w:hint="eastAsia" w:ascii="宋体" w:hAnsi="宋体" w:cs="宋体"/>
                <w:color w:val="auto"/>
                <w:sz w:val="18"/>
                <w:szCs w:val="18"/>
                <w:highlight w:val="none"/>
                <w:lang w:eastAsia="zh-CN"/>
              </w:rPr>
              <w:t>。</w:t>
            </w:r>
            <w:r>
              <w:rPr>
                <w:rFonts w:hint="eastAsia" w:ascii="宋体" w:hAnsi="宋体" w:eastAsia="宋体" w:cs="宋体"/>
                <w:b/>
                <w:bCs/>
                <w:color w:val="auto"/>
                <w:sz w:val="18"/>
                <w:szCs w:val="18"/>
                <w:highlight w:val="none"/>
              </w:rPr>
              <w:t>（提供产品截图证明）</w:t>
            </w:r>
          </w:p>
          <w:p>
            <w:pPr>
              <w:rPr>
                <w:rFonts w:hint="eastAsia" w:ascii="宋体" w:hAnsi="宋体" w:eastAsia="宋体" w:cs="宋体"/>
                <w:b/>
                <w:bCs/>
                <w:color w:val="auto"/>
                <w:sz w:val="18"/>
                <w:szCs w:val="18"/>
                <w:highlight w:val="none"/>
                <w:lang w:eastAsia="zh-CN"/>
              </w:rPr>
            </w:pPr>
            <w:r>
              <w:rPr>
                <w:rFonts w:hint="eastAsia" w:ascii="宋体" w:hAnsi="宋体" w:eastAsia="宋体" w:cs="宋体"/>
                <w:color w:val="auto"/>
                <w:sz w:val="18"/>
                <w:szCs w:val="18"/>
                <w:highlight w:val="none"/>
              </w:rPr>
              <w:t>13、为适应不同的网络状况，至少需要两种传输模式可供用户可自行选择</w:t>
            </w:r>
            <w:r>
              <w:rPr>
                <w:rFonts w:hint="eastAsia" w:ascii="宋体" w:hAnsi="宋体" w:eastAsia="宋体" w:cs="宋体"/>
                <w:b/>
                <w:bCs/>
                <w:color w:val="auto"/>
                <w:sz w:val="18"/>
                <w:szCs w:val="18"/>
                <w:highlight w:val="none"/>
              </w:rPr>
              <w:t>（提供产品截图证明）</w:t>
            </w:r>
            <w:r>
              <w:rPr>
                <w:rFonts w:hint="eastAsia" w:ascii="宋体" w:hAnsi="宋体" w:cs="宋体"/>
                <w:b/>
                <w:bCs/>
                <w:color w:val="auto"/>
                <w:sz w:val="18"/>
                <w:szCs w:val="18"/>
                <w:highlight w:val="none"/>
                <w:lang w:eastAsia="zh-CN"/>
              </w:rPr>
              <w:t>。</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14、禁用U盘：教师可以开启禁用U盘功能，禁止学生的计算机使用U盘。</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网页限制：上网限制模式设置有三种模式，分别是开放模式、黑名单模式和禁用模式，开放模式是允许学生访问网络，查阅相关学习资料；黑名单模式可对一个或多个网址禁止访问，允许访问不在黑名单的网址；禁用模式不允许学生访问网络。</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▲16、提供考试功能，教师可自由制作考试试卷，将试卷发布给学生进行考试，并支持成绩排名查看</w:t>
            </w:r>
            <w:r>
              <w:rPr>
                <w:rFonts w:hint="eastAsia" w:ascii="宋体" w:hAnsi="宋体" w:eastAsia="宋体" w:cs="宋体"/>
                <w:b/>
                <w:bCs/>
                <w:color w:val="auto"/>
                <w:sz w:val="18"/>
                <w:szCs w:val="18"/>
                <w:highlight w:val="none"/>
              </w:rPr>
              <w:t>（提供产品截图证明）</w:t>
            </w:r>
            <w:r>
              <w:rPr>
                <w:rFonts w:hint="eastAsia" w:ascii="宋体" w:hAnsi="宋体" w:cs="宋体"/>
                <w:b/>
                <w:bCs/>
                <w:color w:val="auto"/>
                <w:sz w:val="18"/>
                <w:szCs w:val="18"/>
                <w:highlight w:val="none"/>
                <w:lang w:eastAsia="zh-CN"/>
              </w:rPr>
              <w:t>。</w:t>
            </w:r>
          </w:p>
        </w:tc>
      </w:tr>
    </w:tbl>
    <w:p>
      <w:pPr>
        <w:pStyle w:val="3"/>
        <w:ind w:firstLine="0" w:firstLineChars="0"/>
        <w:rPr>
          <w:rFonts w:hint="eastAsia" w:ascii="宋体" w:hAnsi="宋体" w:eastAsia="宋体" w:cs="宋体"/>
          <w:color w:val="auto"/>
          <w:sz w:val="18"/>
          <w:szCs w:val="18"/>
          <w:highlight w:val="none"/>
        </w:rPr>
      </w:pPr>
    </w:p>
    <w:p>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3.</w:t>
      </w:r>
      <w:r>
        <w:rPr>
          <w:rFonts w:hint="eastAsia" w:ascii="宋体" w:hAnsi="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val="en-US" w:eastAsia="zh-CN"/>
        </w:rPr>
        <w:t>、</w:t>
      </w:r>
      <w:r>
        <w:rPr>
          <w:rFonts w:hint="eastAsia" w:ascii="宋体" w:hAnsi="宋体" w:eastAsia="宋体" w:cs="宋体"/>
          <w:b/>
          <w:bCs/>
          <w:color w:val="auto"/>
          <w:sz w:val="18"/>
          <w:szCs w:val="18"/>
          <w:highlight w:val="none"/>
        </w:rPr>
        <w:t>办公套件(流式软件)</w:t>
      </w:r>
    </w:p>
    <w:tbl>
      <w:tblPr>
        <w:tblStyle w:val="8"/>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94"/>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blHeader/>
        </w:trPr>
        <w:tc>
          <w:tcPr>
            <w:tcW w:w="840" w:type="dxa"/>
            <w:noWrap w:val="0"/>
            <w:vAlign w:val="center"/>
          </w:tcPr>
          <w:p>
            <w:pPr>
              <w:pStyle w:val="12"/>
              <w:rPr>
                <w:rFonts w:hint="eastAsia" w:ascii="宋体" w:hAnsi="宋体" w:eastAsia="宋体" w:cs="宋体"/>
                <w:bCs/>
                <w:color w:val="auto"/>
                <w:sz w:val="18"/>
                <w:szCs w:val="18"/>
                <w:highlight w:val="none"/>
              </w:rPr>
            </w:pPr>
            <w:bookmarkStart w:id="3" w:name="OLE_LINK2" w:colFirst="0" w:colLast="2"/>
            <w:r>
              <w:rPr>
                <w:rFonts w:hint="eastAsia" w:ascii="宋体" w:hAnsi="宋体" w:eastAsia="宋体" w:cs="宋体"/>
                <w:bCs/>
                <w:color w:val="auto"/>
                <w:sz w:val="18"/>
                <w:szCs w:val="18"/>
                <w:highlight w:val="none"/>
              </w:rPr>
              <w:t>序号</w:t>
            </w:r>
          </w:p>
        </w:tc>
        <w:tc>
          <w:tcPr>
            <w:tcW w:w="1494" w:type="dxa"/>
            <w:noWrap w:val="0"/>
            <w:vAlign w:val="center"/>
          </w:tcPr>
          <w:p>
            <w:pPr>
              <w:pStyle w:val="12"/>
              <w:rPr>
                <w:rFonts w:hint="eastAsia" w:ascii="宋体" w:hAnsi="宋体" w:eastAsia="宋体" w:cs="宋体"/>
                <w:bCs/>
                <w:color w:val="auto"/>
                <w:sz w:val="18"/>
                <w:szCs w:val="18"/>
                <w:highlight w:val="none"/>
                <w:lang w:eastAsia="zh-CN"/>
              </w:rPr>
            </w:pPr>
            <w:r>
              <w:rPr>
                <w:rFonts w:hint="eastAsia" w:ascii="宋体" w:hAnsi="宋体" w:cs="宋体"/>
                <w:bCs/>
                <w:color w:val="auto"/>
                <w:sz w:val="18"/>
                <w:szCs w:val="18"/>
                <w:highlight w:val="none"/>
                <w:lang w:val="en-US" w:eastAsia="zh-CN"/>
              </w:rPr>
              <w:t>名称</w:t>
            </w:r>
          </w:p>
        </w:tc>
        <w:tc>
          <w:tcPr>
            <w:tcW w:w="6862" w:type="dxa"/>
            <w:noWrap w:val="0"/>
            <w:vAlign w:val="center"/>
          </w:tcPr>
          <w:p>
            <w:pPr>
              <w:pStyle w:val="12"/>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技术要求</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restart"/>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494" w:type="dxa"/>
            <w:vMerge w:val="restart"/>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基本功能</w:t>
            </w: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1.多平台支持：支持龙芯、飞腾、鲲鹏、兆芯、申威等国产CPU；支持UOS、麒麟V10、中标麒麟、银河麒麟、中科方德、深度等国产操作系统；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continue"/>
            <w:noWrap w:val="0"/>
            <w:vAlign w:val="center"/>
          </w:tcPr>
          <w:p>
            <w:pPr>
              <w:pStyle w:val="12"/>
              <w:rPr>
                <w:rFonts w:hint="eastAsia" w:ascii="宋体" w:hAnsi="宋体" w:eastAsia="宋体" w:cs="宋体"/>
                <w:color w:val="auto"/>
                <w:sz w:val="18"/>
                <w:szCs w:val="18"/>
                <w:highlight w:val="none"/>
              </w:rPr>
            </w:pPr>
          </w:p>
        </w:tc>
        <w:tc>
          <w:tcPr>
            <w:tcW w:w="1494" w:type="dxa"/>
            <w:vMerge w:val="continue"/>
            <w:noWrap w:val="0"/>
            <w:vAlign w:val="center"/>
          </w:tcPr>
          <w:p>
            <w:pPr>
              <w:pStyle w:val="12"/>
              <w:rPr>
                <w:rFonts w:hint="eastAsia" w:ascii="宋体" w:hAnsi="宋体" w:eastAsia="宋体" w:cs="宋体"/>
                <w:color w:val="auto"/>
                <w:sz w:val="18"/>
                <w:szCs w:val="18"/>
                <w:highlight w:val="none"/>
              </w:rPr>
            </w:pP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2.文字、表格、演示三个组件均支持丰富的公式元素、支持更多设置，可以满足各种场景公式编写需求，并支持长图片输出，并且支持在输出的图片上添加水印。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restart"/>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494" w:type="dxa"/>
            <w:vMerge w:val="restart"/>
            <w:noWrap w:val="0"/>
            <w:vAlign w:val="center"/>
          </w:tcPr>
          <w:p>
            <w:pPr>
              <w:pStyle w:val="12"/>
              <w:rPr>
                <w:rFonts w:hint="eastAsia" w:ascii="宋体" w:hAnsi="宋体" w:eastAsia="宋体" w:cs="宋体"/>
                <w:color w:val="auto"/>
                <w:sz w:val="18"/>
                <w:szCs w:val="18"/>
                <w:highlight w:val="none"/>
                <w:lang w:eastAsia="zh-Hans"/>
              </w:rPr>
            </w:pPr>
            <w:r>
              <w:rPr>
                <w:rFonts w:hint="eastAsia" w:ascii="宋体" w:hAnsi="宋体" w:eastAsia="宋体" w:cs="宋体"/>
                <w:color w:val="auto"/>
                <w:sz w:val="18"/>
                <w:szCs w:val="18"/>
                <w:highlight w:val="none"/>
                <w:lang w:eastAsia="zh-Hans"/>
              </w:rPr>
              <w:t>兼容性</w:t>
            </w:r>
            <w:r>
              <w:rPr>
                <w:rFonts w:hint="eastAsia" w:ascii="宋体" w:hAnsi="宋体" w:eastAsia="宋体" w:cs="宋体"/>
                <w:color w:val="auto"/>
                <w:sz w:val="18"/>
                <w:szCs w:val="18"/>
                <w:highlight w:val="none"/>
              </w:rPr>
              <w:t>标准</w:t>
            </w: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1.须符合《党政机关电子公文格式规范》《党政机关电子公文应用接口规范》《中文办公软件文档格式规范》等国家标准，且符合相关信息安全技术指标；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continue"/>
            <w:noWrap w:val="0"/>
            <w:vAlign w:val="center"/>
          </w:tcPr>
          <w:p>
            <w:pPr>
              <w:pStyle w:val="12"/>
              <w:rPr>
                <w:rFonts w:hint="eastAsia" w:ascii="宋体" w:hAnsi="宋体" w:eastAsia="宋体" w:cs="宋体"/>
                <w:color w:val="auto"/>
                <w:sz w:val="18"/>
                <w:szCs w:val="18"/>
                <w:highlight w:val="none"/>
              </w:rPr>
            </w:pPr>
          </w:p>
        </w:tc>
        <w:tc>
          <w:tcPr>
            <w:tcW w:w="1494" w:type="dxa"/>
            <w:vMerge w:val="continue"/>
            <w:noWrap w:val="0"/>
            <w:vAlign w:val="center"/>
          </w:tcPr>
          <w:p>
            <w:pPr>
              <w:pStyle w:val="12"/>
              <w:rPr>
                <w:rFonts w:hint="eastAsia" w:ascii="宋体" w:hAnsi="宋体" w:eastAsia="宋体" w:cs="宋体"/>
                <w:color w:val="auto"/>
                <w:sz w:val="18"/>
                <w:szCs w:val="18"/>
                <w:highlight w:val="none"/>
              </w:rPr>
            </w:pP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2.需要必须达到《党政机关电子公文应用接口规范》，和原有集成的业务系统进行对接集成，满足各类业务系统集成平滑过渡的要求；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continue"/>
            <w:noWrap w:val="0"/>
            <w:vAlign w:val="center"/>
          </w:tcPr>
          <w:p>
            <w:pPr>
              <w:pStyle w:val="12"/>
              <w:rPr>
                <w:rFonts w:hint="eastAsia" w:ascii="宋体" w:hAnsi="宋体" w:eastAsia="宋体" w:cs="宋体"/>
                <w:color w:val="auto"/>
                <w:sz w:val="18"/>
                <w:szCs w:val="18"/>
                <w:highlight w:val="none"/>
              </w:rPr>
            </w:pPr>
          </w:p>
        </w:tc>
        <w:tc>
          <w:tcPr>
            <w:tcW w:w="1494" w:type="dxa"/>
            <w:vMerge w:val="continue"/>
            <w:noWrap w:val="0"/>
            <w:vAlign w:val="center"/>
          </w:tcPr>
          <w:p>
            <w:pPr>
              <w:pStyle w:val="12"/>
              <w:rPr>
                <w:rFonts w:hint="eastAsia" w:ascii="宋体" w:hAnsi="宋体" w:eastAsia="宋体" w:cs="宋体"/>
                <w:color w:val="auto"/>
                <w:sz w:val="18"/>
                <w:szCs w:val="18"/>
                <w:highlight w:val="none"/>
              </w:rPr>
            </w:pP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3.提供符合GB/T9704-2012国家标准的《党政机关公文格式》模板，内置基于国标规范的多个公文部件及24个常见的公文符号；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continue"/>
            <w:noWrap w:val="0"/>
            <w:vAlign w:val="center"/>
          </w:tcPr>
          <w:p>
            <w:pPr>
              <w:pStyle w:val="12"/>
              <w:rPr>
                <w:rFonts w:hint="eastAsia" w:ascii="宋体" w:hAnsi="宋体" w:eastAsia="宋体" w:cs="宋体"/>
                <w:color w:val="auto"/>
                <w:sz w:val="18"/>
                <w:szCs w:val="18"/>
                <w:highlight w:val="none"/>
              </w:rPr>
            </w:pPr>
          </w:p>
        </w:tc>
        <w:tc>
          <w:tcPr>
            <w:tcW w:w="1494" w:type="dxa"/>
            <w:vMerge w:val="continue"/>
            <w:noWrap w:val="0"/>
            <w:vAlign w:val="center"/>
          </w:tcPr>
          <w:p>
            <w:pPr>
              <w:pStyle w:val="12"/>
              <w:rPr>
                <w:rFonts w:hint="eastAsia" w:ascii="宋体" w:hAnsi="宋体" w:eastAsia="宋体" w:cs="宋体"/>
                <w:color w:val="auto"/>
                <w:sz w:val="18"/>
                <w:szCs w:val="18"/>
                <w:highlight w:val="none"/>
              </w:rPr>
            </w:pP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4.符合GB 18030-2005《信息交换用汉字编码字符集基本集的扩充》标准；5、支持中文办公软件文档格式规范（UOT）；支持国家版式文档格式规范（OFD）国家标准、支持OFD格式转存、支持语义加载。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restart"/>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494" w:type="dxa"/>
            <w:vMerge w:val="restart"/>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通用功能</w:t>
            </w: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文字，表格，演示三个组件均支持在输出OFD时可设置输出范围和嵌入字体。输出范围"支持根据需要仅输出对应的页、工作表或者幻灯片，提高导出效率。“嵌入字体”是指在导出OFD文件时，将当前流式文档中用到的字体嵌入到OFD文件中，保证在公文流转的过程中即使当前机器缺少相应字体，也能正确排版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continue"/>
            <w:noWrap w:val="0"/>
            <w:vAlign w:val="center"/>
          </w:tcPr>
          <w:p>
            <w:pPr>
              <w:pStyle w:val="12"/>
              <w:rPr>
                <w:rFonts w:hint="eastAsia" w:ascii="宋体" w:hAnsi="宋体" w:eastAsia="宋体" w:cs="宋体"/>
                <w:color w:val="auto"/>
                <w:sz w:val="18"/>
                <w:szCs w:val="18"/>
                <w:highlight w:val="none"/>
              </w:rPr>
            </w:pPr>
          </w:p>
        </w:tc>
        <w:tc>
          <w:tcPr>
            <w:tcW w:w="1494" w:type="dxa"/>
            <w:vMerge w:val="continue"/>
            <w:noWrap w:val="0"/>
            <w:vAlign w:val="center"/>
          </w:tcPr>
          <w:p>
            <w:pPr>
              <w:pStyle w:val="12"/>
              <w:rPr>
                <w:rFonts w:hint="eastAsia" w:ascii="宋体" w:hAnsi="宋体" w:eastAsia="宋体" w:cs="宋体"/>
                <w:color w:val="auto"/>
                <w:sz w:val="18"/>
                <w:szCs w:val="18"/>
                <w:highlight w:val="none"/>
              </w:rPr>
            </w:pP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2.文字、表格、演示均支持以对象形式在文档中插入doc、xls、ppt、docx、xlsx、pptx、ofd、pdf 、压缩包等格式的文档，满足office相同组件或不同组件之间文档相互引用的场景，双击该对象时可以打开该文件的原始程序进行编辑，方便快捷。同时避免文档在不同平台流转时，无法查看历史文档中文档附件的问题</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continue"/>
            <w:noWrap w:val="0"/>
            <w:vAlign w:val="center"/>
          </w:tcPr>
          <w:p>
            <w:pPr>
              <w:pStyle w:val="12"/>
              <w:rPr>
                <w:rFonts w:hint="eastAsia" w:ascii="宋体" w:hAnsi="宋体" w:eastAsia="宋体" w:cs="宋体"/>
                <w:color w:val="auto"/>
                <w:sz w:val="18"/>
                <w:szCs w:val="18"/>
                <w:highlight w:val="none"/>
              </w:rPr>
            </w:pPr>
          </w:p>
        </w:tc>
        <w:tc>
          <w:tcPr>
            <w:tcW w:w="1494" w:type="dxa"/>
            <w:vMerge w:val="continue"/>
            <w:noWrap w:val="0"/>
            <w:vAlign w:val="center"/>
          </w:tcPr>
          <w:p>
            <w:pPr>
              <w:pStyle w:val="12"/>
              <w:rPr>
                <w:rFonts w:hint="eastAsia" w:ascii="宋体" w:hAnsi="宋体" w:eastAsia="宋体" w:cs="宋体"/>
                <w:color w:val="auto"/>
                <w:sz w:val="18"/>
                <w:szCs w:val="18"/>
                <w:highlight w:val="none"/>
              </w:rPr>
            </w:pP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公式选项包含公式的通用设置，比如显示方式和排版位置，每种函数也提供特有的设置项，比如针对大型运算符，支持改变极限符号位置、显示下限、显示上限、拉伸N元运算符，需要更改公式显示效果时，不需要重新插入，只需更改对应的设置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restart"/>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1494" w:type="dxa"/>
            <w:vMerge w:val="restart"/>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性能指标</w:t>
            </w: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1.文字、表格、演示均支持文本识别功能，可以截取系统内的图片或PDF中的文字，进行提取识别，方便用户将已经识别的字符直接添加入文档内，不需要再手动输入。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continue"/>
            <w:noWrap w:val="0"/>
            <w:vAlign w:val="center"/>
          </w:tcPr>
          <w:p>
            <w:pPr>
              <w:pStyle w:val="12"/>
              <w:rPr>
                <w:rFonts w:hint="eastAsia" w:ascii="宋体" w:hAnsi="宋体" w:eastAsia="宋体" w:cs="宋体"/>
                <w:color w:val="auto"/>
                <w:sz w:val="18"/>
                <w:szCs w:val="18"/>
                <w:highlight w:val="none"/>
              </w:rPr>
            </w:pPr>
          </w:p>
        </w:tc>
        <w:tc>
          <w:tcPr>
            <w:tcW w:w="1494" w:type="dxa"/>
            <w:vMerge w:val="continue"/>
            <w:noWrap w:val="0"/>
            <w:vAlign w:val="center"/>
          </w:tcPr>
          <w:p>
            <w:pPr>
              <w:pStyle w:val="12"/>
              <w:rPr>
                <w:rFonts w:hint="eastAsia" w:ascii="宋体" w:hAnsi="宋体" w:eastAsia="宋体" w:cs="宋体"/>
                <w:color w:val="auto"/>
                <w:sz w:val="18"/>
                <w:szCs w:val="18"/>
                <w:highlight w:val="none"/>
              </w:rPr>
            </w:pP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2.文字组件，支持章节导航、书签导航。章节导航支持显示章节内容、更改章节标题、增加节、删除节、合并节。书签导航支持显示书签，按照书签的名称和位置排序。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continue"/>
            <w:noWrap w:val="0"/>
            <w:vAlign w:val="center"/>
          </w:tcPr>
          <w:p>
            <w:pPr>
              <w:pStyle w:val="12"/>
              <w:rPr>
                <w:rFonts w:hint="eastAsia" w:ascii="宋体" w:hAnsi="宋体" w:eastAsia="宋体" w:cs="宋体"/>
                <w:color w:val="auto"/>
                <w:sz w:val="18"/>
                <w:szCs w:val="18"/>
                <w:highlight w:val="none"/>
              </w:rPr>
            </w:pPr>
          </w:p>
        </w:tc>
        <w:tc>
          <w:tcPr>
            <w:tcW w:w="1494" w:type="dxa"/>
            <w:vMerge w:val="continue"/>
            <w:noWrap w:val="0"/>
            <w:vAlign w:val="center"/>
          </w:tcPr>
          <w:p>
            <w:pPr>
              <w:pStyle w:val="12"/>
              <w:rPr>
                <w:rFonts w:hint="eastAsia" w:ascii="宋体" w:hAnsi="宋体" w:eastAsia="宋体" w:cs="宋体"/>
                <w:color w:val="auto"/>
                <w:sz w:val="18"/>
                <w:szCs w:val="18"/>
                <w:highlight w:val="none"/>
              </w:rPr>
            </w:pP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表格模块，支持自动筛选高级模式。支持显示计数、导出计数、按计数排序、反选、筛选唯一/重复值等高级功能。并支持数据对比，可以对单区域、多区域进行重复值、唯一值的标记和提取，能更直观的进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494" w:type="dxa"/>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开放性</w:t>
            </w: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提供可对文件格式及文件内容进行解析、提取和替换的接口和文档说明；提供显示文档时对文档内容和字体结构进行解析、提取、渲染和设置的接口和文档说明。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restart"/>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494" w:type="dxa"/>
            <w:vMerge w:val="restart"/>
            <w:noWrap w:val="0"/>
            <w:vAlign w:val="center"/>
          </w:tcPr>
          <w:p>
            <w:pPr>
              <w:pStyle w:val="12"/>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★服务</w:t>
            </w: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1.必须确保办公软件与原有业务系统的兼容性、适配性、适用性等服务对接，保证办公流转秩序正常运转、政令畅通；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continue"/>
            <w:noWrap w:val="0"/>
            <w:vAlign w:val="center"/>
          </w:tcPr>
          <w:p>
            <w:pPr>
              <w:pStyle w:val="12"/>
              <w:rPr>
                <w:rFonts w:hint="eastAsia" w:ascii="宋体" w:hAnsi="宋体" w:eastAsia="宋体" w:cs="宋体"/>
                <w:color w:val="auto"/>
                <w:sz w:val="18"/>
                <w:szCs w:val="18"/>
                <w:highlight w:val="none"/>
              </w:rPr>
            </w:pPr>
          </w:p>
        </w:tc>
        <w:tc>
          <w:tcPr>
            <w:tcW w:w="1494" w:type="dxa"/>
            <w:vMerge w:val="continue"/>
            <w:noWrap w:val="0"/>
            <w:vAlign w:val="center"/>
          </w:tcPr>
          <w:p>
            <w:pPr>
              <w:pStyle w:val="12"/>
              <w:rPr>
                <w:rFonts w:hint="eastAsia" w:ascii="宋体" w:hAnsi="宋体" w:eastAsia="宋体" w:cs="宋体"/>
                <w:color w:val="auto"/>
                <w:sz w:val="18"/>
                <w:szCs w:val="18"/>
                <w:highlight w:val="none"/>
              </w:rPr>
            </w:pP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2.提供软件部署安装服务以及合同限期内的大小版本升级服务以及售后维保服务保障。运用信息化手段加强规范信创办公软件的内部管理和版本统一，为后期运维提供服务支撑赋能；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40" w:type="dxa"/>
            <w:vMerge w:val="continue"/>
            <w:noWrap w:val="0"/>
            <w:vAlign w:val="center"/>
          </w:tcPr>
          <w:p>
            <w:pPr>
              <w:pStyle w:val="12"/>
              <w:rPr>
                <w:rFonts w:hint="eastAsia" w:ascii="宋体" w:hAnsi="宋体" w:eastAsia="宋体" w:cs="宋体"/>
                <w:color w:val="auto"/>
                <w:sz w:val="18"/>
                <w:szCs w:val="18"/>
                <w:highlight w:val="none"/>
              </w:rPr>
            </w:pPr>
          </w:p>
        </w:tc>
        <w:tc>
          <w:tcPr>
            <w:tcW w:w="1494" w:type="dxa"/>
            <w:vMerge w:val="continue"/>
            <w:noWrap w:val="0"/>
            <w:vAlign w:val="center"/>
          </w:tcPr>
          <w:p>
            <w:pPr>
              <w:pStyle w:val="12"/>
              <w:rPr>
                <w:rFonts w:hint="eastAsia" w:ascii="宋体" w:hAnsi="宋体" w:eastAsia="宋体" w:cs="宋体"/>
                <w:color w:val="auto"/>
                <w:sz w:val="18"/>
                <w:szCs w:val="18"/>
                <w:highlight w:val="none"/>
              </w:rPr>
            </w:pPr>
          </w:p>
        </w:tc>
        <w:tc>
          <w:tcPr>
            <w:tcW w:w="6862" w:type="dxa"/>
            <w:noWrap w:val="0"/>
            <w:vAlign w:val="center"/>
          </w:tcPr>
          <w:p>
            <w:pPr>
              <w:pStyle w:val="12"/>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3.提供统一的升级管理平台，为软件提供全量、增量升级服务，对PC端版本统一管理，提供错峰、分步升级等功能，提供一站式升级服务。</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注：如果投标时要求提供检测报告、截图证明或承诺函的，请各供应商在投标文件中注明检测报告、截图证明或承诺函所在页码，以方便评审时查阅。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三</w:t>
      </w:r>
      <w:r>
        <w:rPr>
          <w:rFonts w:hint="eastAsia" w:ascii="宋体" w:hAnsi="宋体"/>
          <w:b/>
          <w:bCs/>
          <w:color w:val="auto"/>
          <w:highlight w:val="none"/>
        </w:rPr>
        <w:t>、</w:t>
      </w:r>
      <w:r>
        <w:rPr>
          <w:rFonts w:hint="eastAsia" w:ascii="宋体" w:hAnsi="宋体"/>
          <w:b/>
          <w:bCs/>
          <w:color w:val="auto"/>
          <w:highlight w:val="none"/>
          <w:lang w:val="en-US" w:eastAsia="zh-CN"/>
        </w:rPr>
        <w:t>节能产品采购要求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本次采购的</w:t>
      </w:r>
      <w:r>
        <w:rPr>
          <w:rFonts w:hint="eastAsia" w:ascii="宋体" w:hAnsi="宋体"/>
          <w:b/>
          <w:bCs/>
          <w:color w:val="auto"/>
          <w:highlight w:val="none"/>
        </w:rPr>
        <w:t>台式计算机</w:t>
      </w:r>
      <w:r>
        <w:rPr>
          <w:rFonts w:hint="eastAsia" w:ascii="宋体" w:hAnsi="宋体"/>
          <w:b w:val="0"/>
          <w:bCs w:val="0"/>
          <w:color w:val="auto"/>
          <w:highlight w:val="none"/>
        </w:rPr>
        <w:t>为节能产品政府采购品目清单中标注"★"的产品，属于政府强制采购产品。</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投标人须在投标文件中提供投标产品</w:t>
      </w:r>
      <w:r>
        <w:rPr>
          <w:rFonts w:hint="eastAsia" w:ascii="宋体" w:hAnsi="宋体" w:eastAsia="宋体" w:cs="宋体"/>
          <w:color w:val="auto"/>
          <w:sz w:val="21"/>
          <w:szCs w:val="21"/>
          <w:highlight w:val="none"/>
        </w:rPr>
        <w:t>有效的</w:t>
      </w:r>
      <w:r>
        <w:rPr>
          <w:rFonts w:hint="default" w:ascii="宋体" w:hAnsi="宋体" w:eastAsia="宋体" w:cs="宋体"/>
          <w:color w:val="auto"/>
          <w:sz w:val="21"/>
          <w:szCs w:val="21"/>
          <w:highlight w:val="none"/>
          <w:lang w:val="en-US" w:eastAsia="zh-CN"/>
        </w:rPr>
        <w:t>节能产品认证证书彩色扫描件</w:t>
      </w:r>
      <w:r>
        <w:rPr>
          <w:rFonts w:hint="eastAsia" w:ascii="宋体" w:hAnsi="宋体"/>
          <w:b w:val="0"/>
          <w:bCs w:val="0"/>
          <w:color w:val="auto"/>
          <w:highlight w:val="none"/>
        </w:rPr>
        <w:t xml:space="preserve"> 或者 提供投标产品在中国政府采购网（www.ccgp.gov.cn）节能产品查询结果的网页截图的证明材料，施行强制采购的产品如无证明材料，投标无效。</w:t>
      </w:r>
    </w:p>
    <w:p>
      <w:pPr>
        <w:spacing w:line="360" w:lineRule="auto"/>
        <w:rPr>
          <w:rFonts w:hint="eastAsia" w:ascii="宋体" w:hAnsi="宋体"/>
          <w:color w:val="auto"/>
          <w:highlight w:val="none"/>
        </w:rPr>
      </w:pPr>
      <w:r>
        <w:rPr>
          <w:rFonts w:hint="eastAsia" w:ascii="宋体" w:hAnsi="宋体"/>
          <w:color w:val="auto"/>
          <w:highlight w:val="none"/>
        </w:rPr>
        <w:t>节能产品政府采购品目清单查询网址：中国政府采购网</w:t>
      </w:r>
      <w:r>
        <w:rPr>
          <w:rFonts w:hint="eastAsia" w:ascii="宋体" w:hAnsi="宋体"/>
          <w:color w:val="auto"/>
          <w:highlight w:val="none"/>
          <w:lang w:eastAsia="zh-CN"/>
        </w:rPr>
        <w:t>（</w:t>
      </w:r>
      <w:r>
        <w:rPr>
          <w:rFonts w:hint="eastAsia" w:ascii="宋体" w:hAnsi="宋体"/>
          <w:color w:val="auto"/>
          <w:highlight w:val="none"/>
        </w:rPr>
        <w:t>www.ccgp.gov.cn</w:t>
      </w:r>
      <w:r>
        <w:rPr>
          <w:rFonts w:hint="eastAsia" w:ascii="宋体" w:hAnsi="宋体"/>
          <w:color w:val="auto"/>
          <w:highlight w:val="none"/>
          <w:lang w:eastAsia="zh-CN"/>
        </w:rPr>
        <w:t>）</w:t>
      </w:r>
      <w:r>
        <w:rPr>
          <w:rFonts w:hint="eastAsia" w:ascii="宋体" w:hAnsi="宋体"/>
          <w:color w:val="auto"/>
          <w:highlight w:val="none"/>
        </w:rPr>
        <w:t>。</w:t>
      </w:r>
    </w:p>
    <w:p>
      <w:pPr>
        <w:spacing w:line="360" w:lineRule="auto"/>
        <w:rPr>
          <w:rFonts w:hint="default" w:ascii="宋体" w:hAnsi="宋体"/>
          <w:b/>
          <w:bCs/>
          <w:strike w:val="0"/>
          <w:dstrike w:val="0"/>
          <w:color w:val="auto"/>
          <w:highlight w:val="none"/>
          <w:lang w:val="en-US" w:eastAsia="zh-CN"/>
        </w:rPr>
      </w:pPr>
      <w:r>
        <w:rPr>
          <w:rFonts w:hint="eastAsia" w:ascii="宋体" w:hAnsi="宋体"/>
          <w:b/>
          <w:bCs/>
          <w:strike w:val="0"/>
          <w:dstrike w:val="0"/>
          <w:color w:val="auto"/>
          <w:highlight w:val="none"/>
          <w:lang w:val="en-US" w:eastAsia="zh-CN"/>
        </w:rPr>
        <w:t>注：投标时，请供应商在投标文件中注明投标产品对应的节能产品认证证书或网页截图所在页码，以方便评审时查阅。</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、其他事项</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1、</w:t>
      </w:r>
      <w:r>
        <w:rPr>
          <w:rFonts w:hint="eastAsia" w:ascii="宋体" w:hAnsi="宋体"/>
          <w:b w:val="0"/>
          <w:bCs w:val="0"/>
          <w:color w:val="auto"/>
          <w:highlight w:val="none"/>
        </w:rPr>
        <w:t>关于报价</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本项目投标报价为完成招标文件所规定招标内容的一次性包干总报价，包含设备和材料采购、运输及装卸、安装集成、调试及试运行、备品备件费（随机备品备件已含于本合同价内）、产品保护、竣工验收、技术培训、保修期内的售后服务、利润、税金等内容。</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2、</w:t>
      </w:r>
      <w:r>
        <w:rPr>
          <w:rFonts w:hint="eastAsia" w:ascii="宋体" w:hAnsi="宋体"/>
          <w:b w:val="0"/>
          <w:bCs w:val="0"/>
          <w:color w:val="auto"/>
          <w:highlight w:val="none"/>
        </w:rPr>
        <w:t>关于验收</w:t>
      </w:r>
    </w:p>
    <w:p>
      <w:pPr>
        <w:spacing w:line="360" w:lineRule="auto"/>
        <w:rPr>
          <w:rFonts w:hint="eastAsia" w:ascii="宋体" w:hAnsi="宋体"/>
          <w:b w:val="0"/>
          <w:bCs w:val="0"/>
          <w:color w:val="auto"/>
          <w:highlight w:val="none"/>
        </w:rPr>
      </w:pPr>
      <w:r>
        <w:rPr>
          <w:rFonts w:hint="eastAsia" w:ascii="宋体" w:hAnsi="宋体"/>
          <w:color w:val="auto"/>
          <w:highlight w:val="none"/>
        </w:rPr>
        <w:t>项目安装、调试完成，经初验合格，进入试运行，试运行时间为</w:t>
      </w:r>
      <w:r>
        <w:rPr>
          <w:rFonts w:hint="eastAsia" w:ascii="宋体" w:hAnsi="宋体"/>
          <w:color w:val="auto"/>
          <w:highlight w:val="none"/>
          <w:lang w:val="en-US" w:eastAsia="zh-CN"/>
        </w:rPr>
        <w:t>一</w:t>
      </w:r>
      <w:r>
        <w:rPr>
          <w:rFonts w:hint="eastAsia" w:ascii="宋体" w:hAnsi="宋体"/>
          <w:color w:val="auto"/>
          <w:highlight w:val="none"/>
        </w:rPr>
        <w:t>个月</w:t>
      </w:r>
      <w:r>
        <w:rPr>
          <w:rFonts w:hint="eastAsia" w:ascii="宋体" w:hAnsi="宋体"/>
          <w:color w:val="auto"/>
          <w:highlight w:val="none"/>
        </w:rPr>
        <w:t>，试运行期满后，</w:t>
      </w:r>
      <w:r>
        <w:rPr>
          <w:rFonts w:hint="eastAsia" w:ascii="宋体" w:hAnsi="宋体"/>
          <w:b w:val="0"/>
          <w:bCs w:val="0"/>
          <w:color w:val="auto"/>
          <w:highlight w:val="none"/>
        </w:rPr>
        <w:t>由采购人进行统一验收。</w:t>
      </w:r>
      <w:r>
        <w:rPr>
          <w:rFonts w:hint="eastAsia" w:ascii="宋体" w:hAnsi="宋体"/>
          <w:b w:val="0"/>
          <w:bCs w:val="0"/>
          <w:color w:val="auto"/>
          <w:highlight w:val="none"/>
        </w:rPr>
        <w:t>系统验收合格的条件必须至少满足以下要求：已提供了合同要求的全部设备和资料；性能测试和试运行验收时出现的问题已被解决。</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验收过程中，采购人</w:t>
      </w:r>
      <w:r>
        <w:rPr>
          <w:rFonts w:hint="eastAsia" w:ascii="宋体" w:hAnsi="宋体"/>
          <w:b w:val="0"/>
          <w:bCs w:val="0"/>
          <w:color w:val="auto"/>
          <w:highlight w:val="none"/>
          <w:lang w:val="en-US" w:eastAsia="zh-CN"/>
        </w:rPr>
        <w:t>有权</w:t>
      </w:r>
      <w:r>
        <w:rPr>
          <w:rFonts w:hint="eastAsia" w:ascii="宋体" w:hAnsi="宋体"/>
          <w:b w:val="0"/>
          <w:bCs w:val="0"/>
          <w:color w:val="auto"/>
          <w:highlight w:val="none"/>
        </w:rPr>
        <w:t>对项目内的产品及设备对照招标参数要求及投标文件设备技术响应参数进行检测。由双方共同认可的有资质的第三方检测机构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rPr>
        <w:t>进行检测，检测合格的，检测费用由采购人支付。如检测结果不符合国家相关标准或投标文件中的技术性能承诺的，检测费用由供应商支付，按本招标文件第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b w:val="0"/>
          <w:bCs w:val="0"/>
          <w:color w:val="auto"/>
          <w:highlight w:val="none"/>
        </w:rPr>
        <w:t>的相关条款处理，另外采购人将报政府采购监管部门进行处理。</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五</w:t>
      </w:r>
      <w:r>
        <w:rPr>
          <w:rFonts w:hint="eastAsia" w:ascii="宋体" w:hAnsi="宋体"/>
          <w:b/>
          <w:bCs/>
          <w:color w:val="auto"/>
          <w:highlight w:val="none"/>
        </w:rPr>
        <w:t>、特别说明</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1、采购需求中，带“▲”（如有）的为实质性条款，不得出现负偏离，否则做无效标处理。技术指标中带“★”（如有）为重要指标，不满足将按评标办法进行扣分。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2、采购需求中的品牌、型号（如有）仅供投标人参考，没有任何限制性，投标人可选择同等或更优档次的产品，但必须满足相应（实质性）技术要求、规格及安装条件。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3、投标人应自行组织现场踏勘（如有需要），自行确定货物的安装方法和安装费用，并将安装费用列入报价，安装费用中标后不予调整。</w:t>
      </w:r>
    </w:p>
    <w:p>
      <w:pPr>
        <w:spacing w:line="360" w:lineRule="auto"/>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4、采购需求中，产品示例所列的品牌型号，都是完全满足技术参数要求的，如投标供应商提供的投标产品是采购人示例产品所列品牌型号的，视为满足采购技术要求，不存在技术偏离。投标前，如发现采购人提供的示例产品品牌型号，不能完全满足技术参数要求的，应及时向采购人或采购代理机构提出。</w:t>
      </w:r>
    </w:p>
    <w:p>
      <w:pPr>
        <w:spacing w:line="360" w:lineRule="auto"/>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5、针对清单中的</w:t>
      </w:r>
      <w:r>
        <w:rPr>
          <w:rFonts w:hint="eastAsia" w:ascii="宋体" w:hAnsi="宋体"/>
          <w:b w:val="0"/>
          <w:bCs w:val="0"/>
          <w:color w:val="auto"/>
          <w:highlight w:val="none"/>
          <w:lang w:val="en-US" w:eastAsia="zh-CN"/>
        </w:rPr>
        <w:t>台式计算机</w:t>
      </w:r>
      <w:r>
        <w:rPr>
          <w:rFonts w:hint="eastAsia" w:ascii="宋体" w:hAnsi="宋体"/>
          <w:b w:val="0"/>
          <w:bCs w:val="0"/>
          <w:color w:val="auto"/>
          <w:highlight w:val="none"/>
          <w:lang w:val="en-US" w:eastAsia="zh-CN"/>
        </w:rPr>
        <w:t>，</w:t>
      </w:r>
      <w:r>
        <w:rPr>
          <w:rFonts w:hint="eastAsia" w:ascii="宋体" w:hAnsi="宋体"/>
          <w:b w:val="0"/>
          <w:bCs w:val="0"/>
          <w:color w:val="auto"/>
          <w:highlight w:val="none"/>
          <w:lang w:val="en-US" w:eastAsia="zh-CN"/>
        </w:rPr>
        <w:t>如果不是采购人提供的产品示例所列品牌型号的，供应商投标时出具关于所提供</w:t>
      </w:r>
      <w:r>
        <w:rPr>
          <w:rFonts w:hint="eastAsia" w:ascii="宋体" w:hAnsi="宋体"/>
          <w:b w:val="0"/>
          <w:bCs w:val="0"/>
          <w:color w:val="auto"/>
          <w:highlight w:val="none"/>
          <w:lang w:val="en-US" w:eastAsia="zh-CN"/>
        </w:rPr>
        <w:t>台式计算机</w:t>
      </w:r>
      <w:r>
        <w:rPr>
          <w:rFonts w:hint="eastAsia" w:ascii="宋体" w:hAnsi="宋体"/>
          <w:b w:val="0"/>
          <w:bCs w:val="0"/>
          <w:color w:val="auto"/>
          <w:highlight w:val="none"/>
          <w:lang w:val="en-US" w:eastAsia="zh-CN"/>
        </w:rPr>
        <w:t>满足采购文件要求承诺函的，即视为相关产品符合要求。</w:t>
      </w:r>
    </w:p>
    <w:p>
      <w:pPr>
        <w:spacing w:line="360" w:lineRule="auto"/>
        <w:rPr>
          <w:rFonts w:hint="eastAsia" w:ascii="宋体" w:hAnsi="宋体"/>
          <w:b w:val="0"/>
          <w:bCs w:val="0"/>
          <w:color w:val="auto"/>
          <w:highlight w:val="none"/>
          <w:lang w:val="en-US" w:eastAsia="zh-CN"/>
        </w:rPr>
      </w:pPr>
    </w:p>
    <w:p>
      <w:pPr>
        <w:spacing w:line="360" w:lineRule="auto"/>
        <w:rPr>
          <w:rFonts w:hint="eastAsia" w:ascii="宋体" w:hAnsi="宋体"/>
          <w:b w:val="0"/>
          <w:bCs w:val="0"/>
          <w:color w:val="auto"/>
          <w:highlight w:val="none"/>
          <w:lang w:val="en-US" w:eastAsia="zh-CN"/>
        </w:rPr>
      </w:pPr>
    </w:p>
    <w:p>
      <w:pPr>
        <w:spacing w:line="360" w:lineRule="auto"/>
        <w:rPr>
          <w:rFonts w:hint="eastAsia" w:ascii="宋体" w:hAnsi="宋体"/>
          <w:b w:val="0"/>
          <w:bCs w:val="0"/>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ageBreakBefore w:val="0"/>
        <w:kinsoku/>
        <w:wordWrap/>
        <w:overflowPunct/>
        <w:topLinePunct w:val="0"/>
        <w:bidi w:val="0"/>
        <w:snapToGrid/>
        <w:spacing w:after="0" w:line="360" w:lineRule="auto"/>
        <w:jc w:val="center"/>
        <w:textAlignment w:val="auto"/>
        <w:rPr>
          <w:rFonts w:hint="eastAsia" w:ascii="宋体" w:hAnsi="宋体" w:eastAsia="宋体" w:cs="宋体"/>
          <w:b/>
          <w:bCs/>
          <w:color w:val="auto"/>
          <w:spacing w:val="-20"/>
          <w:kern w:val="44"/>
          <w:sz w:val="48"/>
          <w:szCs w:val="48"/>
          <w:highlight w:val="none"/>
        </w:rPr>
      </w:pPr>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（购买现成货物）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pPr>
        <w:pageBreakBefore w:val="0"/>
        <w:kinsoku/>
        <w:wordWrap/>
        <w:overflowPunct/>
        <w:topLinePunct w:val="0"/>
        <w:bidi w:val="0"/>
        <w:snapToGrid/>
        <w:spacing w:line="360" w:lineRule="auto"/>
        <w:ind w:left="420" w:left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第一节 政府采购合同协议书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乙方（全称）：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依据《中华人民共和国民法典》、《中华人民共和国政府采购法》等有关的法律法规，以及本采购项目的</w:t>
      </w:r>
      <w:r>
        <w:rPr>
          <w:rFonts w:hint="eastAsia" w:ascii="宋体" w:hAnsi="宋体" w:eastAsia="宋体" w:cs="宋体"/>
          <w:color w:val="auto"/>
          <w:highlight w:val="none"/>
          <w:lang w:eastAsia="zh-CN"/>
        </w:rPr>
        <w:t>招标/谈判文件</w:t>
      </w:r>
      <w:r>
        <w:rPr>
          <w:rFonts w:hint="eastAsia" w:ascii="宋体" w:hAnsi="宋体" w:eastAsia="宋体" w:cs="宋体"/>
          <w:color w:val="auto"/>
          <w:highlight w:val="none"/>
          <w:lang w:eastAsia="zh-CN"/>
        </w:rPr>
        <w:t>等采购文件、乙方的《投标（响应）文件》及《中标（成交）通知书》，甲乙双方同意签订本合同。具体情况及要求如下：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1、项目信息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（1）采购项目名称：</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采购项目编号：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（2）采购计划编号：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（3）项目内容：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采购标的及数量（台/套/个/架/组等）：</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none"/>
          <w:lang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lang w:eastAsia="zh-CN"/>
        </w:rPr>
        <w:t>规格型号：</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采购标的的技术要求、商务要求具体见附件。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涉及信息类产品，</w:t>
      </w:r>
      <w:r>
        <w:rPr>
          <w:rFonts w:hint="eastAsia" w:ascii="宋体" w:hAnsi="宋体" w:eastAsia="宋体" w:cs="宋体"/>
          <w:color w:val="auto"/>
          <w:highlight w:val="none"/>
          <w:lang w:val="en-US" w:eastAsia="zh-CN"/>
        </w:rPr>
        <w:t>该</w:t>
      </w:r>
      <w:r>
        <w:rPr>
          <w:rFonts w:hint="eastAsia" w:ascii="宋体" w:hAnsi="宋体" w:eastAsia="宋体" w:cs="宋体"/>
          <w:color w:val="auto"/>
          <w:highlight w:val="none"/>
          <w:lang w:eastAsia="zh-CN"/>
        </w:rPr>
        <w:t>产品关键部件的品牌、型号：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标的名称：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eastAsia="zh-CN"/>
        </w:rPr>
        <w:t>关键部件：</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品牌：</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型号：</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（注：关键部件是指财政部会同有关部门发布的政府采购需求标准规定的需要通过国家有关部门指定的测评机构开展的安全可靠测评的软硬件，如CPU芯片、操作系统、数据库等。）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（4）政府采购组织形式：</w:t>
      </w:r>
      <w:r>
        <w:rPr>
          <w:rFonts w:hint="eastAsia" w:ascii="宋体" w:hAnsi="宋体" w:eastAsia="宋体" w:cs="宋体"/>
          <w:color w:val="auto"/>
          <w:highlight w:val="none"/>
          <w:lang w:eastAsia="zh-CN"/>
        </w:rPr>
        <w:t>政府集中采购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（5）政府采购方式：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公开招标</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 xml:space="preserve">竞争性磋商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 xml:space="preserve">询价    </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highlight w:val="none"/>
          <w:lang w:val="en-US" w:eastAsia="zh-CN"/>
        </w:rPr>
        <w:t>单一来源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（6）中标（成交）采购标的制造商是否为中小企业：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本合同是否为专门面向中小企业的采购合同（中小企业预留合同）：</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若本项目不专门面向中小企业采购，是否给予小微企业评审优惠：</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中标（成交）采购标的制造商是否为残疾人福利性单位：</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中标（成交）采购标的制造商是否为监狱企业：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（7）合同是否分包：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分包主要内容：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分包供应商/制造商名称（如供应商和制造商不同，请分别填写）：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分包供应商/制造商类型（如果供应商和制造商不同，只填写制造商类型）：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大型企业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中型企业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小微型企业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残疾人福利性单位</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监狱企业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（8）中标（成交）供应商是否为外商投资企业：</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外商投资企业类型：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全部由外国投资者投资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部分由外国投资者投资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（9）是否涉及进口产品：否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（10）是否涉及节能产品：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是，《节能产品政府采购品目清单》的底级品目名称：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是否涉及环境标志产品：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是，《环境标志产品政府采购品目清单》的底级品目名称：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是否涉及绿色产品：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是，绿色产品政府采购相关政策确定的底级品目名称：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强制采购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优先采购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（11）涉及商品包装和快递包装的，是否参考《商品包装政府采购需求标准（试行）》、《快递包装政府采购需求标准（试行）》明确产品及相关快递服务的具体包装要求：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否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不涉及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（1）合同金额小写：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分包金额（如有）小写：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大写：</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（2）合同定价方式：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固定单价</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固定费率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（3）付款方式（按项目实际勾选填写）：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全额付款：</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（应明确一次性支付合同款项的条件）</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分期付款：</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（应明确分期支付合同款项的各期比例和支付条件，各期支付条件应与分期履约验收情况挂钩）</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，其中涉及预付款的：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eastAsia="zh-CN"/>
        </w:rPr>
        <w:t>（应明确预付款的支付比例和支付条件）</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（1）起始日期：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日，完成日期：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（3）履约担保：是否收取履约保证金：</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收取履约保证金形式：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收取履约保证金金额：</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履约担保期限：</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（4）分期履行要求：</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（5）风险处置措施和替代方案：</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4、合同验收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（1）验收组织方式：</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自行组织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委托第三方组织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验收主体：</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是否邀请本项目的其他供应商参加验收：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是否邀请专家参加验收：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是否邀请服务对象参加验收：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是否邀请第三方检测机构参加验收：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是否进行抽查检测：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是，抽查比例：</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是否存在破坏性检测：</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是，</w:t>
      </w:r>
      <w:r>
        <w:rPr>
          <w:rFonts w:hint="eastAsia" w:ascii="宋体" w:hAnsi="宋体" w:eastAsia="宋体" w:cs="宋体"/>
          <w:color w:val="auto"/>
          <w:highlight w:val="none"/>
          <w:u w:val="single"/>
          <w:lang w:eastAsia="zh-CN"/>
        </w:rPr>
        <w:t>（应明确对被破坏的检测产品的处理方式）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验收组织的其他事项：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（2）履约验收时间：</w:t>
      </w:r>
      <w:r>
        <w:rPr>
          <w:rFonts w:hint="eastAsia" w:ascii="宋体" w:hAnsi="宋体" w:eastAsia="宋体" w:cs="宋体"/>
          <w:color w:val="auto"/>
          <w:highlight w:val="none"/>
          <w:u w:val="single"/>
          <w:lang w:eastAsia="zh-CN"/>
        </w:rPr>
        <w:t xml:space="preserve">（计划于何时验收/供应商提出验收申请之日起   日内组织验收）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（3）履约验收方式：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一次性验收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分期/分项验收：</w:t>
      </w:r>
      <w:r>
        <w:rPr>
          <w:rFonts w:hint="eastAsia" w:ascii="宋体" w:hAnsi="宋体" w:eastAsia="宋体" w:cs="宋体"/>
          <w:color w:val="auto"/>
          <w:highlight w:val="none"/>
          <w:u w:val="single"/>
          <w:lang w:eastAsia="zh-CN"/>
        </w:rPr>
        <w:t xml:space="preserve"> （应明确分期/分项验收的工作安排）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（4）履约验收程序：</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（5）履约验收的内容：</w:t>
      </w:r>
      <w:r>
        <w:rPr>
          <w:rFonts w:hint="eastAsia" w:ascii="宋体" w:hAnsi="宋体" w:eastAsia="宋体" w:cs="宋体"/>
          <w:color w:val="auto"/>
          <w:highlight w:val="none"/>
          <w:u w:val="single"/>
          <w:lang w:eastAsia="zh-CN"/>
        </w:rPr>
        <w:t xml:space="preserve"> （应当包括每一项技术和商务要求的履约情况，特别是落实政府采购扶持中小企业，支持绿色发展和乡村振兴等政策情况）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（6）履约验收标准：</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（7）是否以采购活动中供应商提供的样品作为参考：</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 xml:space="preserve">是    </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highlight w:val="none"/>
          <w:lang w:eastAsia="zh-CN"/>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（8）履约验收其他事项：</w:t>
      </w:r>
      <w:r>
        <w:rPr>
          <w:rFonts w:hint="eastAsia" w:ascii="宋体" w:hAnsi="宋体" w:eastAsia="宋体" w:cs="宋体"/>
          <w:color w:val="auto"/>
          <w:highlight w:val="none"/>
          <w:u w:val="single"/>
          <w:lang w:eastAsia="zh-CN"/>
        </w:rPr>
        <w:t xml:space="preserve">      （产权过户登记等）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5、组成合同的文件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本协议书与下列文件一起构成合同文件，如下述文件之间有任何抵触、矛盾或歧义，应按以下顺序解释：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（1）政府采购合同协议书及其变更、补充协议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（4）中标（成交）通知书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（5）投标（响应）文件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（6）采购文件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（7）有关技术文件，图纸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本合同自</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7、合同份数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本合同一式</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份，甲方执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份，乙方执</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份，</w:t>
      </w:r>
      <w:r>
        <w:rPr>
          <w:rFonts w:hint="eastAsia" w:ascii="宋体" w:hAnsi="宋体"/>
          <w:color w:val="auto"/>
          <w:szCs w:val="21"/>
          <w:highlight w:val="none"/>
        </w:rPr>
        <w:t>区公共资源交易中心</w:t>
      </w:r>
      <w:r>
        <w:rPr>
          <w:rFonts w:hint="eastAsia" w:ascii="宋体" w:hAnsi="宋体"/>
          <w:color w:val="auto"/>
          <w:highlight w:val="none"/>
        </w:rPr>
        <w:t>一份</w:t>
      </w:r>
      <w:r>
        <w:rPr>
          <w:rFonts w:hint="eastAsia" w:ascii="宋体" w:hAnsi="宋体"/>
          <w:color w:val="auto"/>
          <w:highlight w:val="none"/>
          <w:lang w:eastAsia="zh-CN"/>
        </w:rPr>
        <w:t>，</w:t>
      </w:r>
      <w:r>
        <w:rPr>
          <w:rFonts w:hint="eastAsia" w:ascii="宋体" w:hAnsi="宋体" w:eastAsia="宋体" w:cs="宋体"/>
          <w:color w:val="auto"/>
          <w:highlight w:val="none"/>
          <w:lang w:eastAsia="zh-CN"/>
        </w:rPr>
        <w:t>均具有同等法律效力。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合同订立时间：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合同订立地点：</w:t>
      </w:r>
      <w:r>
        <w:rPr>
          <w:rFonts w:hint="eastAsia" w:ascii="宋体" w:hAnsi="宋体" w:eastAsia="宋体" w:cs="宋体"/>
          <w:color w:val="auto"/>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附件：</w:t>
      </w:r>
      <w:r>
        <w:rPr>
          <w:rFonts w:hint="eastAsia" w:ascii="宋体" w:hAnsi="宋体" w:eastAsia="宋体" w:cs="宋体"/>
          <w:color w:val="auto"/>
          <w:highlight w:val="none"/>
          <w:lang w:eastAsia="zh-CN"/>
        </w:rPr>
        <w:t>具体标的及其技术要求和商务要求、联合协议、分包意向协议等。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8"/>
        <w:tblW w:w="905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53"/>
        <w:gridCol w:w="2618"/>
        <w:gridCol w:w="1910"/>
        <w:gridCol w:w="257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59" w:hRule="atLeast"/>
        </w:trPr>
        <w:tc>
          <w:tcPr>
            <w:tcW w:w="4571" w:type="dxa"/>
            <w:gridSpan w:val="2"/>
            <w:tcBorders>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4480" w:type="dxa"/>
            <w:gridSpan w:val="2"/>
            <w:tcBorders>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953" w:type="dxa"/>
            <w:vMerge w:val="restart"/>
            <w:tcBorders>
              <w:top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2618" w:type="dxa"/>
            <w:vMerge w:val="restart"/>
            <w:tcBorders>
              <w:top w:val="single" w:color="auto" w:sz="2" w:space="0"/>
              <w:left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vMerge w:val="continue"/>
            <w:tcBorders>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2618" w:type="dxa"/>
            <w:vMerge w:val="continue"/>
            <w:tcBorders>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953" w:type="dxa"/>
            <w:tcBorders>
              <w:top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p>
        </w:tc>
        <w:tc>
          <w:tcPr>
            <w:tcW w:w="2618" w:type="dxa"/>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color w:val="auto"/>
                <w:sz w:val="21"/>
                <w:szCs w:val="21"/>
                <w:highlight w:val="none"/>
              </w:rPr>
            </w:pPr>
          </w:p>
        </w:tc>
        <w:tc>
          <w:tcPr>
            <w:tcW w:w="191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2570" w:type="dxa"/>
            <w:tcBorders>
              <w:top w:val="single" w:color="auto" w:sz="2" w:space="0"/>
              <w:left w:val="single" w:color="auto" w:sz="2" w:space="0"/>
              <w:bottom w:val="single" w:color="auto" w:sz="2" w:space="0"/>
            </w:tcBorders>
            <w:vAlign w:val="center"/>
          </w:tcPr>
          <w:p>
            <w:pPr>
              <w:jc w:val="both"/>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9051" w:type="dxa"/>
            <w:gridSpan w:val="4"/>
            <w:tcBorders>
              <w:top w:val="single" w:color="auto" w:sz="2" w:space="0"/>
            </w:tcBorders>
            <w:vAlign w:val="center"/>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第二节 政府采购合同通用条款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lang w:eastAsia="zh-CN"/>
        </w:rPr>
        <w:t>采购人（以下称甲方）</w:t>
      </w:r>
      <w:r>
        <w:rPr>
          <w:rFonts w:hint="eastAsia" w:ascii="宋体" w:hAnsi="宋体" w:eastAsia="宋体" w:cs="宋体"/>
          <w:color w:val="auto"/>
          <w:highlight w:val="none"/>
          <w:lang w:eastAsia="zh-CN"/>
        </w:rPr>
        <w:t>是指使用财政性资金，通过政府采购方式向供应商购买货物及其相关服务的国家机关、事业单位、团体组织。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eastAsia="zh-CN"/>
        </w:rPr>
        <w:t>其他合同主体</w:t>
      </w:r>
      <w:r>
        <w:rPr>
          <w:rFonts w:hint="eastAsia" w:ascii="宋体" w:hAnsi="宋体" w:eastAsia="宋体" w:cs="宋体"/>
          <w:color w:val="auto"/>
          <w:highlight w:val="none"/>
          <w:lang w:eastAsia="zh-CN"/>
        </w:rPr>
        <w:t>是指除采购人和供应商以外，依法参与合同缔结或履行，享有权利、承担义务的合同当事人。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1.2本合同下列术语应解释为：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（2）“合同价款”系指根据本合同规定乙方在全面履行合同义务后甲方应支付给乙方的价款。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（7）其他术语解释，见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2、合同标的及金额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2.1合同标的及金额应与中标（成交）结果一致。乙方为履行本合同而发生的所有费用均应包含在合同价款中，甲方不再另行支付其他任何费用。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3、履行合同的时间、地点和方式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3.1乙方应当在约定的时间、地点，按照约定方式履行合同。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4、甲方的权利和义务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4.1签署合同后，甲方应确定项目负责人（或项目联系人），负责与本合同有关的事务。甲方有权对乙方的履约行为进行检查，并及时确认乙方提交的事项。甲方应当配合乙方完成相关项目实施工作。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4.2甲方有权要求乙方按时提交各阶段有关安排计划，并有权定期核对乙方提供货物数量、规格、质量等内容。甲方有权督促乙方工作并要求乙方更换不符合要求的货物。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4.3甲方有权要求乙方对缺陷部分予以修复，并按合同约定享有货物保修及其他合同约定的权利。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4.4甲方应当按照合同约定及时对交付的货物进行验收，未在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约定的期限内对乙方履约提出任何异议或者向乙方作出任何说明的，视为验收通过。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4.5甲方应当根据合同约定及时向乙方支付合同价款，不得以内部人员变更、履行内部付款流程等为由，拒绝或迟延支付。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4.6国家法律法规规定及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约定应由甲方承担的其他义务和责任。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5.1签署合同后，乙方应确定项目负责人（或项目联系人），负责与本合同有关的事务。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5.3乙方有权根据合同约定向甲方收取合同价款。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5.4国家法律法规规定及</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约定应由乙方承担的其他义务和责任。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6、合同履行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6.1甲乙双方应当按照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约定顺序履行合同义务；如果没有先后顺序的，应当同时履行。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6.2甲乙双方按照合同约定顺序履行合同义务时，应当先履行一方未履行的，后履行一方有权拒绝其履行请求。先履行一方履行不符合约定的，后履行一方有权拒绝其相应的履行请求。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7、货物包装、运输、保险和交付要求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7.1本合同涉及商品包装、快递包装的，除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另有约定外，包装应适应远距离运输、防潮、防震、防锈和防野蛮装卸等要求，确保货物安全无损地运抵</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约定的指定现场。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7.2除</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另有约定外，乙方负责办理将货物运抵本合同规定的交货地点，并装卸、交付至甲方的一切运输事项，相关费用应包含在合同价款中。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7.3货物保险要求按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7.5乙方在运输到达之前应提前通知甲方，并提示货物运输装卸的注意事项，甲方配合乙方做好货物的接收工作。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8、质量标准和保证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8.1质量标准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（3）乙方所提供的货物应符合国家有关安全、环保、卫生的规定。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（4）乙方应向甲方提交所提供货物的技术文件，包括相应的中文技术文件，如：产品目录、图纸、操作手册、使用说明、维护手册或服务指南等。上述文件应包装好随货物一同发运。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8.2保证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规定或乙方书面承诺（两者以较长的为准）的质量保证期内，本保证保持有效。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（2）在质量保证期内所发现的缺陷，甲方应尽快以书面形式通知乙方。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（3）乙方收到通知后，应在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规定的响应时间内以合理的速度免费维修或更换有缺陷的货物或部件。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9、权利瑕疵担保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9.1乙方保证对其出售的货物享有合法的权利。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9.2乙方保证在交付的货物上不存在抵押权等担保物权。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9.3如甲方使用上述货物构成对第三人侵权的，则由乙方承担全部责任。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10、知识产权保护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11、保密义务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12、合同价款支付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12.1合同价款支付按照国库集中支付制度及财政管理相关规定执行。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13、履约保证金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13.1乙方应当以支票、汇票、本票或者金融机构、担保机构出具的保函等非现金形式提交。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13.2如果乙方出现</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13.3甲方在项目通过验收后按照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规定的时间内将履约保证金退还乙方；逾期退还的，乙方可要求甲方支付违约金，违约金按照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14、售后服务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14.1除项目不涉及或采购活动中明确约定无须承担外，乙方还应提供下列服务：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（1）货物的现场移动、安装、调试、启动监督及技术支持；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（2）提供货物组装和维修所需的专用工具和辅助材料；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约定的期限内对所有的货物实施运行监督、维修，但前提条件是该服务并不能免除乙方在质量保证期内所承担的义务；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（4）在制造商所在地或指定现场就货物的安装、启动、运营、维护、废弃处置等对甲方操作人员进行培训；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（5）依照法律、行政法规的规定或者按照</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约定，货物在有效使用年限届满后应予回收的，乙方负有自行或者委托第三人对货物予以回收的义务；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规定由乙方提供的其他服务。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14.2乙方提供的售后服务的费用已包含在合同价款中，甲方不再另行支付。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15、违约责任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15.1质量瑕疵的违约责任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乙方提供的产品不符合合同约定的质量标准或存在产品质量缺陷，甲方有权要求乙方根据</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要求及时修理、重作、更换，并承担由此给甲方造成的损失。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15.2迟延交货的违约责任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规定执行。如果涉及公共利益，且赔偿金额无法弥补公共利益损失，甲方可要求继续履行或者采取其他补救措施。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15.3迟延支付的违约责任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甲方存在迟延支付乙方合同款项的，应当承担</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规定的逾期付款利息。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15.4其他违约责任根据项目实际需要按</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16、合同变更、中止与终止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16.1合同的变更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16.2合同的中止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（1）合同履行过程中因供应商就采购文件、采购过程或结果提起投诉的，甲方认为有必要的，可以中止合同的履行。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（2）合同履行过程中，如果乙方出现以下情形之一的：</w:t>
      </w:r>
      <w:r>
        <w:rPr>
          <w:rFonts w:hint="eastAsia" w:ascii="宋体" w:hAnsi="宋体" w:eastAsia="宋体" w:cs="宋体"/>
          <w:color w:val="auto"/>
          <w:highlight w:val="none"/>
          <w:lang w:eastAsia="zh-CN"/>
        </w:rPr>
        <w:t>1．经营状况严重恶化；2．转移财产、抽逃资金，以逃避债务；3．丧失商业信誉；4．有丧失或者可能丧失履约能力的其他情形，乙方有义务及时告知甲方。</w:t>
      </w:r>
      <w:r>
        <w:rPr>
          <w:rFonts w:hint="eastAsia" w:ascii="宋体" w:hAnsi="宋体" w:eastAsia="宋体" w:cs="宋体"/>
          <w:color w:val="auto"/>
          <w:highlight w:val="none"/>
          <w:lang w:eastAsia="zh-CN"/>
        </w:rPr>
        <w:t>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（4）甲方不得以行政区划调整、政府换届、机构或者职能调整以及相关责任人更替为由中止合同。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16.3合同的终止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（1）合同因有效期限届满而终止；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（2）乙方未按合同约定履行，构成根本性违约的，甲方有权终止合同，并追究乙方的违约责任。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16.4涉及国家利益、社会公共利益的情形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17、合同分包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17.1乙方不得将合同转包给其他供应商。涉及合同分包的，乙方应根据采购文件和投标（响应）文件规定进行合同分包。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17.2乙方执行政府采购政策向中小企业依法分包的，乙方应当按采购文件和投标（响应）文件签订分包意向协议，分包意向协议属于本合同组成部分。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18、不可抗力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18.1不可抗力是指合同双方不能预见、不能避免且不能克服的客观情况。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18.2任何一方对由于不可抗力造成的部分或全部不能履行合同不承担违约责任。但迟延履行后发生不可抗力的，不能免除责任。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19、解决争议的方法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19.1因本合同及合同有关事项发生的争议，由甲乙双方友好协商解决。协商不成时，可以向有关组织申请调解。合同一方或双方不愿调解或调解不成的，可以通过仲裁或诉讼的方式解决争议。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19.2选择仲裁的，应在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中明确仲裁机构及仲裁地；通过诉讼方式解决的，可以在</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中进一步约定选择与争议有实际联系的地点的人民法院管辖，但管辖法院的约定不得违反级别管辖和专属管辖的规定。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19.3如甲乙双方有争议的事项不影响合同其他部分的履行，在争议解决期间，合同其他部分应当继续履行。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20、政府采购政策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20.1本合同应当按照规定执行政府采购政策。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21、法律适用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21.1本合同的订立、生效、解释、履行及与本合同有关的争议解决，均适用法律、行政法规。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21.2本合同条款与法律、行政法规的强制性规定不一致的，双方当事人应按照法律、行政法规的强制性规定修改本合同的相关条款。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22、通知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22.1本合同任何一方向对方发出的通知、信件、数据电文等，应当发送至本合同第一部分《政府采购合同协议书》所约定的通讯地址、联系人、联系电话或电子邮箱。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22.2一方当事人变更名称、住所、联系人、联系电话或电子邮箱等信息的，应当在变更后3日内及时书面通知对方，对方实际收到变更通知前的送达仍为有效送达。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22.3本合同一方给另一方的通知均应采用书面形式，传真或快递送到本合同中规定的对方的地址和办理签收手续。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22.4通知以送达之日或通知书中规定的生效之日起生效，两者中以较迟之日为准。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23、合同未尽事项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23.1合同未尽事项见</w:t>
      </w:r>
      <w:r>
        <w:rPr>
          <w:rFonts w:hint="eastAsia" w:ascii="宋体" w:hAnsi="宋体" w:eastAsia="宋体" w:cs="宋体"/>
          <w:b/>
          <w:bCs/>
          <w:color w:val="auto"/>
          <w:highlight w:val="none"/>
          <w:lang w:eastAsia="zh-CN"/>
        </w:rPr>
        <w:t>【政府采购合同专用条款】</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23.2合同附件与合同正文具有同等的法律效力。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第三节 政府采购合同专用条款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p>
    <w:tbl>
      <w:tblPr>
        <w:tblStyle w:val="8"/>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039"/>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联合体具体要求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其他术语解释</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履约验收中甲方提出异议或作出说明的期限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4.6款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约定甲方承担的其他义务和责任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5.4款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约定乙方承担的其他义务和责任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第二节</w:t>
            </w:r>
          </w:p>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6.1款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履行合同义务的顺序</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vMerge w:val="restart"/>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包装</w:t>
            </w:r>
            <w:r>
              <w:rPr>
                <w:rFonts w:hint="eastAsia" w:ascii="宋体" w:hAnsi="宋体" w:eastAsia="宋体" w:cs="宋体"/>
                <w:color w:val="auto"/>
                <w:highlight w:val="none"/>
                <w:lang w:eastAsia="zh-CN"/>
              </w:rPr>
              <w:t>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vMerge w:val="continue"/>
            <w:tcMar>
              <w:top w:w="57" w:type="dxa"/>
              <w:left w:w="113" w:type="dxa"/>
              <w:bottom w:w="57" w:type="dxa"/>
              <w:right w:w="113" w:type="dxa"/>
            </w:tcMar>
            <w:vAlign w:val="center"/>
          </w:tcPr>
          <w:p>
            <w:pPr>
              <w:jc w:val="both"/>
              <w:rPr>
                <w:rFonts w:hint="eastAsia" w:ascii="宋体" w:hAnsi="宋体" w:eastAsia="宋体" w:cs="宋体"/>
                <w:color w:val="auto"/>
                <w:highlight w:val="none"/>
              </w:rPr>
            </w:pP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指定现场</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运输特殊要求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保险要求</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.2（1）项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质量保证期</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.2（3）项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货物质量缺陷</w:t>
            </w:r>
            <w:r>
              <w:rPr>
                <w:rFonts w:hint="eastAsia" w:ascii="宋体" w:hAnsi="宋体" w:eastAsia="宋体" w:cs="宋体"/>
                <w:color w:val="auto"/>
                <w:highlight w:val="none"/>
              </w:rPr>
              <w:t>响应时间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第11.1款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其他应当保密的信息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合同价款支付</w:t>
            </w:r>
            <w:r>
              <w:rPr>
                <w:rFonts w:hint="eastAsia" w:ascii="宋体" w:hAnsi="宋体" w:eastAsia="宋体" w:cs="宋体"/>
                <w:color w:val="auto"/>
                <w:highlight w:val="none"/>
                <w:lang w:eastAsia="zh-CN"/>
              </w:rPr>
              <w:t>时间</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13.2</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履约保证金不予退还的情形</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13.3</w:t>
            </w:r>
            <w:r>
              <w:rPr>
                <w:rFonts w:hint="eastAsia" w:ascii="宋体" w:hAnsi="宋体" w:eastAsia="宋体" w:cs="宋体"/>
                <w:color w:val="auto"/>
                <w:highlight w:val="none"/>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履约保证金退还时间及</w:t>
            </w:r>
            <w:r>
              <w:rPr>
                <w:rFonts w:hint="eastAsia" w:ascii="宋体" w:hAnsi="宋体" w:eastAsia="宋体" w:cs="宋体"/>
                <w:color w:val="auto"/>
                <w:highlight w:val="none"/>
                <w:lang w:eastAsia="zh-CN"/>
              </w:rPr>
              <w:t>逾期退还的</w:t>
            </w:r>
            <w:r>
              <w:rPr>
                <w:rFonts w:hint="eastAsia" w:ascii="宋体" w:hAnsi="宋体" w:eastAsia="宋体" w:cs="宋体"/>
                <w:color w:val="auto"/>
                <w:highlight w:val="none"/>
              </w:rPr>
              <w:t>违约金</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运行监督、维修期限</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货物回收的约定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乙方提供的其他服务</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修理、重作、更换相关具体规定</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.2（2）项</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迟延交货赔偿费</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逾期付款利息</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其他违约责任</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解决争议的方法</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因本合同及合同有关事项发生的争议，按下列第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仲裁委员会申请仲裁，仲裁地点为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607"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rPr>
              <w:t>第二节</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第2</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lang w:eastAsia="zh-CN"/>
              </w:rPr>
              <w:t>款</w:t>
            </w:r>
          </w:p>
        </w:tc>
        <w:tc>
          <w:tcPr>
            <w:tcW w:w="2039" w:type="dxa"/>
            <w:tcMar>
              <w:top w:w="57" w:type="dxa"/>
              <w:left w:w="113" w:type="dxa"/>
              <w:bottom w:w="57" w:type="dxa"/>
              <w:right w:w="113" w:type="dxa"/>
            </w:tcMar>
            <w:vAlign w:val="center"/>
          </w:tcPr>
          <w:p>
            <w:pPr>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其他专用条款</w:t>
            </w:r>
          </w:p>
        </w:tc>
        <w:tc>
          <w:tcPr>
            <w:tcW w:w="5395" w:type="dxa"/>
            <w:tcMar>
              <w:top w:w="57" w:type="dxa"/>
              <w:left w:w="113" w:type="dxa"/>
              <w:bottom w:w="57" w:type="dxa"/>
              <w:right w:w="113" w:type="dxa"/>
            </w:tcMar>
            <w:vAlign w:val="center"/>
          </w:tcPr>
          <w:p>
            <w:pPr>
              <w:jc w:val="both"/>
              <w:rPr>
                <w:rFonts w:hint="eastAsia" w:ascii="宋体" w:hAnsi="宋体" w:eastAsia="宋体" w:cs="宋体"/>
                <w:color w:val="auto"/>
                <w:highlight w:val="none"/>
                <w:lang w:val="en-US" w:eastAsia="zh-CN"/>
              </w:rPr>
            </w:pPr>
          </w:p>
        </w:tc>
      </w:tr>
    </w:tbl>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新碶高级中学台式计算机</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BLZFCG2025026</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4）</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w:t>
      </w:r>
      <w:r>
        <w:rPr>
          <w:rFonts w:hint="eastAsia" w:ascii="宋体" w:hAnsi="宋体"/>
          <w:color w:val="auto"/>
          <w:highlight w:val="none"/>
          <w:lang w:eastAsia="zh-CN"/>
        </w:rPr>
        <w:t>（</w:t>
      </w:r>
      <w:r>
        <w:rPr>
          <w:rFonts w:hint="eastAsia" w:ascii="宋体" w:hAnsi="宋体"/>
          <w:color w:val="auto"/>
          <w:highlight w:val="none"/>
          <w:lang w:val="en-US" w:eastAsia="zh-CN"/>
        </w:rPr>
        <w:t>服务</w:t>
      </w:r>
      <w:r>
        <w:rPr>
          <w:rFonts w:hint="eastAsia" w:ascii="宋体" w:hAnsi="宋体"/>
          <w:color w:val="auto"/>
          <w:highlight w:val="none"/>
          <w:lang w:eastAsia="zh-CN"/>
        </w:rPr>
        <w:t>）</w:t>
      </w:r>
      <w:r>
        <w:rPr>
          <w:rFonts w:hint="eastAsia" w:ascii="宋体" w:hAnsi="宋体"/>
          <w:color w:val="auto"/>
          <w:highlight w:val="none"/>
        </w:rPr>
        <w:t>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货物性能技术指标对照表（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投标货物说明（</w:t>
      </w:r>
      <w:r>
        <w:rPr>
          <w:rFonts w:hint="eastAsia" w:ascii="宋体" w:hAnsi="宋体"/>
          <w:color w:val="auto"/>
          <w:highlight w:val="none"/>
          <w:lang w:eastAsia="zh-CN"/>
        </w:rPr>
        <w:t>内容格式自拟，要求见招标文件第四部分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货物主要部件情况表（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项目实施方案（</w:t>
      </w:r>
      <w:r>
        <w:rPr>
          <w:rFonts w:hint="eastAsia" w:ascii="宋体" w:hAnsi="宋体"/>
          <w:color w:val="auto"/>
          <w:highlight w:val="none"/>
          <w:lang w:eastAsia="zh-CN"/>
        </w:rPr>
        <w:t>内容格式自拟，要求见招标文件第四部分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拟派本项目主要实施人员情况表（见格式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rPr>
        <w:t>质量保证和售后服务方案（</w:t>
      </w:r>
      <w:r>
        <w:rPr>
          <w:rFonts w:hint="eastAsia" w:ascii="宋体" w:hAnsi="宋体"/>
          <w:color w:val="auto"/>
          <w:highlight w:val="none"/>
          <w:lang w:eastAsia="zh-CN"/>
        </w:rPr>
        <w:t>内容格式自拟，要求见招标文件第四部分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w:t>
      </w:r>
      <w:r>
        <w:rPr>
          <w:rFonts w:hint="eastAsia" w:ascii="宋体" w:hAnsi="宋体"/>
          <w:color w:val="auto"/>
          <w:highlight w:val="none"/>
        </w:rPr>
        <w:t>技术培训方案（</w:t>
      </w:r>
      <w:r>
        <w:rPr>
          <w:rFonts w:hint="eastAsia" w:ascii="宋体" w:hAnsi="宋体"/>
          <w:color w:val="auto"/>
          <w:highlight w:val="none"/>
          <w:lang w:eastAsia="zh-CN"/>
        </w:rPr>
        <w:t>内容格式自拟，要求见招标文件第四部分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16、投标产品取得节能环保认证证书情况表</w:t>
      </w:r>
      <w:r>
        <w:rPr>
          <w:rFonts w:hint="eastAsia" w:ascii="宋体" w:hAnsi="宋体"/>
          <w:color w:val="auto"/>
          <w:highlight w:val="none"/>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17、</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新碶高级中学台式计算机</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BLZFCG2025026</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5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50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44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500" w:type="dxa"/>
            <w:noWrap w:val="0"/>
            <w:vAlign w:val="center"/>
          </w:tcPr>
          <w:p>
            <w:pPr>
              <w:jc w:val="center"/>
              <w:rPr>
                <w:rFonts w:hint="eastAsia" w:ascii="宋体" w:hAnsi="宋体"/>
                <w:color w:val="auto"/>
                <w:sz w:val="21"/>
                <w:szCs w:val="21"/>
                <w:highlight w:val="none"/>
              </w:rPr>
            </w:pPr>
          </w:p>
        </w:tc>
        <w:tc>
          <w:tcPr>
            <w:tcW w:w="144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single"/>
        </w:rPr>
        <w:t>、标项编号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2、无偏离应在本表“投标文件响应情况”栏注明“无商务条款偏离”的字样。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投标货物（服务）清单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67"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2551"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主要性能参数</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货物性能技术指标对照表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9241" w:type="dxa"/>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660"/>
        <w:gridCol w:w="1185"/>
        <w:gridCol w:w="3825"/>
        <w:gridCol w:w="357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Ex>
        <w:trPr>
          <w:trHeight w:val="794" w:hRule="atLeast"/>
          <w:tblHeader/>
        </w:trPr>
        <w:tc>
          <w:tcPr>
            <w:tcW w:w="660" w:type="dxa"/>
            <w:tcBorders>
              <w:bottom w:val="single" w:color="auto" w:sz="4" w:space="0"/>
            </w:tcBorders>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85" w:type="dxa"/>
            <w:tcBorders>
              <w:bottom w:val="single" w:color="auto" w:sz="4" w:space="0"/>
            </w:tcBorders>
            <w:noWrap w:val="0"/>
            <w:vAlign w:val="center"/>
          </w:tcPr>
          <w:p>
            <w:pPr>
              <w:snapToGrid w:val="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货物名称</w:t>
            </w:r>
          </w:p>
        </w:tc>
        <w:tc>
          <w:tcPr>
            <w:tcW w:w="3825" w:type="dxa"/>
            <w:tcBorders>
              <w:bottom w:val="single" w:color="auto" w:sz="4" w:space="0"/>
            </w:tcBorders>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招标技术规格要求</w:t>
            </w:r>
          </w:p>
        </w:tc>
        <w:tc>
          <w:tcPr>
            <w:tcW w:w="3571" w:type="dxa"/>
            <w:tcBorders>
              <w:bottom w:val="single" w:color="auto" w:sz="4" w:space="0"/>
            </w:tcBorders>
            <w:noWrap w:val="0"/>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w:t>
            </w:r>
            <w:r>
              <w:rPr>
                <w:rFonts w:hint="eastAsia" w:ascii="宋体" w:hAnsi="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对应</w:t>
            </w:r>
            <w:r>
              <w:rPr>
                <w:rFonts w:hint="eastAsia" w:ascii="宋体" w:hAnsi="宋体" w:cs="宋体"/>
                <w:b/>
                <w:color w:val="auto"/>
                <w:sz w:val="21"/>
                <w:szCs w:val="21"/>
                <w:highlight w:val="none"/>
                <w:lang w:val="en-US" w:eastAsia="zh-CN"/>
              </w:rPr>
              <w:t>的</w:t>
            </w:r>
            <w:r>
              <w:rPr>
                <w:rFonts w:hint="eastAsia" w:ascii="宋体" w:hAnsi="宋体" w:eastAsia="宋体" w:cs="宋体"/>
                <w:b/>
                <w:color w:val="auto"/>
                <w:sz w:val="21"/>
                <w:szCs w:val="21"/>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660" w:type="dxa"/>
            <w:noWrap w:val="0"/>
            <w:tcMar>
              <w:top w:w="113" w:type="dxa"/>
              <w:left w:w="113" w:type="dxa"/>
              <w:bottom w:w="113" w:type="dxa"/>
              <w:right w:w="113" w:type="dxa"/>
            </w:tcMar>
            <w:vAlign w:val="center"/>
          </w:tcPr>
          <w:p>
            <w:pPr>
              <w:snapToGrid w:val="0"/>
              <w:ind w:right="97" w:rightChars="0"/>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p>
        </w:tc>
        <w:tc>
          <w:tcPr>
            <w:tcW w:w="1185" w:type="dxa"/>
            <w:noWrap w:val="0"/>
            <w:tcMar>
              <w:top w:w="113" w:type="dxa"/>
              <w:left w:w="113" w:type="dxa"/>
              <w:bottom w:w="113" w:type="dxa"/>
              <w:right w:w="113" w:type="dxa"/>
            </w:tcMar>
            <w:vAlign w:val="center"/>
          </w:tcPr>
          <w:p>
            <w:pPr>
              <w:snapToGrid w:val="0"/>
              <w:ind w:right="97" w:rightChars="0"/>
              <w:jc w:val="center"/>
              <w:rPr>
                <w:rFonts w:hint="default" w:ascii="宋体" w:hAnsi="宋体" w:cs="宋体"/>
                <w:color w:val="auto"/>
                <w:sz w:val="18"/>
                <w:szCs w:val="18"/>
                <w:highlight w:val="none"/>
                <w:lang w:val="en-US" w:eastAsia="zh-CN"/>
              </w:rPr>
            </w:pPr>
          </w:p>
        </w:tc>
        <w:tc>
          <w:tcPr>
            <w:tcW w:w="3825"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18"/>
                <w:szCs w:val="18"/>
                <w:highlight w:val="none"/>
              </w:rPr>
            </w:pPr>
          </w:p>
        </w:tc>
        <w:tc>
          <w:tcPr>
            <w:tcW w:w="3571" w:type="dxa"/>
            <w:noWrap w:val="0"/>
            <w:tcMar>
              <w:top w:w="113" w:type="dxa"/>
              <w:left w:w="113" w:type="dxa"/>
              <w:bottom w:w="113" w:type="dxa"/>
              <w:right w:w="113" w:type="dxa"/>
            </w:tcMar>
            <w:vAlign w:val="center"/>
          </w:tcPr>
          <w:p>
            <w:pPr>
              <w:snapToGrid w:val="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660" w:type="dxa"/>
            <w:noWrap w:val="0"/>
            <w:tcMar>
              <w:top w:w="113" w:type="dxa"/>
              <w:left w:w="113" w:type="dxa"/>
              <w:bottom w:w="113" w:type="dxa"/>
              <w:right w:w="113" w:type="dxa"/>
            </w:tcMar>
            <w:vAlign w:val="center"/>
          </w:tcPr>
          <w:p>
            <w:pPr>
              <w:snapToGrid w:val="0"/>
              <w:ind w:right="97" w:right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1185" w:type="dxa"/>
            <w:noWrap w:val="0"/>
            <w:tcMar>
              <w:top w:w="113" w:type="dxa"/>
              <w:left w:w="113" w:type="dxa"/>
              <w:bottom w:w="113" w:type="dxa"/>
              <w:right w:w="113" w:type="dxa"/>
            </w:tcMar>
            <w:vAlign w:val="center"/>
          </w:tcPr>
          <w:p>
            <w:pPr>
              <w:snapToGrid w:val="0"/>
              <w:ind w:right="97" w:right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3825"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……按照招标要求逐句完善</w:t>
            </w:r>
          </w:p>
        </w:tc>
        <w:tc>
          <w:tcPr>
            <w:tcW w:w="3571" w:type="dxa"/>
            <w:noWrap w:val="0"/>
            <w:tcMar>
              <w:top w:w="113" w:type="dxa"/>
              <w:left w:w="113" w:type="dxa"/>
              <w:bottom w:w="113" w:type="dxa"/>
              <w:right w:w="113" w:type="dxa"/>
            </w:tcMar>
            <w:vAlign w:val="center"/>
          </w:tcPr>
          <w:p>
            <w:pPr>
              <w:snapToGrid w:val="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660" w:type="dxa"/>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1185" w:type="dxa"/>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3825"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18"/>
                <w:szCs w:val="18"/>
                <w:highlight w:val="none"/>
              </w:rPr>
            </w:pPr>
          </w:p>
        </w:tc>
        <w:tc>
          <w:tcPr>
            <w:tcW w:w="3571" w:type="dxa"/>
            <w:noWrap w:val="0"/>
            <w:tcMar>
              <w:top w:w="113" w:type="dxa"/>
              <w:left w:w="113" w:type="dxa"/>
              <w:bottom w:w="113" w:type="dxa"/>
              <w:right w:w="113" w:type="dxa"/>
            </w:tcMar>
            <w:vAlign w:val="center"/>
          </w:tcPr>
          <w:p>
            <w:pPr>
              <w:snapToGrid w:val="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660" w:type="dxa"/>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1185" w:type="dxa"/>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3825" w:type="dxa"/>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18"/>
                <w:szCs w:val="18"/>
                <w:highlight w:val="none"/>
              </w:rPr>
            </w:pPr>
          </w:p>
        </w:tc>
        <w:tc>
          <w:tcPr>
            <w:tcW w:w="3571" w:type="dxa"/>
            <w:noWrap w:val="0"/>
            <w:tcMar>
              <w:top w:w="113" w:type="dxa"/>
              <w:left w:w="113" w:type="dxa"/>
              <w:bottom w:w="113" w:type="dxa"/>
              <w:right w:w="113" w:type="dxa"/>
            </w:tcMar>
            <w:vAlign w:val="center"/>
          </w:tcPr>
          <w:p>
            <w:pPr>
              <w:snapToGrid w:val="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660" w:type="dxa"/>
            <w:tcBorders>
              <w:bottom w:val="single" w:color="auto" w:sz="4" w:space="0"/>
            </w:tcBorders>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1185" w:type="dxa"/>
            <w:tcBorders>
              <w:bottom w:val="single" w:color="auto" w:sz="4" w:space="0"/>
            </w:tcBorders>
            <w:noWrap w:val="0"/>
            <w:tcMar>
              <w:top w:w="113" w:type="dxa"/>
              <w:left w:w="113" w:type="dxa"/>
              <w:bottom w:w="113" w:type="dxa"/>
              <w:right w:w="113" w:type="dxa"/>
            </w:tcMar>
            <w:vAlign w:val="center"/>
          </w:tcPr>
          <w:p>
            <w:pPr>
              <w:snapToGrid w:val="0"/>
              <w:ind w:right="97"/>
              <w:jc w:val="center"/>
              <w:rPr>
                <w:rFonts w:hint="eastAsia" w:ascii="宋体" w:hAnsi="宋体" w:eastAsia="宋体" w:cs="宋体"/>
                <w:color w:val="auto"/>
                <w:sz w:val="18"/>
                <w:szCs w:val="18"/>
                <w:highlight w:val="none"/>
              </w:rPr>
            </w:pPr>
          </w:p>
        </w:tc>
        <w:tc>
          <w:tcPr>
            <w:tcW w:w="3825" w:type="dxa"/>
            <w:tcBorders>
              <w:bottom w:val="single" w:color="auto" w:sz="4" w:space="0"/>
            </w:tcBorders>
            <w:noWrap w:val="0"/>
            <w:tcMar>
              <w:top w:w="113" w:type="dxa"/>
              <w:left w:w="113" w:type="dxa"/>
              <w:bottom w:w="113" w:type="dxa"/>
              <w:right w:w="113" w:type="dxa"/>
            </w:tcMar>
            <w:vAlign w:val="center"/>
          </w:tcPr>
          <w:p>
            <w:pPr>
              <w:snapToGrid w:val="0"/>
              <w:jc w:val="center"/>
              <w:rPr>
                <w:rFonts w:hint="eastAsia" w:ascii="宋体" w:hAnsi="宋体" w:eastAsia="宋体" w:cs="宋体"/>
                <w:color w:val="auto"/>
                <w:sz w:val="18"/>
                <w:szCs w:val="18"/>
                <w:highlight w:val="none"/>
              </w:rPr>
            </w:pPr>
          </w:p>
        </w:tc>
        <w:tc>
          <w:tcPr>
            <w:tcW w:w="3571" w:type="dxa"/>
            <w:tcBorders>
              <w:bottom w:val="single" w:color="auto" w:sz="4" w:space="0"/>
            </w:tcBorders>
            <w:noWrap w:val="0"/>
            <w:tcMar>
              <w:top w:w="113" w:type="dxa"/>
              <w:left w:w="113" w:type="dxa"/>
              <w:bottom w:w="113" w:type="dxa"/>
              <w:right w:w="113" w:type="dxa"/>
            </w:tcMar>
            <w:vAlign w:val="center"/>
          </w:tcPr>
          <w:p>
            <w:pPr>
              <w:snapToGrid w:val="0"/>
              <w:rPr>
                <w:rFonts w:hint="eastAsia" w:ascii="宋体" w:hAnsi="宋体" w:eastAsia="宋体" w:cs="宋体"/>
                <w:color w:val="auto"/>
                <w:sz w:val="18"/>
                <w:szCs w:val="18"/>
                <w:highlight w:val="none"/>
              </w:rPr>
            </w:pPr>
          </w:p>
        </w:tc>
      </w:tr>
    </w:tbl>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1、本表填写的招标要求的顺序应与本招标文件第四部分中的</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相一致。</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货物主要部件情况表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2517"/>
        <w:gridCol w:w="1305"/>
        <w:gridCol w:w="129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20"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90"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517"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305" w:type="dxa"/>
            <w:noWrap w:val="0"/>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品牌</w:t>
            </w:r>
          </w:p>
        </w:tc>
        <w:tc>
          <w:tcPr>
            <w:tcW w:w="1290"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产地</w:t>
            </w:r>
          </w:p>
        </w:tc>
        <w:tc>
          <w:tcPr>
            <w:tcW w:w="1710"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所属货物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72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1</w:t>
            </w:r>
          </w:p>
        </w:tc>
        <w:tc>
          <w:tcPr>
            <w:tcW w:w="169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处理器</w:t>
            </w: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2</w:t>
            </w:r>
          </w:p>
        </w:tc>
        <w:tc>
          <w:tcPr>
            <w:tcW w:w="169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主板</w:t>
            </w: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3</w:t>
            </w:r>
          </w:p>
        </w:tc>
        <w:tc>
          <w:tcPr>
            <w:tcW w:w="169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内存</w:t>
            </w: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w:t>
            </w:r>
          </w:p>
        </w:tc>
        <w:tc>
          <w:tcPr>
            <w:tcW w:w="1690" w:type="dxa"/>
            <w:noWrap w:val="0"/>
            <w:vAlign w:val="center"/>
          </w:tcPr>
          <w:p>
            <w:pPr>
              <w:widowControl/>
              <w:snapToGrid w:val="0"/>
              <w:jc w:val="center"/>
              <w:rPr>
                <w:rFonts w:hint="eastAsia" w:ascii="宋体" w:hAnsi="宋体" w:eastAsia="宋体" w:cs="宋体"/>
                <w:color w:val="auto"/>
                <w:spacing w:val="20"/>
                <w:sz w:val="18"/>
                <w:szCs w:val="18"/>
                <w:highlight w:val="none"/>
              </w:rPr>
            </w:pPr>
            <w:r>
              <w:rPr>
                <w:rFonts w:hint="eastAsia" w:ascii="宋体" w:hAnsi="宋体" w:eastAsia="宋体" w:cs="宋体"/>
                <w:color w:val="auto"/>
                <w:sz w:val="18"/>
                <w:szCs w:val="18"/>
                <w:highlight w:val="none"/>
              </w:rPr>
              <w:t>…</w:t>
            </w: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6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6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6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2517"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305"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290" w:type="dxa"/>
            <w:noWrap w:val="0"/>
            <w:vAlign w:val="center"/>
          </w:tcPr>
          <w:p>
            <w:pPr>
              <w:snapToGrid w:val="0"/>
              <w:jc w:val="center"/>
              <w:rPr>
                <w:rFonts w:hint="eastAsia" w:ascii="宋体" w:hAnsi="宋体" w:eastAsia="宋体" w:cs="宋体"/>
                <w:color w:val="auto"/>
                <w:spacing w:val="20"/>
                <w:sz w:val="18"/>
                <w:szCs w:val="18"/>
                <w:highlight w:val="none"/>
              </w:rPr>
            </w:pPr>
          </w:p>
        </w:tc>
        <w:tc>
          <w:tcPr>
            <w:tcW w:w="1710" w:type="dxa"/>
            <w:noWrap w:val="0"/>
            <w:vAlign w:val="center"/>
          </w:tcPr>
          <w:p>
            <w:pPr>
              <w:snapToGrid w:val="0"/>
              <w:jc w:val="center"/>
              <w:rPr>
                <w:rFonts w:hint="eastAsia" w:ascii="宋体" w:hAnsi="宋体" w:eastAsia="宋体" w:cs="宋体"/>
                <w:color w:val="auto"/>
                <w:spacing w:val="20"/>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1、以上所列清单仅供参考，供应商可以此为基准，但并不限于以上内容。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3" w:hRule="atLeast"/>
        </w:trPr>
        <w:tc>
          <w:tcPr>
            <w:tcW w:w="9342" w:type="dxa"/>
            <w:gridSpan w:val="5"/>
            <w:noWrap w:val="0"/>
            <w:vAlign w:val="center"/>
          </w:tcPr>
          <w:p>
            <w:pPr>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1、拟派人员须是投标单位正式职工，以社保证明为准，如为</w:t>
      </w:r>
      <w:r>
        <w:rPr>
          <w:rFonts w:hint="eastAsia" w:ascii="宋体" w:hAnsi="宋体" w:eastAsia="宋体" w:cs="宋体"/>
          <w:color w:val="auto"/>
          <w:highlight w:val="none"/>
          <w:lang w:val="en-US" w:eastAsia="zh-CN"/>
        </w:rPr>
        <w:t>符合法律规定的</w:t>
      </w:r>
      <w:r>
        <w:rPr>
          <w:rFonts w:hint="eastAsia" w:ascii="宋体" w:hAnsi="宋体" w:eastAsia="宋体" w:cs="宋体"/>
          <w:color w:val="auto"/>
          <w:highlight w:val="none"/>
          <w:lang w:eastAsia="zh-CN"/>
        </w:rPr>
        <w:t>离退休返聘人员的，须提供退休证明及单位聘用证明。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表后</w:t>
      </w:r>
      <w:r>
        <w:rPr>
          <w:rFonts w:hint="eastAsia" w:ascii="宋体" w:hAnsi="宋体" w:eastAsia="宋体" w:cs="宋体"/>
          <w:color w:val="auto"/>
          <w:highlight w:val="none"/>
          <w:lang w:val="en-US" w:eastAsia="zh-CN"/>
        </w:rPr>
        <w:t>附拟派</w:t>
      </w:r>
      <w:r>
        <w:rPr>
          <w:rFonts w:hint="eastAsia" w:ascii="宋体" w:hAnsi="宋体" w:eastAsia="宋体" w:cs="宋体"/>
          <w:color w:val="auto"/>
          <w:highlight w:val="none"/>
          <w:lang w:eastAsia="zh-CN"/>
        </w:rPr>
        <w:t>人员的</w:t>
      </w:r>
      <w:r>
        <w:rPr>
          <w:rFonts w:hint="eastAsia" w:ascii="宋体" w:hAnsi="宋体" w:eastAsia="宋体" w:cs="宋体"/>
          <w:color w:val="auto"/>
          <w:highlight w:val="none"/>
          <w:lang w:val="en-US" w:eastAsia="zh-CN"/>
        </w:rPr>
        <w:t>社保</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lang w:val="en-US" w:eastAsia="zh-CN"/>
        </w:rPr>
        <w:t>或返聘人员证明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业绩证明、相关</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2853"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eastAsia="宋体" w:cs="宋体"/>
                <w:b/>
                <w:color w:val="auto"/>
                <w:kern w:val="0"/>
                <w:sz w:val="21"/>
                <w:szCs w:val="21"/>
                <w:highlight w:val="none"/>
              </w:rPr>
              <w:t>名称</w:t>
            </w:r>
          </w:p>
        </w:tc>
        <w:tc>
          <w:tcPr>
            <w:tcW w:w="1134"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eastAsia="宋体" w:cs="宋体"/>
                <w:b/>
                <w:color w:val="auto"/>
                <w:kern w:val="0"/>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285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84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417"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285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84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417"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285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84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417"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285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84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417"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285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843"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134"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c>
          <w:tcPr>
            <w:tcW w:w="1417" w:type="dxa"/>
            <w:shd w:val="clear" w:color="auto" w:fill="auto"/>
            <w:noWrap w:val="0"/>
            <w:vAlign w:val="center"/>
          </w:tcPr>
          <w:p>
            <w:pPr>
              <w:widowControl/>
              <w:jc w:val="center"/>
              <w:rPr>
                <w:rFonts w:hint="eastAsia" w:ascii="宋体" w:hAnsi="宋体" w:eastAsia="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1、提供符合本招标文件要求的类似项目业绩，表后附</w:t>
      </w:r>
      <w:r>
        <w:rPr>
          <w:rFonts w:hint="eastAsia" w:ascii="宋体" w:hAnsi="宋体" w:eastAsia="宋体" w:cs="宋体"/>
          <w:color w:val="auto"/>
          <w:highlight w:val="none"/>
          <w:lang w:val="en-US" w:eastAsia="zh-CN"/>
        </w:rPr>
        <w:t>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、以上内容必须是真实的，否则一经查实，按相关规定处理。</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投标产品取得节能环</w:t>
      </w:r>
      <w:r>
        <w:rPr>
          <w:rFonts w:hint="eastAsia" w:eastAsia="黑体"/>
          <w:color w:val="auto"/>
          <w:spacing w:val="20"/>
          <w:sz w:val="36"/>
          <w:szCs w:val="32"/>
          <w:highlight w:val="none"/>
          <w:lang w:val="en-US" w:eastAsia="zh-CN"/>
        </w:rPr>
        <w:t>保</w:t>
      </w:r>
      <w:r>
        <w:rPr>
          <w:rFonts w:hint="eastAsia" w:eastAsia="黑体"/>
          <w:color w:val="auto"/>
          <w:spacing w:val="20"/>
          <w:sz w:val="36"/>
          <w:szCs w:val="32"/>
          <w:highlight w:val="none"/>
        </w:rPr>
        <w:t>认证证书情况表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367"/>
        <w:gridCol w:w="856"/>
        <w:gridCol w:w="2564"/>
        <w:gridCol w:w="1665"/>
        <w:gridCol w:w="960"/>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制造商（生产者）名称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证书颁发机构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证书有效截止日期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证书扫描件（或网页截图）在投标文件对应页码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一、</w:t>
            </w:r>
            <w:r>
              <w:rPr>
                <w:rFonts w:hint="eastAsia" w:ascii="宋体" w:hAnsi="宋体" w:eastAsia="宋体" w:cs="宋体"/>
                <w:b/>
                <w:bCs/>
                <w:i w:val="0"/>
                <w:color w:val="auto"/>
                <w:sz w:val="21"/>
                <w:szCs w:val="21"/>
                <w:highlight w:val="none"/>
                <w:u w:val="none"/>
              </w:rPr>
              <w:t>节能产品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二、</w:t>
            </w:r>
            <w:r>
              <w:rPr>
                <w:rFonts w:hint="eastAsia" w:ascii="宋体" w:hAnsi="宋体" w:eastAsia="宋体" w:cs="宋体"/>
                <w:b/>
                <w:bCs/>
                <w:i w:val="0"/>
                <w:color w:val="auto"/>
                <w:sz w:val="21"/>
                <w:szCs w:val="21"/>
                <w:highlight w:val="none"/>
                <w:u w:val="none"/>
              </w:rPr>
              <w:t>环境标志产品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、根据现行政府采购政策</w:t>
      </w:r>
      <w:r>
        <w:rPr>
          <w:rFonts w:hint="eastAsia" w:ascii="宋体" w:hAnsi="宋体" w:cs="宋体"/>
          <w:color w:val="auto"/>
          <w:highlight w:val="none"/>
          <w:lang w:val="en-US" w:eastAsia="zh-CN"/>
        </w:rPr>
        <w:t>和</w:t>
      </w:r>
      <w:r>
        <w:rPr>
          <w:rFonts w:hint="eastAsia" w:ascii="宋体" w:hAnsi="宋体" w:eastAsia="宋体" w:cs="宋体"/>
          <w:color w:val="auto"/>
          <w:highlight w:val="none"/>
          <w:lang w:eastAsia="zh-CN"/>
        </w:rPr>
        <w:t>招标文件要求提供</w:t>
      </w:r>
      <w:r>
        <w:rPr>
          <w:rFonts w:hint="eastAsia" w:ascii="宋体" w:hAnsi="宋体" w:cs="宋体"/>
          <w:color w:val="auto"/>
          <w:highlight w:val="none"/>
          <w:lang w:val="en-US" w:eastAsia="zh-CN"/>
        </w:rPr>
        <w:t>投标</w:t>
      </w:r>
      <w:r>
        <w:rPr>
          <w:rFonts w:hint="eastAsia" w:ascii="宋体" w:hAnsi="宋体" w:eastAsia="宋体" w:cs="宋体"/>
          <w:color w:val="auto"/>
          <w:highlight w:val="none"/>
          <w:lang w:eastAsia="zh-CN"/>
        </w:rPr>
        <w:t>产品取得节能环保认证的证明材料，未提供的相关项目不得分。施行强制采购的节能产品，没有提供</w:t>
      </w:r>
      <w:r>
        <w:rPr>
          <w:rFonts w:hint="eastAsia" w:ascii="宋体" w:hAnsi="宋体" w:cs="宋体"/>
          <w:color w:val="auto"/>
          <w:highlight w:val="none"/>
          <w:lang w:val="en-US" w:eastAsia="zh-CN"/>
        </w:rPr>
        <w:t>节能</w:t>
      </w:r>
      <w:r>
        <w:rPr>
          <w:rFonts w:hint="eastAsia" w:ascii="宋体" w:hAnsi="宋体" w:eastAsia="宋体" w:cs="宋体"/>
          <w:color w:val="auto"/>
          <w:highlight w:val="none"/>
          <w:lang w:eastAsia="zh-CN"/>
        </w:rPr>
        <w:t>认证证明的</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投标无效。</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投标人名称（CA签章）：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13）</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14）</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5、中小企业声明函（见</w:t>
      </w:r>
      <w:r>
        <w:rPr>
          <w:rFonts w:hint="eastAsia" w:ascii="宋体" w:hAnsi="宋体"/>
          <w:color w:val="auto"/>
          <w:highlight w:val="none"/>
        </w:rPr>
        <w:t>格式</w:t>
      </w:r>
      <w:r>
        <w:rPr>
          <w:rFonts w:hint="eastAsia" w:ascii="宋体" w:hAnsi="宋体"/>
          <w:color w:val="auto"/>
          <w:highlight w:val="none"/>
          <w:lang w:val="en-US" w:eastAsia="zh-CN"/>
        </w:rPr>
        <w:t>15）（中小微企业提供）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6、残疾人福利性单位声明函（见</w:t>
      </w:r>
      <w:r>
        <w:rPr>
          <w:rFonts w:hint="eastAsia" w:ascii="宋体" w:hAnsi="宋体"/>
          <w:color w:val="auto"/>
          <w:highlight w:val="none"/>
        </w:rPr>
        <w:t>格式</w:t>
      </w:r>
      <w:r>
        <w:rPr>
          <w:rFonts w:hint="eastAsia" w:ascii="宋体" w:hAnsi="宋体"/>
          <w:color w:val="auto"/>
          <w:highlight w:val="none"/>
          <w:lang w:val="en-US" w:eastAsia="zh-CN"/>
        </w:rPr>
        <w:t>16）（残疾人福利性单位提供）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7、监狱企业证明文件（</w:t>
      </w:r>
      <w:r>
        <w:rPr>
          <w:rFonts w:hint="eastAsia" w:ascii="宋体" w:hAnsi="宋体"/>
          <w:color w:val="auto"/>
          <w:highlight w:val="none"/>
        </w:rPr>
        <w:t>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r>
        <w:rPr>
          <w:rFonts w:hint="eastAsia" w:ascii="宋体" w:hAnsi="宋体"/>
          <w:color w:val="auto"/>
          <w:highlight w:val="none"/>
          <w:lang w:val="en-US" w:eastAsia="zh-CN"/>
        </w:rPr>
        <w:t>）（监狱企业提供）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8、投标人认为需要提供的其他材料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新碶高级中学台式计算机</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BLZFCG2025026</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新碶高级中学台式计算机</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946" w:type="dxa"/>
            <w:gridSpan w:val="3"/>
            <w:shd w:val="clear" w:color="auto" w:fill="auto"/>
            <w:noWrap w:val="0"/>
            <w:tcMar>
              <w:top w:w="170" w:type="dxa"/>
              <w:bottom w:w="170" w:type="dxa"/>
            </w:tcMar>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投标人说明：</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投标人是否为符合要求的小微企业：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投标人是否为符合要求的监狱企业：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 xml:space="preserve">投标人是否为符合要求的残疾人福利性单位：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新碶高级中学台式计算机</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BLZFCG2025026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268"/>
        <w:gridCol w:w="851"/>
        <w:gridCol w:w="850"/>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17"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1"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268"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品牌、规格及型号</w:t>
            </w:r>
          </w:p>
        </w:tc>
        <w:tc>
          <w:tcPr>
            <w:tcW w:w="851" w:type="dxa"/>
            <w:noWrap w:val="0"/>
            <w:vAlign w:val="center"/>
          </w:tcPr>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850" w:type="dxa"/>
            <w:noWrap w:val="0"/>
            <w:vAlign w:val="center"/>
          </w:tcPr>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18" w:type="dxa"/>
            <w:noWrap w:val="0"/>
            <w:vAlign w:val="center"/>
          </w:tcPr>
          <w:p>
            <w:pPr>
              <w:snapToGrid w:val="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单价</w:t>
            </w:r>
          </w:p>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18"/>
                <w:szCs w:val="18"/>
                <w:highlight w:val="none"/>
              </w:rPr>
              <w:t>(元/单位)</w:t>
            </w:r>
          </w:p>
        </w:tc>
        <w:tc>
          <w:tcPr>
            <w:tcW w:w="1275" w:type="dxa"/>
            <w:noWrap w:val="0"/>
            <w:vAlign w:val="center"/>
          </w:tcPr>
          <w:p>
            <w:pPr>
              <w:snapToGrid w:val="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总价</w:t>
            </w:r>
          </w:p>
          <w:p>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518" w:type="dxa"/>
            <w:gridSpan w:val="2"/>
            <w:vMerge w:val="restart"/>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投标总价（元）</w:t>
            </w: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518" w:type="dxa"/>
            <w:gridSpan w:val="2"/>
            <w:vMerge w:val="continue"/>
            <w:noWrap w:val="0"/>
            <w:vAlign w:val="center"/>
          </w:tcPr>
          <w:p>
            <w:pPr>
              <w:rPr>
                <w:rFonts w:hint="eastAsia" w:ascii="宋体" w:hAnsi="宋体" w:eastAsia="宋体" w:cs="宋体"/>
                <w:b/>
                <w:color w:val="auto"/>
                <w:sz w:val="21"/>
                <w:szCs w:val="21"/>
                <w:highlight w:val="none"/>
              </w:rPr>
            </w:pP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部分中的采购清单相一致。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2、本表格的“投标总价”应与开标一览表的“投标总价”一致。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w:t>
      </w:r>
      <w:r>
        <w:rPr>
          <w:rFonts w:hint="eastAsia" w:ascii="宋体" w:hAnsi="宋体" w:eastAsia="宋体" w:cs="宋体"/>
          <w:color w:val="auto"/>
          <w:highlight w:val="none"/>
          <w:lang w:eastAsia="zh-CN"/>
        </w:rPr>
        <w:t>管理办法》（财库[2020]46号）的规定，本公司参加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w:t>
      </w:r>
      <w:r>
        <w:rPr>
          <w:rFonts w:hint="eastAsia" w:ascii="宋体" w:hAnsi="宋体" w:cs="宋体"/>
          <w:color w:val="auto"/>
          <w:highlight w:val="none"/>
          <w:lang w:val="en-US" w:eastAsia="zh-CN"/>
        </w:rPr>
        <w:t>由同一制造商生产的货物，允许合并列出。</w:t>
      </w:r>
      <w:r>
        <w:rPr>
          <w:rFonts w:hint="eastAsia" w:ascii="宋体" w:hAnsi="宋体" w:cs="宋体"/>
          <w:color w:val="auto"/>
          <w:highlight w:val="none"/>
          <w:lang w:val="en-US" w:eastAsia="zh-CN"/>
        </w:rPr>
        <w:t>对于采购清单中涉及到的辅材（如电线、线管、配件等）、利旧产品、非货物类（如施工、安装、</w:t>
      </w:r>
      <w:r>
        <w:rPr>
          <w:rFonts w:hint="eastAsia" w:ascii="宋体" w:hAnsi="宋体" w:cs="宋体"/>
          <w:color w:val="auto"/>
          <w:highlight w:val="none"/>
          <w:lang w:val="en-US" w:eastAsia="zh-CN"/>
        </w:rPr>
        <w:t>拆除、</w:t>
      </w:r>
      <w:r>
        <w:rPr>
          <w:rFonts w:hint="eastAsia" w:ascii="宋体" w:hAnsi="宋体" w:cs="宋体"/>
          <w:color w:val="auto"/>
          <w:highlight w:val="none"/>
          <w:lang w:val="en-US" w:eastAsia="zh-CN"/>
        </w:rPr>
        <w:t>调试、租赁、运维等）的项目，可以不列出相关企业的具体情况。</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7"/>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16-1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w:t>
      </w:r>
      <w:r>
        <w:rPr>
          <w:rFonts w:hint="eastAsia" w:ascii="宋体" w:hAnsi="宋体" w:eastAsia="宋体" w:cs="宋体"/>
          <w:color w:val="auto"/>
          <w:szCs w:val="21"/>
          <w:highlight w:val="none"/>
        </w:rPr>
        <w:t>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w:t>
      </w:r>
      <w:r>
        <w:rPr>
          <w:rFonts w:hint="eastAsia" w:ascii="宋体" w:hAnsi="宋体" w:eastAsia="宋体" w:cs="宋体"/>
          <w:color w:val="auto"/>
          <w:highlight w:val="none"/>
          <w:lang w:eastAsia="zh-CN"/>
        </w:rPr>
        <w:t>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在本次政府采购活动中，残疾人福利性单位视同小型、微型企业，享受评审中价格扣除等促进中小企业发展的政府采购政策。残疾人福利性单位属于小型、微型企业的，不重复享受政策。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4、提交残疾人福利性单位声明函享受评审价格扣除优惠并中标的，内容随中标公告一同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16-2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rPr>
        <w:t>技术商务文件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w:t>
      </w:r>
      <w:r>
        <w:rPr>
          <w:rFonts w:hint="eastAsia" w:ascii="宋体" w:hAnsi="宋体" w:eastAsia="宋体" w:cs="宋体"/>
          <w:color w:val="auto"/>
          <w:highlight w:val="none"/>
        </w:rPr>
        <w:t>（具体见本部分评分标准表）</w:t>
      </w:r>
      <w:r>
        <w:rPr>
          <w:rFonts w:hint="eastAsia" w:ascii="宋体" w:hAnsi="宋体" w:eastAsia="宋体" w:cs="宋体"/>
          <w:color w:val="auto"/>
          <w:highlight w:val="none"/>
        </w:rPr>
        <w:t>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w:t>
      </w:r>
      <w:r>
        <w:rPr>
          <w:rFonts w:hint="eastAsia" w:ascii="宋体" w:hAnsi="宋体" w:eastAsia="宋体" w:cs="宋体"/>
          <w:color w:val="auto"/>
          <w:highlight w:val="none"/>
        </w:rPr>
        <w:t>。</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w:t>
      </w:r>
      <w:r>
        <w:rPr>
          <w:rFonts w:hint="eastAsia" w:ascii="宋体" w:hAnsi="宋体" w:eastAsia="宋体" w:cs="宋体"/>
          <w:color w:val="auto"/>
          <w:highlight w:val="none"/>
        </w:rPr>
        <w:t>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4.4评审结果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eastAsia="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宋体"/>
          <w:color w:val="auto"/>
          <w:sz w:val="21"/>
          <w:szCs w:val="21"/>
          <w:highlight w:val="none"/>
          <w:lang w:val="en-US" w:eastAsia="zh-CN"/>
        </w:rPr>
        <w:t>评分标准表1-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b w:val="0"/>
          <w:bCs w:val="0"/>
          <w:color w:val="auto"/>
          <w:sz w:val="21"/>
          <w:szCs w:val="21"/>
          <w:highlight w:val="none"/>
        </w:rPr>
      </w:pPr>
    </w:p>
    <w:p>
      <w:pPr>
        <w:spacing w:line="360" w:lineRule="auto"/>
        <w:rPr>
          <w:rFonts w:hint="eastAsia" w:ascii="宋体" w:hAnsi="宋体" w:eastAsia="宋体" w:cs="宋体"/>
          <w:b w:val="0"/>
          <w:bCs w:val="0"/>
          <w:color w:val="auto"/>
          <w:sz w:val="21"/>
          <w:szCs w:val="21"/>
          <w:highlight w:val="none"/>
        </w:rPr>
      </w:pPr>
    </w:p>
    <w:p>
      <w:pPr>
        <w:spacing w:line="360" w:lineRule="auto"/>
        <w:ind w:left="0" w:firstLine="0"/>
        <w:jc w:val="left"/>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br w:type="page"/>
      </w:r>
      <w:r>
        <w:rPr>
          <w:rFonts w:hint="eastAsia" w:ascii="宋体" w:hAnsi="宋体" w:eastAsia="宋体" w:cs="宋体"/>
          <w:b/>
          <w:bCs/>
          <w:color w:val="auto"/>
          <w:sz w:val="21"/>
          <w:highlight w:val="none"/>
        </w:rPr>
        <w:t>附：</w:t>
      </w:r>
    </w:p>
    <w:p>
      <w:pPr>
        <w:adjustRightInd w:val="0"/>
        <w:snapToGrid w:val="0"/>
        <w:spacing w:before="156" w:beforeLines="50" w:after="156"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评分标准表</w:t>
      </w:r>
    </w:p>
    <w:tbl>
      <w:tblPr>
        <w:tblStyle w:val="8"/>
        <w:tblW w:w="950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9"/>
        <w:gridCol w:w="1337"/>
        <w:gridCol w:w="5985"/>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94"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10" w:hRule="atLeast"/>
          <w:tblHead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zh-CN"/>
              </w:rPr>
              <w:t>指标响应情况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根据对采购清单中技术参数的响应情况进行评审。</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完全响应各项指标的，得</w:t>
            </w:r>
            <w:r>
              <w:rPr>
                <w:rFonts w:hint="eastAsia" w:ascii="宋体" w:hAnsi="宋体" w:cs="宋体"/>
                <w:b w:val="0"/>
                <w:bCs w:val="0"/>
                <w:color w:val="auto"/>
                <w:sz w:val="21"/>
                <w:szCs w:val="21"/>
                <w:highlight w:val="none"/>
                <w:lang w:val="en-US" w:eastAsia="zh-CN"/>
              </w:rPr>
              <w:t>36</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标▲的指标（如有）不得负偏离，否则投标无效；</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标★的指标（如有）每有1项负偏离扣</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一般指标每有1项负偏离扣0.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当扣减至0分或以下时作无效标处理。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36</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性能稳定性</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评标委员会对投标产品的稳定性进行评议</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匹配性高，性能稳定性</w:t>
            </w:r>
            <w:r>
              <w:rPr>
                <w:rFonts w:hint="eastAsia" w:ascii="宋体" w:hAnsi="宋体" w:eastAsia="宋体" w:cs="宋体"/>
                <w:color w:val="auto"/>
                <w:sz w:val="21"/>
                <w:szCs w:val="21"/>
                <w:highlight w:val="none"/>
                <w:lang w:val="en-US" w:eastAsia="zh-CN"/>
              </w:rPr>
              <w:t>达到或</w:t>
            </w:r>
            <w:r>
              <w:rPr>
                <w:rFonts w:hint="eastAsia" w:ascii="宋体" w:hAnsi="宋体" w:eastAsia="宋体" w:cs="宋体"/>
                <w:color w:val="auto"/>
                <w:sz w:val="21"/>
                <w:szCs w:val="21"/>
                <w:highlight w:val="none"/>
              </w:rPr>
              <w:t>优于招标需求的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匹配性一般，性能稳定性与招标需求基本一致的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匹配性差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性能稳定性无法满足招标需求的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得1分；</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根据提供的供货方案、安装</w:t>
            </w:r>
            <w:r>
              <w:rPr>
                <w:rFonts w:hint="eastAsia" w:ascii="宋体" w:hAnsi="宋体" w:cs="宋体"/>
                <w:b w:val="0"/>
                <w:bCs w:val="0"/>
                <w:color w:val="auto"/>
                <w:sz w:val="21"/>
                <w:szCs w:val="21"/>
                <w:highlight w:val="none"/>
                <w:lang w:val="en-US" w:eastAsia="zh-CN"/>
              </w:rPr>
              <w:t>调试</w:t>
            </w:r>
            <w:r>
              <w:rPr>
                <w:rFonts w:hint="eastAsia" w:ascii="宋体" w:hAnsi="宋体" w:eastAsia="宋体" w:cs="宋体"/>
                <w:b w:val="0"/>
                <w:bCs w:val="0"/>
                <w:color w:val="auto"/>
                <w:sz w:val="21"/>
                <w:szCs w:val="21"/>
                <w:highlight w:val="none"/>
              </w:rPr>
              <w:t>、人员安排、进度计划、保障措施等情况进行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方案完整阐述详细、能够保障项目顺利实施的，得5分；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方案较为完整全面、可保障项目顺利实施的，得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方案有明显缺失，可能影响项目顺利实施的，得1分；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质量保证和售后服务方案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根据提供的质量保证</w:t>
            </w:r>
            <w:r>
              <w:rPr>
                <w:rFonts w:hint="eastAsia" w:ascii="宋体" w:hAnsi="宋体" w:cs="宋体"/>
                <w:b w:val="0"/>
                <w:bCs w:val="0"/>
                <w:color w:val="auto"/>
                <w:sz w:val="21"/>
                <w:szCs w:val="21"/>
                <w:highlight w:val="none"/>
                <w:lang w:val="en-US" w:eastAsia="zh-CN"/>
              </w:rPr>
              <w:t>措施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验收方案</w:t>
            </w:r>
            <w:r>
              <w:rPr>
                <w:rFonts w:hint="eastAsia" w:ascii="宋体" w:hAnsi="宋体" w:eastAsia="宋体" w:cs="宋体"/>
                <w:b w:val="0"/>
                <w:bCs w:val="0"/>
                <w:color w:val="auto"/>
                <w:sz w:val="21"/>
                <w:szCs w:val="21"/>
                <w:highlight w:val="none"/>
              </w:rPr>
              <w:t>、售后服务方案、售后服务响应</w:t>
            </w:r>
            <w:r>
              <w:rPr>
                <w:rFonts w:hint="eastAsia" w:ascii="宋体" w:hAnsi="宋体" w:cs="宋体"/>
                <w:b w:val="0"/>
                <w:bCs w:val="0"/>
                <w:color w:val="auto"/>
                <w:sz w:val="21"/>
                <w:szCs w:val="21"/>
                <w:highlight w:val="none"/>
                <w:lang w:val="en-US" w:eastAsia="zh-CN"/>
              </w:rPr>
              <w:t>时间</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rPr>
              <w:t>技术支持</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售后服务机构设置</w:t>
            </w:r>
            <w:r>
              <w:rPr>
                <w:rFonts w:hint="eastAsia" w:ascii="宋体" w:hAnsi="宋体" w:cs="宋体"/>
                <w:color w:val="auto"/>
                <w:kern w:val="0"/>
                <w:szCs w:val="21"/>
                <w:highlight w:val="none"/>
                <w:lang w:val="en-US" w:eastAsia="zh-CN"/>
              </w:rPr>
              <w:t>等</w:t>
            </w:r>
            <w:r>
              <w:rPr>
                <w:rFonts w:hint="eastAsia" w:ascii="宋体" w:hAnsi="宋体" w:eastAsia="宋体" w:cs="宋体"/>
                <w:b w:val="0"/>
                <w:bCs w:val="0"/>
                <w:color w:val="auto"/>
                <w:sz w:val="21"/>
                <w:szCs w:val="21"/>
                <w:highlight w:val="none"/>
                <w:lang w:val="zh-CN"/>
              </w:rPr>
              <w:t>情况</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方案完全满足采购需求，服务体系完善、响应及时、服务保障措施到位的，得5分；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方案能较好的满足采购需求，服务措施及承诺中存在细小不足的，得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方案部分满足采购需求，服务承诺不完整、或有比较明显不合理之处的，得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培训方案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根据提供的培训方案进行评审，包含但不限于以下</w:t>
            </w:r>
            <w:r>
              <w:rPr>
                <w:rFonts w:hint="eastAsia" w:ascii="宋体" w:hAnsi="宋体" w:cs="宋体"/>
                <w:b w:val="0"/>
                <w:bCs w:val="0"/>
                <w:color w:val="auto"/>
                <w:sz w:val="21"/>
                <w:szCs w:val="21"/>
                <w:highlight w:val="none"/>
                <w:lang w:val="en-US" w:eastAsia="zh-CN"/>
              </w:rPr>
              <w:t>内容</w:t>
            </w:r>
            <w:r>
              <w:rPr>
                <w:rFonts w:hint="eastAsia" w:ascii="宋体" w:hAnsi="宋体" w:eastAsia="宋体" w:cs="宋体"/>
                <w:b w:val="0"/>
                <w:bCs w:val="0"/>
                <w:color w:val="auto"/>
                <w:sz w:val="21"/>
                <w:szCs w:val="21"/>
                <w:highlight w:val="none"/>
              </w:rPr>
              <w:t>：①负责培训的人员</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②培训内容；③培训时间。</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Cs w:val="21"/>
                <w:highlight w:val="none"/>
              </w:rPr>
              <w:t>评分范围：</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 w:val="21"/>
                <w:szCs w:val="21"/>
                <w:highlight w:val="none"/>
              </w:rPr>
              <w:t>质保期在满足招标文件要求的基础上，每增加一年得1分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最多得2分。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w:t>
            </w:r>
            <w:r>
              <w:rPr>
                <w:rFonts w:hint="eastAsia" w:ascii="宋体" w:hAnsi="宋体" w:eastAsia="宋体" w:cs="宋体"/>
                <w:b w:val="0"/>
                <w:bCs w:val="0"/>
                <w:color w:val="auto"/>
                <w:sz w:val="21"/>
                <w:szCs w:val="21"/>
                <w:highlight w:val="none"/>
                <w:lang w:val="en-US" w:eastAsia="zh-CN"/>
              </w:rPr>
              <w:t>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7</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投标人最近三年</w:t>
            </w:r>
            <w:r>
              <w:rPr>
                <w:rFonts w:hint="eastAsia" w:ascii="宋体" w:hAnsi="宋体" w:eastAsia="宋体" w:cs="宋体"/>
                <w:color w:val="auto"/>
                <w:sz w:val="21"/>
                <w:szCs w:val="21"/>
                <w:highlight w:val="none"/>
              </w:rPr>
              <w:t>（时间计算以投标截止时间和合同签订时间为准）</w:t>
            </w:r>
            <w:r>
              <w:rPr>
                <w:rFonts w:hint="eastAsia" w:ascii="宋体" w:hAnsi="宋体" w:eastAsia="宋体" w:cs="宋体"/>
                <w:b w:val="0"/>
                <w:bCs w:val="0"/>
                <w:color w:val="auto"/>
                <w:sz w:val="21"/>
                <w:szCs w:val="21"/>
                <w:highlight w:val="none"/>
              </w:rPr>
              <w:t>以来成功实施的同类项目的业绩或案例证明。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投标人每提供一个类似业绩的证明材料，得1分，本项最高得3分。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类似业绩认定标准：</w:t>
            </w:r>
            <w:r>
              <w:rPr>
                <w:rFonts w:hint="eastAsia" w:ascii="宋体" w:hAnsi="宋体" w:eastAsia="宋体" w:cs="宋体"/>
                <w:b w:val="0"/>
                <w:bCs w:val="0"/>
                <w:color w:val="auto"/>
                <w:sz w:val="21"/>
                <w:szCs w:val="21"/>
                <w:highlight w:val="none"/>
                <w:lang w:val="en-US" w:eastAsia="zh-CN"/>
              </w:rPr>
              <w:t>①供货</w:t>
            </w:r>
            <w:r>
              <w:rPr>
                <w:rFonts w:hint="eastAsia" w:ascii="宋体" w:hAnsi="宋体" w:eastAsia="宋体" w:cs="宋体"/>
                <w:b w:val="0"/>
                <w:bCs w:val="0"/>
                <w:color w:val="auto"/>
                <w:sz w:val="21"/>
                <w:szCs w:val="21"/>
                <w:highlight w:val="none"/>
              </w:rPr>
              <w:t>内容与本次采购类似，并在合同或合同清单等附件资料中能体现。</w:t>
            </w:r>
            <w:r>
              <w:rPr>
                <w:rFonts w:hint="eastAsia" w:ascii="宋体" w:hAnsi="宋体" w:eastAsia="宋体" w:cs="宋体"/>
                <w:b w:val="0"/>
                <w:bCs w:val="0"/>
                <w:color w:val="auto"/>
                <w:sz w:val="21"/>
                <w:szCs w:val="21"/>
                <w:highlight w:val="none"/>
                <w:lang w:val="en-US" w:eastAsia="zh-CN"/>
              </w:rPr>
              <w:t>②同一个采购单位，签订多个合同的，按1个业绩计算。</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在投标文件中提供合同</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的原件彩色扫描件，合同和验收证明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缺一不可，否则不得分。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节能环保</w:t>
            </w: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且取得认证证书的（强制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产品除外），每提供一个得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环境标志产品政府采购品目清单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中标“★”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为政府强制采购产品，施行强制采购政策。</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10" w:hRule="atLeast"/>
          <w:tblHead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268"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8792"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参与评审的价格＝有效投标报价－</w:t>
            </w:r>
            <w:r>
              <w:rPr>
                <w:rFonts w:hint="eastAsia" w:ascii="宋体" w:hAnsi="宋体" w:eastAsia="宋体" w:cs="宋体"/>
                <w:color w:val="auto"/>
                <w:sz w:val="21"/>
                <w:szCs w:val="21"/>
                <w:highlight w:val="none"/>
              </w:rPr>
              <w:t>小微企业有效投标报价×</w:t>
            </w:r>
            <w:r>
              <w:rPr>
                <w:rFonts w:hint="eastAsia" w:ascii="宋体" w:hAnsi="宋体" w:cs="宋体"/>
                <w:color w:val="auto"/>
                <w:sz w:val="21"/>
                <w:szCs w:val="21"/>
                <w:highlight w:val="none"/>
                <w:lang w:val="en-US" w:eastAsia="zh-CN"/>
              </w:rPr>
              <w:t>10%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bookmarkEnd w:id="4"/>
    <w:sectPr>
      <w:pgSz w:w="11906" w:h="16838"/>
      <w:pgMar w:top="1474" w:right="1474" w:bottom="1417" w:left="1588"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ascii="宋体" w:hAnsi="宋体" w:eastAsia="宋体"/>
        <w:lang w:eastAsia="zh-CN"/>
      </w:rPr>
    </w:pPr>
    <w:r>
      <w:rPr>
        <w:rFonts w:hint="eastAsia" w:ascii="宋体" w:hAnsi="宋体"/>
      </w:rPr>
      <w:t>项目名称：</w:t>
    </w:r>
    <w:r>
      <w:rPr>
        <w:rFonts w:hint="eastAsia" w:ascii="宋体" w:hAnsi="宋体"/>
        <w:lang w:eastAsia="zh-CN"/>
      </w:rPr>
      <w:t>新碶高级中学台式计算机</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BLZFCG2025026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1C60F1"/>
    <w:rsid w:val="002613EB"/>
    <w:rsid w:val="002878C2"/>
    <w:rsid w:val="002C0E4C"/>
    <w:rsid w:val="003A4272"/>
    <w:rsid w:val="00497742"/>
    <w:rsid w:val="004C193B"/>
    <w:rsid w:val="005700E9"/>
    <w:rsid w:val="006A2BBF"/>
    <w:rsid w:val="006F4EA6"/>
    <w:rsid w:val="0070020E"/>
    <w:rsid w:val="00705EB9"/>
    <w:rsid w:val="00723F96"/>
    <w:rsid w:val="007F2A6F"/>
    <w:rsid w:val="00871EA8"/>
    <w:rsid w:val="00895663"/>
    <w:rsid w:val="00961685"/>
    <w:rsid w:val="00970FAA"/>
    <w:rsid w:val="00990DA2"/>
    <w:rsid w:val="009B1388"/>
    <w:rsid w:val="00A30CB3"/>
    <w:rsid w:val="00A4772F"/>
    <w:rsid w:val="00AA573D"/>
    <w:rsid w:val="00B728A5"/>
    <w:rsid w:val="00BB26DA"/>
    <w:rsid w:val="00BF693D"/>
    <w:rsid w:val="00CC07EC"/>
    <w:rsid w:val="00CC1E09"/>
    <w:rsid w:val="00CE7AF8"/>
    <w:rsid w:val="00D15AA5"/>
    <w:rsid w:val="00D3461D"/>
    <w:rsid w:val="00D50E3B"/>
    <w:rsid w:val="00E46C55"/>
    <w:rsid w:val="00E60A37"/>
    <w:rsid w:val="00EC7A99"/>
    <w:rsid w:val="00F21B99"/>
    <w:rsid w:val="00F400A7"/>
    <w:rsid w:val="00F4016E"/>
    <w:rsid w:val="011563D1"/>
    <w:rsid w:val="01302C0B"/>
    <w:rsid w:val="013A4489"/>
    <w:rsid w:val="01425064"/>
    <w:rsid w:val="01456911"/>
    <w:rsid w:val="01664C41"/>
    <w:rsid w:val="016F7944"/>
    <w:rsid w:val="018E3217"/>
    <w:rsid w:val="019C6C58"/>
    <w:rsid w:val="01A53386"/>
    <w:rsid w:val="01AD4D54"/>
    <w:rsid w:val="01B933AA"/>
    <w:rsid w:val="01C76819"/>
    <w:rsid w:val="01DC7DFF"/>
    <w:rsid w:val="01E205D0"/>
    <w:rsid w:val="02821B99"/>
    <w:rsid w:val="029047B6"/>
    <w:rsid w:val="02B25259"/>
    <w:rsid w:val="02D6293B"/>
    <w:rsid w:val="02F20EAD"/>
    <w:rsid w:val="02FA24BF"/>
    <w:rsid w:val="03016BFF"/>
    <w:rsid w:val="03063854"/>
    <w:rsid w:val="03163D9C"/>
    <w:rsid w:val="03546262"/>
    <w:rsid w:val="03624EB1"/>
    <w:rsid w:val="037B577A"/>
    <w:rsid w:val="039C5690"/>
    <w:rsid w:val="03A357FE"/>
    <w:rsid w:val="03B9274B"/>
    <w:rsid w:val="03CE2F21"/>
    <w:rsid w:val="03D121EE"/>
    <w:rsid w:val="03E80B47"/>
    <w:rsid w:val="03EB55EB"/>
    <w:rsid w:val="03FA3367"/>
    <w:rsid w:val="03FE27DD"/>
    <w:rsid w:val="041470E0"/>
    <w:rsid w:val="04186E2D"/>
    <w:rsid w:val="041A583C"/>
    <w:rsid w:val="04307528"/>
    <w:rsid w:val="043F5274"/>
    <w:rsid w:val="04463B66"/>
    <w:rsid w:val="04484C31"/>
    <w:rsid w:val="045446B6"/>
    <w:rsid w:val="045E276A"/>
    <w:rsid w:val="04756809"/>
    <w:rsid w:val="047B0A3C"/>
    <w:rsid w:val="04893842"/>
    <w:rsid w:val="04A35D03"/>
    <w:rsid w:val="04B20E2A"/>
    <w:rsid w:val="04C07991"/>
    <w:rsid w:val="04C6192C"/>
    <w:rsid w:val="04D17CC9"/>
    <w:rsid w:val="04D7530F"/>
    <w:rsid w:val="04DE679D"/>
    <w:rsid w:val="04EB5C24"/>
    <w:rsid w:val="0509588F"/>
    <w:rsid w:val="05102512"/>
    <w:rsid w:val="051F7FD1"/>
    <w:rsid w:val="052B5434"/>
    <w:rsid w:val="052D0681"/>
    <w:rsid w:val="052F28DF"/>
    <w:rsid w:val="05330BB1"/>
    <w:rsid w:val="053B4994"/>
    <w:rsid w:val="053C4E76"/>
    <w:rsid w:val="05544863"/>
    <w:rsid w:val="05650F6C"/>
    <w:rsid w:val="056E6B3B"/>
    <w:rsid w:val="057C779D"/>
    <w:rsid w:val="05957C4B"/>
    <w:rsid w:val="05B03ACD"/>
    <w:rsid w:val="05B97257"/>
    <w:rsid w:val="05CD7AD2"/>
    <w:rsid w:val="05D167B1"/>
    <w:rsid w:val="05D3507C"/>
    <w:rsid w:val="060C1C39"/>
    <w:rsid w:val="060E3E53"/>
    <w:rsid w:val="061936E2"/>
    <w:rsid w:val="061B1669"/>
    <w:rsid w:val="06253790"/>
    <w:rsid w:val="06260C01"/>
    <w:rsid w:val="062F7FFA"/>
    <w:rsid w:val="063A520D"/>
    <w:rsid w:val="065756D3"/>
    <w:rsid w:val="066A0AA1"/>
    <w:rsid w:val="066D1330"/>
    <w:rsid w:val="06833C80"/>
    <w:rsid w:val="06941A0B"/>
    <w:rsid w:val="06A649D5"/>
    <w:rsid w:val="06AC28F0"/>
    <w:rsid w:val="06BC3FB6"/>
    <w:rsid w:val="06BF37EF"/>
    <w:rsid w:val="06C53B94"/>
    <w:rsid w:val="06D32A2E"/>
    <w:rsid w:val="06D57221"/>
    <w:rsid w:val="06E96117"/>
    <w:rsid w:val="06E96B6D"/>
    <w:rsid w:val="06EA36AB"/>
    <w:rsid w:val="07017F29"/>
    <w:rsid w:val="070E00D4"/>
    <w:rsid w:val="0716341E"/>
    <w:rsid w:val="071A07EA"/>
    <w:rsid w:val="071C5C13"/>
    <w:rsid w:val="071F35FD"/>
    <w:rsid w:val="0740342C"/>
    <w:rsid w:val="07493606"/>
    <w:rsid w:val="07527784"/>
    <w:rsid w:val="077D4558"/>
    <w:rsid w:val="07850A0F"/>
    <w:rsid w:val="078B0EF2"/>
    <w:rsid w:val="07915B3B"/>
    <w:rsid w:val="07A546C1"/>
    <w:rsid w:val="07AC5381"/>
    <w:rsid w:val="07DF5AEC"/>
    <w:rsid w:val="07E454F7"/>
    <w:rsid w:val="07ED1696"/>
    <w:rsid w:val="08180872"/>
    <w:rsid w:val="08456A08"/>
    <w:rsid w:val="08734EB1"/>
    <w:rsid w:val="08AB620D"/>
    <w:rsid w:val="08DE1650"/>
    <w:rsid w:val="08F3614A"/>
    <w:rsid w:val="08FA572A"/>
    <w:rsid w:val="090D0587"/>
    <w:rsid w:val="091366CE"/>
    <w:rsid w:val="09194912"/>
    <w:rsid w:val="092B5815"/>
    <w:rsid w:val="092D3612"/>
    <w:rsid w:val="093F5D0F"/>
    <w:rsid w:val="095B5504"/>
    <w:rsid w:val="095D5FD7"/>
    <w:rsid w:val="0969543E"/>
    <w:rsid w:val="0992460A"/>
    <w:rsid w:val="09976256"/>
    <w:rsid w:val="0998347A"/>
    <w:rsid w:val="09A2678E"/>
    <w:rsid w:val="09BE54EE"/>
    <w:rsid w:val="09C56C24"/>
    <w:rsid w:val="09D556DB"/>
    <w:rsid w:val="09D71826"/>
    <w:rsid w:val="09E6166C"/>
    <w:rsid w:val="0A16777A"/>
    <w:rsid w:val="0A347FCD"/>
    <w:rsid w:val="0A70511D"/>
    <w:rsid w:val="0A7F13C6"/>
    <w:rsid w:val="0A83128A"/>
    <w:rsid w:val="0A8E0967"/>
    <w:rsid w:val="0A9342E4"/>
    <w:rsid w:val="0A9A08CD"/>
    <w:rsid w:val="0A9C5906"/>
    <w:rsid w:val="0AA32829"/>
    <w:rsid w:val="0ACA711F"/>
    <w:rsid w:val="0ADD1CA5"/>
    <w:rsid w:val="0AFF3E15"/>
    <w:rsid w:val="0B0C319B"/>
    <w:rsid w:val="0B210FFB"/>
    <w:rsid w:val="0B4534CD"/>
    <w:rsid w:val="0B4C0DCA"/>
    <w:rsid w:val="0B672468"/>
    <w:rsid w:val="0B833327"/>
    <w:rsid w:val="0B9119E9"/>
    <w:rsid w:val="0BA60420"/>
    <w:rsid w:val="0BAC4891"/>
    <w:rsid w:val="0BBB1546"/>
    <w:rsid w:val="0BBF0E37"/>
    <w:rsid w:val="0BE8747A"/>
    <w:rsid w:val="0BE915EF"/>
    <w:rsid w:val="0BEF6E22"/>
    <w:rsid w:val="0BF846D0"/>
    <w:rsid w:val="0C0A4350"/>
    <w:rsid w:val="0C0A6A43"/>
    <w:rsid w:val="0C144DAD"/>
    <w:rsid w:val="0C242520"/>
    <w:rsid w:val="0C5A727A"/>
    <w:rsid w:val="0C712BCE"/>
    <w:rsid w:val="0C812790"/>
    <w:rsid w:val="0CA72B71"/>
    <w:rsid w:val="0CAD3E44"/>
    <w:rsid w:val="0CD3274C"/>
    <w:rsid w:val="0CDE5093"/>
    <w:rsid w:val="0CE50161"/>
    <w:rsid w:val="0D01205A"/>
    <w:rsid w:val="0D2E340C"/>
    <w:rsid w:val="0D300437"/>
    <w:rsid w:val="0D4732B1"/>
    <w:rsid w:val="0D903336"/>
    <w:rsid w:val="0DB026DD"/>
    <w:rsid w:val="0DB41252"/>
    <w:rsid w:val="0DBE46F7"/>
    <w:rsid w:val="0DD35A03"/>
    <w:rsid w:val="0E0208D2"/>
    <w:rsid w:val="0E0A1426"/>
    <w:rsid w:val="0E6114CA"/>
    <w:rsid w:val="0E7F5C61"/>
    <w:rsid w:val="0E93723B"/>
    <w:rsid w:val="0E9537EC"/>
    <w:rsid w:val="0E980D8D"/>
    <w:rsid w:val="0ED72C20"/>
    <w:rsid w:val="0F0A6671"/>
    <w:rsid w:val="0F1215F7"/>
    <w:rsid w:val="0F1F433C"/>
    <w:rsid w:val="0F3908B1"/>
    <w:rsid w:val="0F4C3ECA"/>
    <w:rsid w:val="0F6350DD"/>
    <w:rsid w:val="0F640B6D"/>
    <w:rsid w:val="0F780FB2"/>
    <w:rsid w:val="0F7B468F"/>
    <w:rsid w:val="0F8260A1"/>
    <w:rsid w:val="0F87456B"/>
    <w:rsid w:val="0F8B2748"/>
    <w:rsid w:val="0F9B764A"/>
    <w:rsid w:val="0FCC3F12"/>
    <w:rsid w:val="0FD87C29"/>
    <w:rsid w:val="0FDA3451"/>
    <w:rsid w:val="0FDE738C"/>
    <w:rsid w:val="0FDF2A3C"/>
    <w:rsid w:val="0FEA1706"/>
    <w:rsid w:val="0FF70A10"/>
    <w:rsid w:val="100754B8"/>
    <w:rsid w:val="10076EB4"/>
    <w:rsid w:val="101E6FC0"/>
    <w:rsid w:val="103D489C"/>
    <w:rsid w:val="103E2E4D"/>
    <w:rsid w:val="104D0887"/>
    <w:rsid w:val="105813F5"/>
    <w:rsid w:val="10A63283"/>
    <w:rsid w:val="10B27530"/>
    <w:rsid w:val="10B63D07"/>
    <w:rsid w:val="10BF6313"/>
    <w:rsid w:val="10CB18BF"/>
    <w:rsid w:val="10CB4329"/>
    <w:rsid w:val="10D52838"/>
    <w:rsid w:val="10D77BC4"/>
    <w:rsid w:val="10E87CFC"/>
    <w:rsid w:val="111039F1"/>
    <w:rsid w:val="11155938"/>
    <w:rsid w:val="11214408"/>
    <w:rsid w:val="11267754"/>
    <w:rsid w:val="112A0C6D"/>
    <w:rsid w:val="112F056E"/>
    <w:rsid w:val="11314455"/>
    <w:rsid w:val="113438E3"/>
    <w:rsid w:val="1139291F"/>
    <w:rsid w:val="113C0BF3"/>
    <w:rsid w:val="11557AE3"/>
    <w:rsid w:val="11630C64"/>
    <w:rsid w:val="1171136D"/>
    <w:rsid w:val="11926529"/>
    <w:rsid w:val="11944960"/>
    <w:rsid w:val="11A404CE"/>
    <w:rsid w:val="11B17387"/>
    <w:rsid w:val="11B40C2C"/>
    <w:rsid w:val="11B40C40"/>
    <w:rsid w:val="11C26EBE"/>
    <w:rsid w:val="11D01ADC"/>
    <w:rsid w:val="11DD7943"/>
    <w:rsid w:val="11F33485"/>
    <w:rsid w:val="11F74431"/>
    <w:rsid w:val="121060D5"/>
    <w:rsid w:val="12141B61"/>
    <w:rsid w:val="12154B80"/>
    <w:rsid w:val="12440EC6"/>
    <w:rsid w:val="1245068D"/>
    <w:rsid w:val="124977D5"/>
    <w:rsid w:val="126A6C08"/>
    <w:rsid w:val="127630AE"/>
    <w:rsid w:val="1282568D"/>
    <w:rsid w:val="12A53392"/>
    <w:rsid w:val="12BB587D"/>
    <w:rsid w:val="12D56F9E"/>
    <w:rsid w:val="12E246D6"/>
    <w:rsid w:val="12F444D4"/>
    <w:rsid w:val="130B2D2D"/>
    <w:rsid w:val="13145E0C"/>
    <w:rsid w:val="131E3E6E"/>
    <w:rsid w:val="13376695"/>
    <w:rsid w:val="133C7887"/>
    <w:rsid w:val="134469D4"/>
    <w:rsid w:val="134F3F73"/>
    <w:rsid w:val="13506D0E"/>
    <w:rsid w:val="135C1BE0"/>
    <w:rsid w:val="135E54D0"/>
    <w:rsid w:val="13673605"/>
    <w:rsid w:val="13677EE0"/>
    <w:rsid w:val="137F0401"/>
    <w:rsid w:val="138E44E3"/>
    <w:rsid w:val="1396463B"/>
    <w:rsid w:val="13B50381"/>
    <w:rsid w:val="13BE5E76"/>
    <w:rsid w:val="13CA6FAF"/>
    <w:rsid w:val="13CB5BBA"/>
    <w:rsid w:val="13E33ECD"/>
    <w:rsid w:val="13FB30ED"/>
    <w:rsid w:val="140F0496"/>
    <w:rsid w:val="1410624E"/>
    <w:rsid w:val="141126E3"/>
    <w:rsid w:val="14131B79"/>
    <w:rsid w:val="141E4EB5"/>
    <w:rsid w:val="14316B21"/>
    <w:rsid w:val="1448497A"/>
    <w:rsid w:val="14495F5E"/>
    <w:rsid w:val="14577520"/>
    <w:rsid w:val="14796F4E"/>
    <w:rsid w:val="147E2B47"/>
    <w:rsid w:val="14896B78"/>
    <w:rsid w:val="148F1346"/>
    <w:rsid w:val="14BC1AC1"/>
    <w:rsid w:val="14CE233F"/>
    <w:rsid w:val="14DF54C8"/>
    <w:rsid w:val="14E74192"/>
    <w:rsid w:val="15086C88"/>
    <w:rsid w:val="150C32B7"/>
    <w:rsid w:val="15101F55"/>
    <w:rsid w:val="151843DF"/>
    <w:rsid w:val="15387F4B"/>
    <w:rsid w:val="153E37EF"/>
    <w:rsid w:val="15494556"/>
    <w:rsid w:val="154A5081"/>
    <w:rsid w:val="15521EA2"/>
    <w:rsid w:val="155E3876"/>
    <w:rsid w:val="15886390"/>
    <w:rsid w:val="159D20C2"/>
    <w:rsid w:val="15B045D3"/>
    <w:rsid w:val="15B33315"/>
    <w:rsid w:val="15BB2629"/>
    <w:rsid w:val="15C162D5"/>
    <w:rsid w:val="15C35743"/>
    <w:rsid w:val="15D0683D"/>
    <w:rsid w:val="15DD560C"/>
    <w:rsid w:val="15E8254E"/>
    <w:rsid w:val="15EC3EC8"/>
    <w:rsid w:val="15F31AC3"/>
    <w:rsid w:val="16240C6E"/>
    <w:rsid w:val="16364FB4"/>
    <w:rsid w:val="16407AD6"/>
    <w:rsid w:val="16527EBB"/>
    <w:rsid w:val="165B6847"/>
    <w:rsid w:val="165C730A"/>
    <w:rsid w:val="1668358F"/>
    <w:rsid w:val="16697F22"/>
    <w:rsid w:val="16823A37"/>
    <w:rsid w:val="16874A7F"/>
    <w:rsid w:val="16AB7350"/>
    <w:rsid w:val="16E3427B"/>
    <w:rsid w:val="16EA089D"/>
    <w:rsid w:val="16EC606C"/>
    <w:rsid w:val="17037A9A"/>
    <w:rsid w:val="171B7D03"/>
    <w:rsid w:val="175E7D6A"/>
    <w:rsid w:val="176E1C79"/>
    <w:rsid w:val="17791496"/>
    <w:rsid w:val="17820498"/>
    <w:rsid w:val="17BE5AF5"/>
    <w:rsid w:val="17BF7345"/>
    <w:rsid w:val="17EC683A"/>
    <w:rsid w:val="17F17C59"/>
    <w:rsid w:val="181564CC"/>
    <w:rsid w:val="18267C6F"/>
    <w:rsid w:val="18401FE8"/>
    <w:rsid w:val="18416B25"/>
    <w:rsid w:val="184D1FA1"/>
    <w:rsid w:val="18556E59"/>
    <w:rsid w:val="18572CDB"/>
    <w:rsid w:val="186D5A2D"/>
    <w:rsid w:val="187E017C"/>
    <w:rsid w:val="18886B06"/>
    <w:rsid w:val="18913B72"/>
    <w:rsid w:val="189649B3"/>
    <w:rsid w:val="18A1422E"/>
    <w:rsid w:val="18A433C6"/>
    <w:rsid w:val="18C23E00"/>
    <w:rsid w:val="18C776CD"/>
    <w:rsid w:val="18D15A0A"/>
    <w:rsid w:val="18E34C9F"/>
    <w:rsid w:val="18E72586"/>
    <w:rsid w:val="19055854"/>
    <w:rsid w:val="19295FE0"/>
    <w:rsid w:val="1944642A"/>
    <w:rsid w:val="195707F7"/>
    <w:rsid w:val="198D4BBB"/>
    <w:rsid w:val="199F2D09"/>
    <w:rsid w:val="19A91F54"/>
    <w:rsid w:val="19B51AAA"/>
    <w:rsid w:val="19CF5549"/>
    <w:rsid w:val="19E8490B"/>
    <w:rsid w:val="19EE4126"/>
    <w:rsid w:val="19FC3484"/>
    <w:rsid w:val="1A094893"/>
    <w:rsid w:val="1A232E15"/>
    <w:rsid w:val="1A297FD2"/>
    <w:rsid w:val="1A31109A"/>
    <w:rsid w:val="1A340363"/>
    <w:rsid w:val="1A424041"/>
    <w:rsid w:val="1A475519"/>
    <w:rsid w:val="1A5933D2"/>
    <w:rsid w:val="1A872DB1"/>
    <w:rsid w:val="1A955AFD"/>
    <w:rsid w:val="1AB5169E"/>
    <w:rsid w:val="1AB70653"/>
    <w:rsid w:val="1AC84749"/>
    <w:rsid w:val="1AD460D2"/>
    <w:rsid w:val="1AD92F66"/>
    <w:rsid w:val="1AF052B1"/>
    <w:rsid w:val="1B052B57"/>
    <w:rsid w:val="1B0E0471"/>
    <w:rsid w:val="1B3618E7"/>
    <w:rsid w:val="1B3F2E65"/>
    <w:rsid w:val="1B4068BC"/>
    <w:rsid w:val="1B420BF3"/>
    <w:rsid w:val="1B45414D"/>
    <w:rsid w:val="1B4A73B3"/>
    <w:rsid w:val="1B4C4351"/>
    <w:rsid w:val="1B6967B4"/>
    <w:rsid w:val="1B730623"/>
    <w:rsid w:val="1B7F5A1F"/>
    <w:rsid w:val="1B861BDC"/>
    <w:rsid w:val="1B8B7879"/>
    <w:rsid w:val="1B984897"/>
    <w:rsid w:val="1BA84BDA"/>
    <w:rsid w:val="1BBC3641"/>
    <w:rsid w:val="1BE60334"/>
    <w:rsid w:val="1BEF2070"/>
    <w:rsid w:val="1C0A3F69"/>
    <w:rsid w:val="1C1C52A3"/>
    <w:rsid w:val="1C3A7381"/>
    <w:rsid w:val="1C4D4802"/>
    <w:rsid w:val="1C4E792B"/>
    <w:rsid w:val="1C5115BD"/>
    <w:rsid w:val="1C7007E8"/>
    <w:rsid w:val="1C766C8E"/>
    <w:rsid w:val="1C8E5A9E"/>
    <w:rsid w:val="1C904DDE"/>
    <w:rsid w:val="1CA3463F"/>
    <w:rsid w:val="1CC40005"/>
    <w:rsid w:val="1CCB2653"/>
    <w:rsid w:val="1CE01EEC"/>
    <w:rsid w:val="1CE95CEB"/>
    <w:rsid w:val="1D027ADC"/>
    <w:rsid w:val="1D06184B"/>
    <w:rsid w:val="1D207934"/>
    <w:rsid w:val="1D251ECC"/>
    <w:rsid w:val="1D26151C"/>
    <w:rsid w:val="1D403BD3"/>
    <w:rsid w:val="1D555136"/>
    <w:rsid w:val="1D6E0551"/>
    <w:rsid w:val="1D735459"/>
    <w:rsid w:val="1D7A6120"/>
    <w:rsid w:val="1D7C62F9"/>
    <w:rsid w:val="1D7E5055"/>
    <w:rsid w:val="1D8164C2"/>
    <w:rsid w:val="1D9938A2"/>
    <w:rsid w:val="1DAC751A"/>
    <w:rsid w:val="1DCE1935"/>
    <w:rsid w:val="1DF10D10"/>
    <w:rsid w:val="1E256726"/>
    <w:rsid w:val="1E334A61"/>
    <w:rsid w:val="1E3B2C33"/>
    <w:rsid w:val="1E5C6074"/>
    <w:rsid w:val="1E6A3F45"/>
    <w:rsid w:val="1E8C37BD"/>
    <w:rsid w:val="1E912928"/>
    <w:rsid w:val="1E9A1F8E"/>
    <w:rsid w:val="1EAC2554"/>
    <w:rsid w:val="1EBD6BFB"/>
    <w:rsid w:val="1ED70608"/>
    <w:rsid w:val="1EDA5857"/>
    <w:rsid w:val="1EE30145"/>
    <w:rsid w:val="1EEC49E3"/>
    <w:rsid w:val="1EF94353"/>
    <w:rsid w:val="1EFE27F0"/>
    <w:rsid w:val="1F076DED"/>
    <w:rsid w:val="1F103B84"/>
    <w:rsid w:val="1F117CDC"/>
    <w:rsid w:val="1F3C64D2"/>
    <w:rsid w:val="1F3E66CB"/>
    <w:rsid w:val="1F42153A"/>
    <w:rsid w:val="1F592507"/>
    <w:rsid w:val="1F8E2A99"/>
    <w:rsid w:val="1FAF2C93"/>
    <w:rsid w:val="1FB22CD4"/>
    <w:rsid w:val="1FB614BE"/>
    <w:rsid w:val="1FD32171"/>
    <w:rsid w:val="1FD81D1F"/>
    <w:rsid w:val="1FEA6D47"/>
    <w:rsid w:val="20031954"/>
    <w:rsid w:val="202B63C4"/>
    <w:rsid w:val="203A1E9E"/>
    <w:rsid w:val="2041191C"/>
    <w:rsid w:val="2087037A"/>
    <w:rsid w:val="209305D5"/>
    <w:rsid w:val="20AD3F93"/>
    <w:rsid w:val="20C16DEA"/>
    <w:rsid w:val="20D863E9"/>
    <w:rsid w:val="20DC45BC"/>
    <w:rsid w:val="20EC2179"/>
    <w:rsid w:val="21117579"/>
    <w:rsid w:val="21190F27"/>
    <w:rsid w:val="213B3AB2"/>
    <w:rsid w:val="215A31B3"/>
    <w:rsid w:val="21C40F15"/>
    <w:rsid w:val="21DD7F7D"/>
    <w:rsid w:val="21E02CC5"/>
    <w:rsid w:val="21E749B5"/>
    <w:rsid w:val="21E85BEA"/>
    <w:rsid w:val="220918AE"/>
    <w:rsid w:val="223B1D3D"/>
    <w:rsid w:val="2252374B"/>
    <w:rsid w:val="22601DA4"/>
    <w:rsid w:val="22713919"/>
    <w:rsid w:val="227B2267"/>
    <w:rsid w:val="22960938"/>
    <w:rsid w:val="22A21CBD"/>
    <w:rsid w:val="22AA64E0"/>
    <w:rsid w:val="22AB4D7C"/>
    <w:rsid w:val="22C67E0F"/>
    <w:rsid w:val="22D4503A"/>
    <w:rsid w:val="22E43F69"/>
    <w:rsid w:val="22E56033"/>
    <w:rsid w:val="22EC3AD7"/>
    <w:rsid w:val="22FD6DF4"/>
    <w:rsid w:val="231F7176"/>
    <w:rsid w:val="23275367"/>
    <w:rsid w:val="232E1888"/>
    <w:rsid w:val="2341544A"/>
    <w:rsid w:val="23461269"/>
    <w:rsid w:val="23554516"/>
    <w:rsid w:val="235D70B1"/>
    <w:rsid w:val="23780867"/>
    <w:rsid w:val="238E17EE"/>
    <w:rsid w:val="239148FA"/>
    <w:rsid w:val="239A55E9"/>
    <w:rsid w:val="23A73990"/>
    <w:rsid w:val="23A8524A"/>
    <w:rsid w:val="23AB4816"/>
    <w:rsid w:val="23BD0220"/>
    <w:rsid w:val="23E856B1"/>
    <w:rsid w:val="23EA223B"/>
    <w:rsid w:val="24023B8F"/>
    <w:rsid w:val="243C4DD2"/>
    <w:rsid w:val="244535C3"/>
    <w:rsid w:val="2451787D"/>
    <w:rsid w:val="24627FFC"/>
    <w:rsid w:val="24685D20"/>
    <w:rsid w:val="247D3720"/>
    <w:rsid w:val="2484448C"/>
    <w:rsid w:val="249C4C12"/>
    <w:rsid w:val="24C7699D"/>
    <w:rsid w:val="24D721D9"/>
    <w:rsid w:val="24E0727C"/>
    <w:rsid w:val="24F37F1A"/>
    <w:rsid w:val="24F839B5"/>
    <w:rsid w:val="250D46C7"/>
    <w:rsid w:val="25236158"/>
    <w:rsid w:val="25391A46"/>
    <w:rsid w:val="253C725A"/>
    <w:rsid w:val="253D7877"/>
    <w:rsid w:val="25542B8A"/>
    <w:rsid w:val="25635A40"/>
    <w:rsid w:val="256D597E"/>
    <w:rsid w:val="25707CCB"/>
    <w:rsid w:val="257E28EF"/>
    <w:rsid w:val="25906864"/>
    <w:rsid w:val="25924EBC"/>
    <w:rsid w:val="25D427ED"/>
    <w:rsid w:val="25DB71E2"/>
    <w:rsid w:val="25DB7EA6"/>
    <w:rsid w:val="26077AAE"/>
    <w:rsid w:val="26210353"/>
    <w:rsid w:val="262D563A"/>
    <w:rsid w:val="263F0D1D"/>
    <w:rsid w:val="26476E92"/>
    <w:rsid w:val="2652232B"/>
    <w:rsid w:val="265748F8"/>
    <w:rsid w:val="265B03F7"/>
    <w:rsid w:val="265C4E9F"/>
    <w:rsid w:val="266C0ABB"/>
    <w:rsid w:val="26756C9A"/>
    <w:rsid w:val="269D4219"/>
    <w:rsid w:val="26F653E0"/>
    <w:rsid w:val="270D56A1"/>
    <w:rsid w:val="270D5B6F"/>
    <w:rsid w:val="27237C25"/>
    <w:rsid w:val="272A6A19"/>
    <w:rsid w:val="27312457"/>
    <w:rsid w:val="27354DE3"/>
    <w:rsid w:val="27430F49"/>
    <w:rsid w:val="27760CFD"/>
    <w:rsid w:val="27803E9B"/>
    <w:rsid w:val="27885E75"/>
    <w:rsid w:val="27943A5C"/>
    <w:rsid w:val="27B97E2D"/>
    <w:rsid w:val="27D277FD"/>
    <w:rsid w:val="27E43AED"/>
    <w:rsid w:val="27E50B36"/>
    <w:rsid w:val="27EC3198"/>
    <w:rsid w:val="2802665D"/>
    <w:rsid w:val="2816667B"/>
    <w:rsid w:val="281D789C"/>
    <w:rsid w:val="284E3DB8"/>
    <w:rsid w:val="28577774"/>
    <w:rsid w:val="28923B61"/>
    <w:rsid w:val="28A111DB"/>
    <w:rsid w:val="28A823B0"/>
    <w:rsid w:val="28A8662A"/>
    <w:rsid w:val="28AB7228"/>
    <w:rsid w:val="28B17186"/>
    <w:rsid w:val="28C008DA"/>
    <w:rsid w:val="28C6242B"/>
    <w:rsid w:val="28CA2EB3"/>
    <w:rsid w:val="28E32F1F"/>
    <w:rsid w:val="28F73102"/>
    <w:rsid w:val="28F82CEE"/>
    <w:rsid w:val="292714DF"/>
    <w:rsid w:val="2936580C"/>
    <w:rsid w:val="29496F9D"/>
    <w:rsid w:val="296F7C19"/>
    <w:rsid w:val="29730218"/>
    <w:rsid w:val="29750226"/>
    <w:rsid w:val="297A76CC"/>
    <w:rsid w:val="29873A6F"/>
    <w:rsid w:val="298F620E"/>
    <w:rsid w:val="2990186E"/>
    <w:rsid w:val="29943091"/>
    <w:rsid w:val="29A17581"/>
    <w:rsid w:val="29CE39E5"/>
    <w:rsid w:val="29D63E9E"/>
    <w:rsid w:val="29DF3832"/>
    <w:rsid w:val="29F82483"/>
    <w:rsid w:val="29FB6C24"/>
    <w:rsid w:val="2A0C47C2"/>
    <w:rsid w:val="2A64477C"/>
    <w:rsid w:val="2A6B2C43"/>
    <w:rsid w:val="2A760474"/>
    <w:rsid w:val="2A7C3988"/>
    <w:rsid w:val="2A816F32"/>
    <w:rsid w:val="2A866E3E"/>
    <w:rsid w:val="2A8C309D"/>
    <w:rsid w:val="2A9163AD"/>
    <w:rsid w:val="2A9675CB"/>
    <w:rsid w:val="2AB31CC1"/>
    <w:rsid w:val="2AEC54C3"/>
    <w:rsid w:val="2AFF0AA7"/>
    <w:rsid w:val="2B0A765E"/>
    <w:rsid w:val="2B114F8C"/>
    <w:rsid w:val="2B155AEC"/>
    <w:rsid w:val="2B2D7382"/>
    <w:rsid w:val="2B2F6B8C"/>
    <w:rsid w:val="2B435942"/>
    <w:rsid w:val="2B4A39AF"/>
    <w:rsid w:val="2B7542D2"/>
    <w:rsid w:val="2B8078C6"/>
    <w:rsid w:val="2B9A04EE"/>
    <w:rsid w:val="2BB6178F"/>
    <w:rsid w:val="2BB7559C"/>
    <w:rsid w:val="2BCA77B3"/>
    <w:rsid w:val="2BF524B4"/>
    <w:rsid w:val="2C0B0D00"/>
    <w:rsid w:val="2C343419"/>
    <w:rsid w:val="2C4405C4"/>
    <w:rsid w:val="2C5F4DAB"/>
    <w:rsid w:val="2C8F150E"/>
    <w:rsid w:val="2CB33FB1"/>
    <w:rsid w:val="2CB71AC5"/>
    <w:rsid w:val="2CBD15EB"/>
    <w:rsid w:val="2CEC076D"/>
    <w:rsid w:val="2D037A4F"/>
    <w:rsid w:val="2D052932"/>
    <w:rsid w:val="2D0C694F"/>
    <w:rsid w:val="2D2508F9"/>
    <w:rsid w:val="2D6265DD"/>
    <w:rsid w:val="2D627807"/>
    <w:rsid w:val="2D997C0B"/>
    <w:rsid w:val="2DAD0B89"/>
    <w:rsid w:val="2DEA1599"/>
    <w:rsid w:val="2DEF69FE"/>
    <w:rsid w:val="2E04517A"/>
    <w:rsid w:val="2E0B598F"/>
    <w:rsid w:val="2E2005B7"/>
    <w:rsid w:val="2E204863"/>
    <w:rsid w:val="2E372719"/>
    <w:rsid w:val="2E3D2E5C"/>
    <w:rsid w:val="2E7573F0"/>
    <w:rsid w:val="2E7A4A66"/>
    <w:rsid w:val="2E81216E"/>
    <w:rsid w:val="2E8E454D"/>
    <w:rsid w:val="2E987FC8"/>
    <w:rsid w:val="2ED524A2"/>
    <w:rsid w:val="2F0451D0"/>
    <w:rsid w:val="2F0E0A3B"/>
    <w:rsid w:val="2F49141D"/>
    <w:rsid w:val="2F4A1DE5"/>
    <w:rsid w:val="2F540EB0"/>
    <w:rsid w:val="2F552C3E"/>
    <w:rsid w:val="2F68096C"/>
    <w:rsid w:val="2F7B79E3"/>
    <w:rsid w:val="2F7F78DA"/>
    <w:rsid w:val="2FA22A8D"/>
    <w:rsid w:val="2FA51D09"/>
    <w:rsid w:val="2FA538E8"/>
    <w:rsid w:val="2FB26A72"/>
    <w:rsid w:val="2FC50151"/>
    <w:rsid w:val="2FDB7F84"/>
    <w:rsid w:val="2FE13408"/>
    <w:rsid w:val="30147E30"/>
    <w:rsid w:val="302C0148"/>
    <w:rsid w:val="30521592"/>
    <w:rsid w:val="3057419E"/>
    <w:rsid w:val="308405BA"/>
    <w:rsid w:val="308D12FD"/>
    <w:rsid w:val="309767BD"/>
    <w:rsid w:val="30B63A56"/>
    <w:rsid w:val="30D05639"/>
    <w:rsid w:val="30DE0516"/>
    <w:rsid w:val="30F37CC9"/>
    <w:rsid w:val="30FC566E"/>
    <w:rsid w:val="312D02F7"/>
    <w:rsid w:val="31415F01"/>
    <w:rsid w:val="31514988"/>
    <w:rsid w:val="31617C99"/>
    <w:rsid w:val="31676662"/>
    <w:rsid w:val="31860E50"/>
    <w:rsid w:val="31894F6F"/>
    <w:rsid w:val="31C146CB"/>
    <w:rsid w:val="31E444C9"/>
    <w:rsid w:val="31E74446"/>
    <w:rsid w:val="32131EAC"/>
    <w:rsid w:val="325A5D3A"/>
    <w:rsid w:val="32733A5C"/>
    <w:rsid w:val="32751AE0"/>
    <w:rsid w:val="3284349E"/>
    <w:rsid w:val="3297148B"/>
    <w:rsid w:val="32A40BA7"/>
    <w:rsid w:val="32AA34CC"/>
    <w:rsid w:val="32F37D11"/>
    <w:rsid w:val="33005A44"/>
    <w:rsid w:val="33030C23"/>
    <w:rsid w:val="33054A89"/>
    <w:rsid w:val="33112807"/>
    <w:rsid w:val="33205E7C"/>
    <w:rsid w:val="33342A24"/>
    <w:rsid w:val="33376F17"/>
    <w:rsid w:val="334517F7"/>
    <w:rsid w:val="334C4CF0"/>
    <w:rsid w:val="334D239E"/>
    <w:rsid w:val="3354203A"/>
    <w:rsid w:val="33750D06"/>
    <w:rsid w:val="338009E5"/>
    <w:rsid w:val="339E23A0"/>
    <w:rsid w:val="33EA6DB0"/>
    <w:rsid w:val="33F62651"/>
    <w:rsid w:val="34192C1F"/>
    <w:rsid w:val="346877B7"/>
    <w:rsid w:val="347E4F2E"/>
    <w:rsid w:val="34823B76"/>
    <w:rsid w:val="348873F9"/>
    <w:rsid w:val="348D2153"/>
    <w:rsid w:val="348F61CE"/>
    <w:rsid w:val="34923D49"/>
    <w:rsid w:val="349C5B50"/>
    <w:rsid w:val="349C7EAD"/>
    <w:rsid w:val="34BA7332"/>
    <w:rsid w:val="351319D4"/>
    <w:rsid w:val="351C7D6E"/>
    <w:rsid w:val="351D2968"/>
    <w:rsid w:val="352C1F1C"/>
    <w:rsid w:val="354B056A"/>
    <w:rsid w:val="35646C4F"/>
    <w:rsid w:val="35793C20"/>
    <w:rsid w:val="358A3573"/>
    <w:rsid w:val="358D17E7"/>
    <w:rsid w:val="359043A3"/>
    <w:rsid w:val="35954265"/>
    <w:rsid w:val="35AA1BA9"/>
    <w:rsid w:val="35C718EF"/>
    <w:rsid w:val="35CE3CA0"/>
    <w:rsid w:val="35EC6961"/>
    <w:rsid w:val="35F136E7"/>
    <w:rsid w:val="35F93AB1"/>
    <w:rsid w:val="35FD05FA"/>
    <w:rsid w:val="360139DC"/>
    <w:rsid w:val="361A0F27"/>
    <w:rsid w:val="36291575"/>
    <w:rsid w:val="36433EB3"/>
    <w:rsid w:val="36505322"/>
    <w:rsid w:val="365C50E6"/>
    <w:rsid w:val="366C2152"/>
    <w:rsid w:val="366E0621"/>
    <w:rsid w:val="36775853"/>
    <w:rsid w:val="36852B44"/>
    <w:rsid w:val="36A60150"/>
    <w:rsid w:val="36D21BB2"/>
    <w:rsid w:val="36D4562E"/>
    <w:rsid w:val="36DB454F"/>
    <w:rsid w:val="36E21D63"/>
    <w:rsid w:val="36EE0537"/>
    <w:rsid w:val="36F33B95"/>
    <w:rsid w:val="36F870A6"/>
    <w:rsid w:val="3707366D"/>
    <w:rsid w:val="37106AD8"/>
    <w:rsid w:val="37185172"/>
    <w:rsid w:val="37253A78"/>
    <w:rsid w:val="373F6BC6"/>
    <w:rsid w:val="374925D7"/>
    <w:rsid w:val="374F6631"/>
    <w:rsid w:val="37662166"/>
    <w:rsid w:val="376C6BB9"/>
    <w:rsid w:val="37894D67"/>
    <w:rsid w:val="37A60FA7"/>
    <w:rsid w:val="37AA54ED"/>
    <w:rsid w:val="37B26D7A"/>
    <w:rsid w:val="37EA30E5"/>
    <w:rsid w:val="37F8042D"/>
    <w:rsid w:val="380B3320"/>
    <w:rsid w:val="382702D4"/>
    <w:rsid w:val="38351A7B"/>
    <w:rsid w:val="383A37F1"/>
    <w:rsid w:val="38420F9D"/>
    <w:rsid w:val="38485904"/>
    <w:rsid w:val="384C51AC"/>
    <w:rsid w:val="3851026C"/>
    <w:rsid w:val="38570C54"/>
    <w:rsid w:val="387704E8"/>
    <w:rsid w:val="38866C5B"/>
    <w:rsid w:val="38904C3F"/>
    <w:rsid w:val="38994267"/>
    <w:rsid w:val="38A01819"/>
    <w:rsid w:val="38A66799"/>
    <w:rsid w:val="38BF2A60"/>
    <w:rsid w:val="38C97524"/>
    <w:rsid w:val="38DD5D94"/>
    <w:rsid w:val="38E45E74"/>
    <w:rsid w:val="38E944FB"/>
    <w:rsid w:val="39161D88"/>
    <w:rsid w:val="391B7ADF"/>
    <w:rsid w:val="3949013B"/>
    <w:rsid w:val="3959641A"/>
    <w:rsid w:val="395C2A38"/>
    <w:rsid w:val="396225A8"/>
    <w:rsid w:val="3965558C"/>
    <w:rsid w:val="396E3294"/>
    <w:rsid w:val="39821BC0"/>
    <w:rsid w:val="399332B5"/>
    <w:rsid w:val="399961A1"/>
    <w:rsid w:val="39B245A5"/>
    <w:rsid w:val="39BF5515"/>
    <w:rsid w:val="39C13918"/>
    <w:rsid w:val="39CC65F1"/>
    <w:rsid w:val="39D41C68"/>
    <w:rsid w:val="39D63CC5"/>
    <w:rsid w:val="39E856FE"/>
    <w:rsid w:val="39F96117"/>
    <w:rsid w:val="39FF43AD"/>
    <w:rsid w:val="3A007656"/>
    <w:rsid w:val="3A521D71"/>
    <w:rsid w:val="3A665612"/>
    <w:rsid w:val="3A6B1F2C"/>
    <w:rsid w:val="3A874449"/>
    <w:rsid w:val="3A8D25E9"/>
    <w:rsid w:val="3AAF76A0"/>
    <w:rsid w:val="3ACD6B01"/>
    <w:rsid w:val="3AD0250C"/>
    <w:rsid w:val="3AEB5A3F"/>
    <w:rsid w:val="3AED1F00"/>
    <w:rsid w:val="3AF71E6A"/>
    <w:rsid w:val="3B031276"/>
    <w:rsid w:val="3B21053E"/>
    <w:rsid w:val="3B2C2AEB"/>
    <w:rsid w:val="3B3A6AC6"/>
    <w:rsid w:val="3B4938C4"/>
    <w:rsid w:val="3B817163"/>
    <w:rsid w:val="3C082A9E"/>
    <w:rsid w:val="3C1F6EE0"/>
    <w:rsid w:val="3C21007B"/>
    <w:rsid w:val="3C280836"/>
    <w:rsid w:val="3C57559F"/>
    <w:rsid w:val="3C6163E5"/>
    <w:rsid w:val="3C6C0AF5"/>
    <w:rsid w:val="3C727FAF"/>
    <w:rsid w:val="3C9A5EF9"/>
    <w:rsid w:val="3CB10956"/>
    <w:rsid w:val="3CC53CF8"/>
    <w:rsid w:val="3CCC4A9F"/>
    <w:rsid w:val="3CDC258F"/>
    <w:rsid w:val="3CEF0816"/>
    <w:rsid w:val="3CF227E3"/>
    <w:rsid w:val="3CF628C8"/>
    <w:rsid w:val="3D1C46F6"/>
    <w:rsid w:val="3D51706F"/>
    <w:rsid w:val="3D6607DF"/>
    <w:rsid w:val="3D7A6C91"/>
    <w:rsid w:val="3D9229AA"/>
    <w:rsid w:val="3DA67D12"/>
    <w:rsid w:val="3DB040A8"/>
    <w:rsid w:val="3DD16322"/>
    <w:rsid w:val="3DDD6BDA"/>
    <w:rsid w:val="3DE503F8"/>
    <w:rsid w:val="3DEE68C1"/>
    <w:rsid w:val="3DF12B89"/>
    <w:rsid w:val="3E1C6886"/>
    <w:rsid w:val="3E333AEC"/>
    <w:rsid w:val="3E6238D1"/>
    <w:rsid w:val="3E644793"/>
    <w:rsid w:val="3E79544F"/>
    <w:rsid w:val="3E8E49AD"/>
    <w:rsid w:val="3E942232"/>
    <w:rsid w:val="3EA369F6"/>
    <w:rsid w:val="3EA9200D"/>
    <w:rsid w:val="3EB01D2E"/>
    <w:rsid w:val="3EB21CD2"/>
    <w:rsid w:val="3EB6036A"/>
    <w:rsid w:val="3EBB3393"/>
    <w:rsid w:val="3EC141CA"/>
    <w:rsid w:val="3ED44F48"/>
    <w:rsid w:val="3EEE62B1"/>
    <w:rsid w:val="3EF55C4B"/>
    <w:rsid w:val="3EF80599"/>
    <w:rsid w:val="3F1A35A7"/>
    <w:rsid w:val="3F2248A9"/>
    <w:rsid w:val="3F386358"/>
    <w:rsid w:val="3F43577D"/>
    <w:rsid w:val="3F475971"/>
    <w:rsid w:val="3F484030"/>
    <w:rsid w:val="3F6D44AA"/>
    <w:rsid w:val="3F862085"/>
    <w:rsid w:val="3FA46875"/>
    <w:rsid w:val="3FA92670"/>
    <w:rsid w:val="3FC24A26"/>
    <w:rsid w:val="3FE32570"/>
    <w:rsid w:val="3FF616A5"/>
    <w:rsid w:val="40481853"/>
    <w:rsid w:val="40517DE4"/>
    <w:rsid w:val="4060590B"/>
    <w:rsid w:val="407C4081"/>
    <w:rsid w:val="408B1300"/>
    <w:rsid w:val="408B589A"/>
    <w:rsid w:val="408F5E66"/>
    <w:rsid w:val="40910FC0"/>
    <w:rsid w:val="40D92788"/>
    <w:rsid w:val="40DF216C"/>
    <w:rsid w:val="40E1222E"/>
    <w:rsid w:val="411E27CA"/>
    <w:rsid w:val="41233F01"/>
    <w:rsid w:val="413565B8"/>
    <w:rsid w:val="413614F2"/>
    <w:rsid w:val="41612E5C"/>
    <w:rsid w:val="416305B6"/>
    <w:rsid w:val="417E1E4E"/>
    <w:rsid w:val="41AF5DD8"/>
    <w:rsid w:val="41C81FC6"/>
    <w:rsid w:val="41E23B57"/>
    <w:rsid w:val="41E97080"/>
    <w:rsid w:val="41F867A7"/>
    <w:rsid w:val="42035E29"/>
    <w:rsid w:val="42066524"/>
    <w:rsid w:val="422E19C7"/>
    <w:rsid w:val="422F4080"/>
    <w:rsid w:val="42466E75"/>
    <w:rsid w:val="42642026"/>
    <w:rsid w:val="426E7F1A"/>
    <w:rsid w:val="42727C6F"/>
    <w:rsid w:val="427E3CDB"/>
    <w:rsid w:val="42885795"/>
    <w:rsid w:val="42885A7D"/>
    <w:rsid w:val="42A02D8A"/>
    <w:rsid w:val="42A8490F"/>
    <w:rsid w:val="42AD0C5A"/>
    <w:rsid w:val="42B0673C"/>
    <w:rsid w:val="42C67A6B"/>
    <w:rsid w:val="42D3768A"/>
    <w:rsid w:val="42E3460B"/>
    <w:rsid w:val="42EF2825"/>
    <w:rsid w:val="42F73D2F"/>
    <w:rsid w:val="42F76339"/>
    <w:rsid w:val="43054842"/>
    <w:rsid w:val="432227E1"/>
    <w:rsid w:val="433B2095"/>
    <w:rsid w:val="433E1DF5"/>
    <w:rsid w:val="43494B5D"/>
    <w:rsid w:val="435B7DF5"/>
    <w:rsid w:val="438011AD"/>
    <w:rsid w:val="438132DD"/>
    <w:rsid w:val="43910259"/>
    <w:rsid w:val="43A939C0"/>
    <w:rsid w:val="43AB6138"/>
    <w:rsid w:val="43AD0E90"/>
    <w:rsid w:val="43B24252"/>
    <w:rsid w:val="43B248B5"/>
    <w:rsid w:val="43D73CFA"/>
    <w:rsid w:val="43D823EE"/>
    <w:rsid w:val="43EC703C"/>
    <w:rsid w:val="44122884"/>
    <w:rsid w:val="442633D0"/>
    <w:rsid w:val="44330FD2"/>
    <w:rsid w:val="443A6B2B"/>
    <w:rsid w:val="44594E6A"/>
    <w:rsid w:val="447D08B4"/>
    <w:rsid w:val="447D6659"/>
    <w:rsid w:val="447F110D"/>
    <w:rsid w:val="44A63366"/>
    <w:rsid w:val="44B146E5"/>
    <w:rsid w:val="44C06A49"/>
    <w:rsid w:val="44C27A29"/>
    <w:rsid w:val="44C37C6B"/>
    <w:rsid w:val="44D851F3"/>
    <w:rsid w:val="44E827CB"/>
    <w:rsid w:val="44F47784"/>
    <w:rsid w:val="45220FCA"/>
    <w:rsid w:val="452516AF"/>
    <w:rsid w:val="454D3BB7"/>
    <w:rsid w:val="456C6972"/>
    <w:rsid w:val="457728FD"/>
    <w:rsid w:val="45995CA0"/>
    <w:rsid w:val="45CA2768"/>
    <w:rsid w:val="45D23527"/>
    <w:rsid w:val="45D4490F"/>
    <w:rsid w:val="45D5070D"/>
    <w:rsid w:val="45D66747"/>
    <w:rsid w:val="45F472DF"/>
    <w:rsid w:val="46116854"/>
    <w:rsid w:val="46136B35"/>
    <w:rsid w:val="46156C09"/>
    <w:rsid w:val="464051C6"/>
    <w:rsid w:val="466E67D7"/>
    <w:rsid w:val="467A4F9D"/>
    <w:rsid w:val="468A042F"/>
    <w:rsid w:val="469968A7"/>
    <w:rsid w:val="46A806E3"/>
    <w:rsid w:val="46AF3A3E"/>
    <w:rsid w:val="46C63B34"/>
    <w:rsid w:val="46C95336"/>
    <w:rsid w:val="46CF68EE"/>
    <w:rsid w:val="46D45767"/>
    <w:rsid w:val="46E81F21"/>
    <w:rsid w:val="46EE7905"/>
    <w:rsid w:val="46F95D01"/>
    <w:rsid w:val="471F1B29"/>
    <w:rsid w:val="472C3C99"/>
    <w:rsid w:val="47472DF1"/>
    <w:rsid w:val="4755283E"/>
    <w:rsid w:val="475E7AB8"/>
    <w:rsid w:val="476360FF"/>
    <w:rsid w:val="47997B51"/>
    <w:rsid w:val="47AA09DA"/>
    <w:rsid w:val="47C507D3"/>
    <w:rsid w:val="47D65CAD"/>
    <w:rsid w:val="47D83DBE"/>
    <w:rsid w:val="47DF45D4"/>
    <w:rsid w:val="47F73C1C"/>
    <w:rsid w:val="480A7BC6"/>
    <w:rsid w:val="4820639B"/>
    <w:rsid w:val="48240225"/>
    <w:rsid w:val="48273267"/>
    <w:rsid w:val="484D7B05"/>
    <w:rsid w:val="485208BC"/>
    <w:rsid w:val="48554C31"/>
    <w:rsid w:val="48560A64"/>
    <w:rsid w:val="486315CB"/>
    <w:rsid w:val="48651F98"/>
    <w:rsid w:val="48790A15"/>
    <w:rsid w:val="487B125B"/>
    <w:rsid w:val="487B5097"/>
    <w:rsid w:val="48867F6B"/>
    <w:rsid w:val="488704BE"/>
    <w:rsid w:val="4897111D"/>
    <w:rsid w:val="48B13100"/>
    <w:rsid w:val="48B20D65"/>
    <w:rsid w:val="48B73407"/>
    <w:rsid w:val="48C027AB"/>
    <w:rsid w:val="48E76D74"/>
    <w:rsid w:val="48FE525F"/>
    <w:rsid w:val="491A0E67"/>
    <w:rsid w:val="495657A7"/>
    <w:rsid w:val="495D7B8E"/>
    <w:rsid w:val="496219E7"/>
    <w:rsid w:val="497D32ED"/>
    <w:rsid w:val="49A71948"/>
    <w:rsid w:val="49BF3470"/>
    <w:rsid w:val="49CA2E10"/>
    <w:rsid w:val="49CF2371"/>
    <w:rsid w:val="49E07309"/>
    <w:rsid w:val="4A087E8B"/>
    <w:rsid w:val="4A1C2238"/>
    <w:rsid w:val="4A2205B0"/>
    <w:rsid w:val="4A2C3E7B"/>
    <w:rsid w:val="4A5116F5"/>
    <w:rsid w:val="4A8E6E4F"/>
    <w:rsid w:val="4A90490E"/>
    <w:rsid w:val="4AA364FF"/>
    <w:rsid w:val="4AB044CD"/>
    <w:rsid w:val="4AB3753C"/>
    <w:rsid w:val="4ABA1CAB"/>
    <w:rsid w:val="4AC121EF"/>
    <w:rsid w:val="4AF25198"/>
    <w:rsid w:val="4AF81536"/>
    <w:rsid w:val="4B0E5CF0"/>
    <w:rsid w:val="4B110873"/>
    <w:rsid w:val="4B156FF4"/>
    <w:rsid w:val="4B1A2E9B"/>
    <w:rsid w:val="4B2B675B"/>
    <w:rsid w:val="4B4F1305"/>
    <w:rsid w:val="4B590B74"/>
    <w:rsid w:val="4B6211DC"/>
    <w:rsid w:val="4B75511B"/>
    <w:rsid w:val="4B7964C6"/>
    <w:rsid w:val="4B885F1B"/>
    <w:rsid w:val="4B941F8D"/>
    <w:rsid w:val="4B965699"/>
    <w:rsid w:val="4BA42905"/>
    <w:rsid w:val="4BAC36C9"/>
    <w:rsid w:val="4BC621CC"/>
    <w:rsid w:val="4BD80473"/>
    <w:rsid w:val="4BF219E8"/>
    <w:rsid w:val="4C0C32F3"/>
    <w:rsid w:val="4C152E66"/>
    <w:rsid w:val="4C4B3717"/>
    <w:rsid w:val="4C5D360B"/>
    <w:rsid w:val="4C631EDA"/>
    <w:rsid w:val="4C897FD8"/>
    <w:rsid w:val="4C9A2E59"/>
    <w:rsid w:val="4CBB3123"/>
    <w:rsid w:val="4CCB3D3B"/>
    <w:rsid w:val="4CCC12D5"/>
    <w:rsid w:val="4CF177CB"/>
    <w:rsid w:val="4CF678CA"/>
    <w:rsid w:val="4D175216"/>
    <w:rsid w:val="4D191608"/>
    <w:rsid w:val="4D201B8C"/>
    <w:rsid w:val="4D3B70D9"/>
    <w:rsid w:val="4D447BDC"/>
    <w:rsid w:val="4D967BF5"/>
    <w:rsid w:val="4D974BCF"/>
    <w:rsid w:val="4DAD2436"/>
    <w:rsid w:val="4DD51956"/>
    <w:rsid w:val="4DF04503"/>
    <w:rsid w:val="4DFC3F14"/>
    <w:rsid w:val="4DFD3513"/>
    <w:rsid w:val="4E1A701F"/>
    <w:rsid w:val="4E1F1918"/>
    <w:rsid w:val="4E43248F"/>
    <w:rsid w:val="4E561AB8"/>
    <w:rsid w:val="4E7B75DD"/>
    <w:rsid w:val="4E9A1D08"/>
    <w:rsid w:val="4EB4046C"/>
    <w:rsid w:val="4EB777B3"/>
    <w:rsid w:val="4EC17983"/>
    <w:rsid w:val="4EDC6BC6"/>
    <w:rsid w:val="4EDF7C7C"/>
    <w:rsid w:val="4EE95DAE"/>
    <w:rsid w:val="4EEA1AF0"/>
    <w:rsid w:val="4F0300AC"/>
    <w:rsid w:val="4F0C13D7"/>
    <w:rsid w:val="4F2471BE"/>
    <w:rsid w:val="4F252527"/>
    <w:rsid w:val="4F4C19E2"/>
    <w:rsid w:val="4F7026DE"/>
    <w:rsid w:val="4F7821DB"/>
    <w:rsid w:val="4F793FC4"/>
    <w:rsid w:val="4F853F93"/>
    <w:rsid w:val="4F911A9D"/>
    <w:rsid w:val="4F985DB5"/>
    <w:rsid w:val="4F9B7B24"/>
    <w:rsid w:val="4FB156DB"/>
    <w:rsid w:val="4FC04D6D"/>
    <w:rsid w:val="4FEC2B8D"/>
    <w:rsid w:val="4FF26D8E"/>
    <w:rsid w:val="4FF53A7A"/>
    <w:rsid w:val="4FFE3BFE"/>
    <w:rsid w:val="5014065C"/>
    <w:rsid w:val="503E20A8"/>
    <w:rsid w:val="50720A71"/>
    <w:rsid w:val="50841485"/>
    <w:rsid w:val="5097037B"/>
    <w:rsid w:val="50B520E2"/>
    <w:rsid w:val="50C370DC"/>
    <w:rsid w:val="50E11524"/>
    <w:rsid w:val="50E52A97"/>
    <w:rsid w:val="50F557C8"/>
    <w:rsid w:val="51005BB2"/>
    <w:rsid w:val="510F688C"/>
    <w:rsid w:val="51197D54"/>
    <w:rsid w:val="511A208C"/>
    <w:rsid w:val="511E0191"/>
    <w:rsid w:val="513423E9"/>
    <w:rsid w:val="514E3B10"/>
    <w:rsid w:val="5153765D"/>
    <w:rsid w:val="516F59AA"/>
    <w:rsid w:val="51721A57"/>
    <w:rsid w:val="51744061"/>
    <w:rsid w:val="51921376"/>
    <w:rsid w:val="519A2902"/>
    <w:rsid w:val="519C4E03"/>
    <w:rsid w:val="51AA2759"/>
    <w:rsid w:val="51B56DA5"/>
    <w:rsid w:val="51C2557A"/>
    <w:rsid w:val="51C91642"/>
    <w:rsid w:val="51D266A4"/>
    <w:rsid w:val="51DE56EE"/>
    <w:rsid w:val="51E11A38"/>
    <w:rsid w:val="51F07C41"/>
    <w:rsid w:val="522A562A"/>
    <w:rsid w:val="52333A3F"/>
    <w:rsid w:val="523A6F46"/>
    <w:rsid w:val="523C7246"/>
    <w:rsid w:val="523E2E24"/>
    <w:rsid w:val="524567F4"/>
    <w:rsid w:val="525126EB"/>
    <w:rsid w:val="52547D17"/>
    <w:rsid w:val="525A25E2"/>
    <w:rsid w:val="52656175"/>
    <w:rsid w:val="52795A27"/>
    <w:rsid w:val="52901E08"/>
    <w:rsid w:val="529131F1"/>
    <w:rsid w:val="52984FFB"/>
    <w:rsid w:val="52990C1F"/>
    <w:rsid w:val="52A5443D"/>
    <w:rsid w:val="52C90F20"/>
    <w:rsid w:val="52EF5B87"/>
    <w:rsid w:val="530A0C73"/>
    <w:rsid w:val="5332522D"/>
    <w:rsid w:val="533F7C7A"/>
    <w:rsid w:val="53494EFD"/>
    <w:rsid w:val="53594062"/>
    <w:rsid w:val="53814A6A"/>
    <w:rsid w:val="53835FCF"/>
    <w:rsid w:val="53940164"/>
    <w:rsid w:val="53A92950"/>
    <w:rsid w:val="53CD4200"/>
    <w:rsid w:val="53DF58E9"/>
    <w:rsid w:val="53E30766"/>
    <w:rsid w:val="53E7120A"/>
    <w:rsid w:val="53FC748C"/>
    <w:rsid w:val="540E237B"/>
    <w:rsid w:val="541B33C9"/>
    <w:rsid w:val="54630DE1"/>
    <w:rsid w:val="548375C7"/>
    <w:rsid w:val="548C049A"/>
    <w:rsid w:val="548E5803"/>
    <w:rsid w:val="54D9267C"/>
    <w:rsid w:val="54E43EB4"/>
    <w:rsid w:val="54F749A7"/>
    <w:rsid w:val="54FC2F8E"/>
    <w:rsid w:val="55042847"/>
    <w:rsid w:val="551662CA"/>
    <w:rsid w:val="551E01D6"/>
    <w:rsid w:val="553232B5"/>
    <w:rsid w:val="55367803"/>
    <w:rsid w:val="55485AA9"/>
    <w:rsid w:val="5555434C"/>
    <w:rsid w:val="555E0910"/>
    <w:rsid w:val="55602765"/>
    <w:rsid w:val="556F6D99"/>
    <w:rsid w:val="557E5697"/>
    <w:rsid w:val="559B1B46"/>
    <w:rsid w:val="55A55AD4"/>
    <w:rsid w:val="55A95F86"/>
    <w:rsid w:val="55AD6E6F"/>
    <w:rsid w:val="55CF5899"/>
    <w:rsid w:val="55E97DB5"/>
    <w:rsid w:val="55F417F2"/>
    <w:rsid w:val="55FB6B21"/>
    <w:rsid w:val="56235D02"/>
    <w:rsid w:val="56274524"/>
    <w:rsid w:val="562F0788"/>
    <w:rsid w:val="564E62D7"/>
    <w:rsid w:val="5659399A"/>
    <w:rsid w:val="56644F43"/>
    <w:rsid w:val="56645440"/>
    <w:rsid w:val="56702E30"/>
    <w:rsid w:val="56704D0A"/>
    <w:rsid w:val="56894A3D"/>
    <w:rsid w:val="568F3A6F"/>
    <w:rsid w:val="568F6B3B"/>
    <w:rsid w:val="56AF58FD"/>
    <w:rsid w:val="56B8428B"/>
    <w:rsid w:val="56CF5904"/>
    <w:rsid w:val="56D23E27"/>
    <w:rsid w:val="56DF2B03"/>
    <w:rsid w:val="56F30B79"/>
    <w:rsid w:val="56F41FE6"/>
    <w:rsid w:val="571621EF"/>
    <w:rsid w:val="573A040C"/>
    <w:rsid w:val="573A55E0"/>
    <w:rsid w:val="574B69B1"/>
    <w:rsid w:val="576D6710"/>
    <w:rsid w:val="57937FFB"/>
    <w:rsid w:val="57AC784C"/>
    <w:rsid w:val="57B849BA"/>
    <w:rsid w:val="57BF65B4"/>
    <w:rsid w:val="57D00AB2"/>
    <w:rsid w:val="57D56B6D"/>
    <w:rsid w:val="57E05AD1"/>
    <w:rsid w:val="581F6200"/>
    <w:rsid w:val="58270485"/>
    <w:rsid w:val="582D6394"/>
    <w:rsid w:val="583D4506"/>
    <w:rsid w:val="584C377E"/>
    <w:rsid w:val="585216F6"/>
    <w:rsid w:val="585F74A0"/>
    <w:rsid w:val="58682941"/>
    <w:rsid w:val="58762DC6"/>
    <w:rsid w:val="589C427F"/>
    <w:rsid w:val="58A46ACB"/>
    <w:rsid w:val="58A823EA"/>
    <w:rsid w:val="58A8618E"/>
    <w:rsid w:val="58B052FB"/>
    <w:rsid w:val="58E15E2C"/>
    <w:rsid w:val="58FC7AC9"/>
    <w:rsid w:val="590156E5"/>
    <w:rsid w:val="590B0801"/>
    <w:rsid w:val="59390245"/>
    <w:rsid w:val="593B6397"/>
    <w:rsid w:val="593F2508"/>
    <w:rsid w:val="594E189C"/>
    <w:rsid w:val="59516E31"/>
    <w:rsid w:val="596F07B3"/>
    <w:rsid w:val="597437D9"/>
    <w:rsid w:val="597A288C"/>
    <w:rsid w:val="597D76C4"/>
    <w:rsid w:val="598D17DD"/>
    <w:rsid w:val="59953BFB"/>
    <w:rsid w:val="599E3C55"/>
    <w:rsid w:val="59A2007F"/>
    <w:rsid w:val="59A459F2"/>
    <w:rsid w:val="59B95C5B"/>
    <w:rsid w:val="59D32C10"/>
    <w:rsid w:val="59D540B1"/>
    <w:rsid w:val="5A1030A8"/>
    <w:rsid w:val="5A2B12F0"/>
    <w:rsid w:val="5A4B6CB8"/>
    <w:rsid w:val="5A4C7225"/>
    <w:rsid w:val="5A523F01"/>
    <w:rsid w:val="5A5D7CE2"/>
    <w:rsid w:val="5A6B0C6D"/>
    <w:rsid w:val="5A6C7850"/>
    <w:rsid w:val="5A8C3A1A"/>
    <w:rsid w:val="5A9206A4"/>
    <w:rsid w:val="5AB12801"/>
    <w:rsid w:val="5AC501CE"/>
    <w:rsid w:val="5ACB7E61"/>
    <w:rsid w:val="5AD16627"/>
    <w:rsid w:val="5ADC5003"/>
    <w:rsid w:val="5AF02F44"/>
    <w:rsid w:val="5AFC466A"/>
    <w:rsid w:val="5AFC632C"/>
    <w:rsid w:val="5AFF6746"/>
    <w:rsid w:val="5B0C4999"/>
    <w:rsid w:val="5B194BAE"/>
    <w:rsid w:val="5B210307"/>
    <w:rsid w:val="5B236068"/>
    <w:rsid w:val="5B396B58"/>
    <w:rsid w:val="5B3B72A7"/>
    <w:rsid w:val="5B4A5638"/>
    <w:rsid w:val="5B5263FF"/>
    <w:rsid w:val="5B533CCE"/>
    <w:rsid w:val="5B573022"/>
    <w:rsid w:val="5B7A6DFF"/>
    <w:rsid w:val="5B7B6243"/>
    <w:rsid w:val="5B9C26DD"/>
    <w:rsid w:val="5BB04B61"/>
    <w:rsid w:val="5BBB2A7D"/>
    <w:rsid w:val="5BCF3EF7"/>
    <w:rsid w:val="5BD30E21"/>
    <w:rsid w:val="5BD46745"/>
    <w:rsid w:val="5BF738E3"/>
    <w:rsid w:val="5BFE7DB5"/>
    <w:rsid w:val="5C0075CD"/>
    <w:rsid w:val="5C1318A1"/>
    <w:rsid w:val="5C1E3E80"/>
    <w:rsid w:val="5C2E27B9"/>
    <w:rsid w:val="5C343794"/>
    <w:rsid w:val="5C367850"/>
    <w:rsid w:val="5C3A0A96"/>
    <w:rsid w:val="5C5B6A90"/>
    <w:rsid w:val="5C7034D0"/>
    <w:rsid w:val="5CA5608F"/>
    <w:rsid w:val="5CBB606D"/>
    <w:rsid w:val="5CCE3CFD"/>
    <w:rsid w:val="5CD075F2"/>
    <w:rsid w:val="5CD6638E"/>
    <w:rsid w:val="5CDA6EEE"/>
    <w:rsid w:val="5CDE77B7"/>
    <w:rsid w:val="5D23775A"/>
    <w:rsid w:val="5D3E4B67"/>
    <w:rsid w:val="5D4020CE"/>
    <w:rsid w:val="5D4C11EC"/>
    <w:rsid w:val="5D5B5E00"/>
    <w:rsid w:val="5D860304"/>
    <w:rsid w:val="5DA76F13"/>
    <w:rsid w:val="5DBA7BFD"/>
    <w:rsid w:val="5DCA0394"/>
    <w:rsid w:val="5DCA4D4C"/>
    <w:rsid w:val="5DCC5AF2"/>
    <w:rsid w:val="5E0013EB"/>
    <w:rsid w:val="5E021C06"/>
    <w:rsid w:val="5E03225B"/>
    <w:rsid w:val="5E123AFD"/>
    <w:rsid w:val="5E177981"/>
    <w:rsid w:val="5E2733A0"/>
    <w:rsid w:val="5E331C79"/>
    <w:rsid w:val="5E4E0B0D"/>
    <w:rsid w:val="5E5F40B5"/>
    <w:rsid w:val="5E6D14C7"/>
    <w:rsid w:val="5E6E1216"/>
    <w:rsid w:val="5E820C76"/>
    <w:rsid w:val="5EA66303"/>
    <w:rsid w:val="5EC178FD"/>
    <w:rsid w:val="5EC657EF"/>
    <w:rsid w:val="5EE81921"/>
    <w:rsid w:val="5EF1732C"/>
    <w:rsid w:val="5F241829"/>
    <w:rsid w:val="5F3773E5"/>
    <w:rsid w:val="5F6F4DB1"/>
    <w:rsid w:val="5F8D14A3"/>
    <w:rsid w:val="5F906CEE"/>
    <w:rsid w:val="5FA12FBE"/>
    <w:rsid w:val="5FAE76AD"/>
    <w:rsid w:val="5FC04431"/>
    <w:rsid w:val="5FDE1BB7"/>
    <w:rsid w:val="5FE420BD"/>
    <w:rsid w:val="5FE523A4"/>
    <w:rsid w:val="5FE7021A"/>
    <w:rsid w:val="600B47D9"/>
    <w:rsid w:val="600E0B7B"/>
    <w:rsid w:val="60140199"/>
    <w:rsid w:val="60140FAF"/>
    <w:rsid w:val="602422E3"/>
    <w:rsid w:val="60294F74"/>
    <w:rsid w:val="60386E33"/>
    <w:rsid w:val="603C4D7F"/>
    <w:rsid w:val="60680AAE"/>
    <w:rsid w:val="6070786D"/>
    <w:rsid w:val="607B0D84"/>
    <w:rsid w:val="60963114"/>
    <w:rsid w:val="60A46F13"/>
    <w:rsid w:val="60B45576"/>
    <w:rsid w:val="60BB0ECE"/>
    <w:rsid w:val="60E211C1"/>
    <w:rsid w:val="60E420DF"/>
    <w:rsid w:val="60EA432D"/>
    <w:rsid w:val="60FB4A82"/>
    <w:rsid w:val="60FD2554"/>
    <w:rsid w:val="60FD3345"/>
    <w:rsid w:val="60FE01F7"/>
    <w:rsid w:val="61121FF6"/>
    <w:rsid w:val="612800F5"/>
    <w:rsid w:val="612E0F84"/>
    <w:rsid w:val="61341D2E"/>
    <w:rsid w:val="613B5215"/>
    <w:rsid w:val="61527DD0"/>
    <w:rsid w:val="6153492F"/>
    <w:rsid w:val="6168749F"/>
    <w:rsid w:val="61730FDD"/>
    <w:rsid w:val="61771BCF"/>
    <w:rsid w:val="6192421A"/>
    <w:rsid w:val="61B70CB2"/>
    <w:rsid w:val="61C436DB"/>
    <w:rsid w:val="61C914C6"/>
    <w:rsid w:val="61D73478"/>
    <w:rsid w:val="61EE6ADB"/>
    <w:rsid w:val="61F3365A"/>
    <w:rsid w:val="620F6BB0"/>
    <w:rsid w:val="62163B1A"/>
    <w:rsid w:val="622F11E9"/>
    <w:rsid w:val="623B7785"/>
    <w:rsid w:val="623F74EC"/>
    <w:rsid w:val="62427BC2"/>
    <w:rsid w:val="626929CB"/>
    <w:rsid w:val="626F340D"/>
    <w:rsid w:val="6271160A"/>
    <w:rsid w:val="62896E74"/>
    <w:rsid w:val="628E3E71"/>
    <w:rsid w:val="629E3EA6"/>
    <w:rsid w:val="62BA167B"/>
    <w:rsid w:val="62C9318E"/>
    <w:rsid w:val="62CC6328"/>
    <w:rsid w:val="62E6051F"/>
    <w:rsid w:val="62E6347A"/>
    <w:rsid w:val="62E804D5"/>
    <w:rsid w:val="630028D4"/>
    <w:rsid w:val="63221CAF"/>
    <w:rsid w:val="6348293A"/>
    <w:rsid w:val="639026F2"/>
    <w:rsid w:val="63A15040"/>
    <w:rsid w:val="63A24C2F"/>
    <w:rsid w:val="63A31F1E"/>
    <w:rsid w:val="63BF427D"/>
    <w:rsid w:val="63C00E4E"/>
    <w:rsid w:val="63D67999"/>
    <w:rsid w:val="63E04A73"/>
    <w:rsid w:val="6433716C"/>
    <w:rsid w:val="645D1B81"/>
    <w:rsid w:val="6461035C"/>
    <w:rsid w:val="646D2F79"/>
    <w:rsid w:val="64833371"/>
    <w:rsid w:val="64B33E67"/>
    <w:rsid w:val="64C146F8"/>
    <w:rsid w:val="64D428D6"/>
    <w:rsid w:val="64DB2A29"/>
    <w:rsid w:val="64E15B86"/>
    <w:rsid w:val="64F40D0D"/>
    <w:rsid w:val="64F46726"/>
    <w:rsid w:val="64FD407F"/>
    <w:rsid w:val="65000059"/>
    <w:rsid w:val="65053BE9"/>
    <w:rsid w:val="65055E4D"/>
    <w:rsid w:val="650826A5"/>
    <w:rsid w:val="650D2548"/>
    <w:rsid w:val="65194D81"/>
    <w:rsid w:val="652E1138"/>
    <w:rsid w:val="65343BB9"/>
    <w:rsid w:val="65525349"/>
    <w:rsid w:val="6553705E"/>
    <w:rsid w:val="65581AB3"/>
    <w:rsid w:val="656D2D8C"/>
    <w:rsid w:val="65855422"/>
    <w:rsid w:val="658F68AE"/>
    <w:rsid w:val="65972595"/>
    <w:rsid w:val="65976E06"/>
    <w:rsid w:val="65992817"/>
    <w:rsid w:val="65A947EC"/>
    <w:rsid w:val="65CF55FC"/>
    <w:rsid w:val="65D53232"/>
    <w:rsid w:val="65D83EF7"/>
    <w:rsid w:val="65F40795"/>
    <w:rsid w:val="65F66D68"/>
    <w:rsid w:val="65F761A2"/>
    <w:rsid w:val="661A56A8"/>
    <w:rsid w:val="662C53CC"/>
    <w:rsid w:val="66332253"/>
    <w:rsid w:val="6639371C"/>
    <w:rsid w:val="6655781C"/>
    <w:rsid w:val="66614173"/>
    <w:rsid w:val="666D30F1"/>
    <w:rsid w:val="66721844"/>
    <w:rsid w:val="66752E6C"/>
    <w:rsid w:val="667B12DC"/>
    <w:rsid w:val="667B78B2"/>
    <w:rsid w:val="668C712F"/>
    <w:rsid w:val="668F6C47"/>
    <w:rsid w:val="66A849BA"/>
    <w:rsid w:val="66AC540F"/>
    <w:rsid w:val="66B05103"/>
    <w:rsid w:val="66B23796"/>
    <w:rsid w:val="66B65345"/>
    <w:rsid w:val="66CA26B4"/>
    <w:rsid w:val="66D5652F"/>
    <w:rsid w:val="66E10157"/>
    <w:rsid w:val="66E20972"/>
    <w:rsid w:val="67144D9C"/>
    <w:rsid w:val="6717091B"/>
    <w:rsid w:val="671A3AEF"/>
    <w:rsid w:val="67526063"/>
    <w:rsid w:val="67593735"/>
    <w:rsid w:val="675C66AA"/>
    <w:rsid w:val="67900F42"/>
    <w:rsid w:val="67906A0A"/>
    <w:rsid w:val="679851B1"/>
    <w:rsid w:val="67E17D40"/>
    <w:rsid w:val="67FA3BE5"/>
    <w:rsid w:val="6815024D"/>
    <w:rsid w:val="68151294"/>
    <w:rsid w:val="681F5F6D"/>
    <w:rsid w:val="682753EA"/>
    <w:rsid w:val="68432C37"/>
    <w:rsid w:val="685A7BF3"/>
    <w:rsid w:val="68842C05"/>
    <w:rsid w:val="68A12FA5"/>
    <w:rsid w:val="68B87986"/>
    <w:rsid w:val="68BF6331"/>
    <w:rsid w:val="68D575DF"/>
    <w:rsid w:val="68DA38B3"/>
    <w:rsid w:val="69030B95"/>
    <w:rsid w:val="691A4EC3"/>
    <w:rsid w:val="69204E4A"/>
    <w:rsid w:val="69371B9A"/>
    <w:rsid w:val="694E1880"/>
    <w:rsid w:val="694F4832"/>
    <w:rsid w:val="699D4DD9"/>
    <w:rsid w:val="69C636A9"/>
    <w:rsid w:val="69D81708"/>
    <w:rsid w:val="69DA3DD7"/>
    <w:rsid w:val="69FE118F"/>
    <w:rsid w:val="6A0718DE"/>
    <w:rsid w:val="6A110F82"/>
    <w:rsid w:val="6A16644F"/>
    <w:rsid w:val="6A190A53"/>
    <w:rsid w:val="6A2E6725"/>
    <w:rsid w:val="6A36467C"/>
    <w:rsid w:val="6A435241"/>
    <w:rsid w:val="6A4B5FDB"/>
    <w:rsid w:val="6A5C053E"/>
    <w:rsid w:val="6A5C0CCD"/>
    <w:rsid w:val="6A630CFC"/>
    <w:rsid w:val="6A6E1A2A"/>
    <w:rsid w:val="6A6E3AC3"/>
    <w:rsid w:val="6A8C6BF6"/>
    <w:rsid w:val="6A9125EA"/>
    <w:rsid w:val="6A9A03D2"/>
    <w:rsid w:val="6AAE32F7"/>
    <w:rsid w:val="6AAE5A23"/>
    <w:rsid w:val="6AAE6BDA"/>
    <w:rsid w:val="6AD173AD"/>
    <w:rsid w:val="6AD63F97"/>
    <w:rsid w:val="6ADC7E0B"/>
    <w:rsid w:val="6AF721E5"/>
    <w:rsid w:val="6B037AF9"/>
    <w:rsid w:val="6B134CBB"/>
    <w:rsid w:val="6B340CBE"/>
    <w:rsid w:val="6B415C3A"/>
    <w:rsid w:val="6B6F31CB"/>
    <w:rsid w:val="6B806B8A"/>
    <w:rsid w:val="6B8A4F44"/>
    <w:rsid w:val="6BB27717"/>
    <w:rsid w:val="6BE14913"/>
    <w:rsid w:val="6BEC55D3"/>
    <w:rsid w:val="6C0024E4"/>
    <w:rsid w:val="6C282983"/>
    <w:rsid w:val="6C3106A6"/>
    <w:rsid w:val="6C334476"/>
    <w:rsid w:val="6C4528A7"/>
    <w:rsid w:val="6C500B83"/>
    <w:rsid w:val="6C504565"/>
    <w:rsid w:val="6C580715"/>
    <w:rsid w:val="6C704270"/>
    <w:rsid w:val="6C7B26A4"/>
    <w:rsid w:val="6C7F1FCA"/>
    <w:rsid w:val="6C922D49"/>
    <w:rsid w:val="6C9C0348"/>
    <w:rsid w:val="6CB06B71"/>
    <w:rsid w:val="6CD26A08"/>
    <w:rsid w:val="6CDC31C0"/>
    <w:rsid w:val="6CDC786F"/>
    <w:rsid w:val="6CEF2C30"/>
    <w:rsid w:val="6CF818CA"/>
    <w:rsid w:val="6D032647"/>
    <w:rsid w:val="6D0D4D2D"/>
    <w:rsid w:val="6D374B9F"/>
    <w:rsid w:val="6D505F4E"/>
    <w:rsid w:val="6D5178C2"/>
    <w:rsid w:val="6D591866"/>
    <w:rsid w:val="6D784329"/>
    <w:rsid w:val="6D877795"/>
    <w:rsid w:val="6D8B4C36"/>
    <w:rsid w:val="6D94576F"/>
    <w:rsid w:val="6DA66AC4"/>
    <w:rsid w:val="6DA82030"/>
    <w:rsid w:val="6DC74D72"/>
    <w:rsid w:val="6DC764D3"/>
    <w:rsid w:val="6DC813B4"/>
    <w:rsid w:val="6DEE0D15"/>
    <w:rsid w:val="6DF37DED"/>
    <w:rsid w:val="6E34283D"/>
    <w:rsid w:val="6E410963"/>
    <w:rsid w:val="6E5637C0"/>
    <w:rsid w:val="6E6723D6"/>
    <w:rsid w:val="6E776F35"/>
    <w:rsid w:val="6E8E40B4"/>
    <w:rsid w:val="6E8F498E"/>
    <w:rsid w:val="6EBB2294"/>
    <w:rsid w:val="6ED264C4"/>
    <w:rsid w:val="6ED809D8"/>
    <w:rsid w:val="6EEC645D"/>
    <w:rsid w:val="6EF53B92"/>
    <w:rsid w:val="6F093755"/>
    <w:rsid w:val="6F151709"/>
    <w:rsid w:val="6F6646E9"/>
    <w:rsid w:val="6F734B8A"/>
    <w:rsid w:val="6F8119CC"/>
    <w:rsid w:val="6F94533D"/>
    <w:rsid w:val="6FA36B46"/>
    <w:rsid w:val="6FA45754"/>
    <w:rsid w:val="6FA91CEA"/>
    <w:rsid w:val="6FB1102D"/>
    <w:rsid w:val="6FC12DB3"/>
    <w:rsid w:val="6FD6505F"/>
    <w:rsid w:val="6FD66AE3"/>
    <w:rsid w:val="6FE30CD2"/>
    <w:rsid w:val="6FF32484"/>
    <w:rsid w:val="6FF466BD"/>
    <w:rsid w:val="6FFB415F"/>
    <w:rsid w:val="701A2F1E"/>
    <w:rsid w:val="70274D4E"/>
    <w:rsid w:val="70322887"/>
    <w:rsid w:val="70390B87"/>
    <w:rsid w:val="704D4CA0"/>
    <w:rsid w:val="706C287C"/>
    <w:rsid w:val="70727DFF"/>
    <w:rsid w:val="70A4359F"/>
    <w:rsid w:val="70A528A7"/>
    <w:rsid w:val="70CE5045"/>
    <w:rsid w:val="70D71582"/>
    <w:rsid w:val="70FE7EBC"/>
    <w:rsid w:val="7100433E"/>
    <w:rsid w:val="71656AE0"/>
    <w:rsid w:val="716A021D"/>
    <w:rsid w:val="71746D68"/>
    <w:rsid w:val="717B3F53"/>
    <w:rsid w:val="718050B8"/>
    <w:rsid w:val="719159E5"/>
    <w:rsid w:val="719236E2"/>
    <w:rsid w:val="71A0489B"/>
    <w:rsid w:val="71A17AAB"/>
    <w:rsid w:val="71CE231F"/>
    <w:rsid w:val="71EE564A"/>
    <w:rsid w:val="720A7DD1"/>
    <w:rsid w:val="720D0B66"/>
    <w:rsid w:val="724667CC"/>
    <w:rsid w:val="727D257F"/>
    <w:rsid w:val="729355F5"/>
    <w:rsid w:val="729E3D0C"/>
    <w:rsid w:val="72B6321C"/>
    <w:rsid w:val="72CC0920"/>
    <w:rsid w:val="72F42447"/>
    <w:rsid w:val="73026CFD"/>
    <w:rsid w:val="73300DCB"/>
    <w:rsid w:val="73325730"/>
    <w:rsid w:val="7348728B"/>
    <w:rsid w:val="73637282"/>
    <w:rsid w:val="736A164B"/>
    <w:rsid w:val="736A2297"/>
    <w:rsid w:val="73AA602F"/>
    <w:rsid w:val="73B37B7D"/>
    <w:rsid w:val="73CB26A8"/>
    <w:rsid w:val="73CD70A4"/>
    <w:rsid w:val="73CE2B42"/>
    <w:rsid w:val="73EE3D2C"/>
    <w:rsid w:val="73F150F4"/>
    <w:rsid w:val="740639BB"/>
    <w:rsid w:val="741C34F8"/>
    <w:rsid w:val="741D0651"/>
    <w:rsid w:val="743417C6"/>
    <w:rsid w:val="743A7ABC"/>
    <w:rsid w:val="743E056C"/>
    <w:rsid w:val="74461DBB"/>
    <w:rsid w:val="746840B5"/>
    <w:rsid w:val="749673CE"/>
    <w:rsid w:val="749771DD"/>
    <w:rsid w:val="749876E8"/>
    <w:rsid w:val="749F271C"/>
    <w:rsid w:val="74A124AA"/>
    <w:rsid w:val="74B010EE"/>
    <w:rsid w:val="74B6459F"/>
    <w:rsid w:val="74BA69AB"/>
    <w:rsid w:val="74BE0D67"/>
    <w:rsid w:val="74DE2189"/>
    <w:rsid w:val="74DE462D"/>
    <w:rsid w:val="74F742E7"/>
    <w:rsid w:val="74FA794F"/>
    <w:rsid w:val="750231BE"/>
    <w:rsid w:val="751D3A68"/>
    <w:rsid w:val="75246688"/>
    <w:rsid w:val="753A59FF"/>
    <w:rsid w:val="755605EA"/>
    <w:rsid w:val="75564F57"/>
    <w:rsid w:val="75565667"/>
    <w:rsid w:val="755728A1"/>
    <w:rsid w:val="756138AC"/>
    <w:rsid w:val="756842A3"/>
    <w:rsid w:val="75826D3A"/>
    <w:rsid w:val="758E203F"/>
    <w:rsid w:val="75900F33"/>
    <w:rsid w:val="75BE13F7"/>
    <w:rsid w:val="75D436B7"/>
    <w:rsid w:val="75E0592A"/>
    <w:rsid w:val="75E15891"/>
    <w:rsid w:val="75E23EC1"/>
    <w:rsid w:val="761F408D"/>
    <w:rsid w:val="7624173C"/>
    <w:rsid w:val="762478FB"/>
    <w:rsid w:val="76323D83"/>
    <w:rsid w:val="763F1F9D"/>
    <w:rsid w:val="76413178"/>
    <w:rsid w:val="764F5AF8"/>
    <w:rsid w:val="765467AB"/>
    <w:rsid w:val="76635A00"/>
    <w:rsid w:val="76647523"/>
    <w:rsid w:val="767A0EE3"/>
    <w:rsid w:val="769260FE"/>
    <w:rsid w:val="769446ED"/>
    <w:rsid w:val="76AD2BD7"/>
    <w:rsid w:val="76AF1F9D"/>
    <w:rsid w:val="76C60567"/>
    <w:rsid w:val="76D25CCB"/>
    <w:rsid w:val="76DA7F3B"/>
    <w:rsid w:val="76EF4690"/>
    <w:rsid w:val="77026631"/>
    <w:rsid w:val="7709218B"/>
    <w:rsid w:val="77172036"/>
    <w:rsid w:val="772D05D0"/>
    <w:rsid w:val="772E1D4C"/>
    <w:rsid w:val="773E75AE"/>
    <w:rsid w:val="776637C0"/>
    <w:rsid w:val="777C2930"/>
    <w:rsid w:val="777F0EDD"/>
    <w:rsid w:val="77C054A1"/>
    <w:rsid w:val="77C86312"/>
    <w:rsid w:val="77DE0C08"/>
    <w:rsid w:val="77E20619"/>
    <w:rsid w:val="77E854D0"/>
    <w:rsid w:val="77F6118F"/>
    <w:rsid w:val="77F76905"/>
    <w:rsid w:val="780A2CAA"/>
    <w:rsid w:val="78135A45"/>
    <w:rsid w:val="782A4FA2"/>
    <w:rsid w:val="78364A07"/>
    <w:rsid w:val="784F242A"/>
    <w:rsid w:val="78567139"/>
    <w:rsid w:val="7868607B"/>
    <w:rsid w:val="789C0D40"/>
    <w:rsid w:val="78AA22B0"/>
    <w:rsid w:val="78AD76A5"/>
    <w:rsid w:val="78C11DD3"/>
    <w:rsid w:val="78C3736C"/>
    <w:rsid w:val="7900785F"/>
    <w:rsid w:val="79065572"/>
    <w:rsid w:val="790A0DAD"/>
    <w:rsid w:val="790F7592"/>
    <w:rsid w:val="79624778"/>
    <w:rsid w:val="796920CE"/>
    <w:rsid w:val="79A46CA4"/>
    <w:rsid w:val="79AC2293"/>
    <w:rsid w:val="79C474B4"/>
    <w:rsid w:val="79D72BC6"/>
    <w:rsid w:val="7A310B04"/>
    <w:rsid w:val="7A3470EE"/>
    <w:rsid w:val="7A406322"/>
    <w:rsid w:val="7A462DA1"/>
    <w:rsid w:val="7A516018"/>
    <w:rsid w:val="7A645054"/>
    <w:rsid w:val="7A664F3C"/>
    <w:rsid w:val="7A762FED"/>
    <w:rsid w:val="7A79172B"/>
    <w:rsid w:val="7A840268"/>
    <w:rsid w:val="7A8E54B7"/>
    <w:rsid w:val="7A9A1494"/>
    <w:rsid w:val="7AA53EB3"/>
    <w:rsid w:val="7ABF12DC"/>
    <w:rsid w:val="7AC8541A"/>
    <w:rsid w:val="7AD65423"/>
    <w:rsid w:val="7AE2047B"/>
    <w:rsid w:val="7AF606D5"/>
    <w:rsid w:val="7AF84C6C"/>
    <w:rsid w:val="7AFE2079"/>
    <w:rsid w:val="7AFE2E1A"/>
    <w:rsid w:val="7B0B7B68"/>
    <w:rsid w:val="7B1A6B37"/>
    <w:rsid w:val="7B2E64F8"/>
    <w:rsid w:val="7B3D3CDC"/>
    <w:rsid w:val="7B4D06F4"/>
    <w:rsid w:val="7B504560"/>
    <w:rsid w:val="7B58401B"/>
    <w:rsid w:val="7B653887"/>
    <w:rsid w:val="7B6C7E5D"/>
    <w:rsid w:val="7B932E58"/>
    <w:rsid w:val="7B96509F"/>
    <w:rsid w:val="7B9D31FF"/>
    <w:rsid w:val="7BB6263D"/>
    <w:rsid w:val="7BC33D93"/>
    <w:rsid w:val="7BC7746F"/>
    <w:rsid w:val="7BD42193"/>
    <w:rsid w:val="7BD631E9"/>
    <w:rsid w:val="7BDF7CCD"/>
    <w:rsid w:val="7BE30FD8"/>
    <w:rsid w:val="7BE846AC"/>
    <w:rsid w:val="7BFB1551"/>
    <w:rsid w:val="7BFD5BE9"/>
    <w:rsid w:val="7C1F4C6C"/>
    <w:rsid w:val="7C2E4FDA"/>
    <w:rsid w:val="7C405388"/>
    <w:rsid w:val="7C467BBF"/>
    <w:rsid w:val="7C4D1F19"/>
    <w:rsid w:val="7C502038"/>
    <w:rsid w:val="7C5F27AC"/>
    <w:rsid w:val="7C687F80"/>
    <w:rsid w:val="7C6B06D3"/>
    <w:rsid w:val="7C6D4C4A"/>
    <w:rsid w:val="7C833A2B"/>
    <w:rsid w:val="7C9326D5"/>
    <w:rsid w:val="7CB40D88"/>
    <w:rsid w:val="7CC25F7C"/>
    <w:rsid w:val="7CD35875"/>
    <w:rsid w:val="7CDF2114"/>
    <w:rsid w:val="7CF4293F"/>
    <w:rsid w:val="7D0503FE"/>
    <w:rsid w:val="7D083A1E"/>
    <w:rsid w:val="7D197055"/>
    <w:rsid w:val="7D250A5C"/>
    <w:rsid w:val="7D306717"/>
    <w:rsid w:val="7D3A2075"/>
    <w:rsid w:val="7D3E337A"/>
    <w:rsid w:val="7D4972EC"/>
    <w:rsid w:val="7D6543D6"/>
    <w:rsid w:val="7D696000"/>
    <w:rsid w:val="7D6A329C"/>
    <w:rsid w:val="7D8C10BB"/>
    <w:rsid w:val="7D98473E"/>
    <w:rsid w:val="7DB70173"/>
    <w:rsid w:val="7DC20964"/>
    <w:rsid w:val="7DC52577"/>
    <w:rsid w:val="7DC735BA"/>
    <w:rsid w:val="7DC92AB1"/>
    <w:rsid w:val="7DE219FE"/>
    <w:rsid w:val="7DFA1B73"/>
    <w:rsid w:val="7DFF2D37"/>
    <w:rsid w:val="7E0E56A3"/>
    <w:rsid w:val="7E0F6644"/>
    <w:rsid w:val="7E144FA9"/>
    <w:rsid w:val="7E4A6AF4"/>
    <w:rsid w:val="7E4F0ABF"/>
    <w:rsid w:val="7E5837F3"/>
    <w:rsid w:val="7E5D0626"/>
    <w:rsid w:val="7E877A8C"/>
    <w:rsid w:val="7E8E5D4E"/>
    <w:rsid w:val="7E990182"/>
    <w:rsid w:val="7ED03074"/>
    <w:rsid w:val="7EE0446A"/>
    <w:rsid w:val="7EEC40DA"/>
    <w:rsid w:val="7F03694A"/>
    <w:rsid w:val="7F0909DD"/>
    <w:rsid w:val="7F2A52C6"/>
    <w:rsid w:val="7F3D2CB9"/>
    <w:rsid w:val="7F64285A"/>
    <w:rsid w:val="7F6B083A"/>
    <w:rsid w:val="7F6C73BB"/>
    <w:rsid w:val="7F7E4CA9"/>
    <w:rsid w:val="7F903BC3"/>
    <w:rsid w:val="7FA15205"/>
    <w:rsid w:val="7FA15A84"/>
    <w:rsid w:val="7FCA1A12"/>
    <w:rsid w:val="7FD6725C"/>
    <w:rsid w:val="7FD768A1"/>
    <w:rsid w:val="7FDB3C26"/>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8"/>
    </w:rPr>
  </w:style>
  <w:style w:type="paragraph" w:styleId="3">
    <w:name w:val="Body Text First Indent"/>
    <w:basedOn w:val="2"/>
    <w:next w:val="1"/>
    <w:unhideWhenUsed/>
    <w:qFormat/>
    <w:uiPriority w:val="99"/>
    <w:pPr>
      <w:ind w:firstLine="420" w:firstLineChars="100"/>
    </w:pPr>
    <w:rPr>
      <w:rFonts w:ascii="Times New Roman" w:hAnsi="Times New Roman" w:eastAsia="宋体" w:cs="Times New Roman"/>
    </w:rPr>
  </w:style>
  <w:style w:type="paragraph" w:styleId="4">
    <w:name w:val="Body Text Indent"/>
    <w:basedOn w:val="1"/>
    <w:unhideWhenUsed/>
    <w:qFormat/>
    <w:uiPriority w:val="99"/>
    <w:pPr>
      <w:ind w:left="420" w:leftChars="200"/>
    </w:pPr>
  </w:style>
  <w:style w:type="paragraph" w:styleId="5">
    <w:name w:val="footer"/>
    <w:basedOn w:val="1"/>
    <w:link w:val="11"/>
    <w:unhideWhenUsed/>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Body Text First Indent 2"/>
    <w:basedOn w:val="4"/>
    <w:unhideWhenUsed/>
    <w:qFormat/>
    <w:uiPriority w:val="99"/>
    <w:pPr>
      <w:ind w:firstLine="420" w:firstLineChars="200"/>
    </w:p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paragraph" w:customStyle="1" w:styleId="12">
    <w:name w:val="表内容"/>
    <w:qFormat/>
    <w:uiPriority w:val="0"/>
    <w:pPr>
      <w:jc w:val="center"/>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26272</Words>
  <Characters>27705</Characters>
  <Lines>30</Lines>
  <Paragraphs>8</Paragraphs>
  <TotalTime>4</TotalTime>
  <ScaleCrop>false</ScaleCrop>
  <LinksUpToDate>false</LinksUpToDate>
  <CharactersWithSpaces>30851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电子投标（2025版）</dc:description>
  <cp:lastModifiedBy>Administrator</cp:lastModifiedBy>
  <cp:lastPrinted>2024-07-12T02:00:00Z</cp:lastPrinted>
  <dcterms:modified xsi:type="dcterms:W3CDTF">2025-06-27T00:36:23Z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