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Lines="100" w:line="360" w:lineRule="auto"/>
        <w:jc w:val="center"/>
        <w:textAlignment w:val="bottom"/>
        <w:outlineLvl w:val="0"/>
        <w:rPr>
          <w:rFonts w:ascii="宋体" w:hAnsi="宋体"/>
          <w:b/>
          <w:color w:val="auto"/>
          <w:sz w:val="84"/>
          <w:szCs w:val="84"/>
          <w:highlight w:val="none"/>
        </w:rPr>
      </w:pPr>
      <w:r>
        <w:rPr>
          <w:rFonts w:hint="eastAsia" w:ascii="宋体" w:hAnsi="宋体"/>
          <w:b/>
          <w:color w:val="auto"/>
          <w:sz w:val="84"/>
          <w:szCs w:val="84"/>
          <w:highlight w:val="none"/>
        </w:rPr>
        <w:t>招</w:t>
      </w:r>
      <w:r>
        <w:rPr>
          <w:rFonts w:ascii="宋体" w:hAnsi="宋体"/>
          <w:b/>
          <w:color w:val="auto"/>
          <w:sz w:val="84"/>
          <w:szCs w:val="84"/>
          <w:highlight w:val="none"/>
        </w:rPr>
        <w:t xml:space="preserve">  </w:t>
      </w:r>
      <w:r>
        <w:rPr>
          <w:rFonts w:hint="eastAsia" w:ascii="宋体" w:hAnsi="宋体"/>
          <w:b/>
          <w:color w:val="auto"/>
          <w:sz w:val="84"/>
          <w:szCs w:val="84"/>
          <w:highlight w:val="none"/>
        </w:rPr>
        <w:t>标</w:t>
      </w:r>
      <w:r>
        <w:rPr>
          <w:rFonts w:ascii="宋体" w:hAnsi="宋体"/>
          <w:b/>
          <w:color w:val="auto"/>
          <w:sz w:val="84"/>
          <w:szCs w:val="84"/>
          <w:highlight w:val="none"/>
        </w:rPr>
        <w:t xml:space="preserve">  </w:t>
      </w:r>
      <w:r>
        <w:rPr>
          <w:rFonts w:hint="eastAsia" w:ascii="宋体" w:hAnsi="宋体"/>
          <w:b/>
          <w:color w:val="auto"/>
          <w:sz w:val="84"/>
          <w:szCs w:val="84"/>
          <w:highlight w:val="none"/>
        </w:rPr>
        <w:t>文</w:t>
      </w:r>
      <w:r>
        <w:rPr>
          <w:rFonts w:ascii="宋体" w:hAnsi="宋体"/>
          <w:b/>
          <w:color w:val="auto"/>
          <w:sz w:val="84"/>
          <w:szCs w:val="84"/>
          <w:highlight w:val="none"/>
        </w:rPr>
        <w:t xml:space="preserve">  </w:t>
      </w:r>
      <w:r>
        <w:rPr>
          <w:rFonts w:hint="eastAsia" w:ascii="宋体" w:hAnsi="宋体"/>
          <w:b/>
          <w:color w:val="auto"/>
          <w:sz w:val="84"/>
          <w:szCs w:val="84"/>
          <w:highlight w:val="none"/>
        </w:rPr>
        <w:t>件</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2"/>
          <w:szCs w:val="32"/>
          <w:highlight w:val="none"/>
          <w:u w:val="singl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项目名称：</w:t>
      </w:r>
      <w:r>
        <w:rPr>
          <w:rFonts w:hint="eastAsia" w:ascii="宋体" w:hAnsi="宋体"/>
          <w:b/>
          <w:bCs/>
          <w:color w:val="auto"/>
          <w:sz w:val="36"/>
          <w:szCs w:val="36"/>
          <w:highlight w:val="none"/>
          <w:u w:val="single"/>
          <w:lang w:eastAsia="zh-CN"/>
        </w:rPr>
        <w:t>柴桥中学智能录播教室设备</w:t>
      </w: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6"/>
          <w:szCs w:val="36"/>
          <w:highlight w:val="non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项目编号：</w:t>
      </w:r>
      <w:r>
        <w:rPr>
          <w:rFonts w:hint="eastAsia" w:ascii="宋体" w:hAnsi="宋体"/>
          <w:b/>
          <w:bCs/>
          <w:color w:val="auto"/>
          <w:sz w:val="36"/>
          <w:szCs w:val="36"/>
          <w:highlight w:val="none"/>
          <w:u w:val="single"/>
          <w:lang w:eastAsia="zh-CN"/>
        </w:rPr>
        <w:t>BLZFCG2025034</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 购 人：</w:t>
      </w:r>
      <w:bookmarkStart w:id="0" w:name="OLE_LINK5"/>
      <w:bookmarkStart w:id="1" w:name="OLE_LINK4"/>
      <w:r>
        <w:rPr>
          <w:rFonts w:hint="eastAsia"/>
          <w:b/>
          <w:bCs/>
          <w:color w:val="auto"/>
          <w:sz w:val="30"/>
          <w:szCs w:val="30"/>
          <w:highlight w:val="none"/>
          <w:lang w:eastAsia="zh-CN"/>
        </w:rPr>
        <w:t>宁波市北仑区柴桥中学</w:t>
      </w:r>
    </w:p>
    <w:bookmarkEnd w:id="0"/>
    <w:bookmarkEnd w:id="1"/>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采购机构：</w:t>
      </w:r>
      <w:r>
        <w:rPr>
          <w:rFonts w:hint="eastAsia"/>
          <w:b/>
          <w:bCs/>
          <w:color w:val="auto"/>
          <w:sz w:val="30"/>
          <w:szCs w:val="30"/>
          <w:highlight w:val="none"/>
          <w:lang w:eastAsia="zh-CN"/>
        </w:rPr>
        <w:t>宁波市北仑区（开发区）政务服务中心</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0"/>
        <w:rPr>
          <w:rFonts w:ascii="宋体" w:hAnsi="宋体"/>
          <w:b/>
          <w:bCs/>
          <w:color w:val="auto"/>
          <w:sz w:val="36"/>
          <w:highlight w:val="none"/>
        </w:rPr>
      </w:pPr>
      <w:r>
        <w:rPr>
          <w:rFonts w:hint="eastAsia" w:ascii="宋体" w:hAnsi="宋体"/>
          <w:b/>
          <w:bCs/>
          <w:color w:val="auto"/>
          <w:sz w:val="36"/>
          <w:highlight w:val="none"/>
        </w:rPr>
        <w:t>二〇二</w:t>
      </w:r>
      <w:r>
        <w:rPr>
          <w:rFonts w:hint="eastAsia" w:ascii="宋体" w:hAnsi="宋体"/>
          <w:b/>
          <w:bCs/>
          <w:color w:val="auto"/>
          <w:sz w:val="36"/>
          <w:highlight w:val="none"/>
          <w:lang w:val="en-US" w:eastAsia="zh-CN"/>
        </w:rPr>
        <w:t>五</w:t>
      </w:r>
      <w:r>
        <w:rPr>
          <w:rFonts w:hint="eastAsia" w:ascii="宋体" w:hAnsi="宋体"/>
          <w:b/>
          <w:bCs/>
          <w:color w:val="auto"/>
          <w:sz w:val="36"/>
          <w:highlight w:val="none"/>
        </w:rPr>
        <w:t xml:space="preserve"> 年 </w:t>
      </w:r>
      <w:r>
        <w:rPr>
          <w:rFonts w:hint="eastAsia" w:ascii="宋体" w:hAnsi="宋体"/>
          <w:b/>
          <w:bCs/>
          <w:color w:val="auto"/>
          <w:sz w:val="36"/>
          <w:highlight w:val="none"/>
          <w:lang w:val="en-US" w:eastAsia="zh-CN"/>
        </w:rPr>
        <w:t>七</w:t>
      </w:r>
      <w:r>
        <w:rPr>
          <w:rFonts w:hint="eastAsia" w:ascii="宋体" w:hAnsi="宋体"/>
          <w:b/>
          <w:bCs/>
          <w:color w:val="auto"/>
          <w:sz w:val="36"/>
          <w:highlight w:val="none"/>
        </w:rPr>
        <w:t xml:space="preserve"> 月</w:t>
      </w:r>
    </w:p>
    <w:p>
      <w:pPr>
        <w:keepNext w:val="0"/>
        <w:keepLines w:val="0"/>
        <w:pageBreakBefore w:val="0"/>
        <w:widowControl w:val="0"/>
        <w:kinsoku/>
        <w:wordWrap/>
        <w:overflowPunct/>
        <w:topLinePunct w:val="0"/>
        <w:bidi w:val="0"/>
        <w:adjustRightInd/>
        <w:snapToGrid/>
        <w:rPr>
          <w:rFonts w:ascii="宋体" w:hAnsi="宋体"/>
          <w:color w:val="auto"/>
          <w:highlight w:val="none"/>
        </w:rPr>
        <w:sectPr>
          <w:headerReference r:id="rId4" w:type="first"/>
          <w:headerReference r:id="rId3" w:type="default"/>
          <w:footerReference r:id="rId5" w:type="default"/>
          <w:pgSz w:w="11906" w:h="16838"/>
          <w:pgMar w:top="1440" w:right="1800" w:bottom="1440" w:left="1800" w:header="851" w:footer="850" w:gutter="0"/>
          <w:cols w:space="425" w:num="1"/>
          <w:titlePg/>
          <w:docGrid w:type="lines" w:linePitch="312" w:charSpace="0"/>
        </w:sect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color w:val="auto"/>
          <w:sz w:val="44"/>
          <w:highlight w:val="none"/>
        </w:rPr>
      </w:pPr>
      <w:r>
        <w:rPr>
          <w:rFonts w:hint="eastAsia" w:ascii="黑体" w:hAnsi="黑体" w:eastAsia="黑体"/>
          <w:color w:val="auto"/>
          <w:sz w:val="44"/>
          <w:highlight w:val="none"/>
        </w:rPr>
        <w:t>目   录</w:t>
      </w: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1、第一部分………………………………投标邀请</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2、第二部分………………………………前附表</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3、第三部分………………………………投标人须知</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4、第四部分………………………………项目内容及要求</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5、第五部分………………………………采购合同</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6、第六部分………………………………投标文件组成及格式</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7、第七部分………………………………评标办法及评分标准</w:t>
      </w:r>
    </w:p>
    <w:p>
      <w:pPr>
        <w:autoSpaceDE w:val="0"/>
        <w:autoSpaceDN w:val="0"/>
        <w:snapToGrid w:val="0"/>
        <w:spacing w:before="96" w:after="96" w:line="360" w:lineRule="auto"/>
        <w:rPr>
          <w:rFonts w:ascii="宋体" w:hAnsi="宋体"/>
          <w:b/>
          <w:bCs/>
          <w:color w:val="auto"/>
          <w:sz w:val="36"/>
          <w:szCs w:val="36"/>
          <w:highlight w:val="none"/>
        </w:rPr>
      </w:pPr>
    </w:p>
    <w:p>
      <w:pPr>
        <w:rPr>
          <w:rFonts w:ascii="宋体" w:hAnsi="宋体"/>
          <w:b/>
          <w:bCs/>
          <w:color w:val="auto"/>
          <w:sz w:val="36"/>
          <w:szCs w:val="36"/>
          <w:highlight w:val="none"/>
        </w:rPr>
        <w:sectPr>
          <w:pgSz w:w="11906" w:h="16838"/>
          <w:pgMar w:top="1474" w:right="1474" w:bottom="1418" w:left="1588" w:header="851" w:footer="850"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第一部分  </w:t>
      </w:r>
      <w:r>
        <w:rPr>
          <w:rFonts w:hint="eastAsia" w:ascii="宋体" w:hAnsi="宋体" w:cs="宋体"/>
          <w:b/>
          <w:bCs/>
          <w:color w:val="auto"/>
          <w:sz w:val="36"/>
          <w:szCs w:val="36"/>
          <w:highlight w:val="none"/>
          <w:lang w:val="en-US" w:eastAsia="zh-CN"/>
        </w:rPr>
        <w:t>投标邀请</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根据《中华人民共和国政府采购法》及有关办法，</w:t>
      </w:r>
      <w:r>
        <w:rPr>
          <w:rFonts w:hint="eastAsia" w:ascii="宋体" w:hAnsi="宋体" w:cs="宋体"/>
          <w:color w:val="auto"/>
          <w:highlight w:val="none"/>
          <w:lang w:eastAsia="zh-CN"/>
        </w:rPr>
        <w:t>宁波市北仑区（开发区）政务服务中心</w:t>
      </w:r>
      <w:r>
        <w:rPr>
          <w:rFonts w:hint="eastAsia" w:ascii="宋体" w:hAnsi="宋体" w:eastAsia="宋体" w:cs="宋体"/>
          <w:color w:val="auto"/>
          <w:highlight w:val="none"/>
        </w:rPr>
        <w:t>受</w:t>
      </w:r>
      <w:r>
        <w:rPr>
          <w:rFonts w:hint="eastAsia" w:ascii="宋体" w:hAnsi="宋体" w:cs="宋体"/>
          <w:color w:val="auto"/>
          <w:highlight w:val="none"/>
          <w:lang w:eastAsia="zh-CN"/>
        </w:rPr>
        <w:t>宁波市北仑区柴桥中学</w:t>
      </w:r>
      <w:r>
        <w:rPr>
          <w:rFonts w:hint="eastAsia" w:ascii="宋体" w:hAnsi="宋体" w:eastAsia="宋体" w:cs="宋体"/>
          <w:color w:val="auto"/>
          <w:highlight w:val="none"/>
        </w:rPr>
        <w:t>委托，就</w:t>
      </w:r>
      <w:r>
        <w:rPr>
          <w:rFonts w:hint="eastAsia" w:ascii="宋体" w:hAnsi="宋体" w:cs="宋体"/>
          <w:color w:val="auto"/>
          <w:highlight w:val="none"/>
          <w:lang w:eastAsia="zh-CN"/>
        </w:rPr>
        <w:t>柴桥中学智能录播教室设备</w:t>
      </w:r>
      <w:r>
        <w:rPr>
          <w:rFonts w:hint="eastAsia" w:ascii="宋体" w:hAnsi="宋体" w:eastAsia="宋体" w:cs="宋体"/>
          <w:color w:val="auto"/>
          <w:highlight w:val="none"/>
        </w:rPr>
        <w:t>项目</w:t>
      </w:r>
      <w:r>
        <w:rPr>
          <w:rFonts w:hint="eastAsia" w:ascii="宋体" w:hAnsi="宋体" w:cs="宋体"/>
          <w:color w:val="auto"/>
          <w:highlight w:val="none"/>
          <w:lang w:val="en-US" w:eastAsia="zh-CN"/>
        </w:rPr>
        <w:t>以</w:t>
      </w:r>
      <w:r>
        <w:rPr>
          <w:rFonts w:hint="eastAsia" w:ascii="宋体" w:hAnsi="宋体" w:eastAsia="宋体" w:cs="宋体"/>
          <w:color w:val="auto"/>
          <w:highlight w:val="none"/>
        </w:rPr>
        <w:t>公开招标</w:t>
      </w:r>
      <w:r>
        <w:rPr>
          <w:rFonts w:hint="eastAsia" w:ascii="宋体" w:hAnsi="宋体" w:cs="宋体"/>
          <w:color w:val="auto"/>
          <w:highlight w:val="none"/>
          <w:lang w:val="en-US" w:eastAsia="zh-CN"/>
        </w:rPr>
        <w:t>的方式进行采购</w:t>
      </w:r>
      <w:r>
        <w:rPr>
          <w:rFonts w:hint="eastAsia" w:ascii="宋体" w:hAnsi="宋体" w:eastAsia="宋体" w:cs="宋体"/>
          <w:color w:val="auto"/>
          <w:highlight w:val="none"/>
        </w:rPr>
        <w:t>，欢迎</w:t>
      </w:r>
      <w:r>
        <w:rPr>
          <w:rFonts w:hint="eastAsia" w:ascii="宋体" w:hAnsi="宋体" w:cs="宋体"/>
          <w:color w:val="auto"/>
          <w:highlight w:val="none"/>
          <w:lang w:val="en-US" w:eastAsia="zh-CN"/>
        </w:rPr>
        <w:t>合格</w:t>
      </w:r>
      <w:r>
        <w:rPr>
          <w:rFonts w:hint="eastAsia" w:ascii="宋体" w:hAnsi="宋体" w:eastAsia="宋体" w:cs="宋体"/>
          <w:color w:val="auto"/>
          <w:highlight w:val="none"/>
        </w:rPr>
        <w:t>的供应商参加。</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、项目</w:t>
      </w:r>
      <w:r>
        <w:rPr>
          <w:rFonts w:hint="eastAsia" w:ascii="宋体" w:hAnsi="宋体" w:eastAsia="宋体" w:cs="宋体"/>
          <w:b/>
          <w:bCs/>
          <w:color w:val="auto"/>
          <w:highlight w:val="none"/>
          <w:lang w:val="en-US" w:eastAsia="zh-CN"/>
        </w:rPr>
        <w:t>基本情况</w:t>
      </w:r>
    </w:p>
    <w:p>
      <w:pPr>
        <w:spacing w:line="360" w:lineRule="auto"/>
        <w:ind w:left="0" w:leftChars="0" w:firstLine="0" w:firstLineChars="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、项目编号：</w:t>
      </w:r>
      <w:r>
        <w:rPr>
          <w:rFonts w:hint="eastAsia" w:ascii="宋体" w:hAnsi="宋体" w:cs="宋体"/>
          <w:b w:val="0"/>
          <w:bCs w:val="0"/>
          <w:color w:val="auto"/>
          <w:highlight w:val="none"/>
          <w:lang w:eastAsia="zh-CN"/>
        </w:rPr>
        <w:t>BLZFCG2025034</w:t>
      </w:r>
    </w:p>
    <w:p>
      <w:pPr>
        <w:spacing w:line="360" w:lineRule="auto"/>
        <w:ind w:left="0" w:leftChars="0" w:firstLine="0" w:firstLineChars="0"/>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rPr>
        <w:t>、项目名称：</w:t>
      </w:r>
      <w:r>
        <w:rPr>
          <w:rFonts w:hint="eastAsia" w:ascii="宋体" w:hAnsi="宋体" w:cs="宋体"/>
          <w:b w:val="0"/>
          <w:bCs w:val="0"/>
          <w:color w:val="auto"/>
          <w:highlight w:val="none"/>
          <w:lang w:eastAsia="zh-CN"/>
        </w:rPr>
        <w:t>柴桥中学智能录播教室设备</w:t>
      </w:r>
    </w:p>
    <w:p>
      <w:pPr>
        <w:spacing w:line="360" w:lineRule="auto"/>
        <w:ind w:left="0" w:leftChars="0" w:firstLine="0" w:firstLineChars="0"/>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采购方式：公开招标</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、预算金额：</w:t>
      </w:r>
      <w:r>
        <w:rPr>
          <w:rFonts w:hint="eastAsia" w:ascii="宋体" w:hAnsi="宋体" w:eastAsia="宋体" w:cs="宋体"/>
          <w:color w:val="auto"/>
          <w:highlight w:val="none"/>
        </w:rPr>
        <w:t>人民币46.9780万元</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、最高限价：</w:t>
      </w:r>
      <w:r>
        <w:rPr>
          <w:rFonts w:hint="eastAsia" w:ascii="宋体" w:hAnsi="宋体" w:eastAsia="宋体" w:cs="宋体"/>
          <w:color w:val="auto"/>
          <w:highlight w:val="none"/>
          <w:lang w:val="en-US" w:eastAsia="zh-CN"/>
        </w:rPr>
        <w:t>人民币46.9780万元</w:t>
      </w:r>
    </w:p>
    <w:p>
      <w:pPr>
        <w:spacing w:line="360" w:lineRule="auto"/>
        <w:rPr>
          <w:rFonts w:hint="eastAsia" w:ascii="宋体" w:hAnsi="宋体" w:eastAsia="宋体" w:cs="宋体"/>
          <w:strike w:val="0"/>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采购需求：</w:t>
      </w:r>
      <w:r>
        <w:rPr>
          <w:rFonts w:hint="eastAsia" w:ascii="宋体" w:hAnsi="宋体" w:cs="宋体"/>
          <w:color w:val="auto"/>
          <w:highlight w:val="none"/>
          <w:lang w:eastAsia="zh-CN"/>
        </w:rPr>
        <w:t>柴桥中学智能录播教室设备</w:t>
      </w:r>
      <w:r>
        <w:rPr>
          <w:rFonts w:hint="eastAsia" w:ascii="宋体" w:hAnsi="宋体" w:eastAsia="宋体" w:cs="宋体"/>
          <w:color w:val="auto"/>
          <w:highlight w:val="none"/>
        </w:rPr>
        <w:t xml:space="preserve"> 一批</w:t>
      </w:r>
      <w:r>
        <w:rPr>
          <w:rFonts w:hint="eastAsia" w:ascii="宋体" w:hAnsi="宋体" w:cs="宋体"/>
          <w:color w:val="auto"/>
          <w:highlight w:val="none"/>
          <w:lang w:eastAsia="zh-CN"/>
        </w:rPr>
        <w:t>，</w:t>
      </w:r>
      <w:r>
        <w:rPr>
          <w:rFonts w:hint="eastAsia" w:ascii="宋体" w:hAnsi="宋体" w:eastAsia="宋体" w:cs="宋体"/>
          <w:color w:val="auto"/>
          <w:highlight w:val="none"/>
        </w:rPr>
        <w:t>具体详见采购需求部分。</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、合同履行期限：</w:t>
      </w:r>
      <w:r>
        <w:rPr>
          <w:rFonts w:hint="eastAsia" w:ascii="宋体" w:hAnsi="宋体"/>
          <w:color w:val="auto"/>
          <w:highlight w:val="none"/>
        </w:rPr>
        <w:t>合同签订后2个月内完成安装、调试并交付使用。</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8</w:t>
      </w:r>
      <w:r>
        <w:rPr>
          <w:rFonts w:hint="eastAsia" w:ascii="宋体" w:hAnsi="宋体" w:eastAsia="宋体" w:cs="宋体"/>
          <w:color w:val="auto"/>
          <w:highlight w:val="none"/>
        </w:rPr>
        <w:t>、本项目不接受联合体投标。</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二、投标人的资格要求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spacing w:line="360" w:lineRule="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 xml:space="preserve">2、落实政府采购政策需满足的资格要求：无 </w:t>
      </w:r>
    </w:p>
    <w:p>
      <w:pPr>
        <w:spacing w:line="360" w:lineRule="auto"/>
        <w:rPr>
          <w:rFonts w:hint="default" w:ascii="宋体" w:hAnsi="宋体" w:eastAsia="宋体" w:cs="宋体"/>
          <w:color w:val="auto"/>
          <w:highlight w:val="none"/>
          <w:lang w:val="en-US"/>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、本项目的特定资格要求：</w:t>
      </w:r>
      <w:r>
        <w:rPr>
          <w:rFonts w:hint="eastAsia" w:ascii="宋体" w:hAnsi="宋体" w:cs="宋体"/>
          <w:color w:val="auto"/>
          <w:highlight w:val="none"/>
          <w:lang w:val="en-US" w:eastAsia="zh-CN"/>
        </w:rPr>
        <w:t xml:space="preserve">无 </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三、招标文件获取时间及方式</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1、时间：即日起至投标截止时间前。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2、地点：政府采购云平台（www.zcygov.cn）</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3、方式：通过注册账号登录政府采购云平台在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应用</w:t>
      </w:r>
      <w:r>
        <w:rPr>
          <w:rFonts w:hint="eastAsia" w:ascii="宋体" w:hAnsi="宋体" w:eastAsia="宋体" w:cs="宋体"/>
          <w:color w:val="auto"/>
          <w:highlight w:val="none"/>
          <w:lang w:val="en-US" w:eastAsia="zh-CN"/>
        </w:rPr>
        <w:t>模块</w:t>
      </w:r>
      <w:r>
        <w:rPr>
          <w:rFonts w:hint="eastAsia" w:ascii="宋体" w:hAnsi="宋体" w:eastAsia="宋体" w:cs="宋体"/>
          <w:color w:val="auto"/>
          <w:highlight w:val="none"/>
        </w:rPr>
        <w:t>内获取</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4、售价：免费</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四、提交投标文件截止时间、开标时间和地点</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1、提交（上传）投标文件截止时间和开标时间：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cs="宋体"/>
          <w:color w:val="auto"/>
          <w:highlight w:val="none"/>
          <w:lang w:val="en-US" w:eastAsia="zh-CN"/>
        </w:rPr>
        <w:t>13</w:t>
      </w:r>
      <w:r>
        <w:rPr>
          <w:rFonts w:hint="eastAsia" w:ascii="宋体" w:hAnsi="宋体" w:eastAsia="宋体" w:cs="宋体"/>
          <w:color w:val="auto"/>
          <w:highlight w:val="none"/>
        </w:rPr>
        <w:t>日09时30分（北京时间）</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电子投标文件上传地点和开标网址：</w:t>
      </w:r>
      <w:r>
        <w:rPr>
          <w:rFonts w:hint="eastAsia" w:ascii="宋体" w:hAnsi="宋体" w:eastAsia="宋体" w:cs="宋体"/>
          <w:color w:val="auto"/>
          <w:highlight w:val="none"/>
        </w:rPr>
        <w:t>政府采购云平台（www.zcygov.cn）</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cs="宋体"/>
          <w:color w:val="auto"/>
          <w:highlight w:val="none"/>
          <w:lang w:val="en-US" w:eastAsia="zh-CN"/>
        </w:rPr>
        <w:t>备份电子投标文件提交地点和</w:t>
      </w: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会议地点</w:t>
      </w:r>
      <w:r>
        <w:rPr>
          <w:rFonts w:hint="eastAsia" w:ascii="宋体" w:hAnsi="宋体" w:eastAsia="宋体" w:cs="宋体"/>
          <w:color w:val="auto"/>
          <w:highlight w:val="none"/>
        </w:rPr>
        <w:t>：北仑区四明山路773号行政大楼B座三楼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r>
        <w:rPr>
          <w:rFonts w:hint="eastAsia" w:ascii="宋体" w:hAnsi="宋体" w:eastAsia="宋体" w:cs="宋体"/>
          <w:color w:val="auto"/>
          <w:highlight w:val="none"/>
        </w:rPr>
        <w:t>（具体场所安排详见电子指示屏幕）。</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五、投标注意事项</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1、参加投标的供应商有义务在采购</w:t>
      </w:r>
      <w:r>
        <w:rPr>
          <w:rFonts w:hint="eastAsia" w:ascii="宋体" w:hAnsi="宋体" w:eastAsia="宋体" w:cs="宋体"/>
          <w:color w:val="auto"/>
          <w:highlight w:val="none"/>
        </w:rPr>
        <w:t>活动期间浏览</w:t>
      </w:r>
      <w:r>
        <w:rPr>
          <w:rFonts w:hint="eastAsia" w:ascii="宋体" w:hAnsi="宋体" w:eastAsia="宋体" w:cs="宋体"/>
          <w:color w:val="auto"/>
          <w:highlight w:val="none"/>
        </w:rPr>
        <w:t>宁波政府采购网（zfcg.czj.ningbo.gov.cn）</w:t>
      </w:r>
      <w:r>
        <w:rPr>
          <w:rFonts w:hint="eastAsia" w:ascii="宋体" w:hAnsi="宋体" w:eastAsia="宋体" w:cs="宋体"/>
          <w:color w:val="auto"/>
          <w:highlight w:val="none"/>
        </w:rPr>
        <w:t>和</w:t>
      </w:r>
      <w:r>
        <w:rPr>
          <w:rFonts w:hint="eastAsia" w:ascii="宋体" w:hAnsi="宋体" w:cs="宋体"/>
          <w:color w:val="auto"/>
          <w:highlight w:val="none"/>
          <w:lang w:eastAsia="zh-CN"/>
        </w:rPr>
        <w:t>宁波市政务服务中心网（jyxt.zwb.ningbo.gov.cn:4011）</w:t>
      </w:r>
      <w:r>
        <w:rPr>
          <w:rFonts w:hint="eastAsia" w:ascii="宋体" w:hAnsi="宋体" w:eastAsia="宋体" w:cs="宋体"/>
          <w:color w:val="auto"/>
          <w:highlight w:val="none"/>
        </w:rPr>
        <w:t>，采购人（采购代理机构）在以上两个网站发布的与本次招标项目有关的信息视为已送达各供应商，不再采用其它方式传达相关信</w:t>
      </w:r>
      <w:r>
        <w:rPr>
          <w:rFonts w:hint="eastAsia" w:ascii="宋体" w:hAnsi="宋体" w:eastAsia="宋体" w:cs="宋体"/>
          <w:color w:val="auto"/>
          <w:highlight w:val="none"/>
        </w:rPr>
        <w:t>息。</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2、本项目采用网上投标，不接受纸质投标文件，请投标供应商按照招标文件和政府采购云平台的要求编制、加密上传电子投标文件。</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人上传电子投标文件后，还可以自行确定是否提交备份电子投标文件，如确定提交备份文件的，投标人应在投标截止时间前，将在“政采云投标客户端”上编制生成的后缀名为.bfbs的备份投标文件，以U盘为载体装袋密封后送达至开标地点，密封袋上需注明项目名称、项目编号、投标人名称并加盖公章。供应商仅提交备份电子投标文件的，投标响应无效。</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采购代理机构解密指令发出后30分钟内，投标人应登录政采云平台，通过CA数字证书完成对电子投标文件的解密（开评标期间，投标供应商应关注政采云平台上的指令信息和手机短信并及时处理）。若投标人在规定时间内无法解密或解密失败，此时启用备份电子投标文件（如有），若备份投标文件仍无法使用，则视为无效投标。供应商制作电子投标文件和解密投标文件时必须</w:t>
      </w:r>
      <w:r>
        <w:rPr>
          <w:rFonts w:hint="eastAsia" w:ascii="宋体" w:hAnsi="宋体" w:eastAsia="宋体" w:cs="宋体"/>
          <w:color w:val="auto"/>
          <w:highlight w:val="none"/>
        </w:rPr>
        <w:t>使用同一</w:t>
      </w:r>
      <w:r>
        <w:rPr>
          <w:rFonts w:hint="eastAsia" w:ascii="宋体" w:hAnsi="宋体" w:cs="宋体"/>
          <w:color w:val="auto"/>
          <w:highlight w:val="none"/>
          <w:lang w:val="en-US" w:eastAsia="zh-CN"/>
        </w:rPr>
        <w:t>个</w:t>
      </w:r>
      <w:r>
        <w:rPr>
          <w:rFonts w:hint="eastAsia" w:ascii="宋体" w:hAnsi="宋体" w:eastAsia="宋体" w:cs="宋体"/>
          <w:color w:val="auto"/>
          <w:highlight w:val="none"/>
        </w:rPr>
        <w:t>CA数字证书。</w:t>
      </w:r>
    </w:p>
    <w:p>
      <w:pPr>
        <w:spacing w:line="360" w:lineRule="auto"/>
        <w:ind w:left="0" w:leftChars="0" w:firstLine="0" w:firstLineChars="0"/>
        <w:rPr>
          <w:rFonts w:hint="eastAsia" w:ascii="宋体" w:hAnsi="宋体" w:eastAsia="宋体" w:cs="宋体"/>
          <w:strike w:val="0"/>
          <w:dstrike w:val="0"/>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strike w:val="0"/>
          <w:dstrike w:val="0"/>
          <w:color w:val="auto"/>
          <w:highlight w:val="none"/>
          <w:lang w:val="en-US" w:eastAsia="zh-CN"/>
        </w:rPr>
        <w:t>本项目</w:t>
      </w:r>
      <w:r>
        <w:rPr>
          <w:rFonts w:hint="eastAsia" w:ascii="宋体" w:hAnsi="宋体" w:eastAsia="宋体" w:cs="宋体"/>
          <w:strike w:val="0"/>
          <w:dstrike w:val="0"/>
          <w:color w:val="auto"/>
          <w:highlight w:val="none"/>
        </w:rPr>
        <w:t>投标供应商</w:t>
      </w:r>
      <w:r>
        <w:rPr>
          <w:rFonts w:hint="eastAsia" w:ascii="宋体" w:hAnsi="宋体" w:cs="宋体"/>
          <w:strike w:val="0"/>
          <w:dstrike w:val="0"/>
          <w:color w:val="auto"/>
          <w:highlight w:val="none"/>
          <w:lang w:val="en-US" w:eastAsia="zh-CN"/>
        </w:rPr>
        <w:t>可以不</w:t>
      </w:r>
      <w:r>
        <w:rPr>
          <w:rFonts w:hint="eastAsia" w:ascii="宋体" w:hAnsi="宋体" w:eastAsia="宋体" w:cs="宋体"/>
          <w:strike w:val="0"/>
          <w:dstrike w:val="0"/>
          <w:color w:val="auto"/>
          <w:highlight w:val="none"/>
          <w:lang w:val="en-US" w:eastAsia="zh-CN"/>
        </w:rPr>
        <w:t>派代表到现场参加开标会议</w:t>
      </w:r>
      <w:r>
        <w:rPr>
          <w:rFonts w:hint="eastAsia" w:ascii="宋体" w:hAnsi="宋体" w:eastAsia="宋体" w:cs="宋体"/>
          <w:strike w:val="0"/>
          <w:dstrike w:val="0"/>
          <w:color w:val="auto"/>
          <w:highlight w:val="none"/>
        </w:rPr>
        <w:t>，只需</w:t>
      </w:r>
      <w:r>
        <w:rPr>
          <w:rFonts w:hint="eastAsia" w:ascii="宋体" w:hAnsi="宋体" w:eastAsia="宋体" w:cs="宋体"/>
          <w:strike w:val="0"/>
          <w:dstrike w:val="0"/>
          <w:color w:val="auto"/>
          <w:highlight w:val="none"/>
          <w:lang w:val="en-US" w:eastAsia="zh-CN"/>
        </w:rPr>
        <w:t>准时</w:t>
      </w:r>
      <w:r>
        <w:rPr>
          <w:rFonts w:hint="eastAsia" w:ascii="宋体" w:hAnsi="宋体" w:eastAsia="宋体" w:cs="宋体"/>
          <w:strike w:val="0"/>
          <w:dstrike w:val="0"/>
          <w:color w:val="auto"/>
          <w:highlight w:val="none"/>
        </w:rPr>
        <w:t>在线参加</w:t>
      </w:r>
      <w:r>
        <w:rPr>
          <w:rFonts w:hint="eastAsia" w:ascii="宋体" w:hAnsi="宋体" w:cs="宋体"/>
          <w:strike w:val="0"/>
          <w:dstrike w:val="0"/>
          <w:color w:val="auto"/>
          <w:highlight w:val="none"/>
          <w:lang w:val="en-US" w:eastAsia="zh-CN"/>
        </w:rPr>
        <w:t>即可</w:t>
      </w:r>
      <w:r>
        <w:rPr>
          <w:rFonts w:hint="eastAsia" w:ascii="宋体" w:hAnsi="宋体" w:eastAsia="宋体" w:cs="宋体"/>
          <w:strike w:val="0"/>
          <w:dstrike w:val="0"/>
          <w:color w:val="auto"/>
          <w:highlight w:val="none"/>
        </w:rPr>
        <w:t>。</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本项目采用网上投标的方式进行，供应商投标前须办理CA数字证书和安装“政采云电子交易客户端（政采云投标客户端）”，并通过“政采云投标客户端”编制电子投标文件，供应商在使用系统进行投标的过程中遇到涉及平台使用的任何问题（包括不限于供应商注册、采购文件获取、CA数字证书办理、政采云投标客户端安装、投标响应文件制作加密上传等），可登录政府采购云平台网站（www.zcygov.cn）“服务中心”版块查阅相关的帮助文档和教学视频，也可致电政采云</w:t>
      </w:r>
      <w:r>
        <w:rPr>
          <w:rFonts w:hint="eastAsia" w:ascii="宋体" w:hAnsi="宋体" w:eastAsia="宋体" w:cs="宋体"/>
          <w:color w:val="auto"/>
          <w:highlight w:val="none"/>
        </w:rPr>
        <w:t>平台技术支持热线咨询，热线电话：95763（工作日8</w:t>
      </w:r>
      <w:r>
        <w:rPr>
          <w:rFonts w:hint="eastAsia" w:ascii="宋体" w:hAnsi="宋体" w:cs="宋体"/>
          <w:color w:val="auto"/>
          <w:highlight w:val="none"/>
          <w:lang w:val="en-US" w:eastAsia="zh-CN"/>
        </w:rPr>
        <w:t>︰</w:t>
      </w:r>
      <w:r>
        <w:rPr>
          <w:rFonts w:hint="eastAsia" w:ascii="宋体" w:hAnsi="宋体" w:eastAsia="宋体" w:cs="宋体"/>
          <w:color w:val="auto"/>
          <w:highlight w:val="none"/>
        </w:rPr>
        <w:t>00-20</w:t>
      </w:r>
      <w:r>
        <w:rPr>
          <w:rFonts w:hint="eastAsia" w:ascii="宋体" w:hAnsi="宋体" w:cs="宋体"/>
          <w:color w:val="auto"/>
          <w:highlight w:val="none"/>
          <w:lang w:val="en-US" w:eastAsia="zh-CN"/>
        </w:rPr>
        <w:t>︰</w:t>
      </w:r>
      <w:r>
        <w:rPr>
          <w:rFonts w:hint="eastAsia" w:ascii="宋体" w:hAnsi="宋体" w:eastAsia="宋体" w:cs="宋体"/>
          <w:color w:val="auto"/>
          <w:highlight w:val="none"/>
        </w:rPr>
        <w:t>00）。</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六、联系方式</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1、采购人</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宁波市北仑区柴桥中学</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cs="宋体"/>
          <w:color w:val="auto"/>
          <w:highlight w:val="none"/>
          <w:lang w:eastAsia="zh-CN"/>
        </w:rPr>
        <w:t>宁波市北仑区柴桥镇环镇北路2号</w:t>
      </w:r>
    </w:p>
    <w:p>
      <w:pPr>
        <w:spacing w:line="36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eastAsia="宋体" w:cs="宋体"/>
          <w:color w:val="auto"/>
          <w:highlight w:val="none"/>
        </w:rPr>
        <w:t>袁俊平    电话：0574-86051020</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2、采购代理机构</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宁波市北仑区（开发区）政务服务中心</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址：北仑区四明山路773号行政大楼B座三楼</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 xml:space="preserve">阿云 </w:t>
      </w:r>
      <w:r>
        <w:rPr>
          <w:rFonts w:hint="eastAsia" w:ascii="宋体" w:hAnsi="宋体" w:eastAsia="宋体" w:cs="宋体"/>
          <w:color w:val="auto"/>
          <w:highlight w:val="none"/>
        </w:rPr>
        <w:t xml:space="preserve">    电话：0574-89383947    传真：0574-89383949</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同级政府采购监督管理部门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名  称：宁波市北仑区财政局</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址：北仑区四明山路775号行政大楼A座六楼</w:t>
      </w:r>
    </w:p>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严凯敏</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监督投诉电话：0574-8938375</w:t>
      </w:r>
      <w:r>
        <w:rPr>
          <w:rFonts w:hint="eastAsia" w:ascii="宋体" w:hAnsi="宋体" w:cs="宋体"/>
          <w:color w:val="auto"/>
          <w:highlight w:val="none"/>
          <w:lang w:val="en-US" w:eastAsia="zh-CN"/>
        </w:rPr>
        <w:t>4</w:t>
      </w:r>
    </w:p>
    <w:p>
      <w:pPr>
        <w:spacing w:line="360" w:lineRule="auto"/>
        <w:rPr>
          <w:rFonts w:hint="eastAsia" w:ascii="宋体" w:hAnsi="宋体" w:eastAsia="宋体" w:cs="宋体"/>
          <w:color w:val="auto"/>
          <w:highlight w:val="none"/>
        </w:rPr>
      </w:pPr>
    </w:p>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第二部分  前附表</w:t>
      </w:r>
    </w:p>
    <w:tbl>
      <w:tblPr>
        <w:tblStyle w:val="6"/>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225"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柴桥中学智能录播教室设备</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BLZFCG2025034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cs="宋体"/>
                <w:color w:val="auto"/>
                <w:highlight w:val="none"/>
                <w:lang w:eastAsia="zh-CN"/>
              </w:rPr>
              <w:t>宁波市北仑区柴桥中学</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eastAsia="宋体" w:cs="宋体"/>
                <w:color w:val="auto"/>
                <w:highlight w:val="none"/>
              </w:rPr>
              <w:t xml:space="preserve">袁俊平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电话：0574-86051020</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cs="宋体"/>
                <w:color w:val="auto"/>
                <w:highlight w:val="none"/>
                <w:lang w:eastAsia="zh-CN"/>
              </w:rPr>
              <w:t>宁波市北仑区柴桥镇环镇北路2</w:t>
            </w:r>
            <w:bookmarkStart w:id="3" w:name="_GoBack"/>
            <w:bookmarkEnd w:id="3"/>
            <w:r>
              <w:rPr>
                <w:rFonts w:hint="eastAsia" w:ascii="宋体" w:hAnsi="宋体" w:cs="宋体"/>
                <w:color w:val="auto"/>
                <w:highlight w:val="none"/>
                <w:lang w:eastAsia="zh-CN"/>
              </w:rPr>
              <w:t>号</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采购代理机</w:t>
            </w:r>
            <w:r>
              <w:rPr>
                <w:rFonts w:hint="eastAsia" w:ascii="宋体" w:hAnsi="宋体" w:eastAsia="宋体" w:cs="宋体"/>
                <w:color w:val="auto"/>
                <w:highlight w:val="none"/>
              </w:rPr>
              <w:t>构：</w:t>
            </w:r>
            <w:r>
              <w:rPr>
                <w:rFonts w:hint="eastAsia" w:ascii="宋体" w:hAnsi="宋体" w:cs="宋体"/>
                <w:color w:val="auto"/>
                <w:highlight w:val="none"/>
                <w:lang w:eastAsia="zh-CN"/>
              </w:rPr>
              <w:t>宁波市北仑区（开发区）政务服务中心</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阿云</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电话：0574-89383947      传真：0574-89383949</w:t>
            </w:r>
          </w:p>
          <w:p>
            <w:pPr>
              <w:rPr>
                <w:rFonts w:hint="eastAsia" w:ascii="宋体" w:hAnsi="宋体" w:eastAsia="宋体" w:cs="宋体"/>
                <w:color w:val="auto"/>
                <w:highlight w:val="none"/>
              </w:rPr>
            </w:pPr>
            <w:r>
              <w:rPr>
                <w:rFonts w:hint="eastAsia" w:ascii="宋体" w:hAnsi="宋体" w:eastAsia="宋体" w:cs="宋体"/>
                <w:color w:val="auto"/>
                <w:highlight w:val="none"/>
              </w:rPr>
              <w:t>地址：北仑区四明山路773号行政大楼B座315室</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邮编：315800</w:t>
            </w:r>
            <w:r>
              <w:rPr>
                <w:rFonts w:hint="eastAsia" w:ascii="宋体" w:hAnsi="宋体" w:cs="宋体"/>
                <w:color w:val="auto"/>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采购方式：公开招标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评标方法：综合评分法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采购预算（最高限价）：</w:t>
            </w:r>
            <w:r>
              <w:rPr>
                <w:rFonts w:hint="eastAsia" w:ascii="宋体" w:hAnsi="宋体" w:eastAsia="宋体" w:cs="宋体"/>
                <w:color w:val="auto"/>
                <w:highlight w:val="none"/>
              </w:rPr>
              <w:t>人民币46.9780万元。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6</w:t>
            </w:r>
          </w:p>
        </w:tc>
        <w:tc>
          <w:tcPr>
            <w:tcW w:w="8225" w:type="dxa"/>
            <w:tcMar>
              <w:top w:w="113" w:type="dxa"/>
              <w:bottom w:w="113" w:type="dxa"/>
            </w:tcMar>
            <w:vAlign w:val="center"/>
          </w:tcPr>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是否接受进口产品投标：</w:t>
            </w:r>
            <w:r>
              <w:rPr>
                <w:rFonts w:hint="eastAsia" w:ascii="宋体" w:hAnsi="宋体" w:eastAsia="宋体" w:cs="宋体"/>
                <w:color w:val="auto"/>
                <w:highlight w:val="none"/>
              </w:rPr>
              <w:t>不接受</w:t>
            </w:r>
            <w:r>
              <w:rPr>
                <w:rFonts w:hint="eastAsia" w:ascii="宋体" w:hAnsi="宋体" w:cs="宋体"/>
                <w:color w:val="auto"/>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7</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r>
              <w:rPr>
                <w:rFonts w:hint="eastAsia" w:ascii="宋体" w:hAnsi="宋体" w:eastAsia="宋体" w:cs="宋体"/>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8</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是否为专门面向</w:t>
            </w:r>
            <w:r>
              <w:rPr>
                <w:rFonts w:hint="eastAsia" w:ascii="宋体" w:hAnsi="宋体" w:cs="宋体"/>
                <w:color w:val="auto"/>
                <w:highlight w:val="none"/>
                <w:lang w:val="en-US" w:eastAsia="zh-CN"/>
              </w:rPr>
              <w:t>中</w:t>
            </w:r>
            <w:r>
              <w:rPr>
                <w:rFonts w:hint="eastAsia" w:ascii="宋体" w:hAnsi="宋体" w:eastAsia="宋体" w:cs="宋体"/>
                <w:color w:val="auto"/>
                <w:highlight w:val="none"/>
              </w:rPr>
              <w:t>小企业的采购项目：</w:t>
            </w:r>
            <w:r>
              <w:rPr>
                <w:rFonts w:hint="eastAsia" w:ascii="宋体" w:hAnsi="宋体" w:cs="宋体"/>
                <w:color w:val="auto"/>
                <w:highlight w:val="none"/>
                <w:lang w:val="en-US" w:eastAsia="zh-CN"/>
              </w:rPr>
              <w:t>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9</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本</w:t>
            </w:r>
            <w:r>
              <w:rPr>
                <w:rFonts w:hint="eastAsia" w:ascii="宋体" w:hAnsi="宋体" w:cs="宋体"/>
                <w:color w:val="auto"/>
                <w:highlight w:val="none"/>
                <w:lang w:val="en-US" w:eastAsia="zh-CN"/>
              </w:rPr>
              <w:t>项目</w:t>
            </w:r>
            <w:r>
              <w:rPr>
                <w:rFonts w:hint="eastAsia" w:ascii="宋体" w:hAnsi="宋体" w:eastAsia="宋体" w:cs="宋体"/>
                <w:color w:val="auto"/>
                <w:highlight w:val="none"/>
              </w:rPr>
              <w:t>采购</w:t>
            </w:r>
            <w:r>
              <w:rPr>
                <w:rFonts w:hint="eastAsia" w:ascii="宋体" w:hAnsi="宋体" w:cs="宋体"/>
                <w:color w:val="auto"/>
                <w:highlight w:val="none"/>
                <w:lang w:val="en-US" w:eastAsia="zh-CN"/>
              </w:rPr>
              <w:t>货物</w:t>
            </w:r>
            <w:r>
              <w:rPr>
                <w:rFonts w:hint="eastAsia" w:ascii="宋体" w:hAnsi="宋体" w:eastAsia="宋体" w:cs="宋体"/>
                <w:color w:val="auto"/>
                <w:highlight w:val="none"/>
              </w:rPr>
              <w:t>对应的中小企业划分标准所属行业：</w:t>
            </w: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10</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是否允许投标人将项目非主体、非关键</w:t>
            </w:r>
            <w:r>
              <w:rPr>
                <w:rFonts w:hint="eastAsia" w:ascii="宋体" w:hAnsi="宋体" w:eastAsia="宋体" w:cs="宋体"/>
                <w:color w:val="auto"/>
                <w:highlight w:val="none"/>
              </w:rPr>
              <w:t>性工作</w:t>
            </w:r>
            <w:r>
              <w:rPr>
                <w:rFonts w:hint="eastAsia" w:ascii="宋体" w:hAnsi="宋体" w:cs="宋体"/>
                <w:color w:val="auto"/>
                <w:highlight w:val="none"/>
                <w:lang w:val="en-US" w:eastAsia="zh-CN"/>
              </w:rPr>
              <w:t>分包</w:t>
            </w:r>
            <w:r>
              <w:rPr>
                <w:rFonts w:hint="eastAsia" w:ascii="宋体" w:hAnsi="宋体" w:eastAsia="宋体" w:cs="宋体"/>
                <w:color w:val="auto"/>
                <w:highlight w:val="none"/>
              </w:rPr>
              <w:t>交由</w:t>
            </w:r>
            <w:r>
              <w:rPr>
                <w:rFonts w:hint="eastAsia" w:ascii="宋体" w:hAnsi="宋体" w:eastAsia="宋体" w:cs="宋体"/>
                <w:color w:val="auto"/>
                <w:highlight w:val="none"/>
              </w:rPr>
              <w:t>他人完成：</w:t>
            </w:r>
            <w:r>
              <w:rPr>
                <w:rFonts w:hint="eastAsia" w:ascii="宋体" w:hAnsi="宋体" w:cs="宋体"/>
                <w:color w:val="auto"/>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11</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集中答疑会或</w:t>
            </w:r>
            <w:r>
              <w:rPr>
                <w:rFonts w:hint="eastAsia" w:ascii="宋体" w:hAnsi="宋体" w:eastAsia="宋体" w:cs="宋体"/>
                <w:color w:val="auto"/>
                <w:highlight w:val="none"/>
              </w:rPr>
              <w:t>现场踏勘：</w:t>
            </w:r>
            <w:r>
              <w:rPr>
                <w:rFonts w:hint="eastAsia" w:ascii="宋体" w:hAnsi="宋体" w:eastAsia="宋体" w:cs="宋体"/>
                <w:color w:val="auto"/>
                <w:highlight w:val="none"/>
                <w:lang w:val="en-US" w:eastAsia="zh-CN"/>
              </w:rPr>
              <w:t>采购人不集中组织，</w:t>
            </w:r>
            <w:r>
              <w:rPr>
                <w:rFonts w:hint="eastAsia" w:ascii="宋体" w:hAnsi="宋体" w:eastAsia="宋体" w:cs="宋体"/>
                <w:color w:val="auto"/>
                <w:highlight w:val="none"/>
              </w:rPr>
              <w:t>供应商如有需要，请自行踏勘。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12</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提交（上传）投标文件截止时间</w:t>
            </w:r>
            <w:r>
              <w:rPr>
                <w:rFonts w:hint="eastAsia" w:ascii="宋体" w:hAnsi="宋体" w:eastAsia="宋体" w:cs="宋体"/>
                <w:color w:val="auto"/>
                <w:highlight w:val="none"/>
                <w:lang w:val="en-US" w:eastAsia="zh-CN"/>
              </w:rPr>
              <w:t>和开标时间</w:t>
            </w:r>
            <w:r>
              <w:rPr>
                <w:rFonts w:hint="eastAsia" w:ascii="宋体" w:hAnsi="宋体" w:eastAsia="宋体" w:cs="宋体"/>
                <w:color w:val="auto"/>
                <w:highlight w:val="none"/>
              </w:rPr>
              <w:t>：</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8</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13</w:t>
            </w:r>
            <w:r>
              <w:rPr>
                <w:rFonts w:hint="eastAsia" w:ascii="宋体" w:hAnsi="宋体" w:eastAsia="宋体" w:cs="宋体"/>
                <w:color w:val="auto"/>
                <w:highlight w:val="none"/>
              </w:rPr>
              <w:t>日</w:t>
            </w:r>
            <w:r>
              <w:rPr>
                <w:rFonts w:hint="eastAsia" w:ascii="宋体" w:hAnsi="宋体" w:eastAsia="宋体" w:cs="宋体"/>
                <w:color w:val="auto"/>
                <w:highlight w:val="none"/>
              </w:rPr>
              <w:t>09时30分</w:t>
            </w:r>
          </w:p>
          <w:p>
            <w:pPr>
              <w:rPr>
                <w:rFonts w:hint="eastAsia" w:ascii="宋体" w:hAnsi="宋体" w:eastAsia="宋体" w:cs="宋体"/>
                <w:color w:val="auto"/>
                <w:highlight w:val="none"/>
              </w:rPr>
            </w:pP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w:t>
            </w:r>
            <w:r>
              <w:rPr>
                <w:rFonts w:hint="eastAsia" w:ascii="宋体" w:hAnsi="宋体" w:eastAsia="宋体" w:cs="宋体"/>
                <w:color w:val="auto"/>
                <w:highlight w:val="none"/>
              </w:rPr>
              <w:t>地点：北仑区四明山路773号行政大楼B座三楼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b w:val="0"/>
                <w:bCs w:val="0"/>
                <w:color w:val="auto"/>
                <w:highlight w:val="none"/>
                <w:lang w:val="en-US" w:eastAsia="zh-CN"/>
              </w:rPr>
              <w:t>注：</w:t>
            </w:r>
            <w:r>
              <w:rPr>
                <w:rFonts w:hint="eastAsia" w:ascii="宋体" w:hAnsi="宋体" w:eastAsia="宋体" w:cs="宋体"/>
                <w:b w:val="0"/>
                <w:bCs w:val="0"/>
                <w:color w:val="auto"/>
                <w:highlight w:val="none"/>
              </w:rPr>
              <w:t>本项目采用网上投标，不接受纸质投标文</w:t>
            </w:r>
            <w:r>
              <w:rPr>
                <w:rFonts w:hint="eastAsia" w:ascii="宋体" w:hAnsi="宋体" w:eastAsia="宋体" w:cs="宋体"/>
                <w:b w:val="0"/>
                <w:bCs w:val="0"/>
                <w:color w:val="auto"/>
                <w:highlight w:val="none"/>
              </w:rPr>
              <w:t>件，投标供应商</w:t>
            </w:r>
            <w:r>
              <w:rPr>
                <w:rFonts w:hint="eastAsia" w:ascii="宋体" w:hAnsi="宋体" w:eastAsia="宋体" w:cs="宋体"/>
                <w:b w:val="0"/>
                <w:bCs w:val="0"/>
                <w:color w:val="auto"/>
                <w:highlight w:val="none"/>
                <w:lang w:val="en-US" w:eastAsia="zh-CN"/>
              </w:rPr>
              <w:t>须</w:t>
            </w:r>
            <w:r>
              <w:rPr>
                <w:rFonts w:hint="eastAsia" w:ascii="宋体" w:hAnsi="宋体" w:eastAsia="宋体" w:cs="宋体"/>
                <w:b w:val="0"/>
                <w:bCs w:val="0"/>
                <w:color w:val="auto"/>
                <w:highlight w:val="none"/>
              </w:rPr>
              <w:t>按照招标文件和政府采购云平台的要求编制、加密上传电子投标文件。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投标文件提交地点：北仑区四明山路773号行政</w:t>
            </w:r>
            <w:r>
              <w:rPr>
                <w:rFonts w:hint="eastAsia" w:ascii="宋体" w:hAnsi="宋体" w:eastAsia="宋体" w:cs="宋体"/>
                <w:color w:val="auto"/>
                <w:highlight w:val="none"/>
              </w:rPr>
              <w:t>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w:t>
            </w:r>
            <w:r>
              <w:rPr>
                <w:rFonts w:hint="eastAsia" w:ascii="宋体" w:hAnsi="宋体" w:eastAsia="宋体" w:cs="宋体"/>
                <w:color w:val="auto"/>
                <w:highlight w:val="none"/>
                <w:lang w:val="en-US" w:eastAsia="zh-CN"/>
              </w:rPr>
              <w:t>受理</w:t>
            </w:r>
            <w:r>
              <w:rPr>
                <w:rFonts w:hint="eastAsia" w:ascii="宋体" w:hAnsi="宋体" w:eastAsia="宋体" w:cs="宋体"/>
                <w:color w:val="auto"/>
                <w:highlight w:val="none"/>
              </w:rPr>
              <w:t>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8</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13</w:t>
            </w:r>
            <w:r>
              <w:rPr>
                <w:rFonts w:hint="eastAsia" w:ascii="宋体" w:hAnsi="宋体" w:eastAsia="宋体" w:cs="宋体"/>
                <w:color w:val="auto"/>
                <w:highlight w:val="none"/>
              </w:rPr>
              <w:t>日</w:t>
            </w:r>
            <w:r>
              <w:rPr>
                <w:rFonts w:hint="eastAsia" w:ascii="宋体" w:hAnsi="宋体" w:eastAsia="宋体" w:cs="宋体"/>
                <w:color w:val="auto"/>
                <w:highlight w:val="none"/>
              </w:rPr>
              <w:t>09时</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09时30分</w:t>
            </w:r>
          </w:p>
          <w:p>
            <w:pPr>
              <w:rPr>
                <w:rFonts w:hint="eastAsia" w:ascii="宋体" w:hAnsi="宋体" w:eastAsia="宋体" w:cs="宋体"/>
                <w:color w:val="auto"/>
                <w:highlight w:val="none"/>
                <w:lang w:eastAsia="zh-CN"/>
              </w:rPr>
            </w:pPr>
            <w:r>
              <w:rPr>
                <w:rFonts w:hint="eastAsia" w:ascii="宋体" w:hAnsi="宋体" w:eastAsia="宋体" w:cs="宋体"/>
                <w:b w:val="0"/>
                <w:bCs w:val="0"/>
                <w:color w:val="auto"/>
                <w:highlight w:val="none"/>
                <w:lang w:val="en-US" w:eastAsia="zh-CN"/>
              </w:rPr>
              <w:t>注：投标人可自行决定是否提交备份电子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提交的备份电子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val="en-US" w:eastAsia="zh-CN"/>
              </w:rPr>
              <w:t>应当袋装密封，密封袋上须</w:t>
            </w:r>
            <w:r>
              <w:rPr>
                <w:rFonts w:hint="eastAsia" w:ascii="宋体" w:hAnsi="宋体" w:eastAsia="宋体" w:cs="宋体"/>
                <w:b w:val="0"/>
                <w:bCs w:val="0"/>
                <w:color w:val="auto"/>
                <w:highlight w:val="none"/>
              </w:rPr>
              <w:t>注明项目名称、项目编号</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投标人名称并加盖</w:t>
            </w:r>
            <w:r>
              <w:rPr>
                <w:rFonts w:hint="eastAsia" w:ascii="宋体" w:hAnsi="宋体" w:eastAsia="宋体" w:cs="宋体"/>
                <w:b w:val="0"/>
                <w:bCs w:val="0"/>
                <w:color w:val="auto"/>
                <w:highlight w:val="none"/>
                <w:lang w:val="en-US" w:eastAsia="zh-CN"/>
              </w:rPr>
              <w:t>投标人</w:t>
            </w:r>
            <w:r>
              <w:rPr>
                <w:rFonts w:hint="eastAsia" w:ascii="宋体" w:hAnsi="宋体" w:eastAsia="宋体" w:cs="宋体"/>
                <w:b w:val="0"/>
                <w:bCs w:val="0"/>
                <w:color w:val="auto"/>
                <w:highlight w:val="none"/>
              </w:rPr>
              <w:t>公章</w:t>
            </w:r>
            <w:r>
              <w:rPr>
                <w:rFonts w:hint="eastAsia" w:ascii="宋体" w:hAnsi="宋体" w:eastAsia="宋体" w:cs="宋体"/>
                <w:b w:val="0"/>
                <w:bCs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投标有效期：开标之日起60日历天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投标保证金：本项目不</w:t>
            </w:r>
            <w:r>
              <w:rPr>
                <w:rFonts w:hint="eastAsia" w:ascii="宋体" w:hAnsi="宋体" w:cs="宋体"/>
                <w:color w:val="auto"/>
                <w:highlight w:val="none"/>
                <w:lang w:val="en-US" w:eastAsia="zh-CN"/>
              </w:rPr>
              <w:t>需要缴纳</w:t>
            </w:r>
            <w:r>
              <w:rPr>
                <w:rFonts w:hint="eastAsia" w:ascii="宋体" w:hAnsi="宋体" w:eastAsia="宋体" w:cs="宋体"/>
                <w:color w:val="auto"/>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6</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履约保证金：</w:t>
            </w:r>
            <w:r>
              <w:rPr>
                <w:rFonts w:hint="eastAsia" w:ascii="宋体" w:hAnsi="宋体" w:eastAsia="宋体" w:cs="宋体"/>
                <w:color w:val="auto"/>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7</w:t>
            </w:r>
          </w:p>
        </w:tc>
        <w:tc>
          <w:tcPr>
            <w:tcW w:w="8225" w:type="dxa"/>
            <w:tcMar>
              <w:top w:w="113" w:type="dxa"/>
              <w:bottom w:w="113" w:type="dxa"/>
            </w:tcMar>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18</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扫描件说明：对于招标文件中提及的彩色扫描件要求，包括彩色照片件。扫描件的内容应当保证清晰可辨，否则由此产生的风险由投标人承担。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19</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其他说明：</w:t>
            </w:r>
            <w:r>
              <w:rPr>
                <w:rFonts w:hint="eastAsia" w:ascii="宋体" w:hAnsi="宋体" w:eastAsia="宋体" w:cs="宋体"/>
                <w:color w:val="auto"/>
                <w:sz w:val="21"/>
                <w:szCs w:val="21"/>
                <w:highlight w:val="none"/>
                <w:lang w:val="en-US" w:eastAsia="zh-CN"/>
              </w:rPr>
              <w:t>参与同一个标项投标的供应商存在下列情形之一且无法合理解释的，其投标（响应）文件无效。</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①不同投标供应商的电子投标（响应）文件上传计算机的IP地址或网卡MAC地址或硬盘序列号等硬件信息相同的；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②上传的电子投标（响应）文件出现使用本项目其他投标（响应）供应商的数字证书加密，或加盖本项目其他投标（响应）供应商的电子印章的；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③不同投标供应商的投标（响应）文件内容存在 3 处（含）以上错误一致的；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④不同投标供应商联系人为同一人或不同联系人的联系电话一致的。</w:t>
            </w:r>
          </w:p>
        </w:tc>
      </w:tr>
    </w:tbl>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部分  投标人须知</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A、总则</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1.1本招标文件适用于采购公告中所述项目的招标、投标、评标、定标、合同</w:t>
      </w:r>
      <w:r>
        <w:rPr>
          <w:rFonts w:hint="eastAsia" w:ascii="宋体" w:hAnsi="宋体" w:eastAsia="宋体" w:cs="宋体"/>
          <w:color w:val="auto"/>
          <w:sz w:val="21"/>
          <w:szCs w:val="21"/>
          <w:highlight w:val="none"/>
          <w:lang w:val="en-US" w:eastAsia="zh-CN"/>
        </w:rPr>
        <w:t>签订及</w:t>
      </w:r>
      <w:r>
        <w:rPr>
          <w:rFonts w:hint="eastAsia" w:ascii="宋体" w:hAnsi="宋体" w:eastAsia="宋体" w:cs="宋体"/>
          <w:color w:val="auto"/>
          <w:sz w:val="21"/>
          <w:szCs w:val="21"/>
          <w:highlight w:val="none"/>
        </w:rPr>
        <w:t>履约、验收、付款等行为（法律、法规另有规定的，从其规定）。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定义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2.1“采购人”/“招标人”/“买方”系指前附表所指的采购人。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机构” 系指前附表所指的组织本次政府采购的采购代理机构。</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“投标人”/“供应商”/“响应方”/“</w:t>
      </w:r>
      <w:r>
        <w:rPr>
          <w:rFonts w:hint="eastAsia" w:ascii="宋体" w:hAnsi="宋体" w:eastAsia="宋体" w:cs="宋体"/>
          <w:color w:val="auto"/>
          <w:sz w:val="21"/>
          <w:szCs w:val="21"/>
          <w:highlight w:val="none"/>
          <w:lang w:val="en-US" w:eastAsia="zh-CN"/>
        </w:rPr>
        <w:t>承包</w:t>
      </w:r>
      <w:r>
        <w:rPr>
          <w:rFonts w:hint="eastAsia" w:ascii="宋体" w:hAnsi="宋体" w:eastAsia="宋体" w:cs="宋体"/>
          <w:color w:val="auto"/>
          <w:sz w:val="21"/>
          <w:szCs w:val="21"/>
          <w:highlight w:val="none"/>
        </w:rPr>
        <w:t>方”/“卖方”系指</w:t>
      </w:r>
      <w:r>
        <w:rPr>
          <w:rFonts w:hint="eastAsia" w:ascii="宋体" w:hAnsi="宋体" w:eastAsia="宋体" w:cs="宋体"/>
          <w:color w:val="auto"/>
          <w:highlight w:val="none"/>
        </w:rPr>
        <w:t>符合本招标文件规定并参加投标的</w:t>
      </w:r>
      <w:r>
        <w:rPr>
          <w:rFonts w:hint="eastAsia" w:ascii="宋体" w:hAnsi="宋体" w:cs="宋体"/>
          <w:color w:val="auto"/>
          <w:highlight w:val="none"/>
          <w:lang w:val="en-US" w:eastAsia="zh-CN"/>
        </w:rPr>
        <w:t>单位或个人</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“货物”指依据本招标文件中所述采购需求，投标人须向采购人提供的一切材料、设备、备品备件、工具、手册及其它有关技术资料和材料，以及实现货物功能价值所必须的配套技术和服务。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“服务”指依据本招标文件中所述采购需求，投标人应该履行的承诺和义务。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2.6“法定代表人”本项目所指的法定代表人包含符合采购要求依法成立的个体工商户、民办非企业单位、个人独资企业、合伙企业、分支机构的负责人。</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合格的投标人</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3.1符合</w:t>
      </w:r>
      <w:r>
        <w:rPr>
          <w:rFonts w:hint="eastAsia" w:ascii="宋体" w:hAnsi="宋体" w:cs="宋体"/>
          <w:color w:val="auto"/>
          <w:highlight w:val="none"/>
          <w:lang w:val="en-US" w:eastAsia="zh-CN"/>
        </w:rPr>
        <w:t>本部分第</w:t>
      </w:r>
      <w:r>
        <w:rPr>
          <w:rFonts w:hint="eastAsia" w:ascii="宋体" w:hAnsi="宋体" w:eastAsia="宋体" w:cs="宋体"/>
          <w:color w:val="auto"/>
          <w:highlight w:val="none"/>
        </w:rPr>
        <w:t>2.</w:t>
      </w:r>
      <w:r>
        <w:rPr>
          <w:rFonts w:hint="eastAsia" w:ascii="宋体" w:hAnsi="宋体" w:cs="宋体"/>
          <w:color w:val="auto"/>
          <w:highlight w:val="none"/>
          <w:lang w:val="en-US" w:eastAsia="zh-CN"/>
        </w:rPr>
        <w:t>3</w:t>
      </w:r>
      <w:r>
        <w:rPr>
          <w:rFonts w:hint="eastAsia" w:ascii="宋体" w:hAnsi="宋体" w:eastAsia="宋体" w:cs="宋体"/>
          <w:color w:val="auto"/>
          <w:highlight w:val="none"/>
        </w:rPr>
        <w:t>条，并具备以下条件的供应商。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（1）符合《中华人民共和国政府采购法》规定。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（2）符合本项目供应商应具备的资格条件，具有本项目生产、制造、供应或实施能力。</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（3）符合、承认并承诺履行本招标文件各项规定。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3.2除联合体外，单位负责人为同一人或者存在直接控股、管理关系的不同供应商，不得参加同一合同项下的政府采购活动。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3.3为采购项目提供整体设计、规范编制或者项目管理、监理、检测等服务的供应商，不得再参加该采购项目的其他采购活动。</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关于</w:t>
      </w:r>
      <w:r>
        <w:rPr>
          <w:rFonts w:hint="eastAsia" w:ascii="宋体" w:hAnsi="宋体" w:cs="宋体"/>
          <w:b/>
          <w:bCs/>
          <w:color w:val="auto"/>
          <w:sz w:val="21"/>
          <w:szCs w:val="21"/>
          <w:highlight w:val="none"/>
          <w:lang w:val="en-US" w:eastAsia="zh-CN"/>
        </w:rPr>
        <w:t>分支机构</w:t>
      </w:r>
      <w:r>
        <w:rPr>
          <w:rFonts w:hint="eastAsia" w:ascii="宋体" w:hAnsi="宋体" w:eastAsia="宋体" w:cs="宋体"/>
          <w:b/>
          <w:bCs/>
          <w:color w:val="auto"/>
          <w:sz w:val="21"/>
          <w:szCs w:val="21"/>
          <w:highlight w:val="none"/>
        </w:rPr>
        <w:t>投标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除银行、保险、电信等特定行业的分支机构可直接参加许可证范围内项目的投标外，分支机构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投标的，</w:t>
      </w:r>
      <w:r>
        <w:rPr>
          <w:rFonts w:hint="eastAsia" w:ascii="宋体" w:hAnsi="宋体" w:eastAsia="宋体" w:cs="宋体"/>
          <w:color w:val="auto"/>
          <w:highlight w:val="none"/>
        </w:rPr>
        <w:t>需</w:t>
      </w:r>
      <w:r>
        <w:rPr>
          <w:rFonts w:hint="eastAsia" w:ascii="宋体" w:hAnsi="宋体" w:eastAsia="宋体" w:cs="宋体"/>
          <w:color w:val="auto"/>
          <w:highlight w:val="none"/>
          <w:lang w:val="en-US" w:eastAsia="zh-CN"/>
        </w:rPr>
        <w:t>在资格证明文件中</w:t>
      </w:r>
      <w:r>
        <w:rPr>
          <w:rFonts w:hint="eastAsia" w:ascii="宋体" w:hAnsi="宋体" w:eastAsia="宋体" w:cs="宋体"/>
          <w:color w:val="auto"/>
          <w:highlight w:val="none"/>
        </w:rPr>
        <w:t>提供具有法人资格的总公司的营业执照及授权书扫描件，授权书须加盖总公司公章。总公司可就本项目或此类项目在一定范围或时间内出具授权书。已由总公司授权的，总公司取得的相关资质证书对分支机构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有效。</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投标费用</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.1本项目不收取招标代理服务费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.2无论投标过程中的做法和结果如何，投标人自行承担所有与参加投标有关的全部费用。</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通知</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参加投标的供应商有义务在采购活动期</w:t>
      </w:r>
      <w:r>
        <w:rPr>
          <w:rFonts w:hint="eastAsia" w:ascii="宋体" w:hAnsi="宋体" w:eastAsia="宋体" w:cs="宋体"/>
          <w:color w:val="auto"/>
          <w:sz w:val="21"/>
          <w:szCs w:val="21"/>
          <w:highlight w:val="none"/>
        </w:rPr>
        <w:t>间浏览</w:t>
      </w:r>
      <w:r>
        <w:rPr>
          <w:rFonts w:hint="eastAsia" w:ascii="宋体" w:hAnsi="宋体" w:eastAsia="宋体" w:cs="宋体"/>
          <w:color w:val="auto"/>
          <w:highlight w:val="none"/>
        </w:rPr>
        <w:t>宁波政府采购网（zfcg.czj.ningbo.gov.cn）</w:t>
      </w:r>
      <w:r>
        <w:rPr>
          <w:rFonts w:hint="eastAsia" w:ascii="宋体" w:hAnsi="宋体" w:eastAsia="宋体" w:cs="宋体"/>
          <w:color w:val="auto"/>
          <w:sz w:val="21"/>
          <w:szCs w:val="21"/>
          <w:highlight w:val="none"/>
        </w:rPr>
        <w:t>和</w:t>
      </w:r>
      <w:r>
        <w:rPr>
          <w:rFonts w:hint="eastAsia" w:ascii="宋体" w:hAnsi="宋体" w:cs="宋体"/>
          <w:color w:val="auto"/>
          <w:sz w:val="21"/>
          <w:szCs w:val="21"/>
          <w:highlight w:val="none"/>
          <w:lang w:eastAsia="zh-CN"/>
        </w:rPr>
        <w:t>宁波市政务服务中心网（jyxt.zwb.ningbo.gov.cn:4011）</w:t>
      </w:r>
      <w:r>
        <w:rPr>
          <w:rFonts w:hint="eastAsia" w:ascii="宋体" w:hAnsi="宋体" w:eastAsia="宋体" w:cs="宋体"/>
          <w:color w:val="auto"/>
          <w:sz w:val="21"/>
          <w:szCs w:val="21"/>
          <w:highlight w:val="none"/>
        </w:rPr>
        <w:t>，采购人（采购代理机构）在以上两个网站发布的与本次招标项目有关的信息视为已送达各供应商，不再</w:t>
      </w:r>
      <w:r>
        <w:rPr>
          <w:rFonts w:hint="eastAsia" w:ascii="宋体" w:hAnsi="宋体" w:eastAsia="宋体" w:cs="宋体"/>
          <w:color w:val="auto"/>
          <w:sz w:val="21"/>
          <w:szCs w:val="21"/>
          <w:highlight w:val="none"/>
        </w:rPr>
        <w:t>采用其它方式传达相关信息。</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B、招标文件</w:t>
      </w:r>
      <w:r>
        <w:rPr>
          <w:rFonts w:hint="eastAsia" w:ascii="宋体" w:hAnsi="宋体" w:eastAsia="宋体" w:cs="宋体"/>
          <w:b/>
          <w:bCs/>
          <w:color w:val="auto"/>
          <w:sz w:val="32"/>
          <w:highlight w:val="none"/>
          <w:lang w:val="en-US" w:eastAsia="zh-CN"/>
        </w:rPr>
        <w:t>说明</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招标文件的构成</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.1招标文件由本文件目录所列内容组成。</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招标文件的澄清</w:t>
      </w:r>
      <w:r>
        <w:rPr>
          <w:rFonts w:hint="eastAsia" w:ascii="宋体" w:hAnsi="宋体" w:eastAsia="宋体" w:cs="宋体"/>
          <w:b/>
          <w:bCs/>
          <w:color w:val="auto"/>
          <w:sz w:val="21"/>
          <w:szCs w:val="21"/>
          <w:highlight w:val="none"/>
          <w:lang w:val="en-US" w:eastAsia="zh-CN"/>
        </w:rPr>
        <w:t>及修改</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.1任何要求对招标文件进行澄清的潜在投标人，应在投标截止时间前以书面方式（包括信函、传真、电子文档等形式）通知采购人或采购代理机构。</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.2采购人或采购代理机构可主动地或依据投标人要求澄清的问题而修改招标文件，并以更正公告的方式在原公告发布网站通知所有获取招标文件的投标人。</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.3招标文件的修改内容将作为招标文件的一部分，对投标人有约束力。</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C、投标文件</w:t>
      </w:r>
      <w:r>
        <w:rPr>
          <w:rFonts w:hint="eastAsia" w:ascii="宋体" w:hAnsi="宋体" w:eastAsia="宋体" w:cs="宋体"/>
          <w:b/>
          <w:bCs/>
          <w:color w:val="auto"/>
          <w:sz w:val="32"/>
          <w:highlight w:val="none"/>
          <w:lang w:val="en-US" w:eastAsia="zh-CN"/>
        </w:rPr>
        <w:t>编制</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1投标人应仔细阅读招标文件的所有内容，按招标文件要求格式认真细致地编制投标文件，以使其投标对招标文件作出实质性响应。未按要求提交全部资料或者投标文件没有对招标文件的要求做出实质性响应的，投标将被作为无效投标处理。</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.2投标人投标文件所提供的全部材料必须真实可靠，所述内容真实有效，不得弄虚作假。</w:t>
      </w:r>
      <w:r>
        <w:rPr>
          <w:rFonts w:hint="eastAsia" w:ascii="宋体" w:hAnsi="宋体" w:eastAsia="宋体" w:cs="宋体"/>
          <w:b w:val="0"/>
          <w:bCs w:val="0"/>
          <w:color w:val="auto"/>
          <w:sz w:val="21"/>
          <w:szCs w:val="21"/>
          <w:highlight w:val="none"/>
        </w:rPr>
        <w:t>若投标文件填报的内容数据</w:t>
      </w:r>
      <w:r>
        <w:rPr>
          <w:rFonts w:hint="eastAsia" w:ascii="宋体" w:hAnsi="宋体" w:cs="宋体"/>
          <w:b w:val="0"/>
          <w:bCs w:val="0"/>
          <w:color w:val="auto"/>
          <w:sz w:val="21"/>
          <w:szCs w:val="21"/>
          <w:highlight w:val="none"/>
          <w:lang w:val="en-US" w:eastAsia="zh-CN"/>
        </w:rPr>
        <w:t>不实</w:t>
      </w:r>
      <w:r>
        <w:rPr>
          <w:rFonts w:hint="eastAsia" w:ascii="宋体" w:hAnsi="宋体" w:eastAsia="宋体" w:cs="宋体"/>
          <w:b w:val="0"/>
          <w:bCs w:val="0"/>
          <w:color w:val="auto"/>
          <w:sz w:val="21"/>
          <w:szCs w:val="21"/>
          <w:highlight w:val="none"/>
        </w:rPr>
        <w:t>或提供了虚假</w:t>
      </w:r>
      <w:r>
        <w:rPr>
          <w:rFonts w:hint="eastAsia" w:ascii="宋体" w:hAnsi="宋体" w:cs="宋体"/>
          <w:b w:val="0"/>
          <w:bCs w:val="0"/>
          <w:color w:val="auto"/>
          <w:sz w:val="21"/>
          <w:szCs w:val="21"/>
          <w:highlight w:val="none"/>
          <w:lang w:val="en-US" w:eastAsia="zh-CN"/>
        </w:rPr>
        <w:t>信息</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虚假材料的，</w:t>
      </w:r>
      <w:r>
        <w:rPr>
          <w:rFonts w:hint="eastAsia" w:ascii="宋体" w:hAnsi="宋体" w:eastAsia="宋体" w:cs="宋体"/>
          <w:b w:val="0"/>
          <w:bCs w:val="0"/>
          <w:color w:val="auto"/>
          <w:sz w:val="21"/>
          <w:szCs w:val="21"/>
          <w:highlight w:val="none"/>
        </w:rPr>
        <w:t>其投标文件为无效投标文件，并按相关规定处理，由此引起的一切后果及法律责任由投标人承担。</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语言及计量单位</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.1投标文件以及投标人与采购代理机构就有关投标的所有来往函电均应使用中文简体字。</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.2除在招标文件技术规格中另有规定外，计量单位使用中华人民共和国法定计量单位。</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投标文件组成</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.1投标文件由</w:t>
      </w:r>
      <w:r>
        <w:rPr>
          <w:rFonts w:hint="eastAsia" w:ascii="宋体" w:hAnsi="宋体" w:eastAsia="宋体" w:cs="宋体"/>
          <w:color w:val="auto"/>
          <w:sz w:val="21"/>
          <w:szCs w:val="21"/>
          <w:highlight w:val="none"/>
          <w:lang w:val="en-US" w:eastAsia="zh-CN"/>
        </w:rPr>
        <w:t>资格证明</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报价文件三部分组成</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2资格证明</w:t>
      </w:r>
      <w:r>
        <w:rPr>
          <w:rFonts w:hint="eastAsia" w:ascii="宋体" w:hAnsi="宋体" w:eastAsia="宋体" w:cs="宋体"/>
          <w:b w:val="0"/>
          <w:bCs w:val="0"/>
          <w:color w:val="auto"/>
          <w:sz w:val="21"/>
          <w:szCs w:val="21"/>
          <w:highlight w:val="none"/>
        </w:rPr>
        <w:t>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.2.1资格证明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用以证明投标人是否具备本项目的投标资格。</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.2.2投标人应按招标文件要求的内容和格式提供资格证明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.2.3资格证明文件须逐页CA电子签章，</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资格审查不通过。</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.2.4资格证明文件中</w:t>
      </w:r>
      <w:r>
        <w:rPr>
          <w:rFonts w:hint="eastAsia" w:ascii="宋体" w:hAnsi="宋体" w:eastAsia="宋体" w:cs="宋体"/>
          <w:color w:val="auto"/>
          <w:sz w:val="21"/>
          <w:szCs w:val="21"/>
          <w:highlight w:val="none"/>
          <w:lang w:eastAsia="zh-CN"/>
        </w:rPr>
        <w:t>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技术</w:t>
      </w:r>
      <w:r>
        <w:rPr>
          <w:rFonts w:hint="eastAsia" w:ascii="宋体" w:hAnsi="宋体" w:eastAsia="宋体" w:cs="宋体"/>
          <w:b w:val="0"/>
          <w:bCs w:val="0"/>
          <w:color w:val="auto"/>
          <w:highlight w:val="none"/>
          <w:lang w:val="en-US" w:eastAsia="zh-CN"/>
        </w:rPr>
        <w:t>商务文件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.3.1技术商务文件用于判断投标人提供的货物、服务是否满足招标需求，还用于包括不限于对投标人供货能力、实施能力、履约能力、项目经验等方面的评价。</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.3.2投标人应按招标文件要求的内容和格式提供技术商务文件，具体详见本招标文件第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.3.3技术商务文件中不得出现本项目的投标总价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val="en-US" w:eastAsia="zh-CN"/>
        </w:rPr>
        <w:t>，否则投标无效。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报价文件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.4.1报价文件用于评价投标人的投标报价是否响应招标要求，是否符合相关的政府采购政策等。</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.4.2投标人应按招标文件要求的内容和格式提供</w:t>
      </w:r>
      <w:r>
        <w:rPr>
          <w:rFonts w:hint="eastAsia" w:ascii="宋体" w:hAnsi="宋体" w:eastAsia="宋体" w:cs="宋体"/>
          <w:color w:val="auto"/>
          <w:highlight w:val="none"/>
          <w:lang w:val="en-US" w:eastAsia="zh-CN"/>
        </w:rPr>
        <w:t>报价</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w:t>
      </w:r>
      <w:r>
        <w:rPr>
          <w:rFonts w:hint="eastAsia" w:ascii="宋体" w:hAnsi="宋体" w:eastAsia="宋体" w:cs="宋体"/>
          <w:b/>
          <w:bCs/>
          <w:color w:val="auto"/>
          <w:sz w:val="21"/>
          <w:szCs w:val="21"/>
          <w:highlight w:val="none"/>
          <w:lang w:val="en-US" w:eastAsia="zh-CN"/>
        </w:rPr>
        <w:t>制作</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1投标文件分为电子投标文件和备份电子投标文件。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.2投标人应</w:t>
      </w:r>
      <w:r>
        <w:rPr>
          <w:rFonts w:hint="eastAsia" w:ascii="宋体" w:hAnsi="宋体" w:eastAsia="宋体" w:cs="宋体"/>
          <w:color w:val="auto"/>
          <w:highlight w:val="none"/>
        </w:rPr>
        <w:t>按照招标文件和政府采购云平台的要求编制、加密</w:t>
      </w:r>
      <w:r>
        <w:rPr>
          <w:rFonts w:hint="eastAsia" w:ascii="宋体" w:hAnsi="宋体" w:eastAsia="宋体" w:cs="宋体"/>
          <w:strike w:val="0"/>
          <w:dstrike w:val="0"/>
          <w:color w:val="auto"/>
          <w:highlight w:val="none"/>
        </w:rPr>
        <w:t>并上传</w:t>
      </w:r>
      <w:r>
        <w:rPr>
          <w:rFonts w:hint="eastAsia" w:ascii="宋体" w:hAnsi="宋体" w:eastAsia="宋体" w:cs="宋体"/>
          <w:color w:val="auto"/>
          <w:highlight w:val="none"/>
        </w:rPr>
        <w:t>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.3投标文件</w:t>
      </w:r>
      <w:r>
        <w:rPr>
          <w:rFonts w:hint="eastAsia" w:ascii="宋体" w:hAnsi="宋体" w:eastAsia="宋体" w:cs="宋体"/>
          <w:color w:val="auto"/>
          <w:highlight w:val="none"/>
          <w:lang w:val="en-US" w:eastAsia="zh-CN"/>
        </w:rPr>
        <w:t>应根据招标要求</w:t>
      </w:r>
      <w:r>
        <w:rPr>
          <w:rFonts w:hint="eastAsia" w:ascii="宋体" w:hAnsi="宋体" w:eastAsia="宋体" w:cs="宋体"/>
          <w:color w:val="auto"/>
          <w:highlight w:val="none"/>
        </w:rPr>
        <w:t>做好关联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，未</w:t>
      </w:r>
      <w:r>
        <w:rPr>
          <w:rFonts w:hint="eastAsia" w:ascii="宋体" w:hAnsi="宋体" w:eastAsia="宋体" w:cs="宋体"/>
          <w:color w:val="auto"/>
          <w:highlight w:val="none"/>
          <w:lang w:val="en-US" w:eastAsia="zh-CN"/>
        </w:rPr>
        <w:t>进行</w:t>
      </w:r>
      <w:r>
        <w:rPr>
          <w:rFonts w:hint="eastAsia" w:ascii="宋体" w:hAnsi="宋体" w:eastAsia="宋体" w:cs="宋体"/>
          <w:color w:val="auto"/>
          <w:highlight w:val="none"/>
        </w:rPr>
        <w:t>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而导致失分或无效投标处理的风险由投标人承担。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.4投标人</w:t>
      </w:r>
      <w:r>
        <w:rPr>
          <w:rFonts w:hint="eastAsia" w:ascii="宋体" w:hAnsi="宋体" w:eastAsia="宋体" w:cs="宋体"/>
          <w:color w:val="auto"/>
          <w:highlight w:val="none"/>
        </w:rPr>
        <w:t>可自行</w:t>
      </w:r>
      <w:r>
        <w:rPr>
          <w:rFonts w:hint="eastAsia" w:ascii="宋体" w:hAnsi="宋体" w:eastAsia="宋体" w:cs="宋体"/>
          <w:color w:val="auto"/>
          <w:highlight w:val="none"/>
          <w:lang w:val="en-US" w:eastAsia="zh-CN"/>
        </w:rPr>
        <w:t>选择</w:t>
      </w:r>
      <w:r>
        <w:rPr>
          <w:rFonts w:hint="eastAsia" w:ascii="宋体" w:hAnsi="宋体" w:eastAsia="宋体" w:cs="宋体"/>
          <w:color w:val="auto"/>
          <w:highlight w:val="none"/>
        </w:rPr>
        <w:t>是否提交备份电子投标文件，以便在上传的电子投标文件解密失败后启用备份投标文件。</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仅提交备份电子投标文件的，投标响应无效。</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投标文件签署</w:t>
      </w:r>
      <w:r>
        <w:rPr>
          <w:rFonts w:hint="eastAsia" w:ascii="宋体" w:hAnsi="宋体" w:eastAsia="宋体" w:cs="宋体"/>
          <w:b/>
          <w:bCs/>
          <w:color w:val="auto"/>
          <w:sz w:val="21"/>
          <w:szCs w:val="21"/>
          <w:highlight w:val="none"/>
          <w:lang w:val="en-US" w:eastAsia="zh-CN"/>
        </w:rPr>
        <w:t>及密封</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.1组成投标文件的各项资料均应遵守本条</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.2投标人名称应填写全称，不能随意简称，要求加盖公章的应加盖公章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CA电子签章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.3招标文件中规定的全权代表签名应由全权代表亲自签署，法定代表人可以签名或盖章。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.4投标人选择提供</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val="en-US" w:eastAsia="zh-CN"/>
        </w:rPr>
        <w:t>的，备份文件应以</w:t>
      </w:r>
      <w:r>
        <w:rPr>
          <w:rFonts w:hint="eastAsia" w:ascii="宋体" w:hAnsi="宋体" w:eastAsia="宋体" w:cs="宋体"/>
          <w:color w:val="auto"/>
          <w:highlight w:val="none"/>
        </w:rPr>
        <w:t>U盘为载体</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rPr>
        <w:t>装袋密封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密封袋上需</w:t>
      </w:r>
      <w:r>
        <w:rPr>
          <w:rFonts w:hint="eastAsia" w:ascii="宋体" w:hAnsi="宋体" w:eastAsia="宋体" w:cs="宋体"/>
          <w:color w:val="auto"/>
          <w:highlight w:val="none"/>
          <w:lang w:val="en-US" w:eastAsia="zh-CN"/>
        </w:rPr>
        <w:t>注明</w:t>
      </w:r>
      <w:r>
        <w:rPr>
          <w:rFonts w:hint="eastAsia" w:ascii="宋体" w:hAnsi="宋体" w:eastAsia="宋体" w:cs="宋体"/>
          <w:color w:val="auto"/>
          <w:highlight w:val="none"/>
        </w:rPr>
        <w:t>项目名称、项目编号、投标人名称并加盖公章</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投标报价</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.1投标报价是履行合同的最终价格，包含购买货物及服务需交纳的所有税费及其他一切相关费用</w:t>
      </w:r>
      <w:r>
        <w:rPr>
          <w:rFonts w:hint="eastAsia" w:ascii="宋体" w:hAnsi="宋体" w:eastAsia="宋体" w:cs="宋体"/>
          <w:color w:val="auto"/>
          <w:highlight w:val="none"/>
        </w:rPr>
        <w:t>，具体详见本招标文件第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部分项目内容及要求。</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.2投标人少报或漏报的工作量，采购人将视为已包含在投标总价中，并不予调整。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.3所有投标均以人民币报价。投标人如需用外汇购入的设备，须折合人民币计入总报价中，总报价不受汇率变动影响。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.4采购人不接受任何有选择的报价。</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r>
        <w:rPr>
          <w:rFonts w:hint="eastAsia" w:ascii="宋体" w:hAnsi="宋体" w:cs="宋体"/>
          <w:b w:val="0"/>
          <w:bCs/>
          <w:color w:val="auto"/>
          <w:highlight w:val="none"/>
          <w:lang w:val="en-US" w:eastAsia="zh-CN"/>
        </w:rPr>
        <w:t>4</w:t>
      </w:r>
      <w:r>
        <w:rPr>
          <w:rFonts w:hint="eastAsia" w:ascii="宋体" w:hAnsi="宋体" w:eastAsia="宋体" w:cs="宋体"/>
          <w:b w:val="0"/>
          <w:bCs/>
          <w:color w:val="auto"/>
          <w:highlight w:val="none"/>
        </w:rPr>
        <w:t>.5超出采购人最高限价的投标为无效投标。</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投标有效期</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.1本项目投标有效期见本招标文件前附表。投标文件应在投标有效期内保持有效，有效期短于这个规定期限的投标，将视为无效。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.2特殊情况下，在原投标有效期期满之前，采购代理机构可征得投标人同意延长投标有效期，这种要求和答复都应以书面形式进行。投标人可以拒绝接受延期要求。同意延长有效期的投标人不能修改其投标文件。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知识产权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.1供应商应保证在提供服务过程中或采购人在使用货物或货物的任何一部分时，不会侵犯任何第三方的知识产权，免受第三方提出侵犯其专利权、商标权或其它知识产权的起诉。</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.2投标报价应包括所有应支付的对专利权和版权、设计或其他知识产权而需要向其他方支付的版税等费用。</w:t>
      </w:r>
    </w:p>
    <w:p>
      <w:pPr>
        <w:spacing w:before="240" w:after="240" w:line="360" w:lineRule="auto"/>
        <w:jc w:val="center"/>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D、投标文件</w:t>
      </w:r>
      <w:r>
        <w:rPr>
          <w:rFonts w:hint="eastAsia" w:ascii="宋体" w:hAnsi="宋体" w:eastAsia="宋体" w:cs="宋体"/>
          <w:b/>
          <w:bCs/>
          <w:color w:val="auto"/>
          <w:sz w:val="32"/>
          <w:highlight w:val="none"/>
          <w:lang w:val="en-US" w:eastAsia="zh-CN"/>
        </w:rPr>
        <w:t>提交</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投标截止时间和投标地点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投标截止时间和投标地点见</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采购公告和前附表。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采购代理机构推迟投标截止时间或更改投标地点，</w:t>
      </w:r>
      <w:r>
        <w:rPr>
          <w:rFonts w:hint="eastAsia" w:ascii="宋体" w:hAnsi="宋体" w:eastAsia="宋体" w:cs="宋体"/>
          <w:color w:val="auto"/>
          <w:sz w:val="21"/>
          <w:szCs w:val="21"/>
          <w:highlight w:val="none"/>
        </w:rPr>
        <w:t>将以</w:t>
      </w:r>
      <w:r>
        <w:rPr>
          <w:rFonts w:hint="eastAsia" w:ascii="宋体" w:hAnsi="宋体" w:eastAsia="宋体" w:cs="宋体"/>
          <w:color w:val="auto"/>
          <w:sz w:val="21"/>
          <w:szCs w:val="21"/>
          <w:highlight w:val="none"/>
          <w:lang w:val="en-US" w:eastAsia="zh-CN"/>
        </w:rPr>
        <w:t>更正</w:t>
      </w:r>
      <w:r>
        <w:rPr>
          <w:rFonts w:hint="eastAsia" w:ascii="宋体" w:hAnsi="宋体" w:eastAsia="宋体" w:cs="宋体"/>
          <w:color w:val="auto"/>
          <w:sz w:val="21"/>
          <w:szCs w:val="21"/>
          <w:highlight w:val="none"/>
        </w:rPr>
        <w:t>公告的方式通知所有投标人。在这种情况下，采购人和投标人的权利和义务将受到新的截止时间和新</w:t>
      </w:r>
      <w:r>
        <w:rPr>
          <w:rFonts w:hint="eastAsia" w:ascii="宋体" w:hAnsi="宋体" w:eastAsia="宋体" w:cs="宋体"/>
          <w:color w:val="auto"/>
          <w:sz w:val="21"/>
          <w:szCs w:val="21"/>
          <w:highlight w:val="none"/>
        </w:rPr>
        <w:t>的投标地点的约束。</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投标文件的</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补充、修改和撤回</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必须在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将加密的电子</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上传至政采云平台，逾期上传的投标无效。</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.2选择提交备份电子投标文件的投标人应</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w:t>
      </w:r>
      <w:r>
        <w:rPr>
          <w:rFonts w:hint="eastAsia" w:ascii="宋体" w:hAnsi="宋体" w:eastAsia="宋体" w:cs="宋体"/>
          <w:color w:val="auto"/>
          <w:highlight w:val="none"/>
        </w:rPr>
        <w:t>密封</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lang w:val="en-US" w:eastAsia="zh-CN"/>
        </w:rPr>
        <w:t>备</w:t>
      </w:r>
      <w:r>
        <w:rPr>
          <w:rFonts w:hint="eastAsia" w:ascii="宋体" w:hAnsi="宋体" w:eastAsia="宋体" w:cs="宋体"/>
          <w:color w:val="auto"/>
          <w:sz w:val="21"/>
          <w:szCs w:val="21"/>
          <w:highlight w:val="none"/>
          <w:lang w:val="en-US" w:eastAsia="zh-CN"/>
        </w:rPr>
        <w:t>份电子投标文件送达至开标现场，</w:t>
      </w:r>
      <w:r>
        <w:rPr>
          <w:rFonts w:hint="eastAsia" w:ascii="宋体" w:hAnsi="宋体" w:eastAsia="宋体" w:cs="宋体"/>
          <w:color w:val="auto"/>
          <w:highlight w:val="none"/>
        </w:rPr>
        <w:t>采购代理机构按要求进行签收登记。</w:t>
      </w:r>
      <w:r>
        <w:rPr>
          <w:rFonts w:hint="eastAsia" w:ascii="宋体" w:hAnsi="宋体" w:eastAsia="宋体" w:cs="宋体"/>
          <w:color w:val="auto"/>
          <w:sz w:val="21"/>
          <w:szCs w:val="21"/>
          <w:highlight w:val="none"/>
          <w:lang w:val="en-US" w:eastAsia="zh-CN"/>
        </w:rPr>
        <w:t>逾期送达或</w:t>
      </w:r>
      <w:r>
        <w:rPr>
          <w:rFonts w:hint="eastAsia" w:ascii="宋体" w:hAnsi="宋体" w:eastAsia="宋体" w:cs="宋体"/>
          <w:b w:val="0"/>
          <w:bCs w:val="0"/>
          <w:color w:val="auto"/>
          <w:highlight w:val="none"/>
          <w:lang w:eastAsia="zh-CN"/>
        </w:rPr>
        <w:t>未按要求密封的</w:t>
      </w:r>
      <w:r>
        <w:rPr>
          <w:rFonts w:hint="eastAsia" w:ascii="宋体" w:hAnsi="宋体" w:eastAsia="宋体" w:cs="宋体"/>
          <w:color w:val="auto"/>
          <w:sz w:val="21"/>
          <w:szCs w:val="21"/>
          <w:highlight w:val="none"/>
          <w:lang w:val="en-US" w:eastAsia="zh-CN"/>
        </w:rPr>
        <w:t>备份电子投标文件</w:t>
      </w:r>
      <w:r>
        <w:rPr>
          <w:rFonts w:hint="eastAsia" w:ascii="宋体" w:hAnsi="宋体" w:eastAsia="宋体" w:cs="宋体"/>
          <w:color w:val="auto"/>
          <w:sz w:val="21"/>
          <w:szCs w:val="21"/>
          <w:highlight w:val="none"/>
        </w:rPr>
        <w:t>采购代理机构拒绝接收。</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投标截止时间前，投标人可以对</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文件进行补充和修改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补充或者修改投标文件的，应先撤回原</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再将</w:t>
      </w:r>
      <w:r>
        <w:rPr>
          <w:rFonts w:hint="eastAsia" w:ascii="宋体" w:hAnsi="宋体" w:eastAsia="宋体" w:cs="宋体"/>
          <w:color w:val="auto"/>
          <w:sz w:val="21"/>
          <w:szCs w:val="21"/>
          <w:highlight w:val="none"/>
        </w:rPr>
        <w:t>补充、修改后</w:t>
      </w:r>
      <w:r>
        <w:rPr>
          <w:rFonts w:hint="eastAsia" w:ascii="宋体" w:hAnsi="宋体" w:eastAsia="宋体" w:cs="宋体"/>
          <w:color w:val="auto"/>
          <w:sz w:val="21"/>
          <w:szCs w:val="21"/>
          <w:highlight w:val="none"/>
          <w:lang w:val="en-US" w:eastAsia="zh-CN"/>
        </w:rPr>
        <w:t>的投标文件加密</w:t>
      </w: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val="en-US" w:eastAsia="zh-CN"/>
        </w:rPr>
        <w:t>上传提交</w:t>
      </w:r>
      <w:r>
        <w:rPr>
          <w:rFonts w:hint="eastAsia" w:ascii="宋体" w:hAnsi="宋体" w:eastAsia="宋体" w:cs="宋体"/>
          <w:color w:val="auto"/>
          <w:sz w:val="21"/>
          <w:szCs w:val="21"/>
          <w:highlight w:val="none"/>
        </w:rPr>
        <w:t>。投标截止时间前未完成上传的，视为投标文件撤回。不接受其他途径的补充和修改。</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投标截止时间前，投标人可以撤回</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电子投标文件。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开标后，投标人不得撤回投标，否则报采购监督部门处理。</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E、开标和评标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开标</w:t>
      </w:r>
    </w:p>
    <w:p>
      <w:pPr>
        <w:spacing w:line="360" w:lineRule="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highlight w:val="none"/>
        </w:rPr>
        <w:t>采购代理机构按招标文件规定的时间、地点进行开标。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投标供应商法定代表人或其授权代表</w:t>
      </w:r>
      <w:r>
        <w:rPr>
          <w:rFonts w:hint="eastAsia" w:ascii="宋体" w:hAnsi="宋体" w:eastAsia="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rPr>
        <w:t>准时通过政采云平台在线参加开标。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.3投标</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sz w:val="21"/>
          <w:szCs w:val="21"/>
          <w:highlight w:val="none"/>
          <w:lang w:val="en-US" w:eastAsia="zh-CN"/>
        </w:rPr>
        <w:t>可以根据项目特点确定是否派代表</w:t>
      </w:r>
      <w:r>
        <w:rPr>
          <w:rFonts w:hint="eastAsia" w:ascii="宋体" w:hAnsi="宋体" w:eastAsia="宋体" w:cs="宋体"/>
          <w:b w:val="0"/>
          <w:bCs w:val="0"/>
          <w:color w:val="auto"/>
          <w:sz w:val="21"/>
          <w:szCs w:val="21"/>
          <w:highlight w:val="none"/>
        </w:rPr>
        <w:t>出席现场开标会议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参加现场会议的供应商代表应遵守会场纪律。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.4开标会议由采购代理机构主持，并按以下程序进行：</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（1）主持人宣布开标会议开始及会场纪律，介绍到会人员。</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（2）采购代理机构发出解密指令，投标供应商对加密电子投标文件进行在线解密。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en-US" w:eastAsia="zh-CN"/>
        </w:rPr>
        <w:t>投标文件</w:t>
      </w:r>
      <w:r>
        <w:rPr>
          <w:rFonts w:hint="eastAsia" w:ascii="宋体" w:hAnsi="宋体" w:eastAsia="宋体" w:cs="宋体"/>
          <w:color w:val="auto"/>
          <w:highlight w:val="none"/>
          <w:lang w:val="en-US" w:eastAsia="zh-CN"/>
        </w:rPr>
        <w:t>解密结束，开启投标文件，对“资格证明文件”进行审查。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（4）资格审查通过后，进行“技术商务文件”评审。</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（5）公布技术商务评审情况，开启“报价文件”</w:t>
      </w:r>
      <w:r>
        <w:rPr>
          <w:rFonts w:hint="eastAsia" w:ascii="宋体" w:hAnsi="宋体" w:eastAsia="宋体" w:cs="宋体"/>
          <w:strike w:val="0"/>
          <w:dstrike w:val="0"/>
          <w:color w:val="auto"/>
          <w:highlight w:val="none"/>
          <w:lang w:val="en-US" w:eastAsia="zh-CN"/>
        </w:rPr>
        <w:t>，投标人对投标报价进行在线确认</w:t>
      </w:r>
      <w:r>
        <w:rPr>
          <w:rFonts w:hint="eastAsia" w:ascii="宋体" w:hAnsi="宋体" w:eastAsia="宋体" w:cs="宋体"/>
          <w:strike w:val="0"/>
          <w:color w:val="auto"/>
          <w:highlight w:val="none"/>
          <w:lang w:val="en-US" w:eastAsia="zh-CN"/>
        </w:rPr>
        <w:t>。投标人对报价信息不予确认的不影响后续评标过程。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（6）对“报价文件”进行评审，计算价格分。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（7）汇总技术商务分、价格分，根据总得分排序推荐确定中标候选人，公布评审结果。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注：如政采云平台对电子开标及评审程序有调整的，按调整后的程序操作。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开评标期间，投标供应商应</w:t>
      </w:r>
      <w:r>
        <w:rPr>
          <w:rFonts w:hint="eastAsia" w:ascii="宋体" w:hAnsi="宋体" w:eastAsia="宋体" w:cs="宋体"/>
          <w:b w:val="0"/>
          <w:bCs w:val="0"/>
          <w:color w:val="auto"/>
          <w:sz w:val="21"/>
          <w:szCs w:val="21"/>
          <w:highlight w:val="none"/>
          <w:lang w:val="en-US" w:eastAsia="zh-CN"/>
        </w:rPr>
        <w:t>关注</w:t>
      </w:r>
      <w:r>
        <w:rPr>
          <w:rFonts w:hint="eastAsia" w:ascii="宋体" w:hAnsi="宋体" w:eastAsia="宋体" w:cs="宋体"/>
          <w:b w:val="0"/>
          <w:bCs w:val="0"/>
          <w:color w:val="auto"/>
          <w:sz w:val="21"/>
          <w:szCs w:val="21"/>
          <w:highlight w:val="none"/>
        </w:rPr>
        <w:t>政采云平台上的指令信息和手机短信</w:t>
      </w:r>
      <w:r>
        <w:rPr>
          <w:rFonts w:hint="eastAsia" w:ascii="宋体" w:hAnsi="宋体" w:eastAsia="宋体" w:cs="宋体"/>
          <w:b w:val="0"/>
          <w:bCs w:val="0"/>
          <w:color w:val="auto"/>
          <w:sz w:val="21"/>
          <w:szCs w:val="21"/>
          <w:highlight w:val="none"/>
          <w:lang w:val="en-US" w:eastAsia="zh-CN"/>
        </w:rPr>
        <w:t>并及时处理，否则由此</w:t>
      </w:r>
      <w:r>
        <w:rPr>
          <w:rFonts w:hint="eastAsia" w:ascii="宋体" w:hAnsi="宋体" w:eastAsia="宋体" w:cs="宋体"/>
          <w:b w:val="0"/>
          <w:bCs w:val="0"/>
          <w:color w:val="auto"/>
          <w:sz w:val="21"/>
          <w:szCs w:val="21"/>
          <w:highlight w:val="none"/>
          <w:lang w:eastAsia="zh-CN"/>
        </w:rPr>
        <w:t>产生的风险由投标人自行承担。</w:t>
      </w:r>
    </w:p>
    <w:p>
      <w:pPr>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20</w:t>
      </w:r>
      <w:r>
        <w:rPr>
          <w:rFonts w:hint="eastAsia" w:ascii="宋体" w:hAnsi="宋体" w:eastAsia="宋体" w:cs="宋体"/>
          <w:b/>
          <w:bCs/>
          <w:color w:val="auto"/>
          <w:highlight w:val="none"/>
          <w:lang w:val="en-US" w:eastAsia="zh-CN"/>
        </w:rPr>
        <w:t>、投标文件解密</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.1采购代理机构宣布开标后，将通过政采云平台发出解密指令，投标人登录政采</w:t>
      </w:r>
      <w:r>
        <w:rPr>
          <w:rFonts w:hint="eastAsia" w:ascii="宋体" w:hAnsi="宋体" w:eastAsia="宋体" w:cs="宋体"/>
          <w:color w:val="auto"/>
          <w:highlight w:val="none"/>
          <w:lang w:val="en-US" w:eastAsia="zh-CN"/>
        </w:rPr>
        <w:t>云平台并</w:t>
      </w:r>
      <w:r>
        <w:rPr>
          <w:rFonts w:hint="eastAsia" w:ascii="宋体" w:hAnsi="宋体" w:eastAsia="宋体" w:cs="宋体"/>
          <w:color w:val="auto"/>
          <w:highlight w:val="none"/>
          <w:lang w:val="en-US" w:eastAsia="zh-CN"/>
        </w:rPr>
        <w:t>使用</w:t>
      </w:r>
      <w:r>
        <w:rPr>
          <w:rFonts w:hint="eastAsia" w:ascii="宋体" w:hAnsi="宋体" w:eastAsia="宋体" w:cs="宋体"/>
          <w:color w:val="auto"/>
          <w:highlight w:val="none"/>
        </w:rPr>
        <w:t>CA</w:t>
      </w:r>
      <w:r>
        <w:rPr>
          <w:rFonts w:hint="eastAsia" w:ascii="宋体" w:hAnsi="宋体" w:eastAsia="宋体" w:cs="宋体"/>
          <w:color w:val="auto"/>
          <w:highlight w:val="none"/>
          <w:lang w:val="en-US" w:eastAsia="zh-CN"/>
        </w:rPr>
        <w:t>数字</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对加密的电子投标文件进行在线解密。</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.2解密电子投标文件的时间为解密指令发出后30分钟内。解密成功的，备份电子投标文件自动失效。若在规定时间内无法解密或解密失败，</w:t>
      </w:r>
      <w:r>
        <w:rPr>
          <w:rFonts w:hint="eastAsia" w:ascii="宋体" w:hAnsi="宋体" w:eastAsia="宋体" w:cs="宋体"/>
          <w:color w:val="auto"/>
          <w:highlight w:val="none"/>
          <w:lang w:val="en-US" w:eastAsia="zh-CN"/>
        </w:rPr>
        <w:t>此时启用</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，若备份投标文件仍无法使用，则视为</w:t>
      </w:r>
      <w:r>
        <w:rPr>
          <w:rFonts w:hint="eastAsia" w:ascii="宋体" w:hAnsi="宋体" w:eastAsia="宋体" w:cs="宋体"/>
          <w:color w:val="auto"/>
          <w:highlight w:val="none"/>
          <w:lang w:val="en-US" w:eastAsia="zh-CN"/>
        </w:rPr>
        <w:t>无效</w:t>
      </w:r>
      <w:r>
        <w:rPr>
          <w:rFonts w:hint="eastAsia" w:ascii="宋体" w:hAnsi="宋体" w:eastAsia="宋体" w:cs="宋体"/>
          <w:color w:val="auto"/>
          <w:highlight w:val="none"/>
        </w:rPr>
        <w:t>投标。</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电子投标文件在解密前处于保密状态。解密成功后，“资格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文件”、“技术商务文件”、“报价文件”各自处于数据隔离状态，</w:t>
      </w:r>
      <w:r>
        <w:rPr>
          <w:rFonts w:hint="eastAsia" w:ascii="宋体" w:hAnsi="宋体" w:cs="宋体"/>
          <w:color w:val="auto"/>
          <w:highlight w:val="none"/>
          <w:lang w:val="en-US" w:eastAsia="zh-CN"/>
        </w:rPr>
        <w:t>文件的内容</w:t>
      </w:r>
      <w:r>
        <w:rPr>
          <w:rFonts w:hint="eastAsia" w:ascii="宋体" w:hAnsi="宋体" w:eastAsia="宋体" w:cs="宋体"/>
          <w:color w:val="auto"/>
          <w:highlight w:val="none"/>
        </w:rPr>
        <w:t>只有</w:t>
      </w:r>
      <w:r>
        <w:rPr>
          <w:rFonts w:hint="eastAsia" w:ascii="宋体" w:hAnsi="宋体" w:cs="宋体"/>
          <w:color w:val="auto"/>
          <w:highlight w:val="none"/>
          <w:lang w:val="en-US" w:eastAsia="zh-CN"/>
        </w:rPr>
        <w:t>进行到相应的评审</w:t>
      </w:r>
      <w:r>
        <w:rPr>
          <w:rFonts w:hint="eastAsia" w:ascii="宋体" w:hAnsi="宋体" w:eastAsia="宋体" w:cs="宋体"/>
          <w:color w:val="auto"/>
          <w:highlight w:val="none"/>
        </w:rPr>
        <w:t>环节时可见。</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1</w:t>
      </w:r>
      <w:r>
        <w:rPr>
          <w:rFonts w:hint="eastAsia" w:ascii="宋体" w:hAnsi="宋体" w:eastAsia="宋体" w:cs="宋体"/>
          <w:b/>
          <w:bCs/>
          <w:color w:val="auto"/>
          <w:highlight w:val="none"/>
          <w:lang w:val="en-US" w:eastAsia="zh-CN"/>
        </w:rPr>
        <w:t>、评标委员会</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.1采购人和采购代理机构根据采购项目的内容特点按照规定组建评标委员会。</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lang w:val="en-US" w:eastAsia="zh-CN"/>
        </w:rPr>
        <w:t>、对投标文件的评审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开标后，采购人或者采购代理机构对投标人的资格进行审查。审查内容为投标人提供的资格证明</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是否齐全并满足招标文件的要求。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评标委员会对符合资格的投标人的投标文件进行符合性审查，以确定其是否满足招标文件的实质性要求。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评标委员会对具备实质性响应的投标文件进行评估和比较。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评标委员会对投标文件的判定，只依据投标文件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包括样品、演示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的本身内容，不依据开标后的任何外来证明材料。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评标办法及评分标准见本招标文件第</w:t>
      </w:r>
      <w:r>
        <w:rPr>
          <w:rFonts w:hint="eastAsia" w:ascii="宋体" w:hAnsi="宋体" w:cs="宋体"/>
          <w:color w:val="auto"/>
          <w:highlight w:val="none"/>
          <w:lang w:val="en-US" w:eastAsia="zh-CN"/>
        </w:rPr>
        <w:t>七</w:t>
      </w:r>
      <w:r>
        <w:rPr>
          <w:rFonts w:hint="eastAsia" w:ascii="宋体" w:hAnsi="宋体" w:eastAsia="宋体" w:cs="宋体"/>
          <w:color w:val="auto"/>
          <w:highlight w:val="none"/>
        </w:rPr>
        <w:t>部分评标办法及评分标准。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lang w:val="en-US" w:eastAsia="zh-CN"/>
        </w:rPr>
        <w:t>、投标文件的澄清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评审期间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应</w:t>
      </w:r>
      <w:r>
        <w:rPr>
          <w:rFonts w:hint="eastAsia" w:ascii="宋体" w:hAnsi="宋体" w:eastAsia="宋体" w:cs="宋体"/>
          <w:color w:val="auto"/>
          <w:highlight w:val="none"/>
        </w:rPr>
        <w:t>指派技术（商务）人员及法定代表人（或全权代表）</w:t>
      </w:r>
      <w:r>
        <w:rPr>
          <w:rFonts w:hint="eastAsia" w:ascii="宋体" w:hAnsi="宋体" w:eastAsia="宋体" w:cs="宋体"/>
          <w:color w:val="auto"/>
          <w:highlight w:val="none"/>
          <w:lang w:val="en-US" w:eastAsia="zh-CN"/>
        </w:rPr>
        <w:t>在规定的时间内</w:t>
      </w:r>
      <w:r>
        <w:rPr>
          <w:rFonts w:hint="eastAsia" w:ascii="宋体" w:hAnsi="宋体" w:eastAsia="宋体" w:cs="宋体"/>
          <w:color w:val="auto"/>
          <w:highlight w:val="none"/>
        </w:rPr>
        <w:t>进行澄清</w:t>
      </w:r>
      <w:r>
        <w:rPr>
          <w:rFonts w:hint="eastAsia" w:ascii="宋体" w:hAnsi="宋体" w:eastAsia="宋体" w:cs="宋体"/>
          <w:color w:val="auto"/>
          <w:highlight w:val="none"/>
          <w:lang w:val="en-US" w:eastAsia="zh-CN"/>
        </w:rPr>
        <w:t>和说明</w:t>
      </w:r>
      <w:r>
        <w:rPr>
          <w:rFonts w:hint="eastAsia" w:ascii="宋体" w:hAnsi="宋体" w:eastAsia="宋体" w:cs="宋体"/>
          <w:color w:val="auto"/>
          <w:highlight w:val="none"/>
        </w:rPr>
        <w:t>，否则</w:t>
      </w:r>
      <w:r>
        <w:rPr>
          <w:rFonts w:hint="eastAsia" w:ascii="宋体" w:hAnsi="宋体" w:eastAsia="宋体" w:cs="宋体"/>
          <w:color w:val="auto"/>
          <w:szCs w:val="20"/>
          <w:highlight w:val="none"/>
        </w:rPr>
        <w:t>将被视作自动放弃</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lang w:val="en-US" w:eastAsia="zh-CN"/>
        </w:rPr>
        <w:t>由此造成的后果由投标人自行承担</w:t>
      </w:r>
      <w:r>
        <w:rPr>
          <w:rFonts w:hint="eastAsia" w:ascii="宋体" w:hAnsi="宋体" w:eastAsia="宋体" w:cs="宋体"/>
          <w:color w:val="auto"/>
          <w:szCs w:val="20"/>
          <w:highlight w:val="none"/>
        </w:rPr>
        <w:t>。</w:t>
      </w:r>
    </w:p>
    <w:p>
      <w:pPr>
        <w:spacing w:line="360" w:lineRule="auto"/>
        <w:rPr>
          <w:rFonts w:hint="eastAsia" w:ascii="宋体" w:hAnsi="宋体" w:eastAsia="宋体" w:cs="宋体"/>
          <w:color w:val="auto"/>
          <w:szCs w:val="20"/>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.3对投标文件的</w:t>
      </w:r>
      <w:r>
        <w:rPr>
          <w:rFonts w:hint="eastAsia" w:ascii="宋体" w:hAnsi="宋体" w:eastAsia="宋体" w:cs="宋体"/>
          <w:color w:val="auto"/>
          <w:highlight w:val="none"/>
        </w:rPr>
        <w:t>澄清、说明</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补正</w:t>
      </w:r>
      <w:r>
        <w:rPr>
          <w:rFonts w:hint="eastAsia" w:ascii="宋体" w:hAnsi="宋体" w:eastAsia="宋体" w:cs="宋体"/>
          <w:color w:val="auto"/>
          <w:highlight w:val="none"/>
          <w:lang w:val="en-US" w:eastAsia="zh-CN"/>
        </w:rPr>
        <w:t>将通过政采云平台在线询标方式或线下书面形式进行。</w:t>
      </w:r>
      <w:r>
        <w:rPr>
          <w:rFonts w:hint="eastAsia" w:ascii="宋体" w:hAnsi="宋体" w:eastAsia="宋体" w:cs="宋体"/>
          <w:color w:val="auto"/>
          <w:highlight w:val="none"/>
        </w:rPr>
        <w:t>投标人的澄清、说明或补正</w:t>
      </w:r>
      <w:r>
        <w:rPr>
          <w:rFonts w:hint="eastAsia" w:ascii="宋体" w:hAnsi="宋体" w:eastAsia="宋体" w:cs="宋体"/>
          <w:color w:val="auto"/>
          <w:highlight w:val="none"/>
          <w:lang w:val="en-US" w:eastAsia="zh-CN"/>
        </w:rPr>
        <w:t>须加盖公章（CA电子签章）或由</w:t>
      </w:r>
      <w:r>
        <w:rPr>
          <w:rFonts w:hint="eastAsia" w:ascii="宋体" w:hAnsi="宋体" w:eastAsia="宋体" w:cs="宋体"/>
          <w:color w:val="auto"/>
          <w:highlight w:val="none"/>
        </w:rPr>
        <w:t>法定代表人（或全权代表）</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rPr>
        <w:t>该澄清、说明或者补正将作为投标文件的一部分。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投标人的澄清、说明或者补正不得超出投标文件的范围或者改变投标文件的实质性内容。不接受投标人提出的主动澄清。</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lang w:val="en-US" w:eastAsia="zh-CN"/>
        </w:rPr>
        <w:t>、废标情形</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.1投标人不足3家未能开标的</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.2经资格审查，合格投标人不足3家未能评标的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.3在评标过程中，评标委员会发现有下列情形之一的，应对采购项目予以废标：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（1）有效投标人不足3家的；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（3）因重大变故，采购任务取消的。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.4废标后，采购代理机构</w:t>
      </w:r>
      <w:r>
        <w:rPr>
          <w:rFonts w:hint="eastAsia" w:ascii="宋体" w:hAnsi="宋体" w:eastAsia="宋体" w:cs="宋体"/>
          <w:color w:val="auto"/>
          <w:highlight w:val="none"/>
          <w:lang w:val="en-US" w:eastAsia="zh-CN"/>
        </w:rPr>
        <w:t>通过公告的形式将</w:t>
      </w:r>
      <w:r>
        <w:rPr>
          <w:rFonts w:hint="eastAsia" w:ascii="宋体" w:hAnsi="宋体" w:eastAsia="宋体" w:cs="宋体"/>
          <w:color w:val="auto"/>
          <w:highlight w:val="none"/>
        </w:rPr>
        <w:t>废标结果通知所有投标人。</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lang w:val="en-US" w:eastAsia="zh-CN"/>
        </w:rPr>
        <w:t>、评审监控及保密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.1本项目评标过程实行全程录音、录像监控，</w:t>
      </w:r>
      <w:r>
        <w:rPr>
          <w:rFonts w:hint="eastAsia" w:ascii="宋体" w:hAnsi="宋体" w:eastAsia="宋体" w:cs="宋体"/>
          <w:color w:val="auto"/>
          <w:highlight w:val="none"/>
          <w:lang w:val="en-US" w:eastAsia="zh-CN"/>
        </w:rPr>
        <w:t>任何人</w:t>
      </w:r>
      <w:r>
        <w:rPr>
          <w:rFonts w:hint="eastAsia" w:ascii="宋体" w:hAnsi="宋体" w:eastAsia="宋体" w:cs="宋体"/>
          <w:color w:val="auto"/>
          <w:highlight w:val="none"/>
        </w:rPr>
        <w:t>在</w:t>
      </w:r>
      <w:r>
        <w:rPr>
          <w:rFonts w:hint="eastAsia" w:ascii="宋体" w:hAnsi="宋体" w:eastAsia="宋体" w:cs="宋体"/>
          <w:color w:val="auto"/>
          <w:highlight w:val="none"/>
          <w:lang w:val="en-US" w:eastAsia="zh-CN"/>
        </w:rPr>
        <w:t>开标、</w:t>
      </w:r>
      <w:r>
        <w:rPr>
          <w:rFonts w:hint="eastAsia" w:ascii="宋体" w:hAnsi="宋体" w:eastAsia="宋体" w:cs="宋体"/>
          <w:color w:val="auto"/>
          <w:highlight w:val="none"/>
        </w:rPr>
        <w:t>评标过程中所进行的试图影响</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结果的任何不公正活动</w:t>
      </w:r>
      <w:r>
        <w:rPr>
          <w:rFonts w:hint="eastAsia" w:ascii="宋体" w:hAnsi="宋体" w:eastAsia="宋体" w:cs="宋体"/>
          <w:color w:val="auto"/>
          <w:highlight w:val="none"/>
          <w:lang w:val="en-US" w:eastAsia="zh-CN"/>
        </w:rPr>
        <w:t>将受到监督</w:t>
      </w:r>
      <w:r>
        <w:rPr>
          <w:rFonts w:hint="eastAsia" w:ascii="宋体" w:hAnsi="宋体" w:eastAsia="宋体" w:cs="宋体"/>
          <w:color w:val="auto"/>
          <w:highlight w:val="none"/>
        </w:rPr>
        <w:t>，并承担相应的法律责任。</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相关当事人</w:t>
      </w:r>
      <w:r>
        <w:rPr>
          <w:rFonts w:hint="eastAsia" w:ascii="宋体" w:hAnsi="宋体" w:eastAsia="宋体" w:cs="宋体"/>
          <w:color w:val="auto"/>
          <w:highlight w:val="none"/>
        </w:rPr>
        <w:t>不得泄露评审情况以及评审过程中获悉的国家秘密、商业秘密。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、中止电子交易的情形</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采购过程中出现以下情形，导致电子交易平台无法正常运行，或者无法保证电子交易的公平、公正和安全时，采购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机构可中止电子交易活动：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）电子交易平台发生故障而无法登录访问的；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）电子交易平台应用或数据库出现错误，不能进行正常操作的；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）电子交易平台发现严重安全漏洞，有潜在泄密危险的；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）病毒发作导致不能进行正常操作的；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出现上述情形的，采购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机构可以待上述情形消除后继续组织电子交易活动，也可以决定某些环节以纸质形式进行；影响或可能影响采购公平、公正性的，应当重新采购。</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F、授予合同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授予合同标准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.1采购人将依法把合同授予最佳投标者，具体方法见本招标文件第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部分评标办法及评分标准。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中标通知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.1中标人确定之日起后2个工作日内，采购代理机构将在指定的政府采购信息发布媒体上公告</w:t>
      </w:r>
      <w:r>
        <w:rPr>
          <w:rFonts w:hint="eastAsia" w:ascii="宋体" w:hAnsi="宋体" w:eastAsia="宋体" w:cs="宋体"/>
          <w:color w:val="auto"/>
          <w:sz w:val="21"/>
          <w:szCs w:val="21"/>
          <w:highlight w:val="none"/>
        </w:rPr>
        <w:t>中标结果，同时向中标人发出中标通知书。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.2中标通知书对采购人和中标供应商具有同等法律效力。中标通知书发出以后，采购人改变中标结果或者中标供应商放弃中标，应当承担相应的法律责任，出现争议的，报财政部门处理。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中标通知书是合同的组成部分。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签订合同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.1中标人在收到中标通知书后，应按照规定的时间、地点，与采购人签订采购合同。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.2招标文件、补充文件、投标文件及评标过程中的有关澄清、说明或者补正文件均为签订合同的依据。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.3采购人</w:t>
      </w:r>
      <w:r>
        <w:rPr>
          <w:rFonts w:hint="eastAsia" w:ascii="宋体" w:hAnsi="宋体" w:cs="宋体"/>
          <w:color w:val="auto"/>
          <w:sz w:val="21"/>
          <w:szCs w:val="21"/>
          <w:highlight w:val="none"/>
          <w:lang w:val="en-US" w:eastAsia="zh-CN"/>
        </w:rPr>
        <w:t>或中标人</w:t>
      </w:r>
      <w:r>
        <w:rPr>
          <w:rFonts w:hint="eastAsia" w:ascii="宋体" w:hAnsi="宋体" w:eastAsia="宋体" w:cs="宋体"/>
          <w:color w:val="auto"/>
          <w:sz w:val="21"/>
          <w:szCs w:val="21"/>
          <w:highlight w:val="none"/>
        </w:rPr>
        <w:t>不得</w:t>
      </w:r>
      <w:r>
        <w:rPr>
          <w:rFonts w:hint="eastAsia" w:ascii="宋体" w:hAnsi="宋体" w:cs="宋体"/>
          <w:color w:val="auto"/>
          <w:sz w:val="21"/>
          <w:szCs w:val="21"/>
          <w:highlight w:val="none"/>
          <w:lang w:val="en-US" w:eastAsia="zh-CN"/>
        </w:rPr>
        <w:t>向另一方</w:t>
      </w:r>
      <w:r>
        <w:rPr>
          <w:rFonts w:hint="eastAsia" w:ascii="宋体" w:hAnsi="宋体" w:eastAsia="宋体" w:cs="宋体"/>
          <w:color w:val="auto"/>
          <w:sz w:val="21"/>
          <w:szCs w:val="21"/>
          <w:highlight w:val="none"/>
        </w:rPr>
        <w:t>提出超出</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及投标响应文件</w:t>
      </w:r>
      <w:r>
        <w:rPr>
          <w:rFonts w:hint="eastAsia" w:ascii="宋体" w:hAnsi="宋体" w:eastAsia="宋体" w:cs="宋体"/>
          <w:color w:val="auto"/>
          <w:sz w:val="21"/>
          <w:szCs w:val="21"/>
          <w:highlight w:val="none"/>
        </w:rPr>
        <w:t>以外的任何要求作为签订合同的条件，不得订立背离</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文件确定的合同文本以及采购标的、规格型号、采购金额、采购数量、技术和服务等实质性内容的协议。如果中标人不能按照招标文件要求及其投标文件的承诺签订合同或其投标文件与事实不符，</w:t>
      </w:r>
      <w:r>
        <w:rPr>
          <w:rFonts w:hint="eastAsia" w:ascii="宋体" w:hAnsi="宋体" w:eastAsia="宋体" w:cs="宋体"/>
          <w:color w:val="auto"/>
          <w:sz w:val="21"/>
          <w:szCs w:val="21"/>
          <w:highlight w:val="none"/>
          <w:lang w:val="en-US" w:eastAsia="zh-CN"/>
        </w:rPr>
        <w:t>影响</w:t>
      </w:r>
      <w:r>
        <w:rPr>
          <w:rFonts w:hint="eastAsia" w:ascii="宋体" w:hAnsi="宋体" w:eastAsia="宋体" w:cs="宋体"/>
          <w:color w:val="auto"/>
          <w:sz w:val="21"/>
          <w:szCs w:val="21"/>
          <w:highlight w:val="none"/>
        </w:rPr>
        <w:t>采购合同的实施，</w:t>
      </w:r>
      <w:r>
        <w:rPr>
          <w:rFonts w:hint="eastAsia" w:ascii="宋体" w:hAnsi="宋体" w:eastAsia="宋体" w:cs="宋体"/>
          <w:color w:val="auto"/>
          <w:sz w:val="21"/>
          <w:szCs w:val="21"/>
          <w:highlight w:val="none"/>
          <w:lang w:val="en-US" w:eastAsia="zh-CN"/>
        </w:rPr>
        <w:t>损害采购人利益，</w:t>
      </w:r>
      <w:r>
        <w:rPr>
          <w:rFonts w:hint="eastAsia" w:ascii="宋体" w:hAnsi="宋体" w:eastAsia="宋体" w:cs="宋体"/>
          <w:color w:val="auto"/>
          <w:sz w:val="21"/>
          <w:szCs w:val="21"/>
          <w:highlight w:val="none"/>
        </w:rPr>
        <w:t>采购人有权</w:t>
      </w:r>
      <w:r>
        <w:rPr>
          <w:rFonts w:hint="eastAsia" w:ascii="宋体" w:hAnsi="宋体" w:cs="宋体"/>
          <w:color w:val="auto"/>
          <w:sz w:val="21"/>
          <w:szCs w:val="21"/>
          <w:highlight w:val="none"/>
          <w:lang w:val="en-US" w:eastAsia="zh-CN"/>
        </w:rPr>
        <w:t>拒绝签订</w:t>
      </w:r>
      <w:r>
        <w:rPr>
          <w:rFonts w:hint="eastAsia" w:ascii="宋体" w:hAnsi="宋体" w:eastAsia="宋体" w:cs="宋体"/>
          <w:color w:val="auto"/>
          <w:sz w:val="21"/>
          <w:szCs w:val="21"/>
          <w:highlight w:val="none"/>
        </w:rPr>
        <w:t>合同，并报采购监督部门处理</w:t>
      </w:r>
      <w:r>
        <w:rPr>
          <w:rFonts w:hint="eastAsia" w:ascii="宋体" w:hAnsi="宋体" w:cs="宋体"/>
          <w:color w:val="auto"/>
          <w:sz w:val="21"/>
          <w:szCs w:val="21"/>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.4自采购合同签订之日起2个工作日内，本项目政府采购合同将在财政部指定的媒体上公告，</w:t>
      </w:r>
      <w:r>
        <w:rPr>
          <w:rFonts w:hint="eastAsia" w:ascii="宋体" w:hAnsi="宋体" w:eastAsia="宋体" w:cs="宋体"/>
          <w:color w:val="auto"/>
          <w:highlight w:val="none"/>
        </w:rPr>
        <w:t>但政府采购合同中涉及国家秘密、商业秘密的内容除外。</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.5签约后即为招标结束。采购代理机构不退回任何文件资料。</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G、</w:t>
      </w:r>
      <w:r>
        <w:rPr>
          <w:rFonts w:hint="eastAsia" w:ascii="宋体" w:hAnsi="宋体" w:eastAsia="宋体" w:cs="宋体"/>
          <w:b/>
          <w:bCs/>
          <w:color w:val="auto"/>
          <w:sz w:val="32"/>
          <w:highlight w:val="none"/>
          <w:lang w:val="en-US" w:eastAsia="zh-CN"/>
        </w:rPr>
        <w:t>询问、</w:t>
      </w:r>
      <w:r>
        <w:rPr>
          <w:rFonts w:hint="eastAsia" w:ascii="宋体" w:hAnsi="宋体" w:eastAsia="宋体" w:cs="宋体"/>
          <w:b/>
          <w:bCs/>
          <w:color w:val="auto"/>
          <w:sz w:val="32"/>
          <w:highlight w:val="none"/>
        </w:rPr>
        <w:t>质疑和投诉</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询问</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.1供应商对政府采购活动有疑问的，可以向采购人或</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提出询问。</w:t>
      </w:r>
      <w:r>
        <w:rPr>
          <w:rFonts w:hint="eastAsia" w:ascii="宋体" w:hAnsi="宋体" w:eastAsia="宋体" w:cs="宋体"/>
          <w:color w:val="auto"/>
          <w:sz w:val="21"/>
          <w:szCs w:val="21"/>
          <w:highlight w:val="none"/>
          <w:lang w:val="en-US" w:eastAsia="zh-CN"/>
        </w:rPr>
        <w:t>询问可以采用口头或书面方式提出，当采购人或采购代理机构要求采用书面形式时，应当采用书面形式。</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val="en-US" w:eastAsia="zh-CN"/>
        </w:rPr>
        <w:t>采购代理机构应当</w:t>
      </w:r>
      <w:r>
        <w:rPr>
          <w:rFonts w:hint="eastAsia" w:ascii="宋体" w:hAnsi="宋体" w:eastAsia="宋体" w:cs="宋体"/>
          <w:color w:val="auto"/>
          <w:sz w:val="21"/>
          <w:szCs w:val="21"/>
          <w:highlight w:val="none"/>
        </w:rPr>
        <w:t>在3个工作日内对供应商依法提出的询问作出答复，但答复的内容不涉及商业秘密。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.1供应商认为采购文件、采购过程、中标或成交结果使自己的合法权益受到损害的，可以在知道或者应知其权益受到损害之日起7个工作日内，以书面形式向采购人、采购代理机构提出质疑。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供应商应知其权益受到损害之日，是指：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（1）对可以质疑的采购文件提出质疑的，为收到采购文件之日或者采购文件公告期限届满之日（公告期限届满后获取采购文件的，以公告期限届满之日为准）；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（3）对中标或者成交结果提出质疑的，为中标或者成交结果公告期限届满之日。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供应商针对同一采购程序环节的质疑须一次性提出。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.2质疑人应将</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原件送达被质疑人。</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应明确阐述采购文件、采购过程、中标或成交结果中使自己合法权益受到损害的实质性内容，提供相关事实、依据和证据及其来源或线索，便于有关单位调查、答复和处理。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应当包括下列主要内容：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（1）供应商的名称、地址、邮编、联系人及联系电话；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（2）质疑项目的名称、编号；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（3）具体、明确的质疑事项和与质疑事项相关的请求；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（4）事实依据；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（5）必要的法律依据；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（6）提出质疑的日期。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政府采购供应商质疑函范本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应当署名。供应商为自然人的，应当由本人签字；供应商为法人或者其他组织的，应当由法定代表人、主要负责人，或者其授权代表签字或者盖章，并加盖公章。</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.5采购人、采购代理机构不得拒收质疑供应商在法定质疑期内发出的质疑函，应当在收到质疑函后7个工作日内作出答复，但答复的内容不涉及商业秘密。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.1对采购人、采购代理机构的质疑答复不满意，或者采购人、采购代理机构未在规定期限内作出答复的，供应商可以在答复期满后15个工作日内向同级财政部门提起投诉。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w:t>
      </w:r>
      <w:r>
        <w:rPr>
          <w:rFonts w:hint="eastAsia" w:ascii="宋体" w:hAnsi="宋体" w:eastAsia="宋体" w:cs="宋体"/>
          <w:color w:val="auto"/>
          <w:sz w:val="21"/>
          <w:szCs w:val="21"/>
          <w:highlight w:val="none"/>
          <w:lang w:val="en-US" w:eastAsia="zh-CN"/>
        </w:rPr>
        <w:t>投诉书</w:t>
      </w:r>
      <w:r>
        <w:rPr>
          <w:rFonts w:hint="eastAsia" w:ascii="宋体" w:hAnsi="宋体" w:eastAsia="宋体" w:cs="宋体"/>
          <w:color w:val="auto"/>
          <w:sz w:val="21"/>
          <w:szCs w:val="21"/>
          <w:highlight w:val="none"/>
        </w:rPr>
        <w:t>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部分  项目内容及要求</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1、采购内容</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柴桥中学智能录播教室设备</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BLZFCG2025034</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2、项目范围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详见本部分附件，供应商提供本项目采购范围内的货物和服务所需的一切费用均包含在报价中。</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3、项目说明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3.1本招标文件所提出的项目技术标准是基本的技术标准和使用功能，并未规定所有的技术要求和适用标准，供应商应提供一套满足所列标准要求的高质量的产品及相应服务。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3.2本次招标项目应按国际标准或专业标准执行，最后按照国家有关规定及合同约定进行验收。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3.3本项目所有工作均由中标供应商负总责任。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3.4本项目要求使用的标准如与中标供应商所执行标准发生矛盾时，按较高标准执行。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3.5具体要求见本部分附件。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4、交付地点与时间要求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4.1本项目交付（实施）地点：</w:t>
      </w:r>
      <w:r>
        <w:rPr>
          <w:rFonts w:hint="eastAsia" w:ascii="宋体" w:hAnsi="宋体" w:eastAsia="宋体" w:cs="宋体"/>
          <w:color w:val="auto"/>
          <w:sz w:val="21"/>
          <w:szCs w:val="21"/>
          <w:highlight w:val="none"/>
        </w:rPr>
        <w:t>北仑区，采购人指定地点。</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4.2本项目交付（服务）期限：</w:t>
      </w:r>
      <w:r>
        <w:rPr>
          <w:rFonts w:hint="eastAsia" w:ascii="宋体" w:hAnsi="宋体" w:eastAsia="宋体" w:cs="宋体"/>
          <w:color w:val="auto"/>
          <w:sz w:val="21"/>
          <w:szCs w:val="21"/>
          <w:highlight w:val="none"/>
        </w:rPr>
        <w:t>合同签订后2个月内完成安装、调试并交付使用。</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4.3本项目质保期限：</w:t>
      </w:r>
      <w:r>
        <w:rPr>
          <w:rFonts w:hint="eastAsia" w:ascii="宋体" w:hAnsi="宋体" w:eastAsia="宋体" w:cs="宋体"/>
          <w:b w:val="0"/>
          <w:bCs w:val="0"/>
          <w:color w:val="auto"/>
          <w:sz w:val="21"/>
          <w:szCs w:val="21"/>
          <w:highlight w:val="none"/>
        </w:rPr>
        <w:t>质保期为</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年。质保期自项目正式验收合格之日起计算。</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4.4本项目服务响应要求：</w:t>
      </w:r>
      <w:r>
        <w:rPr>
          <w:rFonts w:hint="eastAsia" w:ascii="宋体" w:hAnsi="宋体" w:eastAsia="宋体" w:cs="宋体"/>
          <w:b w:val="0"/>
          <w:bCs w:val="0"/>
          <w:color w:val="auto"/>
          <w:sz w:val="21"/>
          <w:szCs w:val="21"/>
          <w:highlight w:val="none"/>
        </w:rPr>
        <w:t>在接到用户的故障维修电话后</w:t>
      </w:r>
      <w:r>
        <w:rPr>
          <w:rFonts w:hint="eastAsia" w:ascii="宋体" w:hAnsi="宋体" w:cs="宋体"/>
          <w:b w:val="0"/>
          <w:bCs w:val="0"/>
          <w:color w:val="auto"/>
          <w:sz w:val="21"/>
          <w:szCs w:val="21"/>
          <w:highlight w:val="none"/>
          <w:lang w:val="en-US" w:eastAsia="zh-CN"/>
        </w:rPr>
        <w:t>立即</w:t>
      </w:r>
      <w:r>
        <w:rPr>
          <w:rFonts w:hint="eastAsia" w:ascii="宋体" w:hAnsi="宋体" w:eastAsia="宋体" w:cs="宋体"/>
          <w:b w:val="0"/>
          <w:bCs w:val="0"/>
          <w:color w:val="auto"/>
          <w:sz w:val="21"/>
          <w:szCs w:val="21"/>
          <w:highlight w:val="none"/>
        </w:rPr>
        <w:t xml:space="preserve">响应，简单故障能通过电话予以解决，如用户提出需要上门服务，维修人员应在4小时内赶到现场，提供不间断的服务直到维修结束。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5、投标响应要求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以下为投标人在投标文件中需要包含的最基本内容。</w:t>
      </w:r>
      <w:r>
        <w:rPr>
          <w:rFonts w:hint="eastAsia" w:ascii="宋体" w:hAnsi="宋体" w:eastAsia="宋体" w:cs="宋体"/>
          <w:color w:val="auto"/>
          <w:sz w:val="21"/>
          <w:szCs w:val="21"/>
          <w:highlight w:val="none"/>
        </w:rPr>
        <w:t>若投标人提供的技术（服务）方案、设备（材料）性能参数与采购人要求不一致，</w:t>
      </w:r>
      <w:r>
        <w:rPr>
          <w:rFonts w:hint="eastAsia" w:ascii="宋体" w:hAnsi="宋体" w:eastAsia="宋体" w:cs="宋体"/>
          <w:color w:val="auto"/>
          <w:sz w:val="21"/>
          <w:szCs w:val="21"/>
          <w:highlight w:val="none"/>
        </w:rPr>
        <w:t>必须在技术及服务条款偏离表中说明。</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5.1货物技术性能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5.1.1货物规格：根据采购需求，详细列出符合要求的设备配置情况及设备各项指标对应情况。</w:t>
      </w:r>
      <w:r>
        <w:rPr>
          <w:rFonts w:hint="eastAsia" w:ascii="宋体" w:hAnsi="宋体" w:cs="宋体"/>
          <w:color w:val="auto"/>
          <w:sz w:val="21"/>
          <w:szCs w:val="21"/>
          <w:highlight w:val="none"/>
          <w:lang w:eastAsia="zh-CN"/>
        </w:rPr>
        <w:t>格式</w:t>
      </w:r>
      <w:r>
        <w:rPr>
          <w:rFonts w:hint="eastAsia" w:ascii="宋体" w:hAnsi="宋体" w:eastAsia="宋体" w:cs="宋体"/>
          <w:color w:val="auto"/>
          <w:sz w:val="21"/>
          <w:szCs w:val="21"/>
          <w:highlight w:val="none"/>
        </w:rPr>
        <w:t>参照第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部分格式：投标货物（服务）清单。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5.1.2品牌选择要求。为了便于维护，各子系统中应尽量使用同一品牌。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w:t>
      </w:r>
      <w:r>
        <w:rPr>
          <w:rFonts w:hint="eastAsia" w:ascii="宋体" w:hAnsi="宋体" w:eastAsia="宋体" w:cs="宋体"/>
          <w:color w:val="auto"/>
          <w:sz w:val="21"/>
          <w:szCs w:val="21"/>
          <w:highlight w:val="none"/>
        </w:rPr>
        <w:t>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5.2项目技术方案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5.2.1深化设计。根据采购人的需求，针对本项目的特点</w:t>
      </w:r>
      <w:r>
        <w:rPr>
          <w:rFonts w:hint="eastAsia" w:ascii="宋体" w:hAnsi="宋体" w:eastAsia="宋体" w:cs="宋体"/>
          <w:color w:val="auto"/>
          <w:sz w:val="21"/>
          <w:szCs w:val="21"/>
          <w:highlight w:val="none"/>
        </w:rPr>
        <w:t>，说明整个项目深化设计思路。</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5.2.2项目的难点和重点分析。对本项目安装调试过程中的难点和重点实事做出分析，并说明解决办法。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 测试方法。完成安装后，在采购人在场的情况下，由供应商负责一次全面测试，并把测试结果用测试报告的方式交给采购人，在方案中应有具体的测试内容和方法。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w:t>
      </w:r>
      <w:r>
        <w:rPr>
          <w:rFonts w:hint="eastAsia" w:ascii="宋体" w:hAnsi="宋体" w:eastAsia="宋体" w:cs="宋体"/>
          <w:color w:val="auto"/>
          <w:sz w:val="21"/>
          <w:szCs w:val="21"/>
          <w:highlight w:val="none"/>
        </w:rPr>
        <w:t>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5.3项目实施方案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5.3.1项目实施方案包括施工组织设计，项目组成员介绍等，内容简洁实用。中标人应派技术好、经验丰富的专业技术人员进行深化设计、安装、调试，在合同签订后按要求</w:t>
      </w:r>
      <w:r>
        <w:rPr>
          <w:rFonts w:hint="eastAsia" w:ascii="宋体" w:hAnsi="宋体" w:eastAsia="宋体" w:cs="宋体"/>
          <w:color w:val="auto"/>
          <w:sz w:val="21"/>
          <w:szCs w:val="21"/>
          <w:highlight w:val="none"/>
        </w:rPr>
        <w:t>进行现场查勘</w:t>
      </w:r>
      <w:r>
        <w:rPr>
          <w:rFonts w:hint="eastAsia" w:ascii="宋体" w:hAnsi="宋体" w:eastAsia="宋体" w:cs="宋体"/>
          <w:color w:val="auto"/>
          <w:sz w:val="21"/>
          <w:szCs w:val="21"/>
          <w:highlight w:val="none"/>
        </w:rPr>
        <w:t>、设备采购、安装、调试、验收等工作。在项目验收交付买方前，负责对货物的保护。在交付前如果货物遇到损坏或丢失，所造成的损失由中标人承担。合同实施过程中，须与采购单位积极配合。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5.3.2项目执行计划。注明每个阶段的人员分工、负责人和完成时间。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5.3.3 项目组成员介绍。</w:t>
      </w:r>
      <w:r>
        <w:rPr>
          <w:rFonts w:hint="eastAsia" w:ascii="宋体" w:hAnsi="宋体"/>
          <w:color w:val="auto"/>
          <w:highlight w:val="none"/>
        </w:rPr>
        <w:t>要体现项目经理、技术负责人的具体情况，提供主要实施人员的相关资料，拟派本项目的主要实施人员未经采购人许可不得更换。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5.3.4</w:t>
      </w:r>
      <w:r>
        <w:rPr>
          <w:rFonts w:hint="eastAsia" w:ascii="宋体" w:hAnsi="宋体" w:eastAsia="宋体" w:cs="宋体"/>
          <w:color w:val="auto"/>
          <w:sz w:val="21"/>
          <w:szCs w:val="21"/>
          <w:highlight w:val="none"/>
        </w:rPr>
        <w:t>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5.4质量保证和售后服务方案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5.4.1质量标准：</w:t>
      </w:r>
      <w:r>
        <w:rPr>
          <w:rFonts w:hint="eastAsia" w:ascii="宋体" w:hAnsi="宋体" w:eastAsia="宋体" w:cs="宋体"/>
          <w:color w:val="auto"/>
          <w:sz w:val="21"/>
          <w:szCs w:val="21"/>
          <w:highlight w:val="none"/>
        </w:rPr>
        <w:t>达到国家相关质量验收标准，确保项目验收一次性通过。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5.4.2供应商应保证本项目质量符合合同规定的要求，所提供的设备材料为未使用过的全新产品，安装施工方法符合国家标准、规范的要求。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5.4.3质量标准的评定以国家或行业的质量检验评定标准为依据。因卖方原因产品质量达不到约定的质量标准，卖方承担违约责任。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5.4.4项目验收要求。项目安装、调试完成后，</w:t>
      </w:r>
      <w:r>
        <w:rPr>
          <w:rFonts w:hint="eastAsia" w:ascii="宋体" w:hAnsi="宋体" w:cs="宋体"/>
          <w:color w:val="auto"/>
          <w:sz w:val="21"/>
          <w:szCs w:val="21"/>
          <w:highlight w:val="none"/>
          <w:lang w:val="en-US" w:eastAsia="zh-CN"/>
        </w:rPr>
        <w:t>按约定进行</w:t>
      </w:r>
      <w:r>
        <w:rPr>
          <w:rFonts w:hint="eastAsia" w:ascii="宋体" w:hAnsi="宋体" w:eastAsia="宋体" w:cs="宋体"/>
          <w:color w:val="auto"/>
          <w:sz w:val="21"/>
          <w:szCs w:val="21"/>
          <w:highlight w:val="none"/>
        </w:rPr>
        <w:t>试运行，试运行期</w:t>
      </w:r>
      <w:r>
        <w:rPr>
          <w:rFonts w:hint="eastAsia" w:ascii="宋体" w:hAnsi="宋体" w:cs="宋体"/>
          <w:color w:val="auto"/>
          <w:sz w:val="21"/>
          <w:szCs w:val="21"/>
          <w:highlight w:val="none"/>
          <w:lang w:val="en-US" w:eastAsia="zh-CN"/>
        </w:rPr>
        <w:t>满</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rPr>
        <w:t>由采购人进行统一验收。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5.4.5在质保期内，供应商须免费负责修理和替换任何由于产品自身的质量问题造成的损坏及故障。如果在短时内故障无法修复，则应提供同规格设备代用。供应商在质保期内的工作还应包括对货物的常规检查、调整。具体的操作程序和内容须在投标文件</w:t>
      </w:r>
      <w:r>
        <w:rPr>
          <w:rFonts w:hint="eastAsia" w:ascii="宋体" w:hAnsi="宋体" w:eastAsia="宋体" w:cs="宋体"/>
          <w:color w:val="auto"/>
          <w:sz w:val="21"/>
          <w:szCs w:val="21"/>
          <w:highlight w:val="none"/>
        </w:rPr>
        <w:t>质量保证及售后服务方案</w:t>
      </w:r>
      <w:r>
        <w:rPr>
          <w:rFonts w:hint="eastAsia" w:ascii="宋体" w:hAnsi="宋体" w:eastAsia="宋体" w:cs="宋体"/>
          <w:color w:val="auto"/>
          <w:sz w:val="21"/>
          <w:szCs w:val="21"/>
          <w:highlight w:val="none"/>
        </w:rPr>
        <w:t>中说明。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5.4.6技术服务。供应商应对本项目提供长期有效的技术支持，投标文件中应提供技术服务和售后服务的内容及措施承诺，并列出售后服务机构设置情况，包括人员数量、人员技术资格情况、办公地址、联系方式及负责人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5.5技术培训方案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5.5.1供应商须对使用方的操作人员及管理人员进行整个系统的使用、维护等内容的培训。在投标文件中提供培训方案，包括负责培训的人员、培训内容、培训时间等内容。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5.5.2</w:t>
      </w:r>
      <w:r>
        <w:rPr>
          <w:rFonts w:hint="eastAsia" w:ascii="宋体" w:hAnsi="宋体" w:eastAsia="宋体" w:cs="宋体"/>
          <w:color w:val="auto"/>
          <w:sz w:val="21"/>
          <w:szCs w:val="21"/>
          <w:highlight w:val="none"/>
        </w:rPr>
        <w:t>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、付款方式</w:t>
      </w:r>
    </w:p>
    <w:p>
      <w:pPr>
        <w:spacing w:line="360" w:lineRule="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strike w:val="0"/>
          <w:dstrike w:val="0"/>
          <w:color w:val="auto"/>
          <w:sz w:val="21"/>
          <w:szCs w:val="21"/>
          <w:highlight w:val="none"/>
        </w:rPr>
        <w:t>合同生效并具备实施条件后，采购人凭中标人开具的发票和预付款保函在7个工作日内，向中标人支付合同总价40%的预付款。预付款保函应当由银行、保险公司等金融机构出具且与预付款同等金额。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）试运行结束，项目验收合格，采购人收到发票后</w:t>
      </w:r>
      <w:r>
        <w:rPr>
          <w:rFonts w:hint="eastAsia" w:ascii="宋体" w:hAnsi="宋体" w:cs="宋体"/>
          <w:color w:val="auto"/>
          <w:sz w:val="21"/>
          <w:szCs w:val="21"/>
          <w:highlight w:val="none"/>
          <w:lang w:val="en-US" w:eastAsia="zh-CN"/>
        </w:rPr>
        <w:t>7个工作</w:t>
      </w:r>
      <w:r>
        <w:rPr>
          <w:rFonts w:hint="eastAsia" w:ascii="宋体" w:hAnsi="宋体" w:eastAsia="宋体" w:cs="宋体"/>
          <w:color w:val="auto"/>
          <w:sz w:val="21"/>
          <w:szCs w:val="21"/>
          <w:highlight w:val="none"/>
        </w:rPr>
        <w:t>日内，向供应商付清剩余合同款。</w:t>
      </w:r>
    </w:p>
    <w:p>
      <w:pPr>
        <w:spacing w:line="360" w:lineRule="auto"/>
        <w:rPr>
          <w:rFonts w:hint="eastAsia" w:ascii="宋体" w:hAnsi="宋体" w:eastAsia="宋体" w:cs="宋体"/>
          <w:color w:val="auto"/>
          <w:sz w:val="21"/>
          <w:szCs w:val="21"/>
          <w:highlight w:val="none"/>
        </w:rPr>
      </w:pP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3</w:t>
      </w: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签订合同时，如果中标人明确表示无需预付款或主动要求降低预付款比例的，允许调整预付款支付比例。</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、合同</w:t>
      </w:r>
      <w:r>
        <w:rPr>
          <w:rFonts w:hint="eastAsia" w:ascii="宋体" w:hAnsi="宋体" w:eastAsia="宋体" w:cs="宋体"/>
          <w:b/>
          <w:bCs/>
          <w:color w:val="auto"/>
          <w:sz w:val="21"/>
          <w:szCs w:val="21"/>
          <w:highlight w:val="none"/>
          <w:lang w:val="en-US" w:eastAsia="zh-CN"/>
        </w:rPr>
        <w:t>及履约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7.1采购人和中标人应当自中标通知书发出之日起30 日内，根据招标文件和中标人的投标文件订立书面合同。中标人无正当理由拒签合同的，招标人取消其中标资格，并报采购监督部门处理，给招标人造成的损失的，中标人还应当予以赔偿。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.2如果供应商提供的货物或服务与投标文件、相关澄清文件</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合同等承诺的不一致，则供应商必须接受无条件退货，同时退还已支付</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合同款并赔偿采购人合同总金额100%的赔款。</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7.3合同履行过程中，若发现投标人的投标文件中有投标价错误的，按不利于投标人的原则修正、调整相关价格，合同总价有变化的签订补充协议后作相应调整。</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政府采购政策</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8.1本项目落实促进中小企业发展有关政策的规定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8.1.1本次采购为非专门面向中小企业项目，根据《政府采购促进中小企业发展管理办法》（财库[2020]46号）</w:t>
      </w:r>
      <w:r>
        <w:rPr>
          <w:rFonts w:hint="eastAsia" w:ascii="宋体" w:hAnsi="宋体" w:cs="宋体"/>
          <w:color w:val="auto"/>
          <w:sz w:val="21"/>
          <w:szCs w:val="21"/>
          <w:highlight w:val="none"/>
          <w:lang w:val="en-US" w:eastAsia="zh-CN"/>
        </w:rPr>
        <w:t>及相关</w:t>
      </w:r>
      <w:r>
        <w:rPr>
          <w:rFonts w:hint="eastAsia" w:ascii="宋体" w:hAnsi="宋体" w:eastAsia="宋体" w:cs="宋体"/>
          <w:color w:val="auto"/>
          <w:sz w:val="21"/>
          <w:szCs w:val="21"/>
          <w:highlight w:val="none"/>
        </w:rPr>
        <w:t>规定，本次政府采购活动，对满足招标文件要求的</w:t>
      </w:r>
      <w:r>
        <w:rPr>
          <w:rFonts w:hint="eastAsia" w:ascii="宋体" w:hAnsi="宋体" w:eastAsia="宋体" w:cs="宋体"/>
          <w:color w:val="auto"/>
          <w:sz w:val="21"/>
          <w:szCs w:val="21"/>
          <w:highlight w:val="none"/>
        </w:rPr>
        <w:t>小微企业的价格给予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的扣除，</w:t>
      </w:r>
      <w:r>
        <w:rPr>
          <w:rFonts w:hint="eastAsia" w:ascii="宋体" w:hAnsi="宋体" w:eastAsia="宋体" w:cs="宋体"/>
          <w:color w:val="auto"/>
          <w:sz w:val="21"/>
          <w:szCs w:val="21"/>
          <w:highlight w:val="none"/>
        </w:rPr>
        <w:t>用扣除后的价格参与评审。价格扣除只用于评审过程，如中标，中标价格仍按照其投标价格进行公告。</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8.1.2符合</w:t>
      </w:r>
      <w:r>
        <w:rPr>
          <w:rFonts w:hint="eastAsia" w:ascii="宋体" w:hAnsi="宋体" w:eastAsia="宋体" w:cs="宋体"/>
          <w:color w:val="auto"/>
          <w:sz w:val="21"/>
          <w:szCs w:val="21"/>
          <w:highlight w:val="none"/>
          <w:lang w:val="en-US" w:eastAsia="zh-CN"/>
        </w:rPr>
        <w:t>中小企业认定标准的供应商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在参加本次政府采购活动时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应</w:t>
      </w:r>
      <w:r>
        <w:rPr>
          <w:rFonts w:hint="eastAsia" w:ascii="宋体" w:hAnsi="宋体" w:eastAsia="宋体" w:cs="宋体"/>
          <w:color w:val="auto"/>
          <w:sz w:val="21"/>
          <w:szCs w:val="21"/>
          <w:highlight w:val="none"/>
        </w:rPr>
        <w:t>当提供《中小企业声明函》，</w:t>
      </w:r>
      <w:r>
        <w:rPr>
          <w:rFonts w:hint="eastAsia" w:ascii="宋体" w:hAnsi="宋体" w:eastAsia="宋体" w:cs="宋体"/>
          <w:color w:val="auto"/>
          <w:sz w:val="21"/>
          <w:szCs w:val="21"/>
          <w:highlight w:val="none"/>
        </w:rPr>
        <w:t>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部分格式：中小企业声明函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并对声明的真实性负责。未按要求提供声明函的不执行中小微型企业优惠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8.1.3中标、成交供应商为小微企业的，采购人或采购代理机构将随中标、成交结果</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rPr>
        <w:t>其《中小企业声明函》内容，接受社会监督。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8.2本项目落实促进残疾人就业有关政策的规定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根据《三部门联合发布关于促进残疾人就业政府采购政策的通知》（财库[2017]141号）规定，本次政府采购活动，残疾人福利性单位视同小型、微型企业，享受评审中价格扣除等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8.2.2参加本次采购活动享受政府采购支持政策的残疾人福利性单位应当满足《三部门联合发布关于促进残疾人就业政府采购政策的通知》（财库[2017]141号）规定的条件。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符合条件的残疾人福利性单位在参加本次政府采购活动时，应当提供《残疾人福利性单位声明函》，</w:t>
      </w:r>
      <w:r>
        <w:rPr>
          <w:rFonts w:hint="eastAsia" w:ascii="宋体" w:hAnsi="宋体" w:eastAsia="宋体" w:cs="宋体"/>
          <w:color w:val="auto"/>
          <w:sz w:val="21"/>
          <w:szCs w:val="21"/>
          <w:highlight w:val="none"/>
        </w:rPr>
        <w:t>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部分格式：残疾人福利性单位声明函，</w:t>
      </w:r>
      <w:r>
        <w:rPr>
          <w:rFonts w:hint="eastAsia" w:ascii="宋体" w:hAnsi="宋体" w:eastAsia="宋体" w:cs="宋体"/>
          <w:color w:val="auto"/>
          <w:sz w:val="21"/>
          <w:szCs w:val="21"/>
          <w:highlight w:val="none"/>
        </w:rPr>
        <w:t>并对声明的真实性负责。未按要求提供声明函的不执行残疾人福利性单位优惠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。残疾人福利性单位属于小型、微型企业的，不重复享受政策。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中标、成交供应商为残疾人福利性单位的，采购人或采购代理机构将随中标、成交结果</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rPr>
        <w:t>其《残疾人福利性单位声明函》内容，接受社会监督。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8.3本项目落实支持监狱企业发展有关政策的规定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8.3.1根据《财政部司法部关于政府采购支持监狱企业发展有关问题的通知》（财库[2014]68号）规定，本次政府采购活动，监狱企业视同小型、微型企业，享受评审中价格扣除等促进中小企业发展的政府采购政策。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8.3.2监狱企业参加政府采购活动时，应当提供由省级以上监狱管理局、戒毒管理局（含新疆生产建设兵团）出具的属于监狱企业的证明文件。未提供证明文件的不执行监狱企业优惠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8.4本项目落实国家节能环保有关政策的规定</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8.4.1根据《关于调整优化节能产品、环境标志产品政府采购执行机制的通知》（财库[2019]9号）</w:t>
      </w:r>
      <w:r>
        <w:rPr>
          <w:rFonts w:hint="eastAsia" w:ascii="宋体" w:hAnsi="宋体" w:cs="宋体"/>
          <w:color w:val="auto"/>
          <w:sz w:val="21"/>
          <w:szCs w:val="21"/>
          <w:highlight w:val="none"/>
          <w:lang w:val="en-US" w:eastAsia="zh-CN"/>
        </w:rPr>
        <w:t>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拟</w:t>
      </w:r>
      <w:r>
        <w:rPr>
          <w:rFonts w:hint="eastAsia" w:ascii="宋体" w:hAnsi="宋体" w:eastAsia="宋体" w:cs="宋体"/>
          <w:color w:val="auto"/>
          <w:sz w:val="21"/>
          <w:szCs w:val="21"/>
          <w:highlight w:val="none"/>
          <w:lang w:val="en-US" w:eastAsia="zh-CN"/>
        </w:rPr>
        <w:t>采购的产品依据品目清单和认证证书实施政府优先采购和强制采购</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《节能产品政府采购品目清单》和《环境标志产品政府采购品目清单》查询网址：中国政府采购网（www.ccgp.gov.cn）。</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8.4.2根据现行政府采购节能环保政策，</w:t>
      </w:r>
      <w:r>
        <w:rPr>
          <w:rFonts w:hint="eastAsia" w:ascii="宋体" w:hAnsi="宋体" w:cs="宋体"/>
          <w:color w:val="auto"/>
          <w:sz w:val="21"/>
          <w:szCs w:val="21"/>
          <w:highlight w:val="none"/>
          <w:lang w:val="en-US" w:eastAsia="zh-CN"/>
        </w:rPr>
        <w:t>台式计算机、便携式计算机、激光打印机、针式打印机、液晶显示器、空调机等为政府强制采购产品，</w:t>
      </w:r>
      <w:r>
        <w:rPr>
          <w:rFonts w:hint="eastAsia" w:ascii="宋体" w:hAnsi="宋体" w:cs="宋体"/>
          <w:color w:val="auto"/>
          <w:sz w:val="21"/>
          <w:szCs w:val="21"/>
          <w:highlight w:val="none"/>
          <w:lang w:val="en-US" w:eastAsia="zh-CN"/>
        </w:rPr>
        <w:t>施行强制采购政策。</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8.4.3投标人应依据品目清单在投标文件中提供投标产品有效的节能产品（或环境标志产品）认证证书彩色扫描件 或者 提供投标产品在中国政府采购网（www.ccgp.gov.cn）节能产品（或环境标志产品）查询结果的网页截图的证明材料。</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8.4.4施行强制采购的产品没有提供证明材料的，投标无效；非强制采购产品没有提供证明材料的，不予认定。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、其他说明</w:t>
      </w:r>
    </w:p>
    <w:p>
      <w:pPr>
        <w:spacing w:line="360" w:lineRule="auto"/>
        <w:rPr>
          <w:rFonts w:hint="eastAsia" w:ascii="宋体" w:hAnsi="宋体" w:eastAsia="宋体" w:cs="宋体"/>
          <w:b/>
          <w:bCs/>
          <w:strike w:val="0"/>
          <w:dstrike w:val="0"/>
          <w:color w:val="auto"/>
          <w:sz w:val="21"/>
          <w:szCs w:val="21"/>
          <w:highlight w:val="none"/>
        </w:rPr>
      </w:pPr>
      <w:r>
        <w:rPr>
          <w:rFonts w:hint="eastAsia" w:ascii="宋体" w:hAnsi="宋体" w:cs="宋体"/>
          <w:b/>
          <w:bCs/>
          <w:strike w:val="0"/>
          <w:dstrike w:val="0"/>
          <w:color w:val="auto"/>
          <w:sz w:val="21"/>
          <w:szCs w:val="21"/>
          <w:highlight w:val="none"/>
          <w:lang w:val="en-US" w:eastAsia="zh-CN"/>
        </w:rPr>
        <w:t>9</w:t>
      </w:r>
      <w:r>
        <w:rPr>
          <w:rFonts w:hint="eastAsia" w:ascii="宋体" w:hAnsi="宋体" w:eastAsia="宋体" w:cs="宋体"/>
          <w:b/>
          <w:bCs/>
          <w:strike w:val="0"/>
          <w:dstrike w:val="0"/>
          <w:color w:val="auto"/>
          <w:sz w:val="21"/>
          <w:szCs w:val="21"/>
          <w:highlight w:val="none"/>
        </w:rPr>
        <w:t>.</w:t>
      </w:r>
      <w:r>
        <w:rPr>
          <w:rFonts w:hint="eastAsia" w:ascii="宋体" w:hAnsi="宋体" w:cs="宋体"/>
          <w:b/>
          <w:bCs/>
          <w:strike w:val="0"/>
          <w:dstrike w:val="0"/>
          <w:color w:val="auto"/>
          <w:sz w:val="21"/>
          <w:szCs w:val="21"/>
          <w:highlight w:val="none"/>
          <w:lang w:val="en-US" w:eastAsia="zh-CN"/>
        </w:rPr>
        <w:t>1</w:t>
      </w:r>
      <w:r>
        <w:rPr>
          <w:rFonts w:hint="eastAsia" w:ascii="宋体" w:hAnsi="宋体" w:eastAsia="宋体" w:cs="宋体"/>
          <w:b/>
          <w:bCs/>
          <w:strike w:val="0"/>
          <w:dstrike w:val="0"/>
          <w:color w:val="auto"/>
          <w:sz w:val="21"/>
          <w:szCs w:val="21"/>
          <w:highlight w:val="none"/>
        </w:rPr>
        <w:t>类似项目业绩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投标文件中提供投标人最近三年（时间计算以投标截止时间和合同签订时间为准）以来成功实施的同类项目的业绩或案例证明，</w:t>
      </w:r>
      <w:r>
        <w:rPr>
          <w:rFonts w:hint="eastAsia" w:ascii="宋体" w:hAnsi="宋体" w:eastAsia="宋体" w:cs="宋体"/>
          <w:color w:val="auto"/>
          <w:sz w:val="21"/>
          <w:szCs w:val="21"/>
          <w:highlight w:val="none"/>
        </w:rPr>
        <w:t>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部分格式：类似项目业绩表</w:t>
      </w:r>
      <w:r>
        <w:rPr>
          <w:rFonts w:hint="eastAsia" w:ascii="宋体" w:hAnsi="宋体" w:eastAsia="宋体" w:cs="宋体"/>
          <w:color w:val="auto"/>
          <w:sz w:val="21"/>
          <w:szCs w:val="21"/>
          <w:highlight w:val="none"/>
        </w:rPr>
        <w:t>，同类项目业绩要求详见评标办法，由评标委员会认定该合同是否属于同类项目业绩。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对投标人提供的合同，即使评标委员会在评标过程中已经确认，采购人和采购机构有权利对投标人提供的合同业绩进行落实。若投标人存在虚假欺骗行为，将承担相应的法律责任。</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关于品牌</w:t>
      </w:r>
    </w:p>
    <w:p>
      <w:pPr>
        <w:spacing w:line="360" w:lineRule="auto"/>
        <w:rPr>
          <w:rFonts w:hint="eastAsia" w:ascii="宋体" w:hAnsi="宋体" w:eastAsia="宋体" w:cs="宋体"/>
          <w:color w:val="auto"/>
          <w:sz w:val="21"/>
          <w:szCs w:val="21"/>
          <w:highlight w:val="none"/>
        </w:rPr>
      </w:pPr>
      <w:r>
        <w:rPr>
          <w:rFonts w:hint="eastAsia" w:ascii="宋体" w:hAnsi="宋体"/>
          <w:b w:val="0"/>
          <w:bCs w:val="0"/>
          <w:color w:val="auto"/>
          <w:highlight w:val="none"/>
          <w:lang w:val="en-US" w:eastAsia="zh-CN"/>
        </w:rPr>
        <w:t>9.2.1</w:t>
      </w:r>
      <w:r>
        <w:rPr>
          <w:rFonts w:hint="eastAsia" w:ascii="宋体" w:hAnsi="宋体"/>
          <w:b w:val="0"/>
          <w:bCs w:val="0"/>
          <w:color w:val="auto"/>
          <w:highlight w:val="none"/>
        </w:rPr>
        <w:t>不同投标人所投</w:t>
      </w:r>
      <w:r>
        <w:rPr>
          <w:rFonts w:hint="eastAsia" w:ascii="宋体" w:hAnsi="宋体"/>
          <w:b w:val="0"/>
          <w:bCs w:val="0"/>
          <w:color w:val="auto"/>
          <w:highlight w:val="none"/>
          <w:lang w:val="en-US" w:eastAsia="zh-CN"/>
        </w:rPr>
        <w:t>的核心产品</w:t>
      </w:r>
      <w:r>
        <w:rPr>
          <w:rFonts w:hint="eastAsia" w:ascii="宋体" w:hAnsi="宋体"/>
          <w:b w:val="0"/>
          <w:bCs w:val="0"/>
          <w:color w:val="auto"/>
          <w:highlight w:val="none"/>
        </w:rPr>
        <w:t>的品牌相同时，按以下原则处理：</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color w:val="auto"/>
          <w:sz w:val="21"/>
          <w:szCs w:val="21"/>
          <w:highlight w:val="none"/>
        </w:rPr>
        <w:t>由采购人自行选取一个投标人获得中标人推荐资格，</w:t>
      </w:r>
      <w:r>
        <w:rPr>
          <w:rFonts w:hint="eastAsia" w:ascii="宋体" w:hAnsi="宋体" w:eastAsia="宋体" w:cs="宋体"/>
          <w:color w:val="auto"/>
          <w:sz w:val="21"/>
          <w:szCs w:val="21"/>
          <w:highlight w:val="none"/>
        </w:rPr>
        <w:t>其他同品牌投标人不作为中标候选人。</w:t>
      </w:r>
    </w:p>
    <w:p>
      <w:pPr>
        <w:spacing w:line="360" w:lineRule="auto"/>
        <w:rPr>
          <w:rFonts w:hint="default" w:ascii="宋体" w:hAnsi="宋体"/>
          <w:b w:val="0"/>
          <w:bCs w:val="0"/>
          <w:color w:val="auto"/>
          <w:highlight w:val="none"/>
          <w:lang w:val="en-US" w:eastAsia="zh-CN"/>
        </w:rPr>
      </w:pPr>
      <w:r>
        <w:rPr>
          <w:rFonts w:hint="eastAsia" w:ascii="宋体" w:hAnsi="宋体"/>
          <w:b w:val="0"/>
          <w:bCs w:val="0"/>
          <w:color w:val="auto"/>
          <w:highlight w:val="none"/>
          <w:lang w:val="en-US" w:eastAsia="zh-CN"/>
        </w:rPr>
        <w:t>9.2.2本项目的核心产品具体详见本部分附件。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附件1：采购清单及要求</w:t>
      </w: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highlight w:val="none"/>
        </w:rPr>
        <w:t>附件</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采购清单及要求</w:t>
      </w:r>
    </w:p>
    <w:p>
      <w:pPr>
        <w:spacing w:line="360" w:lineRule="auto"/>
        <w:rPr>
          <w:rFonts w:hint="eastAsia" w:ascii="宋体" w:hAnsi="宋体"/>
          <w:b/>
          <w:bCs/>
          <w:color w:val="auto"/>
          <w:highlight w:val="none"/>
        </w:rPr>
      </w:pPr>
      <w:r>
        <w:rPr>
          <w:rFonts w:hint="eastAsia" w:ascii="宋体" w:hAnsi="宋体"/>
          <w:b/>
          <w:bCs/>
          <w:color w:val="auto"/>
          <w:highlight w:val="none"/>
        </w:rPr>
        <w:t>一、采购清单</w:t>
      </w:r>
    </w:p>
    <w:tbl>
      <w:tblPr>
        <w:tblStyle w:val="6"/>
        <w:tblW w:w="9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71"/>
        <w:gridCol w:w="2470"/>
        <w:gridCol w:w="1875"/>
        <w:gridCol w:w="795"/>
        <w:gridCol w:w="795"/>
        <w:gridCol w:w="2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产品名称</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rPr>
            </w:pPr>
            <w:r>
              <w:rPr>
                <w:rFonts w:hint="eastAsia" w:ascii="宋体" w:hAnsi="宋体" w:eastAsia="宋体" w:cs="宋体"/>
                <w:b/>
                <w:i w:val="0"/>
                <w:color w:val="auto"/>
                <w:kern w:val="0"/>
                <w:sz w:val="21"/>
                <w:szCs w:val="21"/>
                <w:highlight w:val="none"/>
                <w:u w:val="none"/>
                <w:lang w:val="en-US" w:eastAsia="zh-CN" w:bidi="ar"/>
              </w:rPr>
              <w:t>技术规格</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数量</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b w:val="0"/>
                <w:bCs w:val="0"/>
                <w:color w:val="auto"/>
                <w:highlight w:val="none"/>
                <w:lang w:val="en-US" w:eastAsia="zh-CN"/>
              </w:rPr>
              <w:t>产品示例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4K精品录播主机</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奥威亚AE-U6H Pro、维森Slim 1、青鹿Q-Y2600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2</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录播流媒体处理软件</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奥威亚录播流媒体处理软件、维森V2.0、青鹿V3.5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3</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AI智能跟踪处理软件</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奥威亚AI智能跟踪处理软件、维森V1.0、青鹿V3.0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4</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高清全景摄像机</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2</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奥威亚AX-C22DUHA、维森HVI-HV61W、青鹿Q-D1000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5</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高清特写摄像机</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2</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奥威亚AX-C30DUHA、维森 HVI-HV61W、青鹿Q-D2000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6</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高清摄像机传输处理软件</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4</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奥威亚高清摄像机软件、维森V1.0、青鹿V2.0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7</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桌面式触控面板</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奥威亚KP-8P3A、维森Slim-KZ、青鹿QX-12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8</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12路专业互动音频处理器</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艾力特OS-710T-A、维森Slim1000、青鹿Q-M1200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9</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吊装拾音话筒</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个</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6</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10</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场内便携式麦克风</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11</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无线话筒</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12</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智能课堂行为分析软件</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奥威亚 智能课堂行为分析软件、维森V8.0、青鹿V2.0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13</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智能语音分析软件</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奥威亚V1.0、维森V8.3、青鹿V1.0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14</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教学视频资源管理系统</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奥威亚AX-F100N、维森AN-7L</w:t>
            </w:r>
          </w:p>
          <w:p>
            <w:pPr>
              <w:keepNext w:val="0"/>
              <w:keepLines w:val="0"/>
              <w:widowControl/>
              <w:suppressLineNumbers w:val="0"/>
              <w:jc w:val="both"/>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、青鹿Q-P2000X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15</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智慧黑板</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视隆GC-KB983UE、鑫城XBB98300、希沃BF98EA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16</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功放</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2</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17</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电源时序器</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18</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调音台</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19</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反馈抑制器</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20</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音响</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只</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4</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21</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电视机</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4</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22</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机柜</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只</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23</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升降演讲桌</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张</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24</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智慧讲台</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张</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25</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安装调试及辅材</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批</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26</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智能交互平板</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3</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希沃FG86E、视隆GC-K865UE、</w:t>
            </w:r>
          </w:p>
          <w:p>
            <w:pPr>
              <w:keepNext w:val="0"/>
              <w:keepLines w:val="0"/>
              <w:widowControl/>
              <w:suppressLineNumbers w:val="0"/>
              <w:jc w:val="both"/>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鑫城XFB86500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27</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绿板</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块</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3</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28</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红外教学音响</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3</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29</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讲台</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个</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3</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30</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显示器</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台</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3</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31</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无线键盘鼠标</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3</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771"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cs="宋体"/>
                <w:b/>
                <w:i w:val="0"/>
                <w:color w:val="auto"/>
                <w:kern w:val="0"/>
                <w:sz w:val="21"/>
                <w:szCs w:val="21"/>
                <w:highlight w:val="none"/>
                <w:u w:val="none"/>
                <w:lang w:val="en-US" w:eastAsia="zh-CN" w:bidi="ar"/>
              </w:rPr>
              <w:t>32</w:t>
            </w:r>
          </w:p>
        </w:tc>
        <w:tc>
          <w:tcPr>
            <w:tcW w:w="2470"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安装施工</w:t>
            </w:r>
          </w:p>
        </w:tc>
        <w:tc>
          <w:tcPr>
            <w:tcW w:w="187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详见技术要求</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jc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3</w:t>
            </w:r>
          </w:p>
        </w:tc>
        <w:tc>
          <w:tcPr>
            <w:tcW w:w="2815" w:type="dxa"/>
            <w:tcBorders>
              <w:top w:val="single" w:color="000000" w:sz="4" w:space="0"/>
              <w:left w:val="single" w:color="000000" w:sz="4" w:space="0"/>
              <w:bottom w:val="single" w:color="000000" w:sz="4" w:space="0"/>
              <w:right w:val="single" w:color="000000" w:sz="4" w:space="0"/>
            </w:tcBorders>
            <w:noWrap w:val="0"/>
            <w:tcMar>
              <w:top w:w="57" w:type="dxa"/>
              <w:left w:w="113" w:type="dxa"/>
              <w:bottom w:w="57" w:type="dxa"/>
              <w:right w:w="113"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b/>
          <w:bCs/>
          <w:color w:val="auto"/>
          <w:highlight w:val="none"/>
          <w:lang w:val="en-US" w:eastAsia="zh-CN"/>
        </w:rPr>
      </w:pPr>
      <w:r>
        <w:rPr>
          <w:rFonts w:hint="eastAsia" w:ascii="宋体" w:hAnsi="宋体"/>
          <w:b/>
          <w:bCs/>
          <w:color w:val="auto"/>
          <w:highlight w:val="none"/>
          <w:lang w:val="en-US" w:eastAsia="zh-CN"/>
        </w:rPr>
        <w:t>注：采购清单中的“智能交互平板”（序号26）为本次采购的核心产品。</w:t>
      </w:r>
    </w:p>
    <w:p>
      <w:pPr>
        <w:spacing w:line="360" w:lineRule="auto"/>
        <w:rPr>
          <w:rFonts w:hint="eastAsia" w:ascii="宋体" w:hAnsi="宋体"/>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rPr>
        <w:t>二、技术要求</w:t>
      </w:r>
    </w:p>
    <w:tbl>
      <w:tblPr>
        <w:tblStyle w:val="6"/>
        <w:tblW w:w="95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366"/>
        <w:gridCol w:w="7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35" w:type="dxa"/>
            <w:noWrap w:val="0"/>
            <w:vAlign w:val="center"/>
          </w:tcPr>
          <w:p>
            <w:pPr>
              <w:jc w:val="center"/>
              <w:rPr>
                <w:rFonts w:hint="eastAsia" w:ascii="宋体" w:hAnsi="宋体" w:eastAsia="宋体" w:cs="宋体"/>
                <w:b/>
                <w:bCs/>
                <w:color w:val="auto"/>
                <w:sz w:val="21"/>
                <w:szCs w:val="21"/>
                <w:highlight w:val="none"/>
              </w:rPr>
            </w:pPr>
            <w:bookmarkStart w:id="2" w:name="_Hlk480273118"/>
            <w:r>
              <w:rPr>
                <w:rFonts w:hint="eastAsia" w:ascii="宋体" w:hAnsi="宋体" w:eastAsia="宋体" w:cs="宋体"/>
                <w:b/>
                <w:bCs/>
                <w:color w:val="auto"/>
                <w:sz w:val="21"/>
                <w:szCs w:val="21"/>
                <w:highlight w:val="none"/>
              </w:rPr>
              <w:t>序号</w:t>
            </w:r>
          </w:p>
        </w:tc>
        <w:tc>
          <w:tcPr>
            <w:tcW w:w="1366" w:type="dxa"/>
            <w:noWrap w:val="0"/>
            <w:vAlign w:val="center"/>
          </w:tcPr>
          <w:p>
            <w:p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设备名称</w:t>
            </w:r>
          </w:p>
        </w:tc>
        <w:tc>
          <w:tcPr>
            <w:tcW w:w="7320"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4K精品录播主机</w:t>
            </w:r>
          </w:p>
        </w:tc>
        <w:tc>
          <w:tcPr>
            <w:tcW w:w="7320" w:type="dxa"/>
            <w:noWrap w:val="0"/>
            <w:vAlign w:val="top"/>
          </w:tcPr>
          <w:p>
            <w:pPr>
              <w:keepNext w:val="0"/>
              <w:keepLines w:val="0"/>
              <w:widowControl/>
              <w:suppressLineNumbers w:val="0"/>
              <w:spacing w:line="240" w:lineRule="auto"/>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一、功能设计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1.便捷导播：软件需采用B/S架构设计，支持通过浏览器即可进行管理配置与操作，而无需额外安装客户端或APP；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2.AI全场景跟踪：录播内置跟踪算法且跟踪功能基于AI人工智能技术无需额外增加图像定位主机或摄像机即可实现多机位的全自动跟踪切换；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3.画面同步：要求录播主机配套同品牌摄像机支持在多机位接入的情况下所有画面高度同步。在多画面布局以及多流录制、多流直播的使用场景下不同画面保持高度同步，满足最佳的使用体验；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4.中英双语：需支持中英双语版本切换，适合不同用户的应用需求。要求通过网络导播界面即可便捷切换，无需进行更改授权、系统升级等复杂操作；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5.上电模式：需支持通电模式选择，实现主机通电后自动进入相应模式，包含但不限于自动开机、开机且休眠、不开机等模式；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6.版本管理：支持查看系统软件版本，提供离线文件升级、网络在线升级和定时自动升级三种升级方式，且支持导出和导入系统配置文件；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7.安装信息：支持填写设备的安装信息，包括位置、所在学校、安装地点、联系人等；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8.休眠唤醒：需支持定时休眠唤醒功能，提供精确到秒的自定义时间设置，可以单独设置是否定时休眠或者定时唤醒；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9.权限管理：需支持对主机后台设置管理员用户与普通用户两种使用权限，普通用户无法进行相关参数与配置修改；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10.系统状态：支持在导播界面实时查看磁盘空间占用情况、视频录制的参数配置和正在录制的视频时长与大小等信息；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11.UVC/UAC功能：要求主机具备通过USB口直接输出音视频信号的能力，实现便捷的视频会议软件接入；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12.智能音频处理：支持音频采样率的设置，且支持AGC自动增益、ANS噪声抑制、EQ均衡、AEC回声抑制等音频处理功能；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13.录制码流：支持主码流和子码流的高低双码流录制，且支持自定义清晰度、帧率、码率和I帧间隔，支持动态比特率或静态比特率两种模式；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14.存储管理：需支持录像文件循环覆盖功能，开启循环覆盖功能后，录播硬盘在已存储90%的空间时，再次启动录制将删除录播内现存时间最早的录像文件以应对录制频率比较高的情况；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15.标签设置：需支持视频信号源标签设置，对摄像机实时拍摄信号、HDMI高清输入信号均可自定义名称标签，为导播控制与编辑灵活性提供便利；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16.多场景音频：需支持录制模式和互动模式的独立音频场景设置，针对无线MIC和多媒体等不同设备类型，进行场景化的音频参数设置；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17.跟踪自定义：要求支持根据实际喜好，自定义AI跟踪逻辑下所切换的画面信号，且支持双分屏、画中画等布局；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18.互动能力：要求主机内置互动功能，支持在单机且不连接互联网的情况下实现不少于3方的音视频互动，满足专递课堂教学与视频会议活动，同时也需要支持对接互动软件，实现大规模互动会议并发；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二、其他要求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1.要求主机与视频资源管理平台、高清摄像机设备为</w:t>
            </w:r>
            <w:r>
              <w:rPr>
                <w:rFonts w:hint="eastAsia" w:ascii="宋体" w:hAnsi="宋体" w:eastAsia="宋体" w:cs="宋体"/>
                <w:i w:val="0"/>
                <w:iCs w:val="0"/>
                <w:color w:val="auto"/>
                <w:kern w:val="0"/>
                <w:sz w:val="21"/>
                <w:szCs w:val="21"/>
                <w:highlight w:val="none"/>
                <w:u w:val="none"/>
                <w:lang w:val="en-US" w:eastAsia="zh-CN" w:bidi="ar"/>
              </w:rPr>
              <w:t>同一品牌</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2.要求支持FTP文件传输协议，主机录制生成的视频文件与应用平台实现自动归档上传；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兼容性要求：</w:t>
            </w:r>
            <w:r>
              <w:rPr>
                <w:rFonts w:hint="eastAsia" w:ascii="宋体" w:hAnsi="宋体" w:cs="宋体"/>
                <w:b/>
                <w:bCs/>
                <w:i w:val="0"/>
                <w:iCs w:val="0"/>
                <w:color w:val="auto"/>
                <w:kern w:val="0"/>
                <w:sz w:val="21"/>
                <w:szCs w:val="21"/>
                <w:highlight w:val="none"/>
                <w:u w:val="none"/>
                <w:lang w:val="en-US" w:eastAsia="zh-CN" w:bidi="ar"/>
              </w:rPr>
              <w:t>投标人</w:t>
            </w:r>
            <w:r>
              <w:rPr>
                <w:rFonts w:hint="eastAsia" w:ascii="宋体" w:hAnsi="宋体" w:eastAsia="宋体" w:cs="宋体"/>
                <w:b/>
                <w:bCs/>
                <w:i w:val="0"/>
                <w:iCs w:val="0"/>
                <w:color w:val="auto"/>
                <w:kern w:val="0"/>
                <w:sz w:val="21"/>
                <w:szCs w:val="21"/>
                <w:highlight w:val="none"/>
                <w:u w:val="none"/>
                <w:lang w:val="en-US" w:eastAsia="zh-CN" w:bidi="ar"/>
              </w:rPr>
              <w:t>须提供可与已有的北仑已建成的“远距同步课堂平台”，“区域教学资源管理平台”的直播/上传等功能的无缝对接，并与平台覆盖的其他学校实现双向双流标准同步课堂互动的承诺书</w:t>
            </w:r>
            <w:r>
              <w:rPr>
                <w:rFonts w:hint="eastAsia" w:ascii="宋体" w:hAnsi="宋体" w:eastAsia="宋体" w:cs="宋体"/>
                <w:b/>
                <w:bCs/>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录播流媒体处理软件</w:t>
            </w:r>
          </w:p>
        </w:tc>
        <w:tc>
          <w:tcPr>
            <w:tcW w:w="7320" w:type="dxa"/>
            <w:noWrap w:val="0"/>
            <w:vAlign w:val="top"/>
          </w:tcPr>
          <w:p>
            <w:pPr>
              <w:keepNext w:val="0"/>
              <w:keepLines w:val="0"/>
              <w:widowControl/>
              <w:numPr>
                <w:ilvl w:val="0"/>
                <w:numId w:val="2"/>
              </w:numPr>
              <w:suppressLineNumbers w:val="0"/>
              <w:spacing w:line="24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整体要求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1.要求配套的录播流媒体处理软件在出厂时内置于高清录播主机中。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2.软件架构：软件需采用B/S架构设计，使用主流浏览器通过网络即可访问软件后台进行管理应用。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3.自主知识产权：要求录播流媒体处理软件具备自主知识产权，</w:t>
            </w:r>
            <w:r>
              <w:rPr>
                <w:rFonts w:hint="eastAsia" w:ascii="宋体" w:hAnsi="宋体" w:eastAsia="宋体" w:cs="宋体"/>
                <w:b/>
                <w:bCs/>
                <w:i w:val="0"/>
                <w:iCs w:val="0"/>
                <w:color w:val="auto"/>
                <w:kern w:val="0"/>
                <w:sz w:val="21"/>
                <w:szCs w:val="21"/>
                <w:highlight w:val="none"/>
                <w:u w:val="none"/>
                <w:lang w:val="en-US" w:eastAsia="zh-CN" w:bidi="ar"/>
              </w:rPr>
              <w:t>提供录播流媒体处理相关功能的软件著作权登记证书复印件或扫描件。</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二.录播模块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1.录制存储：要求在断网情况下也可以对本地教室进行视频录制，并将录制文件保存在录播主机的内置硬盘中。并要求支持1080P高清分辨率录制，采用MP4视频格式封装。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2.录制模式：支持电影模式、资源模式等录制模式。电影模式下实现多路信号的复合成一路画面进行录制；资源模式下要求摄像机画面、电脑画面均可独立录制封装，实现多流录制。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3.要求录播主机支持录制质量设置，提供1080P、720P等高清标清质量选择，并支持自定义录制分辨率、fps（帧率）、bps（比特率）、gop（画面组）。</w:t>
            </w:r>
            <w:r>
              <w:rPr>
                <w:rFonts w:hint="eastAsia" w:ascii="宋体" w:hAnsi="宋体" w:eastAsia="宋体" w:cs="宋体"/>
                <w:b/>
                <w:bCs/>
                <w:i w:val="0"/>
                <w:iCs w:val="0"/>
                <w:color w:val="auto"/>
                <w:kern w:val="0"/>
                <w:sz w:val="21"/>
                <w:szCs w:val="21"/>
                <w:highlight w:val="none"/>
                <w:u w:val="none"/>
                <w:lang w:val="en-US" w:eastAsia="zh-CN" w:bidi="ar"/>
              </w:rPr>
              <w:t>提供自定义录制码流功能界面截图进行佐证</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4.要求录播主机支持码流64Kbps～10Mbps自定义可设，并支持动态比特率或静态比特率两种模式，可主子码流同步录制。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7.音频处理：要求内置音频处理模块，支持EQ均衡、AEC回声抑制、AGC自动增益、ANS噪声抑制等音频处理功能。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8.录播主机支持摄像机云台控制技术，实现对接入摄像机的画面进行云台控制，包括画面上下左右移动、放大缩小变焦等操作。云台控制功能应具有鼠标快速定位功能，通过鼠标点击快速居中画面区域。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为保障系统使用便捷与工作稳定，要求录播主机支持基于计算机视觉CV技术的AI人工智能跟踪算法，无需额外配置跟踪辅助拍摄装置，实现画面自动跟踪切换以及全自动跟踪录制。完成教师走动全景、教师授课特写、学生起立特写与学生听课全景、教师课件等多画面的自动跟踪与切换。</w:t>
            </w:r>
            <w:r>
              <w:rPr>
                <w:rFonts w:hint="eastAsia" w:ascii="宋体" w:hAnsi="宋体" w:eastAsia="宋体" w:cs="宋体"/>
                <w:b/>
                <w:bCs/>
                <w:i w:val="0"/>
                <w:iCs w:val="0"/>
                <w:color w:val="auto"/>
                <w:kern w:val="0"/>
                <w:sz w:val="21"/>
                <w:szCs w:val="21"/>
                <w:highlight w:val="none"/>
                <w:u w:val="none"/>
                <w:lang w:val="en-US" w:eastAsia="zh-CN" w:bidi="ar"/>
              </w:rPr>
              <w:t>（提供该功能软件所配套录播主机有资质的第三方检测机构出具的检测报告扫描件）</w:t>
            </w:r>
            <w:r>
              <w:rPr>
                <w:rFonts w:hint="eastAsia" w:ascii="宋体" w:hAnsi="宋体" w:eastAsia="宋体" w:cs="宋体"/>
                <w:b/>
                <w:bCs/>
                <w:i w:val="0"/>
                <w:iCs w:val="0"/>
                <w:strike/>
                <w:dstrike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录播主机支持自定义设置跟踪检测区域，避免如教室门窗窗帘、风扇空调、教学大屏等易产生额外干扰导致跟踪效果不佳的区域，自定义选择检测区域则该区域系统将在指定区域进行图像识别分析，保障课堂正常跟踪拍摄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11.录播主机支持录像文件循环覆盖功能，开启循环覆盖功能后，录播硬盘在已存储90%的空间时，再次启动录制将删除录播内现存时间最早的录像文件以应对录制频率比较高的情况。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12.录播主机支持FTP上传功能，使用者可自定义录像文件上传的FTP路径，并可勾选是否自动上传。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13.录播主机支持全自动跟踪模式切换布局逻辑自定义，使用者可以按照自己的需求选择全自动跟踪所切换的画面内容与逻辑，且画面内容支持双分屏、画中画与自定义布局等。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14.★录播主机与</w:t>
            </w:r>
            <w:r>
              <w:rPr>
                <w:rFonts w:hint="eastAsia" w:ascii="宋体" w:hAnsi="宋体" w:eastAsia="宋体" w:cs="宋体"/>
                <w:i w:val="0"/>
                <w:iCs w:val="0"/>
                <w:color w:val="auto"/>
                <w:kern w:val="0"/>
                <w:sz w:val="21"/>
                <w:szCs w:val="21"/>
                <w:highlight w:val="none"/>
                <w:u w:val="none"/>
                <w:lang w:val="en-US" w:eastAsia="zh-CN" w:bidi="ar"/>
              </w:rPr>
              <w:t>同品牌</w:t>
            </w:r>
            <w:r>
              <w:rPr>
                <w:rFonts w:hint="eastAsia" w:ascii="宋体" w:hAnsi="宋体" w:eastAsia="宋体" w:cs="宋体"/>
                <w:i w:val="0"/>
                <w:iCs w:val="0"/>
                <w:color w:val="auto"/>
                <w:kern w:val="0"/>
                <w:sz w:val="21"/>
                <w:szCs w:val="21"/>
                <w:highlight w:val="none"/>
                <w:u w:val="none"/>
                <w:lang w:val="en-US" w:eastAsia="zh-CN" w:bidi="ar"/>
              </w:rPr>
              <w:t>摄像机支持在多机位接入的情况下所有画面高度同步。在多画面布局以及多流录制、多流直播的使用场景下不同画面保持无延迟的播放效果，满足最佳的使用体验。</w:t>
            </w:r>
            <w:r>
              <w:rPr>
                <w:rFonts w:hint="eastAsia" w:ascii="宋体" w:hAnsi="宋体" w:eastAsia="宋体" w:cs="宋体"/>
                <w:b/>
                <w:bCs/>
                <w:i w:val="0"/>
                <w:iCs w:val="0"/>
                <w:color w:val="auto"/>
                <w:kern w:val="0"/>
                <w:sz w:val="21"/>
                <w:szCs w:val="21"/>
                <w:highlight w:val="none"/>
                <w:u w:val="none"/>
                <w:lang w:val="en-US" w:eastAsia="zh-CN" w:bidi="ar"/>
              </w:rPr>
              <w:t>（提供该功能软件所配套录播主机有资质的第三方检测机构出具的检测报告扫描件）</w:t>
            </w:r>
            <w:r>
              <w:rPr>
                <w:rFonts w:hint="eastAsia" w:ascii="宋体" w:hAnsi="宋体" w:eastAsia="宋体" w:cs="宋体"/>
                <w:b/>
                <w:bCs/>
                <w:i w:val="0"/>
                <w:iCs w:val="0"/>
                <w:strike/>
                <w:dstrike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三.导播模块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1.本地导播：要求支持连接外接导播台进行控制导播，实现本地导播控制。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2.WEB导播方式：支持基于web浏览器访问导播后台。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3.导播模式：支持全自动、半自动、手动三种导播模式，并支持录制过程中任意切换导播模式。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4.导播预览：要求导播界面可实现接入画面的导播预览，预览画面需包括教师特写、教师全景、学生全景、学生特写、电脑画面等。并支持点击预览画面可自由切换录制画面进行录制。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5.画面布局：提供双分屏、三分屏、画中画等录制布局，并支持自定义布局方式，支持多个视频图层自由叠加组合，自定义布局时可随意拖拉画面窗口。</w:t>
            </w:r>
          </w:p>
          <w:p>
            <w:pPr>
              <w:keepNext w:val="0"/>
              <w:keepLines w:val="0"/>
              <w:widowControl/>
              <w:numPr>
                <w:ilvl w:val="0"/>
                <w:numId w:val="0"/>
              </w:numPr>
              <w:suppressLineNumbers w:val="0"/>
              <w:spacing w:line="240" w:lineRule="auto"/>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6.导播跟踪：要求支持自动、半自动、手动三种导播模式。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7.摄像机预置位：要求支持8个摄像机云台预制位设置，导播过程中可便捷调取摄像机预设位置的画面。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8.字幕台标：要求录制模式下支持Logo台标、字幕设置，可自主上传Logo图标、编辑字幕内容。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9音量控制：要求可通过导播界面进行音量控制，调整相关输入输出音量大小。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10.录播主机支持片头片尾设置，可上传JPG格式图片作为录制默认的片头或片尾画面，并可自定义片头片尾显示时长，最高不超过10秒。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11.★为保证录制效果与质量录播主机音频设置支持多场景设置配置，支持</w:t>
            </w:r>
            <w:r>
              <w:rPr>
                <w:rFonts w:hint="eastAsia" w:ascii="宋体" w:hAnsi="宋体" w:eastAsia="宋体" w:cs="宋体"/>
                <w:i w:val="0"/>
                <w:iCs w:val="0"/>
                <w:color w:val="auto"/>
                <w:kern w:val="0"/>
                <w:sz w:val="21"/>
                <w:szCs w:val="21"/>
                <w:highlight w:val="none"/>
                <w:u w:val="none"/>
                <w:lang w:val="en-US" w:eastAsia="zh-CN" w:bidi="ar"/>
              </w:rPr>
              <w:t>对录制、互动</w:t>
            </w:r>
            <w:r>
              <w:rPr>
                <w:rFonts w:hint="eastAsia" w:ascii="宋体" w:hAnsi="宋体" w:eastAsia="宋体" w:cs="宋体"/>
                <w:i w:val="0"/>
                <w:iCs w:val="0"/>
                <w:color w:val="auto"/>
                <w:kern w:val="0"/>
                <w:sz w:val="21"/>
                <w:szCs w:val="21"/>
                <w:highlight w:val="none"/>
                <w:u w:val="none"/>
                <w:lang w:val="en-US" w:eastAsia="zh-CN" w:bidi="ar"/>
              </w:rPr>
              <w:t>两个使用场景分别配置音频设置参数。并可在对应使用场景自动生效。</w:t>
            </w:r>
            <w:r>
              <w:rPr>
                <w:rFonts w:hint="eastAsia" w:ascii="宋体" w:hAnsi="宋体" w:eastAsia="宋体" w:cs="宋体"/>
                <w:b/>
                <w:bCs/>
                <w:i w:val="0"/>
                <w:iCs w:val="0"/>
                <w:color w:val="auto"/>
                <w:kern w:val="0"/>
                <w:sz w:val="21"/>
                <w:szCs w:val="21"/>
                <w:highlight w:val="none"/>
                <w:u w:val="none"/>
                <w:lang w:val="en-US" w:eastAsia="zh-CN" w:bidi="ar"/>
              </w:rPr>
              <w:t>（提供该功能软件所配套录播主机有资质的第三方检测机构出具的检测报告扫描件）</w:t>
            </w:r>
            <w:r>
              <w:rPr>
                <w:rFonts w:hint="eastAsia" w:ascii="宋体" w:hAnsi="宋体" w:eastAsia="宋体" w:cs="宋体"/>
                <w:b/>
                <w:bCs/>
                <w:i w:val="0"/>
                <w:iCs w:val="0"/>
                <w:strike/>
                <w:dstrike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12.支持对录播主机任意线性音频输入通道做单独配置，提供无线MIC或多媒体设备等多种类型选择，支持对音频比特率与采样率进行配置，保障音频效果。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13.录播主机支持视频信号源标签设置，对摄像机实时拍摄信号或HDMI高清输入信号均可自定义名称标签，为导播控制与编辑灵活性提供便利。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四.直播模块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1.多流直播：要求支持RTMP和RTSP视频传输协议，支持不少于3路RTMP同步推流直播，并要求自定义选择主码流或子码流信号源进行推流，实现多流直播。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2.直播码流：支持自定义直播分辨率和码率，最高支持1080P@30fps，以适应不同网络环境下保持直播的流畅性。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五.互动模块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1.支持H.323、SIP、BFCP、WebRTC等视音频互动协议技术，便捷进行远程互动教学应用，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2.★要求内置互动模块，无需额外部署MCU类设备即可支持“1+3”的互动授课模式，实现专递课堂教学应用。同时也需支持会议互动模式，创建或加入大规模视音频实时互动。</w:t>
            </w:r>
            <w:r>
              <w:rPr>
                <w:rFonts w:hint="eastAsia" w:ascii="宋体" w:hAnsi="宋体" w:eastAsia="宋体" w:cs="宋体"/>
                <w:b/>
                <w:bCs/>
                <w:i w:val="0"/>
                <w:iCs w:val="0"/>
                <w:color w:val="auto"/>
                <w:kern w:val="0"/>
                <w:sz w:val="21"/>
                <w:szCs w:val="21"/>
                <w:highlight w:val="none"/>
                <w:u w:val="none"/>
                <w:lang w:val="en-US" w:eastAsia="zh-CN" w:bidi="ar"/>
              </w:rPr>
              <w:t>（提供该功能软件所配套录播主机有资质的第三方检测机构出具的检测报告扫描件）</w:t>
            </w:r>
            <w:r>
              <w:rPr>
                <w:rFonts w:hint="eastAsia" w:ascii="宋体" w:hAnsi="宋体" w:eastAsia="宋体" w:cs="宋体"/>
                <w:b/>
                <w:bCs/>
                <w:i w:val="0"/>
                <w:iCs w:val="0"/>
                <w:strike/>
                <w:dstrike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4.分组短号系统：为使用便捷，要求支持通过一个或多个短号实现快速发起互动，也可对通讯录自定义添加分组，对分组内账号进行快速批量呼叫。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5.发言权限控制：通过录播主机的网络导播界面，需支持主讲端在互动过程中对其余互动参与者的发言权限进行控制，支持单人禁言/开启以及全场禁言/开启的控制方式。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6.互动画质：要求录播主机在双向互动过程中，可实现1080P@30FPS画质，并支持网络自适应功能。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要求录播主机支持呼叫应答设置，默认支持自动应答与勾选手动应答两种方式以满足在专递课堂场景下听讲端的自动入会，以及在其余场景下录播教室内的用户接收到互动申请可自主选择是否加入会议的情况。</w:t>
            </w:r>
            <w:r>
              <w:rPr>
                <w:rFonts w:hint="eastAsia" w:ascii="宋体" w:hAnsi="宋体" w:eastAsia="宋体" w:cs="宋体"/>
                <w:b/>
                <w:bCs/>
                <w:i w:val="0"/>
                <w:iCs w:val="0"/>
                <w:color w:val="auto"/>
                <w:kern w:val="0"/>
                <w:sz w:val="21"/>
                <w:szCs w:val="21"/>
                <w:highlight w:val="none"/>
                <w:u w:val="none"/>
                <w:lang w:val="en-US" w:eastAsia="zh-CN" w:bidi="ar"/>
              </w:rPr>
              <w:t>（提供呼叫应答设置界面截图进行佐证）</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六.管理模块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1.视频修复：支持硬盘格式化功能，支持对设备异常断电、宕机造成的损坏视频文件进行修复。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2.版本切换：支持中英双语版本切换，适合不同用户的应用需求。要求通过网络导播界面即可便捷切换，无需进行更改授权、系统升级等复杂操作。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3.面板管控：支持接入控制面板，对录播设备进行唤醒、录制管理。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4.权限管理：支持对主机后台设置管理员用户与普通用户两种使用权限，普通用户账号无法进行相关参数与配置修改。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5.录播主机支持上电模式选择，提供通电后自动开机或通电后主机开机但出于睡眠状态以及通电后需手动开机三种模式选择。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6.录播主机支持定时休眠唤醒功能，提供精确到秒的自定义时间设置，可以单独设置是否定时休眠或者定时唤醒。</w:t>
            </w:r>
            <w:r>
              <w:rPr>
                <w:rFonts w:hint="eastAsia" w:ascii="宋体" w:hAnsi="宋体" w:eastAsia="宋体" w:cs="宋体"/>
                <w:b/>
                <w:bCs/>
                <w:i w:val="0"/>
                <w:iCs w:val="0"/>
                <w:color w:val="auto"/>
                <w:kern w:val="0"/>
                <w:sz w:val="21"/>
                <w:szCs w:val="21"/>
                <w:highlight w:val="none"/>
                <w:u w:val="none"/>
                <w:lang w:val="en-US" w:eastAsia="zh-CN" w:bidi="ar"/>
              </w:rPr>
              <w:t>提供上述功能软件界面截图。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AI智能跟踪处理软件</w:t>
            </w:r>
          </w:p>
        </w:tc>
        <w:tc>
          <w:tcPr>
            <w:tcW w:w="7320"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1.摄像机跟踪逻辑分配：支持智能识别接入摄像机的使用定位，并联动摄像机选用对应的跟踪逻辑，如教师跟踪、学生跟踪等。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2.云台控制：支持对接入摄像机进行云台控制技术，实现画面的上下左右移动、放大缩小变焦等操作。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3.检测区域设置：支持对接入摄像机的AI跟踪检测区域设置，可根据实景拍摄画面中框选跟踪区域，框选后只在区域中方能触发跟踪，所见所得方便操作。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4.录制跟踪切换：根据设定的跟踪策略形成跟踪指令，实现多路接入摄像机的全自动AI跟踪画面切换。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AI跟踪目标丢失处理机制：支持对接入摄像机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高清全景摄像机</w:t>
            </w:r>
          </w:p>
        </w:tc>
        <w:tc>
          <w:tcPr>
            <w:tcW w:w="7320" w:type="dxa"/>
            <w:noWrap w:val="0"/>
            <w:vAlign w:val="top"/>
          </w:tcPr>
          <w:p>
            <w:pPr>
              <w:keepNext w:val="0"/>
              <w:keepLines w:val="0"/>
              <w:widowControl/>
              <w:suppressLineNumbers w:val="0"/>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1.传感器：要求采用CMOS类型图像传感器，尺寸≥1/2.5英寸；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2.像素：有效像素≥800万；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3.视频分辨率：最大可支持3840×2160并向下兼容；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4.变焦：要求支持自动和手动变焦，综合变焦倍数≥22倍；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5.云台转动：要求具备机械云台可进行转动跟踪。水平转动速度最大不少于90°/s，垂直转动速度最大不少70°/s；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6.快门速度：要求支持高速与慢速快门速度，最快不小于1/10000s，最慢不小于1/25s；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7.视场角大小：支持水平视场角≥70°，垂直视场角≥43°；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8.视频编码：要求支持H.265、H.264高清视频编码协议；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9.视频输出：要求具备数字视频输出口（RJ45）≥1，HDMI视频输出口≥1；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10.通讯接口：要求具备RS232/RS422≥1；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11.网络接入：RJ45网络接口≥1，并支持100M/1000M自适应以太网接入与RTSP协议网络视频输出；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12.音频接口：Line in输入口≥1；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13.音频编码：要求支持OPUS、G.711A、AAC等常用音频编码协议；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14.USB接口：要求具备USB Type-A≥1；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15.协议支持：要求支持VISCA/ONVIF协议满足多种场景控制要求；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16.背光补偿：要求具备背光补偿功能；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17.数字降噪：支持2D/3D数字降噪，信噪比≥55dB；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18.一线通：要求与搭配的录播主机实现基于RJ45双绞线的一线通连接，完成摄像机供电、控制以及视频信号传输；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19.高效数据传输：支持对同品牌录播主机实现基于数据链路层的数字视频数据传输技术，能实现≤100ms的声画同步，在拍摄运动画面和复杂画面时不存在镜头呼吸效应带来的周期性画面焦距抖动；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20.AI跟踪：要求内置跟踪算法，摄像机内无额外辅助摄像头也无需增加任何设备即可实现人像自动跟踪，包括水平运动、俯仰运动、变焦、聚焦四维实时跟踪；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21.跟踪逻辑自选：要求支持根据AI智能算法，同一摄像机可根据部署使用场景智能应用为教师、学生跟踪模式，无需手动设置；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22.交叉识别：需支持对锁定跟拍对象进行人脸特征与肢体双重认证识别，在多人同时进入拍摄画面的情况下，持续锁定跟踪对象，不出现跟丢和误跟的情况；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23.AI抗干扰：支持在拍摄画面有显示设备或其他动态视频播放的情况下，自动启用AI抗干扰能力，保障画面始终锁定被跟踪对象，且跟踪效果不受影响；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24.PTZ自适应：需支持PTZ实时跟焦，AI跟踪的状态下能实现摄像机水平旋转、垂直旋转、变焦的实时同步变化，无需等待拍摄对象稳定后再变焦调整画面，移动过程不虚焦，实现拍摄画面的自适应稳定调整；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25.电源支持：支持录播主机供电和DC12V电源适配器等供电方式；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w:t>
            </w:r>
            <w:r>
              <w:rPr>
                <w:rFonts w:hint="eastAsia" w:ascii="宋体" w:hAnsi="宋体" w:eastAsia="宋体" w:cs="宋体"/>
                <w:i w:val="0"/>
                <w:iCs w:val="0"/>
                <w:color w:val="auto"/>
                <w:kern w:val="0"/>
                <w:sz w:val="21"/>
                <w:szCs w:val="21"/>
                <w:highlight w:val="none"/>
                <w:u w:val="none"/>
                <w:lang w:val="en-US" w:eastAsia="zh-CN" w:bidi="ar"/>
              </w:rPr>
              <w:t>要求摄像机与录播主机为同一品牌。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高清特写摄像机</w:t>
            </w:r>
          </w:p>
        </w:tc>
        <w:tc>
          <w:tcPr>
            <w:tcW w:w="7320" w:type="dxa"/>
            <w:noWrap w:val="0"/>
            <w:vAlign w:val="top"/>
          </w:tcPr>
          <w:p>
            <w:pPr>
              <w:keepNext w:val="0"/>
              <w:keepLines w:val="0"/>
              <w:widowControl/>
              <w:suppressLineNumbers w:val="0"/>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1.传感器：要求采用CMOS类型图像传感器，尺寸≥1/2.5英寸；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2.像素：有效像素≥800万；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3.视频分辨率：最大可支持3840×2160并向下兼容；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4.变焦：要求支持自动和手动变焦，综合变焦倍数≥28倍；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5.云台转动：要求具备机械云台可进行转动跟踪。水平转动速度最大不少于90°/s，垂直转动速度最大不少70°/s；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6.快门速度：要求支持高速与慢速快门速度，最快不小于1/10000s，最慢不小于1/25s；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7.视场角大小：支持水平视场角≥50°，垂直视场角≥30°；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8.视频编码：要求支持H.265、H.264高清视频编码协议；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9.视频输出：要求具备数字视频输出口（RJ45）≥1，HDMI视频输出口≥1；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10.通讯接口：要求具备RS232/RS422≥1；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11.网络接入：RJ45网络接口≥1，并支持100M/1000M自适应以太网接入与RTSP协议网络视频输出；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12.音频接口：Line in输入口≥1；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13.音频编码：要求支持OPUS、G.711A、AAC等常用音频编码协议；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14.USB接口：要求具备USB Type-A≥1；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15.协议支持：要求支持VISCA/ONVIF协议满足多种场景控制要求；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16.背光补偿：要求具备背光补偿功能；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17.数字降噪：支持2D/3D数字降噪，信噪比≥55dB；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18.一线通：要求与搭配的录播主机实现基于RJ45双绞线的一线通连接，完成摄像机供电、控制以及视频信号传输；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19.高效数据传输：支持对同品牌录播主机实现基于数据链路层的数字视频数据传输技术，能实现≤100ms的声画同步，在拍摄运动画面和复杂画面时不存在镜头呼吸效应带来的周期性画面焦距抖动；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20.AI跟踪：要求内置跟踪算法，摄像机内无额外辅助摄像头也无需增加任何设备即可实现人像自动跟踪，包括水平运动、俯仰运动、变焦、聚焦四维实时跟踪；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21.跟踪逻辑自选：要求支持根据AI智能算法，同一摄像机可根据部署使用场景智能应用为教师、学生跟踪模式，无需手动设置；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22.交叉识别：需支持对锁定跟拍对象进行人脸特征与肢体双重认证识别，在多人同时进入拍摄画面的情况下，持续锁定跟踪对象，不出现跟丢和误跟的情况；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23.AI抗干扰：支持在拍摄画面有显示设备或其他动态视频播放的情况下，自动启用AI抗干扰能力，保障画面始终锁定被跟踪对象，且跟踪效果不受影响；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24.PTZ自适应：需支持PTZ实时跟焦，AI跟踪的状态下能实现摄像机水平旋转、垂直旋转、变焦的实时同步变化，无需等待拍摄对象稳定后再变焦调整画面，移动过程不虚焦，实现拍摄画面的自适应稳定调整；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25.电源支持：支持录播主机供电和DC12V电源适配器等供电方式；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w:t>
            </w:r>
            <w:r>
              <w:rPr>
                <w:rFonts w:hint="eastAsia" w:ascii="宋体" w:hAnsi="宋体" w:eastAsia="宋体" w:cs="宋体"/>
                <w:i w:val="0"/>
                <w:iCs w:val="0"/>
                <w:color w:val="auto"/>
                <w:kern w:val="0"/>
                <w:sz w:val="21"/>
                <w:szCs w:val="21"/>
                <w:highlight w:val="none"/>
                <w:u w:val="none"/>
                <w:lang w:val="en-US" w:eastAsia="zh-CN" w:bidi="ar"/>
              </w:rPr>
              <w:t>要求摄像机与录播主机为同一品牌。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高清摄像机传输处理软件</w:t>
            </w:r>
          </w:p>
        </w:tc>
        <w:tc>
          <w:tcPr>
            <w:tcW w:w="7320" w:type="dxa"/>
            <w:noWrap w:val="0"/>
            <w:vAlign w:val="top"/>
          </w:tcPr>
          <w:p>
            <w:pPr>
              <w:keepNext w:val="0"/>
              <w:keepLines w:val="0"/>
              <w:widowControl/>
              <w:suppressLineNumbers w:val="0"/>
              <w:spacing w:line="240" w:lineRule="auto"/>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1.摄像机管理软件采用B/S架构，支持通用浏览器直接访问进行管理。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2.支持曝光模式设置功能，包括自动、手动。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3.支持抗闪烁频率、动态范围、光圈、快门参数设置。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4.支持自动白平衡设置功能，红、蓝增益可调。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5.支持噪声抑制设置功能，支持2D、3D降噪。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6.支持摄像机图像质量调节功能，包括亮度、对比度、色调、饱和度。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7.支持摄像机控制功能，包括云台控制、预置位设置与调用、焦距调节等。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8.支持教师和学生的AI自动识别切换，根据部署位置、模式自主适配教师或学生的跟踪逻辑。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9.支持AI人体特征识别，能够自动识别并锁定跟踪人，人物丢失后再进入拍摄区域可以继续识别锁定进行跟踪。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9.采用教师角色识别逻辑，可基于站立姿态、面/背向状态等多维判定，快速识别教师，避免学生站立影响。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10.支持划分自动跟踪区域，当锁定跟踪人物走出自动跟踪区域时即停止跟踪，直到重新回到区域出现在画面中为止。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11.支持学生智能跟踪，根据学生站立/做下动作状态，进行学生特写跟踪拍摄，并通知录播主机完成画面切换。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桌面式触控面板</w:t>
            </w:r>
          </w:p>
        </w:tc>
        <w:tc>
          <w:tcPr>
            <w:tcW w:w="7320" w:type="dxa"/>
            <w:noWrap w:val="0"/>
            <w:vAlign w:val="top"/>
          </w:tcPr>
          <w:p>
            <w:pPr>
              <w:keepNext w:val="0"/>
              <w:keepLines w:val="0"/>
              <w:widowControl/>
              <w:suppressLineNumbers w:val="0"/>
              <w:spacing w:line="240" w:lineRule="auto"/>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 在讲台上镶嵌式安装方式；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控制接口：RS232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信号指示灯：支持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支持一键式系统电源开关控制。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一键式录制、停止、锁定电脑信号；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支持本地录播全自动的开启、关闭控制。该功能同时支持录播模式和互动模式。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支持通过面板一键发起与远端设备互动连接；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 支持通过交互控制面板切换互动画面的信号源，并传输到听课室，包括本地老师信号、学生信号、电脑信号、远端课室画面。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 支持对各画面的自由布局控制，包括单画面全屏、双分屏、三分屏、四分屏、画中画，并传输到听课室。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10.支持一键静音。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12路专业互动音频处理器</w:t>
            </w:r>
          </w:p>
        </w:tc>
        <w:tc>
          <w:tcPr>
            <w:tcW w:w="7320" w:type="dxa"/>
            <w:noWrap w:val="0"/>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1）12进4出音频处理器，集成自动噪音抑制技术，（去除包含空调、排气扇等噪音干扰）保证声音质量；可通过网络进行监听，软件升级和参数配置（支持局域网和公网）；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2）8路差分输入；4路单声道Line-IN输入, 4路平衡输出，；8路平衡输入可做16段EQ处理（其他输入、输出不作EQ处理）；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3）音抗混响功能，避免多路语音互相干扰，突出重要语音信号；回声消除功能：无线麦克风、吊麦的混音需要进行AEC处理，参考信号为远程音频信号；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4）具有AGC功能，防止多人大声说话时破音；远程回声消除： 处理回声延迟能力：128ms，256ms，512ms回声抑制比： ＞60dB采样率： 32K采样位数：</w:t>
            </w:r>
          </w:p>
          <w:p>
            <w:pPr>
              <w:keepNext w:val="0"/>
              <w:keepLines w:val="0"/>
              <w:widowControl/>
              <w:suppressLineNumbers w:val="0"/>
              <w:spacing w:line="240" w:lineRule="auto"/>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5）16位动态范围： 90db；环境噪声消除： 稳态噪声消除比：30dB ；频率响应 ：20Hz-16KHz 最大增益 ：59dB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吊装拾音话筒</w:t>
            </w:r>
          </w:p>
        </w:tc>
        <w:tc>
          <w:tcPr>
            <w:tcW w:w="7320" w:type="dxa"/>
            <w:noWrap w:val="0"/>
            <w:vAlign w:val="center"/>
          </w:tcPr>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1、适用于电教现场扩声、录播、会议等需要远距离拾音的场合；</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2、枪式设计，小巧易安装；</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3、产品抗手机等电磁脉冲干扰；</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4、平衡输出，48V幻象平衡供电；</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5、保真度、语音辨识度高；</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6、换能类型 ECM电容式</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7、指向性 超心形指向</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8、灵敏度 -35±3dB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9、频率响应 50HZ—15kHZ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10、阻  抗 50Ω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11、信噪比 ≥60dB（A）</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12、供电 48V平衡幻像</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13、接  口 XLR公三针</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14、咪头径 Φ14mm</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15、黑色海绵防风罩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场内便携式麦克风</w:t>
            </w:r>
          </w:p>
        </w:tc>
        <w:tc>
          <w:tcPr>
            <w:tcW w:w="7320"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1.一拖二；</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2.带充电盒；</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3.可以直接接入录播主机的line in音频口；</w:t>
            </w:r>
          </w:p>
          <w:p>
            <w:pPr>
              <w:keepNext w:val="0"/>
              <w:keepLines w:val="0"/>
              <w:widowControl/>
              <w:suppressLineNumbers w:val="0"/>
              <w:jc w:val="left"/>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4.高保真度，可以配合课堂分析系统实现高品质声纹分析；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无线话筒</w:t>
            </w:r>
          </w:p>
        </w:tc>
        <w:tc>
          <w:tcPr>
            <w:tcW w:w="7320" w:type="dxa"/>
            <w:noWrap w:val="0"/>
            <w:vAlign w:val="top"/>
          </w:tcPr>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射频范围：640.25 --690.00MHz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可用带宽：每通道250Hz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调制方式：FM调频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信道数目：红外线自动对频200信道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频 道：2x100 / 4×50 / 8x6 channels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使用温度：摄氏零下18度到摄氏50度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静噪方式：自动噪声检测和自动数字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ID码静噪检测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偏移度：45KHz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动太范围：&gt;110dB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音频响应：60Hz-18KHz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综合信噪比：&gt;105dB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综合失真：&lt;0.5% 接收机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接收方式：二次变频超外差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振荡方式：PLL锁相环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中频频率：第一中频:110MHz,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第二中频:10.7MHz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天线接口：TNC座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显示方式：LCD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灵敏度：-100dBm(40dB S/N)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杂散抑制：&gt;80dB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音频输出：非平衡:+4dB(1.25V)/5KΩ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平衡：+10dB(1.5V)/600Ω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供电电压：13.5V / 12V（一拖八）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供电电流：800mA / 1500mA / 2000mA（一拖八）</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发射机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振荡方式：PLL锁相环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输出功率：3dBm-10dBm(LO/HI转换)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电池：2节"1.5V5号"电池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电流：&lt;100mA(HF), &lt;80mA(LF)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使用时间(碱性电池)：大功率时约8小时, </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小功率时约12小时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智能课堂行为分析软件</w:t>
            </w:r>
          </w:p>
        </w:tc>
        <w:tc>
          <w:tcPr>
            <w:tcW w:w="7320" w:type="dxa"/>
            <w:noWrap w:val="0"/>
            <w:vAlign w:val="top"/>
          </w:tcPr>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一.整体要求</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1.兼容对接：配套高清录播主机，实现视频数据分析；同时支持与视频资源管理平台无缝对接，可将数据通过平台进行分析结果数据展示。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2.多维分析：支持对课堂数据进行综合多维度的分析，包括“课堂三率”、“课堂语言分析”、“教学行为分析”、“教师活动轨迹”、“课堂时间分配”、“学生课堂动作表情分析”等维度数据。</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3.实时分析：支持对师生出勤率、S-T教学行为、教师活动轨迹、学生课堂动作表情分析等维度数据进行实时统计分析。</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二.课堂教情分析要求</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1.教学行为分析：支持“教师讲授”、“指导学生”、“学生汇报”、“师生互动”、“生生互动”、“教师巡视”多种维度的教学行为识别。</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2.教师轨迹分析：支持统计整个课节时间内授课教师的授课行动轨迹，直观呈现教师授课过程中的授课位置数据。</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3.教师巡视分析：要求支持教师巡视情况统计并形成教师巡视数据，分析数据应包括教师课堂巡视次数、时长等数据。</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三.课堂学生分析要求</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1.班级出勤率统计：以班级维度进行班级出勤人数统计，包括应出席人数、实际出席人数、出勤率、迟到人数、缺席人数等。</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2.学生听课率分析：支持以课堂时间为轴线，对各个时刻学生的听课率进行分析统计，同时统计峰值和平均值数据。</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3.支持学生课堂动作分析，包括趴桌子、举手、站立、抬头等肢体语言，可对各类动作进行实时检测。</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4.支持对学生动作的实时统计分析，统计当前每种学生动作的峰值次数和占比。</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5.支持学生课堂表情分析，包括积极、平淡、消极等表情。并支持对各类表情进行实时检测，统计课堂中各类表情的学生人数。</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6.支持对整节课堂实现学生动作和表情的统计分析，统计每种学生动作和表情的峰值时刻、峰值占比和峰值人数。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智能语音分析软件</w:t>
            </w:r>
          </w:p>
        </w:tc>
        <w:tc>
          <w:tcPr>
            <w:tcW w:w="7320" w:type="dxa"/>
            <w:noWrap w:val="0"/>
            <w:vAlign w:val="top"/>
          </w:tcPr>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1.教师提问情况分析：支持基于课堂语音识别能力进行教师课堂提问行为分析，从提问次数与高频时间段两个核心维度进行数据统计，实现课堂提问情况的清晰回顾。</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2.教师语速分析：支持通过语音识别能力进行教师课堂授课语速分析，呈现数据需包括教师课堂说话词数以及平均语速。</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3.课堂语音转写：要求基于语音语义识别完成课堂音频的文字转换，实现课堂教学过程语音全纪录，要求平台上可输出整节课的文字字幕。实现字幕与视频进度关联，通过点击字幕同步播放对应进度的视频。</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4.课堂关键词分析：支持通过进行课堂语音识别，抓取统计提前设置好的课堂知识点关键词，统计各关键词出现的次数频率，并标注出现的时间点和显示所在的语句内容。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教学视频资源管理系统</w:t>
            </w:r>
          </w:p>
        </w:tc>
        <w:tc>
          <w:tcPr>
            <w:tcW w:w="7320" w:type="dxa"/>
            <w:noWrap w:val="0"/>
            <w:vAlign w:val="top"/>
          </w:tcPr>
          <w:p>
            <w:pPr>
              <w:keepNext w:val="0"/>
              <w:keepLines w:val="0"/>
              <w:widowControl/>
              <w:numPr>
                <w:ilvl w:val="0"/>
                <w:numId w:val="0"/>
              </w:numPr>
              <w:suppressLineNumbers w:val="0"/>
              <w:spacing w:line="24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平台功能：</w:t>
            </w:r>
          </w:p>
          <w:p>
            <w:pPr>
              <w:keepNext w:val="0"/>
              <w:keepLines w:val="0"/>
              <w:widowControl/>
              <w:numPr>
                <w:ilvl w:val="0"/>
                <w:numId w:val="0"/>
              </w:numPr>
              <w:suppressLineNumbers w:val="0"/>
              <w:spacing w:line="24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（1）资源管理模块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资源管理应用平台可任意对接所有录播教室，实现录播资源自动发布及录播教室直播收看。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平台支持用户远程在线预约录播教室，可实现单个或批量预约；可直接导入课表实现预约；支持预约信息的申请和审核管理。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平台支持视频资源多维度分类查看，如按年级、学科等分类管理，并根据关注度、用户推荐度和点击热度的不同在页面显眼处自动生成相应的列表。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用户可灵活创建各种视频专辑。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支持视频下载、上传、编辑、管理。可实现所有主流视频文件格式自动转码，包括asf、mpg、rmvb、mov、rm、avi、3gp、wmv、flv、mp4等，可设置下载及观看权限。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支持虚拟切片技术，教学视频自动划分知识点和教学环节并以列表形式展示，且不破坏视频原来的完整性。可根据学习进度对重点内容任意切换或循环播放。该功能应能同时支持PC、手机。</w:t>
            </w:r>
            <w:r>
              <w:rPr>
                <w:rFonts w:hint="eastAsia" w:ascii="宋体" w:hAnsi="宋体" w:eastAsia="宋体" w:cs="宋体"/>
                <w:b/>
                <w:bCs/>
                <w:i w:val="0"/>
                <w:iCs w:val="0"/>
                <w:color w:val="auto"/>
                <w:kern w:val="0"/>
                <w:sz w:val="21"/>
                <w:szCs w:val="21"/>
                <w:highlight w:val="none"/>
                <w:u w:val="none"/>
                <w:lang w:val="en-US" w:eastAsia="zh-CN" w:bidi="ar"/>
              </w:rPr>
              <w:t>（提供功能界面截图）</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支持对手动上传的视频手动添加“知识点”和“教学环节”，并提供“知识点”和“教学环节”修改工具。</w:t>
            </w:r>
            <w:r>
              <w:rPr>
                <w:rFonts w:hint="eastAsia" w:ascii="宋体" w:hAnsi="宋体" w:eastAsia="宋体" w:cs="宋体"/>
                <w:b/>
                <w:bCs/>
                <w:i w:val="0"/>
                <w:iCs w:val="0"/>
                <w:color w:val="auto"/>
                <w:kern w:val="0"/>
                <w:sz w:val="21"/>
                <w:szCs w:val="21"/>
                <w:highlight w:val="none"/>
                <w:u w:val="none"/>
                <w:lang w:val="en-US" w:eastAsia="zh-CN" w:bidi="ar"/>
              </w:rPr>
              <w:t>（提供功能界面截图）</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 课表统一管理：支持对平台内课表的统一管理，课表类型包括常规课表、学校推送课表、结对组课表、名校课表、名师课表等不同使用场景。课表内支持自定义课程名称、封面、主讲人、时间段、学段学科等基础信息并可上传附件。课表内授课形式支持普通直播课、校内互动课与跨校互动课并支持设置观看权限。</w:t>
            </w:r>
            <w:r>
              <w:rPr>
                <w:rFonts w:hint="eastAsia" w:ascii="宋体" w:hAnsi="宋体" w:eastAsia="宋体" w:cs="宋体"/>
                <w:b/>
                <w:bCs/>
                <w:i w:val="0"/>
                <w:iCs w:val="0"/>
                <w:color w:val="auto"/>
                <w:kern w:val="0"/>
                <w:sz w:val="21"/>
                <w:szCs w:val="21"/>
                <w:highlight w:val="none"/>
                <w:u w:val="none"/>
                <w:lang w:val="en-US" w:eastAsia="zh-CN" w:bidi="ar"/>
              </w:rPr>
              <w:t>（提供功能界面截图）</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 平台支持一键置灰功能，恰当的肤色更能切合特殊日的氛围。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 支持视频强制播放，用户点击所有视频系统都可以强制播放指定视频，便于学校进行统一播放和管理。</w:t>
            </w:r>
          </w:p>
          <w:p>
            <w:pPr>
              <w:keepNext w:val="0"/>
              <w:keepLines w:val="0"/>
              <w:widowControl/>
              <w:numPr>
                <w:ilvl w:val="0"/>
                <w:numId w:val="0"/>
              </w:numPr>
              <w:suppressLineNumbers w:val="0"/>
              <w:spacing w:line="240" w:lineRule="auto"/>
              <w:jc w:val="left"/>
              <w:textAlignment w:val="top"/>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 积分系统：支持用户积分系统板块，支持按照统计模板去进行积分统计，记录用户的积分行为，根据不同的积分统计模板的规则去统计该时间段里的用户积分，并且用户可根据情况进行主动的积分申请，方便学校激励和统计教师贡献。</w:t>
            </w:r>
            <w:r>
              <w:rPr>
                <w:rFonts w:hint="eastAsia" w:ascii="宋体" w:hAnsi="宋体" w:eastAsia="宋体" w:cs="宋体"/>
                <w:b/>
                <w:bCs/>
                <w:i w:val="0"/>
                <w:iCs w:val="0"/>
                <w:color w:val="auto"/>
                <w:kern w:val="0"/>
                <w:sz w:val="21"/>
                <w:szCs w:val="21"/>
                <w:highlight w:val="none"/>
                <w:u w:val="none"/>
                <w:lang w:val="en-US" w:eastAsia="zh-CN" w:bidi="ar"/>
              </w:rPr>
              <w:t>（提供功能界面截图）</w:t>
            </w:r>
          </w:p>
          <w:p>
            <w:pPr>
              <w:keepNext w:val="0"/>
              <w:keepLines w:val="0"/>
              <w:widowControl/>
              <w:numPr>
                <w:ilvl w:val="0"/>
                <w:numId w:val="0"/>
              </w:numPr>
              <w:suppressLineNumbers w:val="0"/>
              <w:spacing w:line="24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 教学日程：支持通览该用户在平台中参与的各业务开展情况，以日历方式直观呈现，点击某一教学日程可快速进入对应功能模块。</w:t>
            </w:r>
            <w:r>
              <w:rPr>
                <w:rFonts w:hint="eastAsia" w:ascii="宋体" w:hAnsi="宋体" w:eastAsia="宋体" w:cs="宋体"/>
                <w:b/>
                <w:bCs/>
                <w:i w:val="0"/>
                <w:iCs w:val="0"/>
                <w:color w:val="auto"/>
                <w:kern w:val="0"/>
                <w:sz w:val="21"/>
                <w:szCs w:val="21"/>
                <w:highlight w:val="none"/>
                <w:u w:val="none"/>
                <w:lang w:val="en-US" w:eastAsia="zh-CN" w:bidi="ar"/>
              </w:rPr>
              <w:t>（提供功能界面截图）</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（2）直播点播模块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支持直播权限及密码设置，让直播信息更加安全。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应支持教师对录制的视频上传相应的附件，支持word、excel、ppt、PDF、jpeg等格式。用户在点播视频时可查询并下载相关附件。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提供视频点播转发分享功能，支持目前主流的二维码分享功能，支持一键转发分享至新浪微博、QQ、微信等社交平台中。</w:t>
            </w:r>
          </w:p>
          <w:p>
            <w:pPr>
              <w:keepNext w:val="0"/>
              <w:keepLines w:val="0"/>
              <w:widowControl/>
              <w:numPr>
                <w:ilvl w:val="0"/>
                <w:numId w:val="0"/>
              </w:numPr>
              <w:suppressLineNumbers w:val="0"/>
              <w:spacing w:line="240" w:lineRule="auto"/>
              <w:jc w:val="left"/>
              <w:textAlignment w:val="top"/>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 名师空间管理：支持名师创建名师空间并管理空间内显示栏目，包括名师直播、名师课例、磨课备课、教研活动、评审活动、教师研修、推门听课、实践共同体，支持其他教师参与名师空间的直播、课例、磨课备课、评审活动、教研活动、推门听课、教师研修、教学资源汇聚。</w:t>
            </w:r>
            <w:r>
              <w:rPr>
                <w:rFonts w:hint="eastAsia" w:ascii="宋体" w:hAnsi="宋体" w:eastAsia="宋体" w:cs="宋体"/>
                <w:b/>
                <w:bCs/>
                <w:i w:val="0"/>
                <w:iCs w:val="0"/>
                <w:color w:val="auto"/>
                <w:kern w:val="0"/>
                <w:sz w:val="21"/>
                <w:szCs w:val="21"/>
                <w:highlight w:val="none"/>
                <w:u w:val="none"/>
                <w:lang w:val="en-US" w:eastAsia="zh-CN" w:bidi="ar"/>
              </w:rPr>
              <w:t>（提供功能界面截图）</w:t>
            </w:r>
          </w:p>
          <w:p>
            <w:pPr>
              <w:keepNext w:val="0"/>
              <w:keepLines w:val="0"/>
              <w:widowControl/>
              <w:numPr>
                <w:ilvl w:val="0"/>
                <w:numId w:val="3"/>
              </w:numPr>
              <w:suppressLineNumbers w:val="0"/>
              <w:spacing w:line="24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名师动态：支持展示名师最近上传的资源和发布的活动，点击即可快速跳转至该资源或活动。</w:t>
            </w:r>
          </w:p>
          <w:p>
            <w:pPr>
              <w:keepNext w:val="0"/>
              <w:keepLines w:val="0"/>
              <w:widowControl/>
              <w:numPr>
                <w:ilvl w:val="0"/>
                <w:numId w:val="3"/>
              </w:numPr>
              <w:suppressLineNumbers w:val="0"/>
              <w:spacing w:line="24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名师资源：支持汇聚该名师所有教学资源、直播、课例，教学资源提供资源名称模糊搜索查询，直播提供直播名称、直播日期、直播状态、所属学段、所属学科等多个维度的快捷查询和筛选，课例提供课例名称、所属学段、所属学科、发布时间顺序、访问量等多个维度的快捷查询和筛选。</w:t>
            </w:r>
          </w:p>
          <w:p>
            <w:pPr>
              <w:keepNext w:val="0"/>
              <w:keepLines w:val="0"/>
              <w:widowControl/>
              <w:numPr>
                <w:ilvl w:val="0"/>
                <w:numId w:val="0"/>
              </w:numPr>
              <w:suppressLineNumbers w:val="0"/>
              <w:spacing w:line="24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 名师活动：支持汇聚该名师所有公开于名师空间的活动。分别提供教研活动按活动名称、活动阶段，评审活动按活动名称、活动阶段，教师研修按活动名称，推门听课按任务名称、任务状态、任务类型，磨课备课按备课名称、备课类型等多个维度的快捷查询和筛选。</w:t>
            </w:r>
            <w:r>
              <w:rPr>
                <w:rFonts w:hint="eastAsia" w:ascii="宋体" w:hAnsi="宋体" w:eastAsia="宋体" w:cs="宋体"/>
                <w:b/>
                <w:bCs/>
                <w:i w:val="0"/>
                <w:iCs w:val="0"/>
                <w:color w:val="auto"/>
                <w:kern w:val="0"/>
                <w:sz w:val="21"/>
                <w:szCs w:val="21"/>
                <w:highlight w:val="none"/>
                <w:u w:val="none"/>
                <w:lang w:val="en-US" w:eastAsia="zh-CN" w:bidi="ar"/>
              </w:rPr>
              <w:t>（提供功能界面截图）</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（3）网络教研系统</w:t>
            </w:r>
          </w:p>
          <w:p>
            <w:pPr>
              <w:keepNext w:val="0"/>
              <w:keepLines w:val="0"/>
              <w:widowControl/>
              <w:numPr>
                <w:ilvl w:val="0"/>
                <w:numId w:val="0"/>
              </w:numPr>
              <w:suppressLineNumbers w:val="0"/>
              <w:spacing w:line="24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数据一览：支持将网络教研系统中教研活动、评审活动、推门听课、教师研修、磨课备课五大功能模块的数据进行统计，并合计为研修活动总数量。五大功能模块最新发布的活动按发布时间降序展示方便用户快速查看。</w:t>
            </w:r>
          </w:p>
          <w:p>
            <w:pPr>
              <w:keepNext w:val="0"/>
              <w:keepLines w:val="0"/>
              <w:widowControl/>
              <w:numPr>
                <w:ilvl w:val="0"/>
                <w:numId w:val="0"/>
              </w:numPr>
              <w:suppressLineNumbers w:val="0"/>
              <w:spacing w:line="240" w:lineRule="auto"/>
              <w:jc w:val="left"/>
              <w:textAlignment w:val="top"/>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 教研活动管理：支持创建基于直播、点播、互动三种基本形式的教研活动，每个教研活动支持填写基本信息和上传对应附件，提供教研话题自定义添加、教研评分量表自主设定、专家自主邀请等功能。</w:t>
            </w:r>
            <w:r>
              <w:rPr>
                <w:rFonts w:hint="eastAsia" w:ascii="宋体" w:hAnsi="宋体" w:eastAsia="宋体" w:cs="宋体"/>
                <w:b/>
                <w:bCs/>
                <w:i w:val="0"/>
                <w:iCs w:val="0"/>
                <w:color w:val="auto"/>
                <w:kern w:val="0"/>
                <w:sz w:val="21"/>
                <w:szCs w:val="21"/>
                <w:highlight w:val="none"/>
                <w:u w:val="none"/>
                <w:lang w:val="en-US" w:eastAsia="zh-CN" w:bidi="ar"/>
              </w:rPr>
              <w:t>（提供功能界面截图）</w:t>
            </w:r>
          </w:p>
          <w:p>
            <w:pPr>
              <w:keepNext w:val="0"/>
              <w:keepLines w:val="0"/>
              <w:widowControl/>
              <w:numPr>
                <w:ilvl w:val="0"/>
                <w:numId w:val="0"/>
              </w:numPr>
              <w:suppressLineNumbers w:val="0"/>
              <w:spacing w:line="240" w:lineRule="auto"/>
              <w:jc w:val="left"/>
              <w:textAlignment w:val="top"/>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 教研签到：支持记录统计教研参与签到人员，形成签到列表，便于教研活动的人员管理。签到列表需支持签到用户名、签到地点、签到时间、签退时间的关联统计展示并支持报表导出。</w:t>
            </w:r>
            <w:r>
              <w:rPr>
                <w:rFonts w:hint="eastAsia" w:ascii="宋体" w:hAnsi="宋体" w:eastAsia="宋体" w:cs="宋体"/>
                <w:b/>
                <w:bCs/>
                <w:i w:val="0"/>
                <w:iCs w:val="0"/>
                <w:color w:val="auto"/>
                <w:kern w:val="0"/>
                <w:sz w:val="21"/>
                <w:szCs w:val="21"/>
                <w:highlight w:val="none"/>
                <w:u w:val="none"/>
                <w:lang w:val="en-US" w:eastAsia="zh-CN" w:bidi="ar"/>
              </w:rPr>
              <w:t>（提供功能界面截图）</w:t>
            </w:r>
          </w:p>
          <w:p>
            <w:pPr>
              <w:keepNext w:val="0"/>
              <w:keepLines w:val="0"/>
              <w:widowControl/>
              <w:numPr>
                <w:ilvl w:val="0"/>
                <w:numId w:val="4"/>
              </w:numPr>
              <w:suppressLineNumbers w:val="0"/>
              <w:spacing w:line="24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直播教研：支持创建基于直播功能的教研活动，提供个人直播关联选取、创建直播、引用已有直播地址三种直播关联方式，填写活动主题、活动时间、主办单位、活动类型等基本信息后即可开展。</w:t>
            </w:r>
          </w:p>
          <w:p>
            <w:pPr>
              <w:keepNext w:val="0"/>
              <w:keepLines w:val="0"/>
              <w:widowControl/>
              <w:numPr>
                <w:ilvl w:val="0"/>
                <w:numId w:val="4"/>
              </w:numPr>
              <w:suppressLineNumbers w:val="0"/>
              <w:spacing w:line="24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点播教研：支持创建基于点播功能的教研活动，提供个人点播关联选取、直接上传视频两种点播关联方式，填写活动主题、活动时间等基本信息后即可开展。</w:t>
            </w:r>
          </w:p>
          <w:p>
            <w:pPr>
              <w:keepNext w:val="0"/>
              <w:keepLines w:val="0"/>
              <w:widowControl/>
              <w:numPr>
                <w:ilvl w:val="0"/>
                <w:numId w:val="4"/>
              </w:numPr>
              <w:suppressLineNumbers w:val="0"/>
              <w:spacing w:line="240" w:lineRule="auto"/>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互动教研：支持创建基于活动功能的教研活动，提供主讲教室和听讲教室自由选择功能并可增加该互动直播链接和设置互动进入密码，填写活动主题、活动时间等基本信息后即可开展。</w:t>
            </w:r>
          </w:p>
          <w:p>
            <w:pPr>
              <w:keepNext w:val="0"/>
              <w:keepLines w:val="0"/>
              <w:widowControl/>
              <w:numPr>
                <w:ilvl w:val="0"/>
                <w:numId w:val="0"/>
              </w:numPr>
              <w:suppressLineNumbers w:val="0"/>
              <w:spacing w:line="240" w:lineRule="auto"/>
              <w:jc w:val="left"/>
              <w:textAlignment w:val="top"/>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 WebRTC网页教研：支持WebRTC技术实现教师与学生通过手机或电脑即可发起与加入基于浏览器网页的音视频互动教研活动，同时在网页端提供教研评论、教研笔记、话题研讨等应用，满足用户随时随地快速开展教研活动。</w:t>
            </w:r>
            <w:r>
              <w:rPr>
                <w:rFonts w:hint="eastAsia" w:ascii="宋体" w:hAnsi="宋体" w:eastAsia="宋体" w:cs="宋体"/>
                <w:b/>
                <w:bCs/>
                <w:i w:val="0"/>
                <w:iCs w:val="0"/>
                <w:color w:val="auto"/>
                <w:kern w:val="0"/>
                <w:sz w:val="21"/>
                <w:szCs w:val="21"/>
                <w:highlight w:val="none"/>
                <w:u w:val="none"/>
                <w:lang w:val="en-US" w:eastAsia="zh-CN" w:bidi="ar"/>
              </w:rPr>
              <w:t>（提供功能界面截图）</w:t>
            </w:r>
          </w:p>
          <w:p>
            <w:pPr>
              <w:keepNext w:val="0"/>
              <w:keepLines w:val="0"/>
              <w:widowControl/>
              <w:numPr>
                <w:ilvl w:val="0"/>
                <w:numId w:val="0"/>
              </w:numPr>
              <w:suppressLineNumbers w:val="0"/>
              <w:spacing w:line="24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8)教研活动列表：支持展示区域内所有教研活动，提供按学科分类、活动阶段、活动名称、参与热度等多个维度的快捷查询和筛选。</w:t>
            </w:r>
          </w:p>
          <w:p>
            <w:pPr>
              <w:keepNext w:val="0"/>
              <w:keepLines w:val="0"/>
              <w:widowControl/>
              <w:numPr>
                <w:ilvl w:val="0"/>
                <w:numId w:val="0"/>
              </w:numPr>
              <w:suppressLineNumbers w:val="0"/>
              <w:spacing w:line="240" w:lineRule="auto"/>
              <w:jc w:val="left"/>
              <w:textAlignment w:val="top"/>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 评审活动管理：支持创建完整流程的评审活动，包括创建、征集、评审、公示四个主要进程，其中活动前基本信息准备、报名表管理、子活动与评分表编辑，征集阶段的参赛作品与评审专家管理，评审过程中的进度与结果管理，并且活动后可根据评分排名发布电子证书并提供优秀参赛作品公示功能。</w:t>
            </w:r>
            <w:r>
              <w:rPr>
                <w:rFonts w:hint="eastAsia" w:ascii="宋体" w:hAnsi="宋体" w:eastAsia="宋体" w:cs="宋体"/>
                <w:b/>
                <w:bCs/>
                <w:i w:val="0"/>
                <w:iCs w:val="0"/>
                <w:color w:val="auto"/>
                <w:kern w:val="0"/>
                <w:sz w:val="21"/>
                <w:szCs w:val="21"/>
                <w:highlight w:val="none"/>
                <w:u w:val="none"/>
                <w:lang w:val="en-US" w:eastAsia="zh-CN" w:bidi="ar"/>
              </w:rPr>
              <w:t>（提供功能界面截图）</w:t>
            </w:r>
          </w:p>
          <w:p>
            <w:pPr>
              <w:keepNext w:val="0"/>
              <w:keepLines w:val="0"/>
              <w:widowControl/>
              <w:numPr>
                <w:ilvl w:val="0"/>
                <w:numId w:val="5"/>
              </w:numPr>
              <w:suppressLineNumbers w:val="0"/>
              <w:spacing w:line="24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子活动管理：支持在评审活动下添加子活动，形成持续性的系列活动。评审活动自动汇聚子活动收集的所有资源。</w:t>
            </w:r>
          </w:p>
          <w:p>
            <w:pPr>
              <w:keepNext w:val="0"/>
              <w:keepLines w:val="0"/>
              <w:widowControl/>
              <w:numPr>
                <w:ilvl w:val="0"/>
                <w:numId w:val="0"/>
              </w:numPr>
              <w:suppressLineNumbers w:val="0"/>
              <w:spacing w:line="240" w:lineRule="auto"/>
              <w:ind w:left="0" w:leftChars="0" w:firstLine="0" w:firstLineChars="0"/>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★11) 报名表管理：支持自主设定报名表须提交内容项。包括：作品信息、上传作品类型、上传文档类型、单位信息、作者信息、联系人信息、版权信息等维度的自定义项勾选。其中上传文档类型可发布评测练习、教学设计、课件设计、通用作品、学情分析、教材分析等项。</w:t>
            </w:r>
            <w:r>
              <w:rPr>
                <w:rFonts w:hint="eastAsia" w:ascii="宋体" w:hAnsi="宋体" w:eastAsia="宋体" w:cs="宋体"/>
                <w:b/>
                <w:bCs/>
                <w:i w:val="0"/>
                <w:iCs w:val="0"/>
                <w:color w:val="auto"/>
                <w:kern w:val="0"/>
                <w:sz w:val="21"/>
                <w:szCs w:val="21"/>
                <w:highlight w:val="none"/>
                <w:u w:val="none"/>
                <w:lang w:val="en-US" w:eastAsia="zh-CN" w:bidi="ar"/>
              </w:rPr>
              <w:t>（提供功能界面截图）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智慧黑板</w:t>
            </w:r>
          </w:p>
        </w:tc>
        <w:tc>
          <w:tcPr>
            <w:tcW w:w="7320" w:type="dxa"/>
            <w:noWrap w:val="0"/>
            <w:vAlign w:val="top"/>
          </w:tcPr>
          <w:p>
            <w:pPr>
              <w:numPr>
                <w:ilvl w:val="0"/>
                <w:numId w:val="0"/>
              </w:numPr>
              <w:ind w:left="480" w:leftChars="0" w:hanging="480"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一、</w:t>
            </w:r>
            <w:r>
              <w:rPr>
                <w:rFonts w:hint="eastAsia" w:ascii="宋体" w:hAnsi="宋体" w:eastAsia="宋体" w:cs="宋体"/>
                <w:b/>
                <w:bCs/>
                <w:color w:val="auto"/>
                <w:sz w:val="21"/>
                <w:szCs w:val="21"/>
                <w:highlight w:val="none"/>
              </w:rPr>
              <w:t>整体设计</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整体外观尺寸：宽≥4200mm，高≥1200mm，厚≤98mm。整机采用三拼接平面一体化设计，无推拉式结构及外露连接线，外观简洁。整机屏幕边缘采用金属圆角包边防护，整机背板采用金属材质，有效屏蔽内部电路器件辐射。</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整机两侧副屏可支持以下媒介（普通粉笔、液体粉笔、成膜笔）进行板书书写，主屏支持普通粉笔直接书写。</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整机采用98英寸UHD超高清LED液晶屏，显示比例16:9，分辨率3840×2160。</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整机采用全物理钢化玻璃，有效保护屏幕显示画面，钢化玻璃表面硬度≥9H。</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整机显示屏幕采用全贴合方式。</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整机内置2.2声道扬声器，位于设备上边框，顶置朝前发声，前朝向10W高音扬声器2个，上朝向20W中低音扬声器2个，总功率60W。</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★整机内置非独立的摄像头，拍摄照片像素数≥1600万，摄像头视场角≥135度，可用于远程巡课，可AI识别人像，人像识别距离≥10米。</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整机内置非独立外扩展的4阵列麦克风，可用于对教室环境音频进行采集，拾音距离≥12m。</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整机无需外接无线网卡，在Windows系统下可实现Wi-Fi无线上网连接、AP无线热点发射和BT蓝牙连接功能。Wi-Fi及AP热点支持频段2.4GHz/5GHz；Wi-Fi制式支持IEEE 802.11 a/b/g/n/ac/ax；支持版本Wi-Fi6；Wi-Fi和AP热点工作距离≥12m。</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整机支持蓝牙Bluetooth 5.2标准，固件版本号HCI11.20/LMP11.20；支持主动发现蓝牙外设从而连接（无需整机进入发现模式），支持连接外部蓝牙音箱播放音频。</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整机内置无线传屏接收端，无需外接接收部件，无线传屏发射器与整机匹配后即可实现传屏功能，将外部电脑的屏幕画面通过无线方式传输到整机上显示。</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整机内置NFC读卡模块，可配合应用实现刷卡解锁，刷卡登录账号功能。</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整机支持色彩空间可选，包含标准模式和sRGB/DCI-P3/Display-P3/Adobe RGB/BT.2020模式，在sRGB模式下可做到高色准△E≤1.5。</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整机采用硬件低蓝光背光技术，在源头减少有害蓝光波段能量，蓝光占比（有害蓝光415～455nm能量综合）/（整体蓝光400～500能量综合）＜50%，低蓝光保护显示不偏色、不泛黄。</w:t>
            </w:r>
          </w:p>
          <w:p>
            <w:pPr>
              <w:numPr>
                <w:ilvl w:val="0"/>
                <w:numId w:val="0"/>
              </w:numPr>
              <w:ind w:leftChars="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★通过由中国标准化研究院制定的视觉舒适度（VICO）评价体系测试，并达到视觉舒适度A+级或以上标准。</w:t>
            </w:r>
            <w:r>
              <w:rPr>
                <w:rFonts w:hint="eastAsia" w:ascii="宋体" w:hAnsi="宋体" w:eastAsia="宋体" w:cs="宋体"/>
                <w:b/>
                <w:bCs/>
                <w:i w:val="0"/>
                <w:iCs w:val="0"/>
                <w:color w:val="auto"/>
                <w:kern w:val="0"/>
                <w:sz w:val="21"/>
                <w:szCs w:val="21"/>
                <w:highlight w:val="none"/>
                <w:u w:val="none"/>
                <w:lang w:val="en-US" w:eastAsia="zh-CN" w:bidi="ar"/>
              </w:rPr>
              <w:t>（提供有资质的第三方检测机构出具的检测报告扫描件）</w:t>
            </w:r>
          </w:p>
          <w:p>
            <w:pPr>
              <w:numPr>
                <w:ilvl w:val="0"/>
                <w:numId w:val="0"/>
              </w:numPr>
              <w:ind w:left="480" w:leftChars="0" w:hanging="480"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二、</w:t>
            </w:r>
            <w:r>
              <w:rPr>
                <w:rFonts w:hint="eastAsia" w:ascii="宋体" w:hAnsi="宋体" w:eastAsia="宋体" w:cs="宋体"/>
                <w:b/>
                <w:bCs/>
                <w:color w:val="auto"/>
                <w:sz w:val="21"/>
                <w:szCs w:val="21"/>
                <w:highlight w:val="none"/>
              </w:rPr>
              <w:t>主要功能</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无线互联</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整机内置双WiFi6无线网卡（不接受外接），在Android和Windows系统下，可实现Wi-Fi无线上网连接、AP无线热点发射，在Android下支持无线设备同时连接数量≥32个，在Windows系统下支持无线设备同时连接≥8个。</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Wi-Fi及AP热点支持频段2.4GHz/5GHz；Wi-Fi制式支持IEEE 802.11 a/b/g/n/ac/ax；支持版本Wi-Fi6；Wi-Fi和AP热点工作距离≥12m。</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整机支持蓝牙Bluetooth 5.4标准，PC端支持主动发现蓝牙外设从而连接（无需整机进入发现模式），支持连接外部蓝牙音箱播放音频。</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pPr>
              <w:numPr>
                <w:ilvl w:val="0"/>
                <w:numId w:val="0"/>
              </w:numPr>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5、符合学校个性化需求，设备多个前置按键支持自定义设置，可设置启用批注、截屏、计时、降半屏、放大镜、倒数日、纸质护眼模式、课堂智能反馈等功能。</w:t>
            </w:r>
          </w:p>
          <w:p>
            <w:pPr>
              <w:numPr>
                <w:ilvl w:val="0"/>
                <w:numId w:val="0"/>
              </w:numPr>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6、整机内置中控菜单及侧边栏菜单，方便教师进行应用切换、信号源通道切换、教学工具调用、整机调节等操作。</w:t>
            </w:r>
          </w:p>
          <w:p>
            <w:pPr>
              <w:numPr>
                <w:ilvl w:val="0"/>
                <w:numId w:val="0"/>
              </w:numPr>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7、整机支持sRGB模式，在sRGB模式下可做到高色准△E≤1.0。</w:t>
            </w:r>
          </w:p>
          <w:p>
            <w:pPr>
              <w:numPr>
                <w:ilvl w:val="0"/>
                <w:numId w:val="0"/>
              </w:numPr>
              <w:ind w:leftChars="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整机系统支持人工智能画质调节模式，启用后当屏幕出现人物、建筑、夜景等元素时，自动调整画质参数；支持人工智能空间感知音效模式，通过内置麦克风采集环境声音自动生成符合当前环境的音量、音效。</w:t>
            </w:r>
            <w:r>
              <w:rPr>
                <w:rFonts w:hint="eastAsia" w:ascii="宋体" w:hAnsi="宋体" w:eastAsia="宋体" w:cs="宋体"/>
                <w:b/>
                <w:bCs/>
                <w:i w:val="0"/>
                <w:iCs w:val="0"/>
                <w:color w:val="auto"/>
                <w:kern w:val="0"/>
                <w:sz w:val="21"/>
                <w:szCs w:val="21"/>
                <w:highlight w:val="none"/>
                <w:u w:val="none"/>
                <w:lang w:val="en-US" w:eastAsia="zh-CN" w:bidi="ar"/>
              </w:rPr>
              <w:t>（提供有资质的第三方检测机构出具的检测报告扫描件）</w:t>
            </w:r>
          </w:p>
          <w:p>
            <w:pPr>
              <w:numPr>
                <w:ilvl w:val="0"/>
                <w:numId w:val="0"/>
              </w:numPr>
              <w:ind w:left="480" w:leftChars="0" w:hanging="480"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三、</w:t>
            </w:r>
            <w:r>
              <w:rPr>
                <w:rFonts w:hint="eastAsia" w:ascii="宋体" w:hAnsi="宋体" w:eastAsia="宋体" w:cs="宋体"/>
                <w:b/>
                <w:bCs/>
                <w:color w:val="auto"/>
                <w:sz w:val="21"/>
                <w:szCs w:val="21"/>
                <w:highlight w:val="none"/>
              </w:rPr>
              <w:t>嵌入式系统</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嵌入式系统版本不低于Android 11，内存≥2GB，存储空间≥8GB。</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无PC状态下，嵌入式Android操作系统下可实现windows系统中常用的教学应用功能，如白板书写、WPS软件使用和网页浏览。</w:t>
            </w:r>
          </w:p>
          <w:p>
            <w:pPr>
              <w:numPr>
                <w:ilvl w:val="0"/>
                <w:numId w:val="0"/>
              </w:numPr>
              <w:ind w:left="480" w:leftChars="0" w:hanging="480"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四、</w:t>
            </w:r>
            <w:r>
              <w:rPr>
                <w:rFonts w:hint="eastAsia" w:ascii="宋体" w:hAnsi="宋体" w:eastAsia="宋体" w:cs="宋体"/>
                <w:b/>
                <w:bCs/>
                <w:color w:val="auto"/>
                <w:sz w:val="21"/>
                <w:szCs w:val="21"/>
                <w:highlight w:val="none"/>
              </w:rPr>
              <w:t>触摸系统</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采用电容触控技术，支持Windows系统中进行40点或以上触控，支持在Android系统中进行32点或以上触控。</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触摸分辨率32768×32768，整机系统支持书写触控延迟≤25ms。</w:t>
            </w:r>
          </w:p>
          <w:p>
            <w:pPr>
              <w:jc w:val="left"/>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五、内置电脑模块</w:t>
            </w:r>
          </w:p>
          <w:p>
            <w:pPr>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1、采用模块化电脑方案，抽拉内置式，OPS模块可完全插入整机，保护OPS模块不易受教室灰尘影响，OPS模块可抽拉式插入整机，可实现无单独接线的插拔。</w:t>
            </w:r>
          </w:p>
          <w:p>
            <w:pPr>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2、OPS和整机的连接采用万兆级接口，传输速率≥10Gbps。</w:t>
            </w:r>
          </w:p>
          <w:p>
            <w:pPr>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3、采用按压式卡扣，无需工具即可快速拆卸电脑模块。</w:t>
            </w:r>
          </w:p>
          <w:p>
            <w:pPr>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4、主板：集成资源扩展模块、计算处理模块、音频扩展模块等，主板的互联拓扑可通过处理器或交换电路实现。</w:t>
            </w:r>
          </w:p>
          <w:p>
            <w:pPr>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▲5、处理器：四核八线程或以上，主频2.0Ghz或以上。符合国家安全可靠测评要求。</w:t>
            </w:r>
          </w:p>
          <w:p>
            <w:pPr>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6、内存：16G DDR4笔记本内存或以上配置；</w:t>
            </w:r>
          </w:p>
          <w:p>
            <w:pPr>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7、硬盘：256G或以上SSD ；固态盘数量≥1；</w:t>
            </w:r>
          </w:p>
          <w:p>
            <w:pPr>
              <w:numPr>
                <w:ilvl w:val="0"/>
                <w:numId w:val="0"/>
              </w:numPr>
              <w:ind w:leftChars="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8、</w:t>
            </w:r>
            <w:r>
              <w:rPr>
                <w:rFonts w:hint="eastAsia" w:ascii="宋体" w:hAnsi="宋体" w:eastAsia="宋体" w:cs="宋体"/>
                <w:color w:val="auto"/>
                <w:kern w:val="2"/>
                <w:sz w:val="21"/>
                <w:szCs w:val="21"/>
                <w:highlight w:val="none"/>
                <w:lang w:val="en-US" w:eastAsia="zh-CN"/>
              </w:rPr>
              <w:t>在配置管理平台使用终端设备时，支持统一互通的用户身份认证服务，账号登录进入云桌面镜像后，打开教学白板软件、学生行为评价软件的教学应用工具时无需再次输入账号密码重复登录</w:t>
            </w:r>
            <w:r>
              <w:rPr>
                <w:rFonts w:hint="eastAsia" w:ascii="宋体" w:hAnsi="宋体" w:eastAsia="宋体" w:cs="宋体"/>
                <w:b/>
                <w:bCs/>
                <w:i w:val="0"/>
                <w:iCs w:val="0"/>
                <w:color w:val="auto"/>
                <w:kern w:val="0"/>
                <w:sz w:val="21"/>
                <w:szCs w:val="21"/>
                <w:highlight w:val="none"/>
                <w:u w:val="none"/>
                <w:lang w:val="en-US" w:eastAsia="zh-CN" w:bidi="ar"/>
              </w:rPr>
              <w:t>（提供有资质的第三方检测机构出具的检测报告扫描件）</w:t>
            </w:r>
          </w:p>
          <w:p>
            <w:pPr>
              <w:numPr>
                <w:ilvl w:val="0"/>
                <w:numId w:val="0"/>
              </w:numPr>
              <w:ind w:leftChars="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9、支持当使用桌面镜像功能时发生系统无法启动、系统异常等情况，可通过手势在屏幕上调取触摸中控菜单，进行系统恢复至出厂默认状态，无需连接网络、无需连接管理平台、无需额外工具辅助</w:t>
            </w:r>
            <w:r>
              <w:rPr>
                <w:rFonts w:hint="eastAsia" w:ascii="宋体" w:hAnsi="宋体" w:eastAsia="宋体" w:cs="宋体"/>
                <w:b/>
                <w:bCs/>
                <w:i w:val="0"/>
                <w:iCs w:val="0"/>
                <w:color w:val="auto"/>
                <w:kern w:val="0"/>
                <w:sz w:val="21"/>
                <w:szCs w:val="21"/>
                <w:highlight w:val="none"/>
                <w:u w:val="none"/>
                <w:lang w:val="en-US" w:eastAsia="zh-CN" w:bidi="ar"/>
              </w:rPr>
              <w:t>（提供有资质的第三方检测机构出具的检测报告扫描件）</w:t>
            </w:r>
          </w:p>
          <w:p>
            <w:pPr>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10、支持交互大屏在系统恢复后，公共数据分区（如D盘等非系统分区）的数据能够得到保留，不受还原影响，从而不影响教学使用</w:t>
            </w:r>
          </w:p>
          <w:p>
            <w:pPr>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11、支持诊断网络，支持检测与管理平台的通讯状态，支持TCP延迟、ICMP延迟、上传下载速度检测</w:t>
            </w:r>
          </w:p>
          <w:p>
            <w:pPr>
              <w:numPr>
                <w:ilvl w:val="0"/>
                <w:numId w:val="0"/>
              </w:numPr>
              <w:ind w:leftChars="0"/>
              <w:jc w:val="left"/>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12、支持终端设备运行时无需运行独立的虚拟化系统，终端设备配置的IP与进入云桌面镜像后的IP能够保持一致，同一个终端无需使用多个IP，简化运维管理与网络规划复杂度</w:t>
            </w:r>
            <w:r>
              <w:rPr>
                <w:rFonts w:hint="eastAsia" w:ascii="宋体" w:hAnsi="宋体" w:eastAsia="宋体" w:cs="宋体"/>
                <w:b/>
                <w:bCs/>
                <w:i w:val="0"/>
                <w:iCs w:val="0"/>
                <w:color w:val="auto"/>
                <w:kern w:val="0"/>
                <w:sz w:val="21"/>
                <w:szCs w:val="21"/>
                <w:highlight w:val="none"/>
                <w:u w:val="none"/>
                <w:lang w:val="en-US" w:eastAsia="zh-CN" w:bidi="ar"/>
              </w:rPr>
              <w:t>（提供有资质的第三方检测机构出具的检测报告扫描件）</w:t>
            </w:r>
          </w:p>
          <w:p>
            <w:pPr>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▲13、模块预装正版操作系统，包括且不限于统信、麒麟等。符合国家安全可靠测评要求。</w:t>
            </w:r>
          </w:p>
          <w:p>
            <w:pPr>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、配置独立显卡，显存≥1G 。</w:t>
            </w:r>
          </w:p>
          <w:p>
            <w:pPr>
              <w:numPr>
                <w:ilvl w:val="0"/>
                <w:numId w:val="0"/>
              </w:numPr>
              <w:ind w:left="480" w:leftChars="0" w:hanging="480"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六、</w:t>
            </w:r>
            <w:r>
              <w:rPr>
                <w:rFonts w:hint="eastAsia" w:ascii="宋体" w:hAnsi="宋体" w:eastAsia="宋体" w:cs="宋体"/>
                <w:b/>
                <w:bCs/>
                <w:color w:val="auto"/>
                <w:sz w:val="21"/>
                <w:szCs w:val="21"/>
                <w:highlight w:val="none"/>
              </w:rPr>
              <w:t>教学软件</w:t>
            </w:r>
          </w:p>
          <w:p>
            <w:pPr>
              <w:numPr>
                <w:ilvl w:val="0"/>
                <w:numId w:val="0"/>
              </w:numPr>
              <w:ind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用备授课一体化框架设计，为使用方全体教师配备个人账号，形成一体的信息化教学账号体系；根据教师账号信息将教师云空间匹配至对应学校、学科校本资源库。支持通过数字账号、微信二维码、硬件密钥方式登录教师个人账号。</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提供拼音卡片、古诗词、汉字卡片、中文听写、网络画板、字母卡片、英汉词典、英文听写、化学实验、元素周期表、化学方程式、物理实验、星球工具、藏文卡片等至少20种学科工具，可一键插入课件。</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具有互动式教学课件资源，不少于150000份的互动课件，其中学科教育各学段各地区教材版本不少于120个。</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学科资源：提供涵盖小学、初中、高中超过2000个微课程视频；提供涵盖小学、初中、高中的总知识点不少于9000个，试题数量不少于30万道试题；提供仿真实验，包含实验目的、实验器材、实验步骤等，方便老师在使用中快速了解具体实验内容，提高老师课堂教学效率。</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AI智能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快捷抠图：内置图片处理功能，无需借助专业图片处理软件即可对课件内的图片进行快速抠图，图片主体处理后边缘无明显毛边，且处理后的图片可直接上传至教师云空间供后续复用。</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智能生成课堂活动：具有课堂活动智能填写功能，输入文本后可以一键解析，自动将文本内容结构化填充至题干和正确选项，完成课堂活动的制作。</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智能纠错：内置的AI智能语义分析模块，可对输入的英文文本的拼写、句型、语法进行错误检查，并支持一键纠错。</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移动授课：支持移动授课，实现公网连接控制课件翻页、播放，支持手机拍照上传、投屏。手机端和电脑端登录同一账号后即可自动连接，拍照上传、控制课件支持公网。</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校本资源库：支持电脑端/手机端实现校本资源共建共享。支持课件、教案、胶囊及多媒体文件的上传。在交互式备授课软件中，支持获取校本多媒体资源到本地查看，实现校内资源的共建共享。</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集体备课：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r>
              <w:rPr>
                <w:rFonts w:hint="eastAsia" w:ascii="宋体" w:hAnsi="宋体" w:eastAsia="宋体" w:cs="宋体"/>
                <w:b/>
                <w:bCs/>
                <w:i w:val="0"/>
                <w:iCs w:val="0"/>
                <w:color w:val="auto"/>
                <w:kern w:val="0"/>
                <w:sz w:val="21"/>
                <w:szCs w:val="21"/>
                <w:highlight w:val="none"/>
                <w:u w:val="none"/>
                <w:lang w:val="en-US" w:eastAsia="zh-CN" w:bidi="ar"/>
              </w:rPr>
              <w:t>（提供有资质的第三方检测机构出具的检测报告扫描件）</w:t>
            </w:r>
          </w:p>
          <w:p>
            <w:pPr>
              <w:numPr>
                <w:ilvl w:val="0"/>
                <w:numId w:val="0"/>
              </w:numPr>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知识胶囊：胶囊式微课功能内置于交互式课件工具中，支持快速录制胶囊式微课，微课可录制保存音频和课件的互动操作。</w:t>
            </w:r>
          </w:p>
          <w:p>
            <w:pPr>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空中课堂功能内置于交互式备授课软件中，无需额外安装部署直播软件，可实现语音直播、课件同步、互动工具等远程教学功能：包括文本聊天工具、互动答题工具、远程互动工具、课堂奖励工具、远程考勤管理、课程回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功放</w:t>
            </w:r>
          </w:p>
        </w:tc>
        <w:tc>
          <w:tcPr>
            <w:tcW w:w="7320" w:type="dxa"/>
            <w:noWrap w:val="0"/>
            <w:vAlign w:val="center"/>
          </w:tcPr>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功率8Ω+8Ω：2×600W</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功率4Ω+4Ω：2×900W</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功率2Ω+2Ω：2×1100W</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功率桥接8Ω：1800W </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功率桥接4Ω：2000W</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输出电路：混合H类</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频率响应：20Hz－20kHz</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输入阻抗：10KΩ不平衡，20KΩ平衡</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灵敏度：0.775V，1.0V,1.55V</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信噪比：&gt;105dB，</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阻尼系数（8Ω）：&gt;500，</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供电电源：220V/AC/50Hz，</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外型尺寸(WxDxH)：483mm×420mm×90mm </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重量：22kg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电源时序器</w:t>
            </w:r>
          </w:p>
        </w:tc>
        <w:tc>
          <w:tcPr>
            <w:tcW w:w="7320" w:type="dxa"/>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8路电源控制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调音台</w:t>
            </w:r>
          </w:p>
        </w:tc>
        <w:tc>
          <w:tcPr>
            <w:tcW w:w="7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EPM系列调音台适用于中小型多功能厅、会议厅、学校、机关礼堂、酒店、迪斯科、公共广播、固定安装、录音室等场所。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EPM系列EPM6／EPM8／EPM12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主要功能和特点：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1、6路8路12路单声道与2组立体声输入（EPM6／EPM8／EPM12）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2、高品质、低噪音的平衡式话筒输入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3、单声道及主输出配有的信号插入点，方便外接信号处理器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4、每路麦克风输入都配备优质＋48V幻像电源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5、中频扫频的三段均衡，英国风格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6、两组AUX辅助输出，可以外接处理器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7、高精度三色精确电平柱，准确显示输出电平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8、60MM行程高分析度推子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9、内置式静噪电源器，使用方便灵活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10、简单的可选项架子安装（选配件）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反馈抑制器</w:t>
            </w:r>
          </w:p>
        </w:tc>
        <w:tc>
          <w:tcPr>
            <w:tcW w:w="7320" w:type="dxa"/>
            <w:noWrap w:val="0"/>
            <w:vAlign w:val="center"/>
          </w:tcPr>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反馈抑制器还内置了自动混合器，以实现两路话筒输入。</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许多情况下，如在演讲台、讲坛或会议桌上，采用两个话筒可以更好地捕捉正在移动中的演讲者的声音，而这样常常会增加声学反馈的风险。鉴于这一问题，反馈抑制器中的自动混合器将会自动降低信号输入较弱的那个话筒的增益，同时提高信号输入较强的另一个话筒的增益。</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技术特点：</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1．超宽频响电路技术，无变音，无金属尾音，强力抑制回声。</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2．数字移频技术，超强防啸叫，声音圆润稳定，无发飘和发干等现象。</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3．超级稳定：内置晶体振荡，软件算法，稳定性能好，受温度和外界干扰很小。</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4．可根据应用场合定制合适音频频谱，从而大幅度提升系统增益。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音响</w:t>
            </w:r>
          </w:p>
        </w:tc>
        <w:tc>
          <w:tcPr>
            <w:tcW w:w="7320" w:type="dxa"/>
            <w:noWrap w:val="0"/>
            <w:vAlign w:val="center"/>
          </w:tcPr>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单元配置：LF：12"低音单元，HF：1.75"压缩驱动器</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频率响应：50Hz-20kHz±3dB</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额定功率：450W</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峰值功率：900W</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灵敏度：98dB</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最大声压级：121dB </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标准阻抗：8 Ω</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辐射角度：90°（H）x 40°（V）</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接线方式：2 x Neutrik NL 4</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吊挂方式：M8螺纹孔</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尺寸(mm)：545×440×370(WxDxH)</w:t>
            </w:r>
          </w:p>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净重(kg)：18.5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电视机</w:t>
            </w:r>
          </w:p>
        </w:tc>
        <w:tc>
          <w:tcPr>
            <w:tcW w:w="732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55英寸智能电视，大屏4k超清，游戏电视，刷屏率120Hz，存储内存32G,运行内存2G,支持WIFI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机柜</w:t>
            </w:r>
          </w:p>
        </w:tc>
        <w:tc>
          <w:tcPr>
            <w:tcW w:w="732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1600*600*600黑色机柜，存放音视频设备。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升降演讲桌</w:t>
            </w:r>
          </w:p>
        </w:tc>
        <w:tc>
          <w:tcPr>
            <w:tcW w:w="732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站立办公工作台气动升降演讲桌，可移动，铝合金材质，高度75CM-108CM可调。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电动升降演讲桌</w:t>
            </w:r>
          </w:p>
        </w:tc>
        <w:tc>
          <w:tcPr>
            <w:tcW w:w="7320" w:type="dxa"/>
            <w:noWrap w:val="0"/>
            <w:vAlign w:val="top"/>
          </w:tcPr>
          <w:p>
            <w:pPr>
              <w:keepNext w:val="0"/>
              <w:keepLines w:val="0"/>
              <w:widowControl/>
              <w:numPr>
                <w:ilvl w:val="0"/>
                <w:numId w:val="6"/>
              </w:numPr>
              <w:suppressLineNumbers w:val="0"/>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钢木结构、全封闭机身设计，整体采用优质冷轧板和木纹漆工艺外形简洁美观。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2、台面尺寸，长≥1200mm，宽≥600mm，高度1000mm。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3、讲台配有抽屉，方便收纳和储物，抽屉采用自吸阻尼静音轨道，开合顺滑。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4、桌面边、角采用平滑圆弧过度，去毛刺、防止学生碰撞。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5、台面能够嵌入式安装21.5英寸智慧屏，显示屏角度可以在30°~90°之间调节。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6、显示器基座侧面配有万能电源插座，USB接口，HDMI输入接口等。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7、内置嵌入式网络控制器和千兆交换机模块，能够实现远程集控。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8、嵌入式网络控制器具备唯一的识别码，支持钉钉和微信扫码控制开关。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10、手机端可以通过小程序控制云盘文件打开、播放、翻页、音量调节、关闭等操作。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11、内嵌≥4路千兆交换机模块， 2路受控220V交流电源输出，RS232控制接口≥2个，可编程I/O口≥6P，物联网扩展接口≥8P。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12、具有下课关机主动提醒功能，即系统关机前会显示关机倒计时画面，可本地取消关机指令。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13、通过管理平台软件，可以设置计划任务对教室设备进行定时开关操作。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14、要求网络中控设置软件自带常用投影机控制驱动代码，同时支持手动添加投影机控制驱动代码，支持232设备控制码编程。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15、支持话筒管理功能，中控关机时自动检测话筒状态，发现话筒未归还时立刻发出语音提示，并推送微信信息到管理员手机。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16、能够实现断网认证功能。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17、讲台上嵌入式智慧屏尺寸≥21.5英寸高清TFT-LCD显示屏，具备10点电容触摸，既可以作为中控操作面板又可以作为电脑触控显示屏。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18、智慧屏集成13.56M智能IC卡刷卡器，支持刷卡、微信和钉钉扫码、动态密码、人脸识别5种开机方式。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19、集成宽动态200W像素以上高清摄像头，可实现人脸识别开机功能。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20、屏幕背景、LOGO可动态设置，信息窗口内容可以动态发布。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21、智慧屏能够显示设备二维码，同时具备钉钉和微信扫码开机功能。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22、智慧屏能够切换到录播系统控制页面，实现录播画面预览，导播控制等。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23、智慧屏可以实时显示电脑画面，能够直接触控方式操作电脑，操作显示流畅无延时。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24、提供快捷菜单实现手写批注、白板书写、一键擦除、音量调节等功能。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25、智慧屏能够切换到录播系统控制页面，实现录播画面预览，手动切换录播镜头画面的导播控制等。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安装调试及辅材</w:t>
            </w:r>
          </w:p>
        </w:tc>
        <w:tc>
          <w:tcPr>
            <w:tcW w:w="7320" w:type="dxa"/>
            <w:noWrap w:val="0"/>
            <w:vAlign w:val="center"/>
          </w:tcPr>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相关的网络和电源线，设备安装调试及耗材。如：HDMI高清音视频信号线、超五类网络传输线、RVVP线缆、网络综合布线等。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智能交互平板</w:t>
            </w:r>
          </w:p>
        </w:tc>
        <w:tc>
          <w:tcPr>
            <w:tcW w:w="7320" w:type="dxa"/>
            <w:noWrap w:val="0"/>
            <w:vAlign w:val="top"/>
          </w:tcPr>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一、整体设计</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1、整机采用一体化设计，外部无任何可见内部功能模块连接线。整机采用全金属外壳设计，边角采用弧形设计，表面无尖锐边缘或凸起。</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2、整机屏幕边缘采用金属圆角包边防护，整机背板采用金属材质，有效屏蔽内部电路器件辐射；防潮耐盐雾蚀锈，适应多种教学环境。</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▲3、整机屏幕采用86英寸液晶显示器。</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4、整机采用UHD超高清LED液晶屏，显示比例16:9，分辨率3840*2160。</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5、灰度等级≥256级。</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6、触控一体机表面使用钢化玻璃，表面硬度达到9H，接近钻石硬度，有效保护教师及学生授课安全。</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7、整机采用硬件低蓝光背光技术，还原真实教学色彩的同时有效降低蓝光同时保护教师。</w:t>
            </w:r>
          </w:p>
          <w:p>
            <w:pPr>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★8、整机嵌入式芯片内置2TOPS AI算力，可用于AI图像、音频处理。</w:t>
            </w:r>
            <w:r>
              <w:rPr>
                <w:rFonts w:hint="eastAsia" w:ascii="宋体" w:hAnsi="宋体" w:eastAsia="宋体" w:cs="宋体"/>
                <w:b/>
                <w:bCs/>
                <w:color w:val="auto"/>
                <w:kern w:val="2"/>
                <w:sz w:val="21"/>
                <w:szCs w:val="21"/>
                <w:highlight w:val="none"/>
                <w:shd w:val="clear" w:color="auto" w:fill="auto"/>
                <w:lang w:val="en-US" w:eastAsia="zh-CN" w:bidi="ar-SA"/>
              </w:rPr>
              <w:t>（提供有资质的第三方检测机构出具的检测报告扫描件）</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二、硬件设计</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1、整机内置音箱顶置朝前发声，2.2声道扬声器，额定总功率60W。</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2、整机支持高级音效设置、左右声道平衡、可根据实际需要设置不同频段调节功能，以满足不同课程授课声音还原需求。</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3、整机内置非独立外扩展的4阵列麦克风，可用于对教室环境音频进行采集，拾音距离≥12m。</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4、整机无需外接无线网卡，在Windows系统下可实现Wi-Fi无线上网连接、AP无线热点发射和BT蓝牙连接功能。</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5、Wi-Fi和AP热点工作距离≥12m。</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6、整机支持蓝牙Bluetooth 5.4标准，电脑端支持主动发现蓝牙外设从而连接（无需整机进入发现模式），支持连接外部蓝牙音箱播放音频。</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7、整机无需外接无线网卡，在Windows系统下接入无线网络，切换到嵌入式Android系统下可直接实现无线上网功能，不需手动重复设置。</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8、为提升传输速率和降低能耗，整机支持Wi-Fi6；Wi-Fi及AP热点支持频段2.4GHz/5GHz</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9、同一电源物理按键完成开机、节能熄屏、关机操作。</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10、整机具备前置按键，可实现老师开关机、调出中控菜单、音量+/-、护眼、录屏的操作。</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11、支持护眼模式，可通过前置面板物理功能按键一键启用护眼模式。</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12、支持录课模式，可通过前置面板物理功能按键一键启用录课模式（屏幕及人声需同步采集）。</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13、侧置输入接口具备2路HDMI、1路RS232；侧置输出接口具备1路音频、1路触控USB；前置输入接口3路USB接口（包含1路Type-C、2路USB）。</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14、整机具备前置Type-C接口，通过Type-C接口可实现与外部电脑的触摸信号及音视频输入。</w:t>
            </w:r>
          </w:p>
          <w:p>
            <w:pPr>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★15、整机支持在无任何外部设备的情况下，实时录制用户朗读内容，识别用户声纹并进行统一身份登录，登陆后自动获取个人云端教学课件列表，打开教学白板软件时可跳过软件自带登录步骤。</w:t>
            </w:r>
            <w:r>
              <w:rPr>
                <w:rFonts w:hint="eastAsia" w:ascii="宋体" w:hAnsi="宋体" w:eastAsia="宋体" w:cs="宋体"/>
                <w:b/>
                <w:bCs/>
                <w:color w:val="auto"/>
                <w:kern w:val="2"/>
                <w:sz w:val="21"/>
                <w:szCs w:val="21"/>
                <w:highlight w:val="none"/>
                <w:shd w:val="clear" w:color="auto" w:fill="auto"/>
                <w:lang w:val="en-US" w:eastAsia="zh-CN" w:bidi="ar-SA"/>
              </w:rPr>
              <w:t>（提供有资质的第三方检测机构出具的检测报告扫描件）</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16、整机书写面板采用防眩光全钢化防爆玻璃面板，面板的碎片状态、抗冲击性、霰弹袋冲击性能、耐热冲击性能均通过国家强制玻璃标准，表面应力≥100Mpa,适应学校复杂环境，保障教学安全。</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17、整机上边框内置非独立摄像头，采用一体化集成设计，可拍摄≥1300万像素数的照片，可拍摄输出4K分辨率的视频，摄像头对角线视场角≥120度。</w:t>
            </w:r>
          </w:p>
          <w:p>
            <w:pPr>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★18、符合学校个性化需求，设备多个前置按键支持自定义设置，可设置启用批注、截屏、计时、降半屏、放大镜、倒数日、纸质护眼模式、课堂智能反馈等功能。</w:t>
            </w:r>
            <w:r>
              <w:rPr>
                <w:rFonts w:hint="eastAsia" w:ascii="宋体" w:hAnsi="宋体" w:eastAsia="宋体" w:cs="宋体"/>
                <w:b/>
                <w:bCs/>
                <w:color w:val="auto"/>
                <w:kern w:val="2"/>
                <w:sz w:val="21"/>
                <w:szCs w:val="21"/>
                <w:highlight w:val="none"/>
                <w:shd w:val="clear" w:color="auto" w:fill="auto"/>
                <w:lang w:val="en-US" w:eastAsia="zh-CN" w:bidi="ar-SA"/>
              </w:rPr>
              <w:t>（提供有资质的第三方检测机构出具的检测报告扫描件）</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19、整机内置中控菜单及侧边栏菜单，方便教师进行应用切换、信号源通道切换、教学工具调用、整机调节等操作。</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20、整机支持sRGB模式，在sRGB模式下可做到高色准△E≤1.0。</w:t>
            </w:r>
          </w:p>
          <w:p>
            <w:pPr>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21、整机系统支持人工智能画质调节模式，启用后当屏幕出现人物、建筑、夜景等元素时，自动调整画质参数；支持人工智能空间感知音效模式，通过内置麦克风采集环境声音自动生成符合当前环境的音量、音效。</w:t>
            </w:r>
            <w:r>
              <w:rPr>
                <w:rFonts w:hint="eastAsia" w:ascii="宋体" w:hAnsi="宋体" w:eastAsia="宋体" w:cs="宋体"/>
                <w:b/>
                <w:bCs/>
                <w:color w:val="auto"/>
                <w:kern w:val="2"/>
                <w:sz w:val="21"/>
                <w:szCs w:val="21"/>
                <w:highlight w:val="none"/>
                <w:shd w:val="clear" w:color="auto" w:fill="auto"/>
                <w:lang w:val="en-US" w:eastAsia="zh-CN" w:bidi="ar-SA"/>
              </w:rPr>
              <w:t>（提供有资质的第三方检测机构出具的检测报告扫描件）</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三、主要功能</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1、部署单根网线可实现Android、Windows双系统有线网络连通。</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2、整机可通过前置物理按键快捷进行系统还原，无需额外工具辅助。</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3、支持降半屏功能，降半屏后依然可以正常触控操作Windows系统；可一键退出该模式。</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4、支持外接信号输入时自动唤醒功能，整机处于关机通电状态，外接电脑显示信号通过HDMI传输线连接至整机时，整机可智能识别外接电脑设备信号输入并自动开机。</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★5、整机内置自习工具，通过整机麦克风监测教室中学生音量大小，当学生音量大于阈值时，屏幕自动弹窗提醒进行自习纪律干预。</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6、当整机处于黑暗环境中并无人操作，一分钟后整机将可以自动进入熄屏模式。</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7、支持将自定义图片设置为开机画面。</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8、整机具备供电保护模块，能够检测内置电脑是否插好在位，在内置电脑未在位的情况下，内置电脑无法上电工作。</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9、支持云端在线系统固件升级。</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四、触摸系统</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1、采用红外触控方式，支持Windows系统中进行40点或以上触控，支持在Android系统中进行40点或以上触控。</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2、从内部Android通道切换到内部PC通道后，触摸框在1s内达到可触控状态。从内部PC通道切换到外部通道后，触摸框在3s内达到可触控状态。</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3、触摸屏在照度100K LUX（勒克斯）环境下仍能正常工作。</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五，嵌入式系统</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 嵌入式系统版本不低于Android 14，主频≥1.8GHz，内存≥2GB，存储空间≥8GB。</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 无PC状态下，嵌入式Android操作系统下可使用白板书写、WPS软件和网页浏览。</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六、内置云电脑模块</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1、采用模块化电脑方案，抽拉内置式，OPS模块可完全插入整机，保护OPS模块不易受教室灰尘影响，OPS模块可抽拉式插入整机，可实现无单独接线的插拔。</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2、OPS和整机的连接采用万兆级接口，传输速率≥10Gbps。</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3、采用按压式卡扣，无需工具即可快速拆卸电脑模块。</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4、主板：集成资源扩展模块、计算处理模块、音频扩展模块等，主板的互联拓扑可通过处理器或交换电路实现。</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▲5、处理器：四核八线程或以上，主频2.0Ghz或以上。符合国家安全可靠测评要求。</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6、内存：16G DDR4笔记本内存或以上配置；</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7、硬盘：256G或以上SSD ；固态盘数量≥1；</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★8、在配置管理平台使用终端设备时，支持统一互通的用户身份认证服务，账号登录进入云桌面镜像后，打开教学白板软件、学生行为评价软件的教学应用工具时无需再次输入账号密码重复登录。</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★9、支持当使用桌面镜像功能时发生系统无法启动、系统异常等情况，可通过手势在屏幕上调取触摸中控菜单，进行系统恢复至出厂默认状态，无需连接网络、无需连接管理平台、无需额外工具辅助。</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10、支持交互大屏在系统恢复后，公共数据分区（如D盘等非系统分区）的数据能够得到保留，不受还原影响，从而不影响教学使用。</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11、支持诊断网络，支持检测与管理平台的通讯状态，支持TCP延迟、ICMP延迟、上传下载速度检测。</w:t>
            </w:r>
          </w:p>
          <w:p>
            <w:pPr>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★12、支持终端设备运行时无需运行独立的虚拟化系统，终端设备配置的IP与进入云桌面镜像后的IP能够保持一致，同一个终端无需使用多个IP，简化运维管理与网络规划复杂度。</w:t>
            </w:r>
            <w:r>
              <w:rPr>
                <w:rFonts w:hint="eastAsia" w:ascii="宋体" w:hAnsi="宋体" w:eastAsia="宋体" w:cs="宋体"/>
                <w:b/>
                <w:bCs/>
                <w:color w:val="auto"/>
                <w:kern w:val="2"/>
                <w:sz w:val="21"/>
                <w:szCs w:val="21"/>
                <w:highlight w:val="none"/>
                <w:shd w:val="clear" w:color="auto" w:fill="auto"/>
                <w:lang w:val="en-US" w:eastAsia="zh-CN" w:bidi="ar-SA"/>
              </w:rPr>
              <w:t>（提供有资质的第三方检测机构出具的检测报告扫描件）</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▲13、模块预装正版操作系统，包括且不限于统信、麒麟等。符合国家安全可靠测评要求。</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★14、配置独立显卡，显存≥1G 。</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七、系统工具</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书写工具：</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1、书写：提供硬笔、毛笔、荧光笔、智能笔、激光笔、竹笔、对象笔、纹理笔。</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2、板擦：支持点擦除、区域擦除及全部擦除（清页操作）,并可支持在选择笔工具状态下直接通过手势识别动作实现擦除。</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3、多点支持：支持同时对两个或以上的图片、音视频、图形对象进行多点缩放与旋转功能，支持三点以上同时书写操作。</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4、边写边擦：支持两到三个人在选择书写工具的状态下同时书写和擦除，互不影响，方便不同学生在屏幕上同时书写。</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5、文本输入：提供键盘输入文本，并可对文本内容统一编辑与排版。</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6、手写识别：支持手写中文与英文自动识别。</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7、手势操作：在书写状态下，支持多种手势的快捷操作，如选择对象、漫游、擦除等。</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8、页面无限漫游：支持页面书写区域无限延伸，提供页面缩略图导航，可快速定位书写区域，同时也支持对整个页面或局部进行放大和缩小。</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9、多学科模式支持：提供语文、数学、英语、物理、化学教学场景，在各学科教学场景中提供相应的教学工具。</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10、教学小工具：提供遮幕、日历、时钟、聚光灯、屏幕截图、放大镜、计算器、屏幕录制、板中板、实物展台等教学展示的辅助功能；屏幕截图提供全屏截图、矩形截图、任意区域截图。</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11、Office集成：提供PPT、Word、Excel文档的嵌入打开，演示、批注，及批注保存功能。</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★12、支持智能书写功能，书写文字自动识别为标准印刷体，支持图形识别功能，可将多种手绘图形转化为矩形、三角形、圆形等标准图形。。</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线上教学工具：</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1)软件支持微信扫码登录，无需输入帐号密码即可实现登录互动课堂。</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2)支持按键拨号形式，直接拨号呼叫连接动课堂连，实现远程教学。</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3)互动课堂视频界面支持至少两种画面设置，适应不同场景画面布局需求。</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4)线上教学应用提供不少于9个学科工具，支持语文、数学、英语等。</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5)支持用户在线打开云课件，无需下载，即可在线打开并展示课件及讲授。</w:t>
            </w:r>
          </w:p>
          <w:p>
            <w:p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6)互动课堂活动：支持互动课堂中可对本地班级、听课班级中表现好的班级发送点评奖励，每堂课可统计各班点评总分，并在课上一键展示最高得分的班级进行表扬。</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★7）支持用户无需通过平台，直接创建网络教研，即时生成教研二维码，扫码可进行查看教研简介、发送点评等。</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具有多系统兼容性。除适配Windows操作系统外，至少能与主流国产操作系统（鸿蒙、UOS、麒麟、深度）其中一个适配并正常安装运行。</w:t>
            </w:r>
            <w:r>
              <w:rPr>
                <w:rFonts w:hint="eastAsia" w:ascii="宋体" w:hAnsi="宋体" w:eastAsia="宋体" w:cs="宋体"/>
                <w:color w:val="auto"/>
                <w:kern w:val="2"/>
                <w:sz w:val="21"/>
                <w:szCs w:val="21"/>
                <w:highlight w:val="none"/>
                <w:shd w:val="clear" w:color="auto" w:fill="auto"/>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9）、具有互动式教学课件资源，包含学科教育各学段教材版本全部教学章节、专题教育多个主题教育、特殊教育3大分类的不少于150000份的互动课件，其中学科教育各学段各地区教材版本不少于140个。</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10）、课件定向分享：互动教学课件支持定向分享，分享者可将互动课件、课件组推送至指定接收方账号云空间，接收方可在云空间接收并打开分享课件。</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kern w:val="2"/>
                <w:sz w:val="21"/>
                <w:szCs w:val="21"/>
                <w:highlight w:val="none"/>
                <w:shd w:val="clear" w:color="auto" w:fill="auto"/>
                <w:lang w:val="en-US" w:eastAsia="zh-CN" w:bidi="ar-SA"/>
              </w:rPr>
              <w:t>11）、支持电子化听评课，支持在授课模式中发起授课评价，根据课程和评课表生成二维码，可选择是否分享课件，若选择分享课件，评课人通过扫码即可参与评课并获取课件。</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12）公网直播：老师可设置直播模式为公网直播，可自由发起公网直播活动，每场直播支持至少1000个点同时观看，不限直播次数。直播界面可查询目前所有已开课的直播课堂，课堂信息包括录播教室名称、直播课程内容、直播时间。教师可对自己的视频进行修改、删除和提交操作。</w:t>
            </w:r>
          </w:p>
          <w:p>
            <w:pPr>
              <w:ind w:left="0" w:leftChars="0" w:firstLine="0" w:firstLineChars="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集中控制工具：</w:t>
            </w:r>
          </w:p>
          <w:p>
            <w:pPr>
              <w:numPr>
                <w:ilvl w:val="0"/>
                <w:numId w:val="0"/>
              </w:numP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w:t>
            </w:r>
            <w:r>
              <w:rPr>
                <w:rFonts w:hint="eastAsia" w:ascii="宋体" w:hAnsi="宋体" w:eastAsia="宋体" w:cs="宋体"/>
                <w:color w:val="auto"/>
                <w:kern w:val="2"/>
                <w:sz w:val="21"/>
                <w:szCs w:val="21"/>
                <w:highlight w:val="none"/>
                <w:shd w:val="clear" w:color="auto" w:fill="auto"/>
                <w:lang w:val="en-US" w:eastAsia="zh-CN" w:bidi="ar-SA"/>
              </w:rPr>
              <w:t>后台控制端采用B/S架构设计，可在Windows、Linux、Android、IOS等多种不同的操作系统上通过网页浏览器登陆进行操作，可控制在局域网或互联网内的一体机终端设备。</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教室受控端：</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2．使用校园集控系统的每个学校/区域拥有专属代码，该学校/区域的一体机设备只需接入互联网，并在受控端输入该代码进行连接，管理员即可在后台对设备进行远程管理。</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3．可在一体机桌面查看设备基本信息，如：尺寸、分辨率、系统、CPU、安卓版本等信息，方便授课老师管理设备。</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4．支持按照一体机安装的年级、班级，设置教室受控端的名称，方便管理员对应管理。</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校园控制：</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5．远程监控：在控制端网页可实时监控已连接的一体机，可远程查看开关机状态、使用状态评估、整机温度、以及系统内存、硬盘空间等设备信息。</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6．远程设备控制：在控制端网页可对已连接的一体机进行实时控制，包括开关机、切换通道、更改图像及声音模式、锁屏等功能。</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7．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8．领导视窗：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9．任意通道信息发布：可远程对选定的一体机在任意通道下即时发布走马灯文字信息和屏幕常驻信息，可设置播放次数，选择播放位置。</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10．数据统计：控制端可根据设备使用情况，生成多个数据报表，包括开机次数、使用人数累计、活跃人数、软件使用次数、学科使用率等，方便管理员检查设备使用情况。</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11．管理员分组：系统可将管理权限分配给多个管理员，共同管理受控范围内设备；顶级管理员可查看普通管理员进行的操作，并可对普通管理员进行权限管理，根据不同管理员职责开放适当权限。</w:t>
            </w:r>
            <w:r>
              <w:rPr>
                <w:rFonts w:hint="eastAsia" w:ascii="宋体" w:hAnsi="宋体" w:eastAsia="宋体" w:cs="宋体"/>
                <w:color w:val="auto"/>
                <w:kern w:val="2"/>
                <w:sz w:val="21"/>
                <w:szCs w:val="21"/>
                <w:highlight w:val="none"/>
                <w:shd w:val="clear" w:color="auto" w:fill="auto"/>
                <w:lang w:val="en-US" w:eastAsia="zh-CN" w:bidi="ar-SA"/>
              </w:rPr>
              <w:br w:type="textWrapping"/>
            </w:r>
            <w:r>
              <w:rPr>
                <w:rFonts w:hint="eastAsia" w:ascii="宋体" w:hAnsi="宋体" w:eastAsia="宋体" w:cs="宋体"/>
                <w:color w:val="auto"/>
                <w:kern w:val="2"/>
                <w:sz w:val="21"/>
                <w:szCs w:val="21"/>
                <w:highlight w:val="none"/>
                <w:shd w:val="clear" w:color="auto" w:fill="auto"/>
                <w:lang w:val="en-US" w:eastAsia="zh-CN" w:bidi="ar-SA"/>
              </w:rPr>
              <w:t>12．分组管理：顶级管理员可按照年级、楼层等，将一体机控制、监控等权限分配给对应的普通管理员，进行分组管理。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shd w:val="clear" w:color="auto" w:fill="auto"/>
                <w:lang w:val="en-US" w:eastAsia="zh-CN" w:bidi="ar-SA"/>
              </w:rPr>
              <w:t>★</w:t>
            </w:r>
            <w:r>
              <w:rPr>
                <w:rFonts w:hint="eastAsia" w:ascii="宋体" w:hAnsi="宋体" w:eastAsia="宋体" w:cs="宋体"/>
                <w:color w:val="auto"/>
                <w:kern w:val="2"/>
                <w:sz w:val="21"/>
                <w:szCs w:val="21"/>
                <w:highlight w:val="none"/>
                <w:shd w:val="clear" w:color="auto" w:fill="auto"/>
                <w:lang w:val="en-US" w:eastAsia="zh-CN" w:bidi="ar-SA"/>
              </w:rPr>
              <w:t>13．为确保教育数据托付管理能力、存储能力及信息安全能力，所投产品制造商通过GB/T36073-2018《数据管理能力成熟度评估模型》认定。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绿板</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固定书写板部分：</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1、结构：书写绿板内外双层结构的内层，一块固定书写板与交互式一体机正面平齐。</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2、固定书写板基本尺寸约：≥1980mmx1200mmx1块</w:t>
            </w:r>
            <w:r>
              <w:rPr>
                <w:rFonts w:hint="eastAsia" w:ascii="宋体" w:hAnsi="宋体" w:eastAsia="宋体" w:cs="宋体"/>
                <w:color w:val="auto"/>
                <w:sz w:val="21"/>
                <w:szCs w:val="21"/>
                <w:highlight w:val="none"/>
                <w:lang w:val="en-US" w:eastAsia="zh-CN"/>
              </w:rPr>
              <w:t>（可根据学校具体要求适当调整）</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书写板面材质：采用韩国技术烤漆板，亚光；无裂纹、无流痕、无气泡等缺陷、细腻平整、书写流畅、字迹清晰、擦后无残留、耐磨损、耐腐蚀、色调柔和、时尚美观，学生任意角度都能正常观看，可视效果佳无反光，有效地保护师生的视力健康。</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4、书写板内芯材料：防潮、吸音、高强度聚苯乙烯泡沫板（泡沫板适应长期潮湿环境）或机制板厚度≥14mm。</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5、背板：采用优质防锈热镀锌钢板，流水线一次成型，设有加强凹槽，造型美观、耐用。</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6、边框材料：整体采用白色铝合金；横立框采用双层加强结构，包角材料采用抗老化高强度ABS工程塑料。</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滑动书写板部分：</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1、结构：书写绿板内外双层结构的外层，一块外挂式滑动书写板。</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2、滑动书写板基本尺寸：1980mmx1200mmx1块（根据一体机尺寸可调整）；单边滑动。</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3、书写板面：书写面：南韩浦项烤漆板技术，优质烤漆板面，墨绿色、亚光。</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4、内芯材料：防潮、吸音、高强度聚苯乙烯泡沫板（泡沫板适应长期潮湿环境）或机制板厚度≥14mm。</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5、背板：采用优质防锈热镀锌钢板，流水线一次成型，设有加强凹槽，造型美观、耐用。</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6、书写板轨道及滑轮：采用一体化平移轨道，推拉板有4组滑轮，上轨道两组滑轮每组3个轮子滑动，下轨道两组滑轮每组3个轮子滑动。</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7、滑动绿板要有笔槽及及塑料一次成型拉手拉手方便老师移动；</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液晶触摸一体机安装部分及附件：</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1安装尺寸：要满足互式触摸一体机或电子白板的安装要求，尺寸根据实际情况调整。</w:t>
            </w:r>
          </w:p>
          <w:p>
            <w:pPr>
              <w:keepNext w:val="0"/>
              <w:keepLines w:val="0"/>
              <w:pageBreakBefore w:val="0"/>
              <w:widowControl w:val="0"/>
              <w:numPr>
                <w:ilvl w:val="0"/>
                <w:numId w:val="7"/>
              </w:numPr>
              <w:kinsoku/>
              <w:wordWrap/>
              <w:overflowPunct/>
              <w:topLinePunct w:val="0"/>
              <w:autoSpaceDE/>
              <w:autoSpaceDN/>
              <w:bidi w:val="0"/>
              <w:adjustRightInd/>
              <w:snapToGrid/>
              <w:spacing w:line="18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推拉板复位时要能完全遮盖住触摸一体机。</w:t>
            </w:r>
          </w:p>
          <w:p>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3、可根据用户需求进行调整。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红外教学音响</w:t>
            </w:r>
          </w:p>
        </w:tc>
        <w:tc>
          <w:tcPr>
            <w:tcW w:w="73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套装包含：紧凑型红外教学音箱1台、多功能红外线话筒1支</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紧凑型红外教学音箱参数：</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1.集成：数字功放，红外无线接收模块，反馈抑制模块，DSP数字音频处理模块，扬声器于一体。</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 采用红外光线进行音频传输，可在室外阳光环境下工作，不串频，无干扰。</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 频道组数≥3通道，支持两支红外无线话筒（具备红外技术PPT翻页功能）和一支红外翻页笔同时使用。</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 内嵌超广角多阵列式红外线接收管≥23颗。</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 内嵌2个4"扬声器。</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 接口：红外传输扩展口RJ45网口1个；线路输入接口1个；USB数字声卡接口1个；混音输出接口1个；话筒独立输出1个。</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7. 支持RS232中控，实现每路音量调节，高低音调节，参数储存/恢复，电源开关的中控控制。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 前面板配置中文液晶屏，及时反馈设备状态。</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9. 功放频率响应：50Hz~20KHz ±3dB</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10 功放额定输出功率:2x40W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11. 失真：≤0.05%</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12. 信噪比≥78dB(MIC),  ≥80dB(LINE),  ≥98dB(IR MIC)（A计权）</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13. 标配挂墙支架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多功能红外话筒参数：</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 无线传输制式：红外线(波长850nm)，高灵敏度红外线发射管≥6颗，分布在前后左右四面，不易遮挡。</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 拾音传感器：电容式驻极体音头ECM。</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 有效传输距离：与配套主机实现26米（室内直线无遮挡）稳定传输。</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 通道调节：双通道设计，可自主调节红外通道。</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 功率调节：可自主设定高低两档发射功率。</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 电池：内置1300mAh锂电池，工作时间≥8小时。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7.充电方式：支持磁吸座充和磁吸线充。即话筒尾部安装环形充电磁铁，正反方向都能充电。</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 话筒具备PPT翻页功能。</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9. 话筒具备绿色激光教鞭功能。</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10. 话筒静置1秒后自动断开红外发射和声音采集，拿取时自动打开红外发射并正常工作。</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11.可手持可颈挂，标配可轻松调节高度的硅胶挂绳。</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12.通过4颗双色指示灯反馈设备电量、音量及使用状态。</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13. 外部音源接入：能支持外部音源输入，可连接手机等移动设备。</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14. 兼容性：兼容同品牌红外线全系列接收设备。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讲台</w:t>
            </w:r>
          </w:p>
        </w:tc>
        <w:tc>
          <w:tcPr>
            <w:tcW w:w="7320" w:type="dxa"/>
            <w:noWrap w:val="0"/>
            <w:vAlign w:val="top"/>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结构、材质和工艺：</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尺寸： 1150mm（长）*700mm(宽)*1004（高）</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桌面边、角采用平滑圆弧过渡、去毛刺，表面采用整体酸洗磷化及静电喷塑处理；讲台具备防盗、防火、防尘、散热强等功能。</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钢木结合工艺，上下拆分式结构设计，整体外观造型呈“T字型”，采用1.0－1.2mm优质冷轧钢板制作；扶手为实木，桌面采用18mm厚耐刮木面板，桌面及挡物周围均为木质材料。</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适用于19.5--23.8寸液晶显示器、显示器采用翻转式设计，显示器翻开后可自由调节角度，老师即可得到最佳的视觉效果，显示器关闭后，桌面呈同一水平面。键盘采用抽拉式结构，方便操作，键盘右侧设有储物抽屉；讲台下体左侧采用半封闭设计，方便老师坐着操作可放脚。</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讲台采用一锁通用，方便设备的操作及维护，讲台采用隐蔽式消声紧密钢珠滑轨、确保能负载足够的</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承重，桌面边、角采用平滑圆弧过度、去毛刺防止学生碰撞，表面采用整体磷化及静电喷塑处理、符合国家环保要求。</w:t>
            </w:r>
          </w:p>
          <w:p>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关闭时所有设备不外露，必须借助钥匙才能进行操作，安全性更高。</w:t>
            </w:r>
          </w:p>
          <w:p>
            <w:pPr>
              <w:snapToGrid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7、可根据用户需求调整。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显示器</w:t>
            </w:r>
          </w:p>
        </w:tc>
        <w:tc>
          <w:tcPr>
            <w:tcW w:w="7320" w:type="dxa"/>
            <w:noWrap w:val="0"/>
            <w:vAlign w:val="top"/>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屏幕尺寸:21.5英寸</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屏算刷新率:75Hz</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接口:HDMI，VGA，音频/耳机输出</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毛重:4.17kg</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对比度:3000:1</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分辨率:1920*1080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无线键盘鼠标</w:t>
            </w:r>
          </w:p>
        </w:tc>
        <w:tc>
          <w:tcPr>
            <w:tcW w:w="7320" w:type="dxa"/>
            <w:noWrap w:val="0"/>
            <w:vAlign w:val="center"/>
          </w:tcPr>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无线键盘鼠标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3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136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安装施工</w:t>
            </w:r>
          </w:p>
        </w:tc>
        <w:tc>
          <w:tcPr>
            <w:tcW w:w="7320" w:type="dxa"/>
            <w:noWrap w:val="0"/>
            <w:vAlign w:val="center"/>
          </w:tcPr>
          <w:p>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新旧设备的拆除搬运和安装，以及所需要的线材辅料。</w:t>
            </w:r>
          </w:p>
        </w:tc>
      </w:tr>
      <w:bookmarkEnd w:id="2"/>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color w:val="auto"/>
          <w:highlight w:val="none"/>
          <w:lang w:val="en-US" w:eastAsia="zh-CN"/>
        </w:rPr>
      </w:pPr>
      <w:r>
        <w:rPr>
          <w:rFonts w:hint="eastAsia" w:ascii="宋体" w:hAnsi="宋体"/>
          <w:b/>
          <w:bCs/>
          <w:color w:val="auto"/>
          <w:highlight w:val="none"/>
          <w:lang w:val="en-US" w:eastAsia="zh-CN"/>
        </w:rPr>
        <w:t>注：如果投标时要求提供检测报告、截图证明或承诺函的，请各供应商在投标文件中注明检测报告、截图证明或承诺函所在页码，以方便评审时查阅。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b/>
          <w:bCs/>
          <w:color w:val="auto"/>
          <w:highlight w:val="none"/>
          <w:lang w:val="en-US" w:eastAsia="zh-CN"/>
        </w:rPr>
      </w:pPr>
      <w:r>
        <w:rPr>
          <w:rFonts w:hint="eastAsia" w:ascii="宋体" w:hAnsi="宋体"/>
          <w:b/>
          <w:bCs/>
          <w:color w:val="auto"/>
          <w:highlight w:val="none"/>
          <w:lang w:val="en-US" w:eastAsia="zh-CN"/>
        </w:rPr>
        <w:t>三</w:t>
      </w:r>
      <w:r>
        <w:rPr>
          <w:rFonts w:hint="eastAsia" w:ascii="宋体" w:hAnsi="宋体"/>
          <w:b/>
          <w:bCs/>
          <w:color w:val="auto"/>
          <w:highlight w:val="none"/>
        </w:rPr>
        <w:t>、</w:t>
      </w:r>
      <w:r>
        <w:rPr>
          <w:rFonts w:hint="eastAsia" w:ascii="宋体" w:hAnsi="宋体"/>
          <w:b/>
          <w:bCs/>
          <w:color w:val="auto"/>
          <w:highlight w:val="none"/>
          <w:lang w:val="en-US" w:eastAsia="zh-CN"/>
        </w:rPr>
        <w:t>节能产品采购要求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本次采购的</w:t>
      </w:r>
      <w:r>
        <w:rPr>
          <w:rFonts w:hint="eastAsia" w:ascii="宋体" w:hAnsi="宋体"/>
          <w:b/>
          <w:bCs/>
          <w:color w:val="auto"/>
          <w:highlight w:val="none"/>
          <w:lang w:val="en-US" w:eastAsia="zh-CN"/>
        </w:rPr>
        <w:t>电视机</w:t>
      </w:r>
      <w:r>
        <w:rPr>
          <w:rFonts w:hint="eastAsia" w:ascii="宋体" w:hAnsi="宋体"/>
          <w:b w:val="0"/>
          <w:bCs w:val="0"/>
          <w:color w:val="auto"/>
          <w:highlight w:val="none"/>
        </w:rPr>
        <w:t>为节能产品政府采购品目清单中标注"★"的产品，属于政府强制采购产品。</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投标人须在投标文件中提供投标产品</w:t>
      </w:r>
      <w:r>
        <w:rPr>
          <w:rFonts w:hint="eastAsia" w:ascii="宋体" w:hAnsi="宋体" w:eastAsia="宋体" w:cs="宋体"/>
          <w:color w:val="auto"/>
          <w:sz w:val="21"/>
          <w:szCs w:val="21"/>
          <w:highlight w:val="none"/>
        </w:rPr>
        <w:t>有效的</w:t>
      </w:r>
      <w:r>
        <w:rPr>
          <w:rFonts w:hint="default" w:ascii="宋体" w:hAnsi="宋体" w:eastAsia="宋体" w:cs="宋体"/>
          <w:color w:val="auto"/>
          <w:sz w:val="21"/>
          <w:szCs w:val="21"/>
          <w:highlight w:val="none"/>
          <w:lang w:val="en-US" w:eastAsia="zh-CN"/>
        </w:rPr>
        <w:t>节能产品认证证书彩色扫描件</w:t>
      </w:r>
      <w:r>
        <w:rPr>
          <w:rFonts w:hint="eastAsia" w:ascii="宋体" w:hAnsi="宋体"/>
          <w:b w:val="0"/>
          <w:bCs w:val="0"/>
          <w:color w:val="auto"/>
          <w:highlight w:val="none"/>
        </w:rPr>
        <w:t xml:space="preserve"> 或者 提供投标产品在中国政府采购网（www.ccgp.gov.cn）节能产品查询结果的网页截图的证明材料，施行强制采购的产品如无证明材料，投标无效。</w:t>
      </w:r>
    </w:p>
    <w:p>
      <w:pPr>
        <w:spacing w:line="360" w:lineRule="auto"/>
        <w:rPr>
          <w:rFonts w:hint="eastAsia" w:ascii="宋体" w:hAnsi="宋体"/>
          <w:color w:val="auto"/>
          <w:highlight w:val="none"/>
        </w:rPr>
      </w:pPr>
      <w:r>
        <w:rPr>
          <w:rFonts w:hint="eastAsia" w:ascii="宋体" w:hAnsi="宋体"/>
          <w:color w:val="auto"/>
          <w:highlight w:val="none"/>
        </w:rPr>
        <w:t>节能产品政府采购品目清单查询网址：中国政府采购网</w:t>
      </w:r>
      <w:r>
        <w:rPr>
          <w:rFonts w:hint="eastAsia" w:ascii="宋体" w:hAnsi="宋体"/>
          <w:color w:val="auto"/>
          <w:highlight w:val="none"/>
          <w:lang w:eastAsia="zh-CN"/>
        </w:rPr>
        <w:t>（</w:t>
      </w:r>
      <w:r>
        <w:rPr>
          <w:rFonts w:hint="eastAsia" w:ascii="宋体" w:hAnsi="宋体"/>
          <w:color w:val="auto"/>
          <w:highlight w:val="none"/>
        </w:rPr>
        <w:t>www.ccgp.gov.cn</w:t>
      </w:r>
      <w:r>
        <w:rPr>
          <w:rFonts w:hint="eastAsia" w:ascii="宋体" w:hAnsi="宋体"/>
          <w:color w:val="auto"/>
          <w:highlight w:val="none"/>
          <w:lang w:eastAsia="zh-CN"/>
        </w:rPr>
        <w:t>）</w:t>
      </w:r>
      <w:r>
        <w:rPr>
          <w:rFonts w:hint="eastAsia" w:ascii="宋体" w:hAnsi="宋体"/>
          <w:color w:val="auto"/>
          <w:highlight w:val="none"/>
        </w:rPr>
        <w:t>。</w:t>
      </w:r>
    </w:p>
    <w:p>
      <w:pPr>
        <w:spacing w:line="360" w:lineRule="auto"/>
        <w:rPr>
          <w:rFonts w:hint="eastAsia" w:ascii="宋体" w:hAnsi="宋体"/>
          <w:b/>
          <w:bCs/>
          <w:color w:val="auto"/>
          <w:highlight w:val="none"/>
          <w:lang w:val="en-US" w:eastAsia="zh-CN"/>
        </w:rPr>
      </w:pPr>
    </w:p>
    <w:p>
      <w:pPr>
        <w:spacing w:line="360" w:lineRule="auto"/>
        <w:rPr>
          <w:rFonts w:hint="eastAsia" w:ascii="宋体" w:hAnsi="宋体"/>
          <w:b/>
          <w:bCs/>
          <w:color w:val="auto"/>
          <w:highlight w:val="none"/>
          <w:lang w:val="en-US" w:eastAsia="zh-CN"/>
        </w:rPr>
      </w:pPr>
      <w:r>
        <w:rPr>
          <w:rFonts w:hint="eastAsia" w:ascii="宋体" w:hAnsi="宋体"/>
          <w:b/>
          <w:bCs/>
          <w:color w:val="auto"/>
          <w:highlight w:val="none"/>
          <w:lang w:val="en-US" w:eastAsia="zh-CN"/>
        </w:rPr>
        <w:t>四、其他事项</w:t>
      </w:r>
    </w:p>
    <w:p>
      <w:pPr>
        <w:spacing w:line="360" w:lineRule="auto"/>
        <w:rPr>
          <w:rFonts w:hint="eastAsia" w:ascii="宋体" w:hAnsi="宋体"/>
          <w:color w:val="auto"/>
          <w:highlight w:val="none"/>
        </w:rPr>
      </w:pPr>
      <w:r>
        <w:rPr>
          <w:rFonts w:hint="eastAsia" w:ascii="宋体" w:hAnsi="宋体"/>
          <w:color w:val="auto"/>
          <w:highlight w:val="none"/>
        </w:rPr>
        <w:t>（一）关于报价</w:t>
      </w:r>
    </w:p>
    <w:p>
      <w:pPr>
        <w:spacing w:line="360" w:lineRule="auto"/>
        <w:rPr>
          <w:rFonts w:hint="eastAsia" w:ascii="宋体" w:hAnsi="宋体"/>
          <w:color w:val="auto"/>
          <w:highlight w:val="none"/>
        </w:rPr>
      </w:pPr>
      <w:r>
        <w:rPr>
          <w:rFonts w:hint="eastAsia" w:ascii="宋体" w:hAnsi="宋体"/>
          <w:color w:val="auto"/>
          <w:highlight w:val="none"/>
        </w:rPr>
        <w:t>本项目投标报价为完成招标文件所规定招标内容的一次性包干总报价，包含系统深化设计、设备和材料采购、运输及装卸、工程安装施工、系统集成、调试及试运行、备品备件费（随机备品备件已含于本合同价内）、产品保护、竣工验收、技术培训、保修期内的售后服务、利润、税金等内容。</w:t>
      </w:r>
    </w:p>
    <w:p>
      <w:pPr>
        <w:spacing w:line="360" w:lineRule="auto"/>
        <w:rPr>
          <w:rFonts w:hint="eastAsia" w:ascii="宋体" w:hAnsi="宋体"/>
          <w:color w:val="auto"/>
          <w:highlight w:val="none"/>
        </w:rPr>
      </w:pPr>
      <w:r>
        <w:rPr>
          <w:rFonts w:hint="eastAsia" w:ascii="宋体" w:hAnsi="宋体"/>
          <w:color w:val="auto"/>
          <w:highlight w:val="none"/>
        </w:rPr>
        <w:t>（二）关于验收</w:t>
      </w:r>
    </w:p>
    <w:p>
      <w:pPr>
        <w:spacing w:line="360" w:lineRule="auto"/>
        <w:rPr>
          <w:rFonts w:hint="eastAsia" w:ascii="宋体" w:hAnsi="宋体"/>
          <w:color w:val="auto"/>
          <w:highlight w:val="none"/>
        </w:rPr>
      </w:pPr>
      <w:r>
        <w:rPr>
          <w:rFonts w:hint="eastAsia" w:ascii="宋体" w:hAnsi="宋体"/>
          <w:color w:val="auto"/>
          <w:highlight w:val="none"/>
        </w:rPr>
        <w:t>项目安装、调试完成，经初验合格，进入试运行，试运行时间为</w:t>
      </w:r>
      <w:r>
        <w:rPr>
          <w:rFonts w:hint="eastAsia" w:ascii="宋体" w:hAnsi="宋体"/>
          <w:color w:val="auto"/>
          <w:highlight w:val="none"/>
          <w:lang w:val="en-US" w:eastAsia="zh-CN"/>
        </w:rPr>
        <w:t>一</w:t>
      </w:r>
      <w:r>
        <w:rPr>
          <w:rFonts w:hint="eastAsia" w:ascii="宋体" w:hAnsi="宋体"/>
          <w:color w:val="auto"/>
          <w:highlight w:val="none"/>
        </w:rPr>
        <w:t>个月</w:t>
      </w:r>
      <w:r>
        <w:rPr>
          <w:rFonts w:hint="eastAsia" w:ascii="宋体" w:hAnsi="宋体"/>
          <w:color w:val="auto"/>
          <w:highlight w:val="none"/>
        </w:rPr>
        <w:t>，试运行期满后，</w:t>
      </w:r>
      <w:r>
        <w:rPr>
          <w:rFonts w:hint="eastAsia" w:ascii="宋体" w:hAnsi="宋体"/>
          <w:color w:val="auto"/>
          <w:highlight w:val="none"/>
        </w:rPr>
        <w:t>由采购人进行统一验收。系统验收合格的条件必须至少满足以下要求：已提供了合同要求的全部设备和资料；性能测试和试运行验收时出现的问题已被解决；系统运行稳定可靠，无故障发生。</w:t>
      </w:r>
    </w:p>
    <w:p>
      <w:pPr>
        <w:spacing w:line="360" w:lineRule="auto"/>
        <w:rPr>
          <w:rFonts w:hint="eastAsia" w:ascii="宋体" w:hAnsi="宋体"/>
          <w:color w:val="auto"/>
          <w:highlight w:val="none"/>
        </w:rPr>
      </w:pPr>
      <w:r>
        <w:rPr>
          <w:rFonts w:hint="eastAsia" w:ascii="宋体" w:hAnsi="宋体"/>
          <w:color w:val="auto"/>
          <w:highlight w:val="none"/>
        </w:rPr>
        <w:t>验收过程中，采购人</w:t>
      </w:r>
      <w:r>
        <w:rPr>
          <w:rFonts w:hint="eastAsia" w:ascii="宋体" w:hAnsi="宋体"/>
          <w:color w:val="auto"/>
          <w:highlight w:val="none"/>
          <w:lang w:val="en-US" w:eastAsia="zh-CN"/>
        </w:rPr>
        <w:t>有权</w:t>
      </w:r>
      <w:r>
        <w:rPr>
          <w:rFonts w:hint="eastAsia" w:ascii="宋体" w:hAnsi="宋体"/>
          <w:color w:val="auto"/>
          <w:highlight w:val="none"/>
        </w:rPr>
        <w:t>对项目内的产品及设备对照招标参数要求及投标文件设备技术响应参数进行检测。由双方共同认可的有资质的第三方检测机构</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或政府采购监管部门指定的</w:t>
      </w:r>
      <w:r>
        <w:rPr>
          <w:rFonts w:hint="eastAsia" w:ascii="宋体" w:hAnsi="宋体"/>
          <w:b w:val="0"/>
          <w:bCs w:val="0"/>
          <w:color w:val="auto"/>
          <w:highlight w:val="none"/>
        </w:rPr>
        <w:t>检测机构</w:t>
      </w:r>
      <w:r>
        <w:rPr>
          <w:rFonts w:hint="eastAsia" w:ascii="宋体" w:hAnsi="宋体"/>
          <w:b w:val="0"/>
          <w:bCs w:val="0"/>
          <w:color w:val="auto"/>
          <w:highlight w:val="none"/>
          <w:lang w:eastAsia="zh-CN"/>
        </w:rPr>
        <w:t>）</w:t>
      </w:r>
      <w:r>
        <w:rPr>
          <w:rFonts w:hint="eastAsia" w:ascii="宋体" w:hAnsi="宋体"/>
          <w:color w:val="auto"/>
          <w:highlight w:val="none"/>
        </w:rPr>
        <w:t>进行检测，检测合格的，检测费用由采购人支付。如检测结果不符合国家相关标准或投标文件中的技术性能承诺的，检测费用由供应商支付，</w:t>
      </w:r>
      <w:r>
        <w:rPr>
          <w:rFonts w:hint="eastAsia" w:ascii="宋体" w:hAnsi="宋体"/>
          <w:b w:val="0"/>
          <w:bCs w:val="0"/>
          <w:color w:val="auto"/>
          <w:highlight w:val="none"/>
        </w:rPr>
        <w:t>按本招标文件第</w:t>
      </w:r>
      <w:r>
        <w:rPr>
          <w:rFonts w:hint="eastAsia" w:ascii="宋体" w:hAnsi="宋体"/>
          <w:b w:val="0"/>
          <w:bCs w:val="0"/>
          <w:color w:val="auto"/>
          <w:highlight w:val="none"/>
          <w:lang w:val="en-US" w:eastAsia="zh-CN"/>
        </w:rPr>
        <w:t>五</w:t>
      </w:r>
      <w:r>
        <w:rPr>
          <w:rFonts w:hint="eastAsia" w:ascii="宋体" w:hAnsi="宋体"/>
          <w:b w:val="0"/>
          <w:bCs w:val="0"/>
          <w:color w:val="auto"/>
          <w:highlight w:val="none"/>
        </w:rPr>
        <w:t>部分</w:t>
      </w:r>
      <w:r>
        <w:rPr>
          <w:rFonts w:hint="eastAsia" w:ascii="宋体" w:hAnsi="宋体"/>
          <w:b w:val="0"/>
          <w:bCs w:val="0"/>
          <w:color w:val="auto"/>
          <w:highlight w:val="none"/>
          <w:lang w:val="en-US" w:eastAsia="zh-CN"/>
        </w:rPr>
        <w:t>采购合同</w:t>
      </w:r>
      <w:r>
        <w:rPr>
          <w:rFonts w:hint="eastAsia" w:ascii="宋体" w:hAnsi="宋体"/>
          <w:color w:val="auto"/>
          <w:highlight w:val="none"/>
        </w:rPr>
        <w:t>的相关条款处理，另外采购人将报政府采购监管部门进行处理。</w:t>
      </w:r>
    </w:p>
    <w:p>
      <w:pPr>
        <w:spacing w:line="360" w:lineRule="auto"/>
        <w:rPr>
          <w:rFonts w:hint="eastAsia" w:ascii="宋体" w:hAnsi="宋体"/>
          <w:color w:val="auto"/>
          <w:highlight w:val="none"/>
        </w:rPr>
      </w:pPr>
    </w:p>
    <w:p>
      <w:pPr>
        <w:spacing w:line="360" w:lineRule="auto"/>
        <w:rPr>
          <w:rFonts w:hint="eastAsia" w:ascii="宋体" w:hAnsi="宋体"/>
          <w:b/>
          <w:bCs/>
          <w:color w:val="auto"/>
          <w:highlight w:val="none"/>
          <w:lang w:val="en-US" w:eastAsia="zh-CN"/>
        </w:rPr>
      </w:pPr>
      <w:r>
        <w:rPr>
          <w:rFonts w:hint="eastAsia" w:ascii="宋体" w:hAnsi="宋体"/>
          <w:b/>
          <w:bCs/>
          <w:color w:val="auto"/>
          <w:highlight w:val="none"/>
          <w:lang w:val="en-US" w:eastAsia="zh-CN"/>
        </w:rPr>
        <w:t>五、特别说明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1、采购需求中，带“▲”（如有）的为实质性条款，不得出现负偏离，否则做无效标处理。技术指标中带“★”（如有）为重要指标，</w:t>
      </w:r>
      <w:r>
        <w:rPr>
          <w:rFonts w:hint="eastAsia" w:ascii="宋体" w:hAnsi="宋体"/>
          <w:b w:val="0"/>
          <w:bCs w:val="0"/>
          <w:color w:val="auto"/>
          <w:highlight w:val="none"/>
        </w:rPr>
        <w:t>不满足将按评标办法进行扣分。</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2、采购需求中的品牌、型号（如有）仅供投标人参考，没有任何限制性，投标人可选择同等或更优档次的产品，但必须满足相应（实质性）技术要求、规格及安装条件。</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3、投标人应自行组织现场踏勘（如有需要），自行确定货物的安装方法和安装费用，并将安装费用列入报价，安装费用中标后不予调整。</w:t>
      </w:r>
    </w:p>
    <w:p>
      <w:pPr>
        <w:spacing w:line="360" w:lineRule="auto"/>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4、采购需求中，产品示例所列的品牌型号，都是完全满足技术参数要求的，如投标供应商提供的投标产品是采购人示例产品所列品牌型号的，视为满足采购技术要求，不存在技术偏离。投标前，如发现采购人提供的示例产品品牌型号，不能完全满足技术参数要求的，应及时向采购人或采购代理机构提出。</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 xml:space="preserve">部分  </w:t>
      </w:r>
      <w:r>
        <w:rPr>
          <w:rFonts w:hint="eastAsia" w:ascii="宋体" w:hAnsi="宋体" w:eastAsia="宋体" w:cs="宋体"/>
          <w:b/>
          <w:bCs/>
          <w:color w:val="auto"/>
          <w:sz w:val="36"/>
          <w:szCs w:val="36"/>
          <w:highlight w:val="none"/>
          <w:lang w:val="en-US" w:eastAsia="zh-CN"/>
        </w:rPr>
        <w:t>采购</w:t>
      </w:r>
      <w:r>
        <w:rPr>
          <w:rFonts w:hint="eastAsia" w:ascii="宋体" w:hAnsi="宋体" w:eastAsia="宋体" w:cs="宋体"/>
          <w:b/>
          <w:bCs/>
          <w:color w:val="auto"/>
          <w:sz w:val="36"/>
          <w:szCs w:val="36"/>
          <w:highlight w:val="none"/>
        </w:rPr>
        <w:t>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pStyle w:val="3"/>
        <w:pageBreakBefore w:val="0"/>
        <w:kinsoku/>
        <w:wordWrap/>
        <w:overflowPunct/>
        <w:topLinePunct w:val="0"/>
        <w:bidi w:val="0"/>
        <w:snapToGrid/>
        <w:spacing w:after="0" w:line="360" w:lineRule="auto"/>
        <w:jc w:val="center"/>
        <w:textAlignment w:val="auto"/>
        <w:rPr>
          <w:rFonts w:hint="eastAsia" w:ascii="宋体" w:hAnsi="宋体" w:eastAsia="宋体" w:cs="宋体"/>
          <w:b/>
          <w:bCs/>
          <w:color w:val="auto"/>
          <w:spacing w:val="-20"/>
          <w:kern w:val="44"/>
          <w:sz w:val="48"/>
          <w:szCs w:val="48"/>
          <w:highlight w:val="none"/>
        </w:rPr>
      </w:pPr>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（购买现成货物）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w:t>
      </w:r>
      <w:r>
        <w:rPr>
          <w:rFonts w:hint="eastAsia" w:ascii="宋体" w:hAnsi="宋体" w:eastAsia="宋体" w:cs="宋体"/>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第一节 政府采购合同协议书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甲方（全称）：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乙方（全称）：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依据《中华人民共和国民法典》、《中华人民共和国政府采购法》等有关的法律法规，以及本采购项目的</w:t>
      </w:r>
      <w:r>
        <w:rPr>
          <w:rFonts w:hint="eastAsia" w:ascii="宋体" w:hAnsi="宋体" w:eastAsia="宋体" w:cs="宋体"/>
          <w:color w:val="auto"/>
          <w:highlight w:val="none"/>
          <w:lang w:eastAsia="zh-CN"/>
        </w:rPr>
        <w:t>招标/谈判文件</w:t>
      </w:r>
      <w:r>
        <w:rPr>
          <w:rFonts w:hint="eastAsia" w:ascii="宋体" w:hAnsi="宋体" w:eastAsia="宋体" w:cs="宋体"/>
          <w:color w:val="auto"/>
          <w:highlight w:val="none"/>
          <w:lang w:eastAsia="zh-CN"/>
        </w:rPr>
        <w:t>等采购文件、乙方的《投标（响应）文件》及《中标（成交）通知书》，甲乙双方同意签订本合同。具体情况及要求如下：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1、项目信息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（1）采购项目名称：</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采购项目编号：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（2）采购计划编号：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（3）项目内容：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采购标的及数量（台/套/个/架/组等）：</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none"/>
          <w:lang w:eastAsia="zh-CN"/>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lang w:eastAsia="zh-CN"/>
        </w:rPr>
        <w:t>规格型号：</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eastAsia="zh-CN"/>
        </w:rPr>
        <w:t>采购标的的技术要求、商务要求具体见附件。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eastAsia="zh-CN"/>
        </w:rPr>
        <w:t>涉及信息类产品，</w:t>
      </w:r>
      <w:r>
        <w:rPr>
          <w:rFonts w:hint="eastAsia" w:ascii="宋体" w:hAnsi="宋体" w:eastAsia="宋体" w:cs="宋体"/>
          <w:color w:val="auto"/>
          <w:highlight w:val="none"/>
          <w:lang w:val="en-US" w:eastAsia="zh-CN"/>
        </w:rPr>
        <w:t>该</w:t>
      </w:r>
      <w:r>
        <w:rPr>
          <w:rFonts w:hint="eastAsia" w:ascii="宋体" w:hAnsi="宋体" w:eastAsia="宋体" w:cs="宋体"/>
          <w:color w:val="auto"/>
          <w:highlight w:val="none"/>
          <w:lang w:eastAsia="zh-CN"/>
        </w:rPr>
        <w:t>产品关键部件的品牌、型号：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eastAsia="zh-CN"/>
        </w:rPr>
        <w:t>标的名称：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eastAsia="zh-CN"/>
        </w:rPr>
        <w:t>关键部件：</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型号：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eastAsia="zh-CN"/>
        </w:rPr>
        <w:t>关键部件：</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型号：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eastAsia="zh-CN"/>
        </w:rPr>
        <w:t>关键部件：</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型号：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（注：关键部件是指财政部会同有关部门发布的政府采购需求标准规定的需要通过国家有关部门指定的测评机构开展的安全可靠测评的软硬件，如CPU芯片、操作系统、数据库等。）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（4）政府采购组织形式：</w:t>
      </w:r>
      <w:r>
        <w:rPr>
          <w:rFonts w:hint="eastAsia" w:ascii="宋体" w:hAnsi="宋体" w:eastAsia="宋体" w:cs="宋体"/>
          <w:color w:val="auto"/>
          <w:highlight w:val="none"/>
          <w:lang w:eastAsia="zh-CN"/>
        </w:rPr>
        <w:t>政府集中采购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（5）政府采购方式：</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公开招标</w:t>
      </w:r>
      <w:r>
        <w:rPr>
          <w:rFonts w:hint="eastAsia" w:ascii="宋体" w:hAnsi="宋体" w:cs="宋体"/>
          <w:color w:val="auto"/>
          <w:highlight w:val="none"/>
          <w:lang w:val="en-US"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lang w:val="en-US" w:eastAsia="zh-CN"/>
        </w:rPr>
        <w:t xml:space="preserve">竞争性磋商    </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lang w:val="en-US" w:eastAsia="zh-CN"/>
        </w:rPr>
        <w:t xml:space="preserve">询价    </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lang w:val="en-US" w:eastAsia="zh-CN"/>
        </w:rPr>
        <w:t>单一来源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（6）中标（成交）采购标的制造商是否为中小企业：</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本合同是否为专门面向中小企业的采购合同（中小企业预留合同）：</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若本项目不专门面向中小企业采购，是否给予小微企业评审优惠：</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中标（成交）采购标的制造商是否为残疾人福利性单位：</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中标（成交）采购标的制造商是否为监狱企业：</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（7）合同是否分包：</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分包主要内容：</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分包供应商/制造商名称（如供应商和制造商不同，请分别填写）：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分包供应商/制造商类型（如果供应商和制造商不同，只填写制造商类型）：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大型企业</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中型企业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小微型企业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残疾人福利性单位</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监狱企业</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其他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（8）中标（成交）供应商是否为外商投资企业：</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外商投资企业类型：</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全部由外国投资者投资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部分由外国投资者投资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（9）是否涉及进口产品：否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（10）是否涉及节能产品：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是，《节能产品政府采购品目清单》的底级品目名称：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强制采购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优先采购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是否涉及环境标志产品：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是，《环境标志产品政府采购品目清单》的底级品目名称：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强制采购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优先采购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是否涉及绿色产品：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是，绿色产品政府采购相关政策确定的底级品目名称：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强制采购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优先采购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（11）涉及商品包装和快递包装的，是否参考《商品包装政府采购需求标准（试行）》、《快递包装政府采购需求标准（试行）》明确产品及相关快递服务的具体包装要求：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否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不涉及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2、合同金额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（1）合同金额小写：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大写：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分包金额（如有）小写：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大写：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（2）合同定价方式：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固定总价</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固定单价</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固定费率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（3）付款方式（按项目实际勾选填写）：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全额付款：</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（应明确一次性支付合同款项的条件）</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分期付款：</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（应明确分期支付合同款项的各期比例和支付条件，各期支付条件应与分期履约验收情况挂钩）</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，其中涉及预付款的：</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（应明确预付款的支付比例和支付条件）</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3、合同履行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（1）起始日期：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日，完成日期：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（2）履约地点：</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（3）履约担保：是否收取履约保证金：</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收取履约保证金形式：</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收取履约保证金金额：</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履约担保期限：</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（4）分期履行要求：</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（5）风险处置措施和替代方案：</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4、合同验收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（1）验收组织方式：</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自行组织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委托第三方组织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验收主体：</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是否邀请本项目的其他供应商参加验收：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是否邀请专家参加验收：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是否邀请服务对象参加验收：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是否邀请第三方检测机构参加验收：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是否进行抽查检测：</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是，抽查比例：</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是否存在破坏性检测：</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u w:val="single"/>
          <w:lang w:eastAsia="zh-CN"/>
        </w:rPr>
        <w:t>（应明确对被破坏的检测产品的处理方式）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验收组织的其他事项：</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（2）履约验收时间：</w:t>
      </w:r>
      <w:r>
        <w:rPr>
          <w:rFonts w:hint="eastAsia" w:ascii="宋体" w:hAnsi="宋体" w:eastAsia="宋体" w:cs="宋体"/>
          <w:color w:val="auto"/>
          <w:highlight w:val="none"/>
          <w:u w:val="single"/>
          <w:lang w:eastAsia="zh-CN"/>
        </w:rPr>
        <w:t xml:space="preserve">（计划于何时验收/供应商提出验收申请之日起   日内组织验收）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（3）履约验收方式：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一次性验收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分期/分项验收：</w:t>
      </w:r>
      <w:r>
        <w:rPr>
          <w:rFonts w:hint="eastAsia" w:ascii="宋体" w:hAnsi="宋体" w:eastAsia="宋体" w:cs="宋体"/>
          <w:color w:val="auto"/>
          <w:highlight w:val="none"/>
          <w:u w:val="single"/>
          <w:lang w:eastAsia="zh-CN"/>
        </w:rPr>
        <w:t xml:space="preserve"> （应明确分期/分项验收的工作安排）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（4）履约验收程序：</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（5）履约验收的内容：</w:t>
      </w:r>
      <w:r>
        <w:rPr>
          <w:rFonts w:hint="eastAsia" w:ascii="宋体" w:hAnsi="宋体" w:eastAsia="宋体" w:cs="宋体"/>
          <w:color w:val="auto"/>
          <w:highlight w:val="none"/>
          <w:u w:val="single"/>
          <w:lang w:eastAsia="zh-CN"/>
        </w:rPr>
        <w:t xml:space="preserve"> （应当包括每一项技术和商务要求的履约情况，特别是落实政府采购扶持中小企业，支持绿色发展和乡村振兴等政策情况）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（6）履约验收标准：</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（7）是否以采购活动中供应商提供的样品作为参考：</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（8）履约验收其他事项：</w:t>
      </w:r>
      <w:r>
        <w:rPr>
          <w:rFonts w:hint="eastAsia" w:ascii="宋体" w:hAnsi="宋体" w:eastAsia="宋体" w:cs="宋体"/>
          <w:color w:val="auto"/>
          <w:highlight w:val="none"/>
          <w:u w:val="single"/>
          <w:lang w:eastAsia="zh-CN"/>
        </w:rPr>
        <w:t xml:space="preserve">      （产权过户登记等）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5、组成合同的文件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本协议书与下列文件一起构成合同文件，如下述文件之间有任何抵触、矛盾或歧义，应按以下顺序解释：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（1）政府采购合同协议书及其变更、补充协议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（2）政府采购合同专用条款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（3）政府采购合同通用条款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（4）中标（成交）通知书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（5）投标（响应）文件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（6）采购文件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（7）有关技术文件，图纸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（8）国家法律、行政法规和规章制度规定或合同约定的作为合同组成部分的其他文件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6、合同生效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本合同自</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7、合同份数</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本合同一式</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份，甲方执</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份，乙方执</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份，</w:t>
      </w:r>
      <w:r>
        <w:rPr>
          <w:rFonts w:hint="eastAsia" w:ascii="宋体" w:hAnsi="宋体" w:cs="宋体"/>
          <w:color w:val="auto"/>
          <w:highlight w:val="none"/>
          <w:lang w:val="en-US" w:eastAsia="zh-CN"/>
        </w:rPr>
        <w:t>区</w:t>
      </w:r>
      <w:r>
        <w:rPr>
          <w:rFonts w:hint="eastAsia" w:ascii="宋体" w:hAnsi="宋体" w:eastAsia="宋体" w:cs="宋体"/>
          <w:color w:val="auto"/>
          <w:highlight w:val="none"/>
        </w:rPr>
        <w:t>政务服务中心</w:t>
      </w:r>
      <w:r>
        <w:rPr>
          <w:rFonts w:hint="eastAsia" w:ascii="宋体" w:hAnsi="宋体" w:cs="宋体"/>
          <w:color w:val="auto"/>
          <w:highlight w:val="none"/>
          <w:lang w:val="en-US" w:eastAsia="zh-CN"/>
        </w:rPr>
        <w:t>一份</w:t>
      </w:r>
      <w:r>
        <w:rPr>
          <w:rFonts w:hint="eastAsia" w:ascii="宋体" w:hAnsi="宋体"/>
          <w:color w:val="auto"/>
          <w:highlight w:val="none"/>
          <w:lang w:eastAsia="zh-CN"/>
        </w:rPr>
        <w:t>，</w:t>
      </w:r>
      <w:r>
        <w:rPr>
          <w:rFonts w:hint="eastAsia" w:ascii="宋体" w:hAnsi="宋体" w:eastAsia="宋体" w:cs="宋体"/>
          <w:color w:val="auto"/>
          <w:highlight w:val="none"/>
          <w:lang w:eastAsia="zh-CN"/>
        </w:rPr>
        <w:t>均具有同等法律效力。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合同订立时间：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合同订立地点：</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附件：</w:t>
      </w:r>
      <w:r>
        <w:rPr>
          <w:rFonts w:hint="eastAsia" w:ascii="宋体" w:hAnsi="宋体" w:eastAsia="宋体" w:cs="宋体"/>
          <w:color w:val="auto"/>
          <w:highlight w:val="none"/>
          <w:lang w:eastAsia="zh-CN"/>
        </w:rPr>
        <w:t>具体标的及其技术要求和商务要求、联合协议、分包意向协议等。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tbl>
      <w:tblPr>
        <w:tblStyle w:val="6"/>
        <w:tblW w:w="4995"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53"/>
        <w:gridCol w:w="2618"/>
        <w:gridCol w:w="1910"/>
        <w:gridCol w:w="257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59" w:hRule="atLeast"/>
        </w:trPr>
        <w:tc>
          <w:tcPr>
            <w:tcW w:w="2525" w:type="pct"/>
            <w:gridSpan w:val="2"/>
            <w:tcBorders>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或采购文件约定的合同甲方）</w:t>
            </w:r>
          </w:p>
        </w:tc>
        <w:tc>
          <w:tcPr>
            <w:tcW w:w="2474" w:type="pct"/>
            <w:gridSpan w:val="2"/>
            <w:tcBorders>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079" w:type="pct"/>
            <w:vMerge w:val="restart"/>
            <w:tcBorders>
              <w:top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446" w:type="pct"/>
            <w:vMerge w:val="restart"/>
            <w:tcBorders>
              <w:top w:val="single" w:color="auto" w:sz="2" w:space="0"/>
              <w:left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vMerge w:val="continue"/>
            <w:tcBorders>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1446" w:type="pct"/>
            <w:vMerge w:val="continue"/>
            <w:tcBorders>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拥有者性别</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通信地址</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通信地址</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079" w:type="pct"/>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1446"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055"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1418" w:type="pct"/>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注：涉及联合体或其他合同主体的信息应按上表格式加列。</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第二节 政府采购合同通用条款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1.1合同当事人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lang w:eastAsia="zh-CN"/>
        </w:rPr>
        <w:t>采购人（以下称甲方）</w:t>
      </w:r>
      <w:r>
        <w:rPr>
          <w:rFonts w:hint="eastAsia" w:ascii="宋体" w:hAnsi="宋体" w:eastAsia="宋体" w:cs="宋体"/>
          <w:color w:val="auto"/>
          <w:highlight w:val="none"/>
          <w:lang w:eastAsia="zh-CN"/>
        </w:rPr>
        <w:t>是指使用财政性资金，通过政府采购方式向供应商购买货物及其相关服务的国家机关、事业单位、团体组织。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（2）供应商（以下称乙方）是指参加政府采购活动并且中标（成交），向采购人提供合同约定的货物及其相关服务的法人、非法人组织或者自然人。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lang w:eastAsia="zh-CN"/>
        </w:rPr>
        <w:t>其他合同主体</w:t>
      </w:r>
      <w:r>
        <w:rPr>
          <w:rFonts w:hint="eastAsia" w:ascii="宋体" w:hAnsi="宋体" w:eastAsia="宋体" w:cs="宋体"/>
          <w:color w:val="auto"/>
          <w:highlight w:val="none"/>
          <w:lang w:eastAsia="zh-CN"/>
        </w:rPr>
        <w:t>是指除采购人和供应商以外，依法参与合同缔结或履行，享有权利、承担义务的合同当事人。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1.2本合同下列术语应解释为：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（2）“合同价款”系指根据本合同规定乙方在全面履行合同义务后甲方应支付给乙方的价款。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（3）“货物”系指乙方根据本合同规定须向甲方提供的各种形态和种类的物品，包括原材料、设备、产品（包括软件）及相关的其备品备件、工具、手册及其他技术资料和材料等。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（5）“分包”系指中标（成交）供应商按采购文件、投标（响应）文件的规定，根据分包意向协议，将中标（成交）项目中的部分履约内容，分给具有相应资质条件的供应商履行合同的行为。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（7）其他术语解释，见</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2、合同标的及金额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2.1合同标的及金额应与中标（成交）结果一致。乙方为履行本合同而发生的所有费用均应包含在合同价款中，甲方不再另行支付其他任何费用。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3、履行合同的时间、地点和方式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3.1乙方应当在约定的时间、地点，按照约定方式履行合同。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4、甲方的权利和义务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4.1签署合同后，甲方应确定项目负责人（或项目联系人），负责与本合同有关的事务。甲方有权对乙方的履约行为进行检查，并及时确认乙方提交的事项。甲方应当配合乙方完成相关项目实施工作。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4.2甲方有权要求乙方按时提交各阶段有关安排计划，并有权定期核对乙方提供货物数量、规格、质量等内容。甲方有权督促乙方工作并要求乙方更换不符合要求的货物。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4.3甲方有权要求乙方对缺陷部分予以修复，并按合同约定享有货物保修及其他合同约定的权利。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4.4甲方应当按照合同约定及时对交付的货物进行验收，未在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约定的期限内对乙方履约提出任何异议或者向乙方作出任何说明的，视为验收通过。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4.5甲方应当根据合同约定及时向乙方支付合同价款，不得以内部人员变更、履行内部付款流程等为由，拒绝或迟延支付。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4.6国家法律法规规定及</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约定应由甲方承担的其他义务和责任。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5、乙方的权利和义务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5.1签署合同后，乙方应确定项目负责人（或项目联系人），负责与本合同有关的事务。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5.3乙方有权根据合同约定向甲方收取合同价款。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5.4国家法律法规规定及</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约定应由乙方承担的其他义务和责任。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6、合同履行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6.1甲乙双方应当按照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约定顺序履行合同义务；如果没有先后顺序的，应当同时履行。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6.2甲乙双方按照合同约定顺序履行合同义务时，应当先履行一方未履行的，后履行一方有权拒绝其履行请求。先履行一方履行不符合约定的，后履行一方有权拒绝其相应的履行请求。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7、货物包装、运输、保险和交付要求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7.1本合同涉及商品包装、快递包装的，除</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另有约定外，包装应适应远距离运输、防潮、防震、防锈和防野蛮装卸等要求，确保货物安全无损地运抵</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约定的指定现场。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7.2除</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另有约定外，乙方负责办理将货物运抵本合同规定的交货地点，并装卸、交付至甲方的一切运输事项，相关费用应包含在合同价款中。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7.3货物保险要求按</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7.5乙方在运输到达之前应提前通知甲方，并提示货物运输装卸的注意事项，甲方配合乙方做好货物的接收工作。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7.6如因包装、运输问题导致货物损毁、丢失或者品质下降，甲方有权要求降价、换货、拒收部分或整批货物，由此产生的费用和损失，均由乙方承担。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8、质量标准和保证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8.1质量标准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（3）乙方所提供的货物应符合国家有关安全、环保、卫生的规定。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（4）乙方应向甲方提交所提供货物的技术文件，包括相应的中文技术文件，如：产品目录、图纸、操作手册、使用说明、维护手册或服务指南等。上述文件应包装好随货物一同发运。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8.2保证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规定或乙方书面承诺（两者以较长的为准）的质量保证期内，本保证保持有效。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（2）在质量保证期内所发现的缺陷，甲方应尽快以书面形式通知乙方。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（3）乙方收到通知后，应在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规定的响应时间内以合理的速度免费维修或更换有缺陷的货物或部件。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（4）在质量保证期内，如果货物的质量或规格与合同不符，或证实货物是有缺陷的，包括潜在的缺陷或使用不符合要求的材料等，甲方可以根据本合同第15.1条规定以书面形式追究乙方的违约责任。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（5）乙方在约定的时间内未能弥补缺陷，甲方可采取必要的补救措施，但其风险和费用将由乙方承担，甲方根据合同约定对乙方行使的其他权利不受影响。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9、权利瑕疵担保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9.1乙方保证对其出售的货物享有合法的权利。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9.2乙方保证在交付的货物上不存在抵押权等担保物权。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9.3如甲方使用上述货物构成对第三人侵权的，则由乙方承担全部责任。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10、知识产权保护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10.1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11、保密义务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12、合同价款支付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12.1合同价款支付按照国库集中支付制度及财政管理相关规定执行。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13、履约保证金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13.1乙方应当以支票、汇票、本票或者金融机构、担保机构出具的保函等非现金形式提交。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13.2如果乙方出现</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约定情形的，履约保证金不予退还；如果乙方未能按合同约定全面履行义务，甲方有权从履约保证金中取得补偿或赔偿，且不影响甲方要求乙方承担合同约定的超过履约保证金的违约责任的权利。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13.3甲方在项目通过验收后按照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规定的时间内将履约保证金退还乙方；逾期退还的，乙方可要求甲方支付违约金，违约金按照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14、售后服务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14.1除项目不涉及或采购活动中明确约定无须承担外，乙方还应提供下列服务：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（1）货物的现场移动、安装、调试、启动监督及技术支持；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（2）提供货物组装和维修所需的专用工具和辅助材料；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约定的期限内对所有的货物实施运行监督、维修，但前提条件是该服务并不能免除乙方在质量保证期内所承担的义务；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（4）在制造商所在地或指定现场就货物的安装、启动、运营、维护、废弃处置等对甲方操作人员进行培训；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（5）依照法律、行政法规的规定或者按照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约定，货物在有效使用年限届满后应予回收的，乙方负有自行或者委托第三人对货物予以回收的义务；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规定由乙方提供的其他服务。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14.2乙方提供的售后服务的费用已包含在合同价款中，甲方不再另行支付。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15、违约责任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15.1质量瑕疵的违约责任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乙方提供的产品不符合合同约定的质量标准或存在产品质量缺陷，甲方有权要求乙方根据</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要求及时修理、重作、更换，并承担由此给甲方造成的损失。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15.2迟延交货的违约责任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（2）如果乙方没有按照合同规定的时间交货和提供相关服务，甲方有权从货款中扣除误期赔偿费而不影响合同项下的其他补救方法，赔偿费按</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规定执行。如果涉及公共利益，且赔偿金额无法弥补公共利益损失，甲方可要求继续履行或者采取其他补救措施。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15.3迟延支付的违约责任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甲方存在迟延支付乙方合同款项的，应当承担</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规定的逾期付款利息。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15.4其他违约责任根据项目实际需要按</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16、合同变更、中止与终止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16.1合同的变更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政府采购合同履行中，在不改变合同其他条款的前提下，甲方可以在合同价款10%的范围内追加与合同标的相同的货物，并就此与乙方协商一致后签订补充协议。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16.2合同的中止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（1）合同履行过程中因供应商就采购文件、采购过程或结果提起投诉的，甲方认为有必要的，可以中止合同的履行。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（2）合同履行过程中，如果乙方出现以下情形之一的：</w:t>
      </w:r>
      <w:r>
        <w:rPr>
          <w:rFonts w:hint="eastAsia" w:ascii="宋体" w:hAnsi="宋体" w:eastAsia="宋体" w:cs="宋体"/>
          <w:color w:val="auto"/>
          <w:highlight w:val="none"/>
          <w:lang w:eastAsia="zh-CN"/>
        </w:rPr>
        <w:t>1．经营状况严重恶化；2．转移财产、抽逃资金，以逃避债务；3．丧失商业信誉；4．有丧失或者可能丧失履约能力的其他情形，乙方有义务及时告知甲方。</w:t>
      </w:r>
      <w:r>
        <w:rPr>
          <w:rFonts w:hint="eastAsia" w:ascii="宋体" w:hAnsi="宋体" w:eastAsia="宋体" w:cs="宋体"/>
          <w:color w:val="auto"/>
          <w:highlight w:val="none"/>
          <w:lang w:eastAsia="zh-CN"/>
        </w:rPr>
        <w:t>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（3）乙方分立、合并或者变更住所的，应当及时以书面形式告知甲方。乙方没有及时告知甲方，致使合同履行发生困难的，甲方可以中止合同履行并要求乙方承担由此给甲方造成的损失。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（4）甲方不得以行政区划调整、政府换届、机构或者职能调整以及相关责任人更替为由中止合同。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16.3合同的终止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（1）合同因有效期限届满而终止；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（2）乙方未按合同约定履行，构成根本性违约的，甲方有权终止合同，并追究乙方的违约责任。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16.4涉及国家利益、社会公共利益的情形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17、合同分包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17.1乙方不得将合同转包给其他供应商。涉及合同分包的，乙方应根据采购文件和投标（响应）文件规定进行合同分包。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17.2乙方执行政府采购政策向中小企业依法分包的，乙方应当按采购文件和投标（响应）文件签订分包意向协议，分包意向协议属于本合同组成部分。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18、不可抗力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18.1不可抗力是指合同双方不能预见、不能避免且不能克服的客观情况。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18.2任何一方对由于不可抗力造成的部分或全部不能履行合同不承担违约责任。但迟延履行后发生不可抗力的，不能免除责任。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19、解决争议的方法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19.1因本合同及合同有关事项发生的争议，由甲乙双方友好协商解决。协商不成时，可以向有关组织申请调解。合同一方或双方不愿调解或调解不成的，可以通过仲裁或诉讼的方式解决争议。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19.2选择仲裁的，应在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中明确仲裁机构及仲裁地；通过诉讼方式解决的，可以在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中进一步约定选择与争议有实际联系的地点的人民法院管辖，但管辖法院的约定不得违反级别管辖和专属管辖的规定。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19.3如甲乙双方有争议的事项不影响合同其他部分的履行，在争议解决期间，合同其他部分应当继续履行。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20、政府采购政策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20.1本合同应当按照规定执行政府采购政策。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20.2本合同依法执行政府采购政策的方式和内容，属于合同履约验收的范围。甲乙双方未按规定要求执行政府采购政策造成损失的，有过错的一方应当承担赔偿责任，双方都有过错的，各自承担相应的责任。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21、法律适用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21.1本合同的订立、生效、解释、履行及与本合同有关的争议解决，均适用法律、行政法规。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21.2本合同条款与法律、行政法规的强制性规定不一致的，双方当事人应按照法律、行政法规的强制性规定修改本合同的相关条款。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22、通知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22.1本合同任何一方向对方发出的通知、信件、数据电文等，应当发送至本合同第一部分《政府采购合同协议书》所约定的通讯地址、联系人、联系电话或电子邮箱。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22.2一方当事人变更名称、住所、联系人、联系电话或电子邮箱等信息的，应当在变更后3日内及时书面通知对方，对方实际收到变更通知前的送达仍为有效送达。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22.3本合同一方给另一方的通知均应采用书面形式，传真或快递送到本合同中规定的对方的地址和办理签收手续。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22.4通知以送达之日或通知书中规定的生效之日起生效，两者中以较迟之日为准。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23、合同未尽事项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23.1合同未尽事项见</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23.2合同附件与合同正文具有同等的法律效力。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第三节 政府采购合同专用条款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tbl>
      <w:tblPr>
        <w:tblStyle w:val="6"/>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039"/>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联合体具体要求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第1.2（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其他术语解释</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4.4款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履约验收中甲方提出异议或作出说明的期限</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4.6款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约定甲方承担的其他义务和责任</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5.4款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约定乙方承担的其他义务和责任</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第二节</w:t>
            </w:r>
          </w:p>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6.1款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履行合同义务的顺序</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vMerge w:val="restart"/>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包装</w:t>
            </w:r>
            <w:r>
              <w:rPr>
                <w:rFonts w:hint="eastAsia" w:ascii="宋体" w:hAnsi="宋体" w:eastAsia="宋体" w:cs="宋体"/>
                <w:color w:val="auto"/>
                <w:highlight w:val="none"/>
                <w:lang w:eastAsia="zh-CN"/>
              </w:rPr>
              <w:t>特殊要求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vMerge w:val="continue"/>
            <w:tcMar>
              <w:top w:w="57" w:type="dxa"/>
              <w:left w:w="113" w:type="dxa"/>
              <w:bottom w:w="57" w:type="dxa"/>
              <w:right w:w="113" w:type="dxa"/>
            </w:tcMar>
            <w:vAlign w:val="center"/>
          </w:tcPr>
          <w:p>
            <w:pPr>
              <w:jc w:val="both"/>
              <w:rPr>
                <w:rFonts w:hint="eastAsia" w:ascii="宋体" w:hAnsi="宋体" w:eastAsia="宋体" w:cs="宋体"/>
                <w:color w:val="auto"/>
                <w:highlight w:val="none"/>
              </w:rPr>
            </w:pP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指定现场</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运输特殊要求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保险要求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.2（1）项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质量保证期</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.2（3）项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货物质量缺陷</w:t>
            </w:r>
            <w:r>
              <w:rPr>
                <w:rFonts w:hint="eastAsia" w:ascii="宋体" w:hAnsi="宋体" w:eastAsia="宋体" w:cs="宋体"/>
                <w:color w:val="auto"/>
                <w:highlight w:val="none"/>
              </w:rPr>
              <w:t>响应时间</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第11.1款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其他应当保密的信息</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合同价款支付</w:t>
            </w:r>
            <w:r>
              <w:rPr>
                <w:rFonts w:hint="eastAsia" w:ascii="宋体" w:hAnsi="宋体" w:eastAsia="宋体" w:cs="宋体"/>
                <w:color w:val="auto"/>
                <w:highlight w:val="none"/>
                <w:lang w:eastAsia="zh-CN"/>
              </w:rPr>
              <w:t>时间</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13.2</w:t>
            </w:r>
            <w:r>
              <w:rPr>
                <w:rFonts w:hint="eastAsia" w:ascii="宋体" w:hAnsi="宋体" w:eastAsia="宋体" w:cs="宋体"/>
                <w:color w:val="auto"/>
                <w:highlight w:val="none"/>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履约保证金不予退还的情形</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13.3</w:t>
            </w:r>
            <w:r>
              <w:rPr>
                <w:rFonts w:hint="eastAsia" w:ascii="宋体" w:hAnsi="宋体" w:eastAsia="宋体" w:cs="宋体"/>
                <w:color w:val="auto"/>
                <w:highlight w:val="none"/>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履约保证金退还时间及</w:t>
            </w:r>
            <w:r>
              <w:rPr>
                <w:rFonts w:hint="eastAsia" w:ascii="宋体" w:hAnsi="宋体" w:eastAsia="宋体" w:cs="宋体"/>
                <w:color w:val="auto"/>
                <w:highlight w:val="none"/>
                <w:lang w:eastAsia="zh-CN"/>
              </w:rPr>
              <w:t>逾期退还的</w:t>
            </w:r>
            <w:r>
              <w:rPr>
                <w:rFonts w:hint="eastAsia" w:ascii="宋体" w:hAnsi="宋体" w:eastAsia="宋体" w:cs="宋体"/>
                <w:color w:val="auto"/>
                <w:highlight w:val="none"/>
              </w:rPr>
              <w:t>违约金</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运行监督、维修期限</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货物回收的约定</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乙方提供的其他服务</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修理、重作、更换相关具体规定</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.2（2）项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迟延交货赔偿费</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逾期付款利息</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其他违约责任</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解决争议的方法</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因本合同及合同有关事项发生的争议，按下列第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种方式解决：</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仲裁委员会申请仲裁，仲裁地点为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第2</w:t>
            </w: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lang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其他专用条款</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bl>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部分  投标文件</w:t>
      </w:r>
      <w:r>
        <w:rPr>
          <w:rFonts w:hint="eastAsia" w:ascii="宋体" w:hAnsi="宋体" w:eastAsia="宋体" w:cs="宋体"/>
          <w:b/>
          <w:bCs/>
          <w:color w:val="auto"/>
          <w:sz w:val="36"/>
          <w:szCs w:val="36"/>
          <w:highlight w:val="none"/>
          <w:lang w:val="en-US" w:eastAsia="zh-CN"/>
        </w:rPr>
        <w:t>组成及</w:t>
      </w:r>
      <w:r>
        <w:rPr>
          <w:rFonts w:hint="eastAsia" w:ascii="宋体" w:hAnsi="宋体" w:eastAsia="宋体" w:cs="宋体"/>
          <w:b/>
          <w:bCs/>
          <w:color w:val="auto"/>
          <w:sz w:val="36"/>
          <w:szCs w:val="36"/>
          <w:highlight w:val="none"/>
        </w:rPr>
        <w:t>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1、投标文件由资格证明文件、技术商务文件和报价文件三部分组成。</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2、投标人应按照招标文件要求的内容和提供的格式编写投标文件。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3、如果是</w:t>
      </w:r>
      <w:r>
        <w:rPr>
          <w:rFonts w:hint="eastAsia" w:ascii="宋体" w:hAnsi="宋体" w:cs="宋体"/>
          <w:color w:val="auto"/>
          <w:sz w:val="21"/>
          <w:szCs w:val="21"/>
          <w:highlight w:val="none"/>
          <w:lang w:val="en-US" w:eastAsia="zh-CN"/>
        </w:rPr>
        <w:t>分支机构（分公司）</w:t>
      </w:r>
      <w:r>
        <w:rPr>
          <w:rFonts w:hint="eastAsia" w:ascii="宋体" w:hAnsi="宋体" w:eastAsia="宋体" w:cs="宋体"/>
          <w:color w:val="auto"/>
          <w:sz w:val="21"/>
          <w:szCs w:val="21"/>
          <w:highlight w:val="none"/>
        </w:rPr>
        <w:t>投标的，除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保险、电信等特定行业外，投标人应按招标文件第三部分投标人须知</w:t>
      </w:r>
      <w:r>
        <w:rPr>
          <w:rFonts w:hint="eastAsia" w:ascii="宋体" w:hAnsi="宋体" w:cs="宋体"/>
          <w:color w:val="auto"/>
          <w:sz w:val="21"/>
          <w:szCs w:val="21"/>
          <w:highlight w:val="none"/>
          <w:lang w:val="en-US" w:eastAsia="zh-CN"/>
        </w:rPr>
        <w:t>中的</w:t>
      </w:r>
      <w:r>
        <w:rPr>
          <w:rFonts w:hint="eastAsia" w:ascii="宋体" w:hAnsi="宋体" w:eastAsia="宋体" w:cs="宋体"/>
          <w:color w:val="auto"/>
          <w:sz w:val="21"/>
          <w:szCs w:val="21"/>
          <w:highlight w:val="none"/>
        </w:rPr>
        <w:t>要求提供总公司营业执照和授权书</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一、</w:t>
      </w:r>
      <w:r>
        <w:rPr>
          <w:rFonts w:hint="eastAsia" w:ascii="宋体" w:hAnsi="宋体"/>
          <w:b/>
          <w:bCs/>
          <w:color w:val="auto"/>
          <w:highlight w:val="none"/>
        </w:rPr>
        <w:t>资格</w:t>
      </w:r>
      <w:r>
        <w:rPr>
          <w:rFonts w:hint="eastAsia" w:ascii="宋体" w:hAnsi="宋体"/>
          <w:b/>
          <w:bCs/>
          <w:color w:val="auto"/>
          <w:highlight w:val="none"/>
          <w:lang w:val="en-US" w:eastAsia="zh-CN"/>
        </w:rPr>
        <w:t>证明文件组成</w:t>
      </w:r>
      <w:r>
        <w:rPr>
          <w:rFonts w:hint="eastAsia" w:ascii="宋体" w:hAnsi="宋体"/>
          <w:b/>
          <w:bCs/>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rPr>
        <w:t>1、投标人声明</w:t>
      </w:r>
      <w:r>
        <w:rPr>
          <w:rFonts w:hint="eastAsia" w:ascii="宋体" w:hAnsi="宋体"/>
          <w:color w:val="auto"/>
          <w:highlight w:val="none"/>
          <w:lang w:eastAsia="zh-CN"/>
        </w:rPr>
        <w:t>（</w:t>
      </w:r>
      <w:r>
        <w:rPr>
          <w:rFonts w:hint="eastAsia" w:ascii="宋体" w:hAnsi="宋体"/>
          <w:color w:val="auto"/>
          <w:highlight w:val="none"/>
          <w:lang w:val="en-US" w:eastAsia="zh-CN"/>
        </w:rPr>
        <w:t>见格式1</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提供原件</w:t>
      </w:r>
      <w:r>
        <w:rPr>
          <w:rFonts w:hint="eastAsia" w:ascii="宋体" w:hAnsi="宋体"/>
          <w:color w:val="auto"/>
          <w:highlight w:val="none"/>
        </w:rPr>
        <w:t>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2、法定代表人身份证明书 或 法定代表人授权委托书</w:t>
      </w:r>
      <w:r>
        <w:rPr>
          <w:rFonts w:hint="eastAsia" w:ascii="宋体" w:hAnsi="宋体"/>
          <w:color w:val="auto"/>
          <w:highlight w:val="none"/>
          <w:lang w:eastAsia="zh-CN"/>
        </w:rPr>
        <w:t>（</w:t>
      </w:r>
      <w:r>
        <w:rPr>
          <w:rFonts w:hint="eastAsia" w:ascii="宋体" w:hAnsi="宋体"/>
          <w:color w:val="auto"/>
          <w:highlight w:val="none"/>
          <w:lang w:val="en-US" w:eastAsia="zh-CN"/>
        </w:rPr>
        <w:t>见格式2</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提供原件</w:t>
      </w:r>
      <w:r>
        <w:rPr>
          <w:rFonts w:hint="eastAsia" w:ascii="宋体" w:hAnsi="宋体"/>
          <w:color w:val="auto"/>
          <w:highlight w:val="none"/>
        </w:rPr>
        <w:t>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3、法定代表人身份证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lang w:val="en-US" w:eastAsia="zh-CN"/>
        </w:rPr>
        <w:t xml:space="preserve"> 或  全权代表身份证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投标人营业执照</w:t>
      </w:r>
      <w:r>
        <w:rPr>
          <w:rFonts w:hint="eastAsia" w:ascii="宋体" w:hAnsi="宋体"/>
          <w:color w:val="auto"/>
          <w:highlight w:val="none"/>
          <w:lang w:eastAsia="zh-CN"/>
        </w:rPr>
        <w:t>（</w:t>
      </w:r>
      <w:r>
        <w:rPr>
          <w:rFonts w:hint="eastAsia" w:ascii="宋体" w:hAnsi="宋体"/>
          <w:color w:val="auto"/>
          <w:highlight w:val="none"/>
          <w:lang w:val="en-US" w:eastAsia="zh-CN"/>
        </w:rPr>
        <w:t>提供</w:t>
      </w:r>
      <w:r>
        <w:rPr>
          <w:rFonts w:hint="eastAsia" w:ascii="宋体" w:hAnsi="宋体"/>
          <w:color w:val="auto"/>
          <w:highlight w:val="none"/>
        </w:rPr>
        <w:t>扫描件</w:t>
      </w:r>
      <w:r>
        <w:rPr>
          <w:rFonts w:hint="eastAsia" w:ascii="宋体" w:hAnsi="宋体"/>
          <w:color w:val="auto"/>
          <w:highlight w:val="none"/>
          <w:lang w:eastAsia="zh-CN"/>
        </w:rPr>
        <w:t>）</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strike w:val="0"/>
          <w:dstrike w:val="0"/>
          <w:color w:val="auto"/>
          <w:highlight w:val="none"/>
          <w:lang w:val="en-US" w:eastAsia="zh-CN"/>
        </w:rPr>
      </w:pPr>
      <w:r>
        <w:rPr>
          <w:rFonts w:hint="eastAsia" w:ascii="宋体" w:hAnsi="宋体"/>
          <w:strike w:val="0"/>
          <w:dstrike w:val="0"/>
          <w:color w:val="auto"/>
          <w:highlight w:val="none"/>
          <w:lang w:val="en-US" w:eastAsia="zh-CN"/>
        </w:rPr>
        <w:t>1、投标人应按照资格证明文件组成所列内容提供资格证明材料。</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r>
        <w:rPr>
          <w:rFonts w:hint="default" w:ascii="宋体" w:hAnsi="宋体"/>
          <w:color w:val="auto"/>
          <w:sz w:val="21"/>
          <w:szCs w:val="21"/>
          <w:highlight w:val="none"/>
          <w:lang w:val="en-US" w:eastAsia="zh-CN"/>
        </w:rPr>
        <w:t>资格证明</w:t>
      </w:r>
      <w:r>
        <w:rPr>
          <w:rFonts w:hint="eastAsia" w:ascii="宋体" w:hAnsi="宋体"/>
          <w:color w:val="auto"/>
          <w:sz w:val="21"/>
          <w:szCs w:val="21"/>
          <w:highlight w:val="none"/>
          <w:lang w:val="en-US" w:eastAsia="zh-CN"/>
        </w:rPr>
        <w:t>材料</w:t>
      </w:r>
      <w:r>
        <w:rPr>
          <w:rFonts w:hint="default" w:ascii="宋体" w:hAnsi="宋体"/>
          <w:color w:val="auto"/>
          <w:sz w:val="21"/>
          <w:szCs w:val="21"/>
          <w:highlight w:val="none"/>
          <w:lang w:val="en-US" w:eastAsia="zh-CN"/>
        </w:rPr>
        <w:t>须逐页CA电子签章，否则资格审查不通过。</w:t>
      </w:r>
    </w:p>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default" w:ascii="宋体" w:hAnsi="宋体"/>
          <w:color w:val="auto"/>
          <w:sz w:val="21"/>
          <w:szCs w:val="21"/>
          <w:highlight w:val="none"/>
          <w:lang w:val="en-US" w:eastAsia="zh-CN"/>
        </w:rPr>
        <w:t>资格证明文件中不得出现本项目的投标总价</w:t>
      </w:r>
      <w:r>
        <w:rPr>
          <w:rFonts w:hint="eastAsia" w:ascii="宋体" w:hAnsi="宋体" w:cs="宋体"/>
          <w:color w:val="auto"/>
          <w:szCs w:val="21"/>
          <w:highlight w:val="none"/>
        </w:rPr>
        <w:t>（固定价格采购除外）</w:t>
      </w:r>
      <w:r>
        <w:rPr>
          <w:rFonts w:hint="default" w:ascii="宋体" w:hAnsi="宋体"/>
          <w:color w:val="auto"/>
          <w:sz w:val="21"/>
          <w:szCs w:val="21"/>
          <w:highlight w:val="none"/>
          <w:lang w:val="en-US" w:eastAsia="zh-CN"/>
        </w:rPr>
        <w:t>，否则为无效投标。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w:t>
      </w:r>
      <w:r>
        <w:rPr>
          <w:rFonts w:hint="eastAsia" w:ascii="宋体" w:hAnsi="宋体" w:eastAsia="宋体" w:cs="宋体"/>
          <w:color w:val="auto"/>
          <w:sz w:val="21"/>
          <w:szCs w:val="21"/>
          <w:highlight w:val="none"/>
          <w:lang w:val="en-US" w:eastAsia="zh-CN"/>
        </w:rPr>
        <w:t>分支机构（</w:t>
      </w:r>
      <w:r>
        <w:rPr>
          <w:rFonts w:hint="eastAsia" w:ascii="宋体" w:hAnsi="宋体" w:eastAsia="宋体" w:cs="宋体"/>
          <w:color w:val="auto"/>
          <w:sz w:val="21"/>
          <w:szCs w:val="21"/>
          <w:highlight w:val="none"/>
        </w:rPr>
        <w:t>分公司</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提供总公司营业执照和授权书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color w:val="auto"/>
          <w:sz w:val="21"/>
          <w:szCs w:val="21"/>
          <w:highlight w:val="none"/>
          <w:lang w:val="en-US" w:eastAsia="zh-CN"/>
        </w:rPr>
        <w:t>资格审查不</w:t>
      </w:r>
      <w:r>
        <w:rPr>
          <w:rFonts w:hint="eastAsia" w:ascii="宋体" w:hAnsi="宋体"/>
          <w:color w:val="auto"/>
          <w:sz w:val="21"/>
          <w:szCs w:val="21"/>
          <w:highlight w:val="none"/>
          <w:lang w:val="en-US" w:eastAsia="zh-CN"/>
        </w:rPr>
        <w:t>予</w:t>
      </w:r>
      <w:r>
        <w:rPr>
          <w:rFonts w:hint="default" w:ascii="宋体" w:hAnsi="宋体"/>
          <w:color w:val="auto"/>
          <w:sz w:val="21"/>
          <w:szCs w:val="21"/>
          <w:highlight w:val="none"/>
          <w:lang w:val="en-US" w:eastAsia="zh-CN"/>
        </w:rPr>
        <w:t>通过。</w:t>
      </w:r>
    </w:p>
    <w:p>
      <w:pPr>
        <w:spacing w:line="360" w:lineRule="auto"/>
        <w:rPr>
          <w:rFonts w:hint="eastAsia" w:ascii="宋体" w:hAnsi="宋体"/>
          <w:color w:val="auto"/>
          <w:sz w:val="21"/>
          <w:szCs w:val="21"/>
          <w:highlight w:val="none"/>
          <w:lang w:val="en-US" w:eastAsia="zh-CN"/>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投标人声明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系中华人民共和国合法企业，经营地址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的法定代表人，我方愿意参加你中心组织的</w:t>
      </w:r>
      <w:r>
        <w:rPr>
          <w:rFonts w:hint="eastAsia" w:ascii="宋体" w:hAnsi="宋体" w:eastAsia="宋体" w:cs="宋体"/>
          <w:color w:val="auto"/>
          <w:highlight w:val="none"/>
          <w:u w:val="single"/>
        </w:rPr>
        <w:t xml:space="preserve"> </w:t>
      </w:r>
      <w:r>
        <w:rPr>
          <w:rFonts w:hint="eastAsia" w:ascii="宋体" w:hAnsi="宋体" w:eastAsia="宋体" w:cs="宋体"/>
          <w:b w:val="0"/>
          <w:bCs w:val="0"/>
          <w:color w:val="auto"/>
          <w:highlight w:val="none"/>
          <w:u w:val="single"/>
        </w:rPr>
        <w:t xml:space="preserve"> </w:t>
      </w:r>
      <w:r>
        <w:rPr>
          <w:rFonts w:hint="eastAsia" w:ascii="宋体" w:hAnsi="宋体" w:cs="宋体"/>
          <w:b w:val="0"/>
          <w:bCs w:val="0"/>
          <w:color w:val="auto"/>
          <w:highlight w:val="none"/>
          <w:u w:val="single"/>
          <w:lang w:eastAsia="zh-CN"/>
        </w:rPr>
        <w:t>柴桥中学智能录播教室设备</w:t>
      </w:r>
      <w:r>
        <w:rPr>
          <w:rFonts w:hint="eastAsia" w:ascii="宋体" w:hAnsi="宋体" w:eastAsia="宋体" w:cs="宋体"/>
          <w:b w:val="0"/>
          <w:bCs w:val="0"/>
          <w:color w:val="auto"/>
          <w:highlight w:val="none"/>
          <w:u w:val="single"/>
        </w:rPr>
        <w:t>（项目编号：</w:t>
      </w:r>
      <w:r>
        <w:rPr>
          <w:rFonts w:hint="eastAsia" w:ascii="宋体" w:hAnsi="宋体" w:cs="宋体"/>
          <w:b w:val="0"/>
          <w:bCs w:val="0"/>
          <w:color w:val="auto"/>
          <w:highlight w:val="none"/>
          <w:u w:val="single"/>
          <w:lang w:eastAsia="zh-CN"/>
        </w:rPr>
        <w:t>BLZFCG2025034</w:t>
      </w:r>
      <w:r>
        <w:rPr>
          <w:rFonts w:hint="eastAsia" w:ascii="宋体" w:hAnsi="宋体" w:eastAsia="宋体" w:cs="宋体"/>
          <w:b w:val="0"/>
          <w:bCs w:val="0"/>
          <w:color w:val="auto"/>
          <w:highlight w:val="none"/>
          <w:u w:val="single"/>
        </w:rPr>
        <w:t>）</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项目的投标，我方就本次投标有关事项郑重声明如下：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1、我方提交的所有投标文件、资料都是准确的和真实的。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2、我方不是采购人的附属机构；与采购人聘请的为此项目进行设计、编制规范、提供咨询服务的公司及其附属机构没有任何直接或间接的关联。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3、我方具</w:t>
      </w:r>
      <w:r>
        <w:rPr>
          <w:rFonts w:hint="eastAsia" w:ascii="宋体" w:hAnsi="宋体" w:cs="宋体"/>
          <w:color w:val="auto"/>
          <w:highlight w:val="none"/>
          <w:lang w:val="en-US" w:eastAsia="zh-CN"/>
        </w:rPr>
        <w:t>有健全的财务会计制度并依法缴纳税收和社会保障资金</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、我方已具备履行本项目所必需的设备和专业技术能力。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、我方在参加本次政府采购活动前三年内，在经营活动中没有重大违法记录。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1、本</w:t>
      </w:r>
      <w:r>
        <w:rPr>
          <w:rFonts w:hint="eastAsia" w:ascii="宋体" w:hAnsi="宋体" w:eastAsia="宋体" w:cs="宋体"/>
          <w:b/>
          <w:bCs/>
          <w:color w:val="auto"/>
          <w:highlight w:val="none"/>
        </w:rPr>
        <w:t>声明须由法定代表人签署，否则声明无效。</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none"/>
        </w:rPr>
        <w:t>本人系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的法定代表人</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现为你中心组织的项目编号为</w:t>
      </w:r>
      <w:r>
        <w:rPr>
          <w:rFonts w:hint="eastAsia" w:ascii="宋体" w:hAnsi="宋体" w:cs="宋体"/>
          <w:color w:val="auto"/>
          <w:highlight w:val="none"/>
          <w:u w:val="single"/>
          <w:lang w:eastAsia="zh-CN"/>
        </w:rPr>
        <w:t>BLZFCG2025034</w:t>
      </w:r>
      <w:r>
        <w:rPr>
          <w:rFonts w:hint="eastAsia" w:ascii="宋体" w:hAnsi="宋体" w:eastAsia="宋体" w:cs="宋体"/>
          <w:color w:val="auto"/>
          <w:highlight w:val="none"/>
          <w:u w:val="none"/>
        </w:rPr>
        <w:t xml:space="preserve"> 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柴桥中学智能录播教室设备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政府采购项目，</w:t>
      </w:r>
      <w:r>
        <w:rPr>
          <w:rFonts w:hint="eastAsia" w:ascii="宋体" w:hAnsi="宋体" w:eastAsia="宋体" w:cs="宋体"/>
          <w:color w:val="auto"/>
          <w:highlight w:val="none"/>
          <w:u w:val="none"/>
          <w:lang w:val="en-US" w:eastAsia="zh-CN"/>
        </w:rPr>
        <w:t>代表本单位</w:t>
      </w:r>
      <w:r>
        <w:rPr>
          <w:rFonts w:hint="eastAsia" w:ascii="宋体" w:hAnsi="宋体" w:eastAsia="宋体" w:cs="宋体"/>
          <w:color w:val="auto"/>
          <w:highlight w:val="none"/>
          <w:u w:val="none"/>
        </w:rPr>
        <w:t>签署上述项目的投标文件</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处理与之有关的一切事务。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1、投标单位安排法定代表人参加本项目投标的，只须提供本证明书即可。</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olor w:val="auto"/>
          <w:highlight w:val="none"/>
          <w:lang w:eastAsia="zh-CN"/>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的法定代表人，现授权委托本单位在职职工</w:t>
      </w:r>
      <w:r>
        <w:rPr>
          <w:rFonts w:hint="eastAsia" w:ascii="宋体" w:hAnsi="宋体" w:eastAsia="宋体" w:cs="宋体"/>
          <w:color w:val="auto"/>
          <w:highlight w:val="none"/>
          <w:u w:val="single"/>
          <w:lang w:val="en-US" w:eastAsia="zh-CN"/>
        </w:rPr>
        <w:t xml:space="preserve">        （姓名、职务）        </w:t>
      </w:r>
      <w:r>
        <w:rPr>
          <w:rFonts w:hint="eastAsia" w:ascii="宋体" w:hAnsi="宋体" w:eastAsia="宋体" w:cs="宋体"/>
          <w:color w:val="auto"/>
          <w:highlight w:val="none"/>
        </w:rPr>
        <w:t>作为</w:t>
      </w:r>
      <w:r>
        <w:rPr>
          <w:rFonts w:hint="eastAsia" w:ascii="宋体" w:hAnsi="宋体" w:eastAsia="宋体" w:cs="宋体"/>
          <w:color w:val="auto"/>
          <w:highlight w:val="none"/>
          <w:lang w:val="en-US" w:eastAsia="zh-CN"/>
        </w:rPr>
        <w:t>全权</w:t>
      </w:r>
      <w:r>
        <w:rPr>
          <w:rFonts w:hint="eastAsia" w:ascii="宋体" w:hAnsi="宋体" w:eastAsia="宋体" w:cs="宋体"/>
          <w:color w:val="auto"/>
          <w:highlight w:val="none"/>
        </w:rPr>
        <w:t>代表以我方的名义参加你中心组织的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柴桥中学智能录播教室设备</w:t>
      </w:r>
      <w:r>
        <w:rPr>
          <w:rFonts w:hint="eastAsia" w:ascii="宋体" w:hAnsi="宋体" w:eastAsia="宋体" w:cs="宋体"/>
          <w:color w:val="auto"/>
          <w:highlight w:val="none"/>
          <w:u w:val="single"/>
        </w:rPr>
        <w:t>（项目编号：</w:t>
      </w:r>
      <w:r>
        <w:rPr>
          <w:rFonts w:hint="eastAsia" w:ascii="宋体" w:hAnsi="宋体" w:cs="宋体"/>
          <w:color w:val="auto"/>
          <w:highlight w:val="none"/>
          <w:u w:val="single"/>
          <w:lang w:eastAsia="zh-CN"/>
        </w:rPr>
        <w:t>BLZFCG2025034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w:t>
      </w:r>
      <w:r>
        <w:rPr>
          <w:rFonts w:hint="eastAsia" w:ascii="宋体" w:hAnsi="宋体" w:eastAsia="宋体" w:cs="宋体"/>
          <w:color w:val="auto"/>
          <w:highlight w:val="none"/>
          <w:lang w:val="en-US" w:eastAsia="zh-CN"/>
        </w:rPr>
        <w:t>采购活动，</w:t>
      </w:r>
      <w:r>
        <w:rPr>
          <w:rFonts w:hint="eastAsia" w:ascii="宋体" w:hAnsi="宋体" w:eastAsia="宋体" w:cs="宋体"/>
          <w:color w:val="auto"/>
          <w:highlight w:val="none"/>
        </w:rPr>
        <w:t>并代表我方全权办理一切与之有关的事务。</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日签字生效，</w:t>
      </w: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无转委</w:t>
      </w:r>
      <w:r>
        <w:rPr>
          <w:rFonts w:hint="eastAsia" w:ascii="宋体" w:hAnsi="宋体" w:eastAsia="宋体" w:cs="宋体"/>
          <w:color w:val="auto"/>
          <w:highlight w:val="none"/>
          <w:lang w:val="en-US" w:eastAsia="zh-CN"/>
        </w:rPr>
        <w:t>托</w:t>
      </w:r>
      <w:r>
        <w:rPr>
          <w:rFonts w:hint="eastAsia" w:ascii="宋体" w:hAnsi="宋体" w:eastAsia="宋体" w:cs="宋体"/>
          <w:color w:val="auto"/>
          <w:highlight w:val="none"/>
        </w:rPr>
        <w:t>权，特此声明。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全权代表签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480" w:lineRule="auto"/>
        <w:ind w:left="2940" w:firstLine="420"/>
        <w:jc w:val="left"/>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1、投标单位安排全权代表参加本项目投标的，只须提供本授权书即可。</w:t>
      </w:r>
    </w:p>
    <w:p>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二、</w:t>
      </w:r>
      <w:r>
        <w:rPr>
          <w:rFonts w:hint="eastAsia" w:ascii="宋体" w:hAnsi="宋体"/>
          <w:b/>
          <w:bCs/>
          <w:color w:val="auto"/>
          <w:highlight w:val="none"/>
          <w:lang w:val="en-US" w:eastAsia="zh-CN"/>
        </w:rPr>
        <w:t>技术商务</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1、封面（见技术商务</w:t>
      </w:r>
      <w:r>
        <w:rPr>
          <w:rFonts w:hint="eastAsia" w:ascii="宋体" w:hAnsi="宋体"/>
          <w:color w:val="auto"/>
          <w:highlight w:val="none"/>
        </w:rPr>
        <w:t>文件封面格式</w:t>
      </w:r>
      <w:r>
        <w:rPr>
          <w:rFonts w:hint="eastAsia" w:ascii="宋体" w:hAnsi="宋体"/>
          <w:color w:val="auto"/>
          <w:highlight w:val="none"/>
          <w:lang w:val="en-US" w:eastAsia="zh-CN"/>
        </w:rPr>
        <w:t>）</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eastAsia="宋体"/>
          <w:color w:val="auto"/>
          <w:highlight w:val="none"/>
          <w:lang w:eastAsia="zh-CN"/>
        </w:rPr>
      </w:pPr>
      <w:r>
        <w:rPr>
          <w:rFonts w:hint="eastAsia" w:ascii="宋体" w:hAnsi="宋体"/>
          <w:color w:val="auto"/>
          <w:highlight w:val="none"/>
          <w:lang w:val="en-US" w:eastAsia="zh-CN"/>
        </w:rPr>
        <w:t>3、</w:t>
      </w:r>
      <w:r>
        <w:rPr>
          <w:rFonts w:hint="eastAsia" w:ascii="宋体" w:hAnsi="宋体"/>
          <w:color w:val="auto"/>
          <w:highlight w:val="none"/>
        </w:rPr>
        <w:t>评标索引表</w:t>
      </w:r>
      <w:r>
        <w:rPr>
          <w:rFonts w:hint="eastAsia" w:ascii="宋体" w:hAnsi="宋体"/>
          <w:color w:val="auto"/>
          <w:highlight w:val="none"/>
          <w:lang w:eastAsia="zh-CN"/>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3</w:t>
      </w:r>
      <w:r>
        <w:rPr>
          <w:rFonts w:hint="eastAsia" w:ascii="宋体" w:hAnsi="宋体"/>
          <w:color w:val="auto"/>
          <w:highlight w:val="none"/>
          <w:lang w:eastAsia="zh-CN"/>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4、投标函（见</w:t>
      </w:r>
      <w:r>
        <w:rPr>
          <w:rFonts w:hint="eastAsia" w:ascii="宋体" w:hAnsi="宋体"/>
          <w:color w:val="auto"/>
          <w:highlight w:val="none"/>
        </w:rPr>
        <w:t>格式</w:t>
      </w:r>
      <w:r>
        <w:rPr>
          <w:rFonts w:hint="eastAsia" w:ascii="宋体" w:hAnsi="宋体"/>
          <w:color w:val="auto"/>
          <w:highlight w:val="none"/>
          <w:lang w:val="en-US" w:eastAsia="zh-CN"/>
        </w:rPr>
        <w:t>4）</w:t>
      </w:r>
    </w:p>
    <w:p>
      <w:pPr>
        <w:spacing w:line="360" w:lineRule="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技术及服务条款偏离表（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商务条款偏离表（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投标货物（服务）清单（</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项目技术方案（内容格式自拟，要求见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lang w:eastAsia="zh-CN"/>
        </w:rPr>
        <w:t>、</w:t>
      </w:r>
      <w:r>
        <w:rPr>
          <w:rFonts w:hint="eastAsia" w:ascii="宋体" w:hAnsi="宋体"/>
          <w:color w:val="auto"/>
          <w:highlight w:val="none"/>
        </w:rPr>
        <w:t>项目实施方案（内容格式自拟，要求见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lang w:eastAsia="zh-CN"/>
        </w:rPr>
        <w:t>、</w:t>
      </w:r>
      <w:r>
        <w:rPr>
          <w:rFonts w:hint="eastAsia" w:ascii="宋体" w:hAnsi="宋体"/>
          <w:color w:val="auto"/>
          <w:highlight w:val="none"/>
        </w:rPr>
        <w:t>拟派本项目主要实施人员情况表（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lang w:eastAsia="zh-CN"/>
        </w:rPr>
        <w:t>、</w:t>
      </w:r>
      <w:r>
        <w:rPr>
          <w:rFonts w:hint="eastAsia" w:ascii="宋体" w:hAnsi="宋体"/>
          <w:color w:val="auto"/>
          <w:highlight w:val="none"/>
        </w:rPr>
        <w:t>质量保证和售后服务方案（内容格式自拟，要求见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12</w:t>
      </w:r>
      <w:r>
        <w:rPr>
          <w:rFonts w:hint="eastAsia" w:ascii="宋体" w:hAnsi="宋体"/>
          <w:color w:val="auto"/>
          <w:highlight w:val="none"/>
          <w:lang w:eastAsia="zh-CN"/>
        </w:rPr>
        <w:t>、</w:t>
      </w:r>
      <w:r>
        <w:rPr>
          <w:rFonts w:hint="eastAsia" w:ascii="宋体" w:hAnsi="宋体"/>
          <w:color w:val="auto"/>
          <w:highlight w:val="none"/>
        </w:rPr>
        <w:t>技术培训方案（内容格式自拟，要求见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13</w:t>
      </w:r>
      <w:r>
        <w:rPr>
          <w:rFonts w:hint="eastAsia" w:ascii="宋体" w:hAnsi="宋体"/>
          <w:color w:val="auto"/>
          <w:highlight w:val="none"/>
          <w:lang w:eastAsia="zh-CN"/>
        </w:rPr>
        <w:t>、</w:t>
      </w:r>
      <w:r>
        <w:rPr>
          <w:rFonts w:hint="eastAsia" w:ascii="宋体" w:hAnsi="宋体"/>
          <w:color w:val="auto"/>
          <w:highlight w:val="none"/>
        </w:rPr>
        <w:t>类似项目业绩表（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14、投标产品取得节能环保认证证书情况表</w:t>
      </w:r>
      <w:r>
        <w:rPr>
          <w:rFonts w:hint="eastAsia" w:ascii="宋体" w:hAnsi="宋体"/>
          <w:color w:val="auto"/>
          <w:highlight w:val="none"/>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15</w:t>
      </w:r>
      <w:r>
        <w:rPr>
          <w:rFonts w:hint="eastAsia" w:ascii="宋体" w:hAnsi="宋体"/>
          <w:color w:val="auto"/>
          <w:highlight w:val="none"/>
          <w:lang w:eastAsia="zh-CN"/>
        </w:rPr>
        <w:t>、</w:t>
      </w:r>
      <w:r>
        <w:rPr>
          <w:rFonts w:hint="eastAsia" w:ascii="宋体" w:hAnsi="宋体"/>
          <w:color w:val="auto"/>
          <w:highlight w:val="none"/>
        </w:rPr>
        <w:t>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1、投标人应按照技术商务文件组成所列内容和顺序编制技术商务文件。</w:t>
      </w:r>
    </w:p>
    <w:p>
      <w:pPr>
        <w:spacing w:line="360" w:lineRule="auto"/>
        <w:rPr>
          <w:rFonts w:hint="eastAsia" w:ascii="宋体" w:hAnsi="宋体" w:eastAsia="宋体"/>
          <w:color w:val="auto"/>
          <w:highlight w:val="none"/>
          <w:lang w:val="en-US" w:eastAsia="zh-CN"/>
        </w:rPr>
      </w:pPr>
      <w:r>
        <w:rPr>
          <w:rFonts w:hint="eastAsia" w:ascii="宋体" w:hAnsi="宋体"/>
          <w:color w:val="auto"/>
          <w:highlight w:val="none"/>
          <w:lang w:val="en-US" w:eastAsia="zh-CN"/>
        </w:rPr>
        <w:t>2、技术商务文件应按照招标文件格式要求进行CA电子签章，未有规定的投标人视情况签章。</w:t>
      </w:r>
    </w:p>
    <w:p>
      <w:pPr>
        <w:spacing w:line="360" w:lineRule="auto"/>
        <w:rPr>
          <w:rFonts w:hint="eastAsia" w:ascii="宋体" w:hAnsi="宋体"/>
          <w:color w:val="auto"/>
          <w:highlight w:val="none"/>
        </w:rPr>
      </w:pPr>
      <w:r>
        <w:rPr>
          <w:rFonts w:hint="eastAsia" w:ascii="宋体" w:hAnsi="宋体"/>
          <w:color w:val="auto"/>
          <w:sz w:val="21"/>
          <w:szCs w:val="21"/>
          <w:highlight w:val="none"/>
          <w:lang w:val="en-US" w:eastAsia="zh-CN"/>
        </w:rPr>
        <w:t>3、</w:t>
      </w:r>
      <w:r>
        <w:rPr>
          <w:rFonts w:hint="eastAsia" w:ascii="宋体" w:hAnsi="宋体"/>
          <w:color w:val="auto"/>
          <w:highlight w:val="none"/>
        </w:rPr>
        <w:t>技术商务文件可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技术商务文件中不得出现本项目的投标总价</w:t>
      </w:r>
      <w:r>
        <w:rPr>
          <w:rFonts w:hint="eastAsia" w:ascii="宋体" w:hAnsi="宋体" w:cs="宋体"/>
          <w:color w:val="auto"/>
          <w:szCs w:val="21"/>
          <w:highlight w:val="none"/>
        </w:rPr>
        <w:t>（固定价格采购除外）</w:t>
      </w:r>
      <w:r>
        <w:rPr>
          <w:rFonts w:hint="eastAsia" w:ascii="宋体" w:hAnsi="宋体"/>
          <w:color w:val="auto"/>
          <w:highlight w:val="none"/>
        </w:rPr>
        <w:t>，否则为无效投标。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技术商务</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rPr>
        <w:t>技术商务文件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柴桥中学智能录播教室设备</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BLZFCG2025034</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val="en-US"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评标索引表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柴桥中学智能录播教室设备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321"/>
        <w:gridCol w:w="150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85" w:type="dxa"/>
            <w:noWrap w:val="0"/>
            <w:vAlign w:val="center"/>
          </w:tcPr>
          <w:p>
            <w:pPr>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序号</w:t>
            </w:r>
          </w:p>
        </w:tc>
        <w:tc>
          <w:tcPr>
            <w:tcW w:w="5321"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评分项目</w:t>
            </w:r>
          </w:p>
        </w:tc>
        <w:tc>
          <w:tcPr>
            <w:tcW w:w="150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w:t>
            </w:r>
          </w:p>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对应页码</w:t>
            </w:r>
          </w:p>
        </w:tc>
        <w:tc>
          <w:tcPr>
            <w:tcW w:w="1449"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1、根据评分标准</w:t>
      </w:r>
      <w:r>
        <w:rPr>
          <w:rFonts w:hint="eastAsia" w:ascii="宋体" w:hAnsi="宋体" w:eastAsia="宋体" w:cs="宋体"/>
          <w:color w:val="auto"/>
          <w:highlight w:val="none"/>
          <w:lang w:val="en-US" w:eastAsia="zh-CN"/>
        </w:rPr>
        <w:t>表技术商务部分</w:t>
      </w:r>
      <w:r>
        <w:rPr>
          <w:rFonts w:hint="eastAsia" w:ascii="宋体" w:hAnsi="宋体" w:eastAsia="宋体" w:cs="宋体"/>
          <w:color w:val="auto"/>
          <w:highlight w:val="none"/>
          <w:lang w:eastAsia="zh-CN"/>
        </w:rPr>
        <w:t>逐条填写。</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4</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 标 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lang w:val="en-US" w:eastAsia="zh-CN"/>
        </w:rPr>
        <w:t>委派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全权代表</w:t>
      </w:r>
      <w:r>
        <w:rPr>
          <w:rFonts w:hint="eastAsia" w:ascii="宋体" w:hAnsi="宋体" w:eastAsia="宋体" w:cs="宋体"/>
          <w:color w:val="auto"/>
          <w:highlight w:val="none"/>
          <w:u w:val="single"/>
        </w:rPr>
        <w:t>姓名、职务</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参加你中心组织的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u w:val="single"/>
        </w:rPr>
        <w:t>、标项编号</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项目公开招标的有关活动，并对此项目进行投标。为此：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1</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我方同意在本项目招标文件中规定的</w:t>
      </w:r>
      <w:r>
        <w:rPr>
          <w:rFonts w:hint="eastAsia" w:ascii="宋体" w:hAnsi="宋体" w:eastAsia="宋体" w:cs="宋体"/>
          <w:color w:val="auto"/>
          <w:highlight w:val="none"/>
          <w:u w:val="none"/>
          <w:lang w:val="en-US" w:eastAsia="zh-CN"/>
        </w:rPr>
        <w:t>投标有效期内，</w:t>
      </w:r>
      <w:r>
        <w:rPr>
          <w:rFonts w:hint="eastAsia" w:ascii="宋体" w:hAnsi="宋体" w:eastAsia="宋体" w:cs="宋体"/>
          <w:color w:val="auto"/>
          <w:highlight w:val="none"/>
          <w:u w:val="none"/>
        </w:rPr>
        <w:t>遵守本投标文件中的承诺且在此期限</w:t>
      </w:r>
      <w:r>
        <w:rPr>
          <w:rFonts w:hint="eastAsia" w:ascii="宋体" w:hAnsi="宋体" w:cs="宋体"/>
          <w:color w:val="auto"/>
          <w:highlight w:val="none"/>
          <w:u w:val="none"/>
          <w:lang w:val="en-US" w:eastAsia="zh-CN"/>
        </w:rPr>
        <w:t>届</w:t>
      </w:r>
      <w:r>
        <w:rPr>
          <w:rFonts w:hint="eastAsia" w:ascii="宋体" w:hAnsi="宋体" w:eastAsia="宋体" w:cs="宋体"/>
          <w:color w:val="auto"/>
          <w:highlight w:val="none"/>
          <w:u w:val="none"/>
        </w:rPr>
        <w:t>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2</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我方保证遵守招标文件的全部规定</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提供招标文件规定的全部投标文件。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本项目投标总价见</w:t>
      </w:r>
      <w:r>
        <w:rPr>
          <w:rFonts w:hint="eastAsia" w:ascii="宋体" w:hAnsi="宋体" w:eastAsia="宋体" w:cs="宋体"/>
          <w:color w:val="auto"/>
          <w:highlight w:val="none"/>
          <w:u w:val="none"/>
          <w:lang w:val="en-US" w:eastAsia="zh-CN"/>
        </w:rPr>
        <w:t>我方的报价文件</w:t>
      </w:r>
      <w:r>
        <w:rPr>
          <w:rFonts w:hint="eastAsia" w:ascii="宋体" w:hAnsi="宋体" w:eastAsia="宋体" w:cs="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4</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如果我方中标，保证忠实地执行双方所签订的政府采购合同，并承担政府采购合同规定的责任和义务。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5</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我方保证尊重评标委员会的评标结果，完全理解本项目不一定接受最低报价的投标。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6</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我方愿意向你中心提供任何与本项目投标有关的数据，并根据需要提供一切承诺的证明材料。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7</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我方已详细审查全部招标文件，在投标之前已经与招标方进行了充分的沟通，完全理解并接受招标文件的各项规定和要求，对招标文件的合理性、合法性不再有异议。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与本项目投标活动有关的一切正式往来信函请寄：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地址：</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技术及服务条款偏离表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柴桥中学智能录播教室设备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招标文件技术、服务要求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bl>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1、技术、服务条款内容主要是针对招标文件有关的技术规格、服务要求等内容。</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2、无偏离应在本表“投标文件响应情况”栏注明“无技术及服务条款偏离”的字样。</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商务条款偏离表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柴桥中学智能录播教室设备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招标文件商务要求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1</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交付时间</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2</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质保期</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3</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付款方式</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4</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合同主要条款</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1、商务条款内容主要是针对招标文件有关的付款条件、交付期、质保期、合同主要条款等内容。</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2、无偏离应在本表“投标文件响应情况”栏注明“无商务条款偏离”的字样。</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投标货物（服务）清单</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柴桥中学智能录播教室设备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67"/>
        <w:gridCol w:w="1560"/>
        <w:gridCol w:w="2551"/>
        <w:gridCol w:w="709"/>
        <w:gridCol w:w="70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09" w:type="dxa"/>
            <w:shd w:val="clear" w:color="auto" w:fill="auto"/>
            <w:noWrap w:val="0"/>
            <w:vAlign w:val="center"/>
          </w:tcPr>
          <w:p>
            <w:pPr>
              <w:jc w:val="center"/>
              <w:rPr>
                <w:b/>
                <w:color w:val="auto"/>
                <w:sz w:val="21"/>
                <w:szCs w:val="21"/>
                <w:highlight w:val="none"/>
              </w:rPr>
            </w:pPr>
            <w:r>
              <w:rPr>
                <w:rFonts w:hint="eastAsia"/>
                <w:b/>
                <w:color w:val="auto"/>
                <w:sz w:val="21"/>
                <w:szCs w:val="21"/>
                <w:highlight w:val="none"/>
              </w:rPr>
              <w:t>序号</w:t>
            </w:r>
          </w:p>
        </w:tc>
        <w:tc>
          <w:tcPr>
            <w:tcW w:w="1667" w:type="dxa"/>
            <w:shd w:val="clear" w:color="auto" w:fill="auto"/>
            <w:noWrap w:val="0"/>
            <w:vAlign w:val="center"/>
          </w:tcPr>
          <w:p>
            <w:pPr>
              <w:jc w:val="center"/>
              <w:rPr>
                <w:b/>
                <w:color w:val="auto"/>
                <w:sz w:val="21"/>
                <w:szCs w:val="21"/>
                <w:highlight w:val="none"/>
              </w:rPr>
            </w:pPr>
            <w:r>
              <w:rPr>
                <w:rFonts w:hint="eastAsia"/>
                <w:b/>
                <w:color w:val="auto"/>
                <w:sz w:val="21"/>
                <w:szCs w:val="21"/>
                <w:highlight w:val="none"/>
              </w:rPr>
              <w:t>名称</w:t>
            </w:r>
          </w:p>
        </w:tc>
        <w:tc>
          <w:tcPr>
            <w:tcW w:w="1560" w:type="dxa"/>
            <w:shd w:val="clear" w:color="auto" w:fill="auto"/>
            <w:noWrap w:val="0"/>
            <w:vAlign w:val="center"/>
          </w:tcPr>
          <w:p>
            <w:pPr>
              <w:jc w:val="center"/>
              <w:rPr>
                <w:rFonts w:hint="eastAsia"/>
                <w:b/>
                <w:color w:val="auto"/>
                <w:sz w:val="21"/>
                <w:szCs w:val="21"/>
                <w:highlight w:val="none"/>
              </w:rPr>
            </w:pPr>
            <w:r>
              <w:rPr>
                <w:rFonts w:hint="eastAsia"/>
                <w:b/>
                <w:color w:val="auto"/>
                <w:sz w:val="21"/>
                <w:szCs w:val="21"/>
                <w:highlight w:val="none"/>
              </w:rPr>
              <w:t>规格、型号</w:t>
            </w:r>
          </w:p>
        </w:tc>
        <w:tc>
          <w:tcPr>
            <w:tcW w:w="2551" w:type="dxa"/>
            <w:shd w:val="clear" w:color="auto" w:fill="auto"/>
            <w:noWrap w:val="0"/>
            <w:vAlign w:val="center"/>
          </w:tcPr>
          <w:p>
            <w:pPr>
              <w:jc w:val="center"/>
              <w:rPr>
                <w:rFonts w:hint="eastAsia"/>
                <w:b/>
                <w:color w:val="auto"/>
                <w:sz w:val="21"/>
                <w:szCs w:val="21"/>
                <w:highlight w:val="none"/>
              </w:rPr>
            </w:pPr>
            <w:r>
              <w:rPr>
                <w:rFonts w:hint="eastAsia"/>
                <w:b/>
                <w:color w:val="auto"/>
                <w:sz w:val="21"/>
                <w:szCs w:val="21"/>
                <w:highlight w:val="none"/>
              </w:rPr>
              <w:t>主要性能参数</w:t>
            </w:r>
          </w:p>
        </w:tc>
        <w:tc>
          <w:tcPr>
            <w:tcW w:w="709" w:type="dxa"/>
            <w:shd w:val="clear" w:color="auto" w:fill="auto"/>
            <w:noWrap w:val="0"/>
            <w:vAlign w:val="center"/>
          </w:tcPr>
          <w:p>
            <w:pPr>
              <w:jc w:val="center"/>
              <w:rPr>
                <w:b/>
                <w:color w:val="auto"/>
                <w:sz w:val="21"/>
                <w:szCs w:val="21"/>
                <w:highlight w:val="none"/>
              </w:rPr>
            </w:pPr>
            <w:r>
              <w:rPr>
                <w:rFonts w:hint="eastAsia"/>
                <w:b/>
                <w:color w:val="auto"/>
                <w:sz w:val="21"/>
                <w:szCs w:val="21"/>
                <w:highlight w:val="none"/>
              </w:rPr>
              <w:t>单位</w:t>
            </w:r>
          </w:p>
        </w:tc>
        <w:tc>
          <w:tcPr>
            <w:tcW w:w="709" w:type="dxa"/>
            <w:shd w:val="clear" w:color="auto" w:fill="auto"/>
            <w:noWrap w:val="0"/>
            <w:vAlign w:val="center"/>
          </w:tcPr>
          <w:p>
            <w:pPr>
              <w:jc w:val="center"/>
              <w:rPr>
                <w:b/>
                <w:color w:val="auto"/>
                <w:sz w:val="21"/>
                <w:szCs w:val="21"/>
                <w:highlight w:val="none"/>
              </w:rPr>
            </w:pPr>
            <w:r>
              <w:rPr>
                <w:rFonts w:hint="eastAsia"/>
                <w:b/>
                <w:color w:val="auto"/>
                <w:sz w:val="21"/>
                <w:szCs w:val="21"/>
                <w:highlight w:val="none"/>
              </w:rPr>
              <w:t>数量</w:t>
            </w:r>
          </w:p>
        </w:tc>
        <w:tc>
          <w:tcPr>
            <w:tcW w:w="1342" w:type="dxa"/>
            <w:shd w:val="clear" w:color="auto" w:fill="auto"/>
            <w:noWrap w:val="0"/>
            <w:vAlign w:val="center"/>
          </w:tcPr>
          <w:p>
            <w:pPr>
              <w:jc w:val="center"/>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制造商及</w:t>
            </w:r>
          </w:p>
          <w:p>
            <w:pPr>
              <w:jc w:val="center"/>
              <w:rPr>
                <w:rFonts w:hint="eastAsia"/>
                <w:b/>
                <w:color w:val="auto"/>
                <w:sz w:val="21"/>
                <w:szCs w:val="21"/>
                <w:highlight w:val="none"/>
              </w:rPr>
            </w:pPr>
            <w:r>
              <w:rPr>
                <w:rFonts w:hint="eastAsia" w:ascii="宋体" w:hAnsi="宋体" w:eastAsia="宋体" w:cs="宋体"/>
                <w:b/>
                <w:color w:val="auto"/>
                <w:sz w:val="21"/>
                <w:szCs w:val="21"/>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1、本表设备名称填写的顺序应与本招标文件第四部分中的采购清单相一致。</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拟派本项目主要实施人员情况表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柴桥中学智能录播教室设备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noWrap w:val="0"/>
            <w:vAlign w:val="center"/>
          </w:tcPr>
          <w:p>
            <w:pPr>
              <w:snapToGrid w:val="0"/>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475"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拟在本项目中担任职务</w:t>
            </w:r>
          </w:p>
        </w:tc>
        <w:tc>
          <w:tcPr>
            <w:tcW w:w="1620"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姓名</w:t>
            </w:r>
          </w:p>
        </w:tc>
        <w:tc>
          <w:tcPr>
            <w:tcW w:w="1898"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身份证号码</w:t>
            </w:r>
          </w:p>
        </w:tc>
        <w:tc>
          <w:tcPr>
            <w:tcW w:w="3595" w:type="dxa"/>
            <w:noWrap w:val="0"/>
            <w:vAlign w:val="center"/>
          </w:tcPr>
          <w:p>
            <w:pPr>
              <w:tabs>
                <w:tab w:val="left" w:pos="0"/>
              </w:tabs>
              <w:adjustRightInd w:val="0"/>
              <w:snapToGrid w:val="0"/>
              <w:jc w:val="center"/>
              <w:rPr>
                <w:rFonts w:hint="eastAsia" w:ascii="宋体" w:hAnsi="宋体"/>
                <w:color w:val="auto"/>
                <w:sz w:val="21"/>
                <w:szCs w:val="21"/>
                <w:highlight w:val="none"/>
              </w:rPr>
            </w:pPr>
            <w:r>
              <w:rPr>
                <w:rFonts w:hint="eastAsia" w:ascii="宋体" w:hAnsi="宋体"/>
                <w:b/>
                <w:color w:val="auto"/>
                <w:sz w:val="21"/>
                <w:szCs w:val="21"/>
                <w:highlight w:val="none"/>
              </w:rPr>
              <w:t>获得的相关证书名称、主要项目实施经历、工作经验（或另附简历）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9342" w:type="dxa"/>
            <w:gridSpan w:val="5"/>
            <w:noWrap w:val="0"/>
            <w:vAlign w:val="center"/>
          </w:tcPr>
          <w:p>
            <w:pPr>
              <w:tabs>
                <w:tab w:val="left" w:pos="0"/>
              </w:tabs>
              <w:adjustRightInd w:val="0"/>
              <w:snapToGrid w:val="0"/>
              <w:spacing w:line="276" w:lineRule="auto"/>
              <w:rPr>
                <w:rFonts w:hint="eastAsia"/>
                <w:color w:val="auto"/>
                <w:sz w:val="21"/>
                <w:szCs w:val="21"/>
                <w:highlight w:val="none"/>
              </w:rPr>
            </w:pPr>
            <w:r>
              <w:rPr>
                <w:rFonts w:hint="eastAsia"/>
                <w:color w:val="auto"/>
                <w:sz w:val="21"/>
                <w:szCs w:val="21"/>
                <w:highlight w:val="none"/>
              </w:rPr>
              <w:t>声明：一旦我单位中标，将实行项目经理负责制，并配备上述项目实施人员。我方保证上述填报内容真实，若不真实，愿按有关规定接受处理。</w:t>
            </w:r>
          </w:p>
        </w:tc>
      </w:tr>
    </w:tbl>
    <w:p>
      <w:pPr>
        <w:spacing w:line="360" w:lineRule="auto"/>
        <w:ind w:firstLine="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1、拟派人员须是投标单位正式职工，以社保证明为准，如为符合法律规定的离退休返聘人员的，须提供退休证明及单位聘用证明。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2、表后附拟派人员的社保证明（或返聘人员证明）、业绩证明、相关证书的原件彩色扫描件。</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3、列入本表人员如要更换，需经采购人同意，擅自更换或不到位的属违约行为。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4、投标人为谋取评审优势而提供无法为本项目服务的人员，将影响任务的分配，情况严重的将被解除合同，并按照相关规定处理，投标人必须慎重考虑并提供相关服务人员。</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类似项目业绩表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柴桥中学智能录播教室设备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2853"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项目名称</w:t>
            </w:r>
          </w:p>
        </w:tc>
        <w:tc>
          <w:tcPr>
            <w:tcW w:w="1843"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业主名称</w:t>
            </w:r>
          </w:p>
        </w:tc>
        <w:tc>
          <w:tcPr>
            <w:tcW w:w="1134"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合同金额</w:t>
            </w:r>
          </w:p>
        </w:tc>
        <w:tc>
          <w:tcPr>
            <w:tcW w:w="1134"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合同签订时间</w:t>
            </w:r>
          </w:p>
        </w:tc>
        <w:tc>
          <w:tcPr>
            <w:tcW w:w="1417"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1、提供符合本招标文件要求的类似项目业绩，表后附</w:t>
      </w:r>
      <w:r>
        <w:rPr>
          <w:rFonts w:hint="eastAsia" w:ascii="宋体" w:hAnsi="宋体" w:eastAsia="宋体" w:cs="宋体"/>
          <w:color w:val="auto"/>
          <w:highlight w:val="none"/>
          <w:lang w:val="en-US" w:eastAsia="zh-CN"/>
        </w:rPr>
        <w:t>合同和验收证明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color w:val="auto"/>
          <w:highlight w:val="none"/>
          <w:lang w:val="en-US" w:eastAsia="zh-CN"/>
        </w:rPr>
        <w:t>的原件彩色扫描件，未提供的，相关项目不得分。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2、以上内容必须是真实的，否则一经查实，按相关规定处理。</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投标产品取得节能环</w:t>
      </w:r>
      <w:r>
        <w:rPr>
          <w:rFonts w:hint="eastAsia" w:eastAsia="黑体"/>
          <w:color w:val="auto"/>
          <w:spacing w:val="20"/>
          <w:sz w:val="36"/>
          <w:szCs w:val="32"/>
          <w:highlight w:val="none"/>
          <w:lang w:val="en-US" w:eastAsia="zh-CN"/>
        </w:rPr>
        <w:t>保</w:t>
      </w:r>
      <w:r>
        <w:rPr>
          <w:rFonts w:hint="eastAsia" w:eastAsia="黑体"/>
          <w:color w:val="auto"/>
          <w:spacing w:val="20"/>
          <w:sz w:val="36"/>
          <w:szCs w:val="32"/>
          <w:highlight w:val="none"/>
        </w:rPr>
        <w:t>认证证书情况表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柴桥中学智能录播教室设备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2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6"/>
        <w:gridCol w:w="1367"/>
        <w:gridCol w:w="856"/>
        <w:gridCol w:w="2564"/>
        <w:gridCol w:w="1665"/>
        <w:gridCol w:w="960"/>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产品名称</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品牌</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制造商（生产者）名称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证书颁发机构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证书有效截止日期</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证书扫描件（或网页截图）在投标文件对应页码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一、</w:t>
            </w:r>
            <w:r>
              <w:rPr>
                <w:rFonts w:hint="eastAsia" w:ascii="宋体" w:hAnsi="宋体" w:eastAsia="宋体" w:cs="宋体"/>
                <w:b/>
                <w:bCs/>
                <w:i w:val="0"/>
                <w:color w:val="auto"/>
                <w:sz w:val="21"/>
                <w:szCs w:val="21"/>
                <w:highlight w:val="none"/>
                <w:u w:val="none"/>
              </w:rPr>
              <w:t>节能产品</w:t>
            </w:r>
            <w:r>
              <w:rPr>
                <w:rFonts w:hint="eastAsia" w:ascii="宋体" w:hAnsi="宋体" w:eastAsia="宋体" w:cs="宋体"/>
                <w:b/>
                <w:bCs/>
                <w:i w:val="0"/>
                <w:color w:val="auto"/>
                <w:sz w:val="21"/>
                <w:szCs w:val="21"/>
                <w:highlight w:val="none"/>
                <w:u w:val="none"/>
                <w:lang w:val="en-US" w:eastAsia="zh-CN"/>
              </w:rPr>
              <w:t>认证</w:t>
            </w:r>
            <w:r>
              <w:rPr>
                <w:rFonts w:hint="eastAsia" w:ascii="宋体" w:hAnsi="宋体" w:eastAsia="宋体" w:cs="宋体"/>
                <w:b/>
                <w:bCs/>
                <w:i w:val="0"/>
                <w:color w:val="auto"/>
                <w:sz w:val="21"/>
                <w:szCs w:val="21"/>
                <w:highlight w:val="none"/>
                <w:u w:val="none"/>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二、</w:t>
            </w:r>
            <w:r>
              <w:rPr>
                <w:rFonts w:hint="eastAsia" w:ascii="宋体" w:hAnsi="宋体" w:eastAsia="宋体" w:cs="宋体"/>
                <w:b/>
                <w:bCs/>
                <w:i w:val="0"/>
                <w:color w:val="auto"/>
                <w:sz w:val="21"/>
                <w:szCs w:val="21"/>
                <w:highlight w:val="none"/>
                <w:u w:val="none"/>
              </w:rPr>
              <w:t>环境标志产品</w:t>
            </w:r>
            <w:r>
              <w:rPr>
                <w:rFonts w:hint="eastAsia" w:ascii="宋体" w:hAnsi="宋体" w:eastAsia="宋体" w:cs="宋体"/>
                <w:b/>
                <w:bCs/>
                <w:i w:val="0"/>
                <w:color w:val="auto"/>
                <w:sz w:val="21"/>
                <w:szCs w:val="21"/>
                <w:highlight w:val="none"/>
                <w:u w:val="none"/>
                <w:lang w:val="en-US" w:eastAsia="zh-CN"/>
              </w:rPr>
              <w:t>认证</w:t>
            </w:r>
            <w:r>
              <w:rPr>
                <w:rFonts w:hint="eastAsia" w:ascii="宋体" w:hAnsi="宋体" w:eastAsia="宋体" w:cs="宋体"/>
                <w:b/>
                <w:bCs/>
                <w:i w:val="0"/>
                <w:color w:val="auto"/>
                <w:sz w:val="21"/>
                <w:szCs w:val="21"/>
                <w:highlight w:val="none"/>
                <w:u w:val="none"/>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bl>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、根据现行政府采购政策</w:t>
      </w:r>
      <w:r>
        <w:rPr>
          <w:rFonts w:hint="eastAsia" w:ascii="宋体" w:hAnsi="宋体" w:cs="宋体"/>
          <w:color w:val="auto"/>
          <w:highlight w:val="none"/>
          <w:lang w:val="en-US" w:eastAsia="zh-CN"/>
        </w:rPr>
        <w:t>和</w:t>
      </w:r>
      <w:r>
        <w:rPr>
          <w:rFonts w:hint="eastAsia" w:ascii="宋体" w:hAnsi="宋体" w:eastAsia="宋体" w:cs="宋体"/>
          <w:color w:val="auto"/>
          <w:highlight w:val="none"/>
          <w:lang w:eastAsia="zh-CN"/>
        </w:rPr>
        <w:t>招标文件要求提供</w:t>
      </w:r>
      <w:r>
        <w:rPr>
          <w:rFonts w:hint="eastAsia" w:ascii="宋体" w:hAnsi="宋体" w:cs="宋体"/>
          <w:color w:val="auto"/>
          <w:highlight w:val="none"/>
          <w:lang w:val="en-US" w:eastAsia="zh-CN"/>
        </w:rPr>
        <w:t>投标</w:t>
      </w:r>
      <w:r>
        <w:rPr>
          <w:rFonts w:hint="eastAsia" w:ascii="宋体" w:hAnsi="宋体" w:eastAsia="宋体" w:cs="宋体"/>
          <w:color w:val="auto"/>
          <w:highlight w:val="none"/>
          <w:lang w:eastAsia="zh-CN"/>
        </w:rPr>
        <w:t>产品取得节能环保认证的证明材料，未提供的相关项目不得分。施行强制采购的节能产品，没有提供</w:t>
      </w:r>
      <w:r>
        <w:rPr>
          <w:rFonts w:hint="eastAsia" w:ascii="宋体" w:hAnsi="宋体" w:cs="宋体"/>
          <w:color w:val="auto"/>
          <w:highlight w:val="none"/>
          <w:lang w:val="en-US" w:eastAsia="zh-CN"/>
        </w:rPr>
        <w:t>节能</w:t>
      </w:r>
      <w:r>
        <w:rPr>
          <w:rFonts w:hint="eastAsia" w:ascii="宋体" w:hAnsi="宋体" w:eastAsia="宋体" w:cs="宋体"/>
          <w:color w:val="auto"/>
          <w:highlight w:val="none"/>
          <w:lang w:eastAsia="zh-CN"/>
        </w:rPr>
        <w:t>认证证明的</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投标无效。</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、此表在不改变表式的情况下，可自行制作。</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highlight w:val="none"/>
          <w:u w:val="single"/>
          <w:lang w:val="en-US"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三、</w:t>
      </w:r>
      <w:r>
        <w:rPr>
          <w:rFonts w:hint="eastAsia" w:ascii="宋体" w:hAnsi="宋体"/>
          <w:b/>
          <w:bCs/>
          <w:color w:val="auto"/>
          <w:highlight w:val="none"/>
          <w:lang w:val="en-US" w:eastAsia="zh-CN"/>
        </w:rPr>
        <w:t>报价</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1、封面（见报价文件封面格式）</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3、开标一览表（见</w:t>
      </w:r>
      <w:r>
        <w:rPr>
          <w:rFonts w:hint="eastAsia" w:ascii="宋体" w:hAnsi="宋体"/>
          <w:color w:val="auto"/>
          <w:highlight w:val="none"/>
        </w:rPr>
        <w:t>格式</w:t>
      </w:r>
      <w:r>
        <w:rPr>
          <w:rFonts w:hint="eastAsia" w:ascii="宋体" w:hAnsi="宋体"/>
          <w:color w:val="auto"/>
          <w:highlight w:val="none"/>
          <w:lang w:val="en-US" w:eastAsia="zh-CN"/>
        </w:rPr>
        <w:t>11）</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4、投标分项报价表（见</w:t>
      </w:r>
      <w:r>
        <w:rPr>
          <w:rFonts w:hint="eastAsia" w:ascii="宋体" w:hAnsi="宋体"/>
          <w:color w:val="auto"/>
          <w:highlight w:val="none"/>
        </w:rPr>
        <w:t>格式</w:t>
      </w:r>
      <w:r>
        <w:rPr>
          <w:rFonts w:hint="eastAsia" w:ascii="宋体" w:hAnsi="宋体"/>
          <w:color w:val="auto"/>
          <w:highlight w:val="none"/>
          <w:lang w:val="en-US" w:eastAsia="zh-CN"/>
        </w:rPr>
        <w:t>12）</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5、中小企业声明函（见</w:t>
      </w:r>
      <w:r>
        <w:rPr>
          <w:rFonts w:hint="eastAsia" w:ascii="宋体" w:hAnsi="宋体"/>
          <w:color w:val="auto"/>
          <w:highlight w:val="none"/>
        </w:rPr>
        <w:t>格式</w:t>
      </w:r>
      <w:r>
        <w:rPr>
          <w:rFonts w:hint="eastAsia" w:ascii="宋体" w:hAnsi="宋体"/>
          <w:color w:val="auto"/>
          <w:highlight w:val="none"/>
          <w:lang w:val="en-US" w:eastAsia="zh-CN"/>
        </w:rPr>
        <w:t>13）（中小微企业提供）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6、残疾人福利性单位声明函（见</w:t>
      </w:r>
      <w:r>
        <w:rPr>
          <w:rFonts w:hint="eastAsia" w:ascii="宋体" w:hAnsi="宋体"/>
          <w:color w:val="auto"/>
          <w:highlight w:val="none"/>
        </w:rPr>
        <w:t>格式</w:t>
      </w:r>
      <w:r>
        <w:rPr>
          <w:rFonts w:hint="eastAsia" w:ascii="宋体" w:hAnsi="宋体"/>
          <w:color w:val="auto"/>
          <w:highlight w:val="none"/>
          <w:lang w:val="en-US" w:eastAsia="zh-CN"/>
        </w:rPr>
        <w:t>14）（残疾人福利性单位提供）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7、监狱企业证明文件（</w:t>
      </w:r>
      <w:r>
        <w:rPr>
          <w:rFonts w:hint="eastAsia" w:ascii="宋体" w:hAnsi="宋体"/>
          <w:color w:val="auto"/>
          <w:highlight w:val="none"/>
        </w:rPr>
        <w:t>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r>
        <w:rPr>
          <w:rFonts w:hint="eastAsia" w:ascii="宋体" w:hAnsi="宋体"/>
          <w:color w:val="auto"/>
          <w:highlight w:val="none"/>
          <w:lang w:val="en-US" w:eastAsia="zh-CN"/>
        </w:rPr>
        <w:t>）（监狱企业提供）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8、投标人认为需要提供的其他材料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1、投标人应按照报价文件组成所列内容和顺序编制报价文件。</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2、报价文件应按照招标文件格式要求进行CA电子签章，未有规定的投标人视情况签章。</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eastAsia" w:ascii="宋体" w:hAnsi="宋体"/>
          <w:color w:val="auto"/>
          <w:highlight w:val="none"/>
          <w:lang w:val="en-US" w:eastAsia="zh-CN"/>
        </w:rPr>
        <w:t>报价</w:t>
      </w:r>
      <w:r>
        <w:rPr>
          <w:rFonts w:hint="eastAsia" w:ascii="宋体" w:hAnsi="宋体"/>
          <w:color w:val="auto"/>
          <w:highlight w:val="none"/>
        </w:rPr>
        <w:t>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报价</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lang w:val="en-US" w:eastAsia="zh-CN"/>
        </w:rPr>
        <w:t>报价</w:t>
      </w:r>
      <w:r>
        <w:rPr>
          <w:rFonts w:hint="eastAsia" w:ascii="黑体" w:hAnsi="黑体" w:eastAsia="黑体"/>
          <w:color w:val="auto"/>
          <w:sz w:val="72"/>
          <w:szCs w:val="72"/>
          <w:highlight w:val="none"/>
        </w:rPr>
        <w:t>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柴桥中学智能录播教室设备</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BLZFCG2025034</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开标一览表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柴桥中学智能录播教室设备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411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709"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项目名称</w:t>
            </w:r>
          </w:p>
        </w:tc>
        <w:tc>
          <w:tcPr>
            <w:tcW w:w="4110"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b/>
                <w:bCs/>
                <w:color w:val="auto"/>
                <w:sz w:val="21"/>
                <w:szCs w:val="21"/>
                <w:highlight w:val="none"/>
              </w:rPr>
              <w:t>投标总价（元）</w:t>
            </w:r>
          </w:p>
        </w:tc>
        <w:tc>
          <w:tcPr>
            <w:tcW w:w="2127" w:type="dxa"/>
            <w:shd w:val="clear" w:color="auto" w:fill="auto"/>
            <w:noWrap w:val="0"/>
            <w:vAlign w:val="center"/>
          </w:tcPr>
          <w:p>
            <w:pPr>
              <w:widowControl/>
              <w:jc w:val="center"/>
              <w:rPr>
                <w:rFonts w:ascii="宋体" w:hAnsi="宋体"/>
                <w:b/>
                <w:bCs/>
                <w:color w:val="auto"/>
                <w:sz w:val="21"/>
                <w:szCs w:val="21"/>
                <w:highlight w:val="none"/>
              </w:rPr>
            </w:pPr>
            <w:r>
              <w:rPr>
                <w:rFonts w:hint="eastAsia" w:ascii="宋体" w:hAnsi="宋体"/>
                <w:b/>
                <w:bCs/>
                <w:color w:val="auto"/>
                <w:sz w:val="21"/>
                <w:szCs w:val="21"/>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709" w:type="dxa"/>
            <w:vMerge w:val="restart"/>
            <w:shd w:val="clear" w:color="auto" w:fill="auto"/>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color w:val="auto"/>
                <w:sz w:val="21"/>
                <w:szCs w:val="21"/>
                <w:highlight w:val="none"/>
                <w:lang w:eastAsia="zh-CN"/>
              </w:rPr>
              <w:t>柴桥中学智能录播教室设备</w:t>
            </w: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小写</w:t>
            </w:r>
            <w:r>
              <w:rPr>
                <w:rFonts w:hint="eastAsia" w:ascii="宋体" w:hAnsi="宋体"/>
                <w:color w:val="auto"/>
                <w:sz w:val="21"/>
                <w:szCs w:val="21"/>
                <w:highlight w:val="none"/>
                <w:lang w:eastAsia="zh-CN"/>
              </w:rPr>
              <w:t>：</w:t>
            </w:r>
          </w:p>
        </w:tc>
        <w:tc>
          <w:tcPr>
            <w:tcW w:w="2127" w:type="dxa"/>
            <w:vMerge w:val="restart"/>
            <w:shd w:val="clear" w:color="auto" w:fill="auto"/>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olor w:val="auto"/>
                <w:sz w:val="21"/>
                <w:szCs w:val="21"/>
                <w:highlight w:val="none"/>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709" w:type="dxa"/>
            <w:vMerge w:val="continue"/>
            <w:shd w:val="clear" w:color="auto" w:fill="auto"/>
            <w:noWrap w:val="0"/>
            <w:vAlign w:val="center"/>
          </w:tcPr>
          <w:p>
            <w:pPr>
              <w:widowControl/>
              <w:jc w:val="center"/>
              <w:rPr>
                <w:rFonts w:hint="eastAsia" w:ascii="宋体" w:hAnsi="宋体"/>
                <w:color w:val="auto"/>
                <w:sz w:val="21"/>
                <w:szCs w:val="21"/>
                <w:highlight w:val="none"/>
              </w:rPr>
            </w:pP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大写</w:t>
            </w:r>
            <w:r>
              <w:rPr>
                <w:rFonts w:hint="eastAsia" w:ascii="宋体" w:hAnsi="宋体"/>
                <w:color w:val="auto"/>
                <w:sz w:val="21"/>
                <w:szCs w:val="21"/>
                <w:highlight w:val="none"/>
                <w:lang w:eastAsia="zh-CN"/>
              </w:rPr>
              <w:t>：</w:t>
            </w:r>
          </w:p>
        </w:tc>
        <w:tc>
          <w:tcPr>
            <w:tcW w:w="2127" w:type="dxa"/>
            <w:vMerge w:val="continue"/>
            <w:shd w:val="clear" w:color="auto" w:fill="auto"/>
            <w:noWrap w:val="0"/>
            <w:vAlign w:val="center"/>
          </w:tcPr>
          <w:p>
            <w:pPr>
              <w:widowControl/>
              <w:jc w:val="left"/>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946" w:type="dxa"/>
            <w:gridSpan w:val="3"/>
            <w:shd w:val="clear" w:color="auto" w:fill="auto"/>
            <w:noWrap w:val="0"/>
            <w:tcMar>
              <w:top w:w="170" w:type="dxa"/>
              <w:bottom w:w="170" w:type="dxa"/>
            </w:tcMar>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投标人说明：</w:t>
            </w:r>
          </w:p>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投标人是否为符合要求的小微企业：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投标人是否为符合要求的监狱企业：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p>
            <w:pPr>
              <w:widowControl/>
              <w:jc w:val="left"/>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 xml:space="preserve">投标人是否为符合要求的残疾人福利性单位：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1、投标总价应为供应商提供本项目采购范围内的货物和服务所需的一切费用。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2、本表格的“投标总价”应与投标分项报价表的“投标总价”一致。</w:t>
      </w:r>
    </w:p>
    <w:p>
      <w:pPr>
        <w:spacing w:line="360" w:lineRule="auto"/>
        <w:rPr>
          <w:rFonts w:hint="eastAsia" w:ascii="宋体" w:hAnsi="宋体" w:eastAsia="宋体" w:cs="宋体"/>
          <w:strike/>
          <w:dstrike w:val="0"/>
          <w:color w:val="auto"/>
          <w:highlight w:val="none"/>
          <w:lang w:eastAsia="zh-CN"/>
        </w:rPr>
      </w:pPr>
      <w:r>
        <w:rPr>
          <w:rFonts w:hint="eastAsia" w:ascii="宋体" w:hAnsi="宋体" w:eastAsia="宋体" w:cs="宋体"/>
          <w:color w:val="auto"/>
          <w:highlight w:val="none"/>
          <w:lang w:val="en-US" w:eastAsia="zh-CN"/>
        </w:rPr>
        <w:t>3、投标人在投标客户端填写的最终报价应当与加密上传的报价文件中“开标一览表”的投标总价一致，否则</w:t>
      </w:r>
      <w:r>
        <w:rPr>
          <w:rFonts w:hint="eastAsia" w:ascii="宋体" w:hAnsi="宋体" w:eastAsia="宋体" w:cs="宋体"/>
          <w:strike w:val="0"/>
          <w:dstrike w:val="0"/>
          <w:color w:val="auto"/>
          <w:highlight w:val="none"/>
          <w:lang w:val="en-US" w:eastAsia="zh-CN"/>
        </w:rPr>
        <w:t>以上传文件</w:t>
      </w:r>
      <w:r>
        <w:rPr>
          <w:rFonts w:hint="eastAsia" w:ascii="宋体" w:hAnsi="宋体" w:eastAsia="宋体" w:cs="宋体"/>
          <w:color w:val="auto"/>
          <w:highlight w:val="none"/>
          <w:lang w:val="en-US" w:eastAsia="zh-CN"/>
        </w:rPr>
        <w:t>开标一览表</w:t>
      </w:r>
      <w:r>
        <w:rPr>
          <w:rFonts w:hint="eastAsia" w:ascii="宋体" w:hAnsi="宋体" w:eastAsia="宋体" w:cs="宋体"/>
          <w:strike w:val="0"/>
          <w:dstrike w:val="0"/>
          <w:color w:val="auto"/>
          <w:highlight w:val="none"/>
          <w:lang w:val="en-US" w:eastAsia="zh-CN"/>
        </w:rPr>
        <w:t>中的报价为准，并对客户端报价进行修正。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投标分项报价表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柴桥中学智能录播教室设备</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BLZFCG2025034</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845"/>
        <w:gridCol w:w="2273"/>
        <w:gridCol w:w="850"/>
        <w:gridCol w:w="850"/>
        <w:gridCol w:w="141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0"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845"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2273"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bCs/>
                <w:color w:val="auto"/>
                <w:szCs w:val="21"/>
                <w:highlight w:val="none"/>
              </w:rPr>
              <w:t>品牌、规格及型号</w:t>
            </w:r>
          </w:p>
        </w:tc>
        <w:tc>
          <w:tcPr>
            <w:tcW w:w="850"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单位</w:t>
            </w:r>
          </w:p>
        </w:tc>
        <w:tc>
          <w:tcPr>
            <w:tcW w:w="850"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c>
          <w:tcPr>
            <w:tcW w:w="1414"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综合单价</w:t>
            </w:r>
          </w:p>
          <w:p>
            <w:pPr>
              <w:jc w:val="center"/>
              <w:rPr>
                <w:rFonts w:hint="eastAsia" w:ascii="宋体" w:hAnsi="宋体" w:eastAsia="宋体" w:cs="宋体"/>
                <w:b/>
                <w:color w:val="auto"/>
                <w:highlight w:val="none"/>
              </w:rPr>
            </w:pPr>
            <w:r>
              <w:rPr>
                <w:rFonts w:hint="eastAsia" w:ascii="宋体" w:hAnsi="宋体" w:cs="宋体"/>
                <w:b/>
                <w:color w:val="auto"/>
                <w:sz w:val="18"/>
                <w:szCs w:val="18"/>
                <w:highlight w:val="none"/>
                <w:lang w:eastAsia="zh-CN"/>
              </w:rPr>
              <w:t>（</w:t>
            </w:r>
            <w:r>
              <w:rPr>
                <w:rFonts w:hint="eastAsia" w:ascii="宋体" w:hAnsi="宋体" w:eastAsia="宋体" w:cs="宋体"/>
                <w:b/>
                <w:color w:val="auto"/>
                <w:sz w:val="18"/>
                <w:szCs w:val="18"/>
                <w:highlight w:val="none"/>
              </w:rPr>
              <w:t>元/单位</w:t>
            </w:r>
            <w:r>
              <w:rPr>
                <w:rFonts w:hint="eastAsia" w:ascii="宋体" w:hAnsi="宋体" w:cs="宋体"/>
                <w:b/>
                <w:color w:val="auto"/>
                <w:sz w:val="18"/>
                <w:szCs w:val="18"/>
                <w:highlight w:val="none"/>
                <w:lang w:eastAsia="zh-CN"/>
              </w:rPr>
              <w:t>）</w:t>
            </w:r>
          </w:p>
        </w:tc>
        <w:tc>
          <w:tcPr>
            <w:tcW w:w="1275"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总价</w:t>
            </w:r>
          </w:p>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655" w:type="dxa"/>
            <w:gridSpan w:val="2"/>
            <w:vMerge w:val="restart"/>
            <w:noWrap w:val="0"/>
            <w:vAlign w:val="center"/>
          </w:tcPr>
          <w:p>
            <w:pPr>
              <w:spacing w:line="26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投标总价</w:t>
            </w:r>
            <w:r>
              <w:rPr>
                <w:rFonts w:hint="eastAsia" w:ascii="宋体" w:hAnsi="宋体" w:eastAsia="宋体" w:cs="宋体"/>
                <w:b/>
                <w:bCs/>
                <w:color w:val="auto"/>
                <w:szCs w:val="21"/>
                <w:highlight w:val="none"/>
              </w:rPr>
              <w:t>（元）</w:t>
            </w:r>
          </w:p>
        </w:tc>
        <w:tc>
          <w:tcPr>
            <w:tcW w:w="6662" w:type="dxa"/>
            <w:gridSpan w:val="5"/>
            <w:noWrap w:val="0"/>
            <w:vAlign w:val="center"/>
          </w:tcPr>
          <w:p>
            <w:pPr>
              <w:widowControl/>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655" w:type="dxa"/>
            <w:gridSpan w:val="2"/>
            <w:vMerge w:val="continue"/>
            <w:noWrap w:val="0"/>
            <w:vAlign w:val="center"/>
          </w:tcPr>
          <w:p>
            <w:pPr>
              <w:spacing w:line="260" w:lineRule="exact"/>
              <w:rPr>
                <w:rFonts w:hint="eastAsia" w:ascii="宋体" w:hAnsi="宋体" w:eastAsia="宋体" w:cs="宋体"/>
                <w:color w:val="auto"/>
                <w:sz w:val="18"/>
                <w:szCs w:val="18"/>
                <w:highlight w:val="none"/>
              </w:rPr>
            </w:pPr>
          </w:p>
        </w:tc>
        <w:tc>
          <w:tcPr>
            <w:tcW w:w="6662" w:type="dxa"/>
            <w:gridSpan w:val="5"/>
            <w:noWrap w:val="0"/>
            <w:vAlign w:val="center"/>
          </w:tcPr>
          <w:p>
            <w:pPr>
              <w:widowControl/>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大写：</w:t>
            </w: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1、本表设备名称填写的顺序应与本招标文件第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部分中的采购清单相一致</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2、本表格的“投标总价”应与开标一览表的“投标总价”一致。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lang w:val="en-US" w:eastAsia="zh-CN"/>
        </w:rPr>
      </w:pPr>
      <w:r>
        <w:rPr>
          <w:rFonts w:hint="eastAsia" w:eastAsia="黑体"/>
          <w:color w:val="auto"/>
          <w:spacing w:val="20"/>
          <w:sz w:val="36"/>
          <w:szCs w:val="32"/>
          <w:highlight w:val="none"/>
          <w:lang w:val="en-US" w:eastAsia="zh-CN"/>
        </w:rPr>
        <w:t>中小企业声明函（货物）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本公司郑重声明，根据《政府采购促进中小企业发展管理办法》（财库[20</w:t>
      </w:r>
      <w:r>
        <w:rPr>
          <w:rFonts w:hint="eastAsia" w:ascii="宋体" w:hAnsi="宋体" w:eastAsia="宋体" w:cs="宋体"/>
          <w:color w:val="auto"/>
          <w:highlight w:val="none"/>
          <w:lang w:eastAsia="zh-CN"/>
        </w:rPr>
        <w:t>20]46号）的规定，本公司参加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采购活动，提供的货物全部由符合政策要求的中小企业制造。相关企业的具体情况如下：</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1、（货物名称1）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2、（货物名称2）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以上企业</w:t>
      </w:r>
      <w:r>
        <w:rPr>
          <w:rFonts w:hint="eastAsia" w:ascii="宋体" w:hAnsi="宋体" w:eastAsia="宋体" w:cs="宋体"/>
          <w:color w:val="auto"/>
          <w:highlight w:val="none"/>
          <w:lang w:eastAsia="zh-CN"/>
        </w:rPr>
        <w:t>，不属于大企业的分支机构，不存在控股股东为大企业的情形，也不存在与大企业的负责人为同一人的情形。</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本企业对上述声明内容的真实性负责。如有虚假，将依法承担相应责任。</w:t>
      </w: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企业划分标准，按照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中小企业划型标准规定</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（工信部联企业[2011]300号）文件的规定。从业人员、营业收入、资产总额填报上一年度数据，无上一年度数据的新成立企业可不填报。</w:t>
      </w:r>
    </w:p>
    <w:p>
      <w:pPr>
        <w:spacing w:line="360" w:lineRule="auto"/>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2、投标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val="en-US" w:eastAsia="zh-CN"/>
        </w:rPr>
        <w:t>应按本招标文件第四部分中的采购清单所列产品顺序，列出相关企业的具体情况</w:t>
      </w:r>
      <w:r>
        <w:rPr>
          <w:rFonts w:hint="eastAsia" w:ascii="宋体" w:hAnsi="宋体" w:cs="宋体"/>
          <w:color w:val="auto"/>
          <w:highlight w:val="none"/>
          <w:lang w:val="en-US" w:eastAsia="zh-CN"/>
        </w:rPr>
        <w:t>。</w:t>
      </w:r>
      <w:r>
        <w:rPr>
          <w:rFonts w:hint="eastAsia" w:ascii="宋体" w:hAnsi="宋体" w:cs="宋体"/>
          <w:color w:val="auto"/>
          <w:highlight w:val="none"/>
          <w:lang w:val="en-US" w:eastAsia="zh-CN"/>
        </w:rPr>
        <w:t>由同一制造商生产的货物，允许合并列出。</w:t>
      </w:r>
      <w:r>
        <w:rPr>
          <w:rFonts w:hint="eastAsia" w:ascii="宋体" w:hAnsi="宋体" w:cs="宋体"/>
          <w:color w:val="auto"/>
          <w:highlight w:val="none"/>
          <w:lang w:val="en-US" w:eastAsia="zh-CN"/>
        </w:rPr>
        <w:t>对于采购清单中涉及到的辅材（如电线、线管、配件等）、利旧产品、非货物类（如施工、安装、</w:t>
      </w:r>
      <w:r>
        <w:rPr>
          <w:rFonts w:hint="eastAsia" w:ascii="宋体" w:hAnsi="宋体" w:cs="宋体"/>
          <w:color w:val="auto"/>
          <w:highlight w:val="none"/>
          <w:lang w:val="en-US" w:eastAsia="zh-CN"/>
        </w:rPr>
        <w:t>拆除、</w:t>
      </w:r>
      <w:r>
        <w:rPr>
          <w:rFonts w:hint="eastAsia" w:ascii="宋体" w:hAnsi="宋体" w:cs="宋体"/>
          <w:color w:val="auto"/>
          <w:highlight w:val="none"/>
          <w:lang w:val="en-US" w:eastAsia="zh-CN"/>
        </w:rPr>
        <w:t>调试、租赁、运维等）的项目，可以不列出相关企业的具体情况。</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投标供应商提供的货物既有中小企业制造货物，也有大型企业制造货物的，不享受《政府采购促进中小企业发展管理办法》规定的中小企业扶持政策。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符合相应条件的企业应根据招标文件要求提供《中小企业声明函》，未按要求提供声明函的不被认定为中小微型企业。</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提交中小企业声明函享受评审价格扣除优惠并中标的，内容随中标公告一同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val="en-US" w:eastAsia="zh-CN"/>
        </w:rPr>
      </w:pPr>
      <w:r>
        <w:rPr>
          <w:rFonts w:ascii="宋体" w:hAnsi="宋体"/>
          <w:color w:val="auto"/>
          <w:highlight w:val="none"/>
        </w:rPr>
        <w:br w:type="page"/>
      </w:r>
      <w:r>
        <w:rPr>
          <w:rFonts w:hint="eastAsia" w:ascii="宋体" w:hAnsi="宋体" w:eastAsia="宋体" w:cs="宋体"/>
          <w:b/>
          <w:bCs/>
          <w:color w:val="auto"/>
          <w:highlight w:val="none"/>
          <w:lang w:val="en-US" w:eastAsia="zh-CN"/>
        </w:rPr>
        <w:t>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1、执行财政部、工业和信息化部《政府采购促进中小企业发展管理办法》（财库〔2020〕46号）。政府采购活动中有关中小企业的相关规定如下：</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1.2在政府采购活动中，供应商提供的货物、工程或者服务符合下列情形的，享受《政府采购促进中小企业发展管理办法》规定的中小企业扶持政策：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（1）、在货物采购项目中，货物由中小企业制造，即货物由中小企业生产且使用该中小企业商号或者注册商标；</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（2）、在工程采购项目中，工程由中小企业承建，即工程施工单位为中小企业；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（3）、在服务采购项目中，服务由中小企业承接，即提供服务的人员为中小企业依照《中华人民共和国劳动合同法》订立劳动合同的从业人员。</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在货物采购项目中，供应商提供的货物既有中小企业制造货物，也有大型企业制造货物的，不享受《政府采购促进中小企业发展管理办法》规定的中小企业扶持政策。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以联合体形式参加政府采购活动，联合体各方均为中小企业的，联合体视同中小企业。其中，联合体各方均为小微企业的，联合体视同小微企业。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1.3中小企业参加政府采购活动，应当出具《政府采购促进中小企业发展管理办法》规定的《中小企业声明函》（格式见本采购文件附件），否则不得享受相关中小企业扶持政策。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供应商提供声明函内容不实的，属于提供虚假材料谋取中标、成交，依照《中华人民共和国政府采购法》等国家有关规定追究相应责任。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适用招标投标法的政府采购工程建设项目，投标人提供声明函内容不实的，属于弄虚作假骗取中标，依照《中华人民共和国招标投标法》等国家有关规定追究相应责任。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1.5《中小企业声明函》由参加投标的供应商提交，如供应商为代理商，须自行采集制造商的中小企业划分类型信息填入相应栏目并对其真实性负责。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drawing>
          <wp:inline distT="0" distB="0" distL="114300" distR="114300">
            <wp:extent cx="5612765" cy="8722995"/>
            <wp:effectExtent l="0" t="0" r="6985" b="1905"/>
            <wp:docPr id="2" name="图片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3"/>
                    <pic:cNvPicPr>
                      <a:picLocks noChangeAspect="1"/>
                    </pic:cNvPicPr>
                  </pic:nvPicPr>
                  <pic:blipFill>
                    <a:blip r:embed="rId8"/>
                    <a:stretch>
                      <a:fillRect/>
                    </a:stretch>
                  </pic:blipFill>
                  <pic:spPr>
                    <a:xfrm>
                      <a:off x="0" y="0"/>
                      <a:ext cx="5612765" cy="8722995"/>
                    </a:xfrm>
                    <a:prstGeom prst="rect">
                      <a:avLst/>
                    </a:prstGeom>
                  </pic:spPr>
                </pic:pic>
              </a:graphicData>
            </a:graphic>
          </wp:inline>
        </w:drawing>
      </w:r>
      <w:r>
        <w:rPr>
          <w:rFonts w:hint="eastAsia" w:ascii="宋体" w:hAnsi="宋体" w:eastAsia="宋体" w:cs="宋体"/>
          <w:b/>
          <w:bCs/>
          <w:color w:val="auto"/>
          <w:highlight w:val="none"/>
          <w:lang w:eastAsia="zh-CN"/>
        </w:rPr>
        <w:t>风险提示：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1.在货物采购项目中，供应商提供的货物既有中型企业制造，也有小微企业制造的，不享受办法规定的小微企业扶持政策。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2.投标人应当对其出具的《中小企业声明函》真实性负责，投标人出具的《中小企业声明函》内容不实的，</w:t>
      </w:r>
      <w:r>
        <w:rPr>
          <w:rFonts w:hint="eastAsia" w:ascii="宋体" w:hAnsi="宋体" w:eastAsia="宋体" w:cs="宋体"/>
          <w:b/>
          <w:bCs/>
          <w:color w:val="auto"/>
          <w:highlight w:val="none"/>
          <w:lang w:eastAsia="zh-CN"/>
        </w:rPr>
        <w:t>属于提供虚假材料谋取中标</w:t>
      </w:r>
      <w:r>
        <w:rPr>
          <w:rFonts w:hint="eastAsia" w:ascii="宋体" w:hAnsi="宋体" w:eastAsia="宋体" w:cs="宋体"/>
          <w:color w:val="auto"/>
          <w:highlight w:val="none"/>
          <w:lang w:eastAsia="zh-CN"/>
        </w:rPr>
        <w:t>。在实际操作中，投标人希望获得《办法》规定政策支持的，应从制造商处获得充分、准确的信息。对相关制造商信息了解不充分，或者不能确定相关信息真实、准确的，不建议出具《中小企业声明函》。</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14-1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残疾人福利性单位声明函（投标人出具）</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中国残疾人联合会关于促进残疾人就业政府采购政策的通知》（财库[2017]141号）的规定，本单位为符合条件的残疾人福</w:t>
      </w:r>
      <w:r>
        <w:rPr>
          <w:rFonts w:hint="eastAsia" w:ascii="宋体" w:hAnsi="宋体" w:eastAsia="宋体" w:cs="宋体"/>
          <w:color w:val="auto"/>
          <w:szCs w:val="21"/>
          <w:highlight w:val="none"/>
        </w:rPr>
        <w:t>利性单位，且本单位参加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1"/>
          <w:highlight w:val="none"/>
        </w:rPr>
        <w:t>采购活动，提供本单位制造的货物</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或者</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提供其他残疾人福利性单位制造的货物（不包括使用非残疾人福利性单位注册商标的货物）。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本单位对上述声明的真实性负责。如有虚假，将依法承担相应责任。</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在本次政府采购活动中，残疾人福利性单位视同小型、微型企业，享受评审中价格扣除等促进中小企业发展的政府采购政策。残疾人福利性单位属于小型、微型企业的，不重复享受政策。</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2、投标货物全部由投标人自己生产的，只要提供本声明函即可。如果投标货物（全部或部分）由其他制造商生产的，则必须同时提供该制造商的残疾人福利性单位声明函。</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3、符合相应条件的企业应根据招标文件要求提供《残疾人福利性单位声明函》，未按要求提供声明函的不被认定为残疾人福利性单位。</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4、提交残疾人福利性单位声明函享受评审价格扣除优惠并中标的，内容随中标公告一同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14-2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残疾人福利性单位声明函（其他制造商出具）</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rPr>
          <w:rFonts w:ascii="宋体" w:hAnsi="宋体"/>
          <w:color w:val="auto"/>
          <w:highlight w:val="none"/>
        </w:rPr>
      </w:pPr>
    </w:p>
    <w:p>
      <w:pPr>
        <w:spacing w:line="360" w:lineRule="auto"/>
        <w:rPr>
          <w:rFonts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rPr>
      </w:pPr>
      <w:r>
        <w:rPr>
          <w:rFonts w:hint="eastAsia" w:ascii="宋体" w:hAnsi="宋体"/>
          <w:color w:val="auto"/>
          <w:szCs w:val="21"/>
          <w:highlight w:val="none"/>
        </w:rPr>
        <w:t>制造商（单位公章）：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1、投标货物中含有其他制造商生产的产品的，须提供由该产品制造商出具的残疾人福利性单位声明函，未按要求提供声明函的该制造商不被认定为残疾人福利性单位。</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2、在投标文件中提供由其他制造商出具的残疾人福利性单位声明函原件彩色扫描件。</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ascii="宋体" w:hAnsi="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rPr>
        <w:t>部分  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评标原则</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评标活动遵循公平、公正、客观的原则，按招标文件中规定的评标方法和标准进行。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评标办法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本次招标采用综合评分法。</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采购人和采购代理机构根据采购项目的内容特点按照规定组建评标委员会。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评标委员会由采购人代表和评审专家组成，成员人数为5人以上单数，其中评审专家不少于成员总数的三分之二。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4.1资格文件审查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开标后，采购人、采购代理机构按照招标文件的规定对投标人的资格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文件进行审查，以确定投标供应商是否具备投标资格。</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审查内容包括投标人提供的资格证明材料是否齐全规范，投标人资格、信用信息等是否满足招标文件的要求。审查不合格的投标人，不进入技术商务文件评审。</w:t>
      </w:r>
      <w:r>
        <w:rPr>
          <w:rFonts w:hint="eastAsia" w:ascii="宋体" w:hAnsi="宋体" w:eastAsia="宋体" w:cs="宋体"/>
          <w:color w:val="auto"/>
          <w:highlight w:val="none"/>
        </w:rPr>
        <w:t>（具体见本部分无效投标的认定）</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4.2技术商务文件评审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4.2.1</w:t>
      </w:r>
      <w:r>
        <w:rPr>
          <w:rFonts w:hint="eastAsia" w:ascii="宋体" w:hAnsi="宋体" w:eastAsia="宋体" w:cs="宋体"/>
          <w:color w:val="auto"/>
          <w:highlight w:val="none"/>
        </w:rPr>
        <w:t>技术商务文件符合性审查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资格审查通过后，开启合格投标人的技术商务文件。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评标委员会依据招标文件的规定，对投标人的技术商务文件的有效性、完整性和对招标文件的响应程度进行审查，以确定是否对招标文件的实质性要求作出响应。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审查内容包括技术商务文件是否完整、文件签署是否齐全等，还包括投标文件是否对招标文件提出的所有实质性要求和条件作出响应，有无重大偏差；如有重大偏差者，作无效投标处理，不予进入详细评审。</w:t>
      </w:r>
      <w:r>
        <w:rPr>
          <w:rFonts w:hint="eastAsia" w:ascii="宋体" w:hAnsi="宋体" w:eastAsia="宋体" w:cs="宋体"/>
          <w:color w:val="auto"/>
          <w:highlight w:val="none"/>
        </w:rPr>
        <w:t>（具体见本部分无效投标的认定）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4.2.2</w:t>
      </w:r>
      <w:r>
        <w:rPr>
          <w:rFonts w:hint="eastAsia" w:ascii="宋体" w:hAnsi="宋体" w:eastAsia="宋体" w:cs="宋体"/>
          <w:color w:val="auto"/>
          <w:highlight w:val="none"/>
        </w:rPr>
        <w:t>技术商务文件详细评审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w:t>
      </w:r>
      <w:r>
        <w:rPr>
          <w:rFonts w:hint="eastAsia" w:ascii="宋体" w:hAnsi="宋体" w:eastAsia="宋体" w:cs="宋体"/>
          <w:color w:val="auto"/>
          <w:highlight w:val="none"/>
        </w:rPr>
        <w:t>对具备实质性响应的</w:t>
      </w:r>
      <w:r>
        <w:rPr>
          <w:rFonts w:hint="eastAsia" w:ascii="宋体" w:hAnsi="宋体" w:eastAsia="宋体" w:cs="宋体"/>
          <w:color w:val="auto"/>
          <w:highlight w:val="none"/>
        </w:rPr>
        <w:t>技术商务文件</w:t>
      </w:r>
      <w:r>
        <w:rPr>
          <w:rFonts w:hint="eastAsia" w:ascii="宋体" w:hAnsi="宋体" w:eastAsia="宋体" w:cs="宋体"/>
          <w:color w:val="auto"/>
          <w:highlight w:val="none"/>
        </w:rPr>
        <w:t>进行</w:t>
      </w:r>
      <w:r>
        <w:rPr>
          <w:rFonts w:hint="eastAsia" w:ascii="宋体" w:hAnsi="宋体" w:eastAsia="宋体" w:cs="宋体"/>
          <w:color w:val="auto"/>
          <w:highlight w:val="none"/>
          <w:lang w:val="en-US" w:eastAsia="zh-CN"/>
        </w:rPr>
        <w:t>进一步</w:t>
      </w:r>
      <w:r>
        <w:rPr>
          <w:rFonts w:hint="eastAsia" w:ascii="宋体" w:hAnsi="宋体" w:eastAsia="宋体" w:cs="宋体"/>
          <w:color w:val="auto"/>
          <w:highlight w:val="none"/>
        </w:rPr>
        <w:t>评估和比较</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评标委员会成员根据投标人的技术商务文件及相关澄清文件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按照评分标准表</w:t>
      </w:r>
      <w:r>
        <w:rPr>
          <w:rFonts w:hint="eastAsia" w:ascii="宋体" w:hAnsi="宋体" w:eastAsia="宋体" w:cs="宋体"/>
          <w:color w:val="auto"/>
          <w:highlight w:val="none"/>
        </w:rPr>
        <w:t>（具体见本部分评分标准表）</w:t>
      </w:r>
      <w:r>
        <w:rPr>
          <w:rFonts w:hint="eastAsia" w:ascii="宋体" w:hAnsi="宋体" w:eastAsia="宋体" w:cs="宋体"/>
          <w:color w:val="auto"/>
          <w:highlight w:val="none"/>
        </w:rPr>
        <w:t>对各投标人技术商务</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进行打分。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评标委员会成员打分采用记名方式，统计时汇总每一细项每位评标委员会成员的评分，取算术平均分（小数点后保留二位小数，四舍五入）。</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4.3报价文件评审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4.3.1报价文件</w:t>
      </w:r>
      <w:r>
        <w:rPr>
          <w:rFonts w:hint="eastAsia" w:ascii="宋体" w:hAnsi="宋体" w:eastAsia="宋体" w:cs="宋体"/>
          <w:color w:val="auto"/>
          <w:highlight w:val="none"/>
        </w:rPr>
        <w:t>符合性审查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技术商务文件评审结束后，开启有效投标人的报价文件。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评标委员会对投标人的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文件是否完整、文件签署是否齐全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报价是否超出采购预算或最高限价，</w:t>
      </w:r>
      <w:r>
        <w:rPr>
          <w:rFonts w:hint="eastAsia" w:ascii="宋体" w:hAnsi="宋体" w:eastAsia="宋体" w:cs="宋体"/>
          <w:color w:val="auto"/>
          <w:highlight w:val="none"/>
        </w:rPr>
        <w:t>投标文件是否对招标文件提出的实质性要求作出响应，有无重大偏差；如有重大偏差者，作无效投标处理，不予进入详细评审</w:t>
      </w:r>
      <w:r>
        <w:rPr>
          <w:rFonts w:hint="eastAsia" w:ascii="宋体" w:hAnsi="宋体" w:eastAsia="宋体" w:cs="宋体"/>
          <w:color w:val="auto"/>
          <w:highlight w:val="none"/>
        </w:rPr>
        <w:t>。</w:t>
      </w:r>
      <w:r>
        <w:rPr>
          <w:rFonts w:hint="eastAsia" w:ascii="宋体" w:hAnsi="宋体" w:eastAsia="宋体" w:cs="宋体"/>
          <w:color w:val="auto"/>
          <w:highlight w:val="none"/>
        </w:rPr>
        <w:t>（具体见本部分无效投标的认定）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4.3.2报价文件</w:t>
      </w:r>
      <w:r>
        <w:rPr>
          <w:rFonts w:hint="eastAsia" w:ascii="宋体" w:hAnsi="宋体" w:eastAsia="宋体" w:cs="宋体"/>
          <w:color w:val="auto"/>
          <w:highlight w:val="none"/>
        </w:rPr>
        <w:t>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w:t>
      </w:r>
      <w:r>
        <w:rPr>
          <w:rFonts w:hint="eastAsia" w:ascii="宋体" w:hAnsi="宋体" w:eastAsia="宋体" w:cs="宋体"/>
          <w:color w:val="auto"/>
          <w:highlight w:val="none"/>
        </w:rPr>
        <w:t>对具备实质性响应的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w:t>
      </w:r>
      <w:r>
        <w:rPr>
          <w:rFonts w:hint="eastAsia" w:ascii="宋体" w:hAnsi="宋体" w:eastAsia="宋体" w:cs="宋体"/>
          <w:color w:val="auto"/>
          <w:highlight w:val="none"/>
        </w:rPr>
        <w:t>进行</w:t>
      </w:r>
      <w:r>
        <w:rPr>
          <w:rFonts w:hint="eastAsia" w:ascii="宋体" w:hAnsi="宋体" w:eastAsia="宋体" w:cs="宋体"/>
          <w:color w:val="auto"/>
          <w:highlight w:val="none"/>
          <w:lang w:val="en-US" w:eastAsia="zh-CN"/>
        </w:rPr>
        <w:t>进一步评审</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评标委员会</w:t>
      </w:r>
      <w:r>
        <w:rPr>
          <w:rFonts w:hint="eastAsia" w:ascii="宋体" w:hAnsi="宋体" w:eastAsia="宋体" w:cs="宋体"/>
          <w:color w:val="auto"/>
          <w:highlight w:val="none"/>
        </w:rPr>
        <w:t>认为投标人的报价明显低于其他通过符合性审查投标人的报价，有可能影响产品质量或者不能诚信履约的，应当要求其在</w:t>
      </w:r>
      <w:r>
        <w:rPr>
          <w:rFonts w:hint="eastAsia" w:ascii="宋体" w:hAnsi="宋体" w:eastAsia="宋体" w:cs="宋体"/>
          <w:color w:val="auto"/>
          <w:highlight w:val="none"/>
        </w:rPr>
        <w:t>评标</w:t>
      </w:r>
      <w:r>
        <w:rPr>
          <w:rFonts w:hint="eastAsia" w:ascii="宋体" w:hAnsi="宋体" w:eastAsia="宋体" w:cs="宋体"/>
          <w:color w:val="auto"/>
          <w:highlight w:val="none"/>
          <w:lang w:val="en-US" w:eastAsia="zh-CN"/>
        </w:rPr>
        <w:t>期间</w:t>
      </w:r>
      <w:r>
        <w:rPr>
          <w:rFonts w:hint="eastAsia" w:ascii="宋体" w:hAnsi="宋体" w:eastAsia="宋体" w:cs="宋体"/>
          <w:color w:val="auto"/>
          <w:highlight w:val="none"/>
        </w:rPr>
        <w:t>合理的时间内提供书面说明，必要时提交相关证明材料，投标人不能证明其报价合理性的，作无效投标处理</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4.3.3报价修正规则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在评审中，对投标报价出现前后不一致的，除招标文件另有规定外，按照下列规定修正：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（1）投标文件中开标一览表内容与投标文件中明细表内容不一致的，以开标一览表为准。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（2）投标文件的大写金额和小写金额不一致的，以大写金额为准。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按上述方法调整后的投标报价经投标人确认后产生约束力，投标人不确认的，其投标无效。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4.3.4</w:t>
      </w:r>
      <w:r>
        <w:rPr>
          <w:rFonts w:hint="eastAsia" w:ascii="宋体" w:hAnsi="宋体" w:eastAsia="宋体" w:cs="宋体"/>
          <w:color w:val="auto"/>
          <w:highlight w:val="none"/>
        </w:rPr>
        <w:t>计算报价得分</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评审</w:t>
      </w:r>
      <w:r>
        <w:rPr>
          <w:rFonts w:hint="eastAsia" w:ascii="宋体" w:hAnsi="宋体" w:eastAsia="宋体" w:cs="宋体"/>
          <w:color w:val="auto"/>
          <w:highlight w:val="none"/>
          <w:lang w:val="en-US" w:eastAsia="zh-CN"/>
        </w:rPr>
        <w:t>结束后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评标委员会</w:t>
      </w:r>
      <w:r>
        <w:rPr>
          <w:rFonts w:hint="eastAsia" w:ascii="宋体" w:hAnsi="宋体" w:eastAsia="宋体" w:cs="宋体"/>
          <w:color w:val="auto"/>
          <w:highlight w:val="none"/>
        </w:rPr>
        <w:t>按评分标准表</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计算</w:t>
      </w:r>
      <w:r>
        <w:rPr>
          <w:rFonts w:hint="eastAsia" w:ascii="宋体" w:hAnsi="宋体" w:eastAsia="宋体" w:cs="宋体"/>
          <w:color w:val="auto"/>
          <w:highlight w:val="none"/>
          <w:lang w:val="en-US" w:eastAsia="zh-CN"/>
        </w:rPr>
        <w:t>各投标人的报价得分</w:t>
      </w:r>
      <w:r>
        <w:rPr>
          <w:rFonts w:hint="eastAsia" w:ascii="宋体" w:hAnsi="宋体" w:eastAsia="宋体" w:cs="宋体"/>
          <w:color w:val="auto"/>
          <w:highlight w:val="none"/>
        </w:rPr>
        <w:t>（小数点后保留二位小数，四舍五入）</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评审结果</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评标委员会对各投标人技术商务得分和报价得分进行汇总并排序。</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评标委员会根据全体评标成员签字的原始评标记录和评标结果编写评标报告。按得分由高到低顺序推荐中标候选人。</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5、询标澄清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5.2除</w:t>
      </w:r>
      <w:r>
        <w:rPr>
          <w:rFonts w:hint="eastAsia" w:ascii="宋体" w:hAnsi="宋体" w:eastAsia="宋体" w:cs="宋体"/>
          <w:color w:val="auto"/>
          <w:highlight w:val="none"/>
        </w:rPr>
        <w:t>依法进行</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澄清、说明、补正外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投标人不得通过对投标文件修正、</w:t>
      </w:r>
      <w:r>
        <w:rPr>
          <w:rFonts w:hint="eastAsia" w:ascii="宋体" w:hAnsi="宋体" w:eastAsia="宋体" w:cs="宋体"/>
          <w:color w:val="auto"/>
          <w:highlight w:val="none"/>
          <w:lang w:val="en-US" w:eastAsia="zh-CN"/>
        </w:rPr>
        <w:t>撤销</w:t>
      </w:r>
      <w:r>
        <w:rPr>
          <w:rFonts w:hint="eastAsia" w:ascii="宋体" w:hAnsi="宋体" w:eastAsia="宋体" w:cs="宋体"/>
          <w:color w:val="auto"/>
          <w:highlight w:val="none"/>
        </w:rPr>
        <w:t>不符合要求的条款或通过投标文件以外的补充、纠正、佐证等，使其投标成为实质上响应的投标</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6、无效投标的认定</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实质上没有响应招标文件要求的投标被视为无效投标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投标响应文件有下列情形之一的作无效投</w:t>
      </w:r>
      <w:r>
        <w:rPr>
          <w:rFonts w:hint="eastAsia" w:ascii="宋体" w:hAnsi="宋体" w:eastAsia="宋体" w:cs="宋体"/>
          <w:color w:val="auto"/>
          <w:sz w:val="21"/>
          <w:szCs w:val="21"/>
          <w:highlight w:val="none"/>
        </w:rPr>
        <w:t>标处理</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6.1未按</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val="en-US" w:eastAsia="zh-CN"/>
        </w:rPr>
        <w:t>6.2</w:t>
      </w:r>
      <w:r>
        <w:rPr>
          <w:rFonts w:hint="eastAsia" w:ascii="宋体" w:hAnsi="宋体" w:eastAsia="宋体" w:cs="宋体"/>
          <w:color w:val="auto"/>
          <w:sz w:val="21"/>
          <w:szCs w:val="21"/>
          <w:highlight w:val="none"/>
        </w:rPr>
        <w:t>仅提交备份电子投标文件的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6.3不具备招标文件规定的资格要求的</w:t>
      </w:r>
      <w:r>
        <w:rPr>
          <w:rFonts w:hint="eastAsia" w:ascii="宋体" w:hAnsi="宋体" w:eastAsia="宋体" w:cs="宋体"/>
          <w:color w:val="auto"/>
          <w:highlight w:val="none"/>
          <w:lang w:val="en-US" w:eastAsia="zh-CN"/>
        </w:rPr>
        <w:t>或者</w:t>
      </w:r>
      <w:r>
        <w:rPr>
          <w:rFonts w:hint="eastAsia" w:ascii="宋体" w:hAnsi="宋体" w:eastAsia="宋体" w:cs="宋体"/>
          <w:color w:val="auto"/>
          <w:highlight w:val="none"/>
          <w:lang w:eastAsia="zh-CN"/>
        </w:rPr>
        <w:t>未按招标文件要求提供资格证明文件的。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highlight w:val="none"/>
        </w:rPr>
        <w:t>单位负责人为同一人或者存在直接控股、管理关系的不同供应商，参加同一合同项下的政府采购活动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相关投标人</w:t>
      </w:r>
      <w:r>
        <w:rPr>
          <w:rFonts w:hint="eastAsia" w:ascii="宋体" w:hAnsi="宋体" w:eastAsia="宋体" w:cs="宋体"/>
          <w:color w:val="auto"/>
          <w:sz w:val="21"/>
          <w:szCs w:val="21"/>
          <w:highlight w:val="none"/>
        </w:rPr>
        <w:t>均作无效投标处理）</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highlight w:val="none"/>
        </w:rPr>
        <w:t>为采购项目提供整体设计、规范编制或者项目管理、监理、检测等服务的供应商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再参加该采购项目的其他采购活动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6.6经查询，投标人被“信用中国”、“中国政府采购网”列入失信被执行人、重大税收违法案件当事人名单、政府采购严重违法失信行为记录名单，且在禁止参加采购期限内的。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6.7投标文件</w:t>
      </w:r>
      <w:r>
        <w:rPr>
          <w:rFonts w:hint="eastAsia" w:ascii="宋体" w:hAnsi="宋体" w:eastAsia="宋体" w:cs="宋体"/>
          <w:color w:val="auto"/>
          <w:sz w:val="21"/>
          <w:szCs w:val="21"/>
          <w:highlight w:val="none"/>
        </w:rPr>
        <w:t>未按</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密封、</w:t>
      </w:r>
      <w:r>
        <w:rPr>
          <w:rFonts w:hint="eastAsia" w:ascii="宋体" w:hAnsi="宋体" w:eastAsia="宋体" w:cs="宋体"/>
          <w:color w:val="auto"/>
          <w:sz w:val="21"/>
          <w:szCs w:val="21"/>
          <w:highlight w:val="none"/>
        </w:rPr>
        <w:t>签署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盖章的。</w:t>
      </w:r>
    </w:p>
    <w:p>
      <w:p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6.8投标文件项目不齐全，经评审委员会认定为无法评审的。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6.9</w:t>
      </w:r>
      <w:r>
        <w:rPr>
          <w:rFonts w:hint="eastAsia" w:ascii="宋体" w:hAnsi="宋体" w:eastAsia="宋体" w:cs="宋体"/>
          <w:color w:val="auto"/>
          <w:sz w:val="21"/>
          <w:szCs w:val="21"/>
          <w:highlight w:val="none"/>
        </w:rPr>
        <w:t>投标有效期、付款方式、交货（服务）期限、质保期等条款不能满足招标文件要求的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6.10</w:t>
      </w:r>
      <w:r>
        <w:rPr>
          <w:rFonts w:hint="eastAsia" w:ascii="宋体" w:hAnsi="宋体" w:eastAsia="宋体" w:cs="宋体"/>
          <w:color w:val="auto"/>
          <w:sz w:val="21"/>
          <w:szCs w:val="21"/>
          <w:highlight w:val="none"/>
        </w:rPr>
        <w:t>不符合招标文件中有关分包、转包规定的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6.11</w:t>
      </w:r>
      <w:r>
        <w:rPr>
          <w:rFonts w:hint="eastAsia" w:ascii="宋体" w:hAnsi="宋体" w:eastAsia="宋体" w:cs="宋体"/>
          <w:color w:val="auto"/>
          <w:sz w:val="21"/>
          <w:szCs w:val="21"/>
          <w:highlight w:val="none"/>
        </w:rPr>
        <w:t>“资格</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文件”或“技术商务文件”中出现</w:t>
      </w:r>
      <w:r>
        <w:rPr>
          <w:rFonts w:hint="eastAsia" w:ascii="宋体" w:hAnsi="宋体" w:eastAsia="宋体" w:cs="宋体"/>
          <w:color w:val="auto"/>
          <w:highlight w:val="none"/>
          <w:lang w:eastAsia="zh-CN"/>
        </w:rPr>
        <w:t>本项目的投标总价的</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6.12</w:t>
      </w:r>
      <w:r>
        <w:rPr>
          <w:rFonts w:hint="eastAsia" w:ascii="宋体" w:hAnsi="宋体" w:eastAsia="宋体" w:cs="宋体"/>
          <w:color w:val="auto"/>
          <w:sz w:val="21"/>
          <w:szCs w:val="21"/>
          <w:highlight w:val="none"/>
        </w:rPr>
        <w:t>投标文件的实质性内容未使用中文表述、意思表述不明确、前后矛盾或者使用计量单位不符合招标文件要求的（经评标委员会认定并允许其当场更正的笔误除外）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6.13</w:t>
      </w:r>
      <w:r>
        <w:rPr>
          <w:rFonts w:hint="eastAsia" w:ascii="宋体" w:hAnsi="宋体" w:eastAsia="宋体" w:cs="宋体"/>
          <w:color w:val="auto"/>
          <w:sz w:val="21"/>
          <w:szCs w:val="21"/>
          <w:highlight w:val="none"/>
          <w:lang w:eastAsia="zh-CN"/>
        </w:rPr>
        <w:t>投标文件标明的响应或偏离与事实不符或提供虚假材料投标的。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6.14</w:t>
      </w:r>
      <w:r>
        <w:rPr>
          <w:rFonts w:hint="eastAsia" w:ascii="宋体" w:hAnsi="宋体" w:eastAsia="宋体" w:cs="宋体"/>
          <w:color w:val="auto"/>
          <w:sz w:val="21"/>
          <w:szCs w:val="21"/>
          <w:highlight w:val="none"/>
        </w:rPr>
        <w:t>标“▲”的条款不能满足招标文件要求的。</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6.15</w:t>
      </w:r>
      <w:r>
        <w:rPr>
          <w:rFonts w:hint="eastAsia" w:ascii="宋体" w:hAnsi="宋体" w:eastAsia="宋体" w:cs="宋体"/>
          <w:color w:val="auto"/>
          <w:sz w:val="21"/>
          <w:szCs w:val="21"/>
          <w:highlight w:val="none"/>
          <w:lang w:eastAsia="zh-CN"/>
        </w:rPr>
        <w:t>在报价评审时，如发现下列情形之一的，投标文件将被视为无效：</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）未采用人民币报价或者未按照招标文件标明的币种报价的；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（2）报价超过招标文件中规定的预算金额或者最高限价的；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）未按照招标文件规定报价的；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）投标报价具有选择性的；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不接受按修正错误的原则修正后的报价的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）评标委员会认为投标人报价明显低于其他通过符合性审查投标人报价的，且在合理的时间内不能提供其报价合理性书面说明的。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有下列情形之一的，视为投标人串通投标，其投标无效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并书面报告财政部门</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不同投标人的投标文件由同一单位或者个人编制；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不同投标人委托同一单位或者个人办理投标事宜；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不同投标人的投标文件载明的项目管理成员或者联系人员为同一人；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不同投标人的投标文件异常一致或者投标报价呈规律性差异；</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不同投标人的投标文件相互混装</w:t>
      </w:r>
      <w:r>
        <w:rPr>
          <w:rFonts w:hint="eastAsia" w:ascii="宋体" w:hAnsi="宋体" w:eastAsia="宋体" w:cs="宋体"/>
          <w:color w:val="auto"/>
          <w:sz w:val="21"/>
          <w:szCs w:val="21"/>
          <w:highlight w:val="none"/>
          <w:lang w:eastAsia="zh-CN"/>
        </w:rPr>
        <w:t>。</w:t>
      </w:r>
    </w:p>
    <w:p>
      <w:pPr>
        <w:spacing w:line="36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有重大偏差或</w:t>
      </w:r>
      <w:r>
        <w:rPr>
          <w:rFonts w:hint="eastAsia" w:ascii="宋体" w:hAnsi="宋体" w:eastAsia="宋体" w:cs="宋体"/>
          <w:color w:val="auto"/>
          <w:highlight w:val="none"/>
        </w:rPr>
        <w:t>未实质性响应招标文件要求</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或者投标文件</w:t>
      </w:r>
      <w:r>
        <w:rPr>
          <w:rFonts w:hint="eastAsia" w:ascii="宋体" w:hAnsi="宋体" w:eastAsia="宋体" w:cs="宋体"/>
          <w:color w:val="auto"/>
          <w:highlight w:val="none"/>
          <w:lang w:val="en-US" w:eastAsia="zh-CN"/>
        </w:rPr>
        <w:t>含</w:t>
      </w:r>
      <w:r>
        <w:rPr>
          <w:rFonts w:hint="eastAsia" w:ascii="宋体" w:hAnsi="宋体" w:eastAsia="宋体" w:cs="宋体"/>
          <w:color w:val="auto"/>
          <w:highlight w:val="none"/>
        </w:rPr>
        <w:t>有采购人不能接受的附加条件的。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违反法律、法规及本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文件规定的其他无效投标情形。</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7、中标原则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7.1评标委员会根据投标人的技术商务文件和报价文件的总得分高低排定顺序，推荐中标候选人，得分最高者即为中标候选人。得分相同的，按投标报价由低到高顺序排列。得分且投标报价相同的，按</w:t>
      </w:r>
      <w:r>
        <w:rPr>
          <w:rFonts w:hint="eastAsia" w:ascii="宋体" w:hAnsi="宋体" w:eastAsia="宋体" w:cs="宋体"/>
          <w:color w:val="auto"/>
          <w:sz w:val="21"/>
          <w:szCs w:val="21"/>
          <w:highlight w:val="none"/>
          <w:lang w:val="en-US" w:eastAsia="zh-CN"/>
        </w:rPr>
        <w:t>评分标准表1-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项合计得分</w:t>
      </w:r>
      <w:r>
        <w:rPr>
          <w:rFonts w:hint="eastAsia" w:ascii="宋体" w:hAnsi="宋体" w:eastAsia="宋体" w:cs="宋体"/>
          <w:color w:val="auto"/>
          <w:sz w:val="21"/>
          <w:szCs w:val="21"/>
          <w:highlight w:val="none"/>
        </w:rPr>
        <w:t>优劣顺序排列。如出现其它情况，由评标委员会决定。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7.2采购人根据评审报告推荐的中标候选人确定中标供应商。</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8、中标结果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采购代理机构将中标结果在政府采购指定媒体上公告，并同时向中标供应商发出中标通知书。</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9、评分标准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详见后附评分标准表。</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附：评分标准表</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ind w:left="0" w:firstLine="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highlight w:val="none"/>
        </w:rPr>
        <w:br w:type="page"/>
      </w:r>
      <w:r>
        <w:rPr>
          <w:rFonts w:hint="eastAsia" w:ascii="宋体" w:hAnsi="宋体" w:eastAsia="宋体" w:cs="宋体"/>
          <w:b/>
          <w:bCs/>
          <w:color w:val="auto"/>
          <w:kern w:val="2"/>
          <w:sz w:val="21"/>
          <w:szCs w:val="21"/>
          <w:highlight w:val="none"/>
          <w:lang w:val="en-US" w:eastAsia="zh-CN" w:bidi="ar-SA"/>
        </w:rPr>
        <w:t>附：</w:t>
      </w:r>
    </w:p>
    <w:p>
      <w:pPr>
        <w:adjustRightInd w:val="0"/>
        <w:snapToGrid w:val="0"/>
        <w:spacing w:before="156" w:beforeLines="50" w:after="156" w:afterLines="50" w:line="360" w:lineRule="auto"/>
        <w:jc w:val="center"/>
        <w:rPr>
          <w:rFonts w:hint="eastAsia"/>
          <w:b/>
          <w:color w:val="auto"/>
          <w:sz w:val="32"/>
          <w:szCs w:val="32"/>
          <w:highlight w:val="none"/>
        </w:rPr>
      </w:pPr>
      <w:r>
        <w:rPr>
          <w:rFonts w:hint="eastAsia"/>
          <w:b/>
          <w:color w:val="auto"/>
          <w:sz w:val="32"/>
          <w:szCs w:val="32"/>
          <w:highlight w:val="none"/>
        </w:rPr>
        <w:t>评分标准表</w:t>
      </w:r>
    </w:p>
    <w:tbl>
      <w:tblPr>
        <w:tblStyle w:val="6"/>
        <w:tblW w:w="9501"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09"/>
        <w:gridCol w:w="1337"/>
        <w:gridCol w:w="5985"/>
        <w:gridCol w:w="72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评分内容及标准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blHeader/>
        </w:trPr>
        <w:tc>
          <w:tcPr>
            <w:tcW w:w="9501"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r>
              <w:rPr>
                <w:rFonts w:hint="eastAsia" w:ascii="宋体" w:hAnsi="宋体" w:eastAsia="宋体" w:cs="宋体"/>
                <w:b/>
                <w:color w:val="auto"/>
                <w:sz w:val="21"/>
                <w:szCs w:val="21"/>
                <w:highlight w:val="none"/>
                <w:lang w:val="en-US" w:eastAsia="zh-CN"/>
              </w:rPr>
              <w:t>商务</w:t>
            </w:r>
            <w:r>
              <w:rPr>
                <w:rFonts w:hint="eastAsia" w:ascii="宋体" w:hAnsi="宋体" w:eastAsia="宋体" w:cs="宋体"/>
                <w:b/>
                <w:color w:val="auto"/>
                <w:sz w:val="21"/>
                <w:szCs w:val="21"/>
                <w:highlight w:val="none"/>
              </w:rPr>
              <w:t xml:space="preserve">部分 </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lang w:val="zh-CN"/>
              </w:rPr>
              <w:t>指标响应情况</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根据对</w:t>
            </w:r>
            <w:r>
              <w:rPr>
                <w:rFonts w:hint="eastAsia" w:ascii="宋体" w:hAnsi="宋体" w:eastAsia="宋体" w:cs="宋体"/>
                <w:b w:val="0"/>
                <w:bCs w:val="0"/>
                <w:color w:val="auto"/>
                <w:sz w:val="21"/>
                <w:szCs w:val="21"/>
                <w:highlight w:val="none"/>
                <w:lang w:val="en-US" w:eastAsia="zh-CN"/>
              </w:rPr>
              <w:t>采购清单中</w:t>
            </w:r>
            <w:r>
              <w:rPr>
                <w:rFonts w:hint="eastAsia" w:ascii="宋体" w:hAnsi="宋体" w:eastAsia="宋体" w:cs="宋体"/>
                <w:b w:val="0"/>
                <w:bCs w:val="0"/>
                <w:color w:val="auto"/>
                <w:sz w:val="21"/>
                <w:szCs w:val="21"/>
                <w:highlight w:val="none"/>
                <w:lang w:val="en-US" w:eastAsia="zh-CN"/>
              </w:rPr>
              <w:t>技术参数的响应情况进行评审。</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完全响应各项指标的，</w:t>
            </w:r>
            <w:r>
              <w:rPr>
                <w:rFonts w:hint="eastAsia" w:ascii="宋体" w:hAnsi="宋体" w:eastAsia="宋体" w:cs="宋体"/>
                <w:b w:val="0"/>
                <w:bCs w:val="0"/>
                <w:color w:val="auto"/>
                <w:sz w:val="21"/>
                <w:szCs w:val="21"/>
                <w:highlight w:val="none"/>
                <w:lang w:val="zh-CN"/>
              </w:rPr>
              <w:t>得</w:t>
            </w:r>
            <w:r>
              <w:rPr>
                <w:rFonts w:hint="eastAsia" w:ascii="宋体" w:hAnsi="宋体" w:cs="宋体"/>
                <w:b w:val="0"/>
                <w:bCs w:val="0"/>
                <w:color w:val="auto"/>
                <w:sz w:val="21"/>
                <w:szCs w:val="21"/>
                <w:highlight w:val="none"/>
                <w:lang w:val="en-US" w:eastAsia="zh-CN"/>
              </w:rPr>
              <w:t>41</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标▲的指标（如有）不得负偏离，否则投标无效；</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标★的指标（如有）每有1项负偏离扣</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一般指标每有1项负偏离扣0.</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当扣减至0分或以下时作无效标处理。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41</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rPr>
              <w:t>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w:t>
            </w:r>
            <w:r>
              <w:rPr>
                <w:rFonts w:hint="eastAsia" w:ascii="宋体" w:hAnsi="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rPr>
              <w:t>方案进行评审，包含但不限于以下内容：①本项目的重点难点分析；②</w:t>
            </w:r>
            <w:r>
              <w:rPr>
                <w:rFonts w:hint="eastAsia" w:ascii="宋体" w:hAnsi="宋体" w:eastAsia="宋体" w:cs="宋体"/>
                <w:color w:val="auto"/>
                <w:sz w:val="21"/>
                <w:szCs w:val="21"/>
                <w:highlight w:val="none"/>
              </w:rPr>
              <w:t>设计思路</w:t>
            </w:r>
            <w:r>
              <w:rPr>
                <w:rFonts w:hint="eastAsia" w:ascii="宋体" w:hAnsi="宋体" w:eastAsia="宋体" w:cs="宋体"/>
                <w:b w:val="0"/>
                <w:bCs w:val="0"/>
                <w:color w:val="auto"/>
                <w:sz w:val="21"/>
                <w:szCs w:val="21"/>
                <w:highlight w:val="none"/>
              </w:rPr>
              <w:t>及解决方案；③</w:t>
            </w:r>
            <w:r>
              <w:rPr>
                <w:rFonts w:hint="eastAsia" w:ascii="宋体" w:hAnsi="宋体" w:cs="宋体"/>
                <w:b w:val="0"/>
                <w:bCs w:val="0"/>
                <w:color w:val="auto"/>
                <w:sz w:val="21"/>
                <w:szCs w:val="21"/>
                <w:highlight w:val="none"/>
                <w:lang w:val="en-US" w:eastAsia="zh-CN"/>
              </w:rPr>
              <w:t>测试方法</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评分范围：</w:t>
            </w:r>
            <w:r>
              <w:rPr>
                <w:rFonts w:hint="eastAsia" w:ascii="宋体" w:hAnsi="宋体" w:eastAsia="宋体" w:cs="宋体"/>
                <w:b w:val="0"/>
                <w:bCs w:val="0"/>
                <w:color w:val="auto"/>
                <w:kern w:val="0"/>
                <w:szCs w:val="21"/>
                <w:highlight w:val="none"/>
                <w:lang w:val="en-US" w:eastAsia="zh-CN"/>
              </w:rPr>
              <w:t>3、2、</w:t>
            </w:r>
            <w:r>
              <w:rPr>
                <w:rFonts w:hint="eastAsia" w:ascii="宋体" w:hAnsi="宋体" w:eastAsia="宋体" w:cs="宋体"/>
                <w:b w:val="0"/>
                <w:bCs w:val="0"/>
                <w:color w:val="auto"/>
                <w:kern w:val="0"/>
                <w:szCs w:val="21"/>
                <w:highlight w:val="none"/>
              </w:rPr>
              <w:t>1、0。</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项目实施方案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w:t>
            </w:r>
            <w:r>
              <w:rPr>
                <w:rFonts w:hint="eastAsia" w:ascii="宋体" w:hAnsi="宋体" w:eastAsia="宋体" w:cs="宋体"/>
                <w:b w:val="0"/>
                <w:bCs w:val="0"/>
                <w:color w:val="auto"/>
                <w:sz w:val="21"/>
                <w:szCs w:val="21"/>
                <w:highlight w:val="none"/>
              </w:rPr>
              <w:t>供货方案、安装</w:t>
            </w:r>
            <w:r>
              <w:rPr>
                <w:rFonts w:hint="eastAsia" w:ascii="宋体" w:hAnsi="宋体" w:cs="宋体"/>
                <w:b w:val="0"/>
                <w:bCs w:val="0"/>
                <w:color w:val="auto"/>
                <w:sz w:val="21"/>
                <w:szCs w:val="21"/>
                <w:highlight w:val="none"/>
                <w:lang w:val="en-US" w:eastAsia="zh-CN"/>
              </w:rPr>
              <w:t>调试</w:t>
            </w:r>
            <w:r>
              <w:rPr>
                <w:rFonts w:hint="eastAsia" w:ascii="宋体" w:hAnsi="宋体" w:eastAsia="宋体" w:cs="宋体"/>
                <w:b w:val="0"/>
                <w:bCs w:val="0"/>
                <w:color w:val="auto"/>
                <w:sz w:val="21"/>
                <w:szCs w:val="21"/>
                <w:highlight w:val="none"/>
              </w:rPr>
              <w:t>、人员安排、进度计划、保障措施</w:t>
            </w:r>
            <w:r>
              <w:rPr>
                <w:rFonts w:hint="eastAsia" w:ascii="宋体" w:hAnsi="宋体" w:eastAsia="宋体" w:cs="宋体"/>
                <w:b w:val="0"/>
                <w:bCs w:val="0"/>
                <w:color w:val="auto"/>
                <w:sz w:val="21"/>
                <w:szCs w:val="21"/>
                <w:highlight w:val="none"/>
              </w:rPr>
              <w:t>等情况进行</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方案完整</w:t>
            </w:r>
            <w:r>
              <w:rPr>
                <w:rFonts w:hint="eastAsia"/>
                <w:color w:val="auto"/>
                <w:highlight w:val="none"/>
              </w:rPr>
              <w:t>阐述详细</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能够</w:t>
            </w:r>
            <w:r>
              <w:rPr>
                <w:rFonts w:hint="eastAsia" w:ascii="宋体" w:hAnsi="宋体" w:eastAsia="宋体" w:cs="宋体"/>
                <w:b w:val="0"/>
                <w:bCs w:val="0"/>
                <w:color w:val="auto"/>
                <w:sz w:val="21"/>
                <w:szCs w:val="21"/>
                <w:highlight w:val="none"/>
              </w:rPr>
              <w:t>保障项目顺利实施的，得5分；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方案较</w:t>
            </w:r>
            <w:r>
              <w:rPr>
                <w:rFonts w:hint="eastAsia" w:ascii="宋体" w:hAnsi="宋体" w:cs="宋体"/>
                <w:b w:val="0"/>
                <w:bCs w:val="0"/>
                <w:color w:val="auto"/>
                <w:sz w:val="21"/>
                <w:szCs w:val="21"/>
                <w:highlight w:val="none"/>
                <w:lang w:val="en-US" w:eastAsia="zh-CN"/>
              </w:rPr>
              <w:t>为</w:t>
            </w:r>
            <w:r>
              <w:rPr>
                <w:rFonts w:hint="eastAsia" w:ascii="宋体" w:hAnsi="宋体" w:eastAsia="宋体" w:cs="宋体"/>
                <w:b w:val="0"/>
                <w:bCs w:val="0"/>
                <w:color w:val="auto"/>
                <w:sz w:val="21"/>
                <w:szCs w:val="21"/>
                <w:highlight w:val="none"/>
              </w:rPr>
              <w:t>完整</w:t>
            </w:r>
            <w:r>
              <w:rPr>
                <w:rFonts w:hint="eastAsia" w:ascii="宋体" w:hAnsi="宋体" w:cs="宋体"/>
                <w:b w:val="0"/>
                <w:bCs w:val="0"/>
                <w:color w:val="auto"/>
                <w:sz w:val="21"/>
                <w:szCs w:val="21"/>
                <w:highlight w:val="none"/>
                <w:lang w:val="en-US" w:eastAsia="zh-CN"/>
              </w:rPr>
              <w:t>全面</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可</w:t>
            </w:r>
            <w:r>
              <w:rPr>
                <w:rFonts w:hint="eastAsia" w:ascii="宋体" w:hAnsi="宋体" w:cs="宋体"/>
                <w:b w:val="0"/>
                <w:bCs w:val="0"/>
                <w:color w:val="auto"/>
                <w:sz w:val="21"/>
                <w:szCs w:val="21"/>
                <w:highlight w:val="none"/>
                <w:lang w:val="en-US" w:eastAsia="zh-CN"/>
              </w:rPr>
              <w:t>保障</w:t>
            </w:r>
            <w:r>
              <w:rPr>
                <w:rFonts w:hint="eastAsia" w:ascii="宋体" w:hAnsi="宋体" w:eastAsia="宋体" w:cs="宋体"/>
                <w:b w:val="0"/>
                <w:bCs w:val="0"/>
                <w:color w:val="auto"/>
                <w:sz w:val="21"/>
                <w:szCs w:val="21"/>
                <w:highlight w:val="none"/>
              </w:rPr>
              <w:t>项目顺利实施的，得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方案全面详实性尚可</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细节的缺漏不足以影响项目顺利实施的，得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方案</w:t>
            </w:r>
            <w:r>
              <w:rPr>
                <w:rFonts w:hint="eastAsia" w:ascii="宋体" w:hAnsi="宋体" w:cs="宋体"/>
                <w:b w:val="0"/>
                <w:bCs w:val="0"/>
                <w:color w:val="auto"/>
                <w:sz w:val="21"/>
                <w:szCs w:val="21"/>
                <w:highlight w:val="none"/>
                <w:lang w:val="en-US" w:eastAsia="zh-CN"/>
              </w:rPr>
              <w:t>有欠缺，阐述不够详实，</w:t>
            </w:r>
            <w:r>
              <w:rPr>
                <w:rFonts w:hint="eastAsia" w:ascii="宋体" w:hAnsi="宋体" w:eastAsia="宋体" w:cs="宋体"/>
                <w:b w:val="0"/>
                <w:bCs w:val="0"/>
                <w:color w:val="auto"/>
                <w:sz w:val="21"/>
                <w:szCs w:val="21"/>
                <w:highlight w:val="none"/>
              </w:rPr>
              <w:t>具有一定可行性的，得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方案有明显缺失，可能影响项目顺利实施的，得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质量保证和售后服务方案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w:t>
            </w:r>
            <w:r>
              <w:rPr>
                <w:rFonts w:hint="eastAsia" w:ascii="宋体" w:hAnsi="宋体" w:eastAsia="宋体" w:cs="宋体"/>
                <w:b w:val="0"/>
                <w:bCs w:val="0"/>
                <w:color w:val="auto"/>
                <w:sz w:val="21"/>
                <w:szCs w:val="21"/>
                <w:highlight w:val="none"/>
              </w:rPr>
              <w:t>质量保证</w:t>
            </w:r>
            <w:r>
              <w:rPr>
                <w:rFonts w:hint="eastAsia" w:ascii="宋体" w:hAnsi="宋体" w:cs="宋体"/>
                <w:b w:val="0"/>
                <w:bCs w:val="0"/>
                <w:color w:val="auto"/>
                <w:sz w:val="21"/>
                <w:szCs w:val="21"/>
                <w:highlight w:val="none"/>
                <w:lang w:val="en-US" w:eastAsia="zh-CN"/>
              </w:rPr>
              <w:t>措施</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验收方案</w:t>
            </w:r>
            <w:r>
              <w:rPr>
                <w:rFonts w:hint="eastAsia" w:ascii="宋体" w:hAnsi="宋体" w:eastAsia="宋体" w:cs="宋体"/>
                <w:b w:val="0"/>
                <w:bCs w:val="0"/>
                <w:color w:val="auto"/>
                <w:sz w:val="21"/>
                <w:szCs w:val="21"/>
                <w:highlight w:val="none"/>
              </w:rPr>
              <w:t>、售后服务方案、售后服务响应</w:t>
            </w:r>
            <w:r>
              <w:rPr>
                <w:rFonts w:hint="eastAsia" w:ascii="宋体" w:hAnsi="宋体" w:cs="宋体"/>
                <w:b w:val="0"/>
                <w:bCs w:val="0"/>
                <w:color w:val="auto"/>
                <w:sz w:val="21"/>
                <w:szCs w:val="21"/>
                <w:highlight w:val="none"/>
                <w:lang w:val="en-US" w:eastAsia="zh-CN"/>
              </w:rPr>
              <w:t>时间</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rPr>
              <w:t>技术支持</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售后服务机构设置</w:t>
            </w:r>
            <w:r>
              <w:rPr>
                <w:rFonts w:hint="eastAsia" w:ascii="宋体" w:hAnsi="宋体" w:cs="宋体"/>
                <w:color w:val="auto"/>
                <w:kern w:val="0"/>
                <w:szCs w:val="21"/>
                <w:highlight w:val="none"/>
                <w:lang w:val="en-US" w:eastAsia="zh-CN"/>
              </w:rPr>
              <w:t>等</w:t>
            </w:r>
            <w:r>
              <w:rPr>
                <w:rFonts w:hint="eastAsia" w:ascii="宋体" w:hAnsi="宋体" w:eastAsia="宋体" w:cs="宋体"/>
                <w:b w:val="0"/>
                <w:bCs w:val="0"/>
                <w:color w:val="auto"/>
                <w:sz w:val="21"/>
                <w:szCs w:val="21"/>
                <w:highlight w:val="none"/>
                <w:lang w:val="zh-CN"/>
              </w:rPr>
              <w:t>情况</w:t>
            </w:r>
            <w:r>
              <w:rPr>
                <w:rFonts w:hint="eastAsia" w:ascii="宋体" w:hAnsi="宋体" w:eastAsia="宋体" w:cs="宋体"/>
                <w:b w:val="0"/>
                <w:bCs w:val="0"/>
                <w:color w:val="auto"/>
                <w:sz w:val="21"/>
                <w:szCs w:val="21"/>
                <w:highlight w:val="none"/>
              </w:rPr>
              <w:t>进行</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方案完全满足采购需求，服务体系完善、响应及时、服务保障措施到位的，得5分；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w:t>
            </w:r>
            <w:r>
              <w:rPr>
                <w:rFonts w:hint="eastAsia" w:ascii="宋体" w:hAnsi="宋体" w:cs="宋体"/>
                <w:b w:val="0"/>
                <w:bCs w:val="0"/>
                <w:color w:val="auto"/>
                <w:sz w:val="21"/>
                <w:szCs w:val="21"/>
                <w:highlight w:val="none"/>
                <w:lang w:val="en-US" w:eastAsia="zh-CN"/>
              </w:rPr>
              <w:t>能较好的</w:t>
            </w:r>
            <w:r>
              <w:rPr>
                <w:rFonts w:hint="eastAsia" w:ascii="宋体" w:hAnsi="宋体" w:eastAsia="宋体" w:cs="宋体"/>
                <w:b w:val="0"/>
                <w:bCs w:val="0"/>
                <w:color w:val="auto"/>
                <w:sz w:val="21"/>
                <w:szCs w:val="21"/>
                <w:highlight w:val="none"/>
              </w:rPr>
              <w:t>满足采购需求，服务措施及承诺中存在</w:t>
            </w:r>
            <w:r>
              <w:rPr>
                <w:rFonts w:hint="eastAsia" w:ascii="宋体" w:hAnsi="宋体" w:cs="宋体"/>
                <w:b w:val="0"/>
                <w:bCs w:val="0"/>
                <w:color w:val="auto"/>
                <w:sz w:val="21"/>
                <w:szCs w:val="21"/>
                <w:highlight w:val="none"/>
                <w:lang w:val="en-US" w:eastAsia="zh-CN"/>
              </w:rPr>
              <w:t>细小不足</w:t>
            </w:r>
            <w:r>
              <w:rPr>
                <w:rFonts w:hint="eastAsia" w:ascii="宋体" w:hAnsi="宋体" w:eastAsia="宋体" w:cs="宋体"/>
                <w:b w:val="0"/>
                <w:bCs w:val="0"/>
                <w:color w:val="auto"/>
                <w:sz w:val="21"/>
                <w:szCs w:val="21"/>
                <w:highlight w:val="none"/>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方案基本满足采购需求，服务措施及承诺中存在不足或缺失、或响应不够及时的，得3分；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方案部分满足采购需求，服务承诺不完整、或有比较明显不合理之处的，得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培训方案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根据提供的培训方案进行评审，包含但不限于以下</w:t>
            </w:r>
            <w:r>
              <w:rPr>
                <w:rFonts w:hint="eastAsia" w:ascii="宋体" w:hAnsi="宋体" w:cs="宋体"/>
                <w:b w:val="0"/>
                <w:bCs w:val="0"/>
                <w:color w:val="auto"/>
                <w:sz w:val="21"/>
                <w:szCs w:val="21"/>
                <w:highlight w:val="none"/>
                <w:lang w:val="en-US" w:eastAsia="zh-CN"/>
              </w:rPr>
              <w:t>内容</w:t>
            </w:r>
            <w:r>
              <w:rPr>
                <w:rFonts w:hint="eastAsia" w:ascii="宋体" w:hAnsi="宋体" w:eastAsia="宋体" w:cs="宋体"/>
                <w:b w:val="0"/>
                <w:bCs w:val="0"/>
                <w:color w:val="auto"/>
                <w:sz w:val="21"/>
                <w:szCs w:val="21"/>
                <w:highlight w:val="none"/>
              </w:rPr>
              <w:t>：①负责培训的人员</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②培训内容；③培训时间。</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Cs w:val="21"/>
                <w:highlight w:val="none"/>
              </w:rPr>
              <w:t>评分范围：</w:t>
            </w:r>
            <w:r>
              <w:rPr>
                <w:rFonts w:hint="eastAsia" w:ascii="宋体" w:hAnsi="宋体" w:eastAsia="宋体" w:cs="宋体"/>
                <w:b w:val="0"/>
                <w:bCs w:val="0"/>
                <w:color w:val="auto"/>
                <w:kern w:val="0"/>
                <w:szCs w:val="21"/>
                <w:highlight w:val="none"/>
                <w:lang w:val="en-US" w:eastAsia="zh-CN"/>
              </w:rPr>
              <w:t>2、</w:t>
            </w:r>
            <w:r>
              <w:rPr>
                <w:rFonts w:hint="eastAsia" w:ascii="宋体" w:hAnsi="宋体" w:eastAsia="宋体" w:cs="宋体"/>
                <w:b w:val="0"/>
                <w:bCs w:val="0"/>
                <w:color w:val="auto"/>
                <w:kern w:val="0"/>
                <w:szCs w:val="21"/>
                <w:highlight w:val="none"/>
              </w:rPr>
              <w:t>1、0。</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6</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类似业绩</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投标人最近三年</w:t>
            </w:r>
            <w:r>
              <w:rPr>
                <w:rFonts w:hint="eastAsia" w:ascii="宋体" w:hAnsi="宋体" w:eastAsia="宋体" w:cs="宋体"/>
                <w:color w:val="auto"/>
                <w:sz w:val="21"/>
                <w:szCs w:val="21"/>
                <w:highlight w:val="none"/>
              </w:rPr>
              <w:t>（时间计算以投标截止时间和合同签订时间为准）</w:t>
            </w:r>
            <w:r>
              <w:rPr>
                <w:rFonts w:hint="eastAsia" w:ascii="宋体" w:hAnsi="宋体" w:eastAsia="宋体" w:cs="宋体"/>
                <w:b w:val="0"/>
                <w:bCs w:val="0"/>
                <w:color w:val="auto"/>
                <w:sz w:val="21"/>
                <w:szCs w:val="21"/>
                <w:highlight w:val="none"/>
              </w:rPr>
              <w:t>以来成功实施的同类项目的业绩或案例证明。</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投标人每提供一个类似业绩的证明材料，得1分，本项最高得3分。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类似业绩认定标准：</w:t>
            </w:r>
            <w:r>
              <w:rPr>
                <w:rFonts w:hint="eastAsia" w:ascii="宋体" w:hAnsi="宋体" w:eastAsia="宋体" w:cs="宋体"/>
                <w:b w:val="0"/>
                <w:bCs w:val="0"/>
                <w:color w:val="auto"/>
                <w:sz w:val="21"/>
                <w:szCs w:val="21"/>
                <w:highlight w:val="none"/>
                <w:lang w:val="en-US" w:eastAsia="zh-CN"/>
              </w:rPr>
              <w:t>①供货</w:t>
            </w:r>
            <w:r>
              <w:rPr>
                <w:rFonts w:hint="eastAsia" w:ascii="宋体" w:hAnsi="宋体" w:eastAsia="宋体" w:cs="宋体"/>
                <w:b w:val="0"/>
                <w:bCs w:val="0"/>
                <w:color w:val="auto"/>
                <w:sz w:val="21"/>
                <w:szCs w:val="21"/>
                <w:highlight w:val="none"/>
              </w:rPr>
              <w:t>内容与本次采购类似，并在合同或合同清单等附件资料中能体现。</w:t>
            </w:r>
            <w:r>
              <w:rPr>
                <w:rFonts w:hint="eastAsia" w:ascii="宋体" w:hAnsi="宋体" w:eastAsia="宋体" w:cs="宋体"/>
                <w:b w:val="0"/>
                <w:bCs w:val="0"/>
                <w:color w:val="auto"/>
                <w:sz w:val="21"/>
                <w:szCs w:val="21"/>
                <w:highlight w:val="none"/>
                <w:lang w:val="en-US" w:eastAsia="zh-CN"/>
              </w:rPr>
              <w:t>②同一个采购单位，签订多个合同的，按1个业绩计算。</w:t>
            </w:r>
          </w:p>
          <w:p>
            <w:pP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rPr>
              <w:t>证明材料：</w:t>
            </w:r>
            <w:r>
              <w:rPr>
                <w:rFonts w:hint="eastAsia" w:ascii="宋体" w:hAnsi="宋体" w:eastAsia="宋体" w:cs="宋体"/>
                <w:b w:val="0"/>
                <w:bCs w:val="0"/>
                <w:color w:val="auto"/>
                <w:sz w:val="21"/>
                <w:szCs w:val="21"/>
                <w:highlight w:val="none"/>
                <w:lang w:val="en-US" w:eastAsia="zh-CN"/>
              </w:rPr>
              <w:t>在投标文件中提供合同</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lang w:val="en-US" w:eastAsia="zh-CN"/>
              </w:rPr>
              <w:t>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b w:val="0"/>
                <w:bCs w:val="0"/>
                <w:color w:val="auto"/>
                <w:sz w:val="21"/>
                <w:szCs w:val="21"/>
                <w:highlight w:val="none"/>
                <w:lang w:val="en-US" w:eastAsia="zh-CN"/>
              </w:rPr>
              <w:t>的原件彩色扫描件，合同和验收证明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b w:val="0"/>
                <w:bCs w:val="0"/>
                <w:color w:val="auto"/>
                <w:sz w:val="21"/>
                <w:szCs w:val="21"/>
                <w:highlight w:val="none"/>
                <w:lang w:val="en-US" w:eastAsia="zh-CN"/>
              </w:rPr>
              <w:t>缺一不可</w:t>
            </w:r>
            <w:r>
              <w:rPr>
                <w:rFonts w:hint="eastAsia" w:ascii="宋体" w:hAnsi="宋体" w:eastAsia="宋体" w:cs="宋体"/>
                <w:b w:val="0"/>
                <w:bCs w:val="0"/>
                <w:color w:val="auto"/>
                <w:sz w:val="21"/>
                <w:szCs w:val="21"/>
                <w:highlight w:val="none"/>
                <w:lang w:val="en-US" w:eastAsia="zh-CN"/>
              </w:rPr>
              <w:t>，否则不得分。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节能环保</w:t>
            </w:r>
          </w:p>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任一产品</w:t>
            </w:r>
            <w:r>
              <w:rPr>
                <w:rFonts w:hint="eastAsia" w:ascii="宋体" w:hAnsi="宋体" w:eastAsia="宋体" w:cs="宋体"/>
                <w:b w:val="0"/>
                <w:bCs w:val="0"/>
                <w:color w:val="auto"/>
                <w:sz w:val="21"/>
                <w:szCs w:val="21"/>
                <w:highlight w:val="none"/>
              </w:rPr>
              <w:t>如列入现行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节能产品政府采购品目清单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且取得认证证书的（强制</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产品除外），每提供一个得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任一产品</w:t>
            </w:r>
            <w:r>
              <w:rPr>
                <w:rFonts w:hint="eastAsia" w:ascii="宋体" w:hAnsi="宋体" w:eastAsia="宋体" w:cs="宋体"/>
                <w:b w:val="0"/>
                <w:bCs w:val="0"/>
                <w:color w:val="auto"/>
                <w:sz w:val="21"/>
                <w:szCs w:val="21"/>
                <w:highlight w:val="none"/>
              </w:rPr>
              <w:t>如列入现行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环境标志产品政府采购品目清单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且取得认证证书的，每提供一个得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投标文件中提供投标产品有效的节能产品（或环境标志产品）认证证书彩色扫描件 或者 提供投标产品在中国政府采购网（www.ccgp.gov.cn）节能产品（或环境标志产品）查询结果的网页截图的证明材料，否则不得分。</w:t>
            </w:r>
          </w:p>
          <w:p>
            <w:pPr>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节能产品政府采购品目清单</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中标“★”</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为政府强制采购产品，施行强制采购政策。</w:t>
            </w:r>
          </w:p>
          <w:p>
            <w:pP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施行强制采购的节能产品如无证明材料，投标无效。</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blHeader/>
        </w:trPr>
        <w:tc>
          <w:tcPr>
            <w:tcW w:w="9501"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报价部分 </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8792" w:type="dxa"/>
            <w:gridSpan w:val="4"/>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参与评审的价格＝有效投标报价－</w:t>
            </w:r>
            <w:r>
              <w:rPr>
                <w:rFonts w:hint="eastAsia" w:ascii="宋体" w:hAnsi="宋体" w:eastAsia="宋体" w:cs="宋体"/>
                <w:color w:val="auto"/>
                <w:sz w:val="21"/>
                <w:szCs w:val="21"/>
                <w:highlight w:val="none"/>
              </w:rPr>
              <w:t>小微企业有效投标报价×</w:t>
            </w:r>
            <w:r>
              <w:rPr>
                <w:rFonts w:hint="eastAsia" w:ascii="宋体" w:hAnsi="宋体" w:cs="宋体"/>
                <w:color w:val="auto"/>
                <w:sz w:val="21"/>
                <w:szCs w:val="21"/>
                <w:highlight w:val="none"/>
                <w:lang w:val="en-US" w:eastAsia="zh-CN"/>
              </w:rPr>
              <w:t>10%</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参与评审的价格中最低的为评标基准价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基准价得分：</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其他供应商的价格分按照下列公式计算：</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报价得分＝（评标基准价/参与评审的价格）×</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注：投标人的报价超过最高限价（不含最高限价）的作为无效报价。</w:t>
            </w:r>
          </w:p>
        </w:tc>
      </w:tr>
    </w:tbl>
    <w:p>
      <w:pPr>
        <w:spacing w:line="360" w:lineRule="auto"/>
        <w:rPr>
          <w:rFonts w:hint="eastAsia" w:ascii="宋体" w:hAnsi="宋体" w:eastAsia="宋体" w:cs="Times New Roman"/>
          <w:b w:val="0"/>
          <w:bCs/>
          <w:color w:val="auto"/>
          <w:kern w:val="2"/>
          <w:sz w:val="21"/>
          <w:szCs w:val="24"/>
          <w:highlight w:val="none"/>
          <w:lang w:val="en-US" w:eastAsia="zh-CN" w:bidi="ar-SA"/>
        </w:rPr>
      </w:pPr>
    </w:p>
    <w:p>
      <w:pPr>
        <w:spacing w:line="360" w:lineRule="auto"/>
        <w:rPr>
          <w:rFonts w:hint="eastAsia" w:ascii="宋体" w:hAnsi="宋体" w:eastAsia="宋体" w:cs="Times New Roman"/>
          <w:b w:val="0"/>
          <w:bCs/>
          <w:color w:val="auto"/>
          <w:kern w:val="2"/>
          <w:sz w:val="21"/>
          <w:szCs w:val="24"/>
          <w:highlight w:val="none"/>
          <w:lang w:val="en-US" w:eastAsia="zh-CN" w:bidi="ar-SA"/>
        </w:rPr>
      </w:pPr>
    </w:p>
    <w:p>
      <w:pPr>
        <w:spacing w:line="360" w:lineRule="auto"/>
        <w:rPr>
          <w:rFonts w:hint="eastAsia" w:ascii="宋体" w:hAnsi="宋体" w:eastAsia="宋体" w:cs="Times New Roman"/>
          <w:b w:val="0"/>
          <w:bCs/>
          <w:color w:val="auto"/>
          <w:kern w:val="2"/>
          <w:sz w:val="21"/>
          <w:szCs w:val="24"/>
          <w:highlight w:val="none"/>
          <w:lang w:val="en-US" w:eastAsia="zh-CN" w:bidi="ar-SA"/>
        </w:rPr>
      </w:pPr>
    </w:p>
    <w:p>
      <w:pPr>
        <w:spacing w:line="360" w:lineRule="auto"/>
        <w:rPr>
          <w:rFonts w:hint="eastAsia" w:ascii="宋体" w:hAnsi="宋体" w:eastAsia="宋体" w:cs="Times New Roman"/>
          <w:b w:val="0"/>
          <w:bCs/>
          <w:color w:val="auto"/>
          <w:kern w:val="2"/>
          <w:sz w:val="21"/>
          <w:szCs w:val="24"/>
          <w:highlight w:val="none"/>
          <w:lang w:val="en-US" w:eastAsia="zh-CN" w:bidi="ar-SA"/>
        </w:rPr>
      </w:pPr>
    </w:p>
    <w:sectPr>
      <w:pgSz w:w="11906" w:h="16838"/>
      <w:pgMar w:top="1474" w:right="1474" w:bottom="1417" w:left="1588" w:header="851" w:footer="850"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ascii="宋体" w:hAnsi="宋体" w:eastAsia="宋体"/>
        <w:lang w:eastAsia="zh-CN"/>
      </w:rPr>
    </w:pPr>
    <w:r>
      <w:rPr>
        <w:rFonts w:hint="eastAsia" w:ascii="宋体" w:hAnsi="宋体"/>
      </w:rPr>
      <w:t>项目名称：</w:t>
    </w:r>
    <w:r>
      <w:rPr>
        <w:rFonts w:hint="eastAsia" w:ascii="宋体" w:hAnsi="宋体"/>
        <w:lang w:eastAsia="zh-CN"/>
      </w:rPr>
      <w:t>柴桥中学智能录播教室设备</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项目编号：</w:t>
    </w:r>
    <w:r>
      <w:rPr>
        <w:rFonts w:hint="eastAsia" w:ascii="宋体" w:hAnsi="宋体"/>
        <w:lang w:eastAsia="zh-CN"/>
      </w:rPr>
      <w:t>BLZFCG2025034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FC28B5"/>
    <w:multiLevelType w:val="singleLevel"/>
    <w:tmpl w:val="84FC28B5"/>
    <w:lvl w:ilvl="0" w:tentative="0">
      <w:start w:val="4"/>
      <w:numFmt w:val="decimal"/>
      <w:suff w:val="space"/>
      <w:lvlText w:val="%1)"/>
      <w:lvlJc w:val="left"/>
    </w:lvl>
  </w:abstractNum>
  <w:abstractNum w:abstractNumId="1">
    <w:nsid w:val="BB6E4FD4"/>
    <w:multiLevelType w:val="singleLevel"/>
    <w:tmpl w:val="BB6E4FD4"/>
    <w:lvl w:ilvl="0" w:tentative="0">
      <w:start w:val="5"/>
      <w:numFmt w:val="decimal"/>
      <w:suff w:val="space"/>
      <w:lvlText w:val="%1)"/>
      <w:lvlJc w:val="left"/>
    </w:lvl>
  </w:abstractNum>
  <w:abstractNum w:abstractNumId="2">
    <w:nsid w:val="FFFEA76A"/>
    <w:multiLevelType w:val="singleLevel"/>
    <w:tmpl w:val="FFFEA76A"/>
    <w:lvl w:ilvl="0" w:tentative="0">
      <w:start w:val="10"/>
      <w:numFmt w:val="decimal"/>
      <w:suff w:val="space"/>
      <w:lvlText w:val="%1)"/>
      <w:lvlJc w:val="left"/>
    </w:lvl>
  </w:abstractNum>
  <w:abstractNum w:abstractNumId="3">
    <w:nsid w:val="2756D93E"/>
    <w:multiLevelType w:val="singleLevel"/>
    <w:tmpl w:val="2756D93E"/>
    <w:lvl w:ilvl="0" w:tentative="0">
      <w:start w:val="1"/>
      <w:numFmt w:val="chineseCounting"/>
      <w:lvlText w:val="%1."/>
      <w:lvlJc w:val="left"/>
      <w:pPr>
        <w:tabs>
          <w:tab w:val="left" w:pos="312"/>
        </w:tabs>
      </w:pPr>
      <w:rPr>
        <w:rFonts w:hint="eastAsia"/>
      </w:rPr>
    </w:lvl>
  </w:abstractNum>
  <w:abstractNum w:abstractNumId="4">
    <w:nsid w:val="4746747B"/>
    <w:multiLevelType w:val="singleLevel"/>
    <w:tmpl w:val="4746747B"/>
    <w:lvl w:ilvl="0" w:tentative="0">
      <w:start w:val="1"/>
      <w:numFmt w:val="decimal"/>
      <w:suff w:val="nothing"/>
      <w:lvlText w:val="%1、"/>
      <w:lvlJc w:val="left"/>
    </w:lvl>
  </w:abstractNum>
  <w:abstractNum w:abstractNumId="5">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2"/>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61AD6841"/>
    <w:multiLevelType w:val="singleLevel"/>
    <w:tmpl w:val="61AD6841"/>
    <w:lvl w:ilvl="0" w:tentative="0">
      <w:start w:val="2"/>
      <w:numFmt w:val="decimal"/>
      <w:suff w:val="nothing"/>
      <w:lvlText w:val="%1、"/>
      <w:lvlJc w:val="left"/>
    </w:lvl>
  </w:abstractNum>
  <w:num w:numId="1">
    <w:abstractNumId w:val="5"/>
  </w:num>
  <w:num w:numId="2">
    <w:abstractNumId w:val="3"/>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96"/>
    <w:rsid w:val="000D28C1"/>
    <w:rsid w:val="000E2877"/>
    <w:rsid w:val="000E5B56"/>
    <w:rsid w:val="00121526"/>
    <w:rsid w:val="00135C07"/>
    <w:rsid w:val="0014118F"/>
    <w:rsid w:val="001B417A"/>
    <w:rsid w:val="002878C2"/>
    <w:rsid w:val="002C0E4C"/>
    <w:rsid w:val="00497742"/>
    <w:rsid w:val="004C193B"/>
    <w:rsid w:val="005700E9"/>
    <w:rsid w:val="006A2BBF"/>
    <w:rsid w:val="006F4EA6"/>
    <w:rsid w:val="0070020E"/>
    <w:rsid w:val="00723F96"/>
    <w:rsid w:val="00871EA8"/>
    <w:rsid w:val="00895663"/>
    <w:rsid w:val="00961685"/>
    <w:rsid w:val="00970FAA"/>
    <w:rsid w:val="00A30CB3"/>
    <w:rsid w:val="00A4772F"/>
    <w:rsid w:val="00AA573D"/>
    <w:rsid w:val="00B728A5"/>
    <w:rsid w:val="00BB26DA"/>
    <w:rsid w:val="00BF693D"/>
    <w:rsid w:val="00C45C42"/>
    <w:rsid w:val="00C85D3C"/>
    <w:rsid w:val="00CC07EC"/>
    <w:rsid w:val="00CC1E09"/>
    <w:rsid w:val="00CE7AF8"/>
    <w:rsid w:val="00E12F0A"/>
    <w:rsid w:val="00E46C55"/>
    <w:rsid w:val="00E60A37"/>
    <w:rsid w:val="00F21B99"/>
    <w:rsid w:val="00F400A7"/>
    <w:rsid w:val="00F4016E"/>
    <w:rsid w:val="00F40BB3"/>
    <w:rsid w:val="00F53677"/>
    <w:rsid w:val="013A4489"/>
    <w:rsid w:val="01425064"/>
    <w:rsid w:val="01664C41"/>
    <w:rsid w:val="018E3217"/>
    <w:rsid w:val="018F6D81"/>
    <w:rsid w:val="019C6C58"/>
    <w:rsid w:val="01A53386"/>
    <w:rsid w:val="01B933AA"/>
    <w:rsid w:val="01C76819"/>
    <w:rsid w:val="02293807"/>
    <w:rsid w:val="02821B99"/>
    <w:rsid w:val="029047B6"/>
    <w:rsid w:val="02D6293B"/>
    <w:rsid w:val="02E40AFE"/>
    <w:rsid w:val="02FA24BF"/>
    <w:rsid w:val="03163D9C"/>
    <w:rsid w:val="032234E6"/>
    <w:rsid w:val="032569AA"/>
    <w:rsid w:val="03433B18"/>
    <w:rsid w:val="037B577A"/>
    <w:rsid w:val="03841BC8"/>
    <w:rsid w:val="03A357FE"/>
    <w:rsid w:val="03E3154E"/>
    <w:rsid w:val="03F66B79"/>
    <w:rsid w:val="03FA3367"/>
    <w:rsid w:val="03FE27DD"/>
    <w:rsid w:val="04217AB1"/>
    <w:rsid w:val="043F5274"/>
    <w:rsid w:val="043F665C"/>
    <w:rsid w:val="04484C31"/>
    <w:rsid w:val="04756809"/>
    <w:rsid w:val="047B0A3C"/>
    <w:rsid w:val="04873F4B"/>
    <w:rsid w:val="04893842"/>
    <w:rsid w:val="04924526"/>
    <w:rsid w:val="04AE1459"/>
    <w:rsid w:val="04C07991"/>
    <w:rsid w:val="04C6192C"/>
    <w:rsid w:val="04D17CC9"/>
    <w:rsid w:val="04D7530F"/>
    <w:rsid w:val="04DE679D"/>
    <w:rsid w:val="04EB5C24"/>
    <w:rsid w:val="0509588F"/>
    <w:rsid w:val="05102512"/>
    <w:rsid w:val="052420EF"/>
    <w:rsid w:val="052F28DF"/>
    <w:rsid w:val="05301363"/>
    <w:rsid w:val="055A4ED1"/>
    <w:rsid w:val="05650F6C"/>
    <w:rsid w:val="05652714"/>
    <w:rsid w:val="056E6B3B"/>
    <w:rsid w:val="05B03ACD"/>
    <w:rsid w:val="05B22882"/>
    <w:rsid w:val="05CD7AD2"/>
    <w:rsid w:val="05D3507C"/>
    <w:rsid w:val="05F732FC"/>
    <w:rsid w:val="060E3E53"/>
    <w:rsid w:val="06155C58"/>
    <w:rsid w:val="06253790"/>
    <w:rsid w:val="063A520D"/>
    <w:rsid w:val="063D0244"/>
    <w:rsid w:val="066A0AA1"/>
    <w:rsid w:val="066A4B1D"/>
    <w:rsid w:val="066D1330"/>
    <w:rsid w:val="06833C80"/>
    <w:rsid w:val="068A2188"/>
    <w:rsid w:val="06941A0B"/>
    <w:rsid w:val="06BF37EF"/>
    <w:rsid w:val="06D32A2E"/>
    <w:rsid w:val="06D57221"/>
    <w:rsid w:val="06E96117"/>
    <w:rsid w:val="071C5C13"/>
    <w:rsid w:val="071F35FD"/>
    <w:rsid w:val="07224583"/>
    <w:rsid w:val="0740342C"/>
    <w:rsid w:val="077D4558"/>
    <w:rsid w:val="07A546C1"/>
    <w:rsid w:val="07A84A60"/>
    <w:rsid w:val="07AC5381"/>
    <w:rsid w:val="07DF5AEC"/>
    <w:rsid w:val="07FB5A93"/>
    <w:rsid w:val="080561D0"/>
    <w:rsid w:val="080A6CFB"/>
    <w:rsid w:val="08117952"/>
    <w:rsid w:val="083B3885"/>
    <w:rsid w:val="08734EB1"/>
    <w:rsid w:val="087A46AB"/>
    <w:rsid w:val="08AB620D"/>
    <w:rsid w:val="08DE1650"/>
    <w:rsid w:val="08F3614A"/>
    <w:rsid w:val="09062384"/>
    <w:rsid w:val="090D0587"/>
    <w:rsid w:val="092B5815"/>
    <w:rsid w:val="093F5D0F"/>
    <w:rsid w:val="095548C0"/>
    <w:rsid w:val="0969543E"/>
    <w:rsid w:val="0992460A"/>
    <w:rsid w:val="0996655E"/>
    <w:rsid w:val="09976256"/>
    <w:rsid w:val="09A2678E"/>
    <w:rsid w:val="09BE54EE"/>
    <w:rsid w:val="09C5007F"/>
    <w:rsid w:val="09D56EA8"/>
    <w:rsid w:val="09D71826"/>
    <w:rsid w:val="0A0D2D3E"/>
    <w:rsid w:val="0A347FCD"/>
    <w:rsid w:val="0A70511D"/>
    <w:rsid w:val="0A9C5906"/>
    <w:rsid w:val="0AA27313"/>
    <w:rsid w:val="0AA32829"/>
    <w:rsid w:val="0AB60A8E"/>
    <w:rsid w:val="0ACA711F"/>
    <w:rsid w:val="0ADD1CA5"/>
    <w:rsid w:val="0AFF3E15"/>
    <w:rsid w:val="0B060B92"/>
    <w:rsid w:val="0B0C319B"/>
    <w:rsid w:val="0B4534CD"/>
    <w:rsid w:val="0B520A8C"/>
    <w:rsid w:val="0B672468"/>
    <w:rsid w:val="0B833327"/>
    <w:rsid w:val="0B942ED6"/>
    <w:rsid w:val="0BA60420"/>
    <w:rsid w:val="0BA87094"/>
    <w:rsid w:val="0BAC4891"/>
    <w:rsid w:val="0BB14321"/>
    <w:rsid w:val="0BB22F4A"/>
    <w:rsid w:val="0BBF0E37"/>
    <w:rsid w:val="0BE8747A"/>
    <w:rsid w:val="0BEF6E22"/>
    <w:rsid w:val="0BF846D0"/>
    <w:rsid w:val="0BF93F5D"/>
    <w:rsid w:val="0C060EE5"/>
    <w:rsid w:val="0C087DBE"/>
    <w:rsid w:val="0C0A4350"/>
    <w:rsid w:val="0C5C50D6"/>
    <w:rsid w:val="0C8F775E"/>
    <w:rsid w:val="0CA37666"/>
    <w:rsid w:val="0CA808BC"/>
    <w:rsid w:val="0CA961A2"/>
    <w:rsid w:val="0CAD3E44"/>
    <w:rsid w:val="0CF0475E"/>
    <w:rsid w:val="0D01205A"/>
    <w:rsid w:val="0D09413C"/>
    <w:rsid w:val="0D2E340C"/>
    <w:rsid w:val="0D300437"/>
    <w:rsid w:val="0D4732B1"/>
    <w:rsid w:val="0D5C5F3A"/>
    <w:rsid w:val="0D6D1536"/>
    <w:rsid w:val="0D911C04"/>
    <w:rsid w:val="0D9226CE"/>
    <w:rsid w:val="0DB41252"/>
    <w:rsid w:val="0DB46038"/>
    <w:rsid w:val="0DBE46F7"/>
    <w:rsid w:val="0DD35A03"/>
    <w:rsid w:val="0DF567BF"/>
    <w:rsid w:val="0DF73676"/>
    <w:rsid w:val="0E121949"/>
    <w:rsid w:val="0E221422"/>
    <w:rsid w:val="0E291E9B"/>
    <w:rsid w:val="0E6114CA"/>
    <w:rsid w:val="0E7F5C61"/>
    <w:rsid w:val="0E93723B"/>
    <w:rsid w:val="0E9537EC"/>
    <w:rsid w:val="0E980D8D"/>
    <w:rsid w:val="0EC11F07"/>
    <w:rsid w:val="0ED72C20"/>
    <w:rsid w:val="0F0378D3"/>
    <w:rsid w:val="0F1215F7"/>
    <w:rsid w:val="0F1F433C"/>
    <w:rsid w:val="0F231BE8"/>
    <w:rsid w:val="0F2B375B"/>
    <w:rsid w:val="0F3908B1"/>
    <w:rsid w:val="0F5872A7"/>
    <w:rsid w:val="0F6350DD"/>
    <w:rsid w:val="0F6A443E"/>
    <w:rsid w:val="0F780FB2"/>
    <w:rsid w:val="0F8260A1"/>
    <w:rsid w:val="0F87456B"/>
    <w:rsid w:val="0F9B764A"/>
    <w:rsid w:val="0FB533C5"/>
    <w:rsid w:val="0FBA1FB5"/>
    <w:rsid w:val="0FCD05F3"/>
    <w:rsid w:val="0FDF2A3C"/>
    <w:rsid w:val="0FF70A10"/>
    <w:rsid w:val="10071FF1"/>
    <w:rsid w:val="100754B8"/>
    <w:rsid w:val="103E2E4D"/>
    <w:rsid w:val="105813F5"/>
    <w:rsid w:val="109331D7"/>
    <w:rsid w:val="109C66A9"/>
    <w:rsid w:val="10AB0D3B"/>
    <w:rsid w:val="10B258DD"/>
    <w:rsid w:val="10B27530"/>
    <w:rsid w:val="10B63D07"/>
    <w:rsid w:val="10CB4329"/>
    <w:rsid w:val="10CE328F"/>
    <w:rsid w:val="1105593C"/>
    <w:rsid w:val="11155938"/>
    <w:rsid w:val="11214408"/>
    <w:rsid w:val="112F056E"/>
    <w:rsid w:val="11314455"/>
    <w:rsid w:val="1139291F"/>
    <w:rsid w:val="113E2FC0"/>
    <w:rsid w:val="11557AE3"/>
    <w:rsid w:val="11630C64"/>
    <w:rsid w:val="1171136D"/>
    <w:rsid w:val="11944960"/>
    <w:rsid w:val="11B40C2C"/>
    <w:rsid w:val="11B40C40"/>
    <w:rsid w:val="11C051E0"/>
    <w:rsid w:val="11D01ADC"/>
    <w:rsid w:val="11D45F33"/>
    <w:rsid w:val="11F33485"/>
    <w:rsid w:val="1204700E"/>
    <w:rsid w:val="12141B61"/>
    <w:rsid w:val="12154B80"/>
    <w:rsid w:val="122130BA"/>
    <w:rsid w:val="122517CE"/>
    <w:rsid w:val="12440EC6"/>
    <w:rsid w:val="1245068D"/>
    <w:rsid w:val="125D52E3"/>
    <w:rsid w:val="127630AE"/>
    <w:rsid w:val="12830A9B"/>
    <w:rsid w:val="130E30F3"/>
    <w:rsid w:val="13145E0C"/>
    <w:rsid w:val="13212603"/>
    <w:rsid w:val="13370306"/>
    <w:rsid w:val="13376695"/>
    <w:rsid w:val="13390EFB"/>
    <w:rsid w:val="134469D4"/>
    <w:rsid w:val="134F3F73"/>
    <w:rsid w:val="135C1BE0"/>
    <w:rsid w:val="13673605"/>
    <w:rsid w:val="13753759"/>
    <w:rsid w:val="137F0401"/>
    <w:rsid w:val="138E44E3"/>
    <w:rsid w:val="1396463B"/>
    <w:rsid w:val="13E93306"/>
    <w:rsid w:val="140F0496"/>
    <w:rsid w:val="1410624E"/>
    <w:rsid w:val="141E4EB5"/>
    <w:rsid w:val="142C2085"/>
    <w:rsid w:val="14495F5E"/>
    <w:rsid w:val="14577520"/>
    <w:rsid w:val="14796F4E"/>
    <w:rsid w:val="147B4AA9"/>
    <w:rsid w:val="14896B78"/>
    <w:rsid w:val="148F1346"/>
    <w:rsid w:val="14963C30"/>
    <w:rsid w:val="14BC1AC1"/>
    <w:rsid w:val="14DF54C8"/>
    <w:rsid w:val="15086C88"/>
    <w:rsid w:val="15101F55"/>
    <w:rsid w:val="151843DF"/>
    <w:rsid w:val="15387F4B"/>
    <w:rsid w:val="15413ACB"/>
    <w:rsid w:val="15494556"/>
    <w:rsid w:val="15521EA2"/>
    <w:rsid w:val="155E3876"/>
    <w:rsid w:val="15886390"/>
    <w:rsid w:val="15B33315"/>
    <w:rsid w:val="15BB2629"/>
    <w:rsid w:val="15BE63C8"/>
    <w:rsid w:val="15C162D5"/>
    <w:rsid w:val="15C35743"/>
    <w:rsid w:val="15D331A8"/>
    <w:rsid w:val="15DD560C"/>
    <w:rsid w:val="15F31AC3"/>
    <w:rsid w:val="15FB640B"/>
    <w:rsid w:val="16240C6E"/>
    <w:rsid w:val="16407AD6"/>
    <w:rsid w:val="16527EBB"/>
    <w:rsid w:val="16620AAE"/>
    <w:rsid w:val="1668358F"/>
    <w:rsid w:val="16D463A2"/>
    <w:rsid w:val="16E3427B"/>
    <w:rsid w:val="16EA089D"/>
    <w:rsid w:val="16EC606C"/>
    <w:rsid w:val="16F8209F"/>
    <w:rsid w:val="172E6829"/>
    <w:rsid w:val="176B0107"/>
    <w:rsid w:val="176E1C79"/>
    <w:rsid w:val="17791496"/>
    <w:rsid w:val="17820498"/>
    <w:rsid w:val="179C1FF2"/>
    <w:rsid w:val="17BE5AF5"/>
    <w:rsid w:val="17EA0933"/>
    <w:rsid w:val="17EC683A"/>
    <w:rsid w:val="17F17C59"/>
    <w:rsid w:val="180748BC"/>
    <w:rsid w:val="18401FE8"/>
    <w:rsid w:val="184D1FA1"/>
    <w:rsid w:val="18556E59"/>
    <w:rsid w:val="18680DA2"/>
    <w:rsid w:val="18697C21"/>
    <w:rsid w:val="187E017C"/>
    <w:rsid w:val="18913B72"/>
    <w:rsid w:val="189649B3"/>
    <w:rsid w:val="18A1422E"/>
    <w:rsid w:val="18B222FD"/>
    <w:rsid w:val="18C701FC"/>
    <w:rsid w:val="18C776CD"/>
    <w:rsid w:val="18E72586"/>
    <w:rsid w:val="18F961DC"/>
    <w:rsid w:val="194A6E07"/>
    <w:rsid w:val="1953402A"/>
    <w:rsid w:val="198D4BBB"/>
    <w:rsid w:val="19A80FEA"/>
    <w:rsid w:val="19A91F54"/>
    <w:rsid w:val="19B51AAA"/>
    <w:rsid w:val="19CF5549"/>
    <w:rsid w:val="19E30EAF"/>
    <w:rsid w:val="19E8490B"/>
    <w:rsid w:val="19EE4126"/>
    <w:rsid w:val="19FC3484"/>
    <w:rsid w:val="1A232E15"/>
    <w:rsid w:val="1A297FD2"/>
    <w:rsid w:val="1A31109A"/>
    <w:rsid w:val="1A340363"/>
    <w:rsid w:val="1A424041"/>
    <w:rsid w:val="1A475519"/>
    <w:rsid w:val="1A4C4737"/>
    <w:rsid w:val="1A5F11EA"/>
    <w:rsid w:val="1A835A09"/>
    <w:rsid w:val="1A8C0449"/>
    <w:rsid w:val="1A955AFD"/>
    <w:rsid w:val="1AB5169E"/>
    <w:rsid w:val="1AB70653"/>
    <w:rsid w:val="1AC84749"/>
    <w:rsid w:val="1AD92F66"/>
    <w:rsid w:val="1ADB15DB"/>
    <w:rsid w:val="1AF052B1"/>
    <w:rsid w:val="1B052B57"/>
    <w:rsid w:val="1B0E0471"/>
    <w:rsid w:val="1B3618E7"/>
    <w:rsid w:val="1B3F2E65"/>
    <w:rsid w:val="1B4068BC"/>
    <w:rsid w:val="1B5622DF"/>
    <w:rsid w:val="1B821332"/>
    <w:rsid w:val="1B861BDC"/>
    <w:rsid w:val="1B984897"/>
    <w:rsid w:val="1B991282"/>
    <w:rsid w:val="1BBC3641"/>
    <w:rsid w:val="1BD62DEA"/>
    <w:rsid w:val="1C090178"/>
    <w:rsid w:val="1C3A7381"/>
    <w:rsid w:val="1C4D4802"/>
    <w:rsid w:val="1C4E792B"/>
    <w:rsid w:val="1C7007E8"/>
    <w:rsid w:val="1C8E5A9E"/>
    <w:rsid w:val="1CA3463F"/>
    <w:rsid w:val="1CC40005"/>
    <w:rsid w:val="1CCB2653"/>
    <w:rsid w:val="1CE01EEC"/>
    <w:rsid w:val="1D027ADC"/>
    <w:rsid w:val="1D097BC8"/>
    <w:rsid w:val="1D13418A"/>
    <w:rsid w:val="1D207934"/>
    <w:rsid w:val="1D251ECC"/>
    <w:rsid w:val="1D403BD3"/>
    <w:rsid w:val="1D4B15AA"/>
    <w:rsid w:val="1D555136"/>
    <w:rsid w:val="1D695AF0"/>
    <w:rsid w:val="1D6E0551"/>
    <w:rsid w:val="1D7A6120"/>
    <w:rsid w:val="1D7C62F9"/>
    <w:rsid w:val="1D7E5055"/>
    <w:rsid w:val="1D8164C2"/>
    <w:rsid w:val="1D942AD3"/>
    <w:rsid w:val="1D9938A2"/>
    <w:rsid w:val="1DCE1935"/>
    <w:rsid w:val="1DED7D3F"/>
    <w:rsid w:val="1DF10D10"/>
    <w:rsid w:val="1E216C27"/>
    <w:rsid w:val="1E256726"/>
    <w:rsid w:val="1E334A61"/>
    <w:rsid w:val="1E3B2C33"/>
    <w:rsid w:val="1E5C6074"/>
    <w:rsid w:val="1E8C37BD"/>
    <w:rsid w:val="1E912928"/>
    <w:rsid w:val="1EDA5857"/>
    <w:rsid w:val="1EEC49E3"/>
    <w:rsid w:val="1EFB2E98"/>
    <w:rsid w:val="1EFE27F0"/>
    <w:rsid w:val="1F076DED"/>
    <w:rsid w:val="1F103B84"/>
    <w:rsid w:val="1F1508BF"/>
    <w:rsid w:val="1F3B4AD6"/>
    <w:rsid w:val="1F3C64D2"/>
    <w:rsid w:val="1F430478"/>
    <w:rsid w:val="1F9B6680"/>
    <w:rsid w:val="1FAF2C93"/>
    <w:rsid w:val="1FB614BE"/>
    <w:rsid w:val="1FB84322"/>
    <w:rsid w:val="1FC624AE"/>
    <w:rsid w:val="1FD32171"/>
    <w:rsid w:val="1FE5655A"/>
    <w:rsid w:val="1FEA6D47"/>
    <w:rsid w:val="1FF7525F"/>
    <w:rsid w:val="20031954"/>
    <w:rsid w:val="200769A0"/>
    <w:rsid w:val="2041191C"/>
    <w:rsid w:val="2059342C"/>
    <w:rsid w:val="20743BB9"/>
    <w:rsid w:val="2087037A"/>
    <w:rsid w:val="20C16DEA"/>
    <w:rsid w:val="20D863E9"/>
    <w:rsid w:val="20DC45BC"/>
    <w:rsid w:val="20EE4D12"/>
    <w:rsid w:val="21190F27"/>
    <w:rsid w:val="21216C92"/>
    <w:rsid w:val="21287BA9"/>
    <w:rsid w:val="213B3AB2"/>
    <w:rsid w:val="2152063C"/>
    <w:rsid w:val="216C3099"/>
    <w:rsid w:val="21A87E69"/>
    <w:rsid w:val="21C40F15"/>
    <w:rsid w:val="21DD7F7D"/>
    <w:rsid w:val="21E02CC5"/>
    <w:rsid w:val="21E749B5"/>
    <w:rsid w:val="21E85BEA"/>
    <w:rsid w:val="21F236D9"/>
    <w:rsid w:val="222B2F7A"/>
    <w:rsid w:val="2252374B"/>
    <w:rsid w:val="226418B6"/>
    <w:rsid w:val="228D01A8"/>
    <w:rsid w:val="2297634E"/>
    <w:rsid w:val="22AF7D7F"/>
    <w:rsid w:val="22E43F69"/>
    <w:rsid w:val="22E7313B"/>
    <w:rsid w:val="23235A55"/>
    <w:rsid w:val="232E1888"/>
    <w:rsid w:val="23554516"/>
    <w:rsid w:val="23780867"/>
    <w:rsid w:val="239148FA"/>
    <w:rsid w:val="23A73990"/>
    <w:rsid w:val="23B20626"/>
    <w:rsid w:val="23BD0220"/>
    <w:rsid w:val="23C626F6"/>
    <w:rsid w:val="23E856B1"/>
    <w:rsid w:val="23EA223B"/>
    <w:rsid w:val="243C4DD2"/>
    <w:rsid w:val="244535C3"/>
    <w:rsid w:val="244B538D"/>
    <w:rsid w:val="2451787D"/>
    <w:rsid w:val="246503CD"/>
    <w:rsid w:val="246523B0"/>
    <w:rsid w:val="24685BBB"/>
    <w:rsid w:val="247731BC"/>
    <w:rsid w:val="247939AD"/>
    <w:rsid w:val="24E0727C"/>
    <w:rsid w:val="24F839B5"/>
    <w:rsid w:val="251F4DEA"/>
    <w:rsid w:val="25236158"/>
    <w:rsid w:val="253C725A"/>
    <w:rsid w:val="256D597E"/>
    <w:rsid w:val="25707CCB"/>
    <w:rsid w:val="258F2C7D"/>
    <w:rsid w:val="25BB5642"/>
    <w:rsid w:val="25D427ED"/>
    <w:rsid w:val="25DB4418"/>
    <w:rsid w:val="25DC6A3B"/>
    <w:rsid w:val="26077AAE"/>
    <w:rsid w:val="262D563A"/>
    <w:rsid w:val="265748F8"/>
    <w:rsid w:val="26662796"/>
    <w:rsid w:val="26756C9A"/>
    <w:rsid w:val="26B46C90"/>
    <w:rsid w:val="26D84699"/>
    <w:rsid w:val="26F653E0"/>
    <w:rsid w:val="270D56A1"/>
    <w:rsid w:val="270D5B6F"/>
    <w:rsid w:val="27237C25"/>
    <w:rsid w:val="272A6A19"/>
    <w:rsid w:val="272C3D9B"/>
    <w:rsid w:val="27312457"/>
    <w:rsid w:val="27354DE3"/>
    <w:rsid w:val="27386115"/>
    <w:rsid w:val="27430F49"/>
    <w:rsid w:val="276A001E"/>
    <w:rsid w:val="27760CFD"/>
    <w:rsid w:val="27885E75"/>
    <w:rsid w:val="27943A5C"/>
    <w:rsid w:val="27B97E2D"/>
    <w:rsid w:val="27E43AED"/>
    <w:rsid w:val="2816667B"/>
    <w:rsid w:val="281D789C"/>
    <w:rsid w:val="28573958"/>
    <w:rsid w:val="28577774"/>
    <w:rsid w:val="28677F5A"/>
    <w:rsid w:val="28681766"/>
    <w:rsid w:val="286F7DF7"/>
    <w:rsid w:val="28923B61"/>
    <w:rsid w:val="28A8662A"/>
    <w:rsid w:val="28AB7228"/>
    <w:rsid w:val="28B17186"/>
    <w:rsid w:val="28F82CEE"/>
    <w:rsid w:val="290A4785"/>
    <w:rsid w:val="29873A6F"/>
    <w:rsid w:val="298D07CB"/>
    <w:rsid w:val="298F620E"/>
    <w:rsid w:val="2990186E"/>
    <w:rsid w:val="29943091"/>
    <w:rsid w:val="29A17581"/>
    <w:rsid w:val="29D63E9E"/>
    <w:rsid w:val="29ED2A75"/>
    <w:rsid w:val="29F82483"/>
    <w:rsid w:val="2A434328"/>
    <w:rsid w:val="2A612843"/>
    <w:rsid w:val="2A64477C"/>
    <w:rsid w:val="2A6B2C43"/>
    <w:rsid w:val="2A7C3988"/>
    <w:rsid w:val="2A816F32"/>
    <w:rsid w:val="2A854FA1"/>
    <w:rsid w:val="2A866E3E"/>
    <w:rsid w:val="2A8C309D"/>
    <w:rsid w:val="2A985D26"/>
    <w:rsid w:val="2AFF0AA7"/>
    <w:rsid w:val="2B0A765E"/>
    <w:rsid w:val="2B155AEC"/>
    <w:rsid w:val="2B2F6B8C"/>
    <w:rsid w:val="2B3F5D4C"/>
    <w:rsid w:val="2B7664FB"/>
    <w:rsid w:val="2B8078C6"/>
    <w:rsid w:val="2BB6178F"/>
    <w:rsid w:val="2BD52486"/>
    <w:rsid w:val="2BF440A9"/>
    <w:rsid w:val="2BF524B4"/>
    <w:rsid w:val="2C0D1CB8"/>
    <w:rsid w:val="2C343419"/>
    <w:rsid w:val="2C3F3CBB"/>
    <w:rsid w:val="2C4405C4"/>
    <w:rsid w:val="2C443808"/>
    <w:rsid w:val="2C8C2249"/>
    <w:rsid w:val="2C8F150E"/>
    <w:rsid w:val="2CBD15EB"/>
    <w:rsid w:val="2CEC076D"/>
    <w:rsid w:val="2D037A4F"/>
    <w:rsid w:val="2D052932"/>
    <w:rsid w:val="2D0C694F"/>
    <w:rsid w:val="2D2508F9"/>
    <w:rsid w:val="2D627807"/>
    <w:rsid w:val="2D934D94"/>
    <w:rsid w:val="2DAD0B89"/>
    <w:rsid w:val="2DDE1E88"/>
    <w:rsid w:val="2DDE4B52"/>
    <w:rsid w:val="2DEF69FE"/>
    <w:rsid w:val="2E0B598F"/>
    <w:rsid w:val="2E372719"/>
    <w:rsid w:val="2E70555D"/>
    <w:rsid w:val="2E7573F0"/>
    <w:rsid w:val="2E7A4A66"/>
    <w:rsid w:val="2EAE65BA"/>
    <w:rsid w:val="2EB04DF2"/>
    <w:rsid w:val="2EBD0C24"/>
    <w:rsid w:val="2EC14AA2"/>
    <w:rsid w:val="2ECE7139"/>
    <w:rsid w:val="2ED524A2"/>
    <w:rsid w:val="2F0451D0"/>
    <w:rsid w:val="2F204077"/>
    <w:rsid w:val="2F3D7DEF"/>
    <w:rsid w:val="2F49141D"/>
    <w:rsid w:val="2F701D9F"/>
    <w:rsid w:val="2F7A7CC0"/>
    <w:rsid w:val="2F7B79E3"/>
    <w:rsid w:val="2F7F78DA"/>
    <w:rsid w:val="2FA22A8D"/>
    <w:rsid w:val="2FA538E8"/>
    <w:rsid w:val="2FB26A72"/>
    <w:rsid w:val="2FC50151"/>
    <w:rsid w:val="2FCC5F23"/>
    <w:rsid w:val="2FDB7F84"/>
    <w:rsid w:val="2FFC5B1A"/>
    <w:rsid w:val="30075935"/>
    <w:rsid w:val="30147E30"/>
    <w:rsid w:val="30451BF4"/>
    <w:rsid w:val="306C091D"/>
    <w:rsid w:val="308405BA"/>
    <w:rsid w:val="309767BD"/>
    <w:rsid w:val="30A64306"/>
    <w:rsid w:val="30B63A56"/>
    <w:rsid w:val="30D05639"/>
    <w:rsid w:val="30D33D17"/>
    <w:rsid w:val="30DC0D54"/>
    <w:rsid w:val="30F37CC9"/>
    <w:rsid w:val="30FE69A6"/>
    <w:rsid w:val="310159B3"/>
    <w:rsid w:val="3108312D"/>
    <w:rsid w:val="3122005B"/>
    <w:rsid w:val="3126725C"/>
    <w:rsid w:val="312D02F7"/>
    <w:rsid w:val="31365BE0"/>
    <w:rsid w:val="314E4FD9"/>
    <w:rsid w:val="31514988"/>
    <w:rsid w:val="31676662"/>
    <w:rsid w:val="31860E50"/>
    <w:rsid w:val="31894F6F"/>
    <w:rsid w:val="31E74446"/>
    <w:rsid w:val="32184E09"/>
    <w:rsid w:val="32733A5C"/>
    <w:rsid w:val="3284349E"/>
    <w:rsid w:val="32845062"/>
    <w:rsid w:val="328D0DAE"/>
    <w:rsid w:val="3297148B"/>
    <w:rsid w:val="329C34D9"/>
    <w:rsid w:val="32A40BA7"/>
    <w:rsid w:val="32FB0439"/>
    <w:rsid w:val="33005A44"/>
    <w:rsid w:val="33030C23"/>
    <w:rsid w:val="33054A89"/>
    <w:rsid w:val="33081524"/>
    <w:rsid w:val="3320145E"/>
    <w:rsid w:val="33342A24"/>
    <w:rsid w:val="335F74C6"/>
    <w:rsid w:val="339E23A0"/>
    <w:rsid w:val="33E52502"/>
    <w:rsid w:val="33EA6DB0"/>
    <w:rsid w:val="33EB141A"/>
    <w:rsid w:val="33EB6CFA"/>
    <w:rsid w:val="33EE4829"/>
    <w:rsid w:val="33F62651"/>
    <w:rsid w:val="343202DC"/>
    <w:rsid w:val="34823B76"/>
    <w:rsid w:val="349A7AF4"/>
    <w:rsid w:val="349C7EAD"/>
    <w:rsid w:val="34BA7332"/>
    <w:rsid w:val="34DB0300"/>
    <w:rsid w:val="34F57614"/>
    <w:rsid w:val="352C5DA4"/>
    <w:rsid w:val="354B056A"/>
    <w:rsid w:val="35646C4F"/>
    <w:rsid w:val="356C4C75"/>
    <w:rsid w:val="358D17E7"/>
    <w:rsid w:val="358D4424"/>
    <w:rsid w:val="35AA1BA9"/>
    <w:rsid w:val="35C718EF"/>
    <w:rsid w:val="35CE3CA0"/>
    <w:rsid w:val="35F136E7"/>
    <w:rsid w:val="360139DC"/>
    <w:rsid w:val="3610076D"/>
    <w:rsid w:val="36433EB3"/>
    <w:rsid w:val="365C50E6"/>
    <w:rsid w:val="366E0621"/>
    <w:rsid w:val="36775853"/>
    <w:rsid w:val="36BA1564"/>
    <w:rsid w:val="36CB73B6"/>
    <w:rsid w:val="36D21BB2"/>
    <w:rsid w:val="36D4562E"/>
    <w:rsid w:val="36DE2A5B"/>
    <w:rsid w:val="36EE0537"/>
    <w:rsid w:val="36F870A6"/>
    <w:rsid w:val="37071D11"/>
    <w:rsid w:val="3707366D"/>
    <w:rsid w:val="37185172"/>
    <w:rsid w:val="37253A78"/>
    <w:rsid w:val="374925D7"/>
    <w:rsid w:val="374F6631"/>
    <w:rsid w:val="375950B4"/>
    <w:rsid w:val="376C6BB9"/>
    <w:rsid w:val="37894D67"/>
    <w:rsid w:val="37A60FA7"/>
    <w:rsid w:val="37EA30E5"/>
    <w:rsid w:val="3806735A"/>
    <w:rsid w:val="380B3320"/>
    <w:rsid w:val="382702D4"/>
    <w:rsid w:val="38351A7B"/>
    <w:rsid w:val="38420F9D"/>
    <w:rsid w:val="38485904"/>
    <w:rsid w:val="3858044D"/>
    <w:rsid w:val="38615D9B"/>
    <w:rsid w:val="387704E8"/>
    <w:rsid w:val="38904C3F"/>
    <w:rsid w:val="38A30C5F"/>
    <w:rsid w:val="38A66799"/>
    <w:rsid w:val="38BF2A60"/>
    <w:rsid w:val="38CE7F05"/>
    <w:rsid w:val="38E944FB"/>
    <w:rsid w:val="39161D88"/>
    <w:rsid w:val="3948124D"/>
    <w:rsid w:val="3949013B"/>
    <w:rsid w:val="3959641A"/>
    <w:rsid w:val="3965558C"/>
    <w:rsid w:val="396E3A43"/>
    <w:rsid w:val="399332B5"/>
    <w:rsid w:val="399961A1"/>
    <w:rsid w:val="39B13436"/>
    <w:rsid w:val="39BF5515"/>
    <w:rsid w:val="39CC65F1"/>
    <w:rsid w:val="39D41C68"/>
    <w:rsid w:val="39E856FE"/>
    <w:rsid w:val="39F96117"/>
    <w:rsid w:val="3A192B24"/>
    <w:rsid w:val="3A521D71"/>
    <w:rsid w:val="3AAF76A0"/>
    <w:rsid w:val="3ACF3779"/>
    <w:rsid w:val="3AEB5A3F"/>
    <w:rsid w:val="3AED1F00"/>
    <w:rsid w:val="3AF71E6A"/>
    <w:rsid w:val="3B031276"/>
    <w:rsid w:val="3B1519EF"/>
    <w:rsid w:val="3B817163"/>
    <w:rsid w:val="3B8D0735"/>
    <w:rsid w:val="3B8E5777"/>
    <w:rsid w:val="3B9E5071"/>
    <w:rsid w:val="3BAC618A"/>
    <w:rsid w:val="3BE05A59"/>
    <w:rsid w:val="3C0D43EF"/>
    <w:rsid w:val="3C1F6EE0"/>
    <w:rsid w:val="3C2127B7"/>
    <w:rsid w:val="3C280836"/>
    <w:rsid w:val="3C3D351E"/>
    <w:rsid w:val="3C941444"/>
    <w:rsid w:val="3C9A5EF9"/>
    <w:rsid w:val="3CBD5098"/>
    <w:rsid w:val="3CC53CF8"/>
    <w:rsid w:val="3CD93969"/>
    <w:rsid w:val="3CF227E3"/>
    <w:rsid w:val="3CF628C8"/>
    <w:rsid w:val="3D020C93"/>
    <w:rsid w:val="3D51706F"/>
    <w:rsid w:val="3D6607DF"/>
    <w:rsid w:val="3D70522C"/>
    <w:rsid w:val="3D796F82"/>
    <w:rsid w:val="3D884FC7"/>
    <w:rsid w:val="3DD16322"/>
    <w:rsid w:val="3DE503F8"/>
    <w:rsid w:val="3E0805FB"/>
    <w:rsid w:val="3E146BB8"/>
    <w:rsid w:val="3E1C61A1"/>
    <w:rsid w:val="3E1C6886"/>
    <w:rsid w:val="3E333AEC"/>
    <w:rsid w:val="3E333C62"/>
    <w:rsid w:val="3E5B56DC"/>
    <w:rsid w:val="3E6238D1"/>
    <w:rsid w:val="3E66513D"/>
    <w:rsid w:val="3E79544F"/>
    <w:rsid w:val="3E942232"/>
    <w:rsid w:val="3E967606"/>
    <w:rsid w:val="3EA9200D"/>
    <w:rsid w:val="3EC141CA"/>
    <w:rsid w:val="3ECE081B"/>
    <w:rsid w:val="3EE0031B"/>
    <w:rsid w:val="3EEE62B1"/>
    <w:rsid w:val="3EF55C4B"/>
    <w:rsid w:val="3EF57385"/>
    <w:rsid w:val="3EF80599"/>
    <w:rsid w:val="3F2248A9"/>
    <w:rsid w:val="3F973B4F"/>
    <w:rsid w:val="3FA46875"/>
    <w:rsid w:val="3FC24A26"/>
    <w:rsid w:val="401550CC"/>
    <w:rsid w:val="40481853"/>
    <w:rsid w:val="40517DE4"/>
    <w:rsid w:val="40554BDE"/>
    <w:rsid w:val="408B589A"/>
    <w:rsid w:val="40910FC0"/>
    <w:rsid w:val="40C315DE"/>
    <w:rsid w:val="40D92788"/>
    <w:rsid w:val="40DF216C"/>
    <w:rsid w:val="40FA1E89"/>
    <w:rsid w:val="41052111"/>
    <w:rsid w:val="413565B8"/>
    <w:rsid w:val="4141650D"/>
    <w:rsid w:val="41A92660"/>
    <w:rsid w:val="41AF5DD8"/>
    <w:rsid w:val="41DE102E"/>
    <w:rsid w:val="41E23B57"/>
    <w:rsid w:val="41F05176"/>
    <w:rsid w:val="42066524"/>
    <w:rsid w:val="42164D76"/>
    <w:rsid w:val="422E19C7"/>
    <w:rsid w:val="422F4080"/>
    <w:rsid w:val="42466E75"/>
    <w:rsid w:val="42642026"/>
    <w:rsid w:val="426E7F1A"/>
    <w:rsid w:val="42885795"/>
    <w:rsid w:val="42A02D8A"/>
    <w:rsid w:val="42C67A6B"/>
    <w:rsid w:val="42D82607"/>
    <w:rsid w:val="431056EF"/>
    <w:rsid w:val="431F3554"/>
    <w:rsid w:val="433B2095"/>
    <w:rsid w:val="43494B5D"/>
    <w:rsid w:val="434D07D2"/>
    <w:rsid w:val="435B7DF5"/>
    <w:rsid w:val="438011AD"/>
    <w:rsid w:val="438132DD"/>
    <w:rsid w:val="43A939C0"/>
    <w:rsid w:val="43AB6138"/>
    <w:rsid w:val="43B24252"/>
    <w:rsid w:val="43B248B5"/>
    <w:rsid w:val="43B56047"/>
    <w:rsid w:val="43D823EE"/>
    <w:rsid w:val="43DB71F0"/>
    <w:rsid w:val="43E47BDE"/>
    <w:rsid w:val="43EC5638"/>
    <w:rsid w:val="43EC703C"/>
    <w:rsid w:val="43ED636F"/>
    <w:rsid w:val="44122884"/>
    <w:rsid w:val="442633D0"/>
    <w:rsid w:val="44330FD2"/>
    <w:rsid w:val="443A0038"/>
    <w:rsid w:val="443A6B2B"/>
    <w:rsid w:val="447D08B4"/>
    <w:rsid w:val="447D402D"/>
    <w:rsid w:val="447D6659"/>
    <w:rsid w:val="447F110D"/>
    <w:rsid w:val="449C304F"/>
    <w:rsid w:val="44A63366"/>
    <w:rsid w:val="44C27A29"/>
    <w:rsid w:val="44C30D33"/>
    <w:rsid w:val="44C37C6B"/>
    <w:rsid w:val="44E827CB"/>
    <w:rsid w:val="44F47784"/>
    <w:rsid w:val="45015217"/>
    <w:rsid w:val="454D3BB7"/>
    <w:rsid w:val="4599109F"/>
    <w:rsid w:val="45D4490F"/>
    <w:rsid w:val="45D66747"/>
    <w:rsid w:val="45F472DF"/>
    <w:rsid w:val="46156C09"/>
    <w:rsid w:val="464051C6"/>
    <w:rsid w:val="465F01BB"/>
    <w:rsid w:val="467A4F9D"/>
    <w:rsid w:val="468A042F"/>
    <w:rsid w:val="46AF3A3E"/>
    <w:rsid w:val="46CF68EE"/>
    <w:rsid w:val="46D45767"/>
    <w:rsid w:val="46E81F21"/>
    <w:rsid w:val="471F1B29"/>
    <w:rsid w:val="472C3C99"/>
    <w:rsid w:val="47472DF1"/>
    <w:rsid w:val="476360FF"/>
    <w:rsid w:val="4775059A"/>
    <w:rsid w:val="477633AD"/>
    <w:rsid w:val="47C507D3"/>
    <w:rsid w:val="47C6431A"/>
    <w:rsid w:val="47D65CAD"/>
    <w:rsid w:val="47D808B8"/>
    <w:rsid w:val="47DA10B9"/>
    <w:rsid w:val="47DF45D4"/>
    <w:rsid w:val="48240225"/>
    <w:rsid w:val="48273267"/>
    <w:rsid w:val="482A00B2"/>
    <w:rsid w:val="48301D44"/>
    <w:rsid w:val="484D7B05"/>
    <w:rsid w:val="485208BC"/>
    <w:rsid w:val="48564224"/>
    <w:rsid w:val="487B125B"/>
    <w:rsid w:val="487B5097"/>
    <w:rsid w:val="488337DF"/>
    <w:rsid w:val="48867F6B"/>
    <w:rsid w:val="48B13100"/>
    <w:rsid w:val="48B20D65"/>
    <w:rsid w:val="48E76D74"/>
    <w:rsid w:val="491A0E67"/>
    <w:rsid w:val="496219E7"/>
    <w:rsid w:val="496C2C0A"/>
    <w:rsid w:val="49A71948"/>
    <w:rsid w:val="49BF3470"/>
    <w:rsid w:val="49CF2371"/>
    <w:rsid w:val="49E07309"/>
    <w:rsid w:val="4A140694"/>
    <w:rsid w:val="4A1C2238"/>
    <w:rsid w:val="4A5116F5"/>
    <w:rsid w:val="4A8E6E4F"/>
    <w:rsid w:val="4A90490E"/>
    <w:rsid w:val="4AA320AD"/>
    <w:rsid w:val="4AA364FF"/>
    <w:rsid w:val="4AB044CD"/>
    <w:rsid w:val="4AB3753C"/>
    <w:rsid w:val="4ABA1CAB"/>
    <w:rsid w:val="4AD9772D"/>
    <w:rsid w:val="4AF60CBB"/>
    <w:rsid w:val="4B156FF4"/>
    <w:rsid w:val="4B2B675B"/>
    <w:rsid w:val="4B4F1305"/>
    <w:rsid w:val="4B885F1B"/>
    <w:rsid w:val="4B941F8D"/>
    <w:rsid w:val="4BA42905"/>
    <w:rsid w:val="4BAA57D6"/>
    <w:rsid w:val="4BAC36C9"/>
    <w:rsid w:val="4BC30F37"/>
    <w:rsid w:val="4BCF76D1"/>
    <w:rsid w:val="4BF219E8"/>
    <w:rsid w:val="4C0C32F3"/>
    <w:rsid w:val="4C171D72"/>
    <w:rsid w:val="4C631EDA"/>
    <w:rsid w:val="4C840634"/>
    <w:rsid w:val="4C844BC8"/>
    <w:rsid w:val="4C995BA5"/>
    <w:rsid w:val="4C9A2E59"/>
    <w:rsid w:val="4CD41933"/>
    <w:rsid w:val="4CF177CB"/>
    <w:rsid w:val="4CF678CA"/>
    <w:rsid w:val="4D171FD0"/>
    <w:rsid w:val="4D175216"/>
    <w:rsid w:val="4D191608"/>
    <w:rsid w:val="4D263CE4"/>
    <w:rsid w:val="4D851617"/>
    <w:rsid w:val="4D967BF5"/>
    <w:rsid w:val="4D974BCF"/>
    <w:rsid w:val="4DA914F9"/>
    <w:rsid w:val="4DD51956"/>
    <w:rsid w:val="4DE061E5"/>
    <w:rsid w:val="4DE23284"/>
    <w:rsid w:val="4E1A701F"/>
    <w:rsid w:val="4E7B75DD"/>
    <w:rsid w:val="4EB4046C"/>
    <w:rsid w:val="4EB777B3"/>
    <w:rsid w:val="4F2471BE"/>
    <w:rsid w:val="4F4C19E2"/>
    <w:rsid w:val="4F7026DE"/>
    <w:rsid w:val="4F717B18"/>
    <w:rsid w:val="4F7821DB"/>
    <w:rsid w:val="4F911A9D"/>
    <w:rsid w:val="4FB156DB"/>
    <w:rsid w:val="4FC04D6D"/>
    <w:rsid w:val="4FC945C8"/>
    <w:rsid w:val="4FC9614D"/>
    <w:rsid w:val="4FCC4040"/>
    <w:rsid w:val="4FEC2B8D"/>
    <w:rsid w:val="4FF53A7A"/>
    <w:rsid w:val="4FFE3BFE"/>
    <w:rsid w:val="50267006"/>
    <w:rsid w:val="50841485"/>
    <w:rsid w:val="5097037B"/>
    <w:rsid w:val="50B520E2"/>
    <w:rsid w:val="51005BB2"/>
    <w:rsid w:val="51197D54"/>
    <w:rsid w:val="511A208C"/>
    <w:rsid w:val="513423E9"/>
    <w:rsid w:val="51456D85"/>
    <w:rsid w:val="514E3B10"/>
    <w:rsid w:val="51536156"/>
    <w:rsid w:val="5153765D"/>
    <w:rsid w:val="51596988"/>
    <w:rsid w:val="51644BA4"/>
    <w:rsid w:val="517E4F47"/>
    <w:rsid w:val="51921376"/>
    <w:rsid w:val="519A2902"/>
    <w:rsid w:val="519C4E03"/>
    <w:rsid w:val="51D266A4"/>
    <w:rsid w:val="51D40315"/>
    <w:rsid w:val="51DE56EE"/>
    <w:rsid w:val="51F07C41"/>
    <w:rsid w:val="51F654A2"/>
    <w:rsid w:val="520F18B9"/>
    <w:rsid w:val="52100255"/>
    <w:rsid w:val="52141A04"/>
    <w:rsid w:val="52144599"/>
    <w:rsid w:val="522A562A"/>
    <w:rsid w:val="523C7246"/>
    <w:rsid w:val="523E2E24"/>
    <w:rsid w:val="52547D17"/>
    <w:rsid w:val="525937BF"/>
    <w:rsid w:val="527F0876"/>
    <w:rsid w:val="52843F86"/>
    <w:rsid w:val="5297226B"/>
    <w:rsid w:val="52990C1F"/>
    <w:rsid w:val="52A5443D"/>
    <w:rsid w:val="52D425B9"/>
    <w:rsid w:val="53506282"/>
    <w:rsid w:val="53594062"/>
    <w:rsid w:val="53757A0F"/>
    <w:rsid w:val="53814A6A"/>
    <w:rsid w:val="538356AF"/>
    <w:rsid w:val="53835FCF"/>
    <w:rsid w:val="53D52212"/>
    <w:rsid w:val="53DF58E9"/>
    <w:rsid w:val="53E30766"/>
    <w:rsid w:val="54061A31"/>
    <w:rsid w:val="540E237B"/>
    <w:rsid w:val="540F487E"/>
    <w:rsid w:val="541B33C9"/>
    <w:rsid w:val="547202CB"/>
    <w:rsid w:val="54756B5A"/>
    <w:rsid w:val="548375C7"/>
    <w:rsid w:val="548658A2"/>
    <w:rsid w:val="548C7211"/>
    <w:rsid w:val="549F151E"/>
    <w:rsid w:val="54AD5DA4"/>
    <w:rsid w:val="54B349A7"/>
    <w:rsid w:val="54D9267C"/>
    <w:rsid w:val="54F749A7"/>
    <w:rsid w:val="54FB14AD"/>
    <w:rsid w:val="55042847"/>
    <w:rsid w:val="551662CA"/>
    <w:rsid w:val="551E01D6"/>
    <w:rsid w:val="553232B5"/>
    <w:rsid w:val="55367803"/>
    <w:rsid w:val="55461916"/>
    <w:rsid w:val="55485AA9"/>
    <w:rsid w:val="554C6321"/>
    <w:rsid w:val="556F6D99"/>
    <w:rsid w:val="557E5697"/>
    <w:rsid w:val="55AD6E6F"/>
    <w:rsid w:val="55BA098D"/>
    <w:rsid w:val="55EF222B"/>
    <w:rsid w:val="55F417F2"/>
    <w:rsid w:val="55F56F42"/>
    <w:rsid w:val="55FB6B21"/>
    <w:rsid w:val="562F0788"/>
    <w:rsid w:val="564E62D7"/>
    <w:rsid w:val="5659399A"/>
    <w:rsid w:val="56644F43"/>
    <w:rsid w:val="56645440"/>
    <w:rsid w:val="56704D0A"/>
    <w:rsid w:val="567519B5"/>
    <w:rsid w:val="56894A3D"/>
    <w:rsid w:val="568F3A6F"/>
    <w:rsid w:val="568F6B3B"/>
    <w:rsid w:val="56A45563"/>
    <w:rsid w:val="56B8428B"/>
    <w:rsid w:val="56C502DD"/>
    <w:rsid w:val="56D23E27"/>
    <w:rsid w:val="56F30B79"/>
    <w:rsid w:val="56F41FE6"/>
    <w:rsid w:val="573A040C"/>
    <w:rsid w:val="574B69B1"/>
    <w:rsid w:val="57937FFB"/>
    <w:rsid w:val="57BF65B4"/>
    <w:rsid w:val="57F1198C"/>
    <w:rsid w:val="57FF6EAD"/>
    <w:rsid w:val="580A2C54"/>
    <w:rsid w:val="580F2073"/>
    <w:rsid w:val="581F6200"/>
    <w:rsid w:val="58270485"/>
    <w:rsid w:val="582D6394"/>
    <w:rsid w:val="583D4506"/>
    <w:rsid w:val="5841278B"/>
    <w:rsid w:val="585F74A0"/>
    <w:rsid w:val="58762DC6"/>
    <w:rsid w:val="589965CF"/>
    <w:rsid w:val="589C427F"/>
    <w:rsid w:val="58A8618E"/>
    <w:rsid w:val="58B052FB"/>
    <w:rsid w:val="58FC4C86"/>
    <w:rsid w:val="58FC7AC9"/>
    <w:rsid w:val="590B0801"/>
    <w:rsid w:val="591C3C1D"/>
    <w:rsid w:val="593B6397"/>
    <w:rsid w:val="593F2508"/>
    <w:rsid w:val="59427848"/>
    <w:rsid w:val="594E189C"/>
    <w:rsid w:val="59516E31"/>
    <w:rsid w:val="596F07B3"/>
    <w:rsid w:val="597A288C"/>
    <w:rsid w:val="598975AD"/>
    <w:rsid w:val="59B719F4"/>
    <w:rsid w:val="59B91C22"/>
    <w:rsid w:val="59B94831"/>
    <w:rsid w:val="59B95C5B"/>
    <w:rsid w:val="59D32C10"/>
    <w:rsid w:val="59E51B06"/>
    <w:rsid w:val="59E723A8"/>
    <w:rsid w:val="5A0C61F6"/>
    <w:rsid w:val="5A1030A8"/>
    <w:rsid w:val="5A2B12F0"/>
    <w:rsid w:val="5A3E2B9B"/>
    <w:rsid w:val="5A6B0C6D"/>
    <w:rsid w:val="5A8C3A1A"/>
    <w:rsid w:val="5A9206A4"/>
    <w:rsid w:val="5AB93C03"/>
    <w:rsid w:val="5AC501CE"/>
    <w:rsid w:val="5ACB7E61"/>
    <w:rsid w:val="5AFC632C"/>
    <w:rsid w:val="5AFF6746"/>
    <w:rsid w:val="5B0C4999"/>
    <w:rsid w:val="5B210307"/>
    <w:rsid w:val="5B236068"/>
    <w:rsid w:val="5B4A5638"/>
    <w:rsid w:val="5B5263FF"/>
    <w:rsid w:val="5B995184"/>
    <w:rsid w:val="5BA067A2"/>
    <w:rsid w:val="5BCF3EF7"/>
    <w:rsid w:val="5BD46745"/>
    <w:rsid w:val="5BF738E3"/>
    <w:rsid w:val="5C013129"/>
    <w:rsid w:val="5C1318A1"/>
    <w:rsid w:val="5C1E3E80"/>
    <w:rsid w:val="5C2E27B9"/>
    <w:rsid w:val="5C343794"/>
    <w:rsid w:val="5C385D40"/>
    <w:rsid w:val="5C5B6A90"/>
    <w:rsid w:val="5C683C87"/>
    <w:rsid w:val="5C6930A2"/>
    <w:rsid w:val="5C7034D0"/>
    <w:rsid w:val="5C705119"/>
    <w:rsid w:val="5CBB606D"/>
    <w:rsid w:val="5CD6638E"/>
    <w:rsid w:val="5CDA6EEE"/>
    <w:rsid w:val="5D134F39"/>
    <w:rsid w:val="5D2B3546"/>
    <w:rsid w:val="5D3E4B67"/>
    <w:rsid w:val="5D4C11EC"/>
    <w:rsid w:val="5D504B53"/>
    <w:rsid w:val="5D8511EE"/>
    <w:rsid w:val="5D860304"/>
    <w:rsid w:val="5DA76F13"/>
    <w:rsid w:val="5DAF24AC"/>
    <w:rsid w:val="5DEB3C87"/>
    <w:rsid w:val="5E0013EB"/>
    <w:rsid w:val="5E03225B"/>
    <w:rsid w:val="5E177981"/>
    <w:rsid w:val="5E404A72"/>
    <w:rsid w:val="5E4E0B0D"/>
    <w:rsid w:val="5E6D14C7"/>
    <w:rsid w:val="5E820C76"/>
    <w:rsid w:val="5E820D35"/>
    <w:rsid w:val="5E860B65"/>
    <w:rsid w:val="5EA8537C"/>
    <w:rsid w:val="5EBC7318"/>
    <w:rsid w:val="5EC657EF"/>
    <w:rsid w:val="5EE81921"/>
    <w:rsid w:val="5EF1732C"/>
    <w:rsid w:val="5EF51D08"/>
    <w:rsid w:val="5F3773E5"/>
    <w:rsid w:val="5F422ACD"/>
    <w:rsid w:val="5F6B0D41"/>
    <w:rsid w:val="5FDE1BB7"/>
    <w:rsid w:val="5FE420BD"/>
    <w:rsid w:val="5FE7021A"/>
    <w:rsid w:val="600B47D9"/>
    <w:rsid w:val="60140FAF"/>
    <w:rsid w:val="60426833"/>
    <w:rsid w:val="60535BDE"/>
    <w:rsid w:val="60692169"/>
    <w:rsid w:val="606A17CB"/>
    <w:rsid w:val="6070786D"/>
    <w:rsid w:val="607B0D84"/>
    <w:rsid w:val="60A46F13"/>
    <w:rsid w:val="60B45576"/>
    <w:rsid w:val="60BF5EE5"/>
    <w:rsid w:val="60DB6674"/>
    <w:rsid w:val="60E420DF"/>
    <w:rsid w:val="60F15207"/>
    <w:rsid w:val="60FB4A82"/>
    <w:rsid w:val="60FD3345"/>
    <w:rsid w:val="60FE01F7"/>
    <w:rsid w:val="61121FF6"/>
    <w:rsid w:val="6114506A"/>
    <w:rsid w:val="61186BAB"/>
    <w:rsid w:val="612800F5"/>
    <w:rsid w:val="6153492F"/>
    <w:rsid w:val="61667376"/>
    <w:rsid w:val="6168749F"/>
    <w:rsid w:val="61730FDD"/>
    <w:rsid w:val="61771BCF"/>
    <w:rsid w:val="617D778E"/>
    <w:rsid w:val="61B70CB2"/>
    <w:rsid w:val="61C0193C"/>
    <w:rsid w:val="61C436DB"/>
    <w:rsid w:val="61C503A3"/>
    <w:rsid w:val="61C914C6"/>
    <w:rsid w:val="61D73478"/>
    <w:rsid w:val="61F3365A"/>
    <w:rsid w:val="62147A69"/>
    <w:rsid w:val="6224353C"/>
    <w:rsid w:val="623F74EC"/>
    <w:rsid w:val="626929CB"/>
    <w:rsid w:val="626B09B5"/>
    <w:rsid w:val="626F340D"/>
    <w:rsid w:val="6271160A"/>
    <w:rsid w:val="62787438"/>
    <w:rsid w:val="62896E74"/>
    <w:rsid w:val="628C5379"/>
    <w:rsid w:val="62B36133"/>
    <w:rsid w:val="62BA3251"/>
    <w:rsid w:val="62C9318E"/>
    <w:rsid w:val="62CC6328"/>
    <w:rsid w:val="62DE7EC9"/>
    <w:rsid w:val="62E6347A"/>
    <w:rsid w:val="62EC5664"/>
    <w:rsid w:val="62EE3F6B"/>
    <w:rsid w:val="630028D4"/>
    <w:rsid w:val="63412A59"/>
    <w:rsid w:val="6345044D"/>
    <w:rsid w:val="637F5B9A"/>
    <w:rsid w:val="639026F2"/>
    <w:rsid w:val="639560FE"/>
    <w:rsid w:val="63A15040"/>
    <w:rsid w:val="63A24C2F"/>
    <w:rsid w:val="63A31F1E"/>
    <w:rsid w:val="63FD2403"/>
    <w:rsid w:val="64166F36"/>
    <w:rsid w:val="6433716C"/>
    <w:rsid w:val="64627D90"/>
    <w:rsid w:val="646D2F79"/>
    <w:rsid w:val="649D739A"/>
    <w:rsid w:val="64A55425"/>
    <w:rsid w:val="64A948A4"/>
    <w:rsid w:val="64B33E67"/>
    <w:rsid w:val="64C146F8"/>
    <w:rsid w:val="64D428D6"/>
    <w:rsid w:val="64F40D0D"/>
    <w:rsid w:val="64F46726"/>
    <w:rsid w:val="64FD407F"/>
    <w:rsid w:val="65053BE9"/>
    <w:rsid w:val="65055E4D"/>
    <w:rsid w:val="650826A5"/>
    <w:rsid w:val="650D2548"/>
    <w:rsid w:val="65343BB9"/>
    <w:rsid w:val="65581AB3"/>
    <w:rsid w:val="65690ACD"/>
    <w:rsid w:val="656D2D8C"/>
    <w:rsid w:val="658F4290"/>
    <w:rsid w:val="658F68AE"/>
    <w:rsid w:val="65976E06"/>
    <w:rsid w:val="659C513B"/>
    <w:rsid w:val="65D53232"/>
    <w:rsid w:val="65F40795"/>
    <w:rsid w:val="65F761A2"/>
    <w:rsid w:val="661A56A8"/>
    <w:rsid w:val="662C53CC"/>
    <w:rsid w:val="6639371C"/>
    <w:rsid w:val="6655781C"/>
    <w:rsid w:val="66614173"/>
    <w:rsid w:val="66624C0D"/>
    <w:rsid w:val="666D30F1"/>
    <w:rsid w:val="667B12DC"/>
    <w:rsid w:val="668C712F"/>
    <w:rsid w:val="66A849BA"/>
    <w:rsid w:val="66B06B12"/>
    <w:rsid w:val="66B23796"/>
    <w:rsid w:val="66B65345"/>
    <w:rsid w:val="66CA26B4"/>
    <w:rsid w:val="66E20972"/>
    <w:rsid w:val="6717091B"/>
    <w:rsid w:val="67466ABC"/>
    <w:rsid w:val="67593735"/>
    <w:rsid w:val="6767098E"/>
    <w:rsid w:val="677234A3"/>
    <w:rsid w:val="67906A0A"/>
    <w:rsid w:val="679851B1"/>
    <w:rsid w:val="67B46AFC"/>
    <w:rsid w:val="67BA258A"/>
    <w:rsid w:val="67E17D40"/>
    <w:rsid w:val="67E8318B"/>
    <w:rsid w:val="67FE286C"/>
    <w:rsid w:val="681F5F6D"/>
    <w:rsid w:val="68432C37"/>
    <w:rsid w:val="685A7BF3"/>
    <w:rsid w:val="686F73C2"/>
    <w:rsid w:val="688E7800"/>
    <w:rsid w:val="68A12FA5"/>
    <w:rsid w:val="68BF6331"/>
    <w:rsid w:val="69030B95"/>
    <w:rsid w:val="691A4EC3"/>
    <w:rsid w:val="69204E4A"/>
    <w:rsid w:val="694E1880"/>
    <w:rsid w:val="694F4832"/>
    <w:rsid w:val="699D4DD9"/>
    <w:rsid w:val="69B76924"/>
    <w:rsid w:val="6A190A53"/>
    <w:rsid w:val="6A2E6725"/>
    <w:rsid w:val="6A340F5A"/>
    <w:rsid w:val="6A435241"/>
    <w:rsid w:val="6A4670E8"/>
    <w:rsid w:val="6A5C053E"/>
    <w:rsid w:val="6A6E1A2A"/>
    <w:rsid w:val="6A6E3AC3"/>
    <w:rsid w:val="6A8C6BF6"/>
    <w:rsid w:val="6A9943E4"/>
    <w:rsid w:val="6A9A03D2"/>
    <w:rsid w:val="6AA71291"/>
    <w:rsid w:val="6AAE32F7"/>
    <w:rsid w:val="6AB52155"/>
    <w:rsid w:val="6AD173AD"/>
    <w:rsid w:val="6AD63F97"/>
    <w:rsid w:val="6AF721E5"/>
    <w:rsid w:val="6B1C1531"/>
    <w:rsid w:val="6B2D209B"/>
    <w:rsid w:val="6B326208"/>
    <w:rsid w:val="6B370166"/>
    <w:rsid w:val="6B39170E"/>
    <w:rsid w:val="6B415C3A"/>
    <w:rsid w:val="6B806B8A"/>
    <w:rsid w:val="6BB0038F"/>
    <w:rsid w:val="6BBC725F"/>
    <w:rsid w:val="6BD87DA3"/>
    <w:rsid w:val="6BE14913"/>
    <w:rsid w:val="6BEC55D3"/>
    <w:rsid w:val="6BFE7D72"/>
    <w:rsid w:val="6C22033F"/>
    <w:rsid w:val="6C282983"/>
    <w:rsid w:val="6C2A52C1"/>
    <w:rsid w:val="6C500B83"/>
    <w:rsid w:val="6C504565"/>
    <w:rsid w:val="6C7B26A4"/>
    <w:rsid w:val="6C922D49"/>
    <w:rsid w:val="6C992DCD"/>
    <w:rsid w:val="6CC43EDF"/>
    <w:rsid w:val="6CD26A08"/>
    <w:rsid w:val="6CDC31C0"/>
    <w:rsid w:val="6CF818CA"/>
    <w:rsid w:val="6CF93D5E"/>
    <w:rsid w:val="6D374B9F"/>
    <w:rsid w:val="6D8B4C36"/>
    <w:rsid w:val="6D94576F"/>
    <w:rsid w:val="6DA66AC4"/>
    <w:rsid w:val="6DA82030"/>
    <w:rsid w:val="6DC764D3"/>
    <w:rsid w:val="6DEC6B84"/>
    <w:rsid w:val="6DFD04D5"/>
    <w:rsid w:val="6E20306B"/>
    <w:rsid w:val="6E5637C0"/>
    <w:rsid w:val="6E695390"/>
    <w:rsid w:val="6E776F35"/>
    <w:rsid w:val="6E8101DF"/>
    <w:rsid w:val="6E814068"/>
    <w:rsid w:val="6E8F498E"/>
    <w:rsid w:val="6EBB2294"/>
    <w:rsid w:val="6ED264C4"/>
    <w:rsid w:val="6ED809D8"/>
    <w:rsid w:val="6EEC645D"/>
    <w:rsid w:val="6EF53B92"/>
    <w:rsid w:val="6F151709"/>
    <w:rsid w:val="6F3C4AD0"/>
    <w:rsid w:val="6F5E0E35"/>
    <w:rsid w:val="6F6646E9"/>
    <w:rsid w:val="6F8119CC"/>
    <w:rsid w:val="6F8A2A69"/>
    <w:rsid w:val="6F8B3286"/>
    <w:rsid w:val="6F94533D"/>
    <w:rsid w:val="6F9D5480"/>
    <w:rsid w:val="6FA36B46"/>
    <w:rsid w:val="6FA45754"/>
    <w:rsid w:val="6FC12DB3"/>
    <w:rsid w:val="6FD6505F"/>
    <w:rsid w:val="6FE30CD2"/>
    <w:rsid w:val="6FED28B3"/>
    <w:rsid w:val="6FF32484"/>
    <w:rsid w:val="6FFB415F"/>
    <w:rsid w:val="701A2F1E"/>
    <w:rsid w:val="70274D4E"/>
    <w:rsid w:val="705D076B"/>
    <w:rsid w:val="70727DFF"/>
    <w:rsid w:val="70765E16"/>
    <w:rsid w:val="7091100F"/>
    <w:rsid w:val="70A4359F"/>
    <w:rsid w:val="70A528A7"/>
    <w:rsid w:val="70B52E67"/>
    <w:rsid w:val="70B90A73"/>
    <w:rsid w:val="70CE5045"/>
    <w:rsid w:val="70D71582"/>
    <w:rsid w:val="70EF043F"/>
    <w:rsid w:val="716A021D"/>
    <w:rsid w:val="717B3F53"/>
    <w:rsid w:val="719159E5"/>
    <w:rsid w:val="71B868E8"/>
    <w:rsid w:val="71CE231F"/>
    <w:rsid w:val="71EE564A"/>
    <w:rsid w:val="71FF0C22"/>
    <w:rsid w:val="729E3D0C"/>
    <w:rsid w:val="72CC0920"/>
    <w:rsid w:val="73026CFD"/>
    <w:rsid w:val="73300DCB"/>
    <w:rsid w:val="73325730"/>
    <w:rsid w:val="7348728B"/>
    <w:rsid w:val="735174BD"/>
    <w:rsid w:val="73637282"/>
    <w:rsid w:val="736A164B"/>
    <w:rsid w:val="7382494A"/>
    <w:rsid w:val="73965F1E"/>
    <w:rsid w:val="73B37B7D"/>
    <w:rsid w:val="73C4496B"/>
    <w:rsid w:val="73CD70A4"/>
    <w:rsid w:val="73E448A9"/>
    <w:rsid w:val="740639BB"/>
    <w:rsid w:val="741D0651"/>
    <w:rsid w:val="743417C6"/>
    <w:rsid w:val="743A7ABC"/>
    <w:rsid w:val="743E056C"/>
    <w:rsid w:val="747836BA"/>
    <w:rsid w:val="749655C9"/>
    <w:rsid w:val="749771DD"/>
    <w:rsid w:val="749876E8"/>
    <w:rsid w:val="74A124AA"/>
    <w:rsid w:val="74B010EE"/>
    <w:rsid w:val="74BA69AB"/>
    <w:rsid w:val="74BE0D67"/>
    <w:rsid w:val="74DE2189"/>
    <w:rsid w:val="74DE462D"/>
    <w:rsid w:val="74F41E23"/>
    <w:rsid w:val="74F94E72"/>
    <w:rsid w:val="74FA794F"/>
    <w:rsid w:val="751D3A68"/>
    <w:rsid w:val="756842A3"/>
    <w:rsid w:val="75826D3A"/>
    <w:rsid w:val="758E203F"/>
    <w:rsid w:val="75900F33"/>
    <w:rsid w:val="75907080"/>
    <w:rsid w:val="75BE13F7"/>
    <w:rsid w:val="75C01DE0"/>
    <w:rsid w:val="75D436B7"/>
    <w:rsid w:val="75DE5983"/>
    <w:rsid w:val="75E0592A"/>
    <w:rsid w:val="75E15891"/>
    <w:rsid w:val="75E23EC1"/>
    <w:rsid w:val="75ED7663"/>
    <w:rsid w:val="75EF2200"/>
    <w:rsid w:val="75F2240F"/>
    <w:rsid w:val="761F408D"/>
    <w:rsid w:val="762478FB"/>
    <w:rsid w:val="76313D04"/>
    <w:rsid w:val="7634244D"/>
    <w:rsid w:val="76413178"/>
    <w:rsid w:val="765467AB"/>
    <w:rsid w:val="767A0EE3"/>
    <w:rsid w:val="769260FE"/>
    <w:rsid w:val="769446ED"/>
    <w:rsid w:val="76A47FCB"/>
    <w:rsid w:val="76D25CCB"/>
    <w:rsid w:val="76DA7F3B"/>
    <w:rsid w:val="76EF4690"/>
    <w:rsid w:val="7709218B"/>
    <w:rsid w:val="77172036"/>
    <w:rsid w:val="772E1D4C"/>
    <w:rsid w:val="773E75AE"/>
    <w:rsid w:val="774E032C"/>
    <w:rsid w:val="775E3D17"/>
    <w:rsid w:val="777C2930"/>
    <w:rsid w:val="777F0EDD"/>
    <w:rsid w:val="77C054A1"/>
    <w:rsid w:val="77C86312"/>
    <w:rsid w:val="78135A45"/>
    <w:rsid w:val="78153959"/>
    <w:rsid w:val="78364A07"/>
    <w:rsid w:val="78567139"/>
    <w:rsid w:val="7868607B"/>
    <w:rsid w:val="7887021C"/>
    <w:rsid w:val="78AA22B0"/>
    <w:rsid w:val="78C11DD3"/>
    <w:rsid w:val="78C3736C"/>
    <w:rsid w:val="78DE62CF"/>
    <w:rsid w:val="78DF1533"/>
    <w:rsid w:val="790A0DAD"/>
    <w:rsid w:val="79175E6D"/>
    <w:rsid w:val="7938376F"/>
    <w:rsid w:val="79624778"/>
    <w:rsid w:val="79842EAE"/>
    <w:rsid w:val="79A46CA4"/>
    <w:rsid w:val="79AC2293"/>
    <w:rsid w:val="79C474B4"/>
    <w:rsid w:val="7A310B04"/>
    <w:rsid w:val="7A406322"/>
    <w:rsid w:val="7A462DA1"/>
    <w:rsid w:val="7A645054"/>
    <w:rsid w:val="7A79172B"/>
    <w:rsid w:val="7A797D11"/>
    <w:rsid w:val="7AA53EB3"/>
    <w:rsid w:val="7ABF12DC"/>
    <w:rsid w:val="7AD339B3"/>
    <w:rsid w:val="7AD65423"/>
    <w:rsid w:val="7AF84C6C"/>
    <w:rsid w:val="7AFE2079"/>
    <w:rsid w:val="7AFE2E1A"/>
    <w:rsid w:val="7B2E64F8"/>
    <w:rsid w:val="7B326339"/>
    <w:rsid w:val="7B3D3CDC"/>
    <w:rsid w:val="7B4D06F4"/>
    <w:rsid w:val="7B504560"/>
    <w:rsid w:val="7B653887"/>
    <w:rsid w:val="7B932E58"/>
    <w:rsid w:val="7B96509F"/>
    <w:rsid w:val="7BC33D93"/>
    <w:rsid w:val="7BD42193"/>
    <w:rsid w:val="7BD631E9"/>
    <w:rsid w:val="7BDF7CCD"/>
    <w:rsid w:val="7BF45F4F"/>
    <w:rsid w:val="7C2E4FDA"/>
    <w:rsid w:val="7C467BBF"/>
    <w:rsid w:val="7C833A2B"/>
    <w:rsid w:val="7C9326D5"/>
    <w:rsid w:val="7CD35875"/>
    <w:rsid w:val="7CDF2114"/>
    <w:rsid w:val="7D0503FE"/>
    <w:rsid w:val="7D250A5C"/>
    <w:rsid w:val="7D306717"/>
    <w:rsid w:val="7D3A2075"/>
    <w:rsid w:val="7D3E337A"/>
    <w:rsid w:val="7D521D7A"/>
    <w:rsid w:val="7D6543D6"/>
    <w:rsid w:val="7D8C10BB"/>
    <w:rsid w:val="7D98473E"/>
    <w:rsid w:val="7D9F593C"/>
    <w:rsid w:val="7DC52577"/>
    <w:rsid w:val="7DC735BA"/>
    <w:rsid w:val="7DE219FE"/>
    <w:rsid w:val="7DE75309"/>
    <w:rsid w:val="7DFB675D"/>
    <w:rsid w:val="7DFF2D37"/>
    <w:rsid w:val="7E0F6644"/>
    <w:rsid w:val="7E3221DF"/>
    <w:rsid w:val="7E4A6AF4"/>
    <w:rsid w:val="7E5D0626"/>
    <w:rsid w:val="7E926FAA"/>
    <w:rsid w:val="7EAE79D2"/>
    <w:rsid w:val="7ED03074"/>
    <w:rsid w:val="7EE0446A"/>
    <w:rsid w:val="7F0909DD"/>
    <w:rsid w:val="7F6B083A"/>
    <w:rsid w:val="7F722817"/>
    <w:rsid w:val="7F903BC3"/>
    <w:rsid w:val="7FA15205"/>
    <w:rsid w:val="7FBD04FE"/>
    <w:rsid w:val="7FF5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rPr>
      <w:rFonts w:ascii="Calibri" w:hAnsi="Calibri"/>
      <w:szCs w:val="22"/>
    </w:rPr>
  </w:style>
  <w:style w:type="paragraph" w:styleId="4">
    <w:name w:val="footer"/>
    <w:basedOn w:val="1"/>
    <w:link w:val="9"/>
    <w:unhideWhenUsed/>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NUL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27262</Words>
  <Characters>28655</Characters>
  <Lines>30</Lines>
  <Paragraphs>8</Paragraphs>
  <TotalTime>201</TotalTime>
  <ScaleCrop>false</ScaleCrop>
  <LinksUpToDate>false</LinksUpToDate>
  <CharactersWithSpaces>31598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2020-05-27T01:52:00Z</dcterms:created>
  <dc:creator>ljm95</dc:creator>
  <dc:description>电子投标（2025版）</dc:description>
  <cp:lastModifiedBy>Administrator</cp:lastModifiedBy>
  <cp:lastPrinted>2025-07-21T03:02:54Z</cp:lastPrinted>
  <dcterms:modified xsi:type="dcterms:W3CDTF">2025-07-21T05:48:52Z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