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Lines="100" w:line="360" w:lineRule="auto"/>
        <w:jc w:val="center"/>
        <w:textAlignment w:val="bottom"/>
        <w:outlineLvl w:val="0"/>
        <w:rPr>
          <w:rFonts w:ascii="宋体" w:hAnsi="宋体"/>
          <w:b/>
          <w:color w:val="auto"/>
          <w:sz w:val="84"/>
          <w:szCs w:val="84"/>
          <w:highlight w:val="none"/>
        </w:rPr>
      </w:pPr>
      <w:r>
        <w:rPr>
          <w:rFonts w:hint="eastAsia" w:ascii="宋体" w:hAnsi="宋体"/>
          <w:b/>
          <w:color w:val="auto"/>
          <w:sz w:val="84"/>
          <w:szCs w:val="84"/>
          <w:highlight w:val="none"/>
        </w:rPr>
        <w:t>招</w:t>
      </w:r>
      <w:r>
        <w:rPr>
          <w:rFonts w:ascii="宋体" w:hAnsi="宋体"/>
          <w:b/>
          <w:color w:val="auto"/>
          <w:sz w:val="84"/>
          <w:szCs w:val="84"/>
          <w:highlight w:val="none"/>
        </w:rPr>
        <w:t xml:space="preserve">  </w:t>
      </w:r>
      <w:r>
        <w:rPr>
          <w:rFonts w:hint="eastAsia" w:ascii="宋体" w:hAnsi="宋体"/>
          <w:b/>
          <w:color w:val="auto"/>
          <w:sz w:val="84"/>
          <w:szCs w:val="84"/>
          <w:highlight w:val="none"/>
        </w:rPr>
        <w:t>标</w:t>
      </w:r>
      <w:r>
        <w:rPr>
          <w:rFonts w:ascii="宋体" w:hAnsi="宋体"/>
          <w:b/>
          <w:color w:val="auto"/>
          <w:sz w:val="84"/>
          <w:szCs w:val="84"/>
          <w:highlight w:val="none"/>
        </w:rPr>
        <w:t xml:space="preserve">  </w:t>
      </w:r>
      <w:r>
        <w:rPr>
          <w:rFonts w:hint="eastAsia" w:ascii="宋体" w:hAnsi="宋体"/>
          <w:b/>
          <w:color w:val="auto"/>
          <w:sz w:val="84"/>
          <w:szCs w:val="84"/>
          <w:highlight w:val="none"/>
        </w:rPr>
        <w:t>文</w:t>
      </w:r>
      <w:r>
        <w:rPr>
          <w:rFonts w:ascii="宋体" w:hAnsi="宋体"/>
          <w:b/>
          <w:color w:val="auto"/>
          <w:sz w:val="84"/>
          <w:szCs w:val="84"/>
          <w:highlight w:val="none"/>
        </w:rPr>
        <w:t xml:space="preserve">  </w:t>
      </w:r>
      <w:r>
        <w:rPr>
          <w:rFonts w:hint="eastAsia" w:ascii="宋体" w:hAnsi="宋体"/>
          <w:b/>
          <w:color w:val="auto"/>
          <w:sz w:val="84"/>
          <w:szCs w:val="84"/>
          <w:highlight w:val="none"/>
        </w:rPr>
        <w:t>件</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2"/>
          <w:szCs w:val="32"/>
          <w:highlight w:val="none"/>
          <w:u w:val="singl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项目名称：</w:t>
      </w:r>
      <w:r>
        <w:rPr>
          <w:rFonts w:hint="eastAsia" w:ascii="宋体" w:hAnsi="宋体"/>
          <w:b/>
          <w:bCs/>
          <w:color w:val="auto"/>
          <w:sz w:val="36"/>
          <w:szCs w:val="36"/>
          <w:highlight w:val="none"/>
          <w:u w:val="single"/>
          <w:lang w:eastAsia="zh-CN"/>
        </w:rPr>
        <w:t>新碶高级中学多媒体教学设备</w:t>
      </w: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6"/>
          <w:szCs w:val="36"/>
          <w:highlight w:val="non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项目编号：</w:t>
      </w:r>
      <w:r>
        <w:rPr>
          <w:rFonts w:hint="eastAsia" w:ascii="宋体" w:hAnsi="宋体"/>
          <w:b/>
          <w:bCs/>
          <w:color w:val="auto"/>
          <w:sz w:val="36"/>
          <w:szCs w:val="36"/>
          <w:highlight w:val="none"/>
          <w:u w:val="single"/>
          <w:lang w:eastAsia="zh-CN"/>
        </w:rPr>
        <w:t>BLZFCG2025027</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 购 人：</w:t>
      </w:r>
      <w:bookmarkStart w:id="0" w:name="OLE_LINK4"/>
      <w:bookmarkStart w:id="1" w:name="OLE_LINK5"/>
      <w:r>
        <w:rPr>
          <w:rFonts w:hint="eastAsia"/>
          <w:b/>
          <w:bCs/>
          <w:color w:val="auto"/>
          <w:sz w:val="30"/>
          <w:szCs w:val="30"/>
          <w:highlight w:val="none"/>
          <w:lang w:eastAsia="zh-CN"/>
        </w:rPr>
        <w:t>宁波市北仑区新碶高级中学</w:t>
      </w:r>
    </w:p>
    <w:bookmarkEnd w:id="0"/>
    <w:bookmarkEnd w:id="1"/>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采购机构：</w:t>
      </w:r>
      <w:r>
        <w:rPr>
          <w:rFonts w:hint="eastAsia"/>
          <w:b/>
          <w:bCs/>
          <w:color w:val="auto"/>
          <w:sz w:val="30"/>
          <w:szCs w:val="30"/>
          <w:highlight w:val="none"/>
          <w:lang w:eastAsia="zh-CN"/>
        </w:rPr>
        <w:t>宁波市北仑区（开发区）政务服务中心</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0"/>
        <w:rPr>
          <w:rFonts w:ascii="宋体" w:hAnsi="宋体"/>
          <w:b/>
          <w:bCs/>
          <w:color w:val="auto"/>
          <w:sz w:val="36"/>
          <w:highlight w:val="none"/>
        </w:rPr>
      </w:pPr>
      <w:r>
        <w:rPr>
          <w:rFonts w:hint="eastAsia" w:ascii="宋体" w:hAnsi="宋体"/>
          <w:b/>
          <w:bCs/>
          <w:color w:val="auto"/>
          <w:sz w:val="36"/>
          <w:highlight w:val="none"/>
        </w:rPr>
        <w:t>二〇二</w:t>
      </w:r>
      <w:r>
        <w:rPr>
          <w:rFonts w:hint="eastAsia" w:ascii="宋体" w:hAnsi="宋体"/>
          <w:b/>
          <w:bCs/>
          <w:color w:val="auto"/>
          <w:sz w:val="36"/>
          <w:highlight w:val="none"/>
          <w:lang w:val="en-US" w:eastAsia="zh-CN"/>
        </w:rPr>
        <w:t>五</w:t>
      </w:r>
      <w:r>
        <w:rPr>
          <w:rFonts w:hint="eastAsia" w:ascii="宋体" w:hAnsi="宋体"/>
          <w:b/>
          <w:bCs/>
          <w:color w:val="auto"/>
          <w:sz w:val="36"/>
          <w:highlight w:val="none"/>
        </w:rPr>
        <w:t xml:space="preserve"> 年 </w:t>
      </w:r>
      <w:r>
        <w:rPr>
          <w:rFonts w:hint="eastAsia" w:ascii="宋体" w:hAnsi="宋体"/>
          <w:b/>
          <w:bCs/>
          <w:color w:val="auto"/>
          <w:sz w:val="36"/>
          <w:highlight w:val="none"/>
          <w:lang w:val="en-US" w:eastAsia="zh-CN"/>
        </w:rPr>
        <w:t>六</w:t>
      </w:r>
      <w:r>
        <w:rPr>
          <w:rFonts w:hint="eastAsia" w:ascii="宋体" w:hAnsi="宋体"/>
          <w:b/>
          <w:bCs/>
          <w:color w:val="auto"/>
          <w:sz w:val="36"/>
          <w:highlight w:val="none"/>
        </w:rPr>
        <w:t xml:space="preserve"> 月</w:t>
      </w:r>
    </w:p>
    <w:p>
      <w:pPr>
        <w:keepNext w:val="0"/>
        <w:keepLines w:val="0"/>
        <w:pageBreakBefore w:val="0"/>
        <w:widowControl w:val="0"/>
        <w:kinsoku/>
        <w:wordWrap/>
        <w:overflowPunct/>
        <w:topLinePunct w:val="0"/>
        <w:bidi w:val="0"/>
        <w:adjustRightInd/>
        <w:snapToGrid/>
        <w:rPr>
          <w:rFonts w:ascii="宋体" w:hAnsi="宋体"/>
          <w:color w:val="auto"/>
          <w:highlight w:val="none"/>
        </w:rPr>
        <w:sectPr>
          <w:headerReference r:id="rId4" w:type="first"/>
          <w:headerReference r:id="rId3" w:type="default"/>
          <w:footerReference r:id="rId5" w:type="default"/>
          <w:pgSz w:w="11906" w:h="16838"/>
          <w:pgMar w:top="1440" w:right="1800" w:bottom="1440" w:left="1800" w:header="851" w:footer="850" w:gutter="0"/>
          <w:cols w:space="425" w:num="1"/>
          <w:titlePg/>
          <w:docGrid w:type="lines" w:linePitch="312" w:charSpace="0"/>
        </w:sect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color w:val="auto"/>
          <w:sz w:val="44"/>
          <w:highlight w:val="none"/>
        </w:rPr>
      </w:pPr>
      <w:r>
        <w:rPr>
          <w:rFonts w:hint="eastAsia" w:ascii="黑体" w:hAnsi="黑体" w:eastAsia="黑体"/>
          <w:color w:val="auto"/>
          <w:sz w:val="44"/>
          <w:highlight w:val="none"/>
        </w:rPr>
        <w:t>目   录</w:t>
      </w: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1、第一部分………………………………投标邀请</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2、第二部分………………………………前附表</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3、第三部分………………………………投标人须知</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4、第四部分………………………………项目内容及要求</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5、第五部分………………………………采购合同</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6、第六部分………………………………投标文件组成及格式</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7、第七部分………………………………评标办法及评分标准</w:t>
      </w:r>
    </w:p>
    <w:p>
      <w:pPr>
        <w:autoSpaceDE w:val="0"/>
        <w:autoSpaceDN w:val="0"/>
        <w:snapToGrid w:val="0"/>
        <w:spacing w:before="96" w:after="96" w:line="360" w:lineRule="auto"/>
        <w:rPr>
          <w:rFonts w:ascii="宋体" w:hAnsi="宋体"/>
          <w:b/>
          <w:bCs/>
          <w:color w:val="auto"/>
          <w:sz w:val="36"/>
          <w:szCs w:val="36"/>
          <w:highlight w:val="none"/>
        </w:rPr>
      </w:pPr>
    </w:p>
    <w:p>
      <w:pPr>
        <w:rPr>
          <w:rFonts w:ascii="宋体" w:hAnsi="宋体"/>
          <w:b/>
          <w:bCs/>
          <w:color w:val="auto"/>
          <w:sz w:val="36"/>
          <w:szCs w:val="36"/>
          <w:highlight w:val="none"/>
        </w:rPr>
        <w:sectPr>
          <w:pgSz w:w="11906" w:h="16838"/>
          <w:pgMar w:top="1474" w:right="1474" w:bottom="1418" w:left="1588" w:header="851" w:footer="850"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第一部分  </w:t>
      </w:r>
      <w:r>
        <w:rPr>
          <w:rFonts w:hint="eastAsia" w:ascii="宋体" w:hAnsi="宋体" w:cs="宋体"/>
          <w:b/>
          <w:bCs/>
          <w:color w:val="auto"/>
          <w:sz w:val="36"/>
          <w:szCs w:val="36"/>
          <w:highlight w:val="none"/>
          <w:lang w:val="en-US" w:eastAsia="zh-CN"/>
        </w:rPr>
        <w:t>投标邀请</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根据《中华人民共和国政府采购法》及有关办法，</w:t>
      </w:r>
      <w:r>
        <w:rPr>
          <w:rFonts w:hint="eastAsia" w:ascii="宋体" w:hAnsi="宋体" w:cs="宋体"/>
          <w:color w:val="auto"/>
          <w:highlight w:val="none"/>
          <w:lang w:eastAsia="zh-CN"/>
        </w:rPr>
        <w:t>宁波市北仑区（开发区）政务服务中心</w:t>
      </w:r>
      <w:r>
        <w:rPr>
          <w:rFonts w:hint="eastAsia" w:ascii="宋体" w:hAnsi="宋体" w:eastAsia="宋体" w:cs="宋体"/>
          <w:color w:val="auto"/>
          <w:highlight w:val="none"/>
        </w:rPr>
        <w:t>受</w:t>
      </w:r>
      <w:r>
        <w:rPr>
          <w:rFonts w:hint="eastAsia" w:ascii="宋体" w:hAnsi="宋体" w:cs="宋体"/>
          <w:color w:val="auto"/>
          <w:highlight w:val="none"/>
          <w:lang w:eastAsia="zh-CN"/>
        </w:rPr>
        <w:t>宁波市北仑区新碶高级中学</w:t>
      </w:r>
      <w:r>
        <w:rPr>
          <w:rFonts w:hint="eastAsia" w:ascii="宋体" w:hAnsi="宋体" w:eastAsia="宋体" w:cs="宋体"/>
          <w:color w:val="auto"/>
          <w:highlight w:val="none"/>
        </w:rPr>
        <w:t>委托，就</w:t>
      </w:r>
      <w:r>
        <w:rPr>
          <w:rFonts w:hint="eastAsia" w:ascii="宋体" w:hAnsi="宋体" w:cs="宋体"/>
          <w:color w:val="auto"/>
          <w:highlight w:val="none"/>
          <w:lang w:eastAsia="zh-CN"/>
        </w:rPr>
        <w:t>新碶高级中学多媒体教学设备</w:t>
      </w:r>
      <w:r>
        <w:rPr>
          <w:rFonts w:hint="eastAsia" w:ascii="宋体" w:hAnsi="宋体" w:eastAsia="宋体" w:cs="宋体"/>
          <w:color w:val="auto"/>
          <w:highlight w:val="none"/>
        </w:rPr>
        <w:t>项</w:t>
      </w:r>
      <w:r>
        <w:rPr>
          <w:rFonts w:hint="eastAsia" w:ascii="宋体" w:hAnsi="宋体" w:eastAsia="宋体" w:cs="宋体"/>
          <w:color w:val="auto"/>
          <w:highlight w:val="none"/>
        </w:rPr>
        <w:t>目</w:t>
      </w:r>
      <w:r>
        <w:rPr>
          <w:rFonts w:hint="eastAsia" w:ascii="宋体" w:hAnsi="宋体" w:cs="宋体"/>
          <w:color w:val="auto"/>
          <w:highlight w:val="none"/>
          <w:lang w:val="en-US" w:eastAsia="zh-CN"/>
        </w:rPr>
        <w:t>以</w:t>
      </w:r>
      <w:r>
        <w:rPr>
          <w:rFonts w:hint="eastAsia" w:ascii="宋体" w:hAnsi="宋体" w:eastAsia="宋体" w:cs="宋体"/>
          <w:color w:val="auto"/>
          <w:highlight w:val="none"/>
        </w:rPr>
        <w:t>公开招标</w:t>
      </w:r>
      <w:r>
        <w:rPr>
          <w:rFonts w:hint="eastAsia" w:ascii="宋体" w:hAnsi="宋体" w:cs="宋体"/>
          <w:color w:val="auto"/>
          <w:highlight w:val="none"/>
          <w:lang w:val="en-US" w:eastAsia="zh-CN"/>
        </w:rPr>
        <w:t>的方式进行采购</w:t>
      </w:r>
      <w:r>
        <w:rPr>
          <w:rFonts w:hint="eastAsia" w:ascii="宋体" w:hAnsi="宋体" w:eastAsia="宋体" w:cs="宋体"/>
          <w:color w:val="auto"/>
          <w:highlight w:val="none"/>
        </w:rPr>
        <w:t>，欢迎</w:t>
      </w:r>
      <w:r>
        <w:rPr>
          <w:rFonts w:hint="eastAsia" w:ascii="宋体" w:hAnsi="宋体" w:cs="宋体"/>
          <w:color w:val="auto"/>
          <w:highlight w:val="none"/>
          <w:lang w:val="en-US" w:eastAsia="zh-CN"/>
        </w:rPr>
        <w:t>合格</w:t>
      </w:r>
      <w:r>
        <w:rPr>
          <w:rFonts w:hint="eastAsia" w:ascii="宋体" w:hAnsi="宋体" w:eastAsia="宋体" w:cs="宋体"/>
          <w:color w:val="auto"/>
          <w:highlight w:val="none"/>
        </w:rPr>
        <w:t>的供应商参加。</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、项目</w:t>
      </w:r>
      <w:r>
        <w:rPr>
          <w:rFonts w:hint="eastAsia" w:ascii="宋体" w:hAnsi="宋体" w:eastAsia="宋体" w:cs="宋体"/>
          <w:b/>
          <w:bCs/>
          <w:color w:val="auto"/>
          <w:highlight w:val="none"/>
          <w:lang w:val="en-US" w:eastAsia="zh-CN"/>
        </w:rPr>
        <w:t>基本情况</w:t>
      </w:r>
    </w:p>
    <w:p>
      <w:pPr>
        <w:spacing w:line="360" w:lineRule="auto"/>
        <w:ind w:left="0" w:leftChars="0" w:firstLine="0" w:firstLineChars="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、项目编号：</w:t>
      </w:r>
      <w:r>
        <w:rPr>
          <w:rFonts w:hint="eastAsia" w:ascii="宋体" w:hAnsi="宋体" w:cs="宋体"/>
          <w:b w:val="0"/>
          <w:bCs w:val="0"/>
          <w:color w:val="auto"/>
          <w:highlight w:val="none"/>
          <w:lang w:eastAsia="zh-CN"/>
        </w:rPr>
        <w:t>BLZFCG2025027</w:t>
      </w:r>
    </w:p>
    <w:p>
      <w:pPr>
        <w:spacing w:line="360" w:lineRule="auto"/>
        <w:ind w:left="0" w:leftChars="0" w:firstLine="0" w:firstLineChars="0"/>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rPr>
        <w:t>、项目名称：</w:t>
      </w:r>
      <w:r>
        <w:rPr>
          <w:rFonts w:hint="eastAsia" w:ascii="宋体" w:hAnsi="宋体" w:cs="宋体"/>
          <w:color w:val="auto"/>
          <w:highlight w:val="none"/>
          <w:lang w:eastAsia="zh-CN"/>
        </w:rPr>
        <w:t>新碶高级中学多媒体教学设备</w:t>
      </w:r>
    </w:p>
    <w:p>
      <w:pPr>
        <w:spacing w:line="360" w:lineRule="auto"/>
        <w:ind w:left="0" w:leftChars="0" w:firstLine="0" w:firstLineChars="0"/>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采购方式：公开招标</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、预算金额：</w:t>
      </w:r>
      <w:r>
        <w:rPr>
          <w:rFonts w:hint="eastAsia" w:ascii="宋体" w:hAnsi="宋体" w:eastAsia="宋体" w:cs="宋体"/>
          <w:color w:val="auto"/>
          <w:highlight w:val="none"/>
        </w:rPr>
        <w:t>人民币46万元</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、最高限价：</w:t>
      </w:r>
      <w:r>
        <w:rPr>
          <w:rFonts w:hint="eastAsia" w:ascii="宋体" w:hAnsi="宋体" w:eastAsia="宋体" w:cs="宋体"/>
          <w:color w:val="auto"/>
          <w:highlight w:val="none"/>
        </w:rPr>
        <w:t>人民币46万元</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采购需求：</w:t>
      </w:r>
      <w:r>
        <w:rPr>
          <w:rFonts w:hint="eastAsia" w:ascii="宋体" w:hAnsi="宋体" w:cs="宋体"/>
          <w:color w:val="auto"/>
          <w:highlight w:val="none"/>
          <w:lang w:eastAsia="zh-CN"/>
        </w:rPr>
        <w:t xml:space="preserve">新碶高级中学多媒体教学设备 </w:t>
      </w:r>
      <w:r>
        <w:rPr>
          <w:rFonts w:hint="eastAsia" w:ascii="宋体" w:hAnsi="宋体" w:cs="宋体"/>
          <w:color w:val="auto"/>
          <w:highlight w:val="none"/>
          <w:lang w:val="en-US" w:eastAsia="zh-CN"/>
        </w:rPr>
        <w:t>23</w:t>
      </w:r>
      <w:r>
        <w:rPr>
          <w:rFonts w:hint="eastAsia" w:ascii="宋体" w:hAnsi="宋体" w:cs="宋体"/>
          <w:color w:val="auto"/>
          <w:highlight w:val="none"/>
          <w:lang w:eastAsia="zh-CN"/>
        </w:rPr>
        <w:t>台，具体详见采购需求部分。</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、合同履行期限：</w:t>
      </w:r>
      <w:r>
        <w:rPr>
          <w:rFonts w:hint="eastAsia" w:ascii="宋体" w:hAnsi="宋体"/>
          <w:color w:val="auto"/>
          <w:highlight w:val="none"/>
        </w:rPr>
        <w:t>合同签订后</w:t>
      </w:r>
      <w:r>
        <w:rPr>
          <w:rFonts w:hint="eastAsia" w:ascii="宋体" w:hAnsi="宋体"/>
          <w:color w:val="auto"/>
          <w:highlight w:val="none"/>
          <w:lang w:val="en-US" w:eastAsia="zh-CN"/>
        </w:rPr>
        <w:t>1</w:t>
      </w:r>
      <w:r>
        <w:rPr>
          <w:rFonts w:hint="eastAsia" w:ascii="宋体" w:hAnsi="宋体"/>
          <w:color w:val="auto"/>
          <w:highlight w:val="none"/>
        </w:rPr>
        <w:t>个月内完成安装、调试并交付使用。</w:t>
      </w:r>
    </w:p>
    <w:p>
      <w:pPr>
        <w:spacing w:line="360" w:lineRule="auto"/>
        <w:ind w:left="0" w:leftChars="0"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8、本项目不接受</w:t>
      </w:r>
      <w:r>
        <w:rPr>
          <w:rFonts w:hint="eastAsia" w:ascii="宋体" w:hAnsi="宋体" w:eastAsia="宋体" w:cs="宋体"/>
          <w:color w:val="auto"/>
          <w:highlight w:val="none"/>
        </w:rPr>
        <w:t>联合体投标</w:t>
      </w:r>
      <w:r>
        <w:rPr>
          <w:rFonts w:hint="eastAsia" w:ascii="宋体" w:hAnsi="宋体" w:cs="宋体"/>
          <w:color w:val="auto"/>
          <w:highlight w:val="none"/>
          <w:lang w:val="en-US" w:eastAsia="zh-CN"/>
        </w:rPr>
        <w:t>。</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二、投标人的资格要求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spacing w:line="360" w:lineRule="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 xml:space="preserve">2、落实政府采购政策需满足的资格要求：无 </w:t>
      </w:r>
    </w:p>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、本项目的特定资格要求：</w:t>
      </w:r>
      <w:r>
        <w:rPr>
          <w:rFonts w:hint="eastAsia" w:ascii="宋体" w:hAnsi="宋体" w:cs="宋体"/>
          <w:color w:val="auto"/>
          <w:highlight w:val="none"/>
          <w:lang w:val="en-US" w:eastAsia="zh-CN"/>
        </w:rPr>
        <w:t xml:space="preserve">无 </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三、招标文件获取时间及方式</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1、时间：即日起至投标截止时间前。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2、地点：政府采购云平台（www.zcygov.cn）</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3、方式：通过注册账号登录政府采购云平台在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应用</w:t>
      </w:r>
      <w:r>
        <w:rPr>
          <w:rFonts w:hint="eastAsia" w:ascii="宋体" w:hAnsi="宋体" w:eastAsia="宋体" w:cs="宋体"/>
          <w:color w:val="auto"/>
          <w:highlight w:val="none"/>
          <w:lang w:val="en-US" w:eastAsia="zh-CN"/>
        </w:rPr>
        <w:t>模块</w:t>
      </w:r>
      <w:r>
        <w:rPr>
          <w:rFonts w:hint="eastAsia" w:ascii="宋体" w:hAnsi="宋体" w:eastAsia="宋体" w:cs="宋体"/>
          <w:color w:val="auto"/>
          <w:highlight w:val="none"/>
        </w:rPr>
        <w:t>内获取</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4、售价：免费</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四、提交投标文件截止时间、开标时间和地点</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1、提交（上传）投标文件截止时间和开标时</w:t>
      </w:r>
      <w:r>
        <w:rPr>
          <w:rFonts w:hint="eastAsia" w:ascii="宋体" w:hAnsi="宋体" w:eastAsia="宋体" w:cs="宋体"/>
          <w:color w:val="auto"/>
          <w:highlight w:val="none"/>
        </w:rPr>
        <w:t>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7</w:t>
      </w:r>
      <w:r>
        <w:rPr>
          <w:rFonts w:hint="eastAsia" w:ascii="宋体" w:hAnsi="宋体" w:eastAsia="宋体" w:cs="宋体"/>
          <w:color w:val="auto"/>
          <w:highlight w:val="none"/>
        </w:rPr>
        <w:t>月</w:t>
      </w:r>
      <w:r>
        <w:rPr>
          <w:rFonts w:hint="eastAsia" w:ascii="宋体" w:hAnsi="宋体" w:cs="宋体"/>
          <w:color w:val="auto"/>
          <w:highlight w:val="none"/>
          <w:lang w:val="en-US" w:eastAsia="zh-CN"/>
        </w:rPr>
        <w:t>17</w:t>
      </w:r>
      <w:r>
        <w:rPr>
          <w:rFonts w:hint="eastAsia" w:ascii="宋体" w:hAnsi="宋体" w:eastAsia="宋体" w:cs="宋体"/>
          <w:color w:val="auto"/>
          <w:highlight w:val="none"/>
        </w:rPr>
        <w:t>日09时30分（北京时间）</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电子投标文件上传地点和开标网址：</w:t>
      </w:r>
      <w:r>
        <w:rPr>
          <w:rFonts w:hint="eastAsia" w:ascii="宋体" w:hAnsi="宋体" w:eastAsia="宋体" w:cs="宋体"/>
          <w:color w:val="auto"/>
          <w:highlight w:val="none"/>
        </w:rPr>
        <w:t>政府采购云平台（www.zcygov.cn）</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lang w:val="en-US" w:eastAsia="zh-CN"/>
        </w:rPr>
        <w:t>备份电子投标文件提交地点和</w:t>
      </w: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会议地点</w:t>
      </w:r>
      <w:r>
        <w:rPr>
          <w:rFonts w:hint="eastAsia" w:ascii="宋体" w:hAnsi="宋体" w:eastAsia="宋体" w:cs="宋体"/>
          <w:color w:val="auto"/>
          <w:highlight w:val="none"/>
        </w:rPr>
        <w:t>：北仑区四明山路773号行政大楼B座三楼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r>
        <w:rPr>
          <w:rFonts w:hint="eastAsia" w:ascii="宋体" w:hAnsi="宋体" w:eastAsia="宋体" w:cs="宋体"/>
          <w:color w:val="auto"/>
          <w:highlight w:val="none"/>
        </w:rPr>
        <w:t>（具体场所安排详见电子指示屏幕）。</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五、投标注意事项</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1、参加投标的供应商有义务在采购活动期间浏览</w:t>
      </w:r>
      <w:r>
        <w:rPr>
          <w:rFonts w:hint="eastAsia" w:ascii="宋体" w:hAnsi="宋体" w:eastAsia="宋体" w:cs="宋体"/>
          <w:color w:val="auto"/>
          <w:highlight w:val="none"/>
        </w:rPr>
        <w:t>宁波政府采购网（zfcg.czj.ningbo.gov.cn）</w:t>
      </w:r>
      <w:r>
        <w:rPr>
          <w:rFonts w:hint="eastAsia" w:ascii="宋体" w:hAnsi="宋体" w:eastAsia="宋体" w:cs="宋体"/>
          <w:color w:val="auto"/>
          <w:highlight w:val="none"/>
        </w:rPr>
        <w:t>和</w:t>
      </w:r>
      <w:r>
        <w:rPr>
          <w:rFonts w:hint="eastAsia" w:ascii="宋体" w:hAnsi="宋体" w:cs="宋体"/>
          <w:color w:val="auto"/>
          <w:highlight w:val="none"/>
          <w:lang w:eastAsia="zh-CN"/>
        </w:rPr>
        <w:t>宁波市政务服务中心网（jyxt.zwb.ningbo.gov.cn:4011）</w:t>
      </w:r>
      <w:r>
        <w:rPr>
          <w:rFonts w:hint="eastAsia" w:ascii="宋体" w:hAnsi="宋体" w:eastAsia="宋体" w:cs="宋体"/>
          <w:color w:val="auto"/>
          <w:highlight w:val="none"/>
        </w:rPr>
        <w:t>，采购人（采购代理机构）在以上两个网站发布的与本次招标项目有关的信息视为已送达各供应商，不再</w:t>
      </w:r>
      <w:r>
        <w:rPr>
          <w:rFonts w:hint="eastAsia" w:ascii="宋体" w:hAnsi="宋体" w:eastAsia="宋体" w:cs="宋体"/>
          <w:color w:val="auto"/>
          <w:highlight w:val="none"/>
        </w:rPr>
        <w:t>采用其它方式传达相关信息。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2、本项目采用网上投标，不接受纸质投标文件，请投标供应商按照招标文件和政府采购云平台的要求编制、加密上传电子投标文件。</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人上传电子投标文件后，还可以自行确定是否提交备份电子投标文件，如确定提交备份文件的，投标人应在投标截止时间前，将在“政采云投标客户端”上编制生成的后缀名为.bfbs的备份投标文件，以U盘为载体装袋密封后送达至开标地点，密封袋上需注明项目名称、项目编号、投标人名称并加盖公章。供应商仅提交备份电子投标文件的，投标响应无效。</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采购代理机构解密指令发出后30分钟内，投标人应登录政采云平台，通过CA数字证书完成对电子投标文件的解密（开评标期间，投标供应商应关注政采云平台上的指令信息和手机短信并及时处理）。若投标人在规定时间内无法解密或解密失败，此时启用备份电子投标文件（如有），若备份投标文件仍无法使用</w:t>
      </w:r>
      <w:r>
        <w:rPr>
          <w:rFonts w:hint="eastAsia" w:ascii="宋体" w:hAnsi="宋体" w:eastAsia="宋体" w:cs="宋体"/>
          <w:color w:val="auto"/>
          <w:highlight w:val="none"/>
        </w:rPr>
        <w:t>，则视为无效投标。供应商制作电子投标文件和解密投标文件时必须使用同一</w:t>
      </w:r>
      <w:r>
        <w:rPr>
          <w:rFonts w:hint="eastAsia" w:ascii="宋体" w:hAnsi="宋体" w:cs="宋体"/>
          <w:color w:val="auto"/>
          <w:highlight w:val="none"/>
          <w:lang w:val="en-US" w:eastAsia="zh-CN"/>
        </w:rPr>
        <w:t>个</w:t>
      </w:r>
      <w:r>
        <w:rPr>
          <w:rFonts w:hint="eastAsia" w:ascii="宋体" w:hAnsi="宋体" w:eastAsia="宋体" w:cs="宋体"/>
          <w:color w:val="auto"/>
          <w:highlight w:val="none"/>
        </w:rPr>
        <w:t>CA数字证书。</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strike w:val="0"/>
          <w:dstrike w:val="0"/>
          <w:color w:val="auto"/>
          <w:highlight w:val="none"/>
          <w:lang w:val="en-US" w:eastAsia="zh-CN"/>
        </w:rPr>
        <w:t>本项目投标供应商可以不派代表到现场参加开标会议，只需准时在线参加</w:t>
      </w:r>
      <w:r>
        <w:rPr>
          <w:rFonts w:hint="eastAsia" w:ascii="宋体" w:hAnsi="宋体" w:cs="宋体"/>
          <w:strike w:val="0"/>
          <w:dstrike w:val="0"/>
          <w:color w:val="auto"/>
          <w:highlight w:val="none"/>
          <w:lang w:val="en-US" w:eastAsia="zh-CN"/>
        </w:rPr>
        <w:t>即可</w:t>
      </w:r>
      <w:r>
        <w:rPr>
          <w:rFonts w:hint="eastAsia" w:ascii="宋体" w:hAnsi="宋体" w:eastAsia="宋体" w:cs="宋体"/>
          <w:strike w:val="0"/>
          <w:dstrike w:val="0"/>
          <w:color w:val="auto"/>
          <w:highlight w:val="none"/>
          <w:lang w:val="en-US" w:eastAsia="zh-CN"/>
        </w:rPr>
        <w:t>。</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本项目采用网上投标的方式进行，供应商投标前须办理CA数字证书和安装“政采云电子交易客户端（政采云投标客户端）”，并通过“政采云投标客户端”编制电子投标文件，供应商在使用系统进行投标的过程中遇到涉及平台使用的任何问题（包括不限于供应商注册、采购文件获取、CA数字证书办理、政采云投标客户端安装</w:t>
      </w:r>
      <w:r>
        <w:rPr>
          <w:rFonts w:hint="eastAsia" w:ascii="宋体" w:hAnsi="宋体" w:eastAsia="宋体" w:cs="宋体"/>
          <w:color w:val="auto"/>
          <w:highlight w:val="none"/>
        </w:rPr>
        <w:t>、投标响应文件制作加密上传等），可登录政府采购云平台网站（www.zcygov.cn）“服务中心”版块查阅相关的帮助文档和教学视频，也可致电政采云平台技术支持热线咨询，热线电话：95763（工作日8</w:t>
      </w:r>
      <w:r>
        <w:rPr>
          <w:rFonts w:hint="eastAsia" w:ascii="宋体" w:hAnsi="宋体" w:cs="宋体"/>
          <w:color w:val="auto"/>
          <w:highlight w:val="none"/>
          <w:lang w:val="en-US" w:eastAsia="zh-CN"/>
        </w:rPr>
        <w:t>︰</w:t>
      </w:r>
      <w:r>
        <w:rPr>
          <w:rFonts w:hint="eastAsia" w:ascii="宋体" w:hAnsi="宋体" w:eastAsia="宋体" w:cs="宋体"/>
          <w:color w:val="auto"/>
          <w:highlight w:val="none"/>
        </w:rPr>
        <w:t>00-20</w:t>
      </w:r>
      <w:r>
        <w:rPr>
          <w:rFonts w:hint="eastAsia" w:ascii="宋体" w:hAnsi="宋体" w:cs="宋体"/>
          <w:color w:val="auto"/>
          <w:highlight w:val="none"/>
          <w:lang w:val="en-US" w:eastAsia="zh-CN"/>
        </w:rPr>
        <w:t>︰</w:t>
      </w:r>
      <w:r>
        <w:rPr>
          <w:rFonts w:hint="eastAsia" w:ascii="宋体" w:hAnsi="宋体" w:eastAsia="宋体" w:cs="宋体"/>
          <w:color w:val="auto"/>
          <w:highlight w:val="none"/>
        </w:rPr>
        <w:t>00）。</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六、联系方式</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1、采购人</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宁波市北仑区新碶高级中学</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cs="宋体"/>
          <w:color w:val="auto"/>
          <w:highlight w:val="none"/>
          <w:lang w:eastAsia="zh-CN"/>
        </w:rPr>
        <w:t>宁波市北仑区新碶街道凤洋一路99号</w:t>
      </w:r>
    </w:p>
    <w:p>
      <w:pPr>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严锋钢</w:t>
      </w:r>
      <w:r>
        <w:rPr>
          <w:rFonts w:hint="eastAsia" w:ascii="宋体" w:hAnsi="宋体" w:eastAsia="宋体" w:cs="宋体"/>
          <w:color w:val="auto"/>
          <w:highlight w:val="none"/>
        </w:rPr>
        <w:t xml:space="preserve">    电话：0574-86889299</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2、采购代理机构</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宁波市北仑区（开发区）政务服务中心</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址：北仑区四明山路773号行政大楼B座三楼</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阿云</w:t>
      </w:r>
      <w:r>
        <w:rPr>
          <w:rFonts w:hint="eastAsia" w:ascii="宋体" w:hAnsi="宋体" w:eastAsia="宋体" w:cs="宋体"/>
          <w:color w:val="auto"/>
          <w:highlight w:val="none"/>
        </w:rPr>
        <w:t xml:space="preserve">    电话：0574-89383947    传真：0574-89383949</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同级政府采购监督管理部门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  称：宁波市北仑区财政局</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址：北仑区四明山路775号行政大楼A座六楼</w:t>
      </w:r>
    </w:p>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严凯敏</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监督投诉电话：0574-8938375</w:t>
      </w:r>
      <w:r>
        <w:rPr>
          <w:rFonts w:hint="eastAsia" w:ascii="宋体" w:hAnsi="宋体" w:cs="宋体"/>
          <w:color w:val="auto"/>
          <w:highlight w:val="none"/>
          <w:lang w:val="en-US" w:eastAsia="zh-CN"/>
        </w:rPr>
        <w:t>4</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第二部分  前附表</w:t>
      </w:r>
    </w:p>
    <w:tbl>
      <w:tblPr>
        <w:tblStyle w:val="7"/>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225"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新碶高级中学多媒体教学设备</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BLZFCG2025027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cs="宋体"/>
                <w:color w:val="auto"/>
                <w:highlight w:val="none"/>
                <w:lang w:eastAsia="zh-CN"/>
              </w:rPr>
              <w:t>宁波市北仑区新碶高级中学</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严锋钢</w:t>
            </w:r>
            <w:r>
              <w:rPr>
                <w:rFonts w:hint="eastAsia" w:ascii="宋体" w:hAnsi="宋体" w:eastAsia="宋体" w:cs="宋体"/>
                <w:color w:val="auto"/>
                <w:highlight w:val="none"/>
              </w:rPr>
              <w:t xml:space="preserve">     电话：</w:t>
            </w:r>
            <w:r>
              <w:rPr>
                <w:rFonts w:hint="eastAsia" w:ascii="宋体" w:hAnsi="宋体" w:eastAsia="宋体" w:cs="宋体"/>
                <w:color w:val="auto"/>
                <w:highlight w:val="none"/>
              </w:rPr>
              <w:t>0574-86889299</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cs="宋体"/>
                <w:color w:val="auto"/>
                <w:highlight w:val="none"/>
                <w:lang w:eastAsia="zh-CN"/>
              </w:rPr>
              <w:t>宁波市北仑区新碶街道凤洋一路99号</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采购代理机</w:t>
            </w:r>
            <w:r>
              <w:rPr>
                <w:rFonts w:hint="eastAsia" w:ascii="宋体" w:hAnsi="宋体" w:eastAsia="宋体" w:cs="宋体"/>
                <w:color w:val="auto"/>
                <w:highlight w:val="none"/>
              </w:rPr>
              <w:t>构：</w:t>
            </w:r>
            <w:r>
              <w:rPr>
                <w:rFonts w:hint="eastAsia" w:ascii="宋体" w:hAnsi="宋体" w:cs="宋体"/>
                <w:color w:val="auto"/>
                <w:highlight w:val="none"/>
                <w:lang w:eastAsia="zh-CN"/>
              </w:rPr>
              <w:t>宁波市北仑区（开发区）政务服务中心</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 xml:space="preserve">阿云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电话：0574-89383947      传真：0574-89383949</w:t>
            </w:r>
          </w:p>
          <w:p>
            <w:pPr>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rPr>
              <w:t>北仑区四明山路773号行政大楼B座315室</w:t>
            </w:r>
          </w:p>
          <w:p>
            <w:pPr>
              <w:rPr>
                <w:rFonts w:hint="eastAsia" w:ascii="宋体" w:hAnsi="宋体" w:eastAsia="宋体" w:cs="宋体"/>
                <w:color w:val="auto"/>
                <w:highlight w:val="none"/>
              </w:rPr>
            </w:pPr>
            <w:r>
              <w:rPr>
                <w:rFonts w:hint="eastAsia" w:ascii="宋体" w:hAnsi="宋体" w:eastAsia="宋体" w:cs="宋体"/>
                <w:color w:val="auto"/>
                <w:highlight w:val="none"/>
              </w:rPr>
              <w:t>邮编：315800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采购方式：公开招标 </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评标方法：综合评分法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采购预算（最高限价）：</w:t>
            </w:r>
            <w:r>
              <w:rPr>
                <w:rFonts w:hint="eastAsia" w:ascii="宋体" w:hAnsi="宋体" w:eastAsia="宋体" w:cs="宋体"/>
                <w:color w:val="auto"/>
                <w:highlight w:val="none"/>
              </w:rPr>
              <w:t>人民币46万元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8225" w:type="dxa"/>
            <w:tcMar>
              <w:top w:w="113" w:type="dxa"/>
              <w:bottom w:w="113" w:type="dxa"/>
            </w:tcMar>
            <w:vAlign w:val="center"/>
          </w:tcPr>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是否接受进口产品投标：</w:t>
            </w:r>
            <w:r>
              <w:rPr>
                <w:rFonts w:hint="eastAsia" w:ascii="宋体" w:hAnsi="宋体" w:eastAsia="宋体" w:cs="宋体"/>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7</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r>
              <w:rPr>
                <w:rFonts w:hint="eastAsia" w:ascii="宋体" w:hAnsi="宋体" w:eastAsia="宋体" w:cs="宋体"/>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8</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是否为</w:t>
            </w:r>
            <w:r>
              <w:rPr>
                <w:rFonts w:hint="eastAsia" w:ascii="宋体" w:hAnsi="宋体" w:eastAsia="宋体" w:cs="宋体"/>
                <w:color w:val="auto"/>
                <w:highlight w:val="none"/>
              </w:rPr>
              <w:t>专门面向</w:t>
            </w:r>
            <w:r>
              <w:rPr>
                <w:rFonts w:hint="eastAsia" w:ascii="宋体" w:hAnsi="宋体" w:cs="宋体"/>
                <w:color w:val="auto"/>
                <w:highlight w:val="none"/>
                <w:lang w:val="en-US" w:eastAsia="zh-CN"/>
              </w:rPr>
              <w:t>中</w:t>
            </w:r>
            <w:r>
              <w:rPr>
                <w:rFonts w:hint="eastAsia" w:ascii="宋体" w:hAnsi="宋体" w:eastAsia="宋体" w:cs="宋体"/>
                <w:color w:val="auto"/>
                <w:highlight w:val="none"/>
              </w:rPr>
              <w:t>小企业的采</w:t>
            </w:r>
            <w:r>
              <w:rPr>
                <w:rFonts w:hint="eastAsia" w:ascii="宋体" w:hAnsi="宋体" w:eastAsia="宋体" w:cs="宋体"/>
                <w:color w:val="auto"/>
                <w:highlight w:val="none"/>
              </w:rPr>
              <w:t>购项目：</w:t>
            </w:r>
            <w:r>
              <w:rPr>
                <w:rFonts w:hint="eastAsia" w:ascii="宋体" w:hAnsi="宋体" w:cs="宋体"/>
                <w:color w:val="auto"/>
                <w:highlight w:val="none"/>
                <w:lang w:val="en-US" w:eastAsia="zh-CN"/>
              </w:rPr>
              <w:t>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9</w:t>
            </w:r>
          </w:p>
        </w:tc>
        <w:tc>
          <w:tcPr>
            <w:tcW w:w="8225" w:type="dxa"/>
            <w:tcMar>
              <w:top w:w="113" w:type="dxa"/>
              <w:bottom w:w="113" w:type="dxa"/>
            </w:tcMar>
            <w:vAlign w:val="center"/>
          </w:tcPr>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本</w:t>
            </w:r>
            <w:r>
              <w:rPr>
                <w:rFonts w:hint="eastAsia" w:ascii="宋体" w:hAnsi="宋体" w:cs="宋体"/>
                <w:color w:val="auto"/>
                <w:highlight w:val="none"/>
                <w:lang w:val="en-US" w:eastAsia="zh-CN"/>
              </w:rPr>
              <w:t>项目</w:t>
            </w:r>
            <w:r>
              <w:rPr>
                <w:rFonts w:hint="eastAsia" w:ascii="宋体" w:hAnsi="宋体" w:eastAsia="宋体" w:cs="宋体"/>
                <w:color w:val="auto"/>
                <w:highlight w:val="none"/>
              </w:rPr>
              <w:t>采购</w:t>
            </w:r>
            <w:r>
              <w:rPr>
                <w:rFonts w:hint="eastAsia" w:ascii="宋体" w:hAnsi="宋体" w:cs="宋体"/>
                <w:color w:val="auto"/>
                <w:highlight w:val="none"/>
                <w:lang w:val="en-US" w:eastAsia="zh-CN"/>
              </w:rPr>
              <w:t>货物</w:t>
            </w:r>
            <w:r>
              <w:rPr>
                <w:rFonts w:hint="eastAsia" w:ascii="宋体" w:hAnsi="宋体" w:eastAsia="宋体" w:cs="宋体"/>
                <w:color w:val="auto"/>
                <w:highlight w:val="none"/>
              </w:rPr>
              <w:t>对应的中小企业划分标准所属行业：</w:t>
            </w: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10</w:t>
            </w:r>
          </w:p>
        </w:tc>
        <w:tc>
          <w:tcPr>
            <w:tcW w:w="8225" w:type="dxa"/>
            <w:tcMar>
              <w:top w:w="113" w:type="dxa"/>
              <w:bottom w:w="113" w:type="dxa"/>
            </w:tcMar>
            <w:vAlign w:val="center"/>
          </w:tcPr>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是否允许投标人将项目非主体、非关键性</w:t>
            </w:r>
            <w:r>
              <w:rPr>
                <w:rFonts w:hint="eastAsia" w:ascii="宋体" w:hAnsi="宋体" w:eastAsia="宋体" w:cs="宋体"/>
                <w:color w:val="auto"/>
                <w:highlight w:val="none"/>
              </w:rPr>
              <w:t>工作</w:t>
            </w:r>
            <w:r>
              <w:rPr>
                <w:rFonts w:hint="eastAsia" w:ascii="宋体" w:hAnsi="宋体" w:cs="宋体"/>
                <w:color w:val="auto"/>
                <w:highlight w:val="none"/>
                <w:lang w:val="en-US" w:eastAsia="zh-CN"/>
              </w:rPr>
              <w:t>分包</w:t>
            </w:r>
            <w:r>
              <w:rPr>
                <w:rFonts w:hint="eastAsia" w:ascii="宋体" w:hAnsi="宋体" w:eastAsia="宋体" w:cs="宋体"/>
                <w:color w:val="auto"/>
                <w:highlight w:val="none"/>
              </w:rPr>
              <w:t>交由</w:t>
            </w:r>
            <w:r>
              <w:rPr>
                <w:rFonts w:hint="eastAsia" w:ascii="宋体" w:hAnsi="宋体" w:eastAsia="宋体" w:cs="宋体"/>
                <w:color w:val="auto"/>
                <w:highlight w:val="none"/>
              </w:rPr>
              <w:t>他人完成：</w:t>
            </w:r>
            <w:r>
              <w:rPr>
                <w:rFonts w:hint="eastAsia" w:ascii="宋体" w:hAnsi="宋体" w:cs="宋体"/>
                <w:color w:val="auto"/>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11</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集中答疑会或</w:t>
            </w:r>
            <w:r>
              <w:rPr>
                <w:rFonts w:hint="eastAsia" w:ascii="宋体" w:hAnsi="宋体" w:eastAsia="宋体" w:cs="宋体"/>
                <w:color w:val="auto"/>
                <w:highlight w:val="none"/>
              </w:rPr>
              <w:t>现场踏勘：</w:t>
            </w:r>
            <w:r>
              <w:rPr>
                <w:rFonts w:hint="eastAsia" w:ascii="宋体" w:hAnsi="宋体" w:eastAsia="宋体" w:cs="宋体"/>
                <w:color w:val="auto"/>
                <w:highlight w:val="none"/>
                <w:lang w:val="en-US" w:eastAsia="zh-CN"/>
              </w:rPr>
              <w:t>采购人不集中组织，</w:t>
            </w:r>
            <w:r>
              <w:rPr>
                <w:rFonts w:hint="eastAsia" w:ascii="宋体" w:hAnsi="宋体" w:eastAsia="宋体" w:cs="宋体"/>
                <w:color w:val="auto"/>
                <w:highlight w:val="none"/>
              </w:rPr>
              <w:t>供应商如有需要，请自行踏勘。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12</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提交（上传）投标文件截止时间</w:t>
            </w:r>
            <w:r>
              <w:rPr>
                <w:rFonts w:hint="eastAsia" w:ascii="宋体" w:hAnsi="宋体" w:eastAsia="宋体" w:cs="宋体"/>
                <w:color w:val="auto"/>
                <w:highlight w:val="none"/>
                <w:lang w:val="en-US" w:eastAsia="zh-CN"/>
              </w:rPr>
              <w:t>和开标时间</w:t>
            </w:r>
            <w:r>
              <w:rPr>
                <w:rFonts w:hint="eastAsia" w:ascii="宋体" w:hAnsi="宋体" w:eastAsia="宋体" w:cs="宋体"/>
                <w:color w:val="auto"/>
                <w:highlight w:val="none"/>
              </w:rPr>
              <w:t>：</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17</w:t>
            </w:r>
            <w:r>
              <w:rPr>
                <w:rFonts w:hint="eastAsia" w:ascii="宋体" w:hAnsi="宋体" w:eastAsia="宋体" w:cs="宋体"/>
                <w:color w:val="auto"/>
                <w:highlight w:val="none"/>
              </w:rPr>
              <w:t>日</w:t>
            </w:r>
            <w:r>
              <w:rPr>
                <w:rFonts w:hint="eastAsia" w:ascii="宋体" w:hAnsi="宋体" w:eastAsia="宋体" w:cs="宋体"/>
                <w:color w:val="auto"/>
                <w:highlight w:val="none"/>
              </w:rPr>
              <w:t>09时30分</w:t>
            </w:r>
          </w:p>
          <w:p>
            <w:pPr>
              <w:rPr>
                <w:rFonts w:hint="eastAsia" w:ascii="宋体" w:hAnsi="宋体" w:eastAsia="宋体" w:cs="宋体"/>
                <w:color w:val="auto"/>
                <w:highlight w:val="none"/>
              </w:rPr>
            </w:pP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w:t>
            </w:r>
            <w:r>
              <w:rPr>
                <w:rFonts w:hint="eastAsia" w:ascii="宋体" w:hAnsi="宋体" w:eastAsia="宋体" w:cs="宋体"/>
                <w:color w:val="auto"/>
                <w:highlight w:val="none"/>
              </w:rPr>
              <w:t>地点：北仑区四明山路773号行政大楼B座三楼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b w:val="0"/>
                <w:bCs w:val="0"/>
                <w:color w:val="auto"/>
                <w:highlight w:val="none"/>
                <w:lang w:val="en-US" w:eastAsia="zh-CN"/>
              </w:rPr>
              <w:t>注：</w:t>
            </w:r>
            <w:r>
              <w:rPr>
                <w:rFonts w:hint="eastAsia" w:ascii="宋体" w:hAnsi="宋体" w:eastAsia="宋体" w:cs="宋体"/>
                <w:b w:val="0"/>
                <w:bCs w:val="0"/>
                <w:color w:val="auto"/>
                <w:highlight w:val="none"/>
              </w:rPr>
              <w:t>本项目采用网上投标，不接受纸质投标文</w:t>
            </w:r>
            <w:r>
              <w:rPr>
                <w:rFonts w:hint="eastAsia" w:ascii="宋体" w:hAnsi="宋体" w:eastAsia="宋体" w:cs="宋体"/>
                <w:b w:val="0"/>
                <w:bCs w:val="0"/>
                <w:color w:val="auto"/>
                <w:highlight w:val="none"/>
              </w:rPr>
              <w:t>件，投标供应商</w:t>
            </w:r>
            <w:r>
              <w:rPr>
                <w:rFonts w:hint="eastAsia" w:ascii="宋体" w:hAnsi="宋体" w:eastAsia="宋体" w:cs="宋体"/>
                <w:b w:val="0"/>
                <w:bCs w:val="0"/>
                <w:color w:val="auto"/>
                <w:highlight w:val="none"/>
                <w:lang w:val="en-US" w:eastAsia="zh-CN"/>
              </w:rPr>
              <w:t>须</w:t>
            </w:r>
            <w:r>
              <w:rPr>
                <w:rFonts w:hint="eastAsia" w:ascii="宋体" w:hAnsi="宋体" w:eastAsia="宋体" w:cs="宋体"/>
                <w:b w:val="0"/>
                <w:bCs w:val="0"/>
                <w:color w:val="auto"/>
                <w:highlight w:val="none"/>
              </w:rPr>
              <w:t>按照招标文件和政府采购云平台的要求编制、加密上传电子投标文件。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投标文件提交地点：北仑区四明山路773号行政</w:t>
            </w:r>
            <w:r>
              <w:rPr>
                <w:rFonts w:hint="eastAsia" w:ascii="宋体" w:hAnsi="宋体" w:eastAsia="宋体" w:cs="宋体"/>
                <w:color w:val="auto"/>
                <w:highlight w:val="none"/>
              </w:rPr>
              <w:t>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w:t>
            </w:r>
            <w:r>
              <w:rPr>
                <w:rFonts w:hint="eastAsia" w:ascii="宋体" w:hAnsi="宋体" w:eastAsia="宋体" w:cs="宋体"/>
                <w:color w:val="auto"/>
                <w:highlight w:val="none"/>
                <w:lang w:val="en-US" w:eastAsia="zh-CN"/>
              </w:rPr>
              <w:t>受理</w:t>
            </w:r>
            <w:r>
              <w:rPr>
                <w:rFonts w:hint="eastAsia" w:ascii="宋体" w:hAnsi="宋体" w:eastAsia="宋体" w:cs="宋体"/>
                <w:color w:val="auto"/>
                <w:highlight w:val="none"/>
              </w:rPr>
              <w:t>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17</w:t>
            </w:r>
            <w:r>
              <w:rPr>
                <w:rFonts w:hint="eastAsia" w:ascii="宋体" w:hAnsi="宋体" w:eastAsia="宋体" w:cs="宋体"/>
                <w:color w:val="auto"/>
                <w:highlight w:val="none"/>
              </w:rPr>
              <w:t>日</w:t>
            </w:r>
            <w:r>
              <w:rPr>
                <w:rFonts w:hint="eastAsia" w:ascii="宋体" w:hAnsi="宋体" w:eastAsia="宋体" w:cs="宋体"/>
                <w:color w:val="auto"/>
                <w:highlight w:val="none"/>
              </w:rPr>
              <w:t>09时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09时30分</w:t>
            </w:r>
          </w:p>
          <w:p>
            <w:pPr>
              <w:rPr>
                <w:rFonts w:hint="eastAsia" w:ascii="宋体" w:hAnsi="宋体" w:eastAsia="宋体" w:cs="宋体"/>
                <w:color w:val="auto"/>
                <w:highlight w:val="none"/>
                <w:lang w:eastAsia="zh-CN"/>
              </w:rPr>
            </w:pPr>
            <w:r>
              <w:rPr>
                <w:rFonts w:hint="eastAsia" w:ascii="宋体" w:hAnsi="宋体" w:eastAsia="宋体" w:cs="宋体"/>
                <w:b w:val="0"/>
                <w:bCs w:val="0"/>
                <w:color w:val="auto"/>
                <w:highlight w:val="none"/>
                <w:lang w:val="en-US" w:eastAsia="zh-CN"/>
              </w:rPr>
              <w:t>注：投标人可自行决定是否提交备份电子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提交的备份电子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val="en-US" w:eastAsia="zh-CN"/>
              </w:rPr>
              <w:t>应当袋装密封，密封袋上须</w:t>
            </w:r>
            <w:r>
              <w:rPr>
                <w:rFonts w:hint="eastAsia" w:ascii="宋体" w:hAnsi="宋体" w:eastAsia="宋体" w:cs="宋体"/>
                <w:b w:val="0"/>
                <w:bCs w:val="0"/>
                <w:color w:val="auto"/>
                <w:highlight w:val="none"/>
              </w:rPr>
              <w:t>注明项目名称、项目编号</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投标人名称并加盖</w:t>
            </w:r>
            <w:r>
              <w:rPr>
                <w:rFonts w:hint="eastAsia" w:ascii="宋体" w:hAnsi="宋体" w:eastAsia="宋体" w:cs="宋体"/>
                <w:b w:val="0"/>
                <w:bCs w:val="0"/>
                <w:color w:val="auto"/>
                <w:highlight w:val="none"/>
                <w:lang w:val="en-US" w:eastAsia="zh-CN"/>
              </w:rPr>
              <w:t>投标人</w:t>
            </w:r>
            <w:r>
              <w:rPr>
                <w:rFonts w:hint="eastAsia" w:ascii="宋体" w:hAnsi="宋体" w:eastAsia="宋体" w:cs="宋体"/>
                <w:b w:val="0"/>
                <w:bCs w:val="0"/>
                <w:color w:val="auto"/>
                <w:highlight w:val="none"/>
              </w:rPr>
              <w:t>公章</w:t>
            </w:r>
            <w:r>
              <w:rPr>
                <w:rFonts w:hint="eastAsia" w:ascii="宋体" w:hAnsi="宋体" w:eastAsia="宋体" w:cs="宋体"/>
                <w:b w:val="0"/>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投标有效期：开标之日起60日历天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投标保证金：本项目不</w:t>
            </w:r>
            <w:r>
              <w:rPr>
                <w:rFonts w:hint="eastAsia" w:ascii="宋体" w:hAnsi="宋体" w:cs="宋体"/>
                <w:color w:val="auto"/>
                <w:highlight w:val="none"/>
                <w:lang w:val="en-US" w:eastAsia="zh-CN"/>
              </w:rPr>
              <w:t>需要缴纳</w:t>
            </w:r>
            <w:r>
              <w:rPr>
                <w:rFonts w:hint="eastAsia" w:ascii="宋体" w:hAnsi="宋体" w:eastAsia="宋体" w:cs="宋体"/>
                <w:color w:val="auto"/>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6</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履约保证金：</w:t>
            </w:r>
            <w:r>
              <w:rPr>
                <w:rFonts w:hint="eastAsia" w:ascii="宋体" w:hAnsi="宋体" w:eastAsia="宋体" w:cs="宋体"/>
                <w:color w:val="auto"/>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7</w:t>
            </w:r>
          </w:p>
        </w:tc>
        <w:tc>
          <w:tcPr>
            <w:tcW w:w="8225" w:type="dxa"/>
            <w:tcMar>
              <w:top w:w="113" w:type="dxa"/>
              <w:bottom w:w="113" w:type="dxa"/>
            </w:tcMar>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8</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扫描件说明：对于招标文件中提及的彩色扫描件要求，包括彩色照片件。扫描件的内容应当保证清晰可辨，否则由此产生的风险由投标人承担。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19</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其他说明：</w:t>
            </w:r>
            <w:r>
              <w:rPr>
                <w:rFonts w:hint="eastAsia" w:ascii="宋体" w:hAnsi="宋体" w:eastAsia="宋体" w:cs="宋体"/>
                <w:color w:val="auto"/>
                <w:sz w:val="21"/>
                <w:szCs w:val="21"/>
                <w:highlight w:val="none"/>
                <w:lang w:val="en-US" w:eastAsia="zh-CN"/>
              </w:rPr>
              <w:t>参与同一个标项投标的供应商存在下列情形之一且无法合理解释的，其投标（响应）文件无效。</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①不同投标供应商的电子投标（响应）文件上传计算机的IP地址或网卡MAC地址或硬盘序列号等硬件信息相同的；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②上传的电子投标（响应）文件出现使用本项目其他投标（响应）供应商的数字证书加密，或加盖本项目其他投标（响应）供应商的电子印章的；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③不同投标供应商的投标（响应）文件内容存在 3 处（含）以上错误一致的；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④不同投标供应商联系人为同一人或不同联系人的联系电话一致的。</w:t>
            </w:r>
          </w:p>
        </w:tc>
      </w:tr>
    </w:tbl>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部分  投标人须知</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A、总则</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1.1本招标文件适用于采购公告中所述项目的招标、投标、评标、定标、合同</w:t>
      </w:r>
      <w:r>
        <w:rPr>
          <w:rFonts w:hint="eastAsia" w:ascii="宋体" w:hAnsi="宋体" w:eastAsia="宋体" w:cs="宋体"/>
          <w:color w:val="auto"/>
          <w:sz w:val="21"/>
          <w:szCs w:val="21"/>
          <w:highlight w:val="none"/>
          <w:lang w:val="en-US" w:eastAsia="zh-CN"/>
        </w:rPr>
        <w:t>签订及</w:t>
      </w:r>
      <w:r>
        <w:rPr>
          <w:rFonts w:hint="eastAsia" w:ascii="宋体" w:hAnsi="宋体" w:eastAsia="宋体" w:cs="宋体"/>
          <w:color w:val="auto"/>
          <w:sz w:val="21"/>
          <w:szCs w:val="21"/>
          <w:highlight w:val="none"/>
        </w:rPr>
        <w:t>履约、验收、付款等行为（法律、法规另有规定的，从其规定）。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定义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2.1“采购人”/“招标人”/“买方”系指前附表所指的采购人。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机构” 系指前附表所指的组织本次政府采购的采购代理机构。</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“投标人”/“供应商”/“响应方”/“</w:t>
      </w:r>
      <w:r>
        <w:rPr>
          <w:rFonts w:hint="eastAsia" w:ascii="宋体" w:hAnsi="宋体" w:eastAsia="宋体" w:cs="宋体"/>
          <w:color w:val="auto"/>
          <w:sz w:val="21"/>
          <w:szCs w:val="21"/>
          <w:highlight w:val="none"/>
          <w:lang w:val="en-US" w:eastAsia="zh-CN"/>
        </w:rPr>
        <w:t>承包</w:t>
      </w:r>
      <w:r>
        <w:rPr>
          <w:rFonts w:hint="eastAsia" w:ascii="宋体" w:hAnsi="宋体" w:eastAsia="宋体" w:cs="宋体"/>
          <w:color w:val="auto"/>
          <w:sz w:val="21"/>
          <w:szCs w:val="21"/>
          <w:highlight w:val="none"/>
        </w:rPr>
        <w:t>方”/“卖方”系指</w:t>
      </w:r>
      <w:r>
        <w:rPr>
          <w:rFonts w:hint="eastAsia" w:ascii="宋体" w:hAnsi="宋体" w:eastAsia="宋体" w:cs="宋体"/>
          <w:color w:val="auto"/>
          <w:highlight w:val="none"/>
        </w:rPr>
        <w:t>符合本招标文件规定并参加投标的</w:t>
      </w:r>
      <w:r>
        <w:rPr>
          <w:rFonts w:hint="eastAsia" w:ascii="宋体" w:hAnsi="宋体" w:cs="宋体"/>
          <w:color w:val="auto"/>
          <w:highlight w:val="none"/>
          <w:lang w:val="en-US" w:eastAsia="zh-CN"/>
        </w:rPr>
        <w:t>单位或个人</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“货物”指依据本招标文件中所述采购需求，投标人须向采购人提供的一切材料、设备、备品备件、工具、手册及其它有关技术资料和材料，以及实现货物功能价值所必须的配套技术和服务。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“服务”指依据本招标文件中所述采购需求，投标人应该履行的承诺和义务。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2.6“法定代表人”本项目所指的法定代表人包含符合采购要求依法成立的个体工商户、民办非企业单位、个人独资企业、合伙企业、分支机构的负责人。</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合格的投标人</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3.1符合</w:t>
      </w:r>
      <w:r>
        <w:rPr>
          <w:rFonts w:hint="eastAsia" w:ascii="宋体" w:hAnsi="宋体" w:cs="宋体"/>
          <w:color w:val="auto"/>
          <w:highlight w:val="none"/>
          <w:lang w:val="en-US" w:eastAsia="zh-CN"/>
        </w:rPr>
        <w:t>本部分第</w:t>
      </w:r>
      <w:r>
        <w:rPr>
          <w:rFonts w:hint="eastAsia" w:ascii="宋体" w:hAnsi="宋体" w:eastAsia="宋体" w:cs="宋体"/>
          <w:color w:val="auto"/>
          <w:highlight w:val="none"/>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条，并具备以下条件的供应商。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（2）符合本项目供应商应具备的资格条件，具有本项目生产、制造、供应或实施能力。</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（3）符合、承认并承诺履行本招标文件各项规定。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3.2除联合体外，单位负责人为同一人或者存在直接控股、管理关系的不同供应商，不得参加同一合同项下的政府采购活动。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3.3为采购项目提供整体设计、规范编制或者项目管理、监理、检测等服务的供应商，不得再参加该采购项目的其他采购活动。</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关于</w:t>
      </w:r>
      <w:r>
        <w:rPr>
          <w:rFonts w:hint="eastAsia" w:ascii="宋体" w:hAnsi="宋体" w:cs="宋体"/>
          <w:b/>
          <w:bCs/>
          <w:color w:val="auto"/>
          <w:sz w:val="21"/>
          <w:szCs w:val="21"/>
          <w:highlight w:val="none"/>
          <w:lang w:val="en-US" w:eastAsia="zh-CN"/>
        </w:rPr>
        <w:t>分支机构</w:t>
      </w:r>
      <w:r>
        <w:rPr>
          <w:rFonts w:hint="eastAsia" w:ascii="宋体" w:hAnsi="宋体" w:eastAsia="宋体" w:cs="宋体"/>
          <w:b/>
          <w:bCs/>
          <w:color w:val="auto"/>
          <w:sz w:val="21"/>
          <w:szCs w:val="21"/>
          <w:highlight w:val="none"/>
        </w:rPr>
        <w:t>投标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除银行、保险、电信等特定行业的分支机构可直接参加许可证范围内项目的投标外，分支机构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投标的，</w:t>
      </w:r>
      <w:r>
        <w:rPr>
          <w:rFonts w:hint="eastAsia" w:ascii="宋体" w:hAnsi="宋体" w:eastAsia="宋体" w:cs="宋体"/>
          <w:color w:val="auto"/>
          <w:highlight w:val="none"/>
        </w:rPr>
        <w:t>需</w:t>
      </w:r>
      <w:r>
        <w:rPr>
          <w:rFonts w:hint="eastAsia" w:ascii="宋体" w:hAnsi="宋体" w:eastAsia="宋体" w:cs="宋体"/>
          <w:color w:val="auto"/>
          <w:highlight w:val="none"/>
          <w:lang w:val="en-US" w:eastAsia="zh-CN"/>
        </w:rPr>
        <w:t>在资格证明文件中</w:t>
      </w:r>
      <w:r>
        <w:rPr>
          <w:rFonts w:hint="eastAsia" w:ascii="宋体" w:hAnsi="宋体" w:eastAsia="宋体" w:cs="宋体"/>
          <w:color w:val="auto"/>
          <w:highlight w:val="none"/>
        </w:rPr>
        <w:t>提供具有法人资格的总公司的营业执照及授权书扫描件，授权书须加盖总公司公章。总公司可就本项目或此类项目在一定范围或时间内出具授权书。已由总公司授权的，总公司取得的相关资质证书对分支机构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有效。</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投标费用</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.1本项目不收取招标代理服务费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.2无论投标过程中的做法和结果如何，投标人自行承担所有与参加投标有关的全部费用。</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通知</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参加投标的供应商有义务在采购活动期</w:t>
      </w:r>
      <w:r>
        <w:rPr>
          <w:rFonts w:hint="eastAsia" w:ascii="宋体" w:hAnsi="宋体" w:eastAsia="宋体" w:cs="宋体"/>
          <w:color w:val="auto"/>
          <w:sz w:val="21"/>
          <w:szCs w:val="21"/>
          <w:highlight w:val="none"/>
        </w:rPr>
        <w:t>间浏览</w:t>
      </w:r>
      <w:r>
        <w:rPr>
          <w:rFonts w:hint="eastAsia" w:ascii="宋体" w:hAnsi="宋体" w:eastAsia="宋体" w:cs="宋体"/>
          <w:color w:val="auto"/>
          <w:highlight w:val="none"/>
        </w:rPr>
        <w:t>宁波政府采购网（zfcg.czj.ningbo.gov.cn）</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eastAsia="zh-CN"/>
        </w:rPr>
        <w:t>宁波市政务服务中心网（jyxt.zwb.ningbo.gov.cn:4011）</w:t>
      </w:r>
      <w:r>
        <w:rPr>
          <w:rFonts w:hint="eastAsia" w:ascii="宋体" w:hAnsi="宋体" w:eastAsia="宋体" w:cs="宋体"/>
          <w:color w:val="auto"/>
          <w:sz w:val="21"/>
          <w:szCs w:val="21"/>
          <w:highlight w:val="none"/>
        </w:rPr>
        <w:t>，采购人（采购代理机构</w:t>
      </w:r>
      <w:r>
        <w:rPr>
          <w:rFonts w:hint="eastAsia" w:ascii="宋体" w:hAnsi="宋体" w:eastAsia="宋体" w:cs="宋体"/>
          <w:color w:val="auto"/>
          <w:sz w:val="21"/>
          <w:szCs w:val="21"/>
          <w:highlight w:val="none"/>
        </w:rPr>
        <w:t>）在以上两个网站发布的与本次招标项目有关的信息视为已送达各供应商，不再采用其它方式传达相关信息。</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B、招标文件</w:t>
      </w:r>
      <w:r>
        <w:rPr>
          <w:rFonts w:hint="eastAsia" w:ascii="宋体" w:hAnsi="宋体" w:eastAsia="宋体" w:cs="宋体"/>
          <w:b/>
          <w:bCs/>
          <w:color w:val="auto"/>
          <w:sz w:val="32"/>
          <w:highlight w:val="none"/>
          <w:lang w:val="en-US" w:eastAsia="zh-CN"/>
        </w:rPr>
        <w:t>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招标文件的构成</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.1招标文件由本文件目录所列内容组成。</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招标文件的澄清</w:t>
      </w:r>
      <w:r>
        <w:rPr>
          <w:rFonts w:hint="eastAsia" w:ascii="宋体" w:hAnsi="宋体" w:eastAsia="宋体" w:cs="宋体"/>
          <w:b/>
          <w:bCs/>
          <w:color w:val="auto"/>
          <w:sz w:val="21"/>
          <w:szCs w:val="21"/>
          <w:highlight w:val="none"/>
          <w:lang w:val="en-US" w:eastAsia="zh-CN"/>
        </w:rPr>
        <w:t>及修改</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.1任何要求对招标文件进行澄清的潜在投标人，应在投标截止时间前以书面方式（包括信函、传真、电子文档等形式）通知采购人或采购代理机构。</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.2采购人或采购代理机构可主动地或依据投标人要求澄清的问题而修改招标文件，并以更正公告的方式在原公告发布网站通知所有获取招标文件的投标人。</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.3招标文件的修改内容将作为招标文件的一部分，对投标人有约束力。</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C、投标文件</w:t>
      </w:r>
      <w:r>
        <w:rPr>
          <w:rFonts w:hint="eastAsia" w:ascii="宋体" w:hAnsi="宋体" w:eastAsia="宋体" w:cs="宋体"/>
          <w:b/>
          <w:bCs/>
          <w:color w:val="auto"/>
          <w:sz w:val="32"/>
          <w:highlight w:val="none"/>
          <w:lang w:val="en-US" w:eastAsia="zh-CN"/>
        </w:rPr>
        <w:t>编制</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1投标人应仔细阅读招标文件的所有内容，按招标文件要求格式认真细致地编制投标文件，以使其投标对招标文件作出实质性响应。未按要求提交全部资料或者投标文件没有对招标文件的要求做出实质性响应的，投标将被作为无效投标处理。</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.2投标人投标文件所提供的全部材料必须真实可靠，所述内容真实有效，不得弄虚作假。</w:t>
      </w:r>
      <w:r>
        <w:rPr>
          <w:rFonts w:hint="eastAsia" w:ascii="宋体" w:hAnsi="宋体" w:eastAsia="宋体" w:cs="宋体"/>
          <w:b w:val="0"/>
          <w:bCs w:val="0"/>
          <w:color w:val="auto"/>
          <w:sz w:val="21"/>
          <w:szCs w:val="21"/>
          <w:highlight w:val="none"/>
        </w:rPr>
        <w:t>若投标文件填报的内容数据</w:t>
      </w:r>
      <w:r>
        <w:rPr>
          <w:rFonts w:hint="eastAsia" w:ascii="宋体" w:hAnsi="宋体" w:cs="宋体"/>
          <w:b w:val="0"/>
          <w:bCs w:val="0"/>
          <w:color w:val="auto"/>
          <w:sz w:val="21"/>
          <w:szCs w:val="21"/>
          <w:highlight w:val="none"/>
          <w:lang w:val="en-US" w:eastAsia="zh-CN"/>
        </w:rPr>
        <w:t>不实</w:t>
      </w:r>
      <w:r>
        <w:rPr>
          <w:rFonts w:hint="eastAsia" w:ascii="宋体" w:hAnsi="宋体" w:eastAsia="宋体" w:cs="宋体"/>
          <w:b w:val="0"/>
          <w:bCs w:val="0"/>
          <w:color w:val="auto"/>
          <w:sz w:val="21"/>
          <w:szCs w:val="21"/>
          <w:highlight w:val="none"/>
        </w:rPr>
        <w:t>或提供了虚假</w:t>
      </w:r>
      <w:r>
        <w:rPr>
          <w:rFonts w:hint="eastAsia" w:ascii="宋体" w:hAnsi="宋体" w:cs="宋体"/>
          <w:b w:val="0"/>
          <w:bCs w:val="0"/>
          <w:color w:val="auto"/>
          <w:sz w:val="21"/>
          <w:szCs w:val="21"/>
          <w:highlight w:val="none"/>
          <w:lang w:val="en-US" w:eastAsia="zh-CN"/>
        </w:rPr>
        <w:t>信息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虚假材料的，</w:t>
      </w:r>
      <w:r>
        <w:rPr>
          <w:rFonts w:hint="eastAsia" w:ascii="宋体" w:hAnsi="宋体" w:eastAsia="宋体" w:cs="宋体"/>
          <w:b w:val="0"/>
          <w:bCs w:val="0"/>
          <w:color w:val="auto"/>
          <w:sz w:val="21"/>
          <w:szCs w:val="21"/>
          <w:highlight w:val="none"/>
        </w:rPr>
        <w:t>其投标文件为无效投标文件，并按相关规定处理，由此引起的一切后果及法律责任由投标人承担。</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语言及计量单位</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.1投标文件以及投标人与采购代理机构就有关投标的所有来往函电均应使用中文简体字。</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.2除在招标文件技术规格中另有规定外，计量单位使用中华人民共和国法定计量单位。</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投标文件组成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.1投标文件由</w:t>
      </w:r>
      <w:r>
        <w:rPr>
          <w:rFonts w:hint="eastAsia" w:ascii="宋体" w:hAnsi="宋体" w:eastAsia="宋体" w:cs="宋体"/>
          <w:color w:val="auto"/>
          <w:sz w:val="21"/>
          <w:szCs w:val="21"/>
          <w:highlight w:val="none"/>
          <w:lang w:val="en-US" w:eastAsia="zh-CN"/>
        </w:rPr>
        <w:t>资格证明</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报价文件三部分组成</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2资格证明</w:t>
      </w:r>
      <w:r>
        <w:rPr>
          <w:rFonts w:hint="eastAsia" w:ascii="宋体" w:hAnsi="宋体" w:eastAsia="宋体" w:cs="宋体"/>
          <w:b w:val="0"/>
          <w:bCs w:val="0"/>
          <w:color w:val="auto"/>
          <w:sz w:val="21"/>
          <w:szCs w:val="21"/>
          <w:highlight w:val="none"/>
        </w:rPr>
        <w:t>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.2.1资格证明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用以证明投标人是否具备本项目的投标资格。</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.2.2投标人应按招标文件要求的内容和格式提供资格证明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.2.3资格证明文件须逐页CA电子签章，</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资格审查不通过。</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.2.4资格证明文件中</w:t>
      </w:r>
      <w:r>
        <w:rPr>
          <w:rFonts w:hint="eastAsia" w:ascii="宋体" w:hAnsi="宋体" w:eastAsia="宋体" w:cs="宋体"/>
          <w:color w:val="auto"/>
          <w:sz w:val="21"/>
          <w:szCs w:val="21"/>
          <w:highlight w:val="none"/>
          <w:lang w:eastAsia="zh-CN"/>
        </w:rPr>
        <w:t>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技术</w:t>
      </w:r>
      <w:r>
        <w:rPr>
          <w:rFonts w:hint="eastAsia" w:ascii="宋体" w:hAnsi="宋体" w:eastAsia="宋体" w:cs="宋体"/>
          <w:b w:val="0"/>
          <w:bCs w:val="0"/>
          <w:color w:val="auto"/>
          <w:highlight w:val="none"/>
          <w:lang w:val="en-US" w:eastAsia="zh-CN"/>
        </w:rPr>
        <w:t>商务文件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.3.1技术商务文件用于判断投标人提供的货物、服务是否满足招标需求，还用于包括不限于对投标人供货能力、实施能力、履约能力、项目经验等方面的评价。</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.3.2投标人应按招标文件要求的内容和格式提供技术商务文件，具体详见本招标文件第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.3.3技术商务文件中不得出现本项目的投标总价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val="en-US" w:eastAsia="zh-CN"/>
        </w:rPr>
        <w:t>，否则投标无效。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报价文件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.4.1报价文件用于评价投标人的投标报价是否响应招标要求，是否符合相关的政府采购政策等。</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.4.2投标人应按招标文件要求的内容和格式提供</w:t>
      </w:r>
      <w:r>
        <w:rPr>
          <w:rFonts w:hint="eastAsia" w:ascii="宋体" w:hAnsi="宋体" w:eastAsia="宋体" w:cs="宋体"/>
          <w:color w:val="auto"/>
          <w:highlight w:val="none"/>
          <w:lang w:val="en-US" w:eastAsia="zh-CN"/>
        </w:rPr>
        <w:t>报价</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w:t>
      </w:r>
      <w:r>
        <w:rPr>
          <w:rFonts w:hint="eastAsia" w:ascii="宋体" w:hAnsi="宋体" w:eastAsia="宋体" w:cs="宋体"/>
          <w:b/>
          <w:bCs/>
          <w:color w:val="auto"/>
          <w:sz w:val="21"/>
          <w:szCs w:val="21"/>
          <w:highlight w:val="none"/>
          <w:lang w:val="en-US" w:eastAsia="zh-CN"/>
        </w:rPr>
        <w:t>制作</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1投标文件分为电子投标文件和备份电子投标文件。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.2投标人应</w:t>
      </w:r>
      <w:r>
        <w:rPr>
          <w:rFonts w:hint="eastAsia" w:ascii="宋体" w:hAnsi="宋体" w:eastAsia="宋体" w:cs="宋体"/>
          <w:color w:val="auto"/>
          <w:highlight w:val="none"/>
        </w:rPr>
        <w:t>按照招标文件和政府采购云平台的要求编制、加密</w:t>
      </w:r>
      <w:r>
        <w:rPr>
          <w:rFonts w:hint="eastAsia" w:ascii="宋体" w:hAnsi="宋体" w:eastAsia="宋体" w:cs="宋体"/>
          <w:strike w:val="0"/>
          <w:dstrike w:val="0"/>
          <w:color w:val="auto"/>
          <w:highlight w:val="none"/>
        </w:rPr>
        <w:t>并上传</w:t>
      </w:r>
      <w:r>
        <w:rPr>
          <w:rFonts w:hint="eastAsia" w:ascii="宋体" w:hAnsi="宋体" w:eastAsia="宋体" w:cs="宋体"/>
          <w:color w:val="auto"/>
          <w:highlight w:val="none"/>
        </w:rPr>
        <w:t>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.3投标文件</w:t>
      </w:r>
      <w:r>
        <w:rPr>
          <w:rFonts w:hint="eastAsia" w:ascii="宋体" w:hAnsi="宋体" w:eastAsia="宋体" w:cs="宋体"/>
          <w:color w:val="auto"/>
          <w:highlight w:val="none"/>
          <w:lang w:val="en-US" w:eastAsia="zh-CN"/>
        </w:rPr>
        <w:t>应根据招标要求</w:t>
      </w:r>
      <w:r>
        <w:rPr>
          <w:rFonts w:hint="eastAsia" w:ascii="宋体" w:hAnsi="宋体" w:eastAsia="宋体" w:cs="宋体"/>
          <w:color w:val="auto"/>
          <w:highlight w:val="none"/>
        </w:rPr>
        <w:t>做好关联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，未</w:t>
      </w:r>
      <w:r>
        <w:rPr>
          <w:rFonts w:hint="eastAsia" w:ascii="宋体" w:hAnsi="宋体" w:eastAsia="宋体" w:cs="宋体"/>
          <w:color w:val="auto"/>
          <w:highlight w:val="none"/>
          <w:lang w:val="en-US" w:eastAsia="zh-CN"/>
        </w:rPr>
        <w:t>进行</w:t>
      </w:r>
      <w:r>
        <w:rPr>
          <w:rFonts w:hint="eastAsia" w:ascii="宋体" w:hAnsi="宋体" w:eastAsia="宋体" w:cs="宋体"/>
          <w:color w:val="auto"/>
          <w:highlight w:val="none"/>
        </w:rPr>
        <w:t>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而导致失分或无效投标处理的风险由投标人承担。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.4投标人</w:t>
      </w:r>
      <w:r>
        <w:rPr>
          <w:rFonts w:hint="eastAsia" w:ascii="宋体" w:hAnsi="宋体" w:eastAsia="宋体" w:cs="宋体"/>
          <w:color w:val="auto"/>
          <w:highlight w:val="none"/>
        </w:rPr>
        <w:t>可自行</w:t>
      </w:r>
      <w:r>
        <w:rPr>
          <w:rFonts w:hint="eastAsia" w:ascii="宋体" w:hAnsi="宋体" w:eastAsia="宋体" w:cs="宋体"/>
          <w:color w:val="auto"/>
          <w:highlight w:val="none"/>
          <w:lang w:val="en-US" w:eastAsia="zh-CN"/>
        </w:rPr>
        <w:t>选择</w:t>
      </w:r>
      <w:r>
        <w:rPr>
          <w:rFonts w:hint="eastAsia" w:ascii="宋体" w:hAnsi="宋体" w:eastAsia="宋体" w:cs="宋体"/>
          <w:color w:val="auto"/>
          <w:highlight w:val="none"/>
        </w:rPr>
        <w:t>是否提交备份电子投标文件，以便在上传的电子投标文件解密失败后启用备份投标文件。</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仅提交备份电子投标文件的，投标响应无效。</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投标文件签署</w:t>
      </w:r>
      <w:r>
        <w:rPr>
          <w:rFonts w:hint="eastAsia" w:ascii="宋体" w:hAnsi="宋体" w:eastAsia="宋体" w:cs="宋体"/>
          <w:b/>
          <w:bCs/>
          <w:color w:val="auto"/>
          <w:sz w:val="21"/>
          <w:szCs w:val="21"/>
          <w:highlight w:val="none"/>
          <w:lang w:val="en-US" w:eastAsia="zh-CN"/>
        </w:rPr>
        <w:t>及密封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.1组成投标文件的各项资料均应遵守本条</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.2投标人名称应填写全称，不能随意简称，要求加盖公章的应加盖公章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CA电子签章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.3招标文件中规定的全权代表签名应由全权代表亲自签署，法定代表人可以签名或盖章。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.4投标人选择提供</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val="en-US" w:eastAsia="zh-CN"/>
        </w:rPr>
        <w:t>的，备份文件应以</w:t>
      </w:r>
      <w:r>
        <w:rPr>
          <w:rFonts w:hint="eastAsia" w:ascii="宋体" w:hAnsi="宋体" w:eastAsia="宋体" w:cs="宋体"/>
          <w:color w:val="auto"/>
          <w:highlight w:val="none"/>
        </w:rPr>
        <w:t>U盘为载体</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装袋密封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密封袋上需</w:t>
      </w:r>
      <w:r>
        <w:rPr>
          <w:rFonts w:hint="eastAsia" w:ascii="宋体" w:hAnsi="宋体" w:eastAsia="宋体" w:cs="宋体"/>
          <w:color w:val="auto"/>
          <w:highlight w:val="none"/>
          <w:lang w:val="en-US" w:eastAsia="zh-CN"/>
        </w:rPr>
        <w:t>注明</w:t>
      </w:r>
      <w:r>
        <w:rPr>
          <w:rFonts w:hint="eastAsia" w:ascii="宋体" w:hAnsi="宋体" w:eastAsia="宋体" w:cs="宋体"/>
          <w:color w:val="auto"/>
          <w:highlight w:val="none"/>
        </w:rPr>
        <w:t>项目名称、项目编号、投标人名称并加盖公章</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投标报价</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.1投标报价是履行合同的最终价格，包含购买货物及服务需交纳的所有税费及其他一切相关费用</w:t>
      </w:r>
      <w:r>
        <w:rPr>
          <w:rFonts w:hint="eastAsia" w:ascii="宋体" w:hAnsi="宋体" w:eastAsia="宋体" w:cs="宋体"/>
          <w:color w:val="auto"/>
          <w:highlight w:val="none"/>
        </w:rPr>
        <w:t>，具体详见本招标文件第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部分项目内容及要求。</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.2投标人少报或漏报的工作量，采购人将视为已包含在投标总价中，并不予调整。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.3所有投标均以人民币报价。投标人如需用外汇购入的设备，须折合人民币计入总报价中，总报价不受汇率变动影响。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.4采购人不接受任何有选择的报价。</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r>
        <w:rPr>
          <w:rFonts w:hint="eastAsia" w:ascii="宋体" w:hAnsi="宋体" w:cs="宋体"/>
          <w:b w:val="0"/>
          <w:bCs/>
          <w:color w:val="auto"/>
          <w:highlight w:val="none"/>
          <w:lang w:val="en-US" w:eastAsia="zh-CN"/>
        </w:rPr>
        <w:t>4</w:t>
      </w:r>
      <w:r>
        <w:rPr>
          <w:rFonts w:hint="eastAsia" w:ascii="宋体" w:hAnsi="宋体" w:eastAsia="宋体" w:cs="宋体"/>
          <w:b w:val="0"/>
          <w:bCs/>
          <w:color w:val="auto"/>
          <w:highlight w:val="none"/>
        </w:rPr>
        <w:t>.5超出采购人最高限价的投标为无效投标。</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投标有效期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.1本项目投标有效期见本招标文件前附表。投标文件应在投标有效期内保持有效，有效期短于这个规定期限的投标，将视为无效。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.2特殊情况下，在原投标有效期期满之前，采购代理机构可征得投标人同意延长投标有效期，这种要求和答复都应以书面形式进行。投标人可以拒绝接受延期要求。同意延长有效期的投标人不能修改其投标文件。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知识产权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.1供应商应保证在提供服务过程中或采购人在使用货物或货物的任何一部分时，不会侵犯任何第三方的知识产权，免受第三方提出侵犯其专利权、商标权或其它知识产权的起诉。</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.2投标报价应包括所有应支付的对专利权和版权、设计或其他知识产权而需要向其他方支付的版税等费用。</w:t>
      </w:r>
    </w:p>
    <w:p>
      <w:pPr>
        <w:spacing w:before="240" w:after="240" w:line="360" w:lineRule="auto"/>
        <w:jc w:val="center"/>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D、投标文件</w:t>
      </w:r>
      <w:r>
        <w:rPr>
          <w:rFonts w:hint="eastAsia" w:ascii="宋体" w:hAnsi="宋体" w:eastAsia="宋体" w:cs="宋体"/>
          <w:b/>
          <w:bCs/>
          <w:color w:val="auto"/>
          <w:sz w:val="32"/>
          <w:highlight w:val="none"/>
          <w:lang w:val="en-US" w:eastAsia="zh-CN"/>
        </w:rPr>
        <w:t>提交</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投标截止时间和投标地点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投标截止时间和投标地点见</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采购公告和前附表。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采购代理机构推迟投标截止时间或更改投标地点，</w:t>
      </w:r>
      <w:r>
        <w:rPr>
          <w:rFonts w:hint="eastAsia" w:ascii="宋体" w:hAnsi="宋体" w:eastAsia="宋体" w:cs="宋体"/>
          <w:color w:val="auto"/>
          <w:sz w:val="21"/>
          <w:szCs w:val="21"/>
          <w:highlight w:val="none"/>
        </w:rPr>
        <w:t>将以</w:t>
      </w:r>
      <w:r>
        <w:rPr>
          <w:rFonts w:hint="eastAsia" w:ascii="宋体" w:hAnsi="宋体" w:eastAsia="宋体" w:cs="宋体"/>
          <w:color w:val="auto"/>
          <w:sz w:val="21"/>
          <w:szCs w:val="21"/>
          <w:highlight w:val="none"/>
          <w:lang w:val="en-US" w:eastAsia="zh-CN"/>
        </w:rPr>
        <w:t>更正</w:t>
      </w:r>
      <w:r>
        <w:rPr>
          <w:rFonts w:hint="eastAsia" w:ascii="宋体" w:hAnsi="宋体" w:eastAsia="宋体" w:cs="宋体"/>
          <w:color w:val="auto"/>
          <w:sz w:val="21"/>
          <w:szCs w:val="21"/>
          <w:highlight w:val="none"/>
        </w:rPr>
        <w:t>公告的方式通知所有投标人。在这种情况下，采购人和投标人的权利和义务将受到新的截止时间和新</w:t>
      </w:r>
      <w:r>
        <w:rPr>
          <w:rFonts w:hint="eastAsia" w:ascii="宋体" w:hAnsi="宋体" w:eastAsia="宋体" w:cs="宋体"/>
          <w:color w:val="auto"/>
          <w:sz w:val="21"/>
          <w:szCs w:val="21"/>
          <w:highlight w:val="none"/>
        </w:rPr>
        <w:t>的投标地点的约束。</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投标文件的</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补充、修改和撤回</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必须在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将加密的电子</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上传至政采云平台，逾期上传的投标无效。</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.2选择提交备份电子投标文件的投标人应</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highlight w:val="none"/>
        </w:rPr>
        <w:t>密封</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lang w:val="en-US" w:eastAsia="zh-CN"/>
        </w:rPr>
        <w:t>备</w:t>
      </w:r>
      <w:r>
        <w:rPr>
          <w:rFonts w:hint="eastAsia" w:ascii="宋体" w:hAnsi="宋体" w:eastAsia="宋体" w:cs="宋体"/>
          <w:color w:val="auto"/>
          <w:sz w:val="21"/>
          <w:szCs w:val="21"/>
          <w:highlight w:val="none"/>
          <w:lang w:val="en-US" w:eastAsia="zh-CN"/>
        </w:rPr>
        <w:t>份电子投标文件送达至开标现场，</w:t>
      </w:r>
      <w:r>
        <w:rPr>
          <w:rFonts w:hint="eastAsia" w:ascii="宋体" w:hAnsi="宋体" w:eastAsia="宋体" w:cs="宋体"/>
          <w:color w:val="auto"/>
          <w:highlight w:val="none"/>
        </w:rPr>
        <w:t>采购代理机构按要求进行签收登记。</w:t>
      </w:r>
      <w:r>
        <w:rPr>
          <w:rFonts w:hint="eastAsia" w:ascii="宋体" w:hAnsi="宋体" w:eastAsia="宋体" w:cs="宋体"/>
          <w:color w:val="auto"/>
          <w:sz w:val="21"/>
          <w:szCs w:val="21"/>
          <w:highlight w:val="none"/>
          <w:lang w:val="en-US" w:eastAsia="zh-CN"/>
        </w:rPr>
        <w:t>逾期送达或</w:t>
      </w:r>
      <w:r>
        <w:rPr>
          <w:rFonts w:hint="eastAsia" w:ascii="宋体" w:hAnsi="宋体" w:eastAsia="宋体" w:cs="宋体"/>
          <w:b w:val="0"/>
          <w:bCs w:val="0"/>
          <w:color w:val="auto"/>
          <w:highlight w:val="none"/>
          <w:lang w:eastAsia="zh-CN"/>
        </w:rPr>
        <w:t>未按要求密封的</w:t>
      </w:r>
      <w:r>
        <w:rPr>
          <w:rFonts w:hint="eastAsia" w:ascii="宋体" w:hAnsi="宋体" w:eastAsia="宋体" w:cs="宋体"/>
          <w:color w:val="auto"/>
          <w:sz w:val="21"/>
          <w:szCs w:val="21"/>
          <w:highlight w:val="none"/>
          <w:lang w:val="en-US" w:eastAsia="zh-CN"/>
        </w:rPr>
        <w:t>备份电子投标文件</w:t>
      </w:r>
      <w:r>
        <w:rPr>
          <w:rFonts w:hint="eastAsia" w:ascii="宋体" w:hAnsi="宋体" w:eastAsia="宋体" w:cs="宋体"/>
          <w:color w:val="auto"/>
          <w:sz w:val="21"/>
          <w:szCs w:val="21"/>
          <w:highlight w:val="none"/>
        </w:rPr>
        <w:t>采购代理机构拒绝接收。</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投标截止时间前，投标人可以对</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文件进行补充和修改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补充或者修改投标文件的，应先撤回原</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再将</w:t>
      </w:r>
      <w:r>
        <w:rPr>
          <w:rFonts w:hint="eastAsia" w:ascii="宋体" w:hAnsi="宋体" w:eastAsia="宋体" w:cs="宋体"/>
          <w:color w:val="auto"/>
          <w:sz w:val="21"/>
          <w:szCs w:val="21"/>
          <w:highlight w:val="none"/>
        </w:rPr>
        <w:t>补充、修改后</w:t>
      </w:r>
      <w:r>
        <w:rPr>
          <w:rFonts w:hint="eastAsia" w:ascii="宋体" w:hAnsi="宋体" w:eastAsia="宋体" w:cs="宋体"/>
          <w:color w:val="auto"/>
          <w:sz w:val="21"/>
          <w:szCs w:val="21"/>
          <w:highlight w:val="none"/>
          <w:lang w:val="en-US" w:eastAsia="zh-CN"/>
        </w:rPr>
        <w:t>的投标文件加密</w:t>
      </w: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val="en-US" w:eastAsia="zh-CN"/>
        </w:rPr>
        <w:t>上传提交</w:t>
      </w:r>
      <w:r>
        <w:rPr>
          <w:rFonts w:hint="eastAsia" w:ascii="宋体" w:hAnsi="宋体" w:eastAsia="宋体" w:cs="宋体"/>
          <w:color w:val="auto"/>
          <w:sz w:val="21"/>
          <w:szCs w:val="21"/>
          <w:highlight w:val="none"/>
        </w:rPr>
        <w:t>。投标截止时间前未完成上传的，视为投标文件撤回。不接受其他途径的补充和修改。</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投标截止时间前，投标人可以撤回</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电子投标文件。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开标后，投标人不得撤回投标，否则报采购监督部门处理。</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E、开标和评标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开标</w:t>
      </w:r>
    </w:p>
    <w:p>
      <w:pPr>
        <w:spacing w:line="360" w:lineRule="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highlight w:val="none"/>
        </w:rPr>
        <w:t>采购代理机构按招标文件规定的时间、地点进行开标。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投标供应商法定代表人或其授权代表</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准时通过政采云平台在线参加开标。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.3投标</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lang w:val="en-US" w:eastAsia="zh-CN"/>
        </w:rPr>
        <w:t>可以根据项目特点确定是否派代表</w:t>
      </w:r>
      <w:r>
        <w:rPr>
          <w:rFonts w:hint="eastAsia" w:ascii="宋体" w:hAnsi="宋体" w:eastAsia="宋体" w:cs="宋体"/>
          <w:b w:val="0"/>
          <w:bCs w:val="0"/>
          <w:color w:val="auto"/>
          <w:sz w:val="21"/>
          <w:szCs w:val="21"/>
          <w:highlight w:val="none"/>
        </w:rPr>
        <w:t>出席现场开标会议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参加现场会议的供应商代表应遵守会场纪律。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.4开标会议由采购代理机构主持，并按以下程序进行：</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（1）主持人宣布开标会议开始及会场纪律，介绍到会人员。</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（2）采购代理机构发出解密指令，投标供应商对加密电子投标文件进行在线解密。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en-US" w:eastAsia="zh-CN"/>
        </w:rPr>
        <w:t>投标文件</w:t>
      </w:r>
      <w:r>
        <w:rPr>
          <w:rFonts w:hint="eastAsia" w:ascii="宋体" w:hAnsi="宋体" w:eastAsia="宋体" w:cs="宋体"/>
          <w:color w:val="auto"/>
          <w:highlight w:val="none"/>
          <w:lang w:val="en-US" w:eastAsia="zh-CN"/>
        </w:rPr>
        <w:t>解密结束，开启投标文件，对“资格证明文件”进行审查。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（4）资格审查通过后，进行“技术商务文件”评审。</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（5）公布技术商务评审情况，开启“报价文件”</w:t>
      </w:r>
      <w:r>
        <w:rPr>
          <w:rFonts w:hint="eastAsia" w:ascii="宋体" w:hAnsi="宋体" w:eastAsia="宋体" w:cs="宋体"/>
          <w:strike w:val="0"/>
          <w:dstrike w:val="0"/>
          <w:color w:val="auto"/>
          <w:highlight w:val="none"/>
          <w:lang w:val="en-US" w:eastAsia="zh-CN"/>
        </w:rPr>
        <w:t>，投标人对投标报价进行在线确认</w:t>
      </w:r>
      <w:r>
        <w:rPr>
          <w:rFonts w:hint="eastAsia" w:ascii="宋体" w:hAnsi="宋体" w:eastAsia="宋体" w:cs="宋体"/>
          <w:strike w:val="0"/>
          <w:color w:val="auto"/>
          <w:highlight w:val="none"/>
          <w:lang w:val="en-US" w:eastAsia="zh-CN"/>
        </w:rPr>
        <w:t>。投标人对报价信息不予确认的不影响后续评标过程。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（6）对“报价文件”进行评审，计算价格分。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（7）汇总技术商务分、价格分，根据总得分排序推荐确定中标候选人，公布评审结果。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注：如政采云平台对电子开标及评审程序有调整的，按调整后的程序操作。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开评标期间，投标供应商应</w:t>
      </w:r>
      <w:r>
        <w:rPr>
          <w:rFonts w:hint="eastAsia" w:ascii="宋体" w:hAnsi="宋体" w:eastAsia="宋体" w:cs="宋体"/>
          <w:b w:val="0"/>
          <w:bCs w:val="0"/>
          <w:color w:val="auto"/>
          <w:sz w:val="21"/>
          <w:szCs w:val="21"/>
          <w:highlight w:val="none"/>
          <w:lang w:val="en-US" w:eastAsia="zh-CN"/>
        </w:rPr>
        <w:t>关注</w:t>
      </w:r>
      <w:r>
        <w:rPr>
          <w:rFonts w:hint="eastAsia" w:ascii="宋体" w:hAnsi="宋体" w:eastAsia="宋体" w:cs="宋体"/>
          <w:b w:val="0"/>
          <w:bCs w:val="0"/>
          <w:color w:val="auto"/>
          <w:sz w:val="21"/>
          <w:szCs w:val="21"/>
          <w:highlight w:val="none"/>
        </w:rPr>
        <w:t>政采云平台上的指令信息和手机短信</w:t>
      </w:r>
      <w:r>
        <w:rPr>
          <w:rFonts w:hint="eastAsia" w:ascii="宋体" w:hAnsi="宋体" w:eastAsia="宋体" w:cs="宋体"/>
          <w:b w:val="0"/>
          <w:bCs w:val="0"/>
          <w:color w:val="auto"/>
          <w:sz w:val="21"/>
          <w:szCs w:val="21"/>
          <w:highlight w:val="none"/>
          <w:lang w:val="en-US" w:eastAsia="zh-CN"/>
        </w:rPr>
        <w:t>并及时处理，否则由此</w:t>
      </w:r>
      <w:r>
        <w:rPr>
          <w:rFonts w:hint="eastAsia" w:ascii="宋体" w:hAnsi="宋体" w:eastAsia="宋体" w:cs="宋体"/>
          <w:b w:val="0"/>
          <w:bCs w:val="0"/>
          <w:color w:val="auto"/>
          <w:sz w:val="21"/>
          <w:szCs w:val="21"/>
          <w:highlight w:val="none"/>
          <w:lang w:eastAsia="zh-CN"/>
        </w:rPr>
        <w:t>产生的风险由投标人自行承担。</w:t>
      </w:r>
    </w:p>
    <w:p>
      <w:pPr>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20</w:t>
      </w:r>
      <w:r>
        <w:rPr>
          <w:rFonts w:hint="eastAsia" w:ascii="宋体" w:hAnsi="宋体" w:eastAsia="宋体" w:cs="宋体"/>
          <w:b/>
          <w:bCs/>
          <w:color w:val="auto"/>
          <w:highlight w:val="none"/>
          <w:lang w:val="en-US" w:eastAsia="zh-CN"/>
        </w:rPr>
        <w:t>、投标文件解密</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.1采购代理机构宣布开标后，将通过政采云平台发出解密指令，投标人登录政采</w:t>
      </w:r>
      <w:r>
        <w:rPr>
          <w:rFonts w:hint="eastAsia" w:ascii="宋体" w:hAnsi="宋体" w:eastAsia="宋体" w:cs="宋体"/>
          <w:color w:val="auto"/>
          <w:highlight w:val="none"/>
          <w:lang w:val="en-US" w:eastAsia="zh-CN"/>
        </w:rPr>
        <w:t>云平台并</w:t>
      </w:r>
      <w:r>
        <w:rPr>
          <w:rFonts w:hint="eastAsia" w:ascii="宋体" w:hAnsi="宋体" w:eastAsia="宋体" w:cs="宋体"/>
          <w:color w:val="auto"/>
          <w:highlight w:val="none"/>
          <w:lang w:val="en-US" w:eastAsia="zh-CN"/>
        </w:rPr>
        <w:t>使用</w:t>
      </w:r>
      <w:r>
        <w:rPr>
          <w:rFonts w:hint="eastAsia" w:ascii="宋体" w:hAnsi="宋体" w:eastAsia="宋体" w:cs="宋体"/>
          <w:color w:val="auto"/>
          <w:highlight w:val="none"/>
        </w:rPr>
        <w:t>CA</w:t>
      </w:r>
      <w:r>
        <w:rPr>
          <w:rFonts w:hint="eastAsia" w:ascii="宋体" w:hAnsi="宋体" w:eastAsia="宋体" w:cs="宋体"/>
          <w:color w:val="auto"/>
          <w:highlight w:val="none"/>
          <w:lang w:val="en-US" w:eastAsia="zh-CN"/>
        </w:rPr>
        <w:t>数字</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对加密的电子投标文件进行在线解密。</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.2解密电子投标文件的时间为解密指令发出后30分钟内。解密成功的，备份电子投标文件自动失效。若在规定时间内无法解密或解密失败，</w:t>
      </w:r>
      <w:r>
        <w:rPr>
          <w:rFonts w:hint="eastAsia" w:ascii="宋体" w:hAnsi="宋体" w:eastAsia="宋体" w:cs="宋体"/>
          <w:color w:val="auto"/>
          <w:highlight w:val="none"/>
          <w:lang w:val="en-US" w:eastAsia="zh-CN"/>
        </w:rPr>
        <w:t>此时启用</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，若备份投标文件仍无法使用，则视为</w:t>
      </w:r>
      <w:r>
        <w:rPr>
          <w:rFonts w:hint="eastAsia" w:ascii="宋体" w:hAnsi="宋体" w:eastAsia="宋体" w:cs="宋体"/>
          <w:color w:val="auto"/>
          <w:highlight w:val="none"/>
          <w:lang w:val="en-US" w:eastAsia="zh-CN"/>
        </w:rPr>
        <w:t>无效</w:t>
      </w:r>
      <w:r>
        <w:rPr>
          <w:rFonts w:hint="eastAsia" w:ascii="宋体" w:hAnsi="宋体" w:eastAsia="宋体" w:cs="宋体"/>
          <w:color w:val="auto"/>
          <w:highlight w:val="none"/>
        </w:rPr>
        <w:t>投标。</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电子投标文件在解密前处于保密状态。解密成功后，“资格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文件”、“技术商务文件”、“报价文件”各自处于数据隔离状态，</w:t>
      </w:r>
      <w:r>
        <w:rPr>
          <w:rFonts w:hint="eastAsia" w:ascii="宋体" w:hAnsi="宋体" w:cs="宋体"/>
          <w:color w:val="auto"/>
          <w:highlight w:val="none"/>
          <w:lang w:val="en-US" w:eastAsia="zh-CN"/>
        </w:rPr>
        <w:t>文件的内容</w:t>
      </w:r>
      <w:r>
        <w:rPr>
          <w:rFonts w:hint="eastAsia" w:ascii="宋体" w:hAnsi="宋体" w:eastAsia="宋体" w:cs="宋体"/>
          <w:color w:val="auto"/>
          <w:highlight w:val="none"/>
        </w:rPr>
        <w:t>只有</w:t>
      </w:r>
      <w:r>
        <w:rPr>
          <w:rFonts w:hint="eastAsia" w:ascii="宋体" w:hAnsi="宋体" w:cs="宋体"/>
          <w:color w:val="auto"/>
          <w:highlight w:val="none"/>
          <w:lang w:val="en-US" w:eastAsia="zh-CN"/>
        </w:rPr>
        <w:t>进行到相应的评审</w:t>
      </w:r>
      <w:r>
        <w:rPr>
          <w:rFonts w:hint="eastAsia" w:ascii="宋体" w:hAnsi="宋体" w:eastAsia="宋体" w:cs="宋体"/>
          <w:color w:val="auto"/>
          <w:highlight w:val="none"/>
        </w:rPr>
        <w:t>环节时可见。</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lang w:val="en-US" w:eastAsia="zh-CN"/>
        </w:rPr>
        <w:t>、评标委员会</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.1采购人和采购代理机构根据采购项目的内容特点按照规定组建评标委员会。</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lang w:val="en-US" w:eastAsia="zh-CN"/>
        </w:rPr>
        <w:t>、对投标文件的评审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开标后，采购人或者采购代理机构对投标人的资格进行审查。审查内容为投标人提供的资格证明</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是否齐全并满足招标文件的要求。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评标委员会对符合资格的投标人的投标文件进行符合性审查，以确定其是否满足招标文件的实质性要求。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评标委员会对具备实质性响应的投标文件进行评估和比较。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评标委员会对投标文件的判定，只依据投标文件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包括样品、演示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的本身内容，不依据开标后的任何外来证明材料。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评标办法及评分标准见本招标文件第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部分评标办法及评分标准。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val="en-US" w:eastAsia="zh-CN"/>
        </w:rPr>
        <w:t>、投标文件的澄清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评审期间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应</w:t>
      </w:r>
      <w:r>
        <w:rPr>
          <w:rFonts w:hint="eastAsia" w:ascii="宋体" w:hAnsi="宋体" w:eastAsia="宋体" w:cs="宋体"/>
          <w:color w:val="auto"/>
          <w:highlight w:val="none"/>
        </w:rPr>
        <w:t>指派技术（商务）人员及法定代表人（或全权代表）</w:t>
      </w:r>
      <w:r>
        <w:rPr>
          <w:rFonts w:hint="eastAsia" w:ascii="宋体" w:hAnsi="宋体" w:eastAsia="宋体" w:cs="宋体"/>
          <w:color w:val="auto"/>
          <w:highlight w:val="none"/>
          <w:lang w:val="en-US" w:eastAsia="zh-CN"/>
        </w:rPr>
        <w:t>在规定的时间内</w:t>
      </w:r>
      <w:r>
        <w:rPr>
          <w:rFonts w:hint="eastAsia" w:ascii="宋体" w:hAnsi="宋体" w:eastAsia="宋体" w:cs="宋体"/>
          <w:color w:val="auto"/>
          <w:highlight w:val="none"/>
        </w:rPr>
        <w:t>进行澄清</w:t>
      </w:r>
      <w:r>
        <w:rPr>
          <w:rFonts w:hint="eastAsia" w:ascii="宋体" w:hAnsi="宋体" w:eastAsia="宋体" w:cs="宋体"/>
          <w:color w:val="auto"/>
          <w:highlight w:val="none"/>
          <w:lang w:val="en-US" w:eastAsia="zh-CN"/>
        </w:rPr>
        <w:t>和说明</w:t>
      </w:r>
      <w:r>
        <w:rPr>
          <w:rFonts w:hint="eastAsia" w:ascii="宋体" w:hAnsi="宋体" w:eastAsia="宋体" w:cs="宋体"/>
          <w:color w:val="auto"/>
          <w:highlight w:val="none"/>
        </w:rPr>
        <w:t>，否则</w:t>
      </w:r>
      <w:r>
        <w:rPr>
          <w:rFonts w:hint="eastAsia" w:ascii="宋体" w:hAnsi="宋体" w:eastAsia="宋体" w:cs="宋体"/>
          <w:color w:val="auto"/>
          <w:szCs w:val="20"/>
          <w:highlight w:val="none"/>
        </w:rPr>
        <w:t>将被视作自动放弃</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由此造成的后果由投标人自行承担</w:t>
      </w:r>
      <w:r>
        <w:rPr>
          <w:rFonts w:hint="eastAsia" w:ascii="宋体" w:hAnsi="宋体" w:eastAsia="宋体" w:cs="宋体"/>
          <w:color w:val="auto"/>
          <w:szCs w:val="20"/>
          <w:highlight w:val="none"/>
        </w:rPr>
        <w:t>。</w:t>
      </w:r>
    </w:p>
    <w:p>
      <w:pPr>
        <w:spacing w:line="360" w:lineRule="auto"/>
        <w:rPr>
          <w:rFonts w:hint="eastAsia" w:ascii="宋体" w:hAnsi="宋体" w:eastAsia="宋体" w:cs="宋体"/>
          <w:color w:val="auto"/>
          <w:szCs w:val="20"/>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.3对投标文件的</w:t>
      </w:r>
      <w:r>
        <w:rPr>
          <w:rFonts w:hint="eastAsia" w:ascii="宋体" w:hAnsi="宋体" w:eastAsia="宋体" w:cs="宋体"/>
          <w:color w:val="auto"/>
          <w:highlight w:val="none"/>
        </w:rPr>
        <w:t>澄清、说明</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补正</w:t>
      </w:r>
      <w:r>
        <w:rPr>
          <w:rFonts w:hint="eastAsia" w:ascii="宋体" w:hAnsi="宋体" w:eastAsia="宋体" w:cs="宋体"/>
          <w:color w:val="auto"/>
          <w:highlight w:val="none"/>
          <w:lang w:val="en-US" w:eastAsia="zh-CN"/>
        </w:rPr>
        <w:t>将通过政采云平台在线询标方式或线下书面形式进行。</w:t>
      </w:r>
      <w:r>
        <w:rPr>
          <w:rFonts w:hint="eastAsia" w:ascii="宋体" w:hAnsi="宋体" w:eastAsia="宋体" w:cs="宋体"/>
          <w:color w:val="auto"/>
          <w:highlight w:val="none"/>
        </w:rPr>
        <w:t>投标人的澄清、说明或补正</w:t>
      </w:r>
      <w:r>
        <w:rPr>
          <w:rFonts w:hint="eastAsia" w:ascii="宋体" w:hAnsi="宋体" w:eastAsia="宋体" w:cs="宋体"/>
          <w:color w:val="auto"/>
          <w:highlight w:val="none"/>
          <w:lang w:val="en-US" w:eastAsia="zh-CN"/>
        </w:rPr>
        <w:t>须加盖公章（CA电子签章）或由</w:t>
      </w:r>
      <w:r>
        <w:rPr>
          <w:rFonts w:hint="eastAsia" w:ascii="宋体" w:hAnsi="宋体" w:eastAsia="宋体" w:cs="宋体"/>
          <w:color w:val="auto"/>
          <w:highlight w:val="none"/>
        </w:rPr>
        <w:t>法定代表人（或全权代表）</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rPr>
        <w:t>该澄清、说明或者补正将作为投标文件的一部分。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投标人的澄清、说明或者补正不得超出投标文件的范围或者改变投标文件的实质性内容。不接受投标人提出的主动澄清。</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lang w:val="en-US" w:eastAsia="zh-CN"/>
        </w:rPr>
        <w:t>、废标情形</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.1投标人不足3家未能开标的</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.2经资格审查，合格投标人不足3家未能评标的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.3在评标过程中，评标委员会发现有下列情形之一的，应对采购项目予以废标：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（1）有效投标人不足3家的；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（3）因重大变故，采购任务取消的。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.4废标后，采购代理机构</w:t>
      </w:r>
      <w:r>
        <w:rPr>
          <w:rFonts w:hint="eastAsia" w:ascii="宋体" w:hAnsi="宋体" w:eastAsia="宋体" w:cs="宋体"/>
          <w:color w:val="auto"/>
          <w:highlight w:val="none"/>
          <w:lang w:val="en-US" w:eastAsia="zh-CN"/>
        </w:rPr>
        <w:t>通过公告的形式将</w:t>
      </w:r>
      <w:r>
        <w:rPr>
          <w:rFonts w:hint="eastAsia" w:ascii="宋体" w:hAnsi="宋体" w:eastAsia="宋体" w:cs="宋体"/>
          <w:color w:val="auto"/>
          <w:highlight w:val="none"/>
        </w:rPr>
        <w:t>废标结果通知所有投标人。</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val="en-US" w:eastAsia="zh-CN"/>
        </w:rPr>
        <w:t>、评审监控及保密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.1本项目评标过程实行全程录音、录像监控，</w:t>
      </w:r>
      <w:r>
        <w:rPr>
          <w:rFonts w:hint="eastAsia" w:ascii="宋体" w:hAnsi="宋体" w:eastAsia="宋体" w:cs="宋体"/>
          <w:color w:val="auto"/>
          <w:highlight w:val="none"/>
          <w:lang w:val="en-US" w:eastAsia="zh-CN"/>
        </w:rPr>
        <w:t>任何人</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rPr>
        <w:t>评标过程中所进行的试图影响</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结果的任何不公正活动</w:t>
      </w:r>
      <w:r>
        <w:rPr>
          <w:rFonts w:hint="eastAsia" w:ascii="宋体" w:hAnsi="宋体" w:eastAsia="宋体" w:cs="宋体"/>
          <w:color w:val="auto"/>
          <w:highlight w:val="none"/>
          <w:lang w:val="en-US" w:eastAsia="zh-CN"/>
        </w:rPr>
        <w:t>将受到监督</w:t>
      </w:r>
      <w:r>
        <w:rPr>
          <w:rFonts w:hint="eastAsia" w:ascii="宋体" w:hAnsi="宋体" w:eastAsia="宋体" w:cs="宋体"/>
          <w:color w:val="auto"/>
          <w:highlight w:val="none"/>
        </w:rPr>
        <w:t>，并承担相应的法律责任。</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相关当事人</w:t>
      </w:r>
      <w:r>
        <w:rPr>
          <w:rFonts w:hint="eastAsia" w:ascii="宋体" w:hAnsi="宋体" w:eastAsia="宋体" w:cs="宋体"/>
          <w:color w:val="auto"/>
          <w:highlight w:val="none"/>
        </w:rPr>
        <w:t>不得泄露评审情况以及评审过程中获悉的国家秘密、商业秘密。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、中止电子交易的情形</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采购过程中出现以下情形，导致电子交易平台无法正常运行，或者无法保证电子交易的公平、公正和安全时，采购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机构可中止电子交易活动：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）电子交易平台发生故障而无法登录访问的；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）电子交易平台应用或数据库出现错误，不能进行正常操作的；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）电子交易平台发现严重安全漏洞，有潜在泄密危险的；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）病毒发作导致不能进行正常操作的；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出现上述情形的，采购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机构可以待上述情形消除后继续组织电子交易活动，也可以决定某些环节以纸质形式进行；影响或可能影响采购公平、公正性的，应当重新采购。</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F、授予合同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授予合同标准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.1采购人将依法把合同授予最佳投标者，具体方法见本招标文件第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部分评标办法及评分标准。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中标通知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.1中标人确定之日起后2个工作日内，采购代理机构将在指定的政府采购信息发布媒体上公告</w:t>
      </w:r>
      <w:r>
        <w:rPr>
          <w:rFonts w:hint="eastAsia" w:ascii="宋体" w:hAnsi="宋体" w:eastAsia="宋体" w:cs="宋体"/>
          <w:color w:val="auto"/>
          <w:sz w:val="21"/>
          <w:szCs w:val="21"/>
          <w:highlight w:val="none"/>
        </w:rPr>
        <w:t>中标结果，同时向中标人发出中标通知书。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.2中标通知书对采购人和中标供应商具有同等法律效力。中标通知书发出以后，采购人改变中标结果或者中标供应商放弃中标，应当承担相应的法律责任，出现争议的，报财政部门处理。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中标通知书是合同的组成部分。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签订合同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.1中标人在收到中标通知书后，应按照规定的时间、地点，与采购人签订采购合同。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.2招标文件、补充文件、投标文件及评标过程中的有关澄清、说明或者补正文件均为签订合同的依据。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.3采购人</w:t>
      </w:r>
      <w:r>
        <w:rPr>
          <w:rFonts w:hint="eastAsia" w:ascii="宋体" w:hAnsi="宋体" w:cs="宋体"/>
          <w:color w:val="auto"/>
          <w:sz w:val="21"/>
          <w:szCs w:val="21"/>
          <w:highlight w:val="none"/>
          <w:lang w:val="en-US" w:eastAsia="zh-CN"/>
        </w:rPr>
        <w:t>或中标人</w:t>
      </w:r>
      <w:r>
        <w:rPr>
          <w:rFonts w:hint="eastAsia" w:ascii="宋体" w:hAnsi="宋体" w:eastAsia="宋体" w:cs="宋体"/>
          <w:color w:val="auto"/>
          <w:sz w:val="21"/>
          <w:szCs w:val="21"/>
          <w:highlight w:val="none"/>
        </w:rPr>
        <w:t>不得</w:t>
      </w:r>
      <w:r>
        <w:rPr>
          <w:rFonts w:hint="eastAsia" w:ascii="宋体" w:hAnsi="宋体" w:cs="宋体"/>
          <w:color w:val="auto"/>
          <w:sz w:val="21"/>
          <w:szCs w:val="21"/>
          <w:highlight w:val="none"/>
          <w:lang w:val="en-US" w:eastAsia="zh-CN"/>
        </w:rPr>
        <w:t>向另一方</w:t>
      </w:r>
      <w:r>
        <w:rPr>
          <w:rFonts w:hint="eastAsia" w:ascii="宋体" w:hAnsi="宋体" w:eastAsia="宋体" w:cs="宋体"/>
          <w:color w:val="auto"/>
          <w:sz w:val="21"/>
          <w:szCs w:val="21"/>
          <w:highlight w:val="none"/>
        </w:rPr>
        <w:t>提出超出</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及投标响应文件</w:t>
      </w:r>
      <w:r>
        <w:rPr>
          <w:rFonts w:hint="eastAsia" w:ascii="宋体" w:hAnsi="宋体" w:eastAsia="宋体" w:cs="宋体"/>
          <w:color w:val="auto"/>
          <w:sz w:val="21"/>
          <w:szCs w:val="21"/>
          <w:highlight w:val="none"/>
        </w:rPr>
        <w:t>以外的任何要求作为签订合同的条件，不得订立背离</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文件确定的合同文本以及采购标的、规格型号、采购金额、采购数量、技术和服务等实质性内容的协议。如果中标人不能按照招标文件要求及其投标文件的承诺签订合同或其投标文件与事实不符，</w:t>
      </w:r>
      <w:r>
        <w:rPr>
          <w:rFonts w:hint="eastAsia" w:ascii="宋体" w:hAnsi="宋体" w:eastAsia="宋体" w:cs="宋体"/>
          <w:color w:val="auto"/>
          <w:sz w:val="21"/>
          <w:szCs w:val="21"/>
          <w:highlight w:val="none"/>
          <w:lang w:val="en-US" w:eastAsia="zh-CN"/>
        </w:rPr>
        <w:t>影响</w:t>
      </w:r>
      <w:r>
        <w:rPr>
          <w:rFonts w:hint="eastAsia" w:ascii="宋体" w:hAnsi="宋体" w:eastAsia="宋体" w:cs="宋体"/>
          <w:color w:val="auto"/>
          <w:sz w:val="21"/>
          <w:szCs w:val="21"/>
          <w:highlight w:val="none"/>
        </w:rPr>
        <w:t>采购合同的实施，</w:t>
      </w:r>
      <w:r>
        <w:rPr>
          <w:rFonts w:hint="eastAsia" w:ascii="宋体" w:hAnsi="宋体" w:eastAsia="宋体" w:cs="宋体"/>
          <w:color w:val="auto"/>
          <w:sz w:val="21"/>
          <w:szCs w:val="21"/>
          <w:highlight w:val="none"/>
          <w:lang w:val="en-US" w:eastAsia="zh-CN"/>
        </w:rPr>
        <w:t>损害采购人利益，</w:t>
      </w:r>
      <w:r>
        <w:rPr>
          <w:rFonts w:hint="eastAsia" w:ascii="宋体" w:hAnsi="宋体" w:eastAsia="宋体" w:cs="宋体"/>
          <w:color w:val="auto"/>
          <w:sz w:val="21"/>
          <w:szCs w:val="21"/>
          <w:highlight w:val="none"/>
        </w:rPr>
        <w:t>采购人有权</w:t>
      </w:r>
      <w:r>
        <w:rPr>
          <w:rFonts w:hint="eastAsia" w:ascii="宋体" w:hAnsi="宋体" w:cs="宋体"/>
          <w:color w:val="auto"/>
          <w:sz w:val="21"/>
          <w:szCs w:val="21"/>
          <w:highlight w:val="none"/>
          <w:lang w:val="en-US" w:eastAsia="zh-CN"/>
        </w:rPr>
        <w:t>拒绝签订</w:t>
      </w:r>
      <w:r>
        <w:rPr>
          <w:rFonts w:hint="eastAsia" w:ascii="宋体" w:hAnsi="宋体" w:eastAsia="宋体" w:cs="宋体"/>
          <w:color w:val="auto"/>
          <w:sz w:val="21"/>
          <w:szCs w:val="21"/>
          <w:highlight w:val="none"/>
        </w:rPr>
        <w:t>合同，并报采购监督部门处理</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.4自采购合同签订之日起2个工作日内，本项目政府采购合同将在财政部指定的媒体上公告，</w:t>
      </w:r>
      <w:r>
        <w:rPr>
          <w:rFonts w:hint="eastAsia" w:ascii="宋体" w:hAnsi="宋体" w:eastAsia="宋体" w:cs="宋体"/>
          <w:color w:val="auto"/>
          <w:highlight w:val="none"/>
        </w:rPr>
        <w:t>但政府采购合同中涉及国家秘密、商业秘密的内容除外。</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.5签约后即为招标结束。采购代理机构不退回任何文件资料。</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G、</w:t>
      </w:r>
      <w:r>
        <w:rPr>
          <w:rFonts w:hint="eastAsia" w:ascii="宋体" w:hAnsi="宋体" w:eastAsia="宋体" w:cs="宋体"/>
          <w:b/>
          <w:bCs/>
          <w:color w:val="auto"/>
          <w:sz w:val="32"/>
          <w:highlight w:val="none"/>
          <w:lang w:val="en-US" w:eastAsia="zh-CN"/>
        </w:rPr>
        <w:t>询问、</w:t>
      </w:r>
      <w:r>
        <w:rPr>
          <w:rFonts w:hint="eastAsia" w:ascii="宋体" w:hAnsi="宋体" w:eastAsia="宋体" w:cs="宋体"/>
          <w:b/>
          <w:bCs/>
          <w:color w:val="auto"/>
          <w:sz w:val="32"/>
          <w:highlight w:val="none"/>
        </w:rPr>
        <w:t>质疑和投诉</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询问</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.1供应商对政府采购活动有疑问的，可以向采购人或</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提出询问。</w:t>
      </w:r>
      <w:r>
        <w:rPr>
          <w:rFonts w:hint="eastAsia" w:ascii="宋体" w:hAnsi="宋体" w:eastAsia="宋体" w:cs="宋体"/>
          <w:color w:val="auto"/>
          <w:sz w:val="21"/>
          <w:szCs w:val="21"/>
          <w:highlight w:val="none"/>
          <w:lang w:val="en-US" w:eastAsia="zh-CN"/>
        </w:rPr>
        <w:t>询问可以采用口头或书面方式提出，当采购人或采购代理机构要求采用书面形式时，应当采用书面形式。</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val="en-US" w:eastAsia="zh-CN"/>
        </w:rPr>
        <w:t>采购代理机构应当</w:t>
      </w:r>
      <w:r>
        <w:rPr>
          <w:rFonts w:hint="eastAsia" w:ascii="宋体" w:hAnsi="宋体" w:eastAsia="宋体" w:cs="宋体"/>
          <w:color w:val="auto"/>
          <w:sz w:val="21"/>
          <w:szCs w:val="21"/>
          <w:highlight w:val="none"/>
        </w:rPr>
        <w:t>在3个工作日内对供应商依法提出的询问作出答复，但答复的内容不涉及商业秘密。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.1供应商认为采购文件、采购过程、中标或成交结果使自己的合法权益受到损害的，可以在知道或者应知其权益受到损害之日起7个工作日内，以书面形式向采购人、采购代理机构提出质疑。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供应商应知其权益受到损害之日，是指：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（1）对可以质疑的采购文件提出质疑的，为收到采购文件之日或者采购文件公告期限届满之日（公告期限届满后获取采购文件的，以公告期限届满之日为准）；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（3）对中标或者成交结果提出质疑的，为中标或者成交结果公告期限届满之日。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供应商针对同一采购程序环节的质疑须一次性提出。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.2质疑人应将</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原件送达被质疑人。</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应明确阐述采购文件、采购过程、中标或成交结果中使自己合法权益受到损害的实质性内容，提供相关事实、依据和证据及其来源或线索，便于有关单位调查、答复和处理。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应当包括下列主要内容：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（1）供应商的名称、地址、邮编、联系人及联系电话；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（2）质疑项目的名称、编号；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（3）具体、明确的质疑事项和与质疑事项相关的请求；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（4）事实依据；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（5）必要的法律依据；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（6）提出质疑的日期。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政府采购供应商质疑函范本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应当署名。供应商为自然人的，应当由本人签字；供应商为法人或者其他组织的，应当由法定代表人、主要负责人，或者其授权代表签字或者盖章，并加盖公章。</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.5采购人、采购代理机构不得拒收质疑供应商在法定质疑期内发出的质疑函，应当在收到质疑函后7个工作日内作出答复，但答复的内容不涉及商业秘密。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.1对采购人、采购代理机构的质疑答复不满意，或者采购人、采购代理机构未在规定期限内作出答复的，供应商可以在答复期满后15个工作日内向同级财政部门提起投诉。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w:t>
      </w:r>
      <w:r>
        <w:rPr>
          <w:rFonts w:hint="eastAsia" w:ascii="宋体" w:hAnsi="宋体" w:eastAsia="宋体" w:cs="宋体"/>
          <w:color w:val="auto"/>
          <w:sz w:val="21"/>
          <w:szCs w:val="21"/>
          <w:highlight w:val="none"/>
          <w:lang w:val="en-US" w:eastAsia="zh-CN"/>
        </w:rPr>
        <w:t>投诉书</w:t>
      </w:r>
      <w:r>
        <w:rPr>
          <w:rFonts w:hint="eastAsia" w:ascii="宋体" w:hAnsi="宋体" w:eastAsia="宋体" w:cs="宋体"/>
          <w:color w:val="auto"/>
          <w:sz w:val="21"/>
          <w:szCs w:val="21"/>
          <w:highlight w:val="none"/>
        </w:rPr>
        <w:t>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部分  项目内容及要求</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1、采购内容</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新碶高级中学多媒体教学设备</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BLZFCG2025027</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详见本部分附件，供应商提供本项目采购范围内的货物和服务所需的一切费用均包含在报价中。</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3、项目说明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3.1本招标文件所提出的项目技术标准是基本的技术标准和使用功能，并未规定所有的技术要求和适用标准，供应商应提供一套满足所列标准要求的高质量的产品及相应服务。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3.2本次招标项目应按国际标准或专业标准执行，最后按照国家有关规定及合同约定进行验收。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3.3本项目所有工作均由中标供应商负总责任。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3.4本项目要求使用的标准如与中标供应商所执行标准发生矛盾时，按较高标准执行。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3.5具体要求见本部分附件。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4、交付地点与时间要求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4.1本项目交付地点：</w:t>
      </w:r>
      <w:r>
        <w:rPr>
          <w:rFonts w:hint="eastAsia" w:ascii="宋体" w:hAnsi="宋体" w:eastAsia="宋体" w:cs="宋体"/>
          <w:color w:val="auto"/>
          <w:sz w:val="21"/>
          <w:szCs w:val="21"/>
          <w:highlight w:val="none"/>
        </w:rPr>
        <w:t>北仑区，采购人指定地点。</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4.2本项目交付期限：</w:t>
      </w:r>
      <w:r>
        <w:rPr>
          <w:rFonts w:hint="eastAsia" w:ascii="宋体" w:hAnsi="宋体" w:eastAsia="宋体" w:cs="宋体"/>
          <w:color w:val="auto"/>
          <w:sz w:val="21"/>
          <w:szCs w:val="21"/>
          <w:highlight w:val="none"/>
        </w:rPr>
        <w:t>合同签订后</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个月内完成安装、调试并交付使用。</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4.3本项目质保期限：</w:t>
      </w:r>
      <w:r>
        <w:rPr>
          <w:rFonts w:hint="eastAsia" w:ascii="宋体" w:hAnsi="宋体" w:eastAsia="宋体" w:cs="宋体"/>
          <w:b w:val="0"/>
          <w:bCs w:val="0"/>
          <w:color w:val="auto"/>
          <w:sz w:val="21"/>
          <w:szCs w:val="21"/>
          <w:highlight w:val="none"/>
        </w:rPr>
        <w:t>没有特别说明时，产品质保期为</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年，质保期自项目正式验收合格之日起计算</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具体要求详见本部分附件。</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4.4本项目服务响应要求：</w:t>
      </w:r>
      <w:r>
        <w:rPr>
          <w:rFonts w:hint="eastAsia" w:ascii="宋体" w:hAnsi="宋体" w:eastAsia="宋体" w:cs="宋体"/>
          <w:b w:val="0"/>
          <w:bCs w:val="0"/>
          <w:color w:val="auto"/>
          <w:sz w:val="21"/>
          <w:szCs w:val="21"/>
          <w:highlight w:val="none"/>
        </w:rPr>
        <w:t>在接到用户的故障维修电话后</w:t>
      </w:r>
      <w:r>
        <w:rPr>
          <w:rFonts w:hint="eastAsia" w:ascii="宋体" w:hAnsi="宋体" w:cs="宋体"/>
          <w:b w:val="0"/>
          <w:bCs w:val="0"/>
          <w:color w:val="auto"/>
          <w:sz w:val="21"/>
          <w:szCs w:val="21"/>
          <w:highlight w:val="none"/>
          <w:lang w:val="en-US" w:eastAsia="zh-CN"/>
        </w:rPr>
        <w:t>立即</w:t>
      </w:r>
      <w:r>
        <w:rPr>
          <w:rFonts w:hint="eastAsia" w:ascii="宋体" w:hAnsi="宋体" w:eastAsia="宋体" w:cs="宋体"/>
          <w:b w:val="0"/>
          <w:bCs w:val="0"/>
          <w:color w:val="auto"/>
          <w:sz w:val="21"/>
          <w:szCs w:val="21"/>
          <w:highlight w:val="none"/>
        </w:rPr>
        <w:t>响应，简单故障能通过电话予以解决，如用户提出需要上门服务，维修人员应在4小时内赶到现场，并在</w:t>
      </w:r>
      <w:r>
        <w:rPr>
          <w:rFonts w:hint="eastAsia" w:ascii="宋体" w:hAnsi="宋体" w:cs="宋体"/>
          <w:b w:val="0"/>
          <w:bCs w:val="0"/>
          <w:color w:val="auto"/>
          <w:sz w:val="21"/>
          <w:szCs w:val="21"/>
          <w:highlight w:val="none"/>
          <w:lang w:val="en-US" w:eastAsia="zh-CN"/>
        </w:rPr>
        <w:t>24</w:t>
      </w:r>
      <w:r>
        <w:rPr>
          <w:rFonts w:hint="eastAsia" w:ascii="宋体" w:hAnsi="宋体" w:eastAsia="宋体" w:cs="宋体"/>
          <w:b w:val="0"/>
          <w:bCs w:val="0"/>
          <w:color w:val="auto"/>
          <w:sz w:val="21"/>
          <w:szCs w:val="21"/>
          <w:highlight w:val="none"/>
        </w:rPr>
        <w:t>小时内解决问题。如在规定时间内不能解决问题，应提供同规格的替代设备给用户代用，直至设备故障修复。</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5、投标响应要求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以下为投标人在投标文件中需要包含的最基本内容。</w:t>
      </w:r>
      <w:r>
        <w:rPr>
          <w:rFonts w:hint="eastAsia" w:ascii="宋体" w:hAnsi="宋体" w:eastAsia="宋体" w:cs="宋体"/>
          <w:color w:val="auto"/>
          <w:sz w:val="21"/>
          <w:szCs w:val="21"/>
          <w:highlight w:val="none"/>
        </w:rPr>
        <w:t>若投标人提供的技术（服务）方案、设备（材料）性能参数与采购人要求不一致，</w:t>
      </w:r>
      <w:r>
        <w:rPr>
          <w:rFonts w:hint="eastAsia" w:ascii="宋体" w:hAnsi="宋体" w:eastAsia="宋体" w:cs="宋体"/>
          <w:color w:val="auto"/>
          <w:sz w:val="21"/>
          <w:szCs w:val="21"/>
          <w:highlight w:val="none"/>
        </w:rPr>
        <w:t>必须在技术及服务条款偏离表中说明。</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5.1投标货物说明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5.1.1投标货物清单。根据采购需求，详细列出符合要求的货物配置情况及各项指标对应情况。</w:t>
      </w:r>
      <w:r>
        <w:rPr>
          <w:rFonts w:hint="eastAsia" w:ascii="宋体" w:hAnsi="宋体" w:cs="宋体"/>
          <w:color w:val="auto"/>
          <w:sz w:val="21"/>
          <w:szCs w:val="21"/>
          <w:highlight w:val="none"/>
          <w:lang w:eastAsia="zh-CN"/>
        </w:rPr>
        <w:t>格式参照第六部分格式</w:t>
      </w:r>
      <w:r>
        <w:rPr>
          <w:rFonts w:hint="eastAsia" w:ascii="宋体" w:hAnsi="宋体" w:eastAsia="宋体" w:cs="宋体"/>
          <w:color w:val="auto"/>
          <w:sz w:val="21"/>
          <w:szCs w:val="21"/>
          <w:highlight w:val="none"/>
        </w:rPr>
        <w:t>：投标货物（服务）清单</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货物</w:t>
      </w:r>
      <w:r>
        <w:rPr>
          <w:rFonts w:hint="eastAsia" w:ascii="宋体" w:hAnsi="宋体" w:cs="宋体"/>
          <w:color w:val="auto"/>
          <w:sz w:val="21"/>
          <w:szCs w:val="21"/>
          <w:highlight w:val="none"/>
          <w:lang w:eastAsia="zh-CN"/>
        </w:rPr>
        <w:t>性能技术指标对照表。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5.1.2投标货物说明。供应商应详细描述货物的特点和性能、技术规格</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并提供资料进行说明。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5.1.3设备主要部件。说明货物的主要部件组成，详细说明其特点和性能。同时采用清单方式说明，并提供主要部件的原产地。</w:t>
      </w:r>
      <w:r>
        <w:rPr>
          <w:rFonts w:hint="eastAsia" w:ascii="宋体" w:hAnsi="宋体" w:cs="宋体"/>
          <w:color w:val="auto"/>
          <w:sz w:val="21"/>
          <w:szCs w:val="21"/>
          <w:highlight w:val="none"/>
          <w:lang w:eastAsia="zh-CN"/>
        </w:rPr>
        <w:t>格式参照第六部分格式</w:t>
      </w:r>
      <w:r>
        <w:rPr>
          <w:rFonts w:hint="eastAsia" w:ascii="宋体" w:hAnsi="宋体" w:eastAsia="宋体" w:cs="宋体"/>
          <w:color w:val="auto"/>
          <w:sz w:val="21"/>
          <w:szCs w:val="21"/>
          <w:highlight w:val="none"/>
        </w:rPr>
        <w:t>：货物主要部件情况表。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5.2项目实施方案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5.2.1项目实施方案包括供货方案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进度计划安排</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实施团队人员配备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安装调试方案等，内容应简洁实用。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供应商应派技术好、经验丰富的专业技术人员进行安装调试，在合同签订后按要求进行设备采购、安装、调试、验收等。在货物交付买方前，负责对货物的保护。在交付前如果货物遇到损坏或丢失，所造成的损失由中标人承担。</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拟派本项目的主要实施人员未经采购人许可不得更换。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5.3质量保证和售后服务方案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供应商应保证本项目质量符合合同规定的要求，所提供的设备材料为未使用过的全新产品，安装施工方法符合国家标准、规范的要求。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质量标准的评定以国家或行业的质量检验评定标准为依据。因卖方原因产品质量达不到约定的质量标准，卖方承担违约责任。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项目验收要求。项目安装、调试完成后，由采购人进行统一验收。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在质保期内，供应商须免费负责修理和替换任何由于产品自身的质量问题造成的损坏及故障。如果在短时内故障无法修复，则应提供同规格设备代用。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技术服务。供应商应对本项目提供长期有效的技术支持，投标文件中应提供技术服务和售后服务的内容及措施承诺，并列出售后服务机构设置情况，包括人员数量、人员技术资格情况、办公地址、联系方式及负责人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5.4技术培训方案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5.4.1供应商须对</w:t>
      </w:r>
      <w:r>
        <w:rPr>
          <w:rFonts w:hint="eastAsia" w:ascii="宋体" w:hAnsi="宋体" w:cs="宋体"/>
          <w:color w:val="auto"/>
          <w:sz w:val="21"/>
          <w:szCs w:val="21"/>
          <w:highlight w:val="none"/>
          <w:lang w:val="en-US" w:eastAsia="zh-CN"/>
        </w:rPr>
        <w:t>买</w:t>
      </w:r>
      <w:r>
        <w:rPr>
          <w:rFonts w:hint="eastAsia" w:ascii="宋体" w:hAnsi="宋体" w:eastAsia="宋体" w:cs="宋体"/>
          <w:color w:val="auto"/>
          <w:sz w:val="21"/>
          <w:szCs w:val="21"/>
          <w:highlight w:val="none"/>
        </w:rPr>
        <w:t>方的技术人员和操作人员进行培训。在投标文件中提供培训方案，包括负责培训的人员、培训内容、培训时间等内容。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5.4.2具体要求详见本部分附件。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、付款方式</w:t>
      </w:r>
    </w:p>
    <w:p>
      <w:pPr>
        <w:spacing w:line="360" w:lineRule="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strike w:val="0"/>
          <w:dstrike w:val="0"/>
          <w:color w:val="auto"/>
          <w:sz w:val="21"/>
          <w:szCs w:val="21"/>
          <w:highlight w:val="none"/>
        </w:rPr>
        <w:t>合同生效并具备实施条件后，采购人凭中标人开具的发票和预付款保函在7个工作日内，向中标人支付合同总价40%的预付款。预付款保函应当由银行、保险公司等金融机构出具且与预付款同等金额。</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货到采购人指定地点经安装、调试，验收合格</w:t>
      </w:r>
      <w:r>
        <w:rPr>
          <w:rFonts w:hint="eastAsia" w:ascii="宋体" w:hAnsi="宋体" w:cs="宋体"/>
          <w:color w:val="auto"/>
          <w:sz w:val="21"/>
          <w:szCs w:val="21"/>
          <w:highlight w:val="none"/>
          <w:lang w:val="en-US" w:eastAsia="zh-CN"/>
        </w:rPr>
        <w:t>后</w:t>
      </w:r>
      <w:r>
        <w:rPr>
          <w:rFonts w:hint="eastAsia" w:ascii="宋体" w:hAnsi="宋体" w:eastAsia="宋体" w:cs="宋体"/>
          <w:color w:val="auto"/>
          <w:sz w:val="21"/>
          <w:szCs w:val="21"/>
          <w:highlight w:val="none"/>
        </w:rPr>
        <w:t>，采购人收到发票后</w:t>
      </w:r>
      <w:r>
        <w:rPr>
          <w:rFonts w:hint="eastAsia" w:ascii="宋体" w:hAnsi="宋体" w:cs="宋体"/>
          <w:color w:val="auto"/>
          <w:sz w:val="21"/>
          <w:szCs w:val="21"/>
          <w:highlight w:val="none"/>
          <w:lang w:val="en-US" w:eastAsia="zh-CN"/>
        </w:rPr>
        <w:t>7个工作</w:t>
      </w:r>
      <w:r>
        <w:rPr>
          <w:rFonts w:hint="eastAsia" w:ascii="宋体" w:hAnsi="宋体" w:eastAsia="宋体" w:cs="宋体"/>
          <w:color w:val="auto"/>
          <w:sz w:val="21"/>
          <w:szCs w:val="21"/>
          <w:highlight w:val="none"/>
        </w:rPr>
        <w:t>日内，向供应商付清剩余合同款。</w:t>
      </w:r>
    </w:p>
    <w:p>
      <w:pPr>
        <w:spacing w:line="360" w:lineRule="auto"/>
        <w:rPr>
          <w:rFonts w:hint="eastAsia" w:ascii="宋体" w:hAnsi="宋体" w:eastAsia="宋体" w:cs="宋体"/>
          <w:color w:val="auto"/>
          <w:sz w:val="21"/>
          <w:szCs w:val="21"/>
          <w:highlight w:val="none"/>
        </w:rPr>
      </w:pP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3</w:t>
      </w: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签订合同时，如果中标人明确表示无需预付款或主动要求降低预付款比例的，允许调整预付款支付比例。</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、合同</w:t>
      </w:r>
      <w:r>
        <w:rPr>
          <w:rFonts w:hint="eastAsia" w:ascii="宋体" w:hAnsi="宋体" w:eastAsia="宋体" w:cs="宋体"/>
          <w:b/>
          <w:bCs/>
          <w:color w:val="auto"/>
          <w:sz w:val="21"/>
          <w:szCs w:val="21"/>
          <w:highlight w:val="none"/>
          <w:lang w:val="en-US" w:eastAsia="zh-CN"/>
        </w:rPr>
        <w:t>及履约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7.1采购人和中标人应当自中标通知书发出之日起30 日内，根据招标文件和中标人的投标文件订立书面合同。中标人无正当理由拒签合同的，招标人取消其中标资格，并报采购监督部门处理，</w:t>
      </w:r>
      <w:r>
        <w:rPr>
          <w:rFonts w:hint="eastAsia" w:ascii="宋体" w:hAnsi="宋体" w:eastAsia="宋体" w:cs="宋体"/>
          <w:color w:val="auto"/>
          <w:sz w:val="21"/>
          <w:szCs w:val="21"/>
          <w:highlight w:val="none"/>
        </w:rPr>
        <w:t>给招标人造成的损失的，中标人还应当予以赔偿。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.2如果供应商提供的货物或服务与投标文件、相关澄清文件</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合同等承诺的不一致，则供应商必须接受无条件退货，同时退还已支付</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合同款并赔偿采购人合同总金额100%的赔款。</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政府采购政策</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8.1本项目落实促进中小企业发展有关政策的规定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8.1.1本次采购为非专门面向中小企业项目，根据《政府采购促进中小企业发展管理办法》（财库[2020]46号）</w:t>
      </w:r>
      <w:r>
        <w:rPr>
          <w:rFonts w:hint="eastAsia" w:ascii="宋体" w:hAnsi="宋体" w:cs="宋体"/>
          <w:color w:val="auto"/>
          <w:sz w:val="21"/>
          <w:szCs w:val="21"/>
          <w:highlight w:val="none"/>
          <w:lang w:val="en-US" w:eastAsia="zh-CN"/>
        </w:rPr>
        <w:t>及相关</w:t>
      </w:r>
      <w:r>
        <w:rPr>
          <w:rFonts w:hint="eastAsia" w:ascii="宋体" w:hAnsi="宋体" w:eastAsia="宋体" w:cs="宋体"/>
          <w:color w:val="auto"/>
          <w:sz w:val="21"/>
          <w:szCs w:val="21"/>
          <w:highlight w:val="none"/>
        </w:rPr>
        <w:t>规定，本次政府采购活动，对满足招标文件要求的</w:t>
      </w:r>
      <w:r>
        <w:rPr>
          <w:rFonts w:hint="eastAsia" w:ascii="宋体" w:hAnsi="宋体" w:eastAsia="宋体" w:cs="宋体"/>
          <w:color w:val="auto"/>
          <w:sz w:val="21"/>
          <w:szCs w:val="21"/>
          <w:highlight w:val="none"/>
        </w:rPr>
        <w:t>小微企业的价格给予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的扣除，</w:t>
      </w:r>
      <w:r>
        <w:rPr>
          <w:rFonts w:hint="eastAsia" w:ascii="宋体" w:hAnsi="宋体" w:eastAsia="宋体" w:cs="宋体"/>
          <w:color w:val="auto"/>
          <w:sz w:val="21"/>
          <w:szCs w:val="21"/>
          <w:highlight w:val="none"/>
        </w:rPr>
        <w:t>用扣除后的价格参与评审。价格扣除只用于评审过程，如中标，中标价格仍按照其投标价格进行公告。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8.1.2符合</w:t>
      </w:r>
      <w:r>
        <w:rPr>
          <w:rFonts w:hint="eastAsia" w:ascii="宋体" w:hAnsi="宋体" w:eastAsia="宋体" w:cs="宋体"/>
          <w:color w:val="auto"/>
          <w:sz w:val="21"/>
          <w:szCs w:val="21"/>
          <w:highlight w:val="none"/>
          <w:lang w:val="en-US" w:eastAsia="zh-CN"/>
        </w:rPr>
        <w:t>中小企业认定标准的供应商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在参加本次政府采购活动时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应</w:t>
      </w:r>
      <w:r>
        <w:rPr>
          <w:rFonts w:hint="eastAsia" w:ascii="宋体" w:hAnsi="宋体" w:eastAsia="宋体" w:cs="宋体"/>
          <w:color w:val="auto"/>
          <w:sz w:val="21"/>
          <w:szCs w:val="21"/>
          <w:highlight w:val="none"/>
        </w:rPr>
        <w:t>当提供《中小企业声明函》，</w:t>
      </w:r>
      <w:r>
        <w:rPr>
          <w:rFonts w:hint="eastAsia" w:ascii="宋体" w:hAnsi="宋体" w:eastAsia="宋体" w:cs="宋体"/>
          <w:color w:val="auto"/>
          <w:sz w:val="21"/>
          <w:szCs w:val="21"/>
          <w:highlight w:val="none"/>
        </w:rPr>
        <w:t>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部分格式：中小企业声明函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并对声明的真实性负责。未按要求提供声明函的不执行中小微型企业优惠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8.1.3中标、成交供应商为小微企业的，采购人或采购代理机构将随中标、成交结果</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其《中小企业声明函》内容，接受社会监督。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8.2本项目落实促进残疾人就业有关政策的规定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根据《三部门联合发布关于促进残疾人就业政府采购政策的通知》（财库[2017]141号）规定，本次政府采购活动，残疾人福利性单位视同小型、微型企业，享受评审中价格扣除等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8.2.2参加本次采购活动享受政府采购支持政策的残疾人福利性单位应当满足《三部门联合发布关于促进残疾人就业政府采购政策的通知》（财库[2017]141号）规定的条件。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符合条件的残疾人福利性单位在参加本次政府采购活动时，应当提供《残疾人福利性单位声明函》，</w:t>
      </w:r>
      <w:r>
        <w:rPr>
          <w:rFonts w:hint="eastAsia" w:ascii="宋体" w:hAnsi="宋体" w:eastAsia="宋体" w:cs="宋体"/>
          <w:color w:val="auto"/>
          <w:sz w:val="21"/>
          <w:szCs w:val="21"/>
          <w:highlight w:val="none"/>
        </w:rPr>
        <w:t>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部分格式：残疾人福利性单位声明函，</w:t>
      </w:r>
      <w:r>
        <w:rPr>
          <w:rFonts w:hint="eastAsia" w:ascii="宋体" w:hAnsi="宋体" w:eastAsia="宋体" w:cs="宋体"/>
          <w:color w:val="auto"/>
          <w:sz w:val="21"/>
          <w:szCs w:val="21"/>
          <w:highlight w:val="none"/>
        </w:rPr>
        <w:t>并对声明的真实性负责。未按要求提供声明函的不执行残疾人福利性单位优惠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。残疾人福利性单位属于小型、微型企业的，不重复享受政策。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中标、成交供应商为残疾人福利性单位的，采购人或采购代理机构将随中标、成交结果</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其《残疾人福利性单位声明函》内容，接受社会监督。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8.3本项目落实支持监狱企业发展有关政策的规定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8.3.1根据《财政部司法部关于政府采购支持监狱企业发展有关问题的通知》（财库[2014]68号）规定，本次政府采购活动，监狱企业视同小型、微型企业，享受评审中价格扣除等促进中小企业发展的政府采购政策。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8.3.2监狱企业参加政府采购活动时，应当提供由省级以上监狱管理局、戒毒管理局（含新疆生产建设兵团）出具的属于监狱企业的证明文件。未提供证明文件的不执行监狱企业优惠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8.4本项目落实国家节能环保有关政策的规定</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8.4.1根据《关于调整优化节能产品、环境标志产品政府采购执行机制的通知》（财库[2019]9号）</w:t>
      </w: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拟</w:t>
      </w:r>
      <w:r>
        <w:rPr>
          <w:rFonts w:hint="eastAsia" w:ascii="宋体" w:hAnsi="宋体" w:eastAsia="宋体" w:cs="宋体"/>
          <w:color w:val="auto"/>
          <w:sz w:val="21"/>
          <w:szCs w:val="21"/>
          <w:highlight w:val="none"/>
          <w:lang w:val="en-US" w:eastAsia="zh-CN"/>
        </w:rPr>
        <w:t>采购的产品依据品目清单和认证证书实施政府优先采购和强制采购</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《节能产品政府采购品目清单》和《环境标志产品政府采购品目清单》查询网址：中国政府采购网（www.ccgp.gov.cn）。</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8.4.2根据现行政府采购节能环保政策，</w:t>
      </w:r>
      <w:r>
        <w:rPr>
          <w:rFonts w:hint="eastAsia" w:ascii="宋体" w:hAnsi="宋体" w:cs="宋体"/>
          <w:color w:val="auto"/>
          <w:sz w:val="21"/>
          <w:szCs w:val="21"/>
          <w:highlight w:val="none"/>
          <w:lang w:val="en-US" w:eastAsia="zh-CN"/>
        </w:rPr>
        <w:t>台式计算机、便携式计算机、激光打印机、针式打印机、液晶显示器、空调机等为政府强制采购产品，</w:t>
      </w:r>
      <w:r>
        <w:rPr>
          <w:rFonts w:hint="eastAsia" w:ascii="宋体" w:hAnsi="宋体" w:cs="宋体"/>
          <w:color w:val="auto"/>
          <w:sz w:val="21"/>
          <w:szCs w:val="21"/>
          <w:highlight w:val="none"/>
          <w:lang w:val="en-US" w:eastAsia="zh-CN"/>
        </w:rPr>
        <w:t>施行强制采购政策。</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8.4.3投标人应依据品目清单在投标文件中提供投标产品有效的节能产品（或环境标志产品）认证证书彩色扫描件 或者 提供投标产品在中国政府采购网（www.ccgp.gov.cn）节能产品（或环境标志产品）查询结果的网页截图的证明材料。</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8.4.4施行强制采购的产品没有提供证明材料的，投标无效；非强制采购产品没有提供证明材料的，不予认定。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、其他说明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类似项目业绩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投标文件中提供投标人最近三年（时间计算以投标截止时间和合同签订时间为准）以来成功实施的同类项目的业绩或案例证明，</w:t>
      </w:r>
      <w:r>
        <w:rPr>
          <w:rFonts w:hint="eastAsia" w:ascii="宋体" w:hAnsi="宋体" w:eastAsia="宋体" w:cs="宋体"/>
          <w:color w:val="auto"/>
          <w:sz w:val="21"/>
          <w:szCs w:val="21"/>
          <w:highlight w:val="none"/>
        </w:rPr>
        <w:t>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部分格式：类似项目业绩表，</w:t>
      </w:r>
      <w:r>
        <w:rPr>
          <w:rFonts w:hint="eastAsia" w:ascii="宋体" w:hAnsi="宋体" w:eastAsia="宋体" w:cs="宋体"/>
          <w:color w:val="auto"/>
          <w:sz w:val="21"/>
          <w:szCs w:val="21"/>
          <w:highlight w:val="none"/>
        </w:rPr>
        <w:t>同类项目业绩要求详见评标办法，由评标委员会认定该合同是否属于同类项目业绩。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对投标人提供的合同，即使评标委员会在评标过程中已经确认，采购人和采购机构有权利对投标人提供的合同业绩进行落实。若投标人存在虚假欺骗行为，将承担相应的法律责任。</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关于品牌</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9.2.1</w:t>
      </w:r>
      <w:r>
        <w:rPr>
          <w:rFonts w:hint="eastAsia" w:ascii="宋体" w:hAnsi="宋体"/>
          <w:b w:val="0"/>
          <w:bCs w:val="0"/>
          <w:color w:val="auto"/>
          <w:highlight w:val="none"/>
        </w:rPr>
        <w:t>不同投标人所投核心产品的品牌相同时，按以下原则处理：</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color w:val="auto"/>
          <w:sz w:val="21"/>
          <w:szCs w:val="21"/>
          <w:highlight w:val="none"/>
        </w:rPr>
        <w:t>由采购人自行选取一个投标人获得中标人推荐资格，</w:t>
      </w:r>
      <w:r>
        <w:rPr>
          <w:rFonts w:hint="eastAsia" w:ascii="宋体" w:hAnsi="宋体" w:eastAsia="宋体" w:cs="宋体"/>
          <w:color w:val="auto"/>
          <w:sz w:val="21"/>
          <w:szCs w:val="21"/>
          <w:highlight w:val="none"/>
        </w:rPr>
        <w:t>其他同品牌投标人不作为中标候选人。</w:t>
      </w:r>
    </w:p>
    <w:p>
      <w:pPr>
        <w:spacing w:line="360" w:lineRule="auto"/>
        <w:rPr>
          <w:rFonts w:hint="default" w:ascii="宋体" w:hAnsi="宋体" w:eastAsia="宋体" w:cs="宋体"/>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9.2.2</w:t>
      </w:r>
      <w:r>
        <w:rPr>
          <w:rFonts w:hint="eastAsia" w:ascii="宋体" w:hAnsi="宋体"/>
          <w:b w:val="0"/>
          <w:bCs w:val="0"/>
          <w:strike w:val="0"/>
          <w:dstrike w:val="0"/>
          <w:color w:val="auto"/>
          <w:highlight w:val="none"/>
          <w:lang w:val="en-US" w:eastAsia="zh-CN"/>
        </w:rPr>
        <w:t>本项目的核心产品详见本部分附件。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附件：采购清单及要求</w:t>
      </w: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附件：</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采购清单及要求</w:t>
      </w:r>
    </w:p>
    <w:p>
      <w:pPr>
        <w:spacing w:line="360" w:lineRule="auto"/>
        <w:rPr>
          <w:rFonts w:hint="eastAsia" w:ascii="宋体" w:hAnsi="宋体"/>
          <w:b/>
          <w:color w:val="auto"/>
          <w:highlight w:val="none"/>
        </w:rPr>
      </w:pPr>
      <w:r>
        <w:rPr>
          <w:rFonts w:hint="eastAsia" w:ascii="宋体" w:hAnsi="宋体"/>
          <w:b/>
          <w:color w:val="auto"/>
          <w:highlight w:val="none"/>
        </w:rPr>
        <w:t>一、采购清单</w:t>
      </w:r>
    </w:p>
    <w:tbl>
      <w:tblPr>
        <w:tblStyle w:val="7"/>
        <w:tblW w:w="92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51"/>
        <w:gridCol w:w="2460"/>
        <w:gridCol w:w="2145"/>
        <w:gridCol w:w="945"/>
        <w:gridCol w:w="1035"/>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jc w:val="center"/>
        </w:trPr>
        <w:tc>
          <w:tcPr>
            <w:tcW w:w="75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产品名称</w:t>
            </w:r>
          </w:p>
        </w:tc>
        <w:tc>
          <w:tcPr>
            <w:tcW w:w="214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kern w:val="0"/>
                <w:sz w:val="21"/>
                <w:szCs w:val="21"/>
                <w:highlight w:val="none"/>
                <w:u w:val="none"/>
                <w:lang w:val="en-US" w:eastAsia="zh-CN" w:bidi="ar"/>
              </w:rPr>
              <w:t>技术规格</w:t>
            </w:r>
          </w:p>
        </w:tc>
        <w:tc>
          <w:tcPr>
            <w:tcW w:w="94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b/>
                <w:bCs/>
                <w:color w:val="auto"/>
                <w:highlight w:val="none"/>
                <w:lang w:val="en-US" w:eastAsia="zh-CN"/>
              </w:rPr>
              <w:t>产品示例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bookmarkStart w:id="2" w:name="OLE_LINK6"/>
            <w:r>
              <w:rPr>
                <w:rFonts w:hint="eastAsia" w:ascii="宋体" w:hAnsi="宋体" w:eastAsia="宋体" w:cs="宋体"/>
                <w:i w:val="0"/>
                <w:color w:val="auto"/>
                <w:kern w:val="0"/>
                <w:sz w:val="21"/>
                <w:szCs w:val="21"/>
                <w:highlight w:val="none"/>
                <w:u w:val="none"/>
                <w:lang w:val="en-US" w:eastAsia="zh-CN" w:bidi="ar"/>
              </w:rPr>
              <w:t>智能交互平板</w:t>
            </w:r>
            <w:bookmarkEnd w:id="2"/>
            <w:r>
              <w:rPr>
                <w:rStyle w:val="12"/>
                <w:rFonts w:hint="eastAsia" w:ascii="宋体" w:hAnsi="宋体" w:eastAsia="宋体" w:cs="宋体"/>
                <w:color w:val="auto"/>
                <w:sz w:val="21"/>
                <w:szCs w:val="21"/>
                <w:highlight w:val="none"/>
                <w:lang w:val="en-US" w:eastAsia="zh-CN" w:bidi="ar"/>
              </w:rPr>
              <w:t>（核心产品）</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详见技术要求</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希沃FG86EC、</w:t>
            </w:r>
          </w:p>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视隆GC-K865UE、</w:t>
            </w:r>
          </w:p>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鑫城XFB86500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5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46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绿板</w:t>
            </w:r>
          </w:p>
        </w:tc>
        <w:tc>
          <w:tcPr>
            <w:tcW w:w="214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94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块</w:t>
            </w:r>
          </w:p>
        </w:tc>
        <w:tc>
          <w:tcPr>
            <w:tcW w:w="103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i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5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46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安装施工</w:t>
            </w:r>
          </w:p>
        </w:tc>
        <w:tc>
          <w:tcPr>
            <w:tcW w:w="214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94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i w:val="0"/>
                <w:color w:val="auto"/>
                <w:sz w:val="21"/>
                <w:szCs w:val="21"/>
                <w:highlight w:val="none"/>
                <w:u w:val="none"/>
                <w:lang w:val="en-US" w:eastAsia="zh-CN"/>
              </w:rPr>
            </w:pPr>
          </w:p>
        </w:tc>
      </w:tr>
    </w:tbl>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注：采购清单中的“智能交互平板”（序号1）为本次采购的核心产品。</w:t>
      </w:r>
    </w:p>
    <w:p>
      <w:pPr>
        <w:spacing w:line="360" w:lineRule="auto"/>
        <w:rPr>
          <w:rFonts w:hint="eastAsia" w:ascii="宋体" w:hAnsi="宋体"/>
          <w:b/>
          <w:color w:val="auto"/>
          <w:highlight w:val="none"/>
        </w:rPr>
      </w:pPr>
    </w:p>
    <w:p>
      <w:pPr>
        <w:spacing w:line="360" w:lineRule="auto"/>
        <w:rPr>
          <w:rFonts w:hint="eastAsia" w:ascii="宋体" w:hAnsi="宋体"/>
          <w:b/>
          <w:color w:val="auto"/>
          <w:highlight w:val="none"/>
          <w:lang w:eastAsia="zh-CN"/>
        </w:rPr>
      </w:pPr>
      <w:r>
        <w:rPr>
          <w:rFonts w:hint="eastAsia" w:ascii="宋体" w:hAnsi="宋体"/>
          <w:b/>
          <w:color w:val="auto"/>
          <w:highlight w:val="none"/>
        </w:rPr>
        <w:t xml:space="preserve">二、技术要求                                                                                       </w:t>
      </w:r>
      <w:r>
        <w:rPr>
          <w:rFonts w:hint="eastAsia" w:ascii="宋体" w:hAnsi="宋体"/>
          <w:b/>
          <w:color w:val="auto"/>
          <w:highlight w:val="none"/>
          <w:lang w:val="en-US" w:eastAsia="zh-CN"/>
        </w:rPr>
        <w:t xml:space="preserve"> </w:t>
      </w:r>
    </w:p>
    <w:tbl>
      <w:tblPr>
        <w:tblStyle w:val="8"/>
        <w:tblW w:w="927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
        <w:gridCol w:w="1126"/>
        <w:gridCol w:w="7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873"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6"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7271"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        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3"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26" w:type="dxa"/>
            <w:noWrap w:val="0"/>
            <w:vAlign w:val="center"/>
          </w:tcPr>
          <w:p>
            <w:pPr>
              <w:jc w:val="center"/>
              <w:rPr>
                <w:rFonts w:hint="eastAsia" w:ascii="宋体" w:hAnsi="宋体" w:eastAsia="宋体" w:cs="宋体"/>
                <w:color w:val="auto"/>
                <w:sz w:val="21"/>
                <w:szCs w:val="21"/>
                <w:highlight w:val="none"/>
              </w:rPr>
            </w:pPr>
            <w:bookmarkStart w:id="3" w:name="OLE_LINK1"/>
            <w:r>
              <w:rPr>
                <w:rFonts w:hint="eastAsia" w:ascii="宋体" w:hAnsi="宋体" w:eastAsia="宋体" w:cs="宋体"/>
                <w:color w:val="auto"/>
                <w:sz w:val="21"/>
                <w:szCs w:val="21"/>
                <w:highlight w:val="none"/>
              </w:rPr>
              <w:t>智能交互平板</w:t>
            </w:r>
            <w:bookmarkEnd w:id="3"/>
          </w:p>
        </w:tc>
        <w:tc>
          <w:tcPr>
            <w:tcW w:w="7271" w:type="dxa"/>
            <w:noWrap w:val="0"/>
            <w:vAlign w:val="top"/>
          </w:tcPr>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一、整体设计</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1、整机采用一体化设计，外部无任何可见内部功能模块连接线。整机采用全金属外壳设计，边角采用弧形设计，表面无尖锐边缘或凸起。</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2、整机屏幕边缘采用金属圆角包边防护，整机背板采用金属材质，有效屏蔽内部电路器件辐射；防潮耐盐雾蚀锈，适应多种教学环境。</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▲3、整机屏幕采用86英寸液晶显示器。</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4、整机采用UHD超高清LED液晶屏，显示比例16:9，分辨率3840*2160。</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5、灰度等级≥256级。</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6、触控一体机表面使用钢化玻璃，表面硬度达到9H，接近钻石硬度，有效保护教师及学生授课安全。</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7、整机采用硬件低蓝光背光技术，还原真实教学色彩的同时有效降低蓝光同时保护教师。</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★8</w:t>
            </w:r>
            <w:r>
              <w:rPr>
                <w:rFonts w:hint="eastAsia" w:ascii="宋体" w:hAnsi="宋体" w:cs="宋体"/>
                <w:color w:val="auto"/>
                <w:kern w:val="2"/>
                <w:sz w:val="21"/>
                <w:szCs w:val="21"/>
                <w:highlight w:val="none"/>
                <w:shd w:val="clear" w:color="auto" w:fill="auto"/>
                <w:lang w:val="en-US" w:eastAsia="zh-CN" w:bidi="ar-SA"/>
              </w:rPr>
              <w:t>、</w:t>
            </w:r>
            <w:r>
              <w:rPr>
                <w:rFonts w:hint="eastAsia" w:ascii="宋体" w:hAnsi="宋体" w:eastAsia="宋体" w:cs="宋体"/>
                <w:color w:val="auto"/>
                <w:kern w:val="2"/>
                <w:sz w:val="21"/>
                <w:szCs w:val="21"/>
                <w:highlight w:val="none"/>
                <w:shd w:val="clear" w:color="auto" w:fill="auto"/>
                <w:lang w:val="en-US" w:eastAsia="zh-CN" w:bidi="ar-SA"/>
              </w:rPr>
              <w:t>整机嵌入式芯片内置2TOPS AI算力，可用于AI图像、音频处理。</w:t>
            </w:r>
            <w:r>
              <w:rPr>
                <w:rFonts w:hint="eastAsia" w:ascii="宋体" w:hAnsi="宋体" w:eastAsia="宋体" w:cs="宋体"/>
                <w:color w:val="auto"/>
                <w:kern w:val="2"/>
                <w:sz w:val="21"/>
                <w:szCs w:val="21"/>
                <w:highlight w:val="none"/>
                <w:shd w:val="clear" w:color="auto" w:fill="auto"/>
                <w:lang w:val="en-US" w:eastAsia="zh-CN" w:bidi="ar-SA"/>
              </w:rPr>
              <w:t>（提供有资质的第三方检测机构出具的检测报告扫描件）</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二、硬件设计</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1、整机内置音箱顶置朝前发声，2.2声道扬声器，额定总功率60W。</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2、整机支持高级音效设置、左右声道平衡、可根据实际需要设置不同频段调节功能，以满足不同课程授课声音还原需求。</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3、整机内置非独立外扩展的4阵列麦克风，可用于对教室环境音频进行采集，拾音距离≥12m。</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4</w:t>
            </w:r>
            <w:r>
              <w:rPr>
                <w:rFonts w:hint="eastAsia" w:ascii="宋体" w:hAnsi="宋体" w:eastAsia="宋体" w:cs="宋体"/>
                <w:color w:val="auto"/>
                <w:kern w:val="2"/>
                <w:sz w:val="21"/>
                <w:szCs w:val="21"/>
                <w:highlight w:val="none"/>
                <w:shd w:val="clear" w:color="auto" w:fill="auto"/>
                <w:lang w:val="en-US" w:eastAsia="zh-CN" w:bidi="ar-SA"/>
              </w:rPr>
              <w:t>、整机无需外接无线网卡，在Windows系统下可实现Wi-Fi无线上网连接、AP无线热点发射和BT蓝牙连接功能。</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5</w:t>
            </w:r>
            <w:r>
              <w:rPr>
                <w:rFonts w:hint="eastAsia" w:ascii="宋体" w:hAnsi="宋体" w:eastAsia="宋体" w:cs="宋体"/>
                <w:color w:val="auto"/>
                <w:kern w:val="2"/>
                <w:sz w:val="21"/>
                <w:szCs w:val="21"/>
                <w:highlight w:val="none"/>
                <w:shd w:val="clear" w:color="auto" w:fill="auto"/>
                <w:lang w:val="en-US" w:eastAsia="zh-CN" w:bidi="ar-SA"/>
              </w:rPr>
              <w:t>、Wi-Fi和AP热点工作距离≥12m。</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6</w:t>
            </w:r>
            <w:r>
              <w:rPr>
                <w:rFonts w:hint="eastAsia" w:ascii="宋体" w:hAnsi="宋体" w:eastAsia="宋体" w:cs="宋体"/>
                <w:color w:val="auto"/>
                <w:kern w:val="2"/>
                <w:sz w:val="21"/>
                <w:szCs w:val="21"/>
                <w:highlight w:val="none"/>
                <w:shd w:val="clear" w:color="auto" w:fill="auto"/>
                <w:lang w:val="en-US" w:eastAsia="zh-CN" w:bidi="ar-SA"/>
              </w:rPr>
              <w:t>、整机支持蓝牙Bluetooth 5.4标准，电脑端支持主动发现蓝牙外设从而连接（无需整机进入发现模式），支持连接外部蓝牙音箱播放音频。</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7</w:t>
            </w:r>
            <w:r>
              <w:rPr>
                <w:rFonts w:hint="eastAsia" w:ascii="宋体" w:hAnsi="宋体" w:eastAsia="宋体" w:cs="宋体"/>
                <w:color w:val="auto"/>
                <w:kern w:val="2"/>
                <w:sz w:val="21"/>
                <w:szCs w:val="21"/>
                <w:highlight w:val="none"/>
                <w:shd w:val="clear" w:color="auto" w:fill="auto"/>
                <w:lang w:val="en-US" w:eastAsia="zh-CN" w:bidi="ar-SA"/>
              </w:rPr>
              <w:t>、整机无需外接无线网卡，在Windows系统下接入无线网络，切换到嵌入式Android系统下可直接实现无线上网功能，不需手动重复设置。</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8</w:t>
            </w:r>
            <w:r>
              <w:rPr>
                <w:rFonts w:hint="eastAsia" w:ascii="宋体" w:hAnsi="宋体" w:eastAsia="宋体" w:cs="宋体"/>
                <w:color w:val="auto"/>
                <w:kern w:val="2"/>
                <w:sz w:val="21"/>
                <w:szCs w:val="21"/>
                <w:highlight w:val="none"/>
                <w:shd w:val="clear" w:color="auto" w:fill="auto"/>
                <w:lang w:val="en-US" w:eastAsia="zh-CN" w:bidi="ar-SA"/>
              </w:rPr>
              <w:t>、为提升传输速率和降低能耗，整机支持Wi-Fi6；Wi-Fi及AP热点支持频段2.4GHz/5GHz</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9</w:t>
            </w:r>
            <w:r>
              <w:rPr>
                <w:rFonts w:hint="eastAsia" w:ascii="宋体" w:hAnsi="宋体" w:eastAsia="宋体" w:cs="宋体"/>
                <w:color w:val="auto"/>
                <w:kern w:val="2"/>
                <w:sz w:val="21"/>
                <w:szCs w:val="21"/>
                <w:highlight w:val="none"/>
                <w:shd w:val="clear" w:color="auto" w:fill="auto"/>
                <w:lang w:val="en-US" w:eastAsia="zh-CN" w:bidi="ar-SA"/>
              </w:rPr>
              <w:t>、同一电源物理按键完成开机、节能熄屏、关机操作。</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10</w:t>
            </w:r>
            <w:r>
              <w:rPr>
                <w:rFonts w:hint="eastAsia" w:ascii="宋体" w:hAnsi="宋体" w:eastAsia="宋体" w:cs="宋体"/>
                <w:color w:val="auto"/>
                <w:kern w:val="2"/>
                <w:sz w:val="21"/>
                <w:szCs w:val="21"/>
                <w:highlight w:val="none"/>
                <w:shd w:val="clear" w:color="auto" w:fill="auto"/>
                <w:lang w:val="en-US" w:eastAsia="zh-CN" w:bidi="ar-SA"/>
              </w:rPr>
              <w:t>、整机具备前置按键，可实现老师开关机、调出中控菜单、音量+/-、护眼、录屏的操作。</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w:t>
            </w:r>
            <w:r>
              <w:rPr>
                <w:rFonts w:hint="eastAsia" w:ascii="宋体" w:hAnsi="宋体" w:cs="宋体"/>
                <w:color w:val="auto"/>
                <w:kern w:val="2"/>
                <w:sz w:val="21"/>
                <w:szCs w:val="21"/>
                <w:highlight w:val="none"/>
                <w:shd w:val="clear" w:color="auto" w:fill="auto"/>
                <w:lang w:val="en-US" w:eastAsia="zh-CN" w:bidi="ar-SA"/>
              </w:rPr>
              <w:t>1</w:t>
            </w:r>
            <w:r>
              <w:rPr>
                <w:rFonts w:hint="eastAsia" w:ascii="宋体" w:hAnsi="宋体" w:eastAsia="宋体" w:cs="宋体"/>
                <w:color w:val="auto"/>
                <w:kern w:val="2"/>
                <w:sz w:val="21"/>
                <w:szCs w:val="21"/>
                <w:highlight w:val="none"/>
                <w:shd w:val="clear" w:color="auto" w:fill="auto"/>
                <w:lang w:val="en-US" w:eastAsia="zh-CN" w:bidi="ar-SA"/>
              </w:rPr>
              <w:t>、支持护眼模式，可通过前置面板物理功能按键一键启用护眼模式。</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w:t>
            </w:r>
            <w:r>
              <w:rPr>
                <w:rFonts w:hint="eastAsia" w:ascii="宋体" w:hAnsi="宋体" w:cs="宋体"/>
                <w:color w:val="auto"/>
                <w:kern w:val="2"/>
                <w:sz w:val="21"/>
                <w:szCs w:val="21"/>
                <w:highlight w:val="none"/>
                <w:shd w:val="clear" w:color="auto" w:fill="auto"/>
                <w:lang w:val="en-US" w:eastAsia="zh-CN" w:bidi="ar-SA"/>
              </w:rPr>
              <w:t>2</w:t>
            </w:r>
            <w:r>
              <w:rPr>
                <w:rFonts w:hint="eastAsia" w:ascii="宋体" w:hAnsi="宋体" w:eastAsia="宋体" w:cs="宋体"/>
                <w:color w:val="auto"/>
                <w:kern w:val="2"/>
                <w:sz w:val="21"/>
                <w:szCs w:val="21"/>
                <w:highlight w:val="none"/>
                <w:shd w:val="clear" w:color="auto" w:fill="auto"/>
                <w:lang w:val="en-US" w:eastAsia="zh-CN" w:bidi="ar-SA"/>
              </w:rPr>
              <w:t>、支持录课模式，可通过前置面板物理功能按键一键启用录课模式（屏幕及人声需同步采集）。</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w:t>
            </w:r>
            <w:r>
              <w:rPr>
                <w:rFonts w:hint="eastAsia" w:ascii="宋体" w:hAnsi="宋体" w:cs="宋体"/>
                <w:color w:val="auto"/>
                <w:kern w:val="2"/>
                <w:sz w:val="21"/>
                <w:szCs w:val="21"/>
                <w:highlight w:val="none"/>
                <w:shd w:val="clear" w:color="auto" w:fill="auto"/>
                <w:lang w:val="en-US" w:eastAsia="zh-CN" w:bidi="ar-SA"/>
              </w:rPr>
              <w:t>3</w:t>
            </w:r>
            <w:r>
              <w:rPr>
                <w:rFonts w:hint="eastAsia" w:ascii="宋体" w:hAnsi="宋体" w:eastAsia="宋体" w:cs="宋体"/>
                <w:color w:val="auto"/>
                <w:kern w:val="2"/>
                <w:sz w:val="21"/>
                <w:szCs w:val="21"/>
                <w:highlight w:val="none"/>
                <w:shd w:val="clear" w:color="auto" w:fill="auto"/>
                <w:lang w:val="en-US" w:eastAsia="zh-CN" w:bidi="ar-SA"/>
              </w:rPr>
              <w:t>、侧置输入接口具备2路HDMI、1路RS232；侧置输出接口具备1路音频、1路触控USB；前置输入接口3路USB接口（包含1路Type-C、2路USB）。</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w:t>
            </w:r>
            <w:r>
              <w:rPr>
                <w:rFonts w:hint="eastAsia" w:ascii="宋体" w:hAnsi="宋体" w:cs="宋体"/>
                <w:color w:val="auto"/>
                <w:kern w:val="2"/>
                <w:sz w:val="21"/>
                <w:szCs w:val="21"/>
                <w:highlight w:val="none"/>
                <w:shd w:val="clear" w:color="auto" w:fill="auto"/>
                <w:lang w:val="en-US" w:eastAsia="zh-CN" w:bidi="ar-SA"/>
              </w:rPr>
              <w:t>4</w:t>
            </w:r>
            <w:r>
              <w:rPr>
                <w:rFonts w:hint="eastAsia" w:ascii="宋体" w:hAnsi="宋体" w:eastAsia="宋体" w:cs="宋体"/>
                <w:color w:val="auto"/>
                <w:kern w:val="2"/>
                <w:sz w:val="21"/>
                <w:szCs w:val="21"/>
                <w:highlight w:val="none"/>
                <w:shd w:val="clear" w:color="auto" w:fill="auto"/>
                <w:lang w:val="en-US" w:eastAsia="zh-CN" w:bidi="ar-SA"/>
              </w:rPr>
              <w:t>、整机具备前置Type-C接口，通过Type-C接口可实现与外部电脑的触摸信号及音视频输入。</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w:t>
            </w:r>
            <w:r>
              <w:rPr>
                <w:rFonts w:hint="eastAsia" w:ascii="宋体" w:hAnsi="宋体" w:cs="宋体"/>
                <w:color w:val="auto"/>
                <w:kern w:val="2"/>
                <w:sz w:val="21"/>
                <w:szCs w:val="21"/>
                <w:highlight w:val="none"/>
                <w:shd w:val="clear" w:color="auto" w:fill="auto"/>
                <w:lang w:val="en-US" w:eastAsia="zh-CN" w:bidi="ar-SA"/>
              </w:rPr>
              <w:t>15</w:t>
            </w:r>
            <w:r>
              <w:rPr>
                <w:rFonts w:hint="eastAsia" w:ascii="宋体" w:hAnsi="宋体" w:eastAsia="宋体" w:cs="宋体"/>
                <w:color w:val="auto"/>
                <w:kern w:val="2"/>
                <w:sz w:val="21"/>
                <w:szCs w:val="21"/>
                <w:highlight w:val="none"/>
                <w:shd w:val="clear" w:color="auto" w:fill="auto"/>
                <w:lang w:val="en-US" w:eastAsia="zh-CN" w:bidi="ar-SA"/>
              </w:rPr>
              <w:t>、整机支持在无任何外部设备的情况下，实时录制用户朗读内容，识别用户声纹并进行统一身份登录，登陆后自动获取个人云端教学课件列表，打开教学白板软件时可跳过软件自带登录步骤。</w:t>
            </w:r>
            <w:r>
              <w:rPr>
                <w:rFonts w:hint="eastAsia" w:ascii="宋体" w:hAnsi="宋体" w:eastAsia="宋体" w:cs="宋体"/>
                <w:color w:val="auto"/>
                <w:kern w:val="2"/>
                <w:sz w:val="21"/>
                <w:szCs w:val="21"/>
                <w:highlight w:val="none"/>
                <w:shd w:val="clear" w:color="auto" w:fill="auto"/>
                <w:lang w:val="en-US" w:eastAsia="zh-CN" w:bidi="ar-SA"/>
              </w:rPr>
              <w:t>（提供有资质的第三方检测机构出具的检测报告扫描件）</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16</w:t>
            </w:r>
            <w:r>
              <w:rPr>
                <w:rFonts w:hint="eastAsia" w:ascii="宋体" w:hAnsi="宋体" w:eastAsia="宋体" w:cs="宋体"/>
                <w:color w:val="auto"/>
                <w:kern w:val="2"/>
                <w:sz w:val="21"/>
                <w:szCs w:val="21"/>
                <w:highlight w:val="none"/>
                <w:shd w:val="clear" w:color="auto" w:fill="auto"/>
                <w:lang w:val="en-US" w:eastAsia="zh-CN" w:bidi="ar-SA"/>
              </w:rPr>
              <w:t>、整机书写面板采用防眩光全钢化防爆玻璃面板，面板的碎片状态、抗冲击性、霰弹袋冲击性能、耐热冲击性能均通过国家强制玻璃标准，表面应力≥100Mpa,适应学校复杂环境，保障教学安全。</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17、</w:t>
            </w:r>
            <w:r>
              <w:rPr>
                <w:rFonts w:hint="eastAsia" w:ascii="宋体" w:hAnsi="宋体" w:eastAsia="宋体" w:cs="宋体"/>
                <w:color w:val="auto"/>
                <w:kern w:val="2"/>
                <w:sz w:val="21"/>
                <w:szCs w:val="21"/>
                <w:highlight w:val="none"/>
                <w:shd w:val="clear" w:color="auto" w:fill="auto"/>
                <w:lang w:val="en-US" w:eastAsia="zh-CN" w:bidi="ar-SA"/>
              </w:rPr>
              <w:t>整机上边框内置非独立摄像头，采用一体化集成设计，可拍摄≥1300万像素数的照片，可拍摄输出4K分辨率的视频，摄像头对角线视场角≥120度。</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w:t>
            </w:r>
            <w:r>
              <w:rPr>
                <w:rFonts w:hint="eastAsia" w:ascii="宋体" w:hAnsi="宋体" w:cs="宋体"/>
                <w:color w:val="auto"/>
                <w:kern w:val="2"/>
                <w:sz w:val="21"/>
                <w:szCs w:val="21"/>
                <w:highlight w:val="none"/>
                <w:shd w:val="clear" w:color="auto" w:fill="auto"/>
                <w:lang w:val="en-US" w:eastAsia="zh-CN" w:bidi="ar-SA"/>
              </w:rPr>
              <w:t>18、</w:t>
            </w:r>
            <w:r>
              <w:rPr>
                <w:rFonts w:hint="eastAsia" w:ascii="宋体" w:hAnsi="宋体" w:eastAsia="宋体" w:cs="宋体"/>
                <w:color w:val="auto"/>
                <w:kern w:val="2"/>
                <w:sz w:val="21"/>
                <w:szCs w:val="21"/>
                <w:highlight w:val="none"/>
                <w:shd w:val="clear" w:color="auto" w:fill="auto"/>
                <w:lang w:val="en-US" w:eastAsia="zh-CN" w:bidi="ar-SA"/>
              </w:rPr>
              <w:t>符合学校个性化需求，设备多个前置按键支持自定义设置，可设置启用批注、截屏、计时、降半屏、放大镜、倒数日、纸质护眼模式、课堂智能反馈等功能。</w:t>
            </w:r>
            <w:r>
              <w:rPr>
                <w:rFonts w:hint="eastAsia" w:ascii="宋体" w:hAnsi="宋体" w:eastAsia="宋体" w:cs="宋体"/>
                <w:color w:val="auto"/>
                <w:kern w:val="2"/>
                <w:sz w:val="21"/>
                <w:szCs w:val="21"/>
                <w:highlight w:val="none"/>
                <w:shd w:val="clear" w:color="auto" w:fill="auto"/>
                <w:lang w:val="en-US" w:eastAsia="zh-CN" w:bidi="ar-SA"/>
              </w:rPr>
              <w:t>（提供有资质的第三方检测机构出具的检测报告扫描件）</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19、</w:t>
            </w:r>
            <w:r>
              <w:rPr>
                <w:rFonts w:hint="eastAsia" w:ascii="宋体" w:hAnsi="宋体" w:eastAsia="宋体" w:cs="宋体"/>
                <w:color w:val="auto"/>
                <w:kern w:val="2"/>
                <w:sz w:val="21"/>
                <w:szCs w:val="21"/>
                <w:highlight w:val="none"/>
                <w:shd w:val="clear" w:color="auto" w:fill="auto"/>
                <w:lang w:val="en-US" w:eastAsia="zh-CN" w:bidi="ar-SA"/>
              </w:rPr>
              <w:t>整机内置中控菜单及侧边栏菜单，方便教师进行应用切换、信号源通道切换、教学工具调用、整机调节等操作。</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20、</w:t>
            </w:r>
            <w:r>
              <w:rPr>
                <w:rFonts w:hint="eastAsia" w:ascii="宋体" w:hAnsi="宋体" w:eastAsia="宋体" w:cs="宋体"/>
                <w:color w:val="auto"/>
                <w:kern w:val="2"/>
                <w:sz w:val="21"/>
                <w:szCs w:val="21"/>
                <w:highlight w:val="none"/>
                <w:shd w:val="clear" w:color="auto" w:fill="auto"/>
                <w:lang w:val="en-US" w:eastAsia="zh-CN" w:bidi="ar-SA"/>
              </w:rPr>
              <w:t>整机支持sRGB模式，在sRGB模式下可做到高色准△E≤1.0。</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w:t>
            </w:r>
            <w:r>
              <w:rPr>
                <w:rFonts w:hint="eastAsia" w:ascii="宋体" w:hAnsi="宋体" w:cs="宋体"/>
                <w:color w:val="auto"/>
                <w:kern w:val="2"/>
                <w:sz w:val="21"/>
                <w:szCs w:val="21"/>
                <w:highlight w:val="none"/>
                <w:shd w:val="clear" w:color="auto" w:fill="auto"/>
                <w:lang w:val="en-US" w:eastAsia="zh-CN" w:bidi="ar-SA"/>
              </w:rPr>
              <w:t>21、</w:t>
            </w:r>
            <w:r>
              <w:rPr>
                <w:rFonts w:hint="eastAsia" w:ascii="宋体" w:hAnsi="宋体" w:eastAsia="宋体" w:cs="宋体"/>
                <w:color w:val="auto"/>
                <w:kern w:val="2"/>
                <w:sz w:val="21"/>
                <w:szCs w:val="21"/>
                <w:highlight w:val="none"/>
                <w:shd w:val="clear" w:color="auto" w:fill="auto"/>
                <w:lang w:val="en-US" w:eastAsia="zh-CN" w:bidi="ar-SA"/>
              </w:rPr>
              <w:t>整机系统支持人工智能画质调节模式，启用后当屏幕出现人物、建筑、夜景等元素时，自动调整画质参数；支持人工智能空间感知音效模式，通过内置麦克风采集环境声音自动生成符合当前环境的音量、音效。</w:t>
            </w:r>
            <w:r>
              <w:rPr>
                <w:rFonts w:hint="eastAsia" w:ascii="宋体" w:hAnsi="宋体" w:eastAsia="宋体" w:cs="宋体"/>
                <w:color w:val="auto"/>
                <w:kern w:val="2"/>
                <w:sz w:val="21"/>
                <w:szCs w:val="21"/>
                <w:highlight w:val="none"/>
                <w:shd w:val="clear" w:color="auto" w:fill="auto"/>
                <w:lang w:val="en-US" w:eastAsia="zh-CN" w:bidi="ar-SA"/>
              </w:rPr>
              <w:t>（提供有资质的第三方检测机构出具的检测报告扫描件）</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三、主要功能</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1、部署单根网线可实现Android、Windows双系统有线网络连通。</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2、整机可通过前置物理按键快捷进行系统还原，无需额外工具辅助。</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3、支持降半屏功能，降半屏后依然可以正常触控操作Windows系统；可一键退出该模式。</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4、支持外接信号输入时自动唤醒功能，整机处于关机通电状态，外接电脑显示信号通过HDMI传输线连接至整机时，整机可智能识别外接电脑设备信号输入并自动开机。</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★5、整机内置自习工具，通过整机麦克风监测教室中学生音量大小，当学生音量大于阈值时，屏幕自动弹窗提醒进行自习纪律干预。</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6、当整机处于黑暗环境中并无人操作，一分钟后整机将可以自动进入熄屏模式。</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7、支持将自定义图片设置为开机画面。</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8、整机具备供电保护模块，能够检测内置电脑是否插好在位，在内置电脑未在位的情况下，内置电脑无法上电工作。</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9、支持云端在线系统固件升级。</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四、触摸系统</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1、采用红外触控方式，支持Windows系统中进行40点或以上触控，支持在Android系统中进行40点或以上触控。</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2、从内部Android通道切换到内部PC通道后，触摸框在1s内达到可触控状态。从内部PC通道切换到外部通道后，触摸框在3s内达到可触控状态。</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3、触摸屏在照度100K LUX（勒克斯）环境下仍能正常工作。</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五，嵌入式系统</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 嵌入式系统版本不低于Android 14，主频≥1.8GHz，内存≥2GB，存储空间≥8GB。</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 无PC状态下，嵌入式Android操作系统下可使用白板书写、WPS软件和网页浏览。</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六、内置云电脑模块</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1、采用模块化电脑方案，抽拉内置式，OPS模块可完全插入整机，保护OPS模块不易受教室灰尘影响，OPS模块可抽拉式插入整机，可实现无单独接线的插拔。</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2、OPS和整机的连接采用万兆级接口，传输速率≥10Gbps。</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3、采用按压式卡扣，无需工具即可快速拆卸电脑模块。</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4、主板：集成资源扩展模块、计算处理模块、音频扩展模块等，主板的互联拓扑可通过处理器或交换电路实现。</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▲5、处理器：四核八线程或以上，主频2.0Ghz或以上。符合国家安全可靠测评要求。</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6、内存：16G DDR4笔记本内存或以上配置；</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7、硬盘：256G或以上SSD ；固态盘数量≥1；</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★8、在配置管理平台使用终端设备时，支持统一互通的用户身份认证服务，账号登录进入云桌面镜像后，打开教学白板软件、学生行为评价软件的教学应用工具时无需再次输入账号密码重复登录。</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★9、支持当使用桌面镜像功能时发生系统无法启动、系统异常等情况，可通过手势在屏幕上调取触摸中控菜单，进行系统恢复至出厂默认状态，无需连接网络、无需连接管理平台、无需额外工具辅助。</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10、支持交互大屏在系统恢复后，公共数据分区（如D盘等非系统分区）的数据能够得到保留，不受还原影响，从而不影响教学使用。</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11、支持诊断网络，支持检测与管理平台的通讯状态，支持TCP延迟、ICMP延迟、上传下载速度检测。</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★12、支持终端设备运行时无需运行独立的虚拟化系统，终端设备配置的IP与进入云桌面镜像后的IP能够保持一致，同一个终端无需使用多个IP，简化运维管理与网络规划复杂度。</w:t>
            </w:r>
            <w:r>
              <w:rPr>
                <w:rFonts w:hint="eastAsia" w:ascii="宋体" w:hAnsi="宋体" w:eastAsia="宋体" w:cs="宋体"/>
                <w:color w:val="auto"/>
                <w:kern w:val="2"/>
                <w:sz w:val="21"/>
                <w:szCs w:val="21"/>
                <w:highlight w:val="none"/>
                <w:shd w:val="clear" w:color="auto" w:fill="auto"/>
                <w:lang w:val="en-US" w:eastAsia="zh-CN" w:bidi="ar-SA"/>
              </w:rPr>
              <w:t>（提供有资质的第三方检测机构出具的检测报告扫描件）</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▲13、模块预装正版操作系统，包括且不限于统信、麒麟等。符合国家安全可靠测评要求。</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★14、配置独立显卡，显存≥1G 。</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七、系统工具</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书写工具：</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1、书写：提供硬笔、毛笔、荧光笔、智能笔、激光笔、竹笔、对象笔、纹理笔。</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2、板擦：支持点擦除、区域擦除及全部擦除（清页操作）,并可支持在选择笔工具状态下直接通过手势识别动作实现擦除。</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3、多点支持：支持同时对两个或以上的图片、音视频、图形对象进行多点缩放与旋转功能，支持三点以上同时书写操作。</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4、边写边擦：支持两到三个人在选择书写工具的状态下同时书写和擦除，互不影响，方便不同学生在屏幕上同时书写。</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5、文本输入：提供键盘输入文本，并可对文本内容统一编辑与排版。</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6、手写识别：支持手写中文与英文自动识别。</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7、手势操作：在书写状态下，支持多种手势的快捷操作，如选择对象、漫游、擦除等。</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8、页面无限漫游：支持页面书写区域无限延伸，提供页面缩略图导航，可快速定位书写区域，同时也支持对整个页面或局部进行放大和缩小。</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9、多学科模式支持：提供语文、数学、英语、物理、化学教学场景，在各学科教学场景中提供相应的教学工具。</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10、教学小工具：提供遮幕、日历、时钟、聚光灯、屏幕截图、放大镜、计算器、屏幕录制、板中板、实物展台等教学展示的辅助功能；屏幕截图提供全屏截图、矩形截图、任意区域截图。</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11、Office集成：提供PPT、Word、Excel文档的嵌入打开，演示、批注，及批注保存功能。</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★12、支持智能书写功能，书写文字自动识别为标准印刷体，支持图形识别功能，可将多种手绘图形转化为矩形、三角形、圆形等标准图形。。</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线上教学工具：</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1)软件支持微信扫码登录，无需输入帐号密码即可实现登录互动课堂。</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2)支持按键拨号形式，直接拨号呼叫连接动课堂连，实现远程教学。</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3)互动课堂视频界面支持至少两种画面设置，适应不同场景画面布局需求。</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4)线上教学应用提供不少于9个学科工具，支持语文、数学、英语等。</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5)支持用户在线打开云课件，无需下载，即可在线打开并展示课件及讲授。</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6)互动课堂活动：支持互动课堂中可对本地班级、听课班级中表现好的班级发送点评奖励，每堂课可统计各班点评总分，并在课上一键展示最高得分的班级进行表扬。</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★7）支持用户无需通过平台，直接创建网络教研，即时生成教研二维码，扫码可进行查看教研简介、发送点评等。</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具有多系统兼容性。除适配Windows操作系统外，至少能与主流国产操作系统（鸿蒙、UOS、麒麟、深度）其中一个适配并正常安装运行。</w:t>
            </w:r>
            <w:r>
              <w:rPr>
                <w:rFonts w:hint="eastAsia" w:ascii="宋体" w:hAnsi="宋体" w:eastAsia="宋体" w:cs="宋体"/>
                <w:color w:val="auto"/>
                <w:kern w:val="2"/>
                <w:sz w:val="21"/>
                <w:szCs w:val="21"/>
                <w:highlight w:val="none"/>
                <w:shd w:val="clear" w:color="auto" w:fill="auto"/>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9）、具有互动式教学课件资源，包含学科教育各学段教材版本全部教学章节、专题教育多个主题教育、特殊教育3大分类的不少于150000份的互动课件，其中学科教育各学段各地区教材版本不少于140个。</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10）、课件定向分享：互动教学课件支持定向分享，分享者可将互动课件、课件组推送至指定接收方账号云空间，接收方可在云空间接收并打开分享课件。</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kern w:val="2"/>
                <w:sz w:val="21"/>
                <w:szCs w:val="21"/>
                <w:highlight w:val="none"/>
                <w:shd w:val="clear" w:color="auto" w:fill="auto"/>
                <w:lang w:val="en-US" w:eastAsia="zh-CN" w:bidi="ar-SA"/>
              </w:rPr>
              <w:t>11）、支持电子化听评课，支持在授课模式中发起授课评价，根据课程和评课表生成二维码，可选择是否分享课件，若选择分享课件，评课人通过扫码即可参与评课并获取课件。</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12）公网直播：老师可设置直播模式为公网直播，可自由发起公网直播活动，每场直播支持至少1000个点同时观看，不限直播次数。直播界面可查询目前所有已开课的直播课堂，课堂信息包括录播教室名称、直播课程内容、直播时间。教师可对自己的视频进行修改、删除和提交操作。</w:t>
            </w:r>
          </w:p>
          <w:p>
            <w:pPr>
              <w:pStyle w:val="14"/>
              <w:ind w:left="0" w:leftChars="0" w:firstLine="0" w:firstLineChars="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集中控制工具：</w:t>
            </w:r>
          </w:p>
          <w:p>
            <w:pPr>
              <w:numPr>
                <w:ilvl w:val="0"/>
                <w:numId w:val="0"/>
              </w:num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w:t>
            </w:r>
            <w:r>
              <w:rPr>
                <w:rFonts w:hint="eastAsia" w:ascii="宋体" w:hAnsi="宋体" w:eastAsia="宋体" w:cs="宋体"/>
                <w:color w:val="auto"/>
                <w:kern w:val="2"/>
                <w:sz w:val="21"/>
                <w:szCs w:val="21"/>
                <w:highlight w:val="none"/>
                <w:shd w:val="clear" w:color="auto" w:fill="auto"/>
                <w:lang w:val="en-US" w:eastAsia="zh-CN" w:bidi="ar-SA"/>
              </w:rPr>
              <w:t>后台控制端采用B/S架构设计，可在Windows、Linux、Android、IOS等多种不同的操作系统上通过网页浏览器登陆进行操作，可控制在局域网或互联网内的一体机终端设备。</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教室受控端：</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2．使用校园集控系统的每个学校/区域拥有专属代码，该学校/区域的一体机设备只需接入互联网，并在受控端输入该代码进行连接，管理员即可在后台对设备进行远程管理。</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3．可在一体机桌面查看设备基本信息，如：尺寸、分辨率、系统、CPU、安卓版本等信息，方便授课老师管理设备。</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4．支持按照一体机安装的年级、班级，设置教室受控端的名称，方便管理员对应管理。</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校园控制：</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5．远程监控：在控制端网页可实时监控已连接的一体机，可远程查看开关机状态、使用状态评估、整机温度、以及系统内存、硬盘空间等设备信息。</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6．远程设备控制：在控制端网页可对已连接的一体机进行实时控制，包括开关机、切换通道、更改图像及声音模式、锁屏等功能。</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7．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8．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9．任意通道信息发布：可远程对选定的一体机在任意通道下即时发布走马灯文字信息和屏幕常驻信息，可设置播放次数，选择播放位置。</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10．数据统计：控制端可根据设备使用情况，生成多个数据报表，包括开机次数、使用人数累计、活跃人数、软件使用次数、学科使用率等，方便管理员检查设备使用情况。</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11．管理员分组：系统可将管理权限分配给多个管理员，共同管理受控范围内设备；顶级管理员可查看普通管理员进行的操作，并可对普通管理员进行权限管理，根据不同管理员职责开放适当权限。</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12．分组管理：顶级管理员可按照年级、楼层等，将一体机控制、监控等权限分配给对应的普通管理员，进行分组管理。</w:t>
            </w:r>
          </w:p>
          <w:p>
            <w:pPr>
              <w:pStyle w:val="13"/>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★13．为确保教育数据托付管理能力、存储能力及信息安全能力，所投产品制造商通过GB/T36073-2018《数据管理能力成熟度评估模型》认定</w:t>
            </w:r>
            <w:r>
              <w:rPr>
                <w:rFonts w:hint="eastAsia" w:ascii="宋体" w:hAnsi="宋体" w:cs="宋体"/>
                <w:color w:val="auto"/>
                <w:kern w:val="2"/>
                <w:sz w:val="21"/>
                <w:szCs w:val="21"/>
                <w:highlight w:val="none"/>
                <w:shd w:val="clear" w:color="auto" w:fill="auto"/>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2" w:hRule="atLeast"/>
        </w:trPr>
        <w:tc>
          <w:tcPr>
            <w:tcW w:w="873"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26" w:type="dxa"/>
            <w:noWrap w:val="0"/>
            <w:vAlign w:val="center"/>
          </w:tcPr>
          <w:p>
            <w:pPr>
              <w:jc w:val="center"/>
              <w:rPr>
                <w:rFonts w:hint="eastAsia" w:ascii="宋体" w:hAnsi="宋体" w:eastAsia="宋体" w:cs="宋体"/>
                <w:color w:val="auto"/>
                <w:sz w:val="21"/>
                <w:szCs w:val="21"/>
                <w:highlight w:val="none"/>
                <w:lang w:val="en-US" w:eastAsia="zh-CN"/>
              </w:rPr>
            </w:pPr>
            <w:bookmarkStart w:id="4" w:name="OLE_LINK2"/>
            <w:r>
              <w:rPr>
                <w:rFonts w:hint="eastAsia" w:ascii="宋体" w:hAnsi="宋体" w:eastAsia="宋体" w:cs="宋体"/>
                <w:color w:val="auto"/>
                <w:sz w:val="21"/>
                <w:szCs w:val="21"/>
                <w:highlight w:val="none"/>
                <w:lang w:val="en-US" w:eastAsia="zh-CN"/>
              </w:rPr>
              <w:t>绿板</w:t>
            </w:r>
            <w:bookmarkEnd w:id="4"/>
          </w:p>
        </w:tc>
        <w:tc>
          <w:tcPr>
            <w:tcW w:w="7271" w:type="dxa"/>
            <w:noWrap w:val="0"/>
            <w:vAlign w:val="center"/>
          </w:tcPr>
          <w:p>
            <w:pPr>
              <w:numPr>
                <w:ilvl w:val="0"/>
                <w:numId w:val="0"/>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基本尺寸约：外径4100mm*1300mm（根据电子白板或一体机实际尺寸），左右推拉结构。黑板由两块或四块书写绿板组成，一块固定一块滑动,或两块固定两块滑动，滑动板复合后锁上(钥匙通用)，板下方安装两个橡胶刷除粉尘。</w:t>
            </w:r>
          </w:p>
          <w:p>
            <w:pPr>
              <w:numPr>
                <w:ilvl w:val="0"/>
                <w:numId w:val="0"/>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2、书写面，优质烤漆板面，墨绿色、亚光，绿板厚度0.3mm以上。</w:t>
            </w:r>
          </w:p>
          <w:p>
            <w:pPr>
              <w:numPr>
                <w:ilvl w:val="0"/>
                <w:numId w:val="0"/>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3、内芯材料：高强度20克以上EBS聚苯乙烯泡沫板（泡沫板适应长期潮湿环境）。</w:t>
            </w:r>
          </w:p>
          <w:p>
            <w:pPr>
              <w:numPr>
                <w:ilvl w:val="0"/>
                <w:numId w:val="0"/>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背板产用双漆面加强拉筋镀锌板，厚度0.2mm以上。</w:t>
            </w:r>
          </w:p>
          <w:p>
            <w:pPr>
              <w:numPr>
                <w:ilvl w:val="0"/>
                <w:numId w:val="0"/>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5、外框：整体采用工业用铝合金、喷砂仿钢氧化，厚度1.2㎜，承重部位1.3mm以上。</w:t>
            </w:r>
          </w:p>
          <w:p>
            <w:pPr>
              <w:numPr>
                <w:ilvl w:val="0"/>
                <w:numId w:val="0"/>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6、轨道及滑轮：活动板上框采用一体化平行对称双U型槽轨道支持活动板T型垂直吊装四轮一组共两组消声吊轮，下框采用一体化平行对称单U型槽轨道支持活动板两轮一组共两组固定滑轮，防止书写时绿板抖动。</w:t>
            </w:r>
          </w:p>
          <w:p>
            <w:pPr>
              <w:pStyle w:val="2"/>
              <w:ind w:left="0" w:leftChars="0" w:firstLine="0" w:firstLineChars="0"/>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可根据用户需求调整。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873"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26" w:type="dxa"/>
            <w:noWrap w:val="0"/>
            <w:vAlign w:val="center"/>
          </w:tcPr>
          <w:p>
            <w:pPr>
              <w:jc w:val="center"/>
              <w:rPr>
                <w:rFonts w:hint="eastAsia" w:ascii="宋体" w:hAnsi="宋体" w:eastAsia="宋体" w:cs="宋体"/>
                <w:color w:val="auto"/>
                <w:sz w:val="21"/>
                <w:szCs w:val="21"/>
                <w:highlight w:val="none"/>
                <w:lang w:val="en-US" w:eastAsia="zh-CN"/>
              </w:rPr>
            </w:pPr>
            <w:bookmarkStart w:id="5" w:name="OLE_LINK3"/>
            <w:r>
              <w:rPr>
                <w:rFonts w:hint="eastAsia" w:ascii="宋体" w:hAnsi="宋体" w:eastAsia="宋体" w:cs="宋体"/>
                <w:color w:val="auto"/>
                <w:sz w:val="21"/>
                <w:szCs w:val="21"/>
                <w:highlight w:val="none"/>
                <w:lang w:val="en-US" w:eastAsia="zh-CN"/>
              </w:rPr>
              <w:t>安装施工</w:t>
            </w:r>
            <w:bookmarkEnd w:id="5"/>
          </w:p>
        </w:tc>
        <w:tc>
          <w:tcPr>
            <w:tcW w:w="7271" w:type="dxa"/>
            <w:noWrap w:val="0"/>
            <w:vAlign w:val="center"/>
          </w:tcPr>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新旧设备的拆除搬运和安装，以及所需要的线材辅料。</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b/>
          <w:bCs/>
          <w:color w:val="auto"/>
          <w:highlight w:val="none"/>
          <w:lang w:val="en-US" w:eastAsia="zh-CN"/>
        </w:rPr>
        <w:t>注：如果投标时要求提供检测报告、截图证明或承诺函的，请各供应商在投标文件中注明检测报告、截图证明或承诺函所在页码，以方便评审时查阅。</w:t>
      </w:r>
    </w:p>
    <w:p>
      <w:pPr>
        <w:spacing w:line="360" w:lineRule="auto"/>
        <w:rPr>
          <w:rFonts w:hint="eastAsia" w:ascii="宋体" w:hAnsi="宋体"/>
          <w:b/>
          <w:bCs/>
          <w:color w:val="auto"/>
          <w:highlight w:val="none"/>
          <w:lang w:val="en-US" w:eastAsia="zh-CN"/>
        </w:rPr>
      </w:pPr>
    </w:p>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三</w:t>
      </w:r>
      <w:r>
        <w:rPr>
          <w:rFonts w:hint="eastAsia" w:ascii="宋体" w:hAnsi="宋体"/>
          <w:b/>
          <w:bCs/>
          <w:color w:val="auto"/>
          <w:highlight w:val="none"/>
        </w:rPr>
        <w:t>、其他事项</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1、</w:t>
      </w:r>
      <w:r>
        <w:rPr>
          <w:rFonts w:hint="eastAsia" w:ascii="宋体" w:hAnsi="宋体"/>
          <w:b w:val="0"/>
          <w:bCs w:val="0"/>
          <w:color w:val="auto"/>
          <w:highlight w:val="none"/>
        </w:rPr>
        <w:t>关于报价</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本项目投标报价为完成招标文件所规定招标内容的一次性包干总报价，包含设备和材料采购、运输及装卸、安装集成、调试及试运行、备品备件费（随机备品备件已含于本合同价内）、产品保护、竣工验收、技术培训、保修期内的售后服务、利润、税金等内容。</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2、</w:t>
      </w:r>
      <w:r>
        <w:rPr>
          <w:rFonts w:hint="eastAsia" w:ascii="宋体" w:hAnsi="宋体"/>
          <w:b w:val="0"/>
          <w:bCs w:val="0"/>
          <w:color w:val="auto"/>
          <w:highlight w:val="none"/>
        </w:rPr>
        <w:t>关于验收</w:t>
      </w:r>
    </w:p>
    <w:p>
      <w:pPr>
        <w:spacing w:line="360" w:lineRule="auto"/>
        <w:rPr>
          <w:rFonts w:hint="eastAsia" w:ascii="宋体" w:hAnsi="宋体"/>
          <w:b w:val="0"/>
          <w:bCs w:val="0"/>
          <w:color w:val="auto"/>
          <w:highlight w:val="none"/>
        </w:rPr>
      </w:pPr>
      <w:r>
        <w:rPr>
          <w:rFonts w:hint="eastAsia" w:ascii="宋体" w:hAnsi="宋体"/>
          <w:color w:val="auto"/>
          <w:highlight w:val="none"/>
        </w:rPr>
        <w:t>项目安装、调试完成，经初验合格，进入试运行，试运行时间为</w:t>
      </w:r>
      <w:r>
        <w:rPr>
          <w:rFonts w:hint="eastAsia" w:ascii="宋体" w:hAnsi="宋体"/>
          <w:color w:val="auto"/>
          <w:highlight w:val="none"/>
          <w:lang w:val="en-US" w:eastAsia="zh-CN"/>
        </w:rPr>
        <w:t>一</w:t>
      </w:r>
      <w:r>
        <w:rPr>
          <w:rFonts w:hint="eastAsia" w:ascii="宋体" w:hAnsi="宋体"/>
          <w:color w:val="auto"/>
          <w:highlight w:val="none"/>
        </w:rPr>
        <w:t>个月</w:t>
      </w:r>
      <w:r>
        <w:rPr>
          <w:rFonts w:hint="eastAsia" w:ascii="宋体" w:hAnsi="宋体"/>
          <w:color w:val="auto"/>
          <w:highlight w:val="none"/>
        </w:rPr>
        <w:t>，试运行期满后，</w:t>
      </w:r>
      <w:r>
        <w:rPr>
          <w:rFonts w:hint="eastAsia" w:ascii="宋体" w:hAnsi="宋体"/>
          <w:b w:val="0"/>
          <w:bCs w:val="0"/>
          <w:color w:val="auto"/>
          <w:highlight w:val="none"/>
        </w:rPr>
        <w:t>由采购人进行统一验收。</w:t>
      </w:r>
      <w:r>
        <w:rPr>
          <w:rFonts w:hint="eastAsia" w:ascii="宋体" w:hAnsi="宋体"/>
          <w:b w:val="0"/>
          <w:bCs w:val="0"/>
          <w:color w:val="auto"/>
          <w:highlight w:val="none"/>
        </w:rPr>
        <w:t>系统验收合格的条件必须至少满足以下要求：已提供了合同要求的全部设备和资料；性能测试和试运行验收时出现的问题已被解决。</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验收过程中，采购人</w:t>
      </w:r>
      <w:r>
        <w:rPr>
          <w:rFonts w:hint="eastAsia" w:ascii="宋体" w:hAnsi="宋体"/>
          <w:b w:val="0"/>
          <w:bCs w:val="0"/>
          <w:color w:val="auto"/>
          <w:highlight w:val="none"/>
          <w:lang w:val="en-US" w:eastAsia="zh-CN"/>
        </w:rPr>
        <w:t>有权</w:t>
      </w:r>
      <w:r>
        <w:rPr>
          <w:rFonts w:hint="eastAsia" w:ascii="宋体" w:hAnsi="宋体"/>
          <w:b w:val="0"/>
          <w:bCs w:val="0"/>
          <w:color w:val="auto"/>
          <w:highlight w:val="none"/>
        </w:rPr>
        <w:t>对项目内的产品及设备对照招标参数要求及投标文件设备技术响应参数进行检测。由双方共同认可的有资质的第三方检测机构</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或政府采购监管部门指定的</w:t>
      </w:r>
      <w:r>
        <w:rPr>
          <w:rFonts w:hint="eastAsia" w:ascii="宋体" w:hAnsi="宋体"/>
          <w:b w:val="0"/>
          <w:bCs w:val="0"/>
          <w:color w:val="auto"/>
          <w:highlight w:val="none"/>
        </w:rPr>
        <w:t>检测机构</w:t>
      </w:r>
      <w:r>
        <w:rPr>
          <w:rFonts w:hint="eastAsia" w:ascii="宋体" w:hAnsi="宋体"/>
          <w:b w:val="0"/>
          <w:bCs w:val="0"/>
          <w:color w:val="auto"/>
          <w:highlight w:val="none"/>
          <w:lang w:eastAsia="zh-CN"/>
        </w:rPr>
        <w:t>）</w:t>
      </w:r>
      <w:r>
        <w:rPr>
          <w:rFonts w:hint="eastAsia" w:ascii="宋体" w:hAnsi="宋体"/>
          <w:b w:val="0"/>
          <w:bCs w:val="0"/>
          <w:color w:val="auto"/>
          <w:highlight w:val="none"/>
        </w:rPr>
        <w:t>进行检测，检测合格的，检测费用由采购人支付。如检测结果不符合国家相关标准或投标文件中的技术性能承诺的，检测费用由供应商支付，按本招标文件第</w:t>
      </w:r>
      <w:r>
        <w:rPr>
          <w:rFonts w:hint="eastAsia" w:ascii="宋体" w:hAnsi="宋体"/>
          <w:b w:val="0"/>
          <w:bCs w:val="0"/>
          <w:color w:val="auto"/>
          <w:highlight w:val="none"/>
          <w:lang w:val="en-US" w:eastAsia="zh-CN"/>
        </w:rPr>
        <w:t>五</w:t>
      </w:r>
      <w:r>
        <w:rPr>
          <w:rFonts w:hint="eastAsia" w:ascii="宋体" w:hAnsi="宋体"/>
          <w:b w:val="0"/>
          <w:bCs w:val="0"/>
          <w:color w:val="auto"/>
          <w:highlight w:val="none"/>
        </w:rPr>
        <w:t>部分</w:t>
      </w:r>
      <w:r>
        <w:rPr>
          <w:rFonts w:hint="eastAsia" w:ascii="宋体" w:hAnsi="宋体"/>
          <w:b w:val="0"/>
          <w:bCs w:val="0"/>
          <w:color w:val="auto"/>
          <w:highlight w:val="none"/>
          <w:lang w:val="en-US" w:eastAsia="zh-CN"/>
        </w:rPr>
        <w:t>采购合同</w:t>
      </w:r>
      <w:r>
        <w:rPr>
          <w:rFonts w:hint="eastAsia" w:ascii="宋体" w:hAnsi="宋体"/>
          <w:b w:val="0"/>
          <w:bCs w:val="0"/>
          <w:color w:val="auto"/>
          <w:highlight w:val="none"/>
        </w:rPr>
        <w:t>的相关条款处理，另外采购人将报政府采购监管部门进行处理。</w:t>
      </w:r>
    </w:p>
    <w:p>
      <w:pPr>
        <w:spacing w:line="360" w:lineRule="auto"/>
        <w:rPr>
          <w:rFonts w:hint="eastAsia" w:ascii="宋体" w:hAnsi="宋体"/>
          <w:b w:val="0"/>
          <w:bCs w:val="0"/>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四</w:t>
      </w:r>
      <w:r>
        <w:rPr>
          <w:rFonts w:hint="eastAsia" w:ascii="宋体" w:hAnsi="宋体"/>
          <w:b/>
          <w:bCs/>
          <w:color w:val="auto"/>
          <w:highlight w:val="none"/>
        </w:rPr>
        <w:t>、特别说明</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1、采购需求中，带“▲”（如有）的为实质性条款，不得出现负偏离，否则做无效标处理。技术指标中带“★”（如有）为重要指标，不满足将按评标办法进行扣分。</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2、采购需求中的品牌、型号（如有）仅供投标人参考，没有任何限制性，投标人可选择同等或更优档次的产品，但必须满足相应（实质性）技术要求、规格及安装条件。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3、投标人应自行组织现场踏勘（如有需要），自行确定货物的安装方法和安装费用，并将安装费用列入报价，安装费用中标后不予调整。</w:t>
      </w:r>
    </w:p>
    <w:p>
      <w:pPr>
        <w:spacing w:line="360" w:lineRule="auto"/>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4、采购需求中，产品示例所列的品牌型号，都是完全满足技术参数要求的，如投标供应商提供的投标产品是采购人示例产品所列品牌型号的，视为满足采购技术要求，不存在技术偏离。投标前，如发现采购人提供的示例产品品牌型号，不能完全满足技术参数要求的，应及时向采购人或采购代理机构提出。</w:t>
      </w:r>
    </w:p>
    <w:p>
      <w:pPr>
        <w:spacing w:line="360" w:lineRule="auto"/>
        <w:rPr>
          <w:rFonts w:hint="eastAsia" w:ascii="宋体" w:hAnsi="宋体"/>
          <w:b w:val="0"/>
          <w:bCs w:val="0"/>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color w:val="auto"/>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 xml:space="preserve">部分  </w:t>
      </w:r>
      <w:r>
        <w:rPr>
          <w:rFonts w:hint="eastAsia" w:ascii="宋体" w:hAnsi="宋体" w:eastAsia="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rPr>
        <w:t>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pStyle w:val="4"/>
        <w:pageBreakBefore w:val="0"/>
        <w:kinsoku/>
        <w:wordWrap/>
        <w:overflowPunct/>
        <w:topLinePunct w:val="0"/>
        <w:bidi w:val="0"/>
        <w:snapToGrid/>
        <w:spacing w:after="0" w:line="360" w:lineRule="auto"/>
        <w:jc w:val="center"/>
        <w:textAlignment w:val="auto"/>
        <w:rPr>
          <w:rFonts w:hint="eastAsia" w:ascii="宋体" w:hAnsi="宋体" w:eastAsia="宋体" w:cs="宋体"/>
          <w:b/>
          <w:bCs/>
          <w:color w:val="auto"/>
          <w:spacing w:val="-20"/>
          <w:kern w:val="44"/>
          <w:sz w:val="48"/>
          <w:szCs w:val="48"/>
          <w:highlight w:val="none"/>
        </w:rPr>
      </w:pPr>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（购买现成货物）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第一节 政府采购合同协议书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甲方（全称）：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乙方（全称）：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依据《中华人民共和国民法典》、《中华人民共和国政府采购法》等有关的法律法规，以及本采购项目的</w:t>
      </w:r>
      <w:r>
        <w:rPr>
          <w:rFonts w:hint="eastAsia" w:ascii="宋体" w:hAnsi="宋体" w:eastAsia="宋体" w:cs="宋体"/>
          <w:color w:val="auto"/>
          <w:highlight w:val="none"/>
          <w:lang w:eastAsia="zh-CN"/>
        </w:rPr>
        <w:t>招标/谈判文件</w:t>
      </w:r>
      <w:r>
        <w:rPr>
          <w:rFonts w:hint="eastAsia" w:ascii="宋体" w:hAnsi="宋体" w:eastAsia="宋体" w:cs="宋体"/>
          <w:color w:val="auto"/>
          <w:highlight w:val="none"/>
          <w:lang w:eastAsia="zh-CN"/>
        </w:rPr>
        <w:t>等采购文件、乙方的《投标（响应）文件》及《中标（成交）通知书》，甲乙双方同意签订本合同。具体情况及要求如下：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1、项目信息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（1）采购项目名称：</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采购项目编号：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（2）采购计划编号：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（3）项目内容：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采购标的及数量（台/套/个/架/组等）：</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none"/>
          <w:lang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lang w:eastAsia="zh-CN"/>
        </w:rPr>
        <w:t>规格型号：</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采购标的的技术要求、商务要求具体见附件。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涉及信息类产品，</w:t>
      </w:r>
      <w:r>
        <w:rPr>
          <w:rFonts w:hint="eastAsia" w:ascii="宋体" w:hAnsi="宋体" w:eastAsia="宋体" w:cs="宋体"/>
          <w:color w:val="auto"/>
          <w:highlight w:val="none"/>
          <w:lang w:val="en-US" w:eastAsia="zh-CN"/>
        </w:rPr>
        <w:t>该</w:t>
      </w:r>
      <w:r>
        <w:rPr>
          <w:rFonts w:hint="eastAsia" w:ascii="宋体" w:hAnsi="宋体" w:eastAsia="宋体" w:cs="宋体"/>
          <w:color w:val="auto"/>
          <w:highlight w:val="none"/>
          <w:lang w:eastAsia="zh-CN"/>
        </w:rPr>
        <w:t>产品关键部件的品牌、型号：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标的名称：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关键部件：</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型号：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关键部件：</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型号：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关键部件：</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型号：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（注：关键部件是指财政部会同有关部门发布的政府采购需求标准规定的需要通过国家有关部门指定的测评机构开展的安全可靠测评的软硬件，如CPU芯片、操作系统、数据库等。）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（4）政府采购组织形式：</w:t>
      </w:r>
      <w:r>
        <w:rPr>
          <w:rFonts w:hint="eastAsia" w:ascii="宋体" w:hAnsi="宋体" w:eastAsia="宋体" w:cs="宋体"/>
          <w:color w:val="auto"/>
          <w:highlight w:val="none"/>
          <w:lang w:eastAsia="zh-CN"/>
        </w:rPr>
        <w:t>政府集中采购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（5）政府采购方式：</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公开招标</w:t>
      </w:r>
      <w:r>
        <w:rPr>
          <w:rFonts w:hint="eastAsia" w:ascii="宋体" w:hAnsi="宋体" w:cs="宋体"/>
          <w:color w:val="auto"/>
          <w:highlight w:val="none"/>
          <w:lang w:val="en-US"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lang w:val="en-US" w:eastAsia="zh-CN"/>
        </w:rPr>
        <w:t xml:space="preserve">竞争性磋商    </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lang w:val="en-US" w:eastAsia="zh-CN"/>
        </w:rPr>
        <w:t xml:space="preserve">询价    </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lang w:val="en-US" w:eastAsia="zh-CN"/>
        </w:rPr>
        <w:t>单一来源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（6）中标（成交）采购标的制造商是否为中小企业：</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本合同是否为专门面向中小企业的采购合同（中小企业预留合同）：</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若本项目不专门面向中小企业采购，是否给予小微企业评审优惠：</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中标（成交）采购标的制造商是否为残疾人福利性单位：</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中标（成交）采购标的制造商是否为监狱企业：</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（7）合同是否分包：</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分包主要内容：</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分包供应商/制造商名称（如供应商和制造商不同，请分别填写）：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分包供应商/制造商类型（如果供应商和制造商不同，只填写制造商类型）：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大型企业</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中型企业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小微型企业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残疾人福利性单位</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监狱企业</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（8）中标（成交）供应商是否为外商投资企业：</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外商投资企业类型：</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全部由外国投资者投资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部分由外国投资者投资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（9）是否涉及进口产品：否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（10）是否涉及节能产品：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是，《节能产品政府采购品目清单》的底级品目名称：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强制采购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优先采购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是否涉及环境标志产品：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是，《环境标志产品政府采购品目清单》的底级品目名称：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强制采购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优先采购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是否涉及绿色产品：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是，绿色产品政府采购相关政策确定的底级品目名称：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强制采购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优先采购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（11）涉及商品包装和快递包装的，是否参考《商品包装政府采购需求标准（试行）》、《快递包装政府采购需求标准（试行）》明确产品及相关快递服务的具体包装要求：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否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不涉及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2、合同金额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（1）合同金额小写：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大写：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分包金额（如有）小写：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大写：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（2）合同定价方式：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固定总价</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固定单价</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固定费率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（3）付款方式（按项目实际勾选填写）：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全额付款：</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（应明确一次性支付合同款项的条件）</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分期付款：</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（应明确分期支付合同款项的各期比例和支付条件，各期支付条件应与分期履约验收情况挂钩）</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，其中涉及预付款的：</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（应明确预付款的支付比例和支付条件）</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3、合同履行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（1）起始日期：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日，完成日期：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（2）履约地点：</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（3）履约担保：是否收取履约保证金：</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收取履约保证金形式：</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收取履约保证金金额：</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履约担保期限：</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（4）分期履行要求：</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（5）风险处置措施和替代方案：</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4、合同验收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（1）验收组织方式：</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自行组织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委托第三方组织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验收主体：</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是否邀请本项目的其他供应商参加验收：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是否邀请专家参加验收：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是否邀请服务对象参加验收：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是否邀请第三方检测机构参加验收：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是否进行抽查检测：</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是，抽查比例：</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是否存在破坏性检测：</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u w:val="single"/>
          <w:lang w:eastAsia="zh-CN"/>
        </w:rPr>
        <w:t>（应明确对被破坏的检测产品的处理方式）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验收组织的其他事项：</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（2）履约验收时间：</w:t>
      </w:r>
      <w:r>
        <w:rPr>
          <w:rFonts w:hint="eastAsia" w:ascii="宋体" w:hAnsi="宋体" w:eastAsia="宋体" w:cs="宋体"/>
          <w:color w:val="auto"/>
          <w:highlight w:val="none"/>
          <w:u w:val="single"/>
          <w:lang w:eastAsia="zh-CN"/>
        </w:rPr>
        <w:t xml:space="preserve">（计划于何时验收/供应商提出验收申请之日起   日内组织验收）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（3）履约验收方式：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一次性验收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分期/分项验收：</w:t>
      </w:r>
      <w:r>
        <w:rPr>
          <w:rFonts w:hint="eastAsia" w:ascii="宋体" w:hAnsi="宋体" w:eastAsia="宋体" w:cs="宋体"/>
          <w:color w:val="auto"/>
          <w:highlight w:val="none"/>
          <w:u w:val="single"/>
          <w:lang w:eastAsia="zh-CN"/>
        </w:rPr>
        <w:t xml:space="preserve"> （应明确分期/分项验收的工作安排）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（4）履约验收程序：</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（5）履约验收的内容：</w:t>
      </w:r>
      <w:r>
        <w:rPr>
          <w:rFonts w:hint="eastAsia" w:ascii="宋体" w:hAnsi="宋体" w:eastAsia="宋体" w:cs="宋体"/>
          <w:color w:val="auto"/>
          <w:highlight w:val="none"/>
          <w:u w:val="single"/>
          <w:lang w:eastAsia="zh-CN"/>
        </w:rPr>
        <w:t xml:space="preserve"> （应当包括每一项技术和商务要求的履约情况，特别是落实政府采购扶持中小企业，支持绿色发展和乡村振兴等政策情况）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（6）履约验收标准：</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（7）是否以采购活动中供应商提供的样品作为参考：</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（8）履约验收其他事项：</w:t>
      </w:r>
      <w:r>
        <w:rPr>
          <w:rFonts w:hint="eastAsia" w:ascii="宋体" w:hAnsi="宋体" w:eastAsia="宋体" w:cs="宋体"/>
          <w:color w:val="auto"/>
          <w:highlight w:val="none"/>
          <w:u w:val="single"/>
          <w:lang w:eastAsia="zh-CN"/>
        </w:rPr>
        <w:t xml:space="preserve">      （产权过户登记等）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5、组成合同的文件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本协议书与下列文件一起构成合同文件，如下述文件之间有任何抵触、矛盾或歧义，应按以下顺序解释：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（1）政府采购合同协议书及其变更、补充协议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（2）政府采购合同专用条款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（3）政府采购合同通用条款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（4）中标（成交）通知书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（5）投标（响应）文件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（6）采购文件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（7）有关技术文件，图纸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（8）国家法律、行政法规和规章制度规定或合同约定的作为合同组成部分的其他文件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6、合同生效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本合同自</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7、合同份数</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本合同一式</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份，甲方执</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份，乙方执</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w:t>
      </w:r>
      <w:r>
        <w:rPr>
          <w:rFonts w:hint="eastAsia" w:ascii="宋体" w:hAnsi="宋体" w:cs="宋体"/>
          <w:color w:val="auto"/>
          <w:highlight w:val="none"/>
          <w:lang w:val="en-US" w:eastAsia="zh-CN"/>
        </w:rPr>
        <w:t>区</w:t>
      </w:r>
      <w:r>
        <w:rPr>
          <w:rFonts w:hint="eastAsia" w:ascii="宋体" w:hAnsi="宋体" w:eastAsia="宋体" w:cs="宋体"/>
          <w:color w:val="auto"/>
          <w:highlight w:val="none"/>
        </w:rPr>
        <w:t>政务服务中心</w:t>
      </w:r>
      <w:r>
        <w:rPr>
          <w:rFonts w:hint="eastAsia" w:ascii="宋体" w:hAnsi="宋体" w:cs="宋体"/>
          <w:color w:val="auto"/>
          <w:highlight w:val="none"/>
          <w:lang w:val="en-US" w:eastAsia="zh-CN"/>
        </w:rPr>
        <w:t>一份</w:t>
      </w:r>
      <w:r>
        <w:rPr>
          <w:rFonts w:hint="eastAsia" w:ascii="宋体" w:hAnsi="宋体"/>
          <w:color w:val="auto"/>
          <w:highlight w:val="none"/>
          <w:lang w:eastAsia="zh-CN"/>
        </w:rPr>
        <w:t>，</w:t>
      </w:r>
      <w:r>
        <w:rPr>
          <w:rFonts w:hint="eastAsia" w:ascii="宋体" w:hAnsi="宋体" w:eastAsia="宋体" w:cs="宋体"/>
          <w:color w:val="auto"/>
          <w:highlight w:val="none"/>
          <w:lang w:eastAsia="zh-CN"/>
        </w:rPr>
        <w:t>均具有同等法律效力。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合同订立时间：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合同订立地点：</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附件：</w:t>
      </w:r>
      <w:r>
        <w:rPr>
          <w:rFonts w:hint="eastAsia" w:ascii="宋体" w:hAnsi="宋体" w:eastAsia="宋体" w:cs="宋体"/>
          <w:color w:val="auto"/>
          <w:highlight w:val="none"/>
          <w:lang w:eastAsia="zh-CN"/>
        </w:rPr>
        <w:t>具体标的及其技术要求和商务要求、联合协议、分包意向协议等。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tbl>
      <w:tblPr>
        <w:tblStyle w:val="7"/>
        <w:tblW w:w="4995"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53"/>
        <w:gridCol w:w="2618"/>
        <w:gridCol w:w="1910"/>
        <w:gridCol w:w="257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59" w:hRule="atLeast"/>
        </w:trPr>
        <w:tc>
          <w:tcPr>
            <w:tcW w:w="2525" w:type="pct"/>
            <w:gridSpan w:val="2"/>
            <w:tcBorders>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或采购文件约定的合同甲方）</w:t>
            </w:r>
          </w:p>
        </w:tc>
        <w:tc>
          <w:tcPr>
            <w:tcW w:w="2474" w:type="pct"/>
            <w:gridSpan w:val="2"/>
            <w:tcBorders>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079" w:type="pct"/>
            <w:vMerge w:val="restart"/>
            <w:tcBorders>
              <w:top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446" w:type="pct"/>
            <w:vMerge w:val="restart"/>
            <w:tcBorders>
              <w:top w:val="single" w:color="auto" w:sz="2" w:space="0"/>
              <w:left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vMerge w:val="continue"/>
            <w:tcBorders>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vMerge w:val="continue"/>
            <w:tcBorders>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拥有者性别</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通信地址</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通信地址</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注：涉及联合体或其他合同主体的信息应按上表格式加列。</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第二节 政府采购合同通用条款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1.1合同当事人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lang w:eastAsia="zh-CN"/>
        </w:rPr>
        <w:t>采购人（以下称甲方）</w:t>
      </w:r>
      <w:r>
        <w:rPr>
          <w:rFonts w:hint="eastAsia" w:ascii="宋体" w:hAnsi="宋体" w:eastAsia="宋体" w:cs="宋体"/>
          <w:color w:val="auto"/>
          <w:highlight w:val="none"/>
          <w:lang w:eastAsia="zh-CN"/>
        </w:rPr>
        <w:t>是指使用财政性资金，通过政府采购方式向供应商购买货物及其相关服务的国家机关、事业单位、团体组织。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（2）供应商（以下称乙方）是指参加政府采购活动并且中标（成交），向采购人提供合同约定的货物及其相关服务的法人、非法人组织或者自然人。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lang w:eastAsia="zh-CN"/>
        </w:rPr>
        <w:t>其他合同主体</w:t>
      </w:r>
      <w:r>
        <w:rPr>
          <w:rFonts w:hint="eastAsia" w:ascii="宋体" w:hAnsi="宋体" w:eastAsia="宋体" w:cs="宋体"/>
          <w:color w:val="auto"/>
          <w:highlight w:val="none"/>
          <w:lang w:eastAsia="zh-CN"/>
        </w:rPr>
        <w:t>是指除采购人和供应商以外，依法参与合同缔结或履行，享有权利、承担义务的合同当事人。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1.2本合同下列术语应解释为：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（2）“合同价款”系指根据本合同规定乙方在全面履行合同义务后甲方应支付给乙方的价款。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（3）“货物”系指乙方根据本合同规定须向甲方提供的各种形态和种类的物品，包括原材料、设备、产品（包括软件）及相关的其备品备件、工具、手册及其他技术资料和材料等。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（5）“分包”系指中标（成交）供应商按采购文件、投标（响应）文件的规定，根据分包意向协议，将中标（成交）项目中的部分履约内容，分给具有相应资质条件的供应商履行合同的行为。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（7）其他术语解释，见</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2、合同标的及金额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2.1合同标的及金额应与中标（成交）结果一致。乙方为履行本合同而发生的所有费用均应包含在合同价款中，甲方不再另行支付其他任何费用。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3、履行合同的时间、地点和方式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3.1乙方应当在约定的时间、地点，按照约定方式履行合同。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4、甲方的权利和义务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4.1签署合同后，甲方应确定项目负责人（或项目联系人），负责与本合同有关的事务。甲方有权对乙方的履约行为进行检查，并及时确认乙方提交的事项。甲方应当配合乙方完成相关项目实施工作。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4.2甲方有权要求乙方按时提交各阶段有关安排计划，并有权定期核对乙方提供货物数量、规格、质量等内容。甲方有权督促乙方工作并要求乙方更换不符合要求的货物。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4.3甲方有权要求乙方对缺陷部分予以修复，并按合同约定享有货物保修及其他合同约定的权利。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4.4甲方应当按照合同约定及时对交付的货物进行验收，未在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约定的期限内对乙方履约提出任何异议或者向乙方作出任何说明的，视为验收通过。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4.5甲方应当根据合同约定及时向乙方支付合同价款，不得以内部人员变更、履行内部付款流程等为由，拒绝或迟延支付。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4.6国家法律法规规定及</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约定应由甲方承担的其他义务和责任。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5、乙方的权利和义务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5.1签署合同后，乙方应确定项目负责人（或项目联系人），负责与本合同有关的事务。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5.3乙方有权根据合同约定向甲方收取合同价款。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5.4国家法律法规规定及</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约定应由乙方承担的其他义务和责任。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6、合同履行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6.1甲乙双方应当按照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约定顺序履行合同义务；如果没有先后顺序的，应当同时履行。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6.2甲乙双方按照合同约定顺序履行合同义务时，应当先履行一方未履行的，后履行一方有权拒绝其履行请求。先履行一方履行不符合约定的，后履行一方有权拒绝其相应的履行请求。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7、货物包装、运输、保险和交付要求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7.1本合同涉及商品包装、快递包装的，除</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另有约定外，包装应适应远距离运输、防潮、防震、防锈和防野蛮装卸等要求，确保货物安全无损地运抵</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约定的指定现场。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7.2除</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另有约定外，乙方负责办理将货物运抵本合同规定的交货地点，并装卸、交付至甲方的一切运输事项，相关费用应包含在合同价款中。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7.3货物保险要求按</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7.5乙方在运输到达之前应提前通知甲方，并提示货物运输装卸的注意事项，甲方配合乙方做好货物的接收工作。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7.6如因包装、运输问题导致货物损毁、丢失或者品质下降，甲方有权要求降价、换货、拒收部分或整批货物，由此产生的费用和损失，均由乙方承担。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8、质量标准和保证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8.1质量标准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（3）乙方所提供的货物应符合国家有关安全、环保、卫生的规定。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（4）乙方应向甲方提交所提供货物的技术文件，包括相应的中文技术文件，如：产品目录、图纸、操作手册、使用说明、维护手册或服务指南等。上述文件应包装好随货物一同发运。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8.2保证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规定或乙方书面承诺（两者以较长的为准）的质量保证期内，本保证保持有效。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（2）在质量保证期内所发现的缺陷，甲方应尽快以书面形式通知乙方。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（3）乙方收到通知后，应在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规定的响应时间内以合理的速度免费维修或更换有缺陷的货物或部件。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（4）在质量保证期内，如果货物的质量或规格与合同不符，或证实货物是有缺陷的，包括潜在的缺陷或使用不符合要求的材料等，甲方可以根据本合同第15.1条规定以书面形式追究乙方的违约责任。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（5）乙方在约定的时间内未能弥补缺陷，甲方可采取必要的补救措施，但其风险和费用将由乙方承担，甲方根据合同约定对乙方行使的其他权利不受影响。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9、权利瑕疵担保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9.1乙方保证对其出售的货物享有合法的权利。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9.2乙方保证在交付的货物上不存在抵押权等担保物权。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9.3如甲方使用上述货物构成对第三人侵权的，则由乙方承担全部责任。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10、知识产权保护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10.1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11、保密义务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12、合同价款支付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12.1合同价款支付按照国库集中支付制度及财政管理相关规定执行。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13、履约保证金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13.1乙方应当以支票、汇票、本票或者金融机构、担保机构出具的保函等非现金形式提交。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13.2如果乙方出现</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约定情形的，履约保证金不予退还；如果乙方未能按合同约定全面履行义务，甲方有权从履约保证金中取得补偿或赔偿，且不影响甲方要求乙方承担合同约定的超过履约保证金的违约责任的权利。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13.3甲方在项目通过验收后按照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规定的时间内将履约保证金退还乙方；逾期退还的，乙方可要求甲方支付违约金，违约金按照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14、售后服务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14.1除项目不涉及或采购活动中明确约定无须承担外，乙方还应提供下列服务：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（1）货物的现场移动、安装、调试、启动监督及技术支持；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（2）提供货物组装和维修所需的专用工具和辅助材料；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约定的期限内对所有的货物实施运行监督、维修，但前提条件是该服务并不能免除乙方在质量保证期内所承担的义务；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（4）在制造商所在地或指定现场就货物的安装、启动、运营、维护、废弃处置等对甲方操作人员进行培训；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（5）依照法律、行政法规的规定或者按照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约定，货物在有效使用年限届满后应予回收的，乙方负有自行或者委托第三人对货物予以回收的义务；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规定由乙方提供的其他服务。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14.2乙方提供的售后服务的费用已包含在合同价款中，甲方不再另行支付。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15、违约责任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15.1质量瑕疵的违约责任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乙方提供的产品不符合合同约定的质量标准或存在产品质量缺陷，甲方有权要求乙方根据</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要求及时修理、重作、更换，并承担由此给甲方造成的损失。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15.2迟延交货的违约责任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（2）如果乙方没有按照合同规定的时间交货和提供相关服务，甲方有权从货款中扣除误期赔偿费而不影响合同项下的其他补救方法，赔偿费按</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规定执行。如果涉及公共利益，且赔偿金额无法弥补公共利益损失，甲方可要求继续履行或者采取其他补救措施。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15.3迟延支付的违约责任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甲方存在迟延支付乙方合同款项的，应当承担</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规定的逾期付款利息。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15.4其他违约责任根据项目实际需要按</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16、合同变更、中止与终止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16.1合同的变更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政府采购合同履行中，在不改变合同其他条款的前提下，甲方可以在合同价款10%的范围内追加与合同标的相同的货物，并就此与乙方协商一致后签订补充协议。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16.2合同的中止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（1）合同履行过程中因供应商就采购文件、采购过程或结果提起投诉的，甲方认为有必要的，可以中止合同的履行。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（2）合同履行过程中，如果乙方出现以下情形之一的：</w:t>
      </w:r>
      <w:r>
        <w:rPr>
          <w:rFonts w:hint="eastAsia" w:ascii="宋体" w:hAnsi="宋体" w:eastAsia="宋体" w:cs="宋体"/>
          <w:color w:val="auto"/>
          <w:highlight w:val="none"/>
          <w:lang w:eastAsia="zh-CN"/>
        </w:rPr>
        <w:t>1．经营状况严重恶化；2．转移财产、抽逃资金，以逃避债务；3．丧失商业信誉；4．有丧失或者可能丧失履约能力的其他情形，乙方有义务及时告知甲方。</w:t>
      </w:r>
      <w:r>
        <w:rPr>
          <w:rFonts w:hint="eastAsia" w:ascii="宋体" w:hAnsi="宋体" w:eastAsia="宋体" w:cs="宋体"/>
          <w:color w:val="auto"/>
          <w:highlight w:val="none"/>
          <w:lang w:eastAsia="zh-CN"/>
        </w:rPr>
        <w:t>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（3）乙方分立、合并或者变更住所的，应当及时以书面形式告知甲方。乙方没有及时告知甲方，致使合同履行发生困难的，甲方可以中止合同履行并要求乙方承担由此给甲方造成的损失。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（4）甲方不得以行政区划调整、政府换届、机构或者职能调整以及相关责任人更替为由中止合同。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16.3合同的终止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（1）合同因有效期限届满而终止；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（2）乙方未按合同约定履行，构成根本性违约的，甲方有权终止合同，并追究乙方的违约责任。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16.4涉及国家利益、社会公共利益的情形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17、合同分包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17.1乙方不得将合同转包给其他供应商。涉及合同分包的，乙方应根据采购文件和投标（响应）文件规定进行合同分包。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17.2乙方执行政府采购政策向中小企业依法分包的，乙方应当按采购文件和投标（响应）文件签订分包意向协议，分包意向协议属于本合同组成部分。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18、不可抗力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18.1不可抗力是指合同双方不能预见、不能避免且不能克服的客观情况。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18.2任何一方对由于不可抗力造成的部分或全部不能履行合同不承担违约责任。但迟延履行后发生不可抗力的，不能免除责任。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19、解决争议的方法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19.1因本合同及合同有关事项发生的争议，由甲乙双方友好协商解决。协商不成时，可以向有关组织申请调解。合同一方或双方不愿调解或调解不成的，可以通过仲裁或诉讼的方式解决争议。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19.2选择仲裁的，应在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中明确仲裁机构及仲裁地；通过诉讼方式解决的，可以在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中进一步约定选择与争议有实际联系的地点的人民法院管辖，但管辖法院的约定不得违反级别管辖和专属管辖的规定。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19.3如甲乙双方有争议的事项不影响合同其他部分的履行，在争议解决期间，合同其他部分应当继续履行。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20、政府采购政策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20.1本合同应当按照规定执行政府采购政策。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20.2本合同依法执行政府采购政策的方式和内容，属于合同履约验收的范围。甲乙双方未按规定要求执行政府采购政策造成损失的，有过错的一方应当承担赔偿责任，双方都有过错的，各自承担相应的责任。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21、法律适用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21.1本合同的订立、生效、解释、履行及与本合同有关的争议解决，均适用法律、行政法规。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21.2本合同条款与法律、行政法规的强制性规定不一致的，双方当事人应按照法律、行政法规的强制性规定修改本合同的相关条款。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22、通知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22.1本合同任何一方向对方发出的通知、信件、数据电文等，应当发送至本合同第一部分《政府采购合同协议书》所约定的通讯地址、联系人、联系电话或电子邮箱。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22.2一方当事人变更名称、住所、联系人、联系电话或电子邮箱等信息的，应当在变更后3日内及时书面通知对方，对方实际收到变更通知前的送达仍为有效送达。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22.3本合同一方给另一方的通知均应采用书面形式，传真或快递送到本合同中规定的对方的地址和办理签收手续。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22.4通知以送达之日或通知书中规定的生效之日起生效，两者中以较迟之日为准。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23、合同未尽事项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23.1合同未尽事项见</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23.2合同附件与合同正文具有同等的法律效力。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第三节 政府采购合同专用条款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tbl>
      <w:tblPr>
        <w:tblStyle w:val="7"/>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039"/>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联合体具体要求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第1.2（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其他术语解释</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4.4款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履约验收中甲方提出异议或作出说明的期限</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4.6款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约定甲方承担的其他义务和责任</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5.4款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约定乙方承担的其他义务和责任</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第二节</w:t>
            </w:r>
          </w:p>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6.1款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履行合同义务的顺序</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vMerge w:val="restart"/>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包装</w:t>
            </w:r>
            <w:r>
              <w:rPr>
                <w:rFonts w:hint="eastAsia" w:ascii="宋体" w:hAnsi="宋体" w:eastAsia="宋体" w:cs="宋体"/>
                <w:color w:val="auto"/>
                <w:highlight w:val="none"/>
                <w:lang w:eastAsia="zh-CN"/>
              </w:rPr>
              <w:t>特殊要求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vMerge w:val="continue"/>
            <w:tcMar>
              <w:top w:w="57" w:type="dxa"/>
              <w:left w:w="113" w:type="dxa"/>
              <w:bottom w:w="57" w:type="dxa"/>
              <w:right w:w="113" w:type="dxa"/>
            </w:tcMar>
            <w:vAlign w:val="center"/>
          </w:tcPr>
          <w:p>
            <w:pPr>
              <w:jc w:val="both"/>
              <w:rPr>
                <w:rFonts w:hint="eastAsia" w:ascii="宋体" w:hAnsi="宋体" w:eastAsia="宋体" w:cs="宋体"/>
                <w:color w:val="auto"/>
                <w:highlight w:val="none"/>
              </w:rPr>
            </w:pP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指定现场</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运输特殊要求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保险要求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.2（1）项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质量保证期</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.2（3）项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货物质量缺陷</w:t>
            </w:r>
            <w:r>
              <w:rPr>
                <w:rFonts w:hint="eastAsia" w:ascii="宋体" w:hAnsi="宋体" w:eastAsia="宋体" w:cs="宋体"/>
                <w:color w:val="auto"/>
                <w:highlight w:val="none"/>
              </w:rPr>
              <w:t>响应时间</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第11.1款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其他应当保密的信息</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合同价款支付</w:t>
            </w:r>
            <w:r>
              <w:rPr>
                <w:rFonts w:hint="eastAsia" w:ascii="宋体" w:hAnsi="宋体" w:eastAsia="宋体" w:cs="宋体"/>
                <w:color w:val="auto"/>
                <w:highlight w:val="none"/>
                <w:lang w:eastAsia="zh-CN"/>
              </w:rPr>
              <w:t>时间</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13.2</w:t>
            </w:r>
            <w:r>
              <w:rPr>
                <w:rFonts w:hint="eastAsia" w:ascii="宋体" w:hAnsi="宋体" w:eastAsia="宋体" w:cs="宋体"/>
                <w:color w:val="auto"/>
                <w:highlight w:val="none"/>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履约保证金不予退还的情形</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13.3</w:t>
            </w:r>
            <w:r>
              <w:rPr>
                <w:rFonts w:hint="eastAsia" w:ascii="宋体" w:hAnsi="宋体" w:eastAsia="宋体" w:cs="宋体"/>
                <w:color w:val="auto"/>
                <w:highlight w:val="none"/>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履约保证金退还时间及</w:t>
            </w:r>
            <w:r>
              <w:rPr>
                <w:rFonts w:hint="eastAsia" w:ascii="宋体" w:hAnsi="宋体" w:eastAsia="宋体" w:cs="宋体"/>
                <w:color w:val="auto"/>
                <w:highlight w:val="none"/>
                <w:lang w:eastAsia="zh-CN"/>
              </w:rPr>
              <w:t>逾期退还的</w:t>
            </w:r>
            <w:r>
              <w:rPr>
                <w:rFonts w:hint="eastAsia" w:ascii="宋体" w:hAnsi="宋体" w:eastAsia="宋体" w:cs="宋体"/>
                <w:color w:val="auto"/>
                <w:highlight w:val="none"/>
              </w:rPr>
              <w:t>违约金</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运行监督、维修期限</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货物回收的约定</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乙方提供的其他服务</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修理、重作、更换相关具体规定</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.2（2）项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迟延交货赔偿费</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逾期付款利息</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其他违约责任</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解决争议的方法</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因本合同及合同有关事项发生的争议，按下列第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种方式解决：</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仲裁委员会申请仲裁，仲裁地点为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第2</w:t>
            </w: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lang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其他专用条款</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部分  投标文件</w:t>
      </w:r>
      <w:r>
        <w:rPr>
          <w:rFonts w:hint="eastAsia" w:ascii="宋体" w:hAnsi="宋体" w:eastAsia="宋体" w:cs="宋体"/>
          <w:b/>
          <w:bCs/>
          <w:color w:val="auto"/>
          <w:sz w:val="36"/>
          <w:szCs w:val="36"/>
          <w:highlight w:val="none"/>
          <w:lang w:val="en-US" w:eastAsia="zh-CN"/>
        </w:rPr>
        <w:t>组成及</w:t>
      </w:r>
      <w:r>
        <w:rPr>
          <w:rFonts w:hint="eastAsia" w:ascii="宋体" w:hAnsi="宋体" w:eastAsia="宋体" w:cs="宋体"/>
          <w:b/>
          <w:bCs/>
          <w:color w:val="auto"/>
          <w:sz w:val="36"/>
          <w:szCs w:val="36"/>
          <w:highlight w:val="none"/>
        </w:rPr>
        <w:t>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1、投标文件由资格证明文件、技术商务文件和报价文件三部分组成。</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2、投标人应按照招标文件要求的内容和提供的格式编写投标文件。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3、如果是</w:t>
      </w:r>
      <w:r>
        <w:rPr>
          <w:rFonts w:hint="eastAsia" w:ascii="宋体" w:hAnsi="宋体" w:cs="宋体"/>
          <w:color w:val="auto"/>
          <w:sz w:val="21"/>
          <w:szCs w:val="21"/>
          <w:highlight w:val="none"/>
          <w:lang w:val="en-US" w:eastAsia="zh-CN"/>
        </w:rPr>
        <w:t>分支机构（分公司）</w:t>
      </w:r>
      <w:r>
        <w:rPr>
          <w:rFonts w:hint="eastAsia" w:ascii="宋体" w:hAnsi="宋体" w:eastAsia="宋体" w:cs="宋体"/>
          <w:color w:val="auto"/>
          <w:sz w:val="21"/>
          <w:szCs w:val="21"/>
          <w:highlight w:val="none"/>
        </w:rPr>
        <w:t>投标的，除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保险、电信等特定行业外，投标人应按招标文件第三部分投标人须知</w:t>
      </w:r>
      <w:r>
        <w:rPr>
          <w:rFonts w:hint="eastAsia" w:ascii="宋体" w:hAnsi="宋体" w:cs="宋体"/>
          <w:color w:val="auto"/>
          <w:sz w:val="21"/>
          <w:szCs w:val="21"/>
          <w:highlight w:val="none"/>
          <w:lang w:val="en-US" w:eastAsia="zh-CN"/>
        </w:rPr>
        <w:t>中的</w:t>
      </w:r>
      <w:r>
        <w:rPr>
          <w:rFonts w:hint="eastAsia" w:ascii="宋体" w:hAnsi="宋体" w:eastAsia="宋体" w:cs="宋体"/>
          <w:color w:val="auto"/>
          <w:sz w:val="21"/>
          <w:szCs w:val="21"/>
          <w:highlight w:val="none"/>
        </w:rPr>
        <w:t>要求提供总公司营业执照和授权书</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一、</w:t>
      </w:r>
      <w:r>
        <w:rPr>
          <w:rFonts w:hint="eastAsia" w:ascii="宋体" w:hAnsi="宋体"/>
          <w:b/>
          <w:bCs/>
          <w:color w:val="auto"/>
          <w:highlight w:val="none"/>
        </w:rPr>
        <w:t>资格</w:t>
      </w:r>
      <w:r>
        <w:rPr>
          <w:rFonts w:hint="eastAsia" w:ascii="宋体" w:hAnsi="宋体"/>
          <w:b/>
          <w:bCs/>
          <w:color w:val="auto"/>
          <w:highlight w:val="none"/>
          <w:lang w:val="en-US" w:eastAsia="zh-CN"/>
        </w:rPr>
        <w:t>证明文件组成</w:t>
      </w:r>
      <w:r>
        <w:rPr>
          <w:rFonts w:hint="eastAsia" w:ascii="宋体" w:hAnsi="宋体"/>
          <w:b/>
          <w:bCs/>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rPr>
        <w:t>1、投标人声明</w:t>
      </w:r>
      <w:r>
        <w:rPr>
          <w:rFonts w:hint="eastAsia" w:ascii="宋体" w:hAnsi="宋体"/>
          <w:color w:val="auto"/>
          <w:highlight w:val="none"/>
          <w:lang w:eastAsia="zh-CN"/>
        </w:rPr>
        <w:t>（</w:t>
      </w:r>
      <w:r>
        <w:rPr>
          <w:rFonts w:hint="eastAsia" w:ascii="宋体" w:hAnsi="宋体"/>
          <w:color w:val="auto"/>
          <w:highlight w:val="none"/>
          <w:lang w:val="en-US" w:eastAsia="zh-CN"/>
        </w:rPr>
        <w:t>见格式1</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提供原件</w:t>
      </w:r>
      <w:r>
        <w:rPr>
          <w:rFonts w:hint="eastAsia" w:ascii="宋体" w:hAnsi="宋体"/>
          <w:color w:val="auto"/>
          <w:highlight w:val="none"/>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2、法定代表人身份证明书 或 法定代表人授权委托书</w:t>
      </w:r>
      <w:r>
        <w:rPr>
          <w:rFonts w:hint="eastAsia" w:ascii="宋体" w:hAnsi="宋体"/>
          <w:color w:val="auto"/>
          <w:highlight w:val="none"/>
          <w:lang w:eastAsia="zh-CN"/>
        </w:rPr>
        <w:t>（</w:t>
      </w:r>
      <w:r>
        <w:rPr>
          <w:rFonts w:hint="eastAsia" w:ascii="宋体" w:hAnsi="宋体"/>
          <w:color w:val="auto"/>
          <w:highlight w:val="none"/>
          <w:lang w:val="en-US" w:eastAsia="zh-CN"/>
        </w:rPr>
        <w:t>见格式2</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提供原件</w:t>
      </w:r>
      <w:r>
        <w:rPr>
          <w:rFonts w:hint="eastAsia" w:ascii="宋体" w:hAnsi="宋体"/>
          <w:color w:val="auto"/>
          <w:highlight w:val="none"/>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3、法定代表人身份证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lang w:val="en-US" w:eastAsia="zh-CN"/>
        </w:rPr>
        <w:t xml:space="preserve"> 或  全权代表身份证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投标人营业执照</w:t>
      </w:r>
      <w:r>
        <w:rPr>
          <w:rFonts w:hint="eastAsia" w:ascii="宋体" w:hAnsi="宋体"/>
          <w:color w:val="auto"/>
          <w:highlight w:val="none"/>
          <w:lang w:eastAsia="zh-CN"/>
        </w:rPr>
        <w:t>（</w:t>
      </w:r>
      <w:r>
        <w:rPr>
          <w:rFonts w:hint="eastAsia" w:ascii="宋体" w:hAnsi="宋体"/>
          <w:color w:val="auto"/>
          <w:highlight w:val="none"/>
          <w:lang w:val="en-US" w:eastAsia="zh-CN"/>
        </w:rPr>
        <w:t>提供</w:t>
      </w:r>
      <w:r>
        <w:rPr>
          <w:rFonts w:hint="eastAsia" w:ascii="宋体" w:hAnsi="宋体"/>
          <w:color w:val="auto"/>
          <w:highlight w:val="none"/>
        </w:rPr>
        <w:t>扫描件</w:t>
      </w:r>
      <w:r>
        <w:rPr>
          <w:rFonts w:hint="eastAsia" w:ascii="宋体" w:hAnsi="宋体"/>
          <w:color w:val="auto"/>
          <w:highlight w:val="none"/>
          <w:lang w:eastAsia="zh-CN"/>
        </w:rPr>
        <w:t>）</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strike w:val="0"/>
          <w:dstrike w:val="0"/>
          <w:color w:val="auto"/>
          <w:highlight w:val="none"/>
          <w:lang w:val="en-US" w:eastAsia="zh-CN"/>
        </w:rPr>
      </w:pPr>
      <w:r>
        <w:rPr>
          <w:rFonts w:hint="eastAsia" w:ascii="宋体" w:hAnsi="宋体"/>
          <w:strike w:val="0"/>
          <w:dstrike w:val="0"/>
          <w:color w:val="auto"/>
          <w:highlight w:val="none"/>
          <w:lang w:val="en-US" w:eastAsia="zh-CN"/>
        </w:rPr>
        <w:t>1、投标人应按照资格证明文件组成所列内容提供资格证明材料。</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default" w:ascii="宋体" w:hAnsi="宋体"/>
          <w:color w:val="auto"/>
          <w:sz w:val="21"/>
          <w:szCs w:val="21"/>
          <w:highlight w:val="none"/>
          <w:lang w:val="en-US" w:eastAsia="zh-CN"/>
        </w:rPr>
        <w:t>资格证明</w:t>
      </w:r>
      <w:r>
        <w:rPr>
          <w:rFonts w:hint="eastAsia" w:ascii="宋体" w:hAnsi="宋体"/>
          <w:color w:val="auto"/>
          <w:sz w:val="21"/>
          <w:szCs w:val="21"/>
          <w:highlight w:val="none"/>
          <w:lang w:val="en-US" w:eastAsia="zh-CN"/>
        </w:rPr>
        <w:t>材料</w:t>
      </w:r>
      <w:r>
        <w:rPr>
          <w:rFonts w:hint="default" w:ascii="宋体" w:hAnsi="宋体"/>
          <w:color w:val="auto"/>
          <w:sz w:val="21"/>
          <w:szCs w:val="21"/>
          <w:highlight w:val="none"/>
          <w:lang w:val="en-US" w:eastAsia="zh-CN"/>
        </w:rPr>
        <w:t>须逐页CA电子签章，否则资格审查不通过。</w:t>
      </w:r>
    </w:p>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default" w:ascii="宋体" w:hAnsi="宋体"/>
          <w:color w:val="auto"/>
          <w:sz w:val="21"/>
          <w:szCs w:val="21"/>
          <w:highlight w:val="none"/>
          <w:lang w:val="en-US" w:eastAsia="zh-CN"/>
        </w:rPr>
        <w:t>资格证明文件中不得出现本项目的投标总价</w:t>
      </w:r>
      <w:r>
        <w:rPr>
          <w:rFonts w:hint="eastAsia" w:ascii="宋体" w:hAnsi="宋体" w:cs="宋体"/>
          <w:color w:val="auto"/>
          <w:szCs w:val="21"/>
          <w:highlight w:val="none"/>
        </w:rPr>
        <w:t>（固定价格采购除外）</w:t>
      </w:r>
      <w:r>
        <w:rPr>
          <w:rFonts w:hint="default" w:ascii="宋体" w:hAnsi="宋体"/>
          <w:color w:val="auto"/>
          <w:sz w:val="21"/>
          <w:szCs w:val="21"/>
          <w:highlight w:val="none"/>
          <w:lang w:val="en-US" w:eastAsia="zh-CN"/>
        </w:rPr>
        <w:t>，否则为无效投标。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w:t>
      </w:r>
      <w:r>
        <w:rPr>
          <w:rFonts w:hint="eastAsia" w:ascii="宋体" w:hAnsi="宋体" w:eastAsia="宋体" w:cs="宋体"/>
          <w:color w:val="auto"/>
          <w:sz w:val="21"/>
          <w:szCs w:val="21"/>
          <w:highlight w:val="none"/>
          <w:lang w:val="en-US" w:eastAsia="zh-CN"/>
        </w:rPr>
        <w:t>分支机构（</w:t>
      </w:r>
      <w:r>
        <w:rPr>
          <w:rFonts w:hint="eastAsia" w:ascii="宋体" w:hAnsi="宋体" w:eastAsia="宋体" w:cs="宋体"/>
          <w:color w:val="auto"/>
          <w:sz w:val="21"/>
          <w:szCs w:val="21"/>
          <w:highlight w:val="none"/>
        </w:rPr>
        <w:t>分公司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提供总公司营业执照和授权书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color w:val="auto"/>
          <w:sz w:val="21"/>
          <w:szCs w:val="21"/>
          <w:highlight w:val="none"/>
          <w:lang w:val="en-US" w:eastAsia="zh-CN"/>
        </w:rPr>
        <w:t>资格审查不</w:t>
      </w:r>
      <w:r>
        <w:rPr>
          <w:rFonts w:hint="eastAsia" w:ascii="宋体" w:hAnsi="宋体"/>
          <w:color w:val="auto"/>
          <w:sz w:val="21"/>
          <w:szCs w:val="21"/>
          <w:highlight w:val="none"/>
          <w:lang w:val="en-US" w:eastAsia="zh-CN"/>
        </w:rPr>
        <w:t>予</w:t>
      </w:r>
      <w:r>
        <w:rPr>
          <w:rFonts w:hint="default" w:ascii="宋体" w:hAnsi="宋体"/>
          <w:color w:val="auto"/>
          <w:sz w:val="21"/>
          <w:szCs w:val="21"/>
          <w:highlight w:val="none"/>
          <w:lang w:val="en-US" w:eastAsia="zh-CN"/>
        </w:rPr>
        <w:t>通过。</w:t>
      </w:r>
    </w:p>
    <w:p>
      <w:pPr>
        <w:spacing w:line="360" w:lineRule="auto"/>
        <w:rPr>
          <w:rFonts w:hint="eastAsia" w:ascii="宋体" w:hAnsi="宋体"/>
          <w:color w:val="auto"/>
          <w:sz w:val="21"/>
          <w:szCs w:val="21"/>
          <w:highlight w:val="none"/>
          <w:lang w:val="en-US" w:eastAsia="zh-CN"/>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投标人声明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系中华人民共和国合法企业，经营地址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的法定代表人，我方愿意参加你中心组织的</w:t>
      </w:r>
      <w:r>
        <w:rPr>
          <w:rFonts w:hint="eastAsia" w:ascii="宋体" w:hAnsi="宋体" w:eastAsia="宋体" w:cs="宋体"/>
          <w:color w:val="auto"/>
          <w:highlight w:val="none"/>
          <w:u w:val="single"/>
        </w:rPr>
        <w:t xml:space="preserve"> </w:t>
      </w:r>
      <w:r>
        <w:rPr>
          <w:rFonts w:hint="eastAsia" w:ascii="宋体" w:hAnsi="宋体" w:eastAsia="宋体" w:cs="宋体"/>
          <w:b w:val="0"/>
          <w:bCs w:val="0"/>
          <w:color w:val="auto"/>
          <w:highlight w:val="none"/>
          <w:u w:val="single"/>
        </w:rPr>
        <w:t xml:space="preserve"> </w:t>
      </w:r>
      <w:r>
        <w:rPr>
          <w:rFonts w:hint="eastAsia" w:ascii="宋体" w:hAnsi="宋体" w:cs="宋体"/>
          <w:b w:val="0"/>
          <w:bCs w:val="0"/>
          <w:color w:val="auto"/>
          <w:highlight w:val="none"/>
          <w:u w:val="single"/>
          <w:lang w:eastAsia="zh-CN"/>
        </w:rPr>
        <w:t>新碶高级中学多媒体教学设备</w:t>
      </w:r>
      <w:r>
        <w:rPr>
          <w:rFonts w:hint="eastAsia" w:ascii="宋体" w:hAnsi="宋体" w:eastAsia="宋体" w:cs="宋体"/>
          <w:b w:val="0"/>
          <w:bCs w:val="0"/>
          <w:color w:val="auto"/>
          <w:highlight w:val="none"/>
          <w:u w:val="single"/>
        </w:rPr>
        <w:t>（项目编号：</w:t>
      </w:r>
      <w:r>
        <w:rPr>
          <w:rFonts w:hint="eastAsia" w:ascii="宋体" w:hAnsi="宋体" w:cs="宋体"/>
          <w:b w:val="0"/>
          <w:bCs w:val="0"/>
          <w:color w:val="auto"/>
          <w:highlight w:val="none"/>
          <w:u w:val="single"/>
          <w:lang w:eastAsia="zh-CN"/>
        </w:rPr>
        <w:t>BLZFCG2025027</w:t>
      </w:r>
      <w:r>
        <w:rPr>
          <w:rFonts w:hint="eastAsia" w:ascii="宋体" w:hAnsi="宋体" w:eastAsia="宋体" w:cs="宋体"/>
          <w:b w:val="0"/>
          <w:bCs w:val="0"/>
          <w:color w:val="auto"/>
          <w:highlight w:val="none"/>
          <w:u w:val="single"/>
        </w:rPr>
        <w:t>）</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项目的投标，我方就本次投标有关事项郑重声明如下：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1、我方提交的所有投标文件、资料都是准确的和真实的。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2、我方不是采购人的附属机构；与采购人聘请的为此项目进行设计、编制规范、提供咨询服务的公司及其附属机构没有任何直接或间接的关联。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3、我方具</w:t>
      </w:r>
      <w:r>
        <w:rPr>
          <w:rFonts w:hint="eastAsia" w:ascii="宋体" w:hAnsi="宋体" w:cs="宋体"/>
          <w:color w:val="auto"/>
          <w:highlight w:val="none"/>
          <w:lang w:val="en-US" w:eastAsia="zh-CN"/>
        </w:rPr>
        <w:t>有健全的财务会计制度并依法缴纳税收和社会保障资金</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、我方已具备履行本项目所必需的设备和专业技术能力。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、我方在参加本次政府采购活动前三年内，在经营活动中没有重大违法记录。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1、本</w:t>
      </w:r>
      <w:r>
        <w:rPr>
          <w:rFonts w:hint="eastAsia" w:ascii="宋体" w:hAnsi="宋体" w:eastAsia="宋体" w:cs="宋体"/>
          <w:b/>
          <w:bCs/>
          <w:color w:val="auto"/>
          <w:highlight w:val="none"/>
        </w:rPr>
        <w:t>声明须由法定代表人签署，否则声明无效。</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none"/>
        </w:rPr>
        <w:t>本人系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的法定代表人</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现为你中心组织的项目编号为</w:t>
      </w:r>
      <w:r>
        <w:rPr>
          <w:rFonts w:hint="eastAsia" w:ascii="宋体" w:hAnsi="宋体" w:cs="宋体"/>
          <w:color w:val="auto"/>
          <w:highlight w:val="none"/>
          <w:u w:val="single"/>
          <w:lang w:eastAsia="zh-CN"/>
        </w:rPr>
        <w:t>BLZFCG2025027</w:t>
      </w:r>
      <w:r>
        <w:rPr>
          <w:rFonts w:hint="eastAsia" w:ascii="宋体" w:hAnsi="宋体" w:eastAsia="宋体" w:cs="宋体"/>
          <w:color w:val="auto"/>
          <w:highlight w:val="none"/>
          <w:u w:val="none"/>
        </w:rPr>
        <w:t xml:space="preserve"> 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新碶高级中学多媒体教学设备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政府采购项目，</w:t>
      </w:r>
      <w:r>
        <w:rPr>
          <w:rFonts w:hint="eastAsia" w:ascii="宋体" w:hAnsi="宋体" w:eastAsia="宋体" w:cs="宋体"/>
          <w:color w:val="auto"/>
          <w:highlight w:val="none"/>
          <w:u w:val="none"/>
          <w:lang w:val="en-US" w:eastAsia="zh-CN"/>
        </w:rPr>
        <w:t>代表本单位</w:t>
      </w:r>
      <w:r>
        <w:rPr>
          <w:rFonts w:hint="eastAsia" w:ascii="宋体" w:hAnsi="宋体" w:eastAsia="宋体" w:cs="宋体"/>
          <w:color w:val="auto"/>
          <w:highlight w:val="none"/>
          <w:u w:val="none"/>
        </w:rPr>
        <w:t>签署上述项目的投标文件</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处理与之有关的一切事务。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1、投标单位安排法定代表人参加本项目投标的，只须提供本证明书即可。</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olor w:val="auto"/>
          <w:highlight w:val="none"/>
          <w:lang w:eastAsia="zh-CN"/>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的法定代表人，现授权委托本单位在职职工</w:t>
      </w:r>
      <w:r>
        <w:rPr>
          <w:rFonts w:hint="eastAsia" w:ascii="宋体" w:hAnsi="宋体" w:eastAsia="宋体" w:cs="宋体"/>
          <w:color w:val="auto"/>
          <w:highlight w:val="none"/>
          <w:u w:val="single"/>
          <w:lang w:val="en-US" w:eastAsia="zh-CN"/>
        </w:rPr>
        <w:t xml:space="preserve">        （姓名、职务）        </w:t>
      </w:r>
      <w:r>
        <w:rPr>
          <w:rFonts w:hint="eastAsia" w:ascii="宋体" w:hAnsi="宋体" w:eastAsia="宋体" w:cs="宋体"/>
          <w:color w:val="auto"/>
          <w:highlight w:val="none"/>
        </w:rPr>
        <w:t>作为</w:t>
      </w:r>
      <w:r>
        <w:rPr>
          <w:rFonts w:hint="eastAsia" w:ascii="宋体" w:hAnsi="宋体" w:eastAsia="宋体" w:cs="宋体"/>
          <w:color w:val="auto"/>
          <w:highlight w:val="none"/>
          <w:lang w:val="en-US" w:eastAsia="zh-CN"/>
        </w:rPr>
        <w:t>全权</w:t>
      </w:r>
      <w:r>
        <w:rPr>
          <w:rFonts w:hint="eastAsia" w:ascii="宋体" w:hAnsi="宋体" w:eastAsia="宋体" w:cs="宋体"/>
          <w:color w:val="auto"/>
          <w:highlight w:val="none"/>
        </w:rPr>
        <w:t>代表以我方的名义参加你中心组织的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新碶高级中学多媒体教学设备</w:t>
      </w:r>
      <w:r>
        <w:rPr>
          <w:rFonts w:hint="eastAsia" w:ascii="宋体" w:hAnsi="宋体" w:eastAsia="宋体" w:cs="宋体"/>
          <w:color w:val="auto"/>
          <w:highlight w:val="none"/>
          <w:u w:val="single"/>
        </w:rPr>
        <w:t>（项目编号：</w:t>
      </w:r>
      <w:r>
        <w:rPr>
          <w:rFonts w:hint="eastAsia" w:ascii="宋体" w:hAnsi="宋体" w:cs="宋体"/>
          <w:color w:val="auto"/>
          <w:highlight w:val="none"/>
          <w:u w:val="single"/>
          <w:lang w:eastAsia="zh-CN"/>
        </w:rPr>
        <w:t>BLZFCG2025027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w:t>
      </w:r>
      <w:r>
        <w:rPr>
          <w:rFonts w:hint="eastAsia" w:ascii="宋体" w:hAnsi="宋体" w:eastAsia="宋体" w:cs="宋体"/>
          <w:color w:val="auto"/>
          <w:highlight w:val="none"/>
          <w:lang w:val="en-US" w:eastAsia="zh-CN"/>
        </w:rPr>
        <w:t>采购活动，</w:t>
      </w:r>
      <w:r>
        <w:rPr>
          <w:rFonts w:hint="eastAsia" w:ascii="宋体" w:hAnsi="宋体" w:eastAsia="宋体" w:cs="宋体"/>
          <w:color w:val="auto"/>
          <w:highlight w:val="none"/>
        </w:rPr>
        <w:t>并代表我方全权办理一切与之有关的事务。</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日签字生效，</w:t>
      </w: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无转委</w:t>
      </w:r>
      <w:r>
        <w:rPr>
          <w:rFonts w:hint="eastAsia" w:ascii="宋体" w:hAnsi="宋体" w:eastAsia="宋体" w:cs="宋体"/>
          <w:color w:val="auto"/>
          <w:highlight w:val="none"/>
          <w:lang w:val="en-US" w:eastAsia="zh-CN"/>
        </w:rPr>
        <w:t>托</w:t>
      </w:r>
      <w:r>
        <w:rPr>
          <w:rFonts w:hint="eastAsia" w:ascii="宋体" w:hAnsi="宋体" w:eastAsia="宋体" w:cs="宋体"/>
          <w:color w:val="auto"/>
          <w:highlight w:val="none"/>
        </w:rPr>
        <w:t>权，特此声明。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全权代表签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480" w:lineRule="auto"/>
        <w:ind w:left="2940" w:firstLine="420"/>
        <w:jc w:val="left"/>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1、投标单位安排全权代表参加本项目投标的，只须提供本授权书即可。</w:t>
      </w:r>
    </w:p>
    <w:p>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二、</w:t>
      </w:r>
      <w:r>
        <w:rPr>
          <w:rFonts w:hint="eastAsia" w:ascii="宋体" w:hAnsi="宋体"/>
          <w:b/>
          <w:bCs/>
          <w:color w:val="auto"/>
          <w:highlight w:val="none"/>
          <w:lang w:val="en-US" w:eastAsia="zh-CN"/>
        </w:rPr>
        <w:t>技术商务</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1、封面（见技术商务</w:t>
      </w:r>
      <w:r>
        <w:rPr>
          <w:rFonts w:hint="eastAsia" w:ascii="宋体" w:hAnsi="宋体"/>
          <w:color w:val="auto"/>
          <w:highlight w:val="none"/>
        </w:rPr>
        <w:t>文件封面格式</w:t>
      </w:r>
      <w:r>
        <w:rPr>
          <w:rFonts w:hint="eastAsia" w:ascii="宋体" w:hAnsi="宋体"/>
          <w:color w:val="auto"/>
          <w:highlight w:val="none"/>
          <w:lang w:val="en-US" w:eastAsia="zh-CN"/>
        </w:rPr>
        <w:t>）</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eastAsia="宋体"/>
          <w:color w:val="auto"/>
          <w:highlight w:val="none"/>
          <w:lang w:eastAsia="zh-CN"/>
        </w:rPr>
      </w:pPr>
      <w:r>
        <w:rPr>
          <w:rFonts w:hint="eastAsia" w:ascii="宋体" w:hAnsi="宋体"/>
          <w:color w:val="auto"/>
          <w:highlight w:val="none"/>
          <w:lang w:val="en-US" w:eastAsia="zh-CN"/>
        </w:rPr>
        <w:t>3、</w:t>
      </w:r>
      <w:r>
        <w:rPr>
          <w:rFonts w:hint="eastAsia" w:ascii="宋体" w:hAnsi="宋体"/>
          <w:color w:val="auto"/>
          <w:highlight w:val="none"/>
        </w:rPr>
        <w:t>评标索引表</w:t>
      </w:r>
      <w:r>
        <w:rPr>
          <w:rFonts w:hint="eastAsia" w:ascii="宋体" w:hAnsi="宋体"/>
          <w:color w:val="auto"/>
          <w:highlight w:val="none"/>
          <w:lang w:eastAsia="zh-CN"/>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lang w:eastAsia="zh-CN"/>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4、投标函（见</w:t>
      </w:r>
      <w:r>
        <w:rPr>
          <w:rFonts w:hint="eastAsia" w:ascii="宋体" w:hAnsi="宋体"/>
          <w:color w:val="auto"/>
          <w:highlight w:val="none"/>
        </w:rPr>
        <w:t>格式</w:t>
      </w:r>
      <w:r>
        <w:rPr>
          <w:rFonts w:hint="eastAsia" w:ascii="宋体" w:hAnsi="宋体"/>
          <w:color w:val="auto"/>
          <w:highlight w:val="none"/>
          <w:lang w:val="en-US" w:eastAsia="zh-CN"/>
        </w:rPr>
        <w:t>4）</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技术及服务条款偏离表（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商务条款偏离表（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投标货物</w:t>
      </w:r>
      <w:r>
        <w:rPr>
          <w:rFonts w:hint="eastAsia" w:ascii="宋体" w:hAnsi="宋体"/>
          <w:color w:val="auto"/>
          <w:highlight w:val="none"/>
          <w:lang w:eastAsia="zh-CN"/>
        </w:rPr>
        <w:t>（</w:t>
      </w:r>
      <w:r>
        <w:rPr>
          <w:rFonts w:hint="eastAsia" w:ascii="宋体" w:hAnsi="宋体"/>
          <w:color w:val="auto"/>
          <w:highlight w:val="none"/>
          <w:lang w:val="en-US" w:eastAsia="zh-CN"/>
        </w:rPr>
        <w:t>服务</w:t>
      </w:r>
      <w:r>
        <w:rPr>
          <w:rFonts w:hint="eastAsia" w:ascii="宋体" w:hAnsi="宋体"/>
          <w:color w:val="auto"/>
          <w:highlight w:val="none"/>
          <w:lang w:eastAsia="zh-CN"/>
        </w:rPr>
        <w:t>）</w:t>
      </w:r>
      <w:r>
        <w:rPr>
          <w:rFonts w:hint="eastAsia" w:ascii="宋体" w:hAnsi="宋体"/>
          <w:color w:val="auto"/>
          <w:highlight w:val="none"/>
        </w:rPr>
        <w:t>清单（</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货物性能技术指标对照表（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投标货物说明（</w:t>
      </w:r>
      <w:r>
        <w:rPr>
          <w:rFonts w:hint="eastAsia" w:ascii="宋体" w:hAnsi="宋体"/>
          <w:color w:val="auto"/>
          <w:highlight w:val="none"/>
          <w:lang w:eastAsia="zh-CN"/>
        </w:rPr>
        <w:t>内容格式自拟，要求见招标文件第四部分</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货物主要部件情况表（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rPr>
        <w:t>项目实施方案（</w:t>
      </w:r>
      <w:r>
        <w:rPr>
          <w:rFonts w:hint="eastAsia" w:ascii="宋体" w:hAnsi="宋体"/>
          <w:color w:val="auto"/>
          <w:highlight w:val="none"/>
          <w:lang w:eastAsia="zh-CN"/>
        </w:rPr>
        <w:t>内容格式自拟，要求见招标文件第四部分</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rPr>
        <w:t>拟派本项目主要实施人员情况表（见格式</w:t>
      </w:r>
      <w:r>
        <w:rPr>
          <w:rFonts w:hint="eastAsia" w:ascii="宋体" w:hAnsi="宋体"/>
          <w:color w:val="auto"/>
          <w:highlight w:val="none"/>
          <w:lang w:val="en-US" w:eastAsia="zh-CN"/>
        </w:rPr>
        <w:t>10</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13、</w:t>
      </w:r>
      <w:r>
        <w:rPr>
          <w:rFonts w:hint="eastAsia" w:ascii="宋体" w:hAnsi="宋体"/>
          <w:color w:val="auto"/>
          <w:highlight w:val="none"/>
        </w:rPr>
        <w:t>质量保证和售后服务方案（</w:t>
      </w:r>
      <w:r>
        <w:rPr>
          <w:rFonts w:hint="eastAsia" w:ascii="宋体" w:hAnsi="宋体"/>
          <w:color w:val="auto"/>
          <w:highlight w:val="none"/>
          <w:lang w:eastAsia="zh-CN"/>
        </w:rPr>
        <w:t>内容格式自拟，要求见招标文件第四部分</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14、</w:t>
      </w:r>
      <w:r>
        <w:rPr>
          <w:rFonts w:hint="eastAsia" w:ascii="宋体" w:hAnsi="宋体"/>
          <w:color w:val="auto"/>
          <w:highlight w:val="none"/>
        </w:rPr>
        <w:t>技术培训方案（</w:t>
      </w:r>
      <w:r>
        <w:rPr>
          <w:rFonts w:hint="eastAsia" w:ascii="宋体" w:hAnsi="宋体"/>
          <w:color w:val="auto"/>
          <w:highlight w:val="none"/>
          <w:lang w:eastAsia="zh-CN"/>
        </w:rPr>
        <w:t>内容格式自拟，要求见招标文件第四部分</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15、</w:t>
      </w:r>
      <w:r>
        <w:rPr>
          <w:rFonts w:hint="eastAsia" w:ascii="宋体" w:hAnsi="宋体"/>
          <w:color w:val="auto"/>
          <w:highlight w:val="none"/>
        </w:rPr>
        <w:t>类似项目业绩表（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16、投标产品取得节能环保认证证书情况表</w:t>
      </w:r>
      <w:r>
        <w:rPr>
          <w:rFonts w:hint="eastAsia" w:ascii="宋体" w:hAnsi="宋体"/>
          <w:color w:val="auto"/>
          <w:highlight w:val="none"/>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12</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17、</w:t>
      </w:r>
      <w:r>
        <w:rPr>
          <w:rFonts w:hint="eastAsia" w:ascii="宋体" w:hAnsi="宋体"/>
          <w:color w:val="auto"/>
          <w:highlight w:val="none"/>
        </w:rPr>
        <w:t>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1、投标人应按照技术商务文件组成所列内容和顺序编制技术商务文件。</w:t>
      </w:r>
    </w:p>
    <w:p>
      <w:pPr>
        <w:spacing w:line="360" w:lineRule="auto"/>
        <w:rPr>
          <w:rFonts w:hint="eastAsia" w:ascii="宋体" w:hAnsi="宋体" w:eastAsia="宋体"/>
          <w:color w:val="auto"/>
          <w:highlight w:val="none"/>
          <w:lang w:val="en-US" w:eastAsia="zh-CN"/>
        </w:rPr>
      </w:pPr>
      <w:r>
        <w:rPr>
          <w:rFonts w:hint="eastAsia" w:ascii="宋体" w:hAnsi="宋体"/>
          <w:color w:val="auto"/>
          <w:highlight w:val="none"/>
          <w:lang w:val="en-US" w:eastAsia="zh-CN"/>
        </w:rPr>
        <w:t>2、技术商务文件应按照招标文件格式要求进行CA电子签章，未有规定的投标人视情况签章。</w:t>
      </w:r>
    </w:p>
    <w:p>
      <w:pPr>
        <w:spacing w:line="360" w:lineRule="auto"/>
        <w:rPr>
          <w:rFonts w:hint="eastAsia" w:ascii="宋体" w:hAnsi="宋体"/>
          <w:color w:val="auto"/>
          <w:highlight w:val="none"/>
        </w:rPr>
      </w:pPr>
      <w:r>
        <w:rPr>
          <w:rFonts w:hint="eastAsia" w:ascii="宋体" w:hAnsi="宋体"/>
          <w:color w:val="auto"/>
          <w:sz w:val="21"/>
          <w:szCs w:val="21"/>
          <w:highlight w:val="none"/>
          <w:lang w:val="en-US" w:eastAsia="zh-CN"/>
        </w:rPr>
        <w:t>3、</w:t>
      </w:r>
      <w:r>
        <w:rPr>
          <w:rFonts w:hint="eastAsia" w:ascii="宋体" w:hAnsi="宋体"/>
          <w:color w:val="auto"/>
          <w:highlight w:val="none"/>
        </w:rPr>
        <w:t>技术商务文件可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技术商务文件中不得出现本项目的投标总价</w:t>
      </w:r>
      <w:r>
        <w:rPr>
          <w:rFonts w:hint="eastAsia" w:ascii="宋体" w:hAnsi="宋体" w:cs="宋体"/>
          <w:color w:val="auto"/>
          <w:szCs w:val="21"/>
          <w:highlight w:val="none"/>
        </w:rPr>
        <w:t>（固定价格采购除外）</w:t>
      </w:r>
      <w:r>
        <w:rPr>
          <w:rFonts w:hint="eastAsia" w:ascii="宋体" w:hAnsi="宋体"/>
          <w:color w:val="auto"/>
          <w:highlight w:val="none"/>
        </w:rPr>
        <w:t>，否则为无效投标。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技术商务</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rPr>
        <w:t>技术商务文件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新碶高级中学多媒体教学设备</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BLZFCG2025027</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val="en-US"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评标索引表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新碶高级中学多媒体教学设备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BLZFCG2025027</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321"/>
        <w:gridCol w:w="150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85" w:type="dxa"/>
            <w:noWrap w:val="0"/>
            <w:vAlign w:val="center"/>
          </w:tcPr>
          <w:p>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序号</w:t>
            </w:r>
          </w:p>
        </w:tc>
        <w:tc>
          <w:tcPr>
            <w:tcW w:w="5321"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评分项目</w:t>
            </w:r>
          </w:p>
        </w:tc>
        <w:tc>
          <w:tcPr>
            <w:tcW w:w="150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w:t>
            </w:r>
          </w:p>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对应页码</w:t>
            </w:r>
          </w:p>
        </w:tc>
        <w:tc>
          <w:tcPr>
            <w:tcW w:w="1449"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1、根据评分标准</w:t>
      </w:r>
      <w:r>
        <w:rPr>
          <w:rFonts w:hint="eastAsia" w:ascii="宋体" w:hAnsi="宋体" w:eastAsia="宋体" w:cs="宋体"/>
          <w:color w:val="auto"/>
          <w:highlight w:val="none"/>
          <w:lang w:val="en-US" w:eastAsia="zh-CN"/>
        </w:rPr>
        <w:t>表技术商务部分</w:t>
      </w:r>
      <w:r>
        <w:rPr>
          <w:rFonts w:hint="eastAsia" w:ascii="宋体" w:hAnsi="宋体" w:eastAsia="宋体" w:cs="宋体"/>
          <w:color w:val="auto"/>
          <w:highlight w:val="none"/>
          <w:lang w:eastAsia="zh-CN"/>
        </w:rPr>
        <w:t>逐条填写。</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 标 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lang w:val="en-US" w:eastAsia="zh-CN"/>
        </w:rPr>
        <w:t>委派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全权代表</w:t>
      </w:r>
      <w:r>
        <w:rPr>
          <w:rFonts w:hint="eastAsia" w:ascii="宋体" w:hAnsi="宋体" w:eastAsia="宋体" w:cs="宋体"/>
          <w:color w:val="auto"/>
          <w:highlight w:val="none"/>
          <w:u w:val="single"/>
        </w:rPr>
        <w:t>姓名、职务</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参加你中心组织的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u w:val="single"/>
        </w:rPr>
        <w:t>、标项编号</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项目公开招标的有关活动，并对此项目进行投标。为此：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我方同意在本项目招标文件中规定的</w:t>
      </w:r>
      <w:r>
        <w:rPr>
          <w:rFonts w:hint="eastAsia" w:ascii="宋体" w:hAnsi="宋体" w:eastAsia="宋体" w:cs="宋体"/>
          <w:color w:val="auto"/>
          <w:highlight w:val="none"/>
          <w:u w:val="none"/>
          <w:lang w:val="en-US" w:eastAsia="zh-CN"/>
        </w:rPr>
        <w:t>投标有效期内，</w:t>
      </w:r>
      <w:r>
        <w:rPr>
          <w:rFonts w:hint="eastAsia" w:ascii="宋体" w:hAnsi="宋体" w:eastAsia="宋体" w:cs="宋体"/>
          <w:color w:val="auto"/>
          <w:highlight w:val="none"/>
          <w:u w:val="none"/>
        </w:rPr>
        <w:t>遵守本投标文件中的承诺且在此期限</w:t>
      </w:r>
      <w:r>
        <w:rPr>
          <w:rFonts w:hint="eastAsia" w:ascii="宋体" w:hAnsi="宋体" w:cs="宋体"/>
          <w:color w:val="auto"/>
          <w:highlight w:val="none"/>
          <w:u w:val="none"/>
          <w:lang w:val="en-US" w:eastAsia="zh-CN"/>
        </w:rPr>
        <w:t>届</w:t>
      </w:r>
      <w:r>
        <w:rPr>
          <w:rFonts w:hint="eastAsia" w:ascii="宋体" w:hAnsi="宋体" w:eastAsia="宋体" w:cs="宋体"/>
          <w:color w:val="auto"/>
          <w:highlight w:val="none"/>
          <w:u w:val="none"/>
        </w:rPr>
        <w:t>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我方保证遵守招标文件的全部规定</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提供招标文件规定的全部投标文件。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本项目投标总价见</w:t>
      </w:r>
      <w:r>
        <w:rPr>
          <w:rFonts w:hint="eastAsia" w:ascii="宋体" w:hAnsi="宋体" w:eastAsia="宋体" w:cs="宋体"/>
          <w:color w:val="auto"/>
          <w:highlight w:val="none"/>
          <w:u w:val="none"/>
          <w:lang w:val="en-US" w:eastAsia="zh-CN"/>
        </w:rPr>
        <w:t>我方的报价文件</w:t>
      </w:r>
      <w:r>
        <w:rPr>
          <w:rFonts w:hint="eastAsia" w:ascii="宋体" w:hAnsi="宋体" w:eastAsia="宋体" w:cs="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4</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如果我方中标，保证忠实地执行双方所签订的政府采购合同，并承担政府采购合同规定的责任和义务。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我方保证尊重评标委员会的评标结果，完全理解本项目不一定接受最低报价的投标。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6</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我方愿意向你中心提供任何与本项目投标有关的数据，并根据需要提供一切承诺的证明材料。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我方已详细审查全部招标文件，在投标之前已经与招标方进行了充分的沟通，完全理解并接受招标文件的各项规定和要求，对招标文件的合理性、合法性不再有异议。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与本项目投标活动有关的一切正式往来信函请寄：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地址：</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技术及服务条款偏离表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新碶高级中学多媒体教学设备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BLZFCG2025027</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招标文件技术、服务要求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bl>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1、技术、服务条款内容主要是针对招标文件有关的技术规格、服务要求等内容。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2、无偏离应在本表“投标文件响应情况”栏注明“无技术及服务条款偏离”的字样。</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商务条款偏离表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新碶高级中学多媒体教学设备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BLZFCG2025027</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招标文件商务要求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1</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交付时间</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2</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质保期</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3</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付款方式</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4</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合同主要条款</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1、商务条款内容主要是针对招标文件有关的付款条件、交付期、质保期、合同主要条款等内容。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2、无偏离应在本表“投标文件响应情况”栏注明“无商务条款偏离”的字样。</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投标货物（服务）清单</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新碶高级中学多媒体教学设备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BLZFCG2025027</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7"/>
        <w:gridCol w:w="1560"/>
        <w:gridCol w:w="2551"/>
        <w:gridCol w:w="709"/>
        <w:gridCol w:w="70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67"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60"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2551"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主要性能参数</w:t>
            </w:r>
          </w:p>
        </w:tc>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342" w:type="dxa"/>
            <w:shd w:val="clear" w:color="auto" w:fill="auto"/>
            <w:noWrap w:val="0"/>
            <w:vAlign w:val="center"/>
          </w:tcPr>
          <w:p>
            <w:pPr>
              <w:jc w:val="center"/>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制造商及</w:t>
            </w: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1、本表产品名称填写的顺序应与本招标文件第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部分中的采购清单相一致。</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货物性能技术指标对照表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新碶高级中学多媒体教学设备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BLZFCG2025027</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241" w:type="dxa"/>
        <w:tblInd w:w="-11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660"/>
        <w:gridCol w:w="1185"/>
        <w:gridCol w:w="3825"/>
        <w:gridCol w:w="357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794" w:hRule="atLeast"/>
          <w:tblHeader/>
        </w:trPr>
        <w:tc>
          <w:tcPr>
            <w:tcW w:w="660" w:type="dxa"/>
            <w:tcBorders>
              <w:bottom w:val="single" w:color="auto" w:sz="4" w:space="0"/>
            </w:tcBorders>
            <w:noWrap w:val="0"/>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85" w:type="dxa"/>
            <w:tcBorders>
              <w:bottom w:val="single" w:color="auto" w:sz="4" w:space="0"/>
            </w:tcBorders>
            <w:noWrap w:val="0"/>
            <w:vAlign w:val="center"/>
          </w:tcPr>
          <w:p>
            <w:pPr>
              <w:snapToGrid w:val="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货物名称</w:t>
            </w:r>
          </w:p>
        </w:tc>
        <w:tc>
          <w:tcPr>
            <w:tcW w:w="3825" w:type="dxa"/>
            <w:tcBorders>
              <w:bottom w:val="single" w:color="auto" w:sz="4" w:space="0"/>
            </w:tcBorders>
            <w:noWrap w:val="0"/>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招标技术规格要求</w:t>
            </w:r>
          </w:p>
        </w:tc>
        <w:tc>
          <w:tcPr>
            <w:tcW w:w="3571" w:type="dxa"/>
            <w:tcBorders>
              <w:bottom w:val="single" w:color="auto" w:sz="4" w:space="0"/>
            </w:tcBorders>
            <w:noWrap w:val="0"/>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w:t>
            </w:r>
            <w:r>
              <w:rPr>
                <w:rFonts w:hint="eastAsia" w:ascii="宋体" w:hAnsi="宋体" w:cs="宋体"/>
                <w:b/>
                <w:color w:val="auto"/>
                <w:sz w:val="21"/>
                <w:szCs w:val="21"/>
                <w:highlight w:val="none"/>
                <w:lang w:val="en-US" w:eastAsia="zh-CN"/>
              </w:rPr>
              <w:t>响应</w:t>
            </w:r>
            <w:r>
              <w:rPr>
                <w:rFonts w:hint="eastAsia" w:ascii="宋体" w:hAnsi="宋体" w:eastAsia="宋体" w:cs="宋体"/>
                <w:b/>
                <w:color w:val="auto"/>
                <w:sz w:val="21"/>
                <w:szCs w:val="21"/>
                <w:highlight w:val="none"/>
              </w:rPr>
              <w:t>对应</w:t>
            </w:r>
            <w:r>
              <w:rPr>
                <w:rFonts w:hint="eastAsia" w:ascii="宋体" w:hAnsi="宋体" w:cs="宋体"/>
                <w:b/>
                <w:color w:val="auto"/>
                <w:sz w:val="21"/>
                <w:szCs w:val="21"/>
                <w:highlight w:val="none"/>
                <w:lang w:val="en-US" w:eastAsia="zh-CN"/>
              </w:rPr>
              <w:t>的</w:t>
            </w:r>
            <w:r>
              <w:rPr>
                <w:rFonts w:hint="eastAsia" w:ascii="宋体" w:hAnsi="宋体" w:eastAsia="宋体" w:cs="宋体"/>
                <w:b/>
                <w:color w:val="auto"/>
                <w:sz w:val="21"/>
                <w:szCs w:val="21"/>
                <w:highlight w:val="none"/>
              </w:rPr>
              <w:t>技术规格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660" w:type="dxa"/>
            <w:noWrap w:val="0"/>
            <w:tcMar>
              <w:top w:w="113" w:type="dxa"/>
              <w:left w:w="113" w:type="dxa"/>
              <w:bottom w:w="113" w:type="dxa"/>
              <w:right w:w="113" w:type="dxa"/>
            </w:tcMar>
            <w:vAlign w:val="center"/>
          </w:tcPr>
          <w:p>
            <w:pPr>
              <w:snapToGrid w:val="0"/>
              <w:ind w:right="97" w:rightChars="0"/>
              <w:jc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1</w:t>
            </w:r>
          </w:p>
        </w:tc>
        <w:tc>
          <w:tcPr>
            <w:tcW w:w="1185" w:type="dxa"/>
            <w:noWrap w:val="0"/>
            <w:tcMar>
              <w:top w:w="113" w:type="dxa"/>
              <w:left w:w="113" w:type="dxa"/>
              <w:bottom w:w="113" w:type="dxa"/>
              <w:right w:w="113" w:type="dxa"/>
            </w:tcMar>
            <w:vAlign w:val="center"/>
          </w:tcPr>
          <w:p>
            <w:pPr>
              <w:snapToGrid w:val="0"/>
              <w:ind w:right="97" w:rightChars="0"/>
              <w:jc w:val="center"/>
              <w:rPr>
                <w:rFonts w:hint="default" w:ascii="宋体" w:hAnsi="宋体" w:cs="宋体"/>
                <w:color w:val="auto"/>
                <w:sz w:val="18"/>
                <w:szCs w:val="18"/>
                <w:highlight w:val="none"/>
                <w:lang w:val="en-US" w:eastAsia="zh-CN"/>
              </w:rPr>
            </w:pPr>
          </w:p>
        </w:tc>
        <w:tc>
          <w:tcPr>
            <w:tcW w:w="3825"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18"/>
                <w:szCs w:val="18"/>
                <w:highlight w:val="none"/>
              </w:rPr>
            </w:pPr>
          </w:p>
        </w:tc>
        <w:tc>
          <w:tcPr>
            <w:tcW w:w="3571" w:type="dxa"/>
            <w:noWrap w:val="0"/>
            <w:tcMar>
              <w:top w:w="113" w:type="dxa"/>
              <w:left w:w="113" w:type="dxa"/>
              <w:bottom w:w="113" w:type="dxa"/>
              <w:right w:w="113" w:type="dxa"/>
            </w:tcMar>
            <w:vAlign w:val="center"/>
          </w:tcPr>
          <w:p>
            <w:pPr>
              <w:snapToGrid w:val="0"/>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660" w:type="dxa"/>
            <w:noWrap w:val="0"/>
            <w:tcMar>
              <w:top w:w="113" w:type="dxa"/>
              <w:left w:w="113" w:type="dxa"/>
              <w:bottom w:w="113" w:type="dxa"/>
              <w:right w:w="113" w:type="dxa"/>
            </w:tcMar>
            <w:vAlign w:val="center"/>
          </w:tcPr>
          <w:p>
            <w:pPr>
              <w:snapToGrid w:val="0"/>
              <w:ind w:right="97" w:right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85" w:type="dxa"/>
            <w:noWrap w:val="0"/>
            <w:tcMar>
              <w:top w:w="113" w:type="dxa"/>
              <w:left w:w="113" w:type="dxa"/>
              <w:bottom w:w="113" w:type="dxa"/>
              <w:right w:w="113" w:type="dxa"/>
            </w:tcMar>
            <w:vAlign w:val="center"/>
          </w:tcPr>
          <w:p>
            <w:pPr>
              <w:snapToGrid w:val="0"/>
              <w:ind w:right="97" w:right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3825"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……按照招标要求逐句完善</w:t>
            </w:r>
          </w:p>
        </w:tc>
        <w:tc>
          <w:tcPr>
            <w:tcW w:w="3571" w:type="dxa"/>
            <w:noWrap w:val="0"/>
            <w:tcMar>
              <w:top w:w="113" w:type="dxa"/>
              <w:left w:w="113" w:type="dxa"/>
              <w:bottom w:w="113" w:type="dxa"/>
              <w:right w:w="113" w:type="dxa"/>
            </w:tcMar>
            <w:vAlign w:val="center"/>
          </w:tcPr>
          <w:p>
            <w:pPr>
              <w:snapToGrid w:val="0"/>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660" w:type="dxa"/>
            <w:noWrap w:val="0"/>
            <w:tcMar>
              <w:top w:w="113" w:type="dxa"/>
              <w:left w:w="113" w:type="dxa"/>
              <w:bottom w:w="113" w:type="dxa"/>
              <w:right w:w="113" w:type="dxa"/>
            </w:tcMar>
            <w:vAlign w:val="center"/>
          </w:tcPr>
          <w:p>
            <w:pPr>
              <w:snapToGrid w:val="0"/>
              <w:ind w:right="97"/>
              <w:jc w:val="center"/>
              <w:rPr>
                <w:rFonts w:hint="eastAsia" w:ascii="宋体" w:hAnsi="宋体" w:eastAsia="宋体" w:cs="宋体"/>
                <w:color w:val="auto"/>
                <w:sz w:val="18"/>
                <w:szCs w:val="18"/>
                <w:highlight w:val="none"/>
              </w:rPr>
            </w:pPr>
          </w:p>
        </w:tc>
        <w:tc>
          <w:tcPr>
            <w:tcW w:w="1185" w:type="dxa"/>
            <w:noWrap w:val="0"/>
            <w:tcMar>
              <w:top w:w="113" w:type="dxa"/>
              <w:left w:w="113" w:type="dxa"/>
              <w:bottom w:w="113" w:type="dxa"/>
              <w:right w:w="113" w:type="dxa"/>
            </w:tcMar>
            <w:vAlign w:val="center"/>
          </w:tcPr>
          <w:p>
            <w:pPr>
              <w:snapToGrid w:val="0"/>
              <w:ind w:right="97"/>
              <w:jc w:val="center"/>
              <w:rPr>
                <w:rFonts w:hint="eastAsia" w:ascii="宋体" w:hAnsi="宋体" w:eastAsia="宋体" w:cs="宋体"/>
                <w:color w:val="auto"/>
                <w:sz w:val="18"/>
                <w:szCs w:val="18"/>
                <w:highlight w:val="none"/>
              </w:rPr>
            </w:pPr>
          </w:p>
        </w:tc>
        <w:tc>
          <w:tcPr>
            <w:tcW w:w="3825"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18"/>
                <w:szCs w:val="18"/>
                <w:highlight w:val="none"/>
              </w:rPr>
            </w:pPr>
          </w:p>
        </w:tc>
        <w:tc>
          <w:tcPr>
            <w:tcW w:w="3571" w:type="dxa"/>
            <w:noWrap w:val="0"/>
            <w:tcMar>
              <w:top w:w="113" w:type="dxa"/>
              <w:left w:w="113" w:type="dxa"/>
              <w:bottom w:w="113" w:type="dxa"/>
              <w:right w:w="113" w:type="dxa"/>
            </w:tcMar>
            <w:vAlign w:val="center"/>
          </w:tcPr>
          <w:p>
            <w:pPr>
              <w:snapToGrid w:val="0"/>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660" w:type="dxa"/>
            <w:noWrap w:val="0"/>
            <w:tcMar>
              <w:top w:w="113" w:type="dxa"/>
              <w:left w:w="113" w:type="dxa"/>
              <w:bottom w:w="113" w:type="dxa"/>
              <w:right w:w="113" w:type="dxa"/>
            </w:tcMar>
            <w:vAlign w:val="center"/>
          </w:tcPr>
          <w:p>
            <w:pPr>
              <w:snapToGrid w:val="0"/>
              <w:ind w:right="97"/>
              <w:jc w:val="center"/>
              <w:rPr>
                <w:rFonts w:hint="eastAsia" w:ascii="宋体" w:hAnsi="宋体" w:eastAsia="宋体" w:cs="宋体"/>
                <w:color w:val="auto"/>
                <w:sz w:val="18"/>
                <w:szCs w:val="18"/>
                <w:highlight w:val="none"/>
              </w:rPr>
            </w:pPr>
          </w:p>
        </w:tc>
        <w:tc>
          <w:tcPr>
            <w:tcW w:w="1185" w:type="dxa"/>
            <w:noWrap w:val="0"/>
            <w:tcMar>
              <w:top w:w="113" w:type="dxa"/>
              <w:left w:w="113" w:type="dxa"/>
              <w:bottom w:w="113" w:type="dxa"/>
              <w:right w:w="113" w:type="dxa"/>
            </w:tcMar>
            <w:vAlign w:val="center"/>
          </w:tcPr>
          <w:p>
            <w:pPr>
              <w:snapToGrid w:val="0"/>
              <w:ind w:right="97"/>
              <w:jc w:val="center"/>
              <w:rPr>
                <w:rFonts w:hint="eastAsia" w:ascii="宋体" w:hAnsi="宋体" w:eastAsia="宋体" w:cs="宋体"/>
                <w:color w:val="auto"/>
                <w:sz w:val="18"/>
                <w:szCs w:val="18"/>
                <w:highlight w:val="none"/>
              </w:rPr>
            </w:pPr>
          </w:p>
        </w:tc>
        <w:tc>
          <w:tcPr>
            <w:tcW w:w="3825"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18"/>
                <w:szCs w:val="18"/>
                <w:highlight w:val="none"/>
              </w:rPr>
            </w:pPr>
          </w:p>
        </w:tc>
        <w:tc>
          <w:tcPr>
            <w:tcW w:w="3571" w:type="dxa"/>
            <w:noWrap w:val="0"/>
            <w:tcMar>
              <w:top w:w="113" w:type="dxa"/>
              <w:left w:w="113" w:type="dxa"/>
              <w:bottom w:w="113" w:type="dxa"/>
              <w:right w:w="113" w:type="dxa"/>
            </w:tcMar>
            <w:vAlign w:val="center"/>
          </w:tcPr>
          <w:p>
            <w:pPr>
              <w:snapToGrid w:val="0"/>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660" w:type="dxa"/>
            <w:tcBorders>
              <w:bottom w:val="single" w:color="auto" w:sz="4" w:space="0"/>
            </w:tcBorders>
            <w:noWrap w:val="0"/>
            <w:tcMar>
              <w:top w:w="113" w:type="dxa"/>
              <w:left w:w="113" w:type="dxa"/>
              <w:bottom w:w="113" w:type="dxa"/>
              <w:right w:w="113" w:type="dxa"/>
            </w:tcMar>
            <w:vAlign w:val="center"/>
          </w:tcPr>
          <w:p>
            <w:pPr>
              <w:snapToGrid w:val="0"/>
              <w:ind w:right="97"/>
              <w:jc w:val="center"/>
              <w:rPr>
                <w:rFonts w:hint="eastAsia" w:ascii="宋体" w:hAnsi="宋体" w:eastAsia="宋体" w:cs="宋体"/>
                <w:color w:val="auto"/>
                <w:sz w:val="18"/>
                <w:szCs w:val="18"/>
                <w:highlight w:val="none"/>
              </w:rPr>
            </w:pPr>
          </w:p>
        </w:tc>
        <w:tc>
          <w:tcPr>
            <w:tcW w:w="1185" w:type="dxa"/>
            <w:tcBorders>
              <w:bottom w:val="single" w:color="auto" w:sz="4" w:space="0"/>
            </w:tcBorders>
            <w:noWrap w:val="0"/>
            <w:tcMar>
              <w:top w:w="113" w:type="dxa"/>
              <w:left w:w="113" w:type="dxa"/>
              <w:bottom w:w="113" w:type="dxa"/>
              <w:right w:w="113" w:type="dxa"/>
            </w:tcMar>
            <w:vAlign w:val="center"/>
          </w:tcPr>
          <w:p>
            <w:pPr>
              <w:snapToGrid w:val="0"/>
              <w:ind w:right="97"/>
              <w:jc w:val="center"/>
              <w:rPr>
                <w:rFonts w:hint="eastAsia" w:ascii="宋体" w:hAnsi="宋体" w:eastAsia="宋体" w:cs="宋体"/>
                <w:color w:val="auto"/>
                <w:sz w:val="18"/>
                <w:szCs w:val="18"/>
                <w:highlight w:val="none"/>
              </w:rPr>
            </w:pPr>
          </w:p>
        </w:tc>
        <w:tc>
          <w:tcPr>
            <w:tcW w:w="3825" w:type="dxa"/>
            <w:tcBorders>
              <w:bottom w:val="single" w:color="auto" w:sz="4" w:space="0"/>
            </w:tcBorders>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18"/>
                <w:szCs w:val="18"/>
                <w:highlight w:val="none"/>
              </w:rPr>
            </w:pPr>
          </w:p>
        </w:tc>
        <w:tc>
          <w:tcPr>
            <w:tcW w:w="3571" w:type="dxa"/>
            <w:tcBorders>
              <w:bottom w:val="single" w:color="auto" w:sz="4" w:space="0"/>
            </w:tcBorders>
            <w:noWrap w:val="0"/>
            <w:tcMar>
              <w:top w:w="113" w:type="dxa"/>
              <w:left w:w="113" w:type="dxa"/>
              <w:bottom w:w="113" w:type="dxa"/>
              <w:right w:w="113" w:type="dxa"/>
            </w:tcMar>
            <w:vAlign w:val="center"/>
          </w:tcPr>
          <w:p>
            <w:pPr>
              <w:snapToGrid w:val="0"/>
              <w:rPr>
                <w:rFonts w:hint="eastAsia" w:ascii="宋体" w:hAnsi="宋体" w:eastAsia="宋体" w:cs="宋体"/>
                <w:color w:val="auto"/>
                <w:sz w:val="18"/>
                <w:szCs w:val="18"/>
                <w:highlight w:val="none"/>
              </w:rPr>
            </w:pPr>
          </w:p>
        </w:tc>
      </w:tr>
    </w:tbl>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1、本表填写的招标要求的顺序应与本招标文件第四部分中的</w:t>
      </w: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相一致。</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货物主要部件情况表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新碶高级中学多媒体教学设备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BLZFCG2025027</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2517"/>
        <w:gridCol w:w="1305"/>
        <w:gridCol w:w="129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20"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90"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2517"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1305" w:type="dxa"/>
            <w:noWrap w:val="0"/>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品牌</w:t>
            </w:r>
          </w:p>
        </w:tc>
        <w:tc>
          <w:tcPr>
            <w:tcW w:w="1290"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产地</w:t>
            </w:r>
          </w:p>
        </w:tc>
        <w:tc>
          <w:tcPr>
            <w:tcW w:w="1710"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所属货物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widowControl/>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rPr>
              <w:t>1</w:t>
            </w:r>
          </w:p>
        </w:tc>
        <w:tc>
          <w:tcPr>
            <w:tcW w:w="1690" w:type="dxa"/>
            <w:noWrap w:val="0"/>
            <w:vAlign w:val="center"/>
          </w:tcPr>
          <w:p>
            <w:pPr>
              <w:widowControl/>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rPr>
              <w:t>处理器</w:t>
            </w:r>
          </w:p>
        </w:tc>
        <w:tc>
          <w:tcPr>
            <w:tcW w:w="2517"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305"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2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710" w:type="dxa"/>
            <w:noWrap w:val="0"/>
            <w:vAlign w:val="center"/>
          </w:tcPr>
          <w:p>
            <w:pPr>
              <w:snapToGrid w:val="0"/>
              <w:jc w:val="center"/>
              <w:rPr>
                <w:rFonts w:hint="eastAsia" w:ascii="宋体" w:hAnsi="宋体" w:eastAsia="宋体" w:cs="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widowControl/>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rPr>
              <w:t>2</w:t>
            </w:r>
          </w:p>
        </w:tc>
        <w:tc>
          <w:tcPr>
            <w:tcW w:w="1690" w:type="dxa"/>
            <w:noWrap w:val="0"/>
            <w:vAlign w:val="center"/>
          </w:tcPr>
          <w:p>
            <w:pPr>
              <w:widowControl/>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rPr>
              <w:t>主板</w:t>
            </w:r>
          </w:p>
        </w:tc>
        <w:tc>
          <w:tcPr>
            <w:tcW w:w="2517"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305"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2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710" w:type="dxa"/>
            <w:noWrap w:val="0"/>
            <w:vAlign w:val="center"/>
          </w:tcPr>
          <w:p>
            <w:pPr>
              <w:snapToGrid w:val="0"/>
              <w:jc w:val="center"/>
              <w:rPr>
                <w:rFonts w:hint="eastAsia" w:ascii="宋体" w:hAnsi="宋体" w:eastAsia="宋体" w:cs="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widowControl/>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rPr>
              <w:t>3</w:t>
            </w:r>
          </w:p>
        </w:tc>
        <w:tc>
          <w:tcPr>
            <w:tcW w:w="1690" w:type="dxa"/>
            <w:noWrap w:val="0"/>
            <w:vAlign w:val="center"/>
          </w:tcPr>
          <w:p>
            <w:pPr>
              <w:widowControl/>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rPr>
              <w:t>内存</w:t>
            </w:r>
          </w:p>
        </w:tc>
        <w:tc>
          <w:tcPr>
            <w:tcW w:w="2517"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305"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2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710" w:type="dxa"/>
            <w:noWrap w:val="0"/>
            <w:vAlign w:val="center"/>
          </w:tcPr>
          <w:p>
            <w:pPr>
              <w:snapToGrid w:val="0"/>
              <w:jc w:val="center"/>
              <w:rPr>
                <w:rFonts w:hint="eastAsia" w:ascii="宋体" w:hAnsi="宋体" w:eastAsia="宋体" w:cs="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widowControl/>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rPr>
              <w:t>…</w:t>
            </w:r>
          </w:p>
        </w:tc>
        <w:tc>
          <w:tcPr>
            <w:tcW w:w="1690" w:type="dxa"/>
            <w:noWrap w:val="0"/>
            <w:vAlign w:val="center"/>
          </w:tcPr>
          <w:p>
            <w:pPr>
              <w:widowControl/>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rPr>
              <w:t>…</w:t>
            </w:r>
          </w:p>
        </w:tc>
        <w:tc>
          <w:tcPr>
            <w:tcW w:w="2517"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305"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2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710" w:type="dxa"/>
            <w:noWrap w:val="0"/>
            <w:vAlign w:val="center"/>
          </w:tcPr>
          <w:p>
            <w:pPr>
              <w:snapToGrid w:val="0"/>
              <w:jc w:val="center"/>
              <w:rPr>
                <w:rFonts w:hint="eastAsia" w:ascii="宋体" w:hAnsi="宋体" w:eastAsia="宋体" w:cs="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6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2517"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305"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2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710" w:type="dxa"/>
            <w:noWrap w:val="0"/>
            <w:vAlign w:val="center"/>
          </w:tcPr>
          <w:p>
            <w:pPr>
              <w:snapToGrid w:val="0"/>
              <w:jc w:val="center"/>
              <w:rPr>
                <w:rFonts w:hint="eastAsia" w:ascii="宋体" w:hAnsi="宋体" w:eastAsia="宋体" w:cs="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6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2517"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305"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2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710" w:type="dxa"/>
            <w:noWrap w:val="0"/>
            <w:vAlign w:val="center"/>
          </w:tcPr>
          <w:p>
            <w:pPr>
              <w:snapToGrid w:val="0"/>
              <w:jc w:val="center"/>
              <w:rPr>
                <w:rFonts w:hint="eastAsia" w:ascii="宋体" w:hAnsi="宋体" w:eastAsia="宋体" w:cs="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6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2517"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305"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2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710" w:type="dxa"/>
            <w:noWrap w:val="0"/>
            <w:vAlign w:val="center"/>
          </w:tcPr>
          <w:p>
            <w:pPr>
              <w:snapToGrid w:val="0"/>
              <w:jc w:val="center"/>
              <w:rPr>
                <w:rFonts w:hint="eastAsia" w:ascii="宋体" w:hAnsi="宋体" w:eastAsia="宋体" w:cs="宋体"/>
                <w:color w:val="auto"/>
                <w:spacing w:val="20"/>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1、以上所列清单仅供参考，供应商可以此为基准，但并不限于以上内容。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拟派本项目主要实施人员情况表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新碶高级中学多媒体教学设备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BLZFCG2025027</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noWrap w:val="0"/>
            <w:vAlign w:val="center"/>
          </w:tcPr>
          <w:p>
            <w:pPr>
              <w:snapToGrid w:val="0"/>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475"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拟在本项目中担任职务</w:t>
            </w:r>
          </w:p>
        </w:tc>
        <w:tc>
          <w:tcPr>
            <w:tcW w:w="1620"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姓名</w:t>
            </w:r>
          </w:p>
        </w:tc>
        <w:tc>
          <w:tcPr>
            <w:tcW w:w="1898"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身份证号码</w:t>
            </w:r>
          </w:p>
        </w:tc>
        <w:tc>
          <w:tcPr>
            <w:tcW w:w="3595" w:type="dxa"/>
            <w:noWrap w:val="0"/>
            <w:vAlign w:val="center"/>
          </w:tcPr>
          <w:p>
            <w:pPr>
              <w:tabs>
                <w:tab w:val="left" w:pos="0"/>
              </w:tabs>
              <w:adjustRightInd w:val="0"/>
              <w:snapToGrid w:val="0"/>
              <w:jc w:val="center"/>
              <w:rPr>
                <w:rFonts w:hint="eastAsia" w:ascii="宋体" w:hAnsi="宋体"/>
                <w:color w:val="auto"/>
                <w:sz w:val="21"/>
                <w:szCs w:val="21"/>
                <w:highlight w:val="none"/>
              </w:rPr>
            </w:pPr>
            <w:r>
              <w:rPr>
                <w:rFonts w:hint="eastAsia" w:ascii="宋体" w:hAnsi="宋体"/>
                <w:b/>
                <w:color w:val="auto"/>
                <w:sz w:val="21"/>
                <w:szCs w:val="21"/>
                <w:highlight w:val="none"/>
              </w:rPr>
              <w:t>获得的相关证书名称、主要项目实施经历、工作经验（或另附简历）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9342" w:type="dxa"/>
            <w:gridSpan w:val="5"/>
            <w:noWrap w:val="0"/>
            <w:vAlign w:val="center"/>
          </w:tcPr>
          <w:p>
            <w:pPr>
              <w:tabs>
                <w:tab w:val="left" w:pos="0"/>
              </w:tabs>
              <w:adjustRightInd w:val="0"/>
              <w:snapToGrid w:val="0"/>
              <w:spacing w:line="276" w:lineRule="auto"/>
              <w:rPr>
                <w:rFonts w:hint="eastAsia"/>
                <w:color w:val="auto"/>
                <w:sz w:val="21"/>
                <w:szCs w:val="21"/>
                <w:highlight w:val="none"/>
              </w:rPr>
            </w:pPr>
            <w:r>
              <w:rPr>
                <w:rFonts w:hint="eastAsia"/>
                <w:color w:val="auto"/>
                <w:sz w:val="21"/>
                <w:szCs w:val="21"/>
                <w:highlight w:val="none"/>
              </w:rPr>
              <w:t>声明：一旦我单位中标，将实行项目经理负责制，并配备上述项目实施人员。我方保证上述填报内容真实，若不真实，愿按有关规定接受处理。</w:t>
            </w:r>
          </w:p>
        </w:tc>
      </w:tr>
    </w:tbl>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1、拟派人员须是投标单位正式职工，以社保证明为准，如为</w:t>
      </w:r>
      <w:r>
        <w:rPr>
          <w:rFonts w:hint="eastAsia" w:ascii="宋体" w:hAnsi="宋体" w:eastAsia="宋体" w:cs="宋体"/>
          <w:color w:val="auto"/>
          <w:highlight w:val="none"/>
          <w:lang w:val="en-US" w:eastAsia="zh-CN"/>
        </w:rPr>
        <w:t>符合法律规定的</w:t>
      </w:r>
      <w:r>
        <w:rPr>
          <w:rFonts w:hint="eastAsia" w:ascii="宋体" w:hAnsi="宋体" w:eastAsia="宋体" w:cs="宋体"/>
          <w:color w:val="auto"/>
          <w:highlight w:val="none"/>
          <w:lang w:eastAsia="zh-CN"/>
        </w:rPr>
        <w:t>离退休返聘人员的，须提供退休证明及单位聘用证明。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表后</w:t>
      </w:r>
      <w:r>
        <w:rPr>
          <w:rFonts w:hint="eastAsia" w:ascii="宋体" w:hAnsi="宋体" w:eastAsia="宋体" w:cs="宋体"/>
          <w:color w:val="auto"/>
          <w:highlight w:val="none"/>
          <w:lang w:val="en-US" w:eastAsia="zh-CN"/>
        </w:rPr>
        <w:t>附拟派</w:t>
      </w:r>
      <w:r>
        <w:rPr>
          <w:rFonts w:hint="eastAsia" w:ascii="宋体" w:hAnsi="宋体" w:eastAsia="宋体" w:cs="宋体"/>
          <w:color w:val="auto"/>
          <w:highlight w:val="none"/>
          <w:lang w:eastAsia="zh-CN"/>
        </w:rPr>
        <w:t>人员的</w:t>
      </w:r>
      <w:r>
        <w:rPr>
          <w:rFonts w:hint="eastAsia" w:ascii="宋体" w:hAnsi="宋体" w:eastAsia="宋体" w:cs="宋体"/>
          <w:color w:val="auto"/>
          <w:highlight w:val="none"/>
          <w:lang w:val="en-US" w:eastAsia="zh-CN"/>
        </w:rPr>
        <w:t>社保</w:t>
      </w:r>
      <w:r>
        <w:rPr>
          <w:rFonts w:hint="eastAsia" w:ascii="宋体" w:hAnsi="宋体" w:eastAsia="宋体" w:cs="宋体"/>
          <w:color w:val="auto"/>
          <w:highlight w:val="none"/>
          <w:lang w:eastAsia="zh-CN"/>
        </w:rPr>
        <w:t>证明（</w:t>
      </w:r>
      <w:r>
        <w:rPr>
          <w:rFonts w:hint="eastAsia" w:ascii="宋体" w:hAnsi="宋体" w:eastAsia="宋体" w:cs="宋体"/>
          <w:color w:val="auto"/>
          <w:highlight w:val="none"/>
          <w:lang w:val="en-US" w:eastAsia="zh-CN"/>
        </w:rPr>
        <w:t>或返聘人员证明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业绩证明、相关</w:t>
      </w:r>
      <w:r>
        <w:rPr>
          <w:rFonts w:hint="eastAsia" w:ascii="宋体" w:hAnsi="宋体" w:eastAsia="宋体" w:cs="宋体"/>
          <w:color w:val="auto"/>
          <w:highlight w:val="none"/>
          <w:lang w:eastAsia="zh-CN"/>
        </w:rPr>
        <w:t>证书</w:t>
      </w:r>
      <w:r>
        <w:rPr>
          <w:rFonts w:hint="eastAsia" w:ascii="宋体" w:hAnsi="宋体" w:eastAsia="宋体" w:cs="宋体"/>
          <w:color w:val="auto"/>
          <w:highlight w:val="none"/>
          <w:lang w:val="en-US" w:eastAsia="zh-CN"/>
        </w:rPr>
        <w:t>的原件彩色扫描件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3、列入本表人员如要更换，需经采购人同意，擅自更换或不到位的属违约行为。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4、投标人为谋取评审优势而提供无法为本项目服务的人员，将影响任务的分配，情况严重的将被解除合同，并按照相关规定处理，投标人必须慎重考虑并提供相关服务人员。</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类似项目业绩表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新碶高级中学多媒体教学设备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BLZFCG2025027</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shd w:val="clear" w:color="auto" w:fill="auto"/>
            <w:noWrap w:val="0"/>
            <w:vAlign w:val="center"/>
          </w:tcPr>
          <w:p>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2853" w:type="dxa"/>
            <w:shd w:val="clear" w:color="auto" w:fill="auto"/>
            <w:noWrap w:val="0"/>
            <w:vAlign w:val="center"/>
          </w:tcPr>
          <w:p>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项目名称</w:t>
            </w:r>
          </w:p>
        </w:tc>
        <w:tc>
          <w:tcPr>
            <w:tcW w:w="1843" w:type="dxa"/>
            <w:shd w:val="clear" w:color="auto" w:fill="auto"/>
            <w:noWrap w:val="0"/>
            <w:vAlign w:val="center"/>
          </w:tcPr>
          <w:p>
            <w:pPr>
              <w:widowControl/>
              <w:jc w:val="center"/>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用户</w:t>
            </w:r>
            <w:r>
              <w:rPr>
                <w:rFonts w:hint="eastAsia" w:ascii="宋体" w:hAnsi="宋体" w:eastAsia="宋体" w:cs="宋体"/>
                <w:b/>
                <w:color w:val="auto"/>
                <w:kern w:val="0"/>
                <w:sz w:val="21"/>
                <w:szCs w:val="21"/>
                <w:highlight w:val="none"/>
              </w:rPr>
              <w:t>名称</w:t>
            </w:r>
          </w:p>
        </w:tc>
        <w:tc>
          <w:tcPr>
            <w:tcW w:w="1134" w:type="dxa"/>
            <w:shd w:val="clear" w:color="auto" w:fill="auto"/>
            <w:noWrap w:val="0"/>
            <w:vAlign w:val="center"/>
          </w:tcPr>
          <w:p>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合同金额</w:t>
            </w:r>
          </w:p>
        </w:tc>
        <w:tc>
          <w:tcPr>
            <w:tcW w:w="1134" w:type="dxa"/>
            <w:shd w:val="clear" w:color="auto" w:fill="auto"/>
            <w:noWrap w:val="0"/>
            <w:vAlign w:val="center"/>
          </w:tcPr>
          <w:p>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合同签订时间</w:t>
            </w:r>
          </w:p>
        </w:tc>
        <w:tc>
          <w:tcPr>
            <w:tcW w:w="1417" w:type="dxa"/>
            <w:shd w:val="clear" w:color="auto" w:fill="auto"/>
            <w:noWrap w:val="0"/>
            <w:vAlign w:val="center"/>
          </w:tcPr>
          <w:p>
            <w:pPr>
              <w:widowControl/>
              <w:jc w:val="center"/>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用户</w:t>
            </w:r>
            <w:r>
              <w:rPr>
                <w:rFonts w:hint="eastAsia" w:ascii="宋体" w:hAnsi="宋体" w:eastAsia="宋体" w:cs="宋体"/>
                <w:b/>
                <w:color w:val="auto"/>
                <w:kern w:val="0"/>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285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84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417"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285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84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417"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285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84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417"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285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84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417"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285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84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417"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1、提供符合本招标文件要求的类似项目业绩，表后附</w:t>
      </w:r>
      <w:r>
        <w:rPr>
          <w:rFonts w:hint="eastAsia" w:ascii="宋体" w:hAnsi="宋体" w:eastAsia="宋体" w:cs="宋体"/>
          <w:color w:val="auto"/>
          <w:highlight w:val="none"/>
          <w:lang w:val="en-US" w:eastAsia="zh-CN"/>
        </w:rPr>
        <w:t>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color w:val="auto"/>
          <w:highlight w:val="none"/>
          <w:lang w:val="en-US" w:eastAsia="zh-CN"/>
        </w:rPr>
        <w:t>的原件彩色扫描件，未提供的，相关项目不得分。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、以上内容必须是真实的，否则一经查实，按相关规定处理。</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投标产品取得节能环</w:t>
      </w:r>
      <w:r>
        <w:rPr>
          <w:rFonts w:hint="eastAsia" w:eastAsia="黑体"/>
          <w:color w:val="auto"/>
          <w:spacing w:val="20"/>
          <w:sz w:val="36"/>
          <w:szCs w:val="32"/>
          <w:highlight w:val="none"/>
          <w:lang w:val="en-US" w:eastAsia="zh-CN"/>
        </w:rPr>
        <w:t>保</w:t>
      </w:r>
      <w:r>
        <w:rPr>
          <w:rFonts w:hint="eastAsia" w:eastAsia="黑体"/>
          <w:color w:val="auto"/>
          <w:spacing w:val="20"/>
          <w:sz w:val="36"/>
          <w:szCs w:val="32"/>
          <w:highlight w:val="none"/>
        </w:rPr>
        <w:t>认证证书情况表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新碶高级中学多媒体教学设备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BLZFCG2025027</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2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6"/>
        <w:gridCol w:w="1367"/>
        <w:gridCol w:w="856"/>
        <w:gridCol w:w="2564"/>
        <w:gridCol w:w="1665"/>
        <w:gridCol w:w="960"/>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产品名称</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品牌</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制造商（生产者）名称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证书颁发机构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证书有效截止日期</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证书扫描件（或网页截图）在投标文件对应页码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一、</w:t>
            </w:r>
            <w:r>
              <w:rPr>
                <w:rFonts w:hint="eastAsia" w:ascii="宋体" w:hAnsi="宋体" w:eastAsia="宋体" w:cs="宋体"/>
                <w:b/>
                <w:bCs/>
                <w:i w:val="0"/>
                <w:color w:val="auto"/>
                <w:sz w:val="21"/>
                <w:szCs w:val="21"/>
                <w:highlight w:val="none"/>
                <w:u w:val="none"/>
              </w:rPr>
              <w:t>节能产品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二、</w:t>
            </w:r>
            <w:r>
              <w:rPr>
                <w:rFonts w:hint="eastAsia" w:ascii="宋体" w:hAnsi="宋体" w:eastAsia="宋体" w:cs="宋体"/>
                <w:b/>
                <w:bCs/>
                <w:i w:val="0"/>
                <w:color w:val="auto"/>
                <w:sz w:val="21"/>
                <w:szCs w:val="21"/>
                <w:highlight w:val="none"/>
                <w:u w:val="none"/>
              </w:rPr>
              <w:t>环境标志产品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bl>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、根据现行政府采购政策</w:t>
      </w:r>
      <w:r>
        <w:rPr>
          <w:rFonts w:hint="eastAsia" w:ascii="宋体" w:hAnsi="宋体" w:cs="宋体"/>
          <w:color w:val="auto"/>
          <w:highlight w:val="none"/>
          <w:lang w:val="en-US" w:eastAsia="zh-CN"/>
        </w:rPr>
        <w:t>和</w:t>
      </w:r>
      <w:r>
        <w:rPr>
          <w:rFonts w:hint="eastAsia" w:ascii="宋体" w:hAnsi="宋体" w:eastAsia="宋体" w:cs="宋体"/>
          <w:color w:val="auto"/>
          <w:highlight w:val="none"/>
          <w:lang w:eastAsia="zh-CN"/>
        </w:rPr>
        <w:t>招标文件要求提供</w:t>
      </w:r>
      <w:r>
        <w:rPr>
          <w:rFonts w:hint="eastAsia" w:ascii="宋体" w:hAnsi="宋体" w:cs="宋体"/>
          <w:color w:val="auto"/>
          <w:highlight w:val="none"/>
          <w:lang w:val="en-US" w:eastAsia="zh-CN"/>
        </w:rPr>
        <w:t>投标</w:t>
      </w:r>
      <w:r>
        <w:rPr>
          <w:rFonts w:hint="eastAsia" w:ascii="宋体" w:hAnsi="宋体" w:eastAsia="宋体" w:cs="宋体"/>
          <w:color w:val="auto"/>
          <w:highlight w:val="none"/>
          <w:lang w:eastAsia="zh-CN"/>
        </w:rPr>
        <w:t>产品取得节能环保认证的证明材料，未提供的相关项目不得分。施行强制采购的节能产品，没有提供</w:t>
      </w:r>
      <w:r>
        <w:rPr>
          <w:rFonts w:hint="eastAsia" w:ascii="宋体" w:hAnsi="宋体" w:cs="宋体"/>
          <w:color w:val="auto"/>
          <w:highlight w:val="none"/>
          <w:lang w:val="en-US" w:eastAsia="zh-CN"/>
        </w:rPr>
        <w:t>节能</w:t>
      </w:r>
      <w:r>
        <w:rPr>
          <w:rFonts w:hint="eastAsia" w:ascii="宋体" w:hAnsi="宋体" w:eastAsia="宋体" w:cs="宋体"/>
          <w:color w:val="auto"/>
          <w:highlight w:val="none"/>
          <w:lang w:eastAsia="zh-CN"/>
        </w:rPr>
        <w:t>认证证明的</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投标无效。</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、此表在不改变表式的情况下，可自行制作。</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投标人名称（CA签章）：</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日      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三、</w:t>
      </w:r>
      <w:r>
        <w:rPr>
          <w:rFonts w:hint="eastAsia" w:ascii="宋体" w:hAnsi="宋体"/>
          <w:b/>
          <w:bCs/>
          <w:color w:val="auto"/>
          <w:highlight w:val="none"/>
          <w:lang w:val="en-US" w:eastAsia="zh-CN"/>
        </w:rPr>
        <w:t>报价</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1、封面（见报价文件封面格式）</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3、开标一览表（见</w:t>
      </w:r>
      <w:r>
        <w:rPr>
          <w:rFonts w:hint="eastAsia" w:ascii="宋体" w:hAnsi="宋体"/>
          <w:color w:val="auto"/>
          <w:highlight w:val="none"/>
        </w:rPr>
        <w:t>格式</w:t>
      </w:r>
      <w:r>
        <w:rPr>
          <w:rFonts w:hint="eastAsia" w:ascii="宋体" w:hAnsi="宋体"/>
          <w:color w:val="auto"/>
          <w:highlight w:val="none"/>
          <w:lang w:val="en-US" w:eastAsia="zh-CN"/>
        </w:rPr>
        <w:t>13）</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4、投标分项报价表（见</w:t>
      </w:r>
      <w:r>
        <w:rPr>
          <w:rFonts w:hint="eastAsia" w:ascii="宋体" w:hAnsi="宋体"/>
          <w:color w:val="auto"/>
          <w:highlight w:val="none"/>
        </w:rPr>
        <w:t>格式</w:t>
      </w:r>
      <w:r>
        <w:rPr>
          <w:rFonts w:hint="eastAsia" w:ascii="宋体" w:hAnsi="宋体"/>
          <w:color w:val="auto"/>
          <w:highlight w:val="none"/>
          <w:lang w:val="en-US" w:eastAsia="zh-CN"/>
        </w:rPr>
        <w:t>14）</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5、中小企业声明函（见</w:t>
      </w:r>
      <w:r>
        <w:rPr>
          <w:rFonts w:hint="eastAsia" w:ascii="宋体" w:hAnsi="宋体"/>
          <w:color w:val="auto"/>
          <w:highlight w:val="none"/>
        </w:rPr>
        <w:t>格式</w:t>
      </w:r>
      <w:r>
        <w:rPr>
          <w:rFonts w:hint="eastAsia" w:ascii="宋体" w:hAnsi="宋体"/>
          <w:color w:val="auto"/>
          <w:highlight w:val="none"/>
          <w:lang w:val="en-US" w:eastAsia="zh-CN"/>
        </w:rPr>
        <w:t>15）（中小微企业提供）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6、残疾人福利性单位声明函（见</w:t>
      </w:r>
      <w:r>
        <w:rPr>
          <w:rFonts w:hint="eastAsia" w:ascii="宋体" w:hAnsi="宋体"/>
          <w:color w:val="auto"/>
          <w:highlight w:val="none"/>
        </w:rPr>
        <w:t>格式</w:t>
      </w:r>
      <w:r>
        <w:rPr>
          <w:rFonts w:hint="eastAsia" w:ascii="宋体" w:hAnsi="宋体"/>
          <w:color w:val="auto"/>
          <w:highlight w:val="none"/>
          <w:lang w:val="en-US" w:eastAsia="zh-CN"/>
        </w:rPr>
        <w:t>16）（残疾人福利性单位提供）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7、监狱企业证明文件（</w:t>
      </w:r>
      <w:r>
        <w:rPr>
          <w:rFonts w:hint="eastAsia" w:ascii="宋体" w:hAnsi="宋体"/>
          <w:color w:val="auto"/>
          <w:highlight w:val="none"/>
        </w:rPr>
        <w:t>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r>
        <w:rPr>
          <w:rFonts w:hint="eastAsia" w:ascii="宋体" w:hAnsi="宋体"/>
          <w:color w:val="auto"/>
          <w:highlight w:val="none"/>
          <w:lang w:val="en-US" w:eastAsia="zh-CN"/>
        </w:rPr>
        <w:t>）（监狱企业提供）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8、投标人认为需要提供的其他材料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1、投标人应按照报价文件组成所列内容和顺序编制报价文件。</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2、报价文件应按照招标文件格式要求进行CA电子签章，未有规定的投标人视情况签章。</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eastAsia" w:ascii="宋体" w:hAnsi="宋体"/>
          <w:color w:val="auto"/>
          <w:highlight w:val="none"/>
          <w:lang w:val="en-US" w:eastAsia="zh-CN"/>
        </w:rPr>
        <w:t>报价</w:t>
      </w:r>
      <w:r>
        <w:rPr>
          <w:rFonts w:hint="eastAsia" w:ascii="宋体" w:hAnsi="宋体"/>
          <w:color w:val="auto"/>
          <w:highlight w:val="none"/>
        </w:rPr>
        <w:t>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报价</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lang w:val="en-US" w:eastAsia="zh-CN"/>
        </w:rPr>
        <w:t>报价</w:t>
      </w:r>
      <w:r>
        <w:rPr>
          <w:rFonts w:hint="eastAsia" w:ascii="黑体" w:hAnsi="黑体" w:eastAsia="黑体"/>
          <w:color w:val="auto"/>
          <w:sz w:val="72"/>
          <w:szCs w:val="72"/>
          <w:highlight w:val="none"/>
        </w:rPr>
        <w:t>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新碶高级中学多媒体教学设备</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BLZFCG2025027</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开标一览表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新碶高级中学多媒体教学设备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BLZFCG2025027</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411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709"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4110"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b/>
                <w:bCs/>
                <w:color w:val="auto"/>
                <w:sz w:val="21"/>
                <w:szCs w:val="21"/>
                <w:highlight w:val="none"/>
              </w:rPr>
              <w:t>投标总价（元）</w:t>
            </w:r>
          </w:p>
        </w:tc>
        <w:tc>
          <w:tcPr>
            <w:tcW w:w="2127" w:type="dxa"/>
            <w:shd w:val="clear" w:color="auto" w:fill="auto"/>
            <w:noWrap w:val="0"/>
            <w:vAlign w:val="center"/>
          </w:tcPr>
          <w:p>
            <w:pPr>
              <w:widowControl/>
              <w:jc w:val="center"/>
              <w:rPr>
                <w:rFonts w:ascii="宋体" w:hAnsi="宋体"/>
                <w:b/>
                <w:bCs/>
                <w:color w:val="auto"/>
                <w:sz w:val="21"/>
                <w:szCs w:val="21"/>
                <w:highlight w:val="none"/>
              </w:rPr>
            </w:pPr>
            <w:r>
              <w:rPr>
                <w:rFonts w:hint="eastAsia" w:ascii="宋体" w:hAnsi="宋体"/>
                <w:b/>
                <w:bCs/>
                <w:color w:val="auto"/>
                <w:sz w:val="21"/>
                <w:szCs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709" w:type="dxa"/>
            <w:vMerge w:val="restart"/>
            <w:shd w:val="clear" w:color="auto" w:fill="auto"/>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color w:val="auto"/>
                <w:sz w:val="21"/>
                <w:szCs w:val="21"/>
                <w:highlight w:val="none"/>
                <w:lang w:eastAsia="zh-CN"/>
              </w:rPr>
              <w:t>新碶高级中学多媒体教学设备</w:t>
            </w: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小写</w:t>
            </w:r>
            <w:r>
              <w:rPr>
                <w:rFonts w:hint="eastAsia" w:ascii="宋体" w:hAnsi="宋体"/>
                <w:color w:val="auto"/>
                <w:sz w:val="21"/>
                <w:szCs w:val="21"/>
                <w:highlight w:val="none"/>
                <w:lang w:eastAsia="zh-CN"/>
              </w:rPr>
              <w:t>：</w:t>
            </w:r>
          </w:p>
        </w:tc>
        <w:tc>
          <w:tcPr>
            <w:tcW w:w="2127" w:type="dxa"/>
            <w:vMerge w:val="restart"/>
            <w:shd w:val="clear" w:color="auto" w:fill="auto"/>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olor w:val="auto"/>
                <w:sz w:val="21"/>
                <w:szCs w:val="21"/>
                <w:highlight w:val="none"/>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709" w:type="dxa"/>
            <w:vMerge w:val="continue"/>
            <w:shd w:val="clear" w:color="auto" w:fill="auto"/>
            <w:noWrap w:val="0"/>
            <w:vAlign w:val="center"/>
          </w:tcPr>
          <w:p>
            <w:pPr>
              <w:widowControl/>
              <w:jc w:val="center"/>
              <w:rPr>
                <w:rFonts w:hint="eastAsia" w:ascii="宋体" w:hAnsi="宋体"/>
                <w:color w:val="auto"/>
                <w:sz w:val="21"/>
                <w:szCs w:val="21"/>
                <w:highlight w:val="none"/>
              </w:rPr>
            </w:pP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大写</w:t>
            </w:r>
            <w:r>
              <w:rPr>
                <w:rFonts w:hint="eastAsia" w:ascii="宋体" w:hAnsi="宋体"/>
                <w:color w:val="auto"/>
                <w:sz w:val="21"/>
                <w:szCs w:val="21"/>
                <w:highlight w:val="none"/>
                <w:lang w:eastAsia="zh-CN"/>
              </w:rPr>
              <w:t>：</w:t>
            </w:r>
          </w:p>
        </w:tc>
        <w:tc>
          <w:tcPr>
            <w:tcW w:w="2127" w:type="dxa"/>
            <w:vMerge w:val="continue"/>
            <w:shd w:val="clear" w:color="auto" w:fill="auto"/>
            <w:noWrap w:val="0"/>
            <w:vAlign w:val="center"/>
          </w:tcPr>
          <w:p>
            <w:pPr>
              <w:widowControl/>
              <w:jc w:val="left"/>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946" w:type="dxa"/>
            <w:gridSpan w:val="3"/>
            <w:shd w:val="clear" w:color="auto" w:fill="auto"/>
            <w:noWrap w:val="0"/>
            <w:tcMar>
              <w:top w:w="170" w:type="dxa"/>
              <w:bottom w:w="170" w:type="dxa"/>
            </w:tcMar>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投标人说明：</w:t>
            </w:r>
          </w:p>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投标人是否为符合要求的小微企业：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投标人是否为符合要求的监狱企业：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p>
            <w:pPr>
              <w:widowControl/>
              <w:jc w:val="left"/>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 xml:space="preserve">投标人是否为符合要求的残疾人福利性单位：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1、投标总价应为供应商提供本项目采购范围内的货物和服务所需的一切费用。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2、本表格的“投标总价”应与投标分项报价表的“投标总价”一致。</w:t>
      </w:r>
    </w:p>
    <w:p>
      <w:pPr>
        <w:spacing w:line="360" w:lineRule="auto"/>
        <w:rPr>
          <w:rFonts w:hint="eastAsia" w:ascii="宋体" w:hAnsi="宋体" w:eastAsia="宋体" w:cs="宋体"/>
          <w:strike/>
          <w:dstrike w:val="0"/>
          <w:color w:val="auto"/>
          <w:highlight w:val="none"/>
          <w:lang w:eastAsia="zh-CN"/>
        </w:rPr>
      </w:pPr>
      <w:r>
        <w:rPr>
          <w:rFonts w:hint="eastAsia" w:ascii="宋体" w:hAnsi="宋体" w:eastAsia="宋体" w:cs="宋体"/>
          <w:color w:val="auto"/>
          <w:highlight w:val="none"/>
          <w:lang w:val="en-US" w:eastAsia="zh-CN"/>
        </w:rPr>
        <w:t>3、投标人在投标客户端填写的最终报价应当与加密上传的报价文件中“开标一览表”的投标总价一致，否则</w:t>
      </w:r>
      <w:r>
        <w:rPr>
          <w:rFonts w:hint="eastAsia" w:ascii="宋体" w:hAnsi="宋体" w:eastAsia="宋体" w:cs="宋体"/>
          <w:strike w:val="0"/>
          <w:dstrike w:val="0"/>
          <w:color w:val="auto"/>
          <w:highlight w:val="none"/>
          <w:lang w:val="en-US" w:eastAsia="zh-CN"/>
        </w:rPr>
        <w:t>以上传文件</w:t>
      </w:r>
      <w:r>
        <w:rPr>
          <w:rFonts w:hint="eastAsia" w:ascii="宋体" w:hAnsi="宋体" w:eastAsia="宋体" w:cs="宋体"/>
          <w:color w:val="auto"/>
          <w:highlight w:val="none"/>
          <w:lang w:val="en-US" w:eastAsia="zh-CN"/>
        </w:rPr>
        <w:t>开标一览表</w:t>
      </w:r>
      <w:r>
        <w:rPr>
          <w:rFonts w:hint="eastAsia" w:ascii="宋体" w:hAnsi="宋体" w:eastAsia="宋体" w:cs="宋体"/>
          <w:strike w:val="0"/>
          <w:dstrike w:val="0"/>
          <w:color w:val="auto"/>
          <w:highlight w:val="none"/>
          <w:lang w:val="en-US" w:eastAsia="zh-CN"/>
        </w:rPr>
        <w:t>中的报价为准，并对客户端报价进行修正。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14</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投标分项报价表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新碶高级中学多媒体教学设备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BLZFCG2025027</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268"/>
        <w:gridCol w:w="851"/>
        <w:gridCol w:w="850"/>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7"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1"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2268"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品牌、规格及型号</w:t>
            </w:r>
          </w:p>
        </w:tc>
        <w:tc>
          <w:tcPr>
            <w:tcW w:w="851" w:type="dxa"/>
            <w:noWrap w:val="0"/>
            <w:vAlign w:val="center"/>
          </w:tcPr>
          <w:p>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850" w:type="dxa"/>
            <w:noWrap w:val="0"/>
            <w:vAlign w:val="center"/>
          </w:tcPr>
          <w:p>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18" w:type="dxa"/>
            <w:noWrap w:val="0"/>
            <w:vAlign w:val="center"/>
          </w:tcPr>
          <w:p>
            <w:pPr>
              <w:snapToGrid w:val="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单价</w:t>
            </w:r>
          </w:p>
          <w:p>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18"/>
                <w:szCs w:val="18"/>
                <w:highlight w:val="none"/>
              </w:rPr>
              <w:t>(元/单位)</w:t>
            </w:r>
          </w:p>
        </w:tc>
        <w:tc>
          <w:tcPr>
            <w:tcW w:w="1275" w:type="dxa"/>
            <w:noWrap w:val="0"/>
            <w:vAlign w:val="center"/>
          </w:tcPr>
          <w:p>
            <w:pPr>
              <w:snapToGrid w:val="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总价</w:t>
            </w:r>
          </w:p>
          <w:p>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18" w:type="dxa"/>
            <w:gridSpan w:val="2"/>
            <w:vMerge w:val="restart"/>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投标总价（元）</w:t>
            </w:r>
          </w:p>
        </w:tc>
        <w:tc>
          <w:tcPr>
            <w:tcW w:w="6662" w:type="dxa"/>
            <w:gridSpan w:val="5"/>
            <w:noWrap w:val="0"/>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18" w:type="dxa"/>
            <w:gridSpan w:val="2"/>
            <w:vMerge w:val="continue"/>
            <w:noWrap w:val="0"/>
            <w:vAlign w:val="center"/>
          </w:tcPr>
          <w:p>
            <w:pPr>
              <w:rPr>
                <w:rFonts w:hint="eastAsia" w:ascii="宋体" w:hAnsi="宋体" w:eastAsia="宋体" w:cs="宋体"/>
                <w:b/>
                <w:color w:val="auto"/>
                <w:sz w:val="21"/>
                <w:szCs w:val="21"/>
                <w:highlight w:val="none"/>
              </w:rPr>
            </w:pPr>
          </w:p>
        </w:tc>
        <w:tc>
          <w:tcPr>
            <w:tcW w:w="6662" w:type="dxa"/>
            <w:gridSpan w:val="5"/>
            <w:noWrap w:val="0"/>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大写:</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1、本表产品名称填写的顺序应与本招标文件第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部分中的采购清单相一致。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2、本表格的“投标总价”应与开标一览表的“投标总价”一致。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lang w:val="en-US" w:eastAsia="zh-CN"/>
        </w:rPr>
      </w:pPr>
      <w:r>
        <w:rPr>
          <w:rFonts w:hint="eastAsia" w:eastAsia="黑体"/>
          <w:color w:val="auto"/>
          <w:spacing w:val="20"/>
          <w:sz w:val="36"/>
          <w:szCs w:val="32"/>
          <w:highlight w:val="none"/>
          <w:lang w:val="en-US" w:eastAsia="zh-CN"/>
        </w:rPr>
        <w:t>中小企业声明函（货物）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本公司郑重声明，根据《政府采购促进中小企业发展</w:t>
      </w:r>
      <w:r>
        <w:rPr>
          <w:rFonts w:hint="eastAsia" w:ascii="宋体" w:hAnsi="宋体" w:eastAsia="宋体" w:cs="宋体"/>
          <w:color w:val="auto"/>
          <w:highlight w:val="none"/>
          <w:lang w:eastAsia="zh-CN"/>
        </w:rPr>
        <w:t>管理办法》（财库[2020]46号）的规定，本公司参加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采购活动，提供的货物全部由符合政策要求的中小企业制造。相关企业的具体情况如下：</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1、（货物名称1）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2、（货物名称2）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以上企业</w:t>
      </w:r>
      <w:r>
        <w:rPr>
          <w:rFonts w:hint="eastAsia" w:ascii="宋体" w:hAnsi="宋体" w:eastAsia="宋体" w:cs="宋体"/>
          <w:color w:val="auto"/>
          <w:highlight w:val="none"/>
          <w:lang w:eastAsia="zh-CN"/>
        </w:rPr>
        <w:t>，不属于大企业的分支机构，不存在控股股东为大企业的情形，也不存在与大企业的负责人为同一人的情形。</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本企业对上述声明内容的真实性负责。如有虚假，将依法承担相应责任。</w:t>
      </w: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企业划分标准，按照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中小企业划型标准规定</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（工信部联企业[2011]300号）文件的规定。从业人员、营业收入、资产总额填报上一年度数据，无上一年度数据的新成立企业可不填报。</w:t>
      </w:r>
    </w:p>
    <w:p>
      <w:pPr>
        <w:spacing w:line="360" w:lineRule="auto"/>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2、投标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en-US" w:eastAsia="zh-CN"/>
        </w:rPr>
        <w:t>应按本招标文件第四部分中的采购清单所列产品顺序，列出相关企业的具体情况</w:t>
      </w:r>
      <w:r>
        <w:rPr>
          <w:rFonts w:hint="eastAsia" w:ascii="宋体" w:hAnsi="宋体" w:cs="宋体"/>
          <w:color w:val="auto"/>
          <w:highlight w:val="none"/>
          <w:lang w:val="en-US" w:eastAsia="zh-CN"/>
        </w:rPr>
        <w:t>。</w:t>
      </w:r>
      <w:r>
        <w:rPr>
          <w:rFonts w:hint="eastAsia" w:ascii="宋体" w:hAnsi="宋体" w:cs="宋体"/>
          <w:color w:val="auto"/>
          <w:highlight w:val="none"/>
          <w:lang w:val="en-US" w:eastAsia="zh-CN"/>
        </w:rPr>
        <w:t>由同一制造商生产的货物，允许合并列出。</w:t>
      </w:r>
      <w:r>
        <w:rPr>
          <w:rFonts w:hint="eastAsia" w:ascii="宋体" w:hAnsi="宋体" w:cs="宋体"/>
          <w:color w:val="auto"/>
          <w:highlight w:val="none"/>
          <w:lang w:val="en-US" w:eastAsia="zh-CN"/>
        </w:rPr>
        <w:t>对于采购清单中涉及到的辅材（如电线、线管、配件等）、利旧产品、非货物类（如施工、安装、</w:t>
      </w:r>
      <w:r>
        <w:rPr>
          <w:rFonts w:hint="eastAsia" w:ascii="宋体" w:hAnsi="宋体" w:cs="宋体"/>
          <w:color w:val="auto"/>
          <w:highlight w:val="none"/>
          <w:lang w:val="en-US" w:eastAsia="zh-CN"/>
        </w:rPr>
        <w:t>拆除、</w:t>
      </w:r>
      <w:r>
        <w:rPr>
          <w:rFonts w:hint="eastAsia" w:ascii="宋体" w:hAnsi="宋体" w:cs="宋体"/>
          <w:color w:val="auto"/>
          <w:highlight w:val="none"/>
          <w:lang w:val="en-US" w:eastAsia="zh-CN"/>
        </w:rPr>
        <w:t>调试、租赁、运维等）的项目，可以不列出相关企业的具体情况。</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投标供应商提供的货物既有中小企业制造货物，也有大型企业制造货物的，不享受《政府采购促进中小企业发展管理办法》规定的中小企业扶持政策。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符合相应条件的企业应根据招标文件要求提供《中小企业声明函》，未按要求提供声明函的不被认定为中小微型企业。</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提交中小企业声明函享受评审价格扣除优惠并中标的，内容随中标公告一同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val="en-US" w:eastAsia="zh-CN"/>
        </w:rPr>
      </w:pPr>
      <w:r>
        <w:rPr>
          <w:rFonts w:ascii="宋体" w:hAnsi="宋体"/>
          <w:color w:val="auto"/>
          <w:highlight w:val="none"/>
        </w:rPr>
        <w:br w:type="page"/>
      </w:r>
      <w:r>
        <w:rPr>
          <w:rFonts w:hint="eastAsia" w:ascii="宋体" w:hAnsi="宋体" w:eastAsia="宋体" w:cs="宋体"/>
          <w:b/>
          <w:bCs/>
          <w:color w:val="auto"/>
          <w:highlight w:val="none"/>
          <w:lang w:val="en-US" w:eastAsia="zh-CN"/>
        </w:rPr>
        <w:t>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1、执行财政部、工业和信息化部《政府采购促进中小企业发展管理办法》（财库〔2020〕46号）。政府采购活动中有关中小企业的相关规定如下：</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1.2在政府采购活动中，供应商提供的货物、工程或者服务符合下列情形的，享受《政府采购促进中小企业发展管理办法》规定的中小企业扶持政策：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（1）、在货物采购项目中，货物由中小企业制造，即货物由中小企业生产且使用该中小企业商号或者注册商标；</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（2）、在工程采购项目中，工程由中小企业承建，即工程施工单位为中小企业；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（3）、在服务采购项目中，服务由中小企业承接，即提供服务的人员为中小企业依照《中华人民共和国劳动合同法》订立劳动合同的从业人员。</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在货物采购项目中，供应商提供的货物既有中小企业制造货物，也有大型企业制造货物的，不享受《政府采购促进中小企业发展管理办法》规定的中小企业扶持政策。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以联合体形式参加政府采购活动，联合体各方均为中小企业的，联合体视同中小企业。其中，联合体各方均为小微企业的，联合体视同小微企业。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1.3中小企业参加政府采购活动，应当出具《政府采购促进中小企业发展管理办法》规定的《中小企业声明函》（格式见本采购文件附件），否则不得享受相关中小企业扶持政策。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供应商提供声明函内容不实的，属于提供虚假材料谋取中标、成交，依照《中华人民共和国政府采购法》等国家有关规定追究相应责任。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适用招标投标法的政府采购工程建设项目，投标人提供声明函内容不实的，属于弄虚作假骗取中标，依照《中华人民共和国招标投标法》等国家有关规定追究相应责任。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1.5《中小企业声明函》由参加投标的供应商提交，如供应商为代理商，须自行采集制造商的中小企业划分类型信息填入相应栏目并对其真实性负责。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drawing>
          <wp:inline distT="0" distB="0" distL="114300" distR="114300">
            <wp:extent cx="5612765" cy="8722995"/>
            <wp:effectExtent l="0" t="0" r="6985" b="1905"/>
            <wp:docPr id="2" name="图片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
                    <pic:cNvPicPr>
                      <a:picLocks noChangeAspect="1"/>
                    </pic:cNvPicPr>
                  </pic:nvPicPr>
                  <pic:blipFill>
                    <a:blip r:embed="rId7"/>
                    <a:stretch>
                      <a:fillRect/>
                    </a:stretch>
                  </pic:blipFill>
                  <pic:spPr>
                    <a:xfrm>
                      <a:off x="0" y="0"/>
                      <a:ext cx="5612765" cy="8722995"/>
                    </a:xfrm>
                    <a:prstGeom prst="rect">
                      <a:avLst/>
                    </a:prstGeom>
                  </pic:spPr>
                </pic:pic>
              </a:graphicData>
            </a:graphic>
          </wp:inline>
        </w:drawing>
      </w:r>
      <w:r>
        <w:rPr>
          <w:rFonts w:hint="eastAsia" w:ascii="宋体" w:hAnsi="宋体" w:eastAsia="宋体" w:cs="宋体"/>
          <w:b/>
          <w:bCs/>
          <w:color w:val="auto"/>
          <w:highlight w:val="none"/>
          <w:lang w:eastAsia="zh-CN"/>
        </w:rPr>
        <w:t>风险提示：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1.在货物采购项目中，供应商提供的货物既有中型企业制造，也有小微企业制造的，不享受办法规定的小微企业扶持政策。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2.投标人应当对其出具的《中小企业声明函》真实性负责，投标人出具的《中小企业声明函》内容不实的，</w:t>
      </w:r>
      <w:r>
        <w:rPr>
          <w:rFonts w:hint="eastAsia" w:ascii="宋体" w:hAnsi="宋体" w:eastAsia="宋体" w:cs="宋体"/>
          <w:b/>
          <w:bCs/>
          <w:color w:val="auto"/>
          <w:highlight w:val="none"/>
          <w:lang w:eastAsia="zh-CN"/>
        </w:rPr>
        <w:t>属于提供虚假材料谋取中标</w:t>
      </w:r>
      <w:r>
        <w:rPr>
          <w:rFonts w:hint="eastAsia" w:ascii="宋体" w:hAnsi="宋体" w:eastAsia="宋体" w:cs="宋体"/>
          <w:color w:val="auto"/>
          <w:highlight w:val="none"/>
          <w:lang w:eastAsia="zh-CN"/>
        </w:rPr>
        <w:t>。在实际操作中，投标人希望获得《办法》规定政策支持的，应从制造商处获得充分、准确的信息。对相关制造商信息了解不充分，或者不能确定相关信息真实、准确的，不建议出具《中小企业声明函》。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16-1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残疾人福利性单位声明函（投标人出具）</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w:t>
      </w:r>
      <w:r>
        <w:rPr>
          <w:rFonts w:hint="eastAsia" w:ascii="宋体" w:hAnsi="宋体" w:eastAsia="宋体" w:cs="宋体"/>
          <w:color w:val="auto"/>
          <w:szCs w:val="21"/>
          <w:highlight w:val="none"/>
        </w:rPr>
        <w:t>残疾人福利性单位，且本单位参加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采购活动，提供本单位制造的货物</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或者</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提供其他残疾人福利性单位制造的货物（不包括使用非残疾人福利性单位注册商标的货物）。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本单位对上述声明的真实性负责。如有虚假，将依法承担相应</w:t>
      </w:r>
      <w:r>
        <w:rPr>
          <w:rFonts w:hint="eastAsia" w:ascii="宋体" w:hAnsi="宋体" w:eastAsia="宋体" w:cs="宋体"/>
          <w:color w:val="auto"/>
          <w:highlight w:val="none"/>
          <w:lang w:eastAsia="zh-CN"/>
        </w:rPr>
        <w:t>责任。</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在本次政府采购活动中，残疾人福利性单位视同小型、微型企业，享受评审中价格扣除等促进中小企业发展的政府采购政策。残疾人福利性单位属于小型、微型企业的，不重复享受政策。</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2、投标货物全部由投标人自己生产的，只要提供本声明函即可。如果投标货物（全部或部分）由其他制造商生产的，则必须同时提供该制造商的残疾人福利性单位声明函。</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3、符合相应条件的企业应根据招标文件要求提供《残疾人福利性单位声明函》，未按要求提供声明函的不被认定为残疾人福利性单位。</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4、提交残疾人福利性单位声明函享受评审价格扣除优惠并中标的，内容随中标公告一同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16-2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残疾人福利性单位声明函（其他制造商出具）</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highlight w:val="none"/>
        </w:rPr>
      </w:pPr>
    </w:p>
    <w:p>
      <w:pPr>
        <w:spacing w:line="360" w:lineRule="auto"/>
        <w:rPr>
          <w:rFonts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rPr>
      </w:pPr>
      <w:r>
        <w:rPr>
          <w:rFonts w:hint="eastAsia" w:ascii="宋体" w:hAnsi="宋体"/>
          <w:color w:val="auto"/>
          <w:szCs w:val="21"/>
          <w:highlight w:val="none"/>
        </w:rPr>
        <w:t>制造商（单位公章）：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1、投标货物中含有其他制造商生产的产品的，须提供由该产品制造商出具的残疾人福利性单位声明函，未按要求提供声明函的该制造商不被认定为残疾人福利性单位。</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2、在投标文件中提供由其他制造商出具的残疾人福利性单位声明函原件彩色扫描件。</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ascii="宋体" w:hAnsi="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eastAsia="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rPr>
        <w:t>部分  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评标原则</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评标活动遵循公平、公正、客观的原则，按招标文件中规定的评标方法和标准进行。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评标办法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本次招标采用综合评分法。</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采购人和采购代理机构根据采购项目的内容特点按照规定组建评标委员会。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评标委员会由采购人代表和评审专家组成，成员人数为5人以上单数，其中评审专家不少于成员总数的三分之二。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4.1资格文件审查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开标后，采购人、采购代理机构按照招标文件的规定对投标人的资格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文件进行审查，以确定投标供应商是否具备投标资格。</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审查内容包括投标人提供的资格证明材料是否齐全规范，投标人资格、信用信息等是否满足招标文件的要求。审查不合格的投标人，不进入技术商务文件评审。</w:t>
      </w:r>
      <w:r>
        <w:rPr>
          <w:rFonts w:hint="eastAsia" w:ascii="宋体" w:hAnsi="宋体" w:eastAsia="宋体" w:cs="宋体"/>
          <w:color w:val="auto"/>
          <w:highlight w:val="none"/>
        </w:rPr>
        <w:t>（具体见本部分无效投标的认定）</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4.2技术商务文件评审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4.2.1</w:t>
      </w:r>
      <w:r>
        <w:rPr>
          <w:rFonts w:hint="eastAsia" w:ascii="宋体" w:hAnsi="宋体" w:eastAsia="宋体" w:cs="宋体"/>
          <w:color w:val="auto"/>
          <w:highlight w:val="none"/>
        </w:rPr>
        <w:t>技术商务文件符合性审查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资格审查通过后，开启合格投标人的技术商务文件。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评标委员会依据招标文件的规定，对投标人的技术商务文件的有效性、完整性和对招标文件的响应程度进行审查，以确定是否对招标文件的实质性要求作出响应。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审查内容包括技术商务文件是否完整、文件签署是否齐全等，还包括投标文件是否对招标文件提出的所有实质性要求和条件作出响应，有无重大偏差；如有重大偏差者，作无效投标处理，不予进入详细评审。</w:t>
      </w:r>
      <w:r>
        <w:rPr>
          <w:rFonts w:hint="eastAsia" w:ascii="宋体" w:hAnsi="宋体" w:eastAsia="宋体" w:cs="宋体"/>
          <w:color w:val="auto"/>
          <w:highlight w:val="none"/>
        </w:rPr>
        <w:t>（具体见本部分无效投标的认定）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4.2.2</w:t>
      </w:r>
      <w:r>
        <w:rPr>
          <w:rFonts w:hint="eastAsia" w:ascii="宋体" w:hAnsi="宋体" w:eastAsia="宋体" w:cs="宋体"/>
          <w:color w:val="auto"/>
          <w:highlight w:val="none"/>
        </w:rPr>
        <w:t>技术商务文件详细评审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w:t>
      </w:r>
      <w:r>
        <w:rPr>
          <w:rFonts w:hint="eastAsia" w:ascii="宋体" w:hAnsi="宋体" w:eastAsia="宋体" w:cs="宋体"/>
          <w:color w:val="auto"/>
          <w:highlight w:val="none"/>
        </w:rPr>
        <w:t>对具备实质性响应的</w:t>
      </w:r>
      <w:r>
        <w:rPr>
          <w:rFonts w:hint="eastAsia" w:ascii="宋体" w:hAnsi="宋体" w:eastAsia="宋体" w:cs="宋体"/>
          <w:color w:val="auto"/>
          <w:highlight w:val="none"/>
        </w:rPr>
        <w:t>技术商务文件</w:t>
      </w:r>
      <w:r>
        <w:rPr>
          <w:rFonts w:hint="eastAsia" w:ascii="宋体" w:hAnsi="宋体" w:eastAsia="宋体" w:cs="宋体"/>
          <w:color w:val="auto"/>
          <w:highlight w:val="none"/>
        </w:rPr>
        <w:t>进行</w:t>
      </w:r>
      <w:r>
        <w:rPr>
          <w:rFonts w:hint="eastAsia" w:ascii="宋体" w:hAnsi="宋体" w:eastAsia="宋体" w:cs="宋体"/>
          <w:color w:val="auto"/>
          <w:highlight w:val="none"/>
          <w:lang w:val="en-US" w:eastAsia="zh-CN"/>
        </w:rPr>
        <w:t>进一步</w:t>
      </w:r>
      <w:r>
        <w:rPr>
          <w:rFonts w:hint="eastAsia" w:ascii="宋体" w:hAnsi="宋体" w:eastAsia="宋体" w:cs="宋体"/>
          <w:color w:val="auto"/>
          <w:highlight w:val="none"/>
        </w:rPr>
        <w:t>评估和比较</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评标委员会成员根据投标人的技术商务文件及相关澄清文件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按照评分标准表</w:t>
      </w:r>
      <w:r>
        <w:rPr>
          <w:rFonts w:hint="eastAsia" w:ascii="宋体" w:hAnsi="宋体" w:eastAsia="宋体" w:cs="宋体"/>
          <w:color w:val="auto"/>
          <w:highlight w:val="none"/>
        </w:rPr>
        <w:t>（具体见本部分评分标准表）</w:t>
      </w:r>
      <w:r>
        <w:rPr>
          <w:rFonts w:hint="eastAsia" w:ascii="宋体" w:hAnsi="宋体" w:eastAsia="宋体" w:cs="宋体"/>
          <w:color w:val="auto"/>
          <w:highlight w:val="none"/>
        </w:rPr>
        <w:t>对各投标人技术商务</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进行打分。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评标委员会成员打分采用记名方式，统计时汇总每一细项每位评标委员会成员的评分，取算术平均分（小数点后保留二位小数，四舍五入）。</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4.3报价文件评审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4.3.1报价文件</w:t>
      </w:r>
      <w:r>
        <w:rPr>
          <w:rFonts w:hint="eastAsia" w:ascii="宋体" w:hAnsi="宋体" w:eastAsia="宋体" w:cs="宋体"/>
          <w:color w:val="auto"/>
          <w:highlight w:val="none"/>
        </w:rPr>
        <w:t>符合性审查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技术商务文件评审结束后，开启有效投标人的报价文件。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评标委员会对投标人的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文件是否完整、文件签署是否齐全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报价是否超出采购预算或最高限价，</w:t>
      </w:r>
      <w:r>
        <w:rPr>
          <w:rFonts w:hint="eastAsia" w:ascii="宋体" w:hAnsi="宋体" w:eastAsia="宋体" w:cs="宋体"/>
          <w:color w:val="auto"/>
          <w:highlight w:val="none"/>
        </w:rPr>
        <w:t>投标文件是否对招标文件提出的实质性要求作出响应，有无重大偏差；如有重大偏差者，作无效投标处理，不予进入详细评审</w:t>
      </w:r>
      <w:r>
        <w:rPr>
          <w:rFonts w:hint="eastAsia" w:ascii="宋体" w:hAnsi="宋体" w:eastAsia="宋体" w:cs="宋体"/>
          <w:color w:val="auto"/>
          <w:highlight w:val="none"/>
        </w:rPr>
        <w:t>。</w:t>
      </w:r>
      <w:r>
        <w:rPr>
          <w:rFonts w:hint="eastAsia" w:ascii="宋体" w:hAnsi="宋体" w:eastAsia="宋体" w:cs="宋体"/>
          <w:color w:val="auto"/>
          <w:highlight w:val="none"/>
        </w:rPr>
        <w:t>（具体见本部分无效投标的认定）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4.3.2报价文件</w:t>
      </w:r>
      <w:r>
        <w:rPr>
          <w:rFonts w:hint="eastAsia" w:ascii="宋体" w:hAnsi="宋体" w:eastAsia="宋体" w:cs="宋体"/>
          <w:color w:val="auto"/>
          <w:highlight w:val="none"/>
        </w:rPr>
        <w:t>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w:t>
      </w:r>
      <w:r>
        <w:rPr>
          <w:rFonts w:hint="eastAsia" w:ascii="宋体" w:hAnsi="宋体" w:eastAsia="宋体" w:cs="宋体"/>
          <w:color w:val="auto"/>
          <w:highlight w:val="none"/>
        </w:rPr>
        <w:t>对具备实质性响应的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w:t>
      </w:r>
      <w:r>
        <w:rPr>
          <w:rFonts w:hint="eastAsia" w:ascii="宋体" w:hAnsi="宋体" w:eastAsia="宋体" w:cs="宋体"/>
          <w:color w:val="auto"/>
          <w:highlight w:val="none"/>
        </w:rPr>
        <w:t>进行</w:t>
      </w:r>
      <w:r>
        <w:rPr>
          <w:rFonts w:hint="eastAsia" w:ascii="宋体" w:hAnsi="宋体" w:eastAsia="宋体" w:cs="宋体"/>
          <w:color w:val="auto"/>
          <w:highlight w:val="none"/>
          <w:lang w:val="en-US" w:eastAsia="zh-CN"/>
        </w:rPr>
        <w:t>进一步评审</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评标委员会</w:t>
      </w:r>
      <w:r>
        <w:rPr>
          <w:rFonts w:hint="eastAsia" w:ascii="宋体" w:hAnsi="宋体" w:eastAsia="宋体" w:cs="宋体"/>
          <w:color w:val="auto"/>
          <w:highlight w:val="none"/>
        </w:rPr>
        <w:t>认为投标人的报价明显低于其他通过符合性审查投标人的报价，有可能影响产品质量或者不能诚信履约的，应当要求其在</w:t>
      </w:r>
      <w:r>
        <w:rPr>
          <w:rFonts w:hint="eastAsia" w:ascii="宋体" w:hAnsi="宋体" w:eastAsia="宋体" w:cs="宋体"/>
          <w:color w:val="auto"/>
          <w:highlight w:val="none"/>
        </w:rPr>
        <w:t>评标</w:t>
      </w:r>
      <w:r>
        <w:rPr>
          <w:rFonts w:hint="eastAsia" w:ascii="宋体" w:hAnsi="宋体" w:eastAsia="宋体" w:cs="宋体"/>
          <w:color w:val="auto"/>
          <w:highlight w:val="none"/>
          <w:lang w:val="en-US" w:eastAsia="zh-CN"/>
        </w:rPr>
        <w:t>期间</w:t>
      </w:r>
      <w:r>
        <w:rPr>
          <w:rFonts w:hint="eastAsia" w:ascii="宋体" w:hAnsi="宋体" w:eastAsia="宋体" w:cs="宋体"/>
          <w:color w:val="auto"/>
          <w:highlight w:val="none"/>
        </w:rPr>
        <w:t>合理的时间内提供书面说明，必要时提交相关证明材料，投标人不能证明其报价合理性的，作无效投标处理</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4.3.3报价修正规则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在评审中，对投标报价出现前后不一致的，除招标文件另有规定外，按照下列规定修正：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（1）投标文件中开标一览表内容与投标文件中明细表内容不一致的，以开标一览表为准。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（2）投标文件的大写金额和小写金额不一致的，以大写金额为准。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按上述方法调整后的投标报价经投标人确认后产生约束力，投标人不确认的，其投标无效。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4.3.4</w:t>
      </w:r>
      <w:r>
        <w:rPr>
          <w:rFonts w:hint="eastAsia" w:ascii="宋体" w:hAnsi="宋体" w:eastAsia="宋体" w:cs="宋体"/>
          <w:color w:val="auto"/>
          <w:highlight w:val="none"/>
        </w:rPr>
        <w:t>计算报价得分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评审</w:t>
      </w:r>
      <w:r>
        <w:rPr>
          <w:rFonts w:hint="eastAsia" w:ascii="宋体" w:hAnsi="宋体" w:eastAsia="宋体" w:cs="宋体"/>
          <w:color w:val="auto"/>
          <w:highlight w:val="none"/>
          <w:lang w:val="en-US" w:eastAsia="zh-CN"/>
        </w:rPr>
        <w:t>结束后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评标委员会</w:t>
      </w:r>
      <w:r>
        <w:rPr>
          <w:rFonts w:hint="eastAsia" w:ascii="宋体" w:hAnsi="宋体" w:eastAsia="宋体" w:cs="宋体"/>
          <w:color w:val="auto"/>
          <w:highlight w:val="none"/>
        </w:rPr>
        <w:t>按评分标准表</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计算</w:t>
      </w:r>
      <w:r>
        <w:rPr>
          <w:rFonts w:hint="eastAsia" w:ascii="宋体" w:hAnsi="宋体" w:eastAsia="宋体" w:cs="宋体"/>
          <w:color w:val="auto"/>
          <w:highlight w:val="none"/>
          <w:lang w:val="en-US" w:eastAsia="zh-CN"/>
        </w:rPr>
        <w:t>各投标人的报价得分</w:t>
      </w:r>
      <w:r>
        <w:rPr>
          <w:rFonts w:hint="eastAsia" w:ascii="宋体" w:hAnsi="宋体" w:eastAsia="宋体" w:cs="宋体"/>
          <w:color w:val="auto"/>
          <w:highlight w:val="none"/>
        </w:rPr>
        <w:t>（小数点后保留二位小数，四舍五入）</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4.4评审结果</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评标委员会对各投标人技术商务得分和报价得分进行汇总并排序。</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评标委员会根据全体评标成员签字的原始评标记录和评标结果编写评标报告。按得分由高到低顺序推荐中标候选人。</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5、询标澄清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5.2除</w:t>
      </w:r>
      <w:r>
        <w:rPr>
          <w:rFonts w:hint="eastAsia" w:ascii="宋体" w:hAnsi="宋体" w:eastAsia="宋体" w:cs="宋体"/>
          <w:color w:val="auto"/>
          <w:highlight w:val="none"/>
        </w:rPr>
        <w:t>依法进行</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澄清、说明、补正外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投标人不得通过对投标文件修正、</w:t>
      </w:r>
      <w:r>
        <w:rPr>
          <w:rFonts w:hint="eastAsia" w:ascii="宋体" w:hAnsi="宋体" w:eastAsia="宋体" w:cs="宋体"/>
          <w:color w:val="auto"/>
          <w:highlight w:val="none"/>
          <w:lang w:val="en-US" w:eastAsia="zh-CN"/>
        </w:rPr>
        <w:t>撤销</w:t>
      </w:r>
      <w:r>
        <w:rPr>
          <w:rFonts w:hint="eastAsia" w:ascii="宋体" w:hAnsi="宋体" w:eastAsia="宋体" w:cs="宋体"/>
          <w:color w:val="auto"/>
          <w:highlight w:val="none"/>
        </w:rPr>
        <w:t>不符合要求的条款或通过投标文件以外的补充、纠正、佐证等，使其投标成为实质上响应的投标</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6、无效投标的认定</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实质上没有响应招标文件要求的投标被视为无效投标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投标响应文件有下列情形之一的作无效投标处理</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6.1未按</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val="en-US" w:eastAsia="zh-CN"/>
        </w:rPr>
        <w:t>6.2</w:t>
      </w:r>
      <w:r>
        <w:rPr>
          <w:rFonts w:hint="eastAsia" w:ascii="宋体" w:hAnsi="宋体" w:eastAsia="宋体" w:cs="宋体"/>
          <w:color w:val="auto"/>
          <w:sz w:val="21"/>
          <w:szCs w:val="21"/>
          <w:highlight w:val="none"/>
        </w:rPr>
        <w:t>仅提交备份电子投标文件的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6.3不具备招标文件规定的资格要求的</w:t>
      </w:r>
      <w:r>
        <w:rPr>
          <w:rFonts w:hint="eastAsia" w:ascii="宋体" w:hAnsi="宋体" w:eastAsia="宋体" w:cs="宋体"/>
          <w:color w:val="auto"/>
          <w:highlight w:val="none"/>
          <w:lang w:val="en-US" w:eastAsia="zh-CN"/>
        </w:rPr>
        <w:t>或者</w:t>
      </w:r>
      <w:r>
        <w:rPr>
          <w:rFonts w:hint="eastAsia" w:ascii="宋体" w:hAnsi="宋体" w:eastAsia="宋体" w:cs="宋体"/>
          <w:color w:val="auto"/>
          <w:highlight w:val="none"/>
          <w:lang w:eastAsia="zh-CN"/>
        </w:rPr>
        <w:t>未按招标文件要求提供资格证明文件的。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highlight w:val="none"/>
        </w:rPr>
        <w:t>单位负责人为同一人或者存在直接控股、管理关系的不同供应商，参加同一合同项下的政府采购活动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相关投标人</w:t>
      </w:r>
      <w:r>
        <w:rPr>
          <w:rFonts w:hint="eastAsia" w:ascii="宋体" w:hAnsi="宋体" w:eastAsia="宋体" w:cs="宋体"/>
          <w:color w:val="auto"/>
          <w:sz w:val="21"/>
          <w:szCs w:val="21"/>
          <w:highlight w:val="none"/>
        </w:rPr>
        <w:t>均作无效投标处理）</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highlight w:val="none"/>
        </w:rPr>
        <w:t>为采购项目提供整体设计、规范编制或者项目管理、监理、检测等服务的供应商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再参加该采购项目的其他采购活动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6.6经查询，投标人被“信用中国”、“中国政府采购网”列入失信被执行人、重大税收违法案件当事人名单、政府采购严重违法失信行为记录名单，且在禁止参加采购期限内的。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6.7投标文件</w:t>
      </w:r>
      <w:r>
        <w:rPr>
          <w:rFonts w:hint="eastAsia" w:ascii="宋体" w:hAnsi="宋体" w:eastAsia="宋体" w:cs="宋体"/>
          <w:color w:val="auto"/>
          <w:sz w:val="21"/>
          <w:szCs w:val="21"/>
          <w:highlight w:val="none"/>
        </w:rPr>
        <w:t>未按</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密封、</w:t>
      </w:r>
      <w:r>
        <w:rPr>
          <w:rFonts w:hint="eastAsia" w:ascii="宋体" w:hAnsi="宋体" w:eastAsia="宋体" w:cs="宋体"/>
          <w:color w:val="auto"/>
          <w:sz w:val="21"/>
          <w:szCs w:val="21"/>
          <w:highlight w:val="none"/>
        </w:rPr>
        <w:t>签署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盖章的。</w:t>
      </w:r>
    </w:p>
    <w:p>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6.8投标文件项目不齐全，经评审委员会认定为无法评审的。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6.9</w:t>
      </w:r>
      <w:r>
        <w:rPr>
          <w:rFonts w:hint="eastAsia" w:ascii="宋体" w:hAnsi="宋体" w:eastAsia="宋体" w:cs="宋体"/>
          <w:color w:val="auto"/>
          <w:sz w:val="21"/>
          <w:szCs w:val="21"/>
          <w:highlight w:val="none"/>
        </w:rPr>
        <w:t>投标有效期、付款方式、交货（服务）期限、质保期等条款不能满足招标文件要求的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6.10</w:t>
      </w:r>
      <w:r>
        <w:rPr>
          <w:rFonts w:hint="eastAsia" w:ascii="宋体" w:hAnsi="宋体" w:eastAsia="宋体" w:cs="宋体"/>
          <w:color w:val="auto"/>
          <w:sz w:val="21"/>
          <w:szCs w:val="21"/>
          <w:highlight w:val="none"/>
        </w:rPr>
        <w:t>不符合招标文件中有关分包、转包规定的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6.11</w:t>
      </w:r>
      <w:r>
        <w:rPr>
          <w:rFonts w:hint="eastAsia" w:ascii="宋体" w:hAnsi="宋体" w:eastAsia="宋体" w:cs="宋体"/>
          <w:color w:val="auto"/>
          <w:sz w:val="21"/>
          <w:szCs w:val="21"/>
          <w:highlight w:val="none"/>
        </w:rPr>
        <w:t>“资格</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文件”或“技术商务文件”中出现</w:t>
      </w:r>
      <w:r>
        <w:rPr>
          <w:rFonts w:hint="eastAsia" w:ascii="宋体" w:hAnsi="宋体" w:eastAsia="宋体" w:cs="宋体"/>
          <w:color w:val="auto"/>
          <w:highlight w:val="none"/>
          <w:lang w:eastAsia="zh-CN"/>
        </w:rPr>
        <w:t>本项目的投标总价的</w:t>
      </w:r>
      <w:r>
        <w:rPr>
          <w:rFonts w:hint="eastAsia" w:ascii="宋体" w:hAnsi="宋体" w:eastAsia="宋体" w:cs="宋体"/>
          <w:color w:val="auto"/>
          <w:szCs w:val="21"/>
          <w:highlight w:val="none"/>
        </w:rPr>
        <w:t>（固定价格采购除外）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6.12</w:t>
      </w:r>
      <w:r>
        <w:rPr>
          <w:rFonts w:hint="eastAsia" w:ascii="宋体" w:hAnsi="宋体" w:eastAsia="宋体" w:cs="宋体"/>
          <w:color w:val="auto"/>
          <w:sz w:val="21"/>
          <w:szCs w:val="21"/>
          <w:highlight w:val="none"/>
        </w:rPr>
        <w:t>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6.13</w:t>
      </w:r>
      <w:r>
        <w:rPr>
          <w:rFonts w:hint="eastAsia" w:ascii="宋体" w:hAnsi="宋体" w:eastAsia="宋体" w:cs="宋体"/>
          <w:color w:val="auto"/>
          <w:sz w:val="21"/>
          <w:szCs w:val="21"/>
          <w:highlight w:val="none"/>
          <w:lang w:eastAsia="zh-CN"/>
        </w:rPr>
        <w:t>投标文件标明的响应或偏离与事实不符或提供虚假材料投标的。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6.14</w:t>
      </w:r>
      <w:r>
        <w:rPr>
          <w:rFonts w:hint="eastAsia" w:ascii="宋体" w:hAnsi="宋体" w:eastAsia="宋体" w:cs="宋体"/>
          <w:color w:val="auto"/>
          <w:sz w:val="21"/>
          <w:szCs w:val="21"/>
          <w:highlight w:val="none"/>
        </w:rPr>
        <w:t>标“▲”的条款不能满足招标文件要求的。</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6.15</w:t>
      </w:r>
      <w:r>
        <w:rPr>
          <w:rFonts w:hint="eastAsia" w:ascii="宋体" w:hAnsi="宋体" w:eastAsia="宋体" w:cs="宋体"/>
          <w:color w:val="auto"/>
          <w:sz w:val="21"/>
          <w:szCs w:val="21"/>
          <w:highlight w:val="none"/>
          <w:lang w:eastAsia="zh-CN"/>
        </w:rPr>
        <w:t>在报价评审时，如发现下列情形之一的，投标文件将被视为无效：</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）未采用人民币报价或者未按照招标文件标明的币种报价的；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（2）报价超过招标文件中规定的预算金额或者最高限价的；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）未按照招标文件规定报价的；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）投标报价具有选择性的；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不接受按修正错误的原则修正后的报价的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）评标委员会认为投标人报价明显低于其他通过符合性审查投标人报价的，且在合理的时间内不能提供其报价合理性书面说明的。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有下列情形之一的，视为投标人串通投标，其投标无效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并书面报告财政部门</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不同投标人的投标文件由同一单位或者个人编制；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不同投标人委托同一单位或者个人办理投标事宜；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不同投标人的投标文件载明的项目管理成员或者联系人员为同一人；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不同投标人的投标文件异常一致或者投标报价呈规律性差异；</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不同投标人的投标文件相互混装</w:t>
      </w:r>
      <w:r>
        <w:rPr>
          <w:rFonts w:hint="eastAsia" w:ascii="宋体" w:hAnsi="宋体" w:eastAsia="宋体" w:cs="宋体"/>
          <w:color w:val="auto"/>
          <w:sz w:val="21"/>
          <w:szCs w:val="21"/>
          <w:highlight w:val="none"/>
          <w:lang w:eastAsia="zh-CN"/>
        </w:rPr>
        <w:t>。</w:t>
      </w:r>
    </w:p>
    <w:p>
      <w:pPr>
        <w:spacing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有重大偏差或</w:t>
      </w:r>
      <w:r>
        <w:rPr>
          <w:rFonts w:hint="eastAsia" w:ascii="宋体" w:hAnsi="宋体" w:eastAsia="宋体" w:cs="宋体"/>
          <w:color w:val="auto"/>
          <w:highlight w:val="none"/>
        </w:rPr>
        <w:t>未实质性响应招标文件要求</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或者投标文件</w:t>
      </w:r>
      <w:r>
        <w:rPr>
          <w:rFonts w:hint="eastAsia" w:ascii="宋体" w:hAnsi="宋体" w:eastAsia="宋体" w:cs="宋体"/>
          <w:color w:val="auto"/>
          <w:highlight w:val="none"/>
          <w:lang w:val="en-US" w:eastAsia="zh-CN"/>
        </w:rPr>
        <w:t>含</w:t>
      </w:r>
      <w:r>
        <w:rPr>
          <w:rFonts w:hint="eastAsia" w:ascii="宋体" w:hAnsi="宋体" w:eastAsia="宋体" w:cs="宋体"/>
          <w:color w:val="auto"/>
          <w:highlight w:val="none"/>
        </w:rPr>
        <w:t>有采购人不能接受的附加条件的。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违反法律、法规及本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文件规定的其他无效投标情形。</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7、中标原则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7.1评标委员会根据投标人的技术商务文件和报价文件的总得分高低排定顺序，推荐中标候选人，得分最高者即为中标候选人。得分相同的，按投标报价由低到高顺序排列。得分且投标报价相同的，按</w:t>
      </w:r>
      <w:r>
        <w:rPr>
          <w:rFonts w:hint="eastAsia" w:ascii="宋体" w:hAnsi="宋体" w:eastAsia="宋体" w:cs="宋体"/>
          <w:color w:val="auto"/>
          <w:sz w:val="21"/>
          <w:szCs w:val="21"/>
          <w:highlight w:val="none"/>
          <w:lang w:val="en-US" w:eastAsia="zh-CN"/>
        </w:rPr>
        <w:t>评分标准表1-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项合计得分</w:t>
      </w:r>
      <w:r>
        <w:rPr>
          <w:rFonts w:hint="eastAsia" w:ascii="宋体" w:hAnsi="宋体" w:eastAsia="宋体" w:cs="宋体"/>
          <w:color w:val="auto"/>
          <w:sz w:val="21"/>
          <w:szCs w:val="21"/>
          <w:highlight w:val="none"/>
        </w:rPr>
        <w:t>优劣顺序排列。如出现其它情况，由评标委员会决定。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7.2采购人根据评审报告推荐的中标候选人确定中标供应商。</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8、中标结果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采购代理机构将中标结果在政府采购指定媒体上公告，并同时向中标供应商发出中标通知书。</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9、评分标准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详见后附评分标准表。</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附：评分标准表</w:t>
      </w:r>
    </w:p>
    <w:p>
      <w:pPr>
        <w:spacing w:line="360" w:lineRule="auto"/>
        <w:rPr>
          <w:rFonts w:hint="eastAsia" w:ascii="宋体" w:hAnsi="宋体" w:eastAsia="宋体" w:cs="宋体"/>
          <w:b w:val="0"/>
          <w:bCs w:val="0"/>
          <w:color w:val="auto"/>
          <w:sz w:val="21"/>
          <w:szCs w:val="21"/>
          <w:highlight w:val="none"/>
        </w:rPr>
      </w:pPr>
    </w:p>
    <w:p>
      <w:pPr>
        <w:spacing w:line="360" w:lineRule="auto"/>
        <w:rPr>
          <w:rFonts w:hint="eastAsia" w:ascii="宋体" w:hAnsi="宋体" w:eastAsia="宋体" w:cs="宋体"/>
          <w:b w:val="0"/>
          <w:bCs w:val="0"/>
          <w:color w:val="auto"/>
          <w:sz w:val="21"/>
          <w:szCs w:val="21"/>
          <w:highlight w:val="none"/>
        </w:rPr>
      </w:pPr>
    </w:p>
    <w:p>
      <w:pPr>
        <w:spacing w:line="360" w:lineRule="auto"/>
        <w:ind w:left="0" w:firstLine="0"/>
        <w:jc w:val="left"/>
        <w:rPr>
          <w:rFonts w:hint="eastAsia" w:ascii="宋体" w:hAnsi="宋体" w:eastAsia="宋体" w:cs="宋体"/>
          <w:b/>
          <w:bCs/>
          <w:color w:val="auto"/>
          <w:sz w:val="21"/>
          <w:highlight w:val="none"/>
        </w:rPr>
      </w:pPr>
      <w:r>
        <w:rPr>
          <w:rFonts w:hint="eastAsia" w:ascii="宋体" w:hAnsi="宋体" w:eastAsia="宋体" w:cs="宋体"/>
          <w:color w:val="auto"/>
          <w:sz w:val="21"/>
          <w:highlight w:val="none"/>
        </w:rPr>
        <w:br w:type="page"/>
      </w:r>
      <w:r>
        <w:rPr>
          <w:rFonts w:hint="eastAsia" w:ascii="宋体" w:hAnsi="宋体" w:eastAsia="宋体" w:cs="宋体"/>
          <w:b/>
          <w:bCs/>
          <w:color w:val="auto"/>
          <w:sz w:val="21"/>
          <w:highlight w:val="none"/>
        </w:rPr>
        <w:t>附：</w:t>
      </w:r>
    </w:p>
    <w:p>
      <w:pPr>
        <w:adjustRightInd w:val="0"/>
        <w:snapToGrid w:val="0"/>
        <w:spacing w:before="156" w:beforeLines="50" w:after="156" w:after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评分标准表</w:t>
      </w:r>
    </w:p>
    <w:tbl>
      <w:tblPr>
        <w:tblStyle w:val="7"/>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09"/>
        <w:gridCol w:w="1337"/>
        <w:gridCol w:w="5985"/>
        <w:gridCol w:w="72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tblHeader/>
          <w:jc w:val="cent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评分内容及标准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blHeader/>
          <w:jc w:val="center"/>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r>
              <w:rPr>
                <w:rFonts w:hint="eastAsia" w:ascii="宋体" w:hAnsi="宋体" w:eastAsia="宋体" w:cs="宋体"/>
                <w:b/>
                <w:color w:val="auto"/>
                <w:sz w:val="21"/>
                <w:szCs w:val="21"/>
                <w:highlight w:val="none"/>
                <w:lang w:val="en-US" w:eastAsia="zh-CN"/>
              </w:rPr>
              <w:t>商务</w:t>
            </w:r>
            <w:r>
              <w:rPr>
                <w:rFonts w:hint="eastAsia" w:ascii="宋体" w:hAnsi="宋体" w:eastAsia="宋体" w:cs="宋体"/>
                <w:b/>
                <w:color w:val="auto"/>
                <w:sz w:val="21"/>
                <w:szCs w:val="21"/>
                <w:highlight w:val="none"/>
              </w:rPr>
              <w:t xml:space="preserve">部分 </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lang w:val="zh-CN"/>
              </w:rPr>
              <w:t>指标响应情况</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根据对</w:t>
            </w:r>
            <w:r>
              <w:rPr>
                <w:rFonts w:hint="eastAsia" w:ascii="宋体" w:hAnsi="宋体" w:eastAsia="宋体" w:cs="宋体"/>
                <w:b w:val="0"/>
                <w:bCs w:val="0"/>
                <w:color w:val="auto"/>
                <w:sz w:val="21"/>
                <w:szCs w:val="21"/>
                <w:highlight w:val="none"/>
                <w:lang w:val="en-US" w:eastAsia="zh-CN"/>
              </w:rPr>
              <w:t>采购清单中</w:t>
            </w:r>
            <w:r>
              <w:rPr>
                <w:rFonts w:hint="eastAsia" w:ascii="宋体" w:hAnsi="宋体" w:eastAsia="宋体" w:cs="宋体"/>
                <w:b w:val="0"/>
                <w:bCs w:val="0"/>
                <w:color w:val="auto"/>
                <w:sz w:val="21"/>
                <w:szCs w:val="21"/>
                <w:highlight w:val="none"/>
                <w:lang w:val="en-US" w:eastAsia="zh-CN"/>
              </w:rPr>
              <w:t>技术参数的响应情况进行评审。</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完全响应各项指标的，</w:t>
            </w:r>
            <w:r>
              <w:rPr>
                <w:rFonts w:hint="eastAsia" w:ascii="宋体" w:hAnsi="宋体" w:eastAsia="宋体" w:cs="宋体"/>
                <w:b w:val="0"/>
                <w:bCs w:val="0"/>
                <w:color w:val="auto"/>
                <w:sz w:val="21"/>
                <w:szCs w:val="21"/>
                <w:highlight w:val="none"/>
                <w:lang w:val="zh-CN"/>
              </w:rPr>
              <w:t>得</w:t>
            </w:r>
            <w:r>
              <w:rPr>
                <w:rFonts w:hint="eastAsia" w:ascii="宋体" w:hAnsi="宋体" w:cs="宋体"/>
                <w:b w:val="0"/>
                <w:bCs w:val="0"/>
                <w:color w:val="auto"/>
                <w:sz w:val="21"/>
                <w:szCs w:val="21"/>
                <w:highlight w:val="none"/>
                <w:lang w:val="en-US" w:eastAsia="zh-CN"/>
              </w:rPr>
              <w:t>44</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标▲的指标（如有）不得负偏离，否则投标无效；</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标★的指标（如有）每有1项负偏离扣</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一般指标每有1项负偏离扣0.</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当扣减至0分或以下时作无效标处理。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44</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项目实施方案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根据提供的供货方案、安装</w:t>
            </w:r>
            <w:r>
              <w:rPr>
                <w:rFonts w:hint="eastAsia" w:ascii="宋体" w:hAnsi="宋体" w:cs="宋体"/>
                <w:b w:val="0"/>
                <w:bCs w:val="0"/>
                <w:color w:val="auto"/>
                <w:sz w:val="21"/>
                <w:szCs w:val="21"/>
                <w:highlight w:val="none"/>
                <w:lang w:val="en-US" w:eastAsia="zh-CN"/>
              </w:rPr>
              <w:t>调试</w:t>
            </w:r>
            <w:r>
              <w:rPr>
                <w:rFonts w:hint="eastAsia" w:ascii="宋体" w:hAnsi="宋体" w:eastAsia="宋体" w:cs="宋体"/>
                <w:b w:val="0"/>
                <w:bCs w:val="0"/>
                <w:color w:val="auto"/>
                <w:sz w:val="21"/>
                <w:szCs w:val="21"/>
                <w:highlight w:val="none"/>
              </w:rPr>
              <w:t>、人员安排、进度计划、保障措施等情况进行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方案完整、可保障项目顺利实施的，得5分；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方案较完整、细节的缺漏不足以影响项目顺利实施的，得3分；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方案有明显缺失，可能影响项目顺利实施的，得1分；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质量保证和售后服务方案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根据提供的质量保证</w:t>
            </w:r>
            <w:r>
              <w:rPr>
                <w:rFonts w:hint="eastAsia" w:ascii="宋体" w:hAnsi="宋体" w:cs="宋体"/>
                <w:b w:val="0"/>
                <w:bCs w:val="0"/>
                <w:color w:val="auto"/>
                <w:sz w:val="21"/>
                <w:szCs w:val="21"/>
                <w:highlight w:val="none"/>
                <w:lang w:val="en-US" w:eastAsia="zh-CN"/>
              </w:rPr>
              <w:t>措施</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验收方案</w:t>
            </w:r>
            <w:r>
              <w:rPr>
                <w:rFonts w:hint="eastAsia" w:ascii="宋体" w:hAnsi="宋体" w:eastAsia="宋体" w:cs="宋体"/>
                <w:b w:val="0"/>
                <w:bCs w:val="0"/>
                <w:color w:val="auto"/>
                <w:sz w:val="21"/>
                <w:szCs w:val="21"/>
                <w:highlight w:val="none"/>
              </w:rPr>
              <w:t>、售后服务方案、售后服务响应</w:t>
            </w:r>
            <w:r>
              <w:rPr>
                <w:rFonts w:hint="eastAsia" w:ascii="宋体" w:hAnsi="宋体" w:cs="宋体"/>
                <w:b w:val="0"/>
                <w:bCs w:val="0"/>
                <w:color w:val="auto"/>
                <w:sz w:val="21"/>
                <w:szCs w:val="21"/>
                <w:highlight w:val="none"/>
                <w:lang w:val="en-US" w:eastAsia="zh-CN"/>
              </w:rPr>
              <w:t>时间</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rPr>
              <w:t>技术支持</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售后服务机构设置</w:t>
            </w:r>
            <w:r>
              <w:rPr>
                <w:rFonts w:hint="eastAsia" w:ascii="宋体" w:hAnsi="宋体" w:cs="宋体"/>
                <w:color w:val="auto"/>
                <w:kern w:val="0"/>
                <w:szCs w:val="21"/>
                <w:highlight w:val="none"/>
                <w:lang w:val="en-US" w:eastAsia="zh-CN"/>
              </w:rPr>
              <w:t>等</w:t>
            </w:r>
            <w:r>
              <w:rPr>
                <w:rFonts w:hint="eastAsia" w:ascii="宋体" w:hAnsi="宋体" w:eastAsia="宋体" w:cs="宋体"/>
                <w:b w:val="0"/>
                <w:bCs w:val="0"/>
                <w:color w:val="auto"/>
                <w:sz w:val="21"/>
                <w:szCs w:val="21"/>
                <w:highlight w:val="none"/>
                <w:lang w:val="zh-CN"/>
              </w:rPr>
              <w:t>情况</w:t>
            </w:r>
            <w:r>
              <w:rPr>
                <w:rFonts w:hint="eastAsia" w:ascii="宋体" w:hAnsi="宋体" w:eastAsia="宋体" w:cs="宋体"/>
                <w:b w:val="0"/>
                <w:bCs w:val="0"/>
                <w:color w:val="auto"/>
                <w:sz w:val="21"/>
                <w:szCs w:val="21"/>
                <w:highlight w:val="none"/>
              </w:rPr>
              <w:t>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方案完全满足采购需求，服务体系完善、响应及时、服务保障措施到位的，得5分；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方案基本满足采购需求，服务措施及承诺中存在不足或缺失、或响应不够及时的，得3分；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方案部分满足采购需求，服务承诺不完整、或有比较明显不合理之处的，得1分；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培训方案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根据提供的培训方案进行评审，包含但不限于以下</w:t>
            </w:r>
            <w:r>
              <w:rPr>
                <w:rFonts w:hint="eastAsia" w:ascii="宋体" w:hAnsi="宋体" w:cs="宋体"/>
                <w:b w:val="0"/>
                <w:bCs w:val="0"/>
                <w:color w:val="auto"/>
                <w:sz w:val="21"/>
                <w:szCs w:val="21"/>
                <w:highlight w:val="none"/>
                <w:lang w:val="en-US" w:eastAsia="zh-CN"/>
              </w:rPr>
              <w:t>内容</w:t>
            </w:r>
            <w:r>
              <w:rPr>
                <w:rFonts w:hint="eastAsia" w:ascii="宋体" w:hAnsi="宋体" w:eastAsia="宋体" w:cs="宋体"/>
                <w:b w:val="0"/>
                <w:bCs w:val="0"/>
                <w:color w:val="auto"/>
                <w:sz w:val="21"/>
                <w:szCs w:val="21"/>
                <w:highlight w:val="none"/>
              </w:rPr>
              <w:t>：①负责培训的人员</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②培训内容；③培训时间。</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Cs w:val="21"/>
                <w:highlight w:val="none"/>
              </w:rPr>
              <w:t>评分范围：</w:t>
            </w:r>
            <w:r>
              <w:rPr>
                <w:rFonts w:hint="eastAsia" w:ascii="宋体" w:hAnsi="宋体" w:eastAsia="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rPr>
              <w:t>1、0。</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类似业绩</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投标人最近三年</w:t>
            </w:r>
            <w:r>
              <w:rPr>
                <w:rFonts w:hint="eastAsia" w:ascii="宋体" w:hAnsi="宋体" w:eastAsia="宋体" w:cs="宋体"/>
                <w:color w:val="auto"/>
                <w:sz w:val="21"/>
                <w:szCs w:val="21"/>
                <w:highlight w:val="none"/>
              </w:rPr>
              <w:t>（时间计算以投标截止时间和合同签订时间为准）</w:t>
            </w:r>
            <w:r>
              <w:rPr>
                <w:rFonts w:hint="eastAsia" w:ascii="宋体" w:hAnsi="宋体" w:eastAsia="宋体" w:cs="宋体"/>
                <w:b w:val="0"/>
                <w:bCs w:val="0"/>
                <w:color w:val="auto"/>
                <w:sz w:val="21"/>
                <w:szCs w:val="21"/>
                <w:highlight w:val="none"/>
              </w:rPr>
              <w:t>以来成功实施的同类项目的业绩或案例证明。</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投标人每提供一个类似业绩的证明材料，得1分，本项最高得3分。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类似业绩认定标准：</w:t>
            </w:r>
            <w:r>
              <w:rPr>
                <w:rFonts w:hint="eastAsia" w:ascii="宋体" w:hAnsi="宋体" w:eastAsia="宋体" w:cs="宋体"/>
                <w:b w:val="0"/>
                <w:bCs w:val="0"/>
                <w:color w:val="auto"/>
                <w:sz w:val="21"/>
                <w:szCs w:val="21"/>
                <w:highlight w:val="none"/>
                <w:lang w:val="en-US" w:eastAsia="zh-CN"/>
              </w:rPr>
              <w:t>①供货</w:t>
            </w:r>
            <w:r>
              <w:rPr>
                <w:rFonts w:hint="eastAsia" w:ascii="宋体" w:hAnsi="宋体" w:eastAsia="宋体" w:cs="宋体"/>
                <w:b w:val="0"/>
                <w:bCs w:val="0"/>
                <w:color w:val="auto"/>
                <w:sz w:val="21"/>
                <w:szCs w:val="21"/>
                <w:highlight w:val="none"/>
              </w:rPr>
              <w:t>内容与本次采购类似，并在合同或合同清单等附件资料中能体现。</w:t>
            </w:r>
            <w:r>
              <w:rPr>
                <w:rFonts w:hint="eastAsia" w:ascii="宋体" w:hAnsi="宋体" w:eastAsia="宋体" w:cs="宋体"/>
                <w:b w:val="0"/>
                <w:bCs w:val="0"/>
                <w:color w:val="auto"/>
                <w:sz w:val="21"/>
                <w:szCs w:val="21"/>
                <w:highlight w:val="none"/>
                <w:lang w:val="en-US" w:eastAsia="zh-CN"/>
              </w:rPr>
              <w:t>②同一个采购单位，签订多个合同的，按1个业绩计算。</w:t>
            </w:r>
          </w:p>
          <w:p>
            <w:pP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证明材料：</w:t>
            </w:r>
            <w:r>
              <w:rPr>
                <w:rFonts w:hint="eastAsia" w:ascii="宋体" w:hAnsi="宋体" w:eastAsia="宋体" w:cs="宋体"/>
                <w:b w:val="0"/>
                <w:bCs w:val="0"/>
                <w:color w:val="auto"/>
                <w:sz w:val="21"/>
                <w:szCs w:val="21"/>
                <w:highlight w:val="none"/>
                <w:lang w:val="en-US" w:eastAsia="zh-CN"/>
              </w:rPr>
              <w:t>在投标文件中提供合同</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lang w:val="en-US" w:eastAsia="zh-CN"/>
              </w:rPr>
              <w:t>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的原件彩色扫描件，合同和验收证明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缺一不可，否则不得分。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节能环保</w:t>
            </w:r>
          </w:p>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且取得认证证书的（强制</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产品除外），每提供一个得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环境标志产品政府采购品目清单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投标文件中提供投标产品有效的节能产品（或环境标志产品）认证证书彩色扫描件 或者 提供投标产品在中国政府采购网（www.ccgp.gov.cn）节能产品（或环境标志产品）查询结果的网页截图的证明材料，否则不得分。</w:t>
            </w:r>
          </w:p>
          <w:p>
            <w:pPr>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中标“★”</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为政府强制采购产品，施行强制采购政策。</w:t>
            </w:r>
          </w:p>
          <w:p>
            <w:pP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施行强制采购的节能产品如无证明材料，投标无效。</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blHeader/>
          <w:jc w:val="center"/>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报价部分 </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tblHeader/>
          <w:jc w:val="cent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8792" w:type="dxa"/>
            <w:gridSpan w:val="4"/>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参与评审的价格＝有效投标报价－小微企业有效投标报价×</w:t>
            </w:r>
            <w:r>
              <w:rPr>
                <w:rFonts w:hint="eastAsia" w:ascii="宋体" w:hAnsi="宋体" w:cs="宋体"/>
                <w:color w:val="auto"/>
                <w:sz w:val="21"/>
                <w:szCs w:val="21"/>
                <w:highlight w:val="none"/>
                <w:lang w:val="en-US" w:eastAsia="zh-CN"/>
              </w:rPr>
              <w:t>10%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参与评审的价格中最低的为评标基准价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其他供应商的价格分按照下列公式计算：</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报价得分＝（评标基准价/参与评审的价格）×</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注：投标人的报价超过最高限价（不含最高限价）的作为无效报价。</w:t>
            </w:r>
          </w:p>
        </w:tc>
      </w:tr>
    </w:tbl>
    <w:p>
      <w:pPr>
        <w:spacing w:line="360" w:lineRule="auto"/>
        <w:rPr>
          <w:rFonts w:hint="eastAsia" w:ascii="宋体" w:hAnsi="宋体" w:eastAsia="宋体" w:cs="Times New Roman"/>
          <w:b w:val="0"/>
          <w:bCs/>
          <w:color w:val="auto"/>
          <w:kern w:val="2"/>
          <w:sz w:val="21"/>
          <w:szCs w:val="24"/>
          <w:highlight w:val="none"/>
          <w:lang w:val="en-US" w:eastAsia="zh-CN" w:bidi="ar-SA"/>
        </w:rPr>
      </w:pPr>
    </w:p>
    <w:p>
      <w:pPr>
        <w:spacing w:line="360" w:lineRule="auto"/>
        <w:rPr>
          <w:rFonts w:hint="eastAsia" w:ascii="宋体" w:hAnsi="宋体" w:eastAsia="宋体" w:cs="Times New Roman"/>
          <w:b w:val="0"/>
          <w:bCs/>
          <w:color w:val="auto"/>
          <w:kern w:val="2"/>
          <w:sz w:val="21"/>
          <w:szCs w:val="24"/>
          <w:highlight w:val="none"/>
          <w:lang w:val="en-US" w:eastAsia="zh-CN" w:bidi="ar-SA"/>
        </w:rPr>
      </w:pPr>
    </w:p>
    <w:p>
      <w:pPr>
        <w:spacing w:line="360" w:lineRule="auto"/>
        <w:rPr>
          <w:rFonts w:hint="eastAsia" w:ascii="宋体" w:hAnsi="宋体" w:eastAsia="宋体" w:cs="Times New Roman"/>
          <w:b w:val="0"/>
          <w:bCs/>
          <w:color w:val="auto"/>
          <w:kern w:val="2"/>
          <w:sz w:val="21"/>
          <w:szCs w:val="24"/>
          <w:highlight w:val="none"/>
          <w:lang w:val="en-US" w:eastAsia="zh-CN" w:bidi="ar-SA"/>
        </w:rPr>
      </w:pPr>
    </w:p>
    <w:p>
      <w:pPr>
        <w:spacing w:line="360" w:lineRule="auto"/>
        <w:rPr>
          <w:rFonts w:hint="eastAsia" w:ascii="宋体" w:hAnsi="宋体" w:eastAsia="宋体" w:cs="Times New Roman"/>
          <w:b w:val="0"/>
          <w:bCs/>
          <w:color w:val="auto"/>
          <w:kern w:val="2"/>
          <w:sz w:val="21"/>
          <w:szCs w:val="24"/>
          <w:highlight w:val="none"/>
          <w:lang w:val="en-US" w:eastAsia="zh-CN" w:bidi="ar-SA"/>
        </w:rPr>
      </w:pPr>
    </w:p>
    <w:sectPr>
      <w:pgSz w:w="11906" w:h="16838"/>
      <w:pgMar w:top="1474" w:right="1474" w:bottom="1417" w:left="1588" w:header="851" w:footer="850"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ascii="宋体" w:hAnsi="宋体" w:eastAsia="宋体"/>
        <w:lang w:eastAsia="zh-CN"/>
      </w:rPr>
    </w:pPr>
    <w:r>
      <w:rPr>
        <w:rFonts w:hint="eastAsia" w:ascii="宋体" w:hAnsi="宋体"/>
      </w:rPr>
      <w:t>项目名称：</w:t>
    </w:r>
    <w:r>
      <w:rPr>
        <w:rFonts w:hint="eastAsia" w:ascii="宋体" w:hAnsi="宋体"/>
        <w:lang w:eastAsia="zh-CN"/>
      </w:rPr>
      <w:t>新碶高级中学多媒体教学设备</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项目编号：</w:t>
    </w:r>
    <w:r>
      <w:rPr>
        <w:rFonts w:hint="eastAsia" w:ascii="宋体" w:hAnsi="宋体"/>
        <w:lang w:eastAsia="zh-CN"/>
      </w:rPr>
      <w:t>BLZFCG2025027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96"/>
    <w:rsid w:val="000D28C1"/>
    <w:rsid w:val="000E2877"/>
    <w:rsid w:val="000E5B56"/>
    <w:rsid w:val="00121526"/>
    <w:rsid w:val="00135C07"/>
    <w:rsid w:val="0014118F"/>
    <w:rsid w:val="001B417A"/>
    <w:rsid w:val="001C60F1"/>
    <w:rsid w:val="002613EB"/>
    <w:rsid w:val="002878C2"/>
    <w:rsid w:val="002C0E4C"/>
    <w:rsid w:val="003A4272"/>
    <w:rsid w:val="003A5F3E"/>
    <w:rsid w:val="00497742"/>
    <w:rsid w:val="004C193B"/>
    <w:rsid w:val="005700E9"/>
    <w:rsid w:val="006A2BBF"/>
    <w:rsid w:val="006F4EA6"/>
    <w:rsid w:val="0070020E"/>
    <w:rsid w:val="00705EB9"/>
    <w:rsid w:val="00723F96"/>
    <w:rsid w:val="007F2A6F"/>
    <w:rsid w:val="00871EA8"/>
    <w:rsid w:val="00895663"/>
    <w:rsid w:val="00961685"/>
    <w:rsid w:val="00970FAA"/>
    <w:rsid w:val="00990DA2"/>
    <w:rsid w:val="009B1388"/>
    <w:rsid w:val="00A30CB3"/>
    <w:rsid w:val="00A4772F"/>
    <w:rsid w:val="00AA573D"/>
    <w:rsid w:val="00B728A5"/>
    <w:rsid w:val="00BB26DA"/>
    <w:rsid w:val="00BF693D"/>
    <w:rsid w:val="00CC07EC"/>
    <w:rsid w:val="00CC1E09"/>
    <w:rsid w:val="00CE7AF8"/>
    <w:rsid w:val="00D15AA5"/>
    <w:rsid w:val="00D3461D"/>
    <w:rsid w:val="00D50E3B"/>
    <w:rsid w:val="00E46C55"/>
    <w:rsid w:val="00E60A37"/>
    <w:rsid w:val="00EC7A99"/>
    <w:rsid w:val="00F21B99"/>
    <w:rsid w:val="00F400A7"/>
    <w:rsid w:val="00F4016E"/>
    <w:rsid w:val="011563D1"/>
    <w:rsid w:val="01302C0B"/>
    <w:rsid w:val="013A4489"/>
    <w:rsid w:val="01425064"/>
    <w:rsid w:val="01456911"/>
    <w:rsid w:val="01664C41"/>
    <w:rsid w:val="016F7944"/>
    <w:rsid w:val="018E3217"/>
    <w:rsid w:val="019C6C58"/>
    <w:rsid w:val="01A53386"/>
    <w:rsid w:val="01AD4D54"/>
    <w:rsid w:val="01B933AA"/>
    <w:rsid w:val="01C76819"/>
    <w:rsid w:val="01DC7DFF"/>
    <w:rsid w:val="01E205D0"/>
    <w:rsid w:val="02821B99"/>
    <w:rsid w:val="029047B6"/>
    <w:rsid w:val="02B25259"/>
    <w:rsid w:val="02D6293B"/>
    <w:rsid w:val="02F20EAD"/>
    <w:rsid w:val="02FA24BF"/>
    <w:rsid w:val="03016BFF"/>
    <w:rsid w:val="03063854"/>
    <w:rsid w:val="03163D9C"/>
    <w:rsid w:val="03546262"/>
    <w:rsid w:val="03624EB1"/>
    <w:rsid w:val="037B577A"/>
    <w:rsid w:val="039C5690"/>
    <w:rsid w:val="03A357FE"/>
    <w:rsid w:val="03B9274B"/>
    <w:rsid w:val="03CE2F21"/>
    <w:rsid w:val="03D121EE"/>
    <w:rsid w:val="03E80B47"/>
    <w:rsid w:val="03EB55EB"/>
    <w:rsid w:val="03FA3367"/>
    <w:rsid w:val="03FE27DD"/>
    <w:rsid w:val="041470E0"/>
    <w:rsid w:val="04186E2D"/>
    <w:rsid w:val="041A583C"/>
    <w:rsid w:val="04307528"/>
    <w:rsid w:val="043F5274"/>
    <w:rsid w:val="04463B66"/>
    <w:rsid w:val="04484C31"/>
    <w:rsid w:val="045446B6"/>
    <w:rsid w:val="045E276A"/>
    <w:rsid w:val="04756809"/>
    <w:rsid w:val="047B0A3C"/>
    <w:rsid w:val="04893842"/>
    <w:rsid w:val="04A35D03"/>
    <w:rsid w:val="04B20E2A"/>
    <w:rsid w:val="04C07991"/>
    <w:rsid w:val="04C6192C"/>
    <w:rsid w:val="04D17CC9"/>
    <w:rsid w:val="04D7530F"/>
    <w:rsid w:val="04DE679D"/>
    <w:rsid w:val="04EB5C24"/>
    <w:rsid w:val="0509588F"/>
    <w:rsid w:val="05102512"/>
    <w:rsid w:val="051F7FD1"/>
    <w:rsid w:val="052B5434"/>
    <w:rsid w:val="052D0681"/>
    <w:rsid w:val="052F28DF"/>
    <w:rsid w:val="05330BB1"/>
    <w:rsid w:val="053B4994"/>
    <w:rsid w:val="053C4E76"/>
    <w:rsid w:val="05544863"/>
    <w:rsid w:val="05650F6C"/>
    <w:rsid w:val="056E6B3B"/>
    <w:rsid w:val="057C779D"/>
    <w:rsid w:val="05957C4B"/>
    <w:rsid w:val="05B03ACD"/>
    <w:rsid w:val="05B97257"/>
    <w:rsid w:val="05CD7AD2"/>
    <w:rsid w:val="05D167B1"/>
    <w:rsid w:val="05D3507C"/>
    <w:rsid w:val="060C1C39"/>
    <w:rsid w:val="060E3E53"/>
    <w:rsid w:val="061936E2"/>
    <w:rsid w:val="061B1669"/>
    <w:rsid w:val="06253790"/>
    <w:rsid w:val="06260C01"/>
    <w:rsid w:val="062F7FFA"/>
    <w:rsid w:val="063A520D"/>
    <w:rsid w:val="065756D3"/>
    <w:rsid w:val="066A0AA1"/>
    <w:rsid w:val="066D1330"/>
    <w:rsid w:val="06833C80"/>
    <w:rsid w:val="06941A0B"/>
    <w:rsid w:val="06A649D5"/>
    <w:rsid w:val="06AC28F0"/>
    <w:rsid w:val="06BC3FB6"/>
    <w:rsid w:val="06BF37EF"/>
    <w:rsid w:val="06C53B94"/>
    <w:rsid w:val="06D32A2E"/>
    <w:rsid w:val="06D57221"/>
    <w:rsid w:val="06E96117"/>
    <w:rsid w:val="06E96B6D"/>
    <w:rsid w:val="06EA36AB"/>
    <w:rsid w:val="07017F29"/>
    <w:rsid w:val="070E00D4"/>
    <w:rsid w:val="0716341E"/>
    <w:rsid w:val="071A07EA"/>
    <w:rsid w:val="071C5C13"/>
    <w:rsid w:val="071F35FD"/>
    <w:rsid w:val="0740342C"/>
    <w:rsid w:val="07493606"/>
    <w:rsid w:val="07527784"/>
    <w:rsid w:val="077D4558"/>
    <w:rsid w:val="07850A0F"/>
    <w:rsid w:val="078B0EF2"/>
    <w:rsid w:val="07915B3B"/>
    <w:rsid w:val="07A546C1"/>
    <w:rsid w:val="07AC5381"/>
    <w:rsid w:val="07DF5AEC"/>
    <w:rsid w:val="07E454F7"/>
    <w:rsid w:val="07ED1696"/>
    <w:rsid w:val="08180872"/>
    <w:rsid w:val="08734EB1"/>
    <w:rsid w:val="08AB620D"/>
    <w:rsid w:val="08DE1650"/>
    <w:rsid w:val="08F3614A"/>
    <w:rsid w:val="08FA572A"/>
    <w:rsid w:val="090D0587"/>
    <w:rsid w:val="091366CE"/>
    <w:rsid w:val="09194912"/>
    <w:rsid w:val="092B5815"/>
    <w:rsid w:val="092D3612"/>
    <w:rsid w:val="093F5D0F"/>
    <w:rsid w:val="095B5504"/>
    <w:rsid w:val="095D5FD7"/>
    <w:rsid w:val="0969543E"/>
    <w:rsid w:val="0992460A"/>
    <w:rsid w:val="09976256"/>
    <w:rsid w:val="0998347A"/>
    <w:rsid w:val="09A2678E"/>
    <w:rsid w:val="09BE54EE"/>
    <w:rsid w:val="09C56C24"/>
    <w:rsid w:val="09D556DB"/>
    <w:rsid w:val="09D71826"/>
    <w:rsid w:val="09E6166C"/>
    <w:rsid w:val="0A16777A"/>
    <w:rsid w:val="0A347FCD"/>
    <w:rsid w:val="0A70511D"/>
    <w:rsid w:val="0A7F13C6"/>
    <w:rsid w:val="0A83128A"/>
    <w:rsid w:val="0A8E0967"/>
    <w:rsid w:val="0A9342E4"/>
    <w:rsid w:val="0A9A08CD"/>
    <w:rsid w:val="0A9C5906"/>
    <w:rsid w:val="0AA32829"/>
    <w:rsid w:val="0ACA711F"/>
    <w:rsid w:val="0ADD1CA5"/>
    <w:rsid w:val="0AFF3E15"/>
    <w:rsid w:val="0B0C319B"/>
    <w:rsid w:val="0B210FFB"/>
    <w:rsid w:val="0B4534CD"/>
    <w:rsid w:val="0B4C0DCA"/>
    <w:rsid w:val="0B672468"/>
    <w:rsid w:val="0B833327"/>
    <w:rsid w:val="0B9119E9"/>
    <w:rsid w:val="0B941241"/>
    <w:rsid w:val="0BA60420"/>
    <w:rsid w:val="0BAC4891"/>
    <w:rsid w:val="0BBB1546"/>
    <w:rsid w:val="0BBF0E37"/>
    <w:rsid w:val="0BE8747A"/>
    <w:rsid w:val="0BE915EF"/>
    <w:rsid w:val="0BEF6E22"/>
    <w:rsid w:val="0BF846D0"/>
    <w:rsid w:val="0C0A4350"/>
    <w:rsid w:val="0C0A6A43"/>
    <w:rsid w:val="0C144DAD"/>
    <w:rsid w:val="0C242520"/>
    <w:rsid w:val="0C5A727A"/>
    <w:rsid w:val="0C712BCE"/>
    <w:rsid w:val="0C812790"/>
    <w:rsid w:val="0CA72B71"/>
    <w:rsid w:val="0CAD3E44"/>
    <w:rsid w:val="0CD3274C"/>
    <w:rsid w:val="0CDE5093"/>
    <w:rsid w:val="0CE50161"/>
    <w:rsid w:val="0D01205A"/>
    <w:rsid w:val="0D2E340C"/>
    <w:rsid w:val="0D300437"/>
    <w:rsid w:val="0D4732B1"/>
    <w:rsid w:val="0D903336"/>
    <w:rsid w:val="0DB026DD"/>
    <w:rsid w:val="0DB41252"/>
    <w:rsid w:val="0DBE46F7"/>
    <w:rsid w:val="0DD35A03"/>
    <w:rsid w:val="0E0208D2"/>
    <w:rsid w:val="0E0A1426"/>
    <w:rsid w:val="0E6114CA"/>
    <w:rsid w:val="0E7F5C61"/>
    <w:rsid w:val="0E93723B"/>
    <w:rsid w:val="0E9537EC"/>
    <w:rsid w:val="0E980D8D"/>
    <w:rsid w:val="0ED72C20"/>
    <w:rsid w:val="0F0A6671"/>
    <w:rsid w:val="0F1215F7"/>
    <w:rsid w:val="0F1F433C"/>
    <w:rsid w:val="0F3908B1"/>
    <w:rsid w:val="0F4C3ECA"/>
    <w:rsid w:val="0F6350DD"/>
    <w:rsid w:val="0F640B6D"/>
    <w:rsid w:val="0F780FB2"/>
    <w:rsid w:val="0F7B468F"/>
    <w:rsid w:val="0F8260A1"/>
    <w:rsid w:val="0F87456B"/>
    <w:rsid w:val="0F8B2748"/>
    <w:rsid w:val="0F9B764A"/>
    <w:rsid w:val="0FD87C29"/>
    <w:rsid w:val="0FDA3451"/>
    <w:rsid w:val="0FDE738C"/>
    <w:rsid w:val="0FDF2A3C"/>
    <w:rsid w:val="0FEA1706"/>
    <w:rsid w:val="0FF70A10"/>
    <w:rsid w:val="100754B8"/>
    <w:rsid w:val="10076EB4"/>
    <w:rsid w:val="101E6FC0"/>
    <w:rsid w:val="103D489C"/>
    <w:rsid w:val="103E2E4D"/>
    <w:rsid w:val="104D0887"/>
    <w:rsid w:val="105813F5"/>
    <w:rsid w:val="10A63283"/>
    <w:rsid w:val="10B27530"/>
    <w:rsid w:val="10B63D07"/>
    <w:rsid w:val="10BF6313"/>
    <w:rsid w:val="10CB18BF"/>
    <w:rsid w:val="10CB4329"/>
    <w:rsid w:val="10D52838"/>
    <w:rsid w:val="10D77BC4"/>
    <w:rsid w:val="10E87CFC"/>
    <w:rsid w:val="111039F1"/>
    <w:rsid w:val="11155938"/>
    <w:rsid w:val="11214408"/>
    <w:rsid w:val="11267754"/>
    <w:rsid w:val="112A0C6D"/>
    <w:rsid w:val="112F056E"/>
    <w:rsid w:val="11314455"/>
    <w:rsid w:val="113438E3"/>
    <w:rsid w:val="1139291F"/>
    <w:rsid w:val="113C0BF3"/>
    <w:rsid w:val="11557AE3"/>
    <w:rsid w:val="11630C64"/>
    <w:rsid w:val="1171136D"/>
    <w:rsid w:val="11926529"/>
    <w:rsid w:val="11944960"/>
    <w:rsid w:val="11A404CE"/>
    <w:rsid w:val="11B17387"/>
    <w:rsid w:val="11B40C2C"/>
    <w:rsid w:val="11B40C40"/>
    <w:rsid w:val="11C26EBE"/>
    <w:rsid w:val="11D01ADC"/>
    <w:rsid w:val="11DD7943"/>
    <w:rsid w:val="11F33485"/>
    <w:rsid w:val="11F74431"/>
    <w:rsid w:val="12141B61"/>
    <w:rsid w:val="12154B80"/>
    <w:rsid w:val="12440EC6"/>
    <w:rsid w:val="1245068D"/>
    <w:rsid w:val="124977D5"/>
    <w:rsid w:val="126A6C08"/>
    <w:rsid w:val="127630AE"/>
    <w:rsid w:val="1282568D"/>
    <w:rsid w:val="12A43C17"/>
    <w:rsid w:val="12A53392"/>
    <w:rsid w:val="12BB587D"/>
    <w:rsid w:val="12D56F9E"/>
    <w:rsid w:val="12E246D6"/>
    <w:rsid w:val="12F444D4"/>
    <w:rsid w:val="130B2D2D"/>
    <w:rsid w:val="13145E0C"/>
    <w:rsid w:val="131E3E6E"/>
    <w:rsid w:val="13376695"/>
    <w:rsid w:val="133C7887"/>
    <w:rsid w:val="134469D4"/>
    <w:rsid w:val="134F3F73"/>
    <w:rsid w:val="13506D0E"/>
    <w:rsid w:val="135C1BE0"/>
    <w:rsid w:val="135E54D0"/>
    <w:rsid w:val="13673605"/>
    <w:rsid w:val="13677EE0"/>
    <w:rsid w:val="137F0401"/>
    <w:rsid w:val="138E44E3"/>
    <w:rsid w:val="1396463B"/>
    <w:rsid w:val="13B50381"/>
    <w:rsid w:val="13BE5E76"/>
    <w:rsid w:val="13CA6FAF"/>
    <w:rsid w:val="13CB5BBA"/>
    <w:rsid w:val="13E33ECD"/>
    <w:rsid w:val="13FB30ED"/>
    <w:rsid w:val="140F0496"/>
    <w:rsid w:val="1410624E"/>
    <w:rsid w:val="141126E3"/>
    <w:rsid w:val="14131B79"/>
    <w:rsid w:val="141E4EB5"/>
    <w:rsid w:val="14316B21"/>
    <w:rsid w:val="1448497A"/>
    <w:rsid w:val="14495F5E"/>
    <w:rsid w:val="14577520"/>
    <w:rsid w:val="14796F4E"/>
    <w:rsid w:val="147E2B47"/>
    <w:rsid w:val="14896B78"/>
    <w:rsid w:val="148F1346"/>
    <w:rsid w:val="14BC1AC1"/>
    <w:rsid w:val="14CE233F"/>
    <w:rsid w:val="14DF54C8"/>
    <w:rsid w:val="14E74192"/>
    <w:rsid w:val="15086C88"/>
    <w:rsid w:val="150C32B7"/>
    <w:rsid w:val="15101F55"/>
    <w:rsid w:val="151843DF"/>
    <w:rsid w:val="15387F4B"/>
    <w:rsid w:val="153E37EF"/>
    <w:rsid w:val="15494556"/>
    <w:rsid w:val="154A5081"/>
    <w:rsid w:val="15521EA2"/>
    <w:rsid w:val="155E3876"/>
    <w:rsid w:val="15886390"/>
    <w:rsid w:val="159D20C2"/>
    <w:rsid w:val="15B045D3"/>
    <w:rsid w:val="15B33315"/>
    <w:rsid w:val="15BB2629"/>
    <w:rsid w:val="15C162D5"/>
    <w:rsid w:val="15C35743"/>
    <w:rsid w:val="15D0683D"/>
    <w:rsid w:val="15DD560C"/>
    <w:rsid w:val="15E8254E"/>
    <w:rsid w:val="15EC3EC8"/>
    <w:rsid w:val="15F31AC3"/>
    <w:rsid w:val="16240C6E"/>
    <w:rsid w:val="16364FB4"/>
    <w:rsid w:val="16407AD6"/>
    <w:rsid w:val="16527EBB"/>
    <w:rsid w:val="165B6847"/>
    <w:rsid w:val="165C730A"/>
    <w:rsid w:val="1668358F"/>
    <w:rsid w:val="16697F22"/>
    <w:rsid w:val="16823A37"/>
    <w:rsid w:val="16874A7F"/>
    <w:rsid w:val="16AB7350"/>
    <w:rsid w:val="16E3427B"/>
    <w:rsid w:val="16EA089D"/>
    <w:rsid w:val="16EC606C"/>
    <w:rsid w:val="17037A9A"/>
    <w:rsid w:val="171B7D03"/>
    <w:rsid w:val="175E7D6A"/>
    <w:rsid w:val="176E1C79"/>
    <w:rsid w:val="17791496"/>
    <w:rsid w:val="17820498"/>
    <w:rsid w:val="17BE5AF5"/>
    <w:rsid w:val="17BF7345"/>
    <w:rsid w:val="17EC683A"/>
    <w:rsid w:val="17F17C59"/>
    <w:rsid w:val="181564CC"/>
    <w:rsid w:val="18267C6F"/>
    <w:rsid w:val="18401FE8"/>
    <w:rsid w:val="18416B25"/>
    <w:rsid w:val="184D1FA1"/>
    <w:rsid w:val="18556E59"/>
    <w:rsid w:val="18572CDB"/>
    <w:rsid w:val="186D5A2D"/>
    <w:rsid w:val="187E017C"/>
    <w:rsid w:val="18886B06"/>
    <w:rsid w:val="18913B72"/>
    <w:rsid w:val="189649B3"/>
    <w:rsid w:val="18A1422E"/>
    <w:rsid w:val="18A433C6"/>
    <w:rsid w:val="18C23E00"/>
    <w:rsid w:val="18C776CD"/>
    <w:rsid w:val="18D15A0A"/>
    <w:rsid w:val="18E34C9F"/>
    <w:rsid w:val="18E72586"/>
    <w:rsid w:val="19055854"/>
    <w:rsid w:val="19295FE0"/>
    <w:rsid w:val="1944642A"/>
    <w:rsid w:val="195707F7"/>
    <w:rsid w:val="198D4BBB"/>
    <w:rsid w:val="199F2D09"/>
    <w:rsid w:val="19A91F54"/>
    <w:rsid w:val="19B51AAA"/>
    <w:rsid w:val="19CF5549"/>
    <w:rsid w:val="19E8490B"/>
    <w:rsid w:val="19EE4126"/>
    <w:rsid w:val="19FC3484"/>
    <w:rsid w:val="1A094893"/>
    <w:rsid w:val="1A232E15"/>
    <w:rsid w:val="1A297FD2"/>
    <w:rsid w:val="1A31109A"/>
    <w:rsid w:val="1A340363"/>
    <w:rsid w:val="1A424041"/>
    <w:rsid w:val="1A475519"/>
    <w:rsid w:val="1A5933D2"/>
    <w:rsid w:val="1A872DB1"/>
    <w:rsid w:val="1A955AFD"/>
    <w:rsid w:val="1AB5169E"/>
    <w:rsid w:val="1AB70653"/>
    <w:rsid w:val="1AC84749"/>
    <w:rsid w:val="1AD460D2"/>
    <w:rsid w:val="1AD92F66"/>
    <w:rsid w:val="1AF052B1"/>
    <w:rsid w:val="1B052B57"/>
    <w:rsid w:val="1B0E0471"/>
    <w:rsid w:val="1B3618E7"/>
    <w:rsid w:val="1B3F2E65"/>
    <w:rsid w:val="1B4068BC"/>
    <w:rsid w:val="1B420BF3"/>
    <w:rsid w:val="1B45414D"/>
    <w:rsid w:val="1B4A73B3"/>
    <w:rsid w:val="1B4C4351"/>
    <w:rsid w:val="1B6967B4"/>
    <w:rsid w:val="1B730623"/>
    <w:rsid w:val="1B7F5A1F"/>
    <w:rsid w:val="1B861BDC"/>
    <w:rsid w:val="1B8B7879"/>
    <w:rsid w:val="1B984897"/>
    <w:rsid w:val="1BA84BDA"/>
    <w:rsid w:val="1BBC3641"/>
    <w:rsid w:val="1BE60334"/>
    <w:rsid w:val="1BEF2070"/>
    <w:rsid w:val="1C0976B8"/>
    <w:rsid w:val="1C0A3F69"/>
    <w:rsid w:val="1C1C52A3"/>
    <w:rsid w:val="1C3A7381"/>
    <w:rsid w:val="1C4D4802"/>
    <w:rsid w:val="1C4E792B"/>
    <w:rsid w:val="1C5115BD"/>
    <w:rsid w:val="1C7007E8"/>
    <w:rsid w:val="1C766C8E"/>
    <w:rsid w:val="1C8E5A9E"/>
    <w:rsid w:val="1C904DDE"/>
    <w:rsid w:val="1CA3463F"/>
    <w:rsid w:val="1CC40005"/>
    <w:rsid w:val="1CCB2653"/>
    <w:rsid w:val="1CE01EEC"/>
    <w:rsid w:val="1CE95CEB"/>
    <w:rsid w:val="1D027ADC"/>
    <w:rsid w:val="1D06184B"/>
    <w:rsid w:val="1D207934"/>
    <w:rsid w:val="1D251ECC"/>
    <w:rsid w:val="1D26151C"/>
    <w:rsid w:val="1D403BD3"/>
    <w:rsid w:val="1D555136"/>
    <w:rsid w:val="1D6E0551"/>
    <w:rsid w:val="1D735459"/>
    <w:rsid w:val="1D7A6120"/>
    <w:rsid w:val="1D7C62F9"/>
    <w:rsid w:val="1D7E5055"/>
    <w:rsid w:val="1D8164C2"/>
    <w:rsid w:val="1D9938A2"/>
    <w:rsid w:val="1DAC751A"/>
    <w:rsid w:val="1DCE1935"/>
    <w:rsid w:val="1DF10D10"/>
    <w:rsid w:val="1E256726"/>
    <w:rsid w:val="1E334A61"/>
    <w:rsid w:val="1E3B2C33"/>
    <w:rsid w:val="1E5C6074"/>
    <w:rsid w:val="1E6A3F45"/>
    <w:rsid w:val="1E8C37BD"/>
    <w:rsid w:val="1E912928"/>
    <w:rsid w:val="1E9A1F8E"/>
    <w:rsid w:val="1EAC2554"/>
    <w:rsid w:val="1EBD6BFB"/>
    <w:rsid w:val="1ED70608"/>
    <w:rsid w:val="1EDA5857"/>
    <w:rsid w:val="1EE30145"/>
    <w:rsid w:val="1EEC49E3"/>
    <w:rsid w:val="1EF94353"/>
    <w:rsid w:val="1EFE27F0"/>
    <w:rsid w:val="1F076DED"/>
    <w:rsid w:val="1F103B84"/>
    <w:rsid w:val="1F117CDC"/>
    <w:rsid w:val="1F190E5A"/>
    <w:rsid w:val="1F3C64D2"/>
    <w:rsid w:val="1F3E66CB"/>
    <w:rsid w:val="1F42153A"/>
    <w:rsid w:val="1F592507"/>
    <w:rsid w:val="1F8E2A99"/>
    <w:rsid w:val="1FAF2C93"/>
    <w:rsid w:val="1FB22CD4"/>
    <w:rsid w:val="1FB614BE"/>
    <w:rsid w:val="1FD32171"/>
    <w:rsid w:val="1FD81D1F"/>
    <w:rsid w:val="1FEA6D47"/>
    <w:rsid w:val="20031954"/>
    <w:rsid w:val="202B63C4"/>
    <w:rsid w:val="203A1E9E"/>
    <w:rsid w:val="2041191C"/>
    <w:rsid w:val="2087037A"/>
    <w:rsid w:val="209305D5"/>
    <w:rsid w:val="20AD3F93"/>
    <w:rsid w:val="20C16DEA"/>
    <w:rsid w:val="20D863E9"/>
    <w:rsid w:val="20DC45BC"/>
    <w:rsid w:val="20EC2179"/>
    <w:rsid w:val="21063235"/>
    <w:rsid w:val="21117579"/>
    <w:rsid w:val="21190F27"/>
    <w:rsid w:val="213B3AB2"/>
    <w:rsid w:val="215A31B3"/>
    <w:rsid w:val="21C40F15"/>
    <w:rsid w:val="21DD7F7D"/>
    <w:rsid w:val="21E02CC5"/>
    <w:rsid w:val="21E749B5"/>
    <w:rsid w:val="21E85BEA"/>
    <w:rsid w:val="220918AE"/>
    <w:rsid w:val="223B1D3D"/>
    <w:rsid w:val="2252374B"/>
    <w:rsid w:val="22601DA4"/>
    <w:rsid w:val="22713919"/>
    <w:rsid w:val="227B2267"/>
    <w:rsid w:val="22960938"/>
    <w:rsid w:val="22A21CBD"/>
    <w:rsid w:val="22AA64E0"/>
    <w:rsid w:val="22AB4D7C"/>
    <w:rsid w:val="22C67E0F"/>
    <w:rsid w:val="22D4503A"/>
    <w:rsid w:val="22E43F69"/>
    <w:rsid w:val="22E56033"/>
    <w:rsid w:val="22EC3AD7"/>
    <w:rsid w:val="22FD6DF4"/>
    <w:rsid w:val="231F7176"/>
    <w:rsid w:val="23275367"/>
    <w:rsid w:val="232E1888"/>
    <w:rsid w:val="2341544A"/>
    <w:rsid w:val="23461269"/>
    <w:rsid w:val="23554516"/>
    <w:rsid w:val="235D70B1"/>
    <w:rsid w:val="23780867"/>
    <w:rsid w:val="238E17EE"/>
    <w:rsid w:val="239148FA"/>
    <w:rsid w:val="239A55E9"/>
    <w:rsid w:val="23A73990"/>
    <w:rsid w:val="23A8524A"/>
    <w:rsid w:val="23AB4816"/>
    <w:rsid w:val="23BD0220"/>
    <w:rsid w:val="23E856B1"/>
    <w:rsid w:val="23EA223B"/>
    <w:rsid w:val="24023B8F"/>
    <w:rsid w:val="243C4DD2"/>
    <w:rsid w:val="244535C3"/>
    <w:rsid w:val="2451787D"/>
    <w:rsid w:val="24627FFC"/>
    <w:rsid w:val="24685D20"/>
    <w:rsid w:val="247D3720"/>
    <w:rsid w:val="2484448C"/>
    <w:rsid w:val="249C4C12"/>
    <w:rsid w:val="24C7699D"/>
    <w:rsid w:val="24D721D9"/>
    <w:rsid w:val="24E0727C"/>
    <w:rsid w:val="24F37F1A"/>
    <w:rsid w:val="24F839B5"/>
    <w:rsid w:val="250D46C7"/>
    <w:rsid w:val="25236158"/>
    <w:rsid w:val="25391A46"/>
    <w:rsid w:val="253C725A"/>
    <w:rsid w:val="253D7877"/>
    <w:rsid w:val="25542B8A"/>
    <w:rsid w:val="25635A40"/>
    <w:rsid w:val="256D597E"/>
    <w:rsid w:val="25707CCB"/>
    <w:rsid w:val="257E28EF"/>
    <w:rsid w:val="25906864"/>
    <w:rsid w:val="25924EBC"/>
    <w:rsid w:val="25D427ED"/>
    <w:rsid w:val="25DB71E2"/>
    <w:rsid w:val="25DB7EA6"/>
    <w:rsid w:val="26077AAE"/>
    <w:rsid w:val="26210353"/>
    <w:rsid w:val="262D563A"/>
    <w:rsid w:val="263F0D1D"/>
    <w:rsid w:val="26476E92"/>
    <w:rsid w:val="2652232B"/>
    <w:rsid w:val="265748F8"/>
    <w:rsid w:val="265B03F7"/>
    <w:rsid w:val="265C4E9F"/>
    <w:rsid w:val="266C0ABB"/>
    <w:rsid w:val="26756C9A"/>
    <w:rsid w:val="269D4219"/>
    <w:rsid w:val="26F653E0"/>
    <w:rsid w:val="270D56A1"/>
    <w:rsid w:val="270D5B6F"/>
    <w:rsid w:val="27237C25"/>
    <w:rsid w:val="272A6A19"/>
    <w:rsid w:val="27312457"/>
    <w:rsid w:val="27354DE3"/>
    <w:rsid w:val="27430F49"/>
    <w:rsid w:val="276E2F3F"/>
    <w:rsid w:val="27760CFD"/>
    <w:rsid w:val="27803E9B"/>
    <w:rsid w:val="27885E75"/>
    <w:rsid w:val="27943A5C"/>
    <w:rsid w:val="27B97E2D"/>
    <w:rsid w:val="27D277FD"/>
    <w:rsid w:val="27E43AED"/>
    <w:rsid w:val="27E50B36"/>
    <w:rsid w:val="27EC3198"/>
    <w:rsid w:val="2802665D"/>
    <w:rsid w:val="2816667B"/>
    <w:rsid w:val="281D789C"/>
    <w:rsid w:val="284E3DB8"/>
    <w:rsid w:val="28577774"/>
    <w:rsid w:val="28923B61"/>
    <w:rsid w:val="28A111DB"/>
    <w:rsid w:val="28A823B0"/>
    <w:rsid w:val="28A8662A"/>
    <w:rsid w:val="28AB7228"/>
    <w:rsid w:val="28B17186"/>
    <w:rsid w:val="28C008DA"/>
    <w:rsid w:val="28C6242B"/>
    <w:rsid w:val="28CA2EB3"/>
    <w:rsid w:val="28E32F1F"/>
    <w:rsid w:val="28F73102"/>
    <w:rsid w:val="28F82CEE"/>
    <w:rsid w:val="292714DF"/>
    <w:rsid w:val="2936580C"/>
    <w:rsid w:val="29496F9D"/>
    <w:rsid w:val="296F7C19"/>
    <w:rsid w:val="29730218"/>
    <w:rsid w:val="29750226"/>
    <w:rsid w:val="297A76CC"/>
    <w:rsid w:val="29873A6F"/>
    <w:rsid w:val="298F620E"/>
    <w:rsid w:val="2990186E"/>
    <w:rsid w:val="29943091"/>
    <w:rsid w:val="29A17581"/>
    <w:rsid w:val="29CE39E5"/>
    <w:rsid w:val="29D63E9E"/>
    <w:rsid w:val="29DF3832"/>
    <w:rsid w:val="29F82483"/>
    <w:rsid w:val="29FB6C24"/>
    <w:rsid w:val="2A0C47C2"/>
    <w:rsid w:val="2A64477C"/>
    <w:rsid w:val="2A6B2C43"/>
    <w:rsid w:val="2A760474"/>
    <w:rsid w:val="2A7C3988"/>
    <w:rsid w:val="2A816F32"/>
    <w:rsid w:val="2A866E3E"/>
    <w:rsid w:val="2A8C309D"/>
    <w:rsid w:val="2A9163AD"/>
    <w:rsid w:val="2A9675CB"/>
    <w:rsid w:val="2AB31CC1"/>
    <w:rsid w:val="2AEC54C3"/>
    <w:rsid w:val="2AFF0AA7"/>
    <w:rsid w:val="2B0A765E"/>
    <w:rsid w:val="2B114F8C"/>
    <w:rsid w:val="2B155AEC"/>
    <w:rsid w:val="2B2D7382"/>
    <w:rsid w:val="2B2F6B8C"/>
    <w:rsid w:val="2B435942"/>
    <w:rsid w:val="2B4A39AF"/>
    <w:rsid w:val="2B7542D2"/>
    <w:rsid w:val="2B8078C6"/>
    <w:rsid w:val="2B9A04EE"/>
    <w:rsid w:val="2BB6178F"/>
    <w:rsid w:val="2BB7559C"/>
    <w:rsid w:val="2BCA77B3"/>
    <w:rsid w:val="2BF524B4"/>
    <w:rsid w:val="2C0B0D00"/>
    <w:rsid w:val="2C343419"/>
    <w:rsid w:val="2C4405C4"/>
    <w:rsid w:val="2C5F4DAB"/>
    <w:rsid w:val="2C8F150E"/>
    <w:rsid w:val="2CB33FB1"/>
    <w:rsid w:val="2CB71AC5"/>
    <w:rsid w:val="2CBD15EB"/>
    <w:rsid w:val="2CEC076D"/>
    <w:rsid w:val="2D037A4F"/>
    <w:rsid w:val="2D052932"/>
    <w:rsid w:val="2D0C694F"/>
    <w:rsid w:val="2D2508F9"/>
    <w:rsid w:val="2D6265DD"/>
    <w:rsid w:val="2D627807"/>
    <w:rsid w:val="2D997C0B"/>
    <w:rsid w:val="2DAD0B89"/>
    <w:rsid w:val="2DEA1599"/>
    <w:rsid w:val="2DEF69FE"/>
    <w:rsid w:val="2E04517A"/>
    <w:rsid w:val="2E0B598F"/>
    <w:rsid w:val="2E2005B7"/>
    <w:rsid w:val="2E204863"/>
    <w:rsid w:val="2E372719"/>
    <w:rsid w:val="2E3D2E5C"/>
    <w:rsid w:val="2E7573F0"/>
    <w:rsid w:val="2E7A4A66"/>
    <w:rsid w:val="2E81216E"/>
    <w:rsid w:val="2E8E454D"/>
    <w:rsid w:val="2E987FC8"/>
    <w:rsid w:val="2ED524A2"/>
    <w:rsid w:val="2F0451D0"/>
    <w:rsid w:val="2F0E0A3B"/>
    <w:rsid w:val="2F49141D"/>
    <w:rsid w:val="2F4A1DE5"/>
    <w:rsid w:val="2F540EB0"/>
    <w:rsid w:val="2F552C3E"/>
    <w:rsid w:val="2F68096C"/>
    <w:rsid w:val="2F7B79E3"/>
    <w:rsid w:val="2F7F78DA"/>
    <w:rsid w:val="2FA22A8D"/>
    <w:rsid w:val="2FA51D09"/>
    <w:rsid w:val="2FA538E8"/>
    <w:rsid w:val="2FB26A72"/>
    <w:rsid w:val="2FC50151"/>
    <w:rsid w:val="2FDB7F84"/>
    <w:rsid w:val="2FE13408"/>
    <w:rsid w:val="30147E30"/>
    <w:rsid w:val="302C0148"/>
    <w:rsid w:val="30521592"/>
    <w:rsid w:val="3057419E"/>
    <w:rsid w:val="308405BA"/>
    <w:rsid w:val="308D12FD"/>
    <w:rsid w:val="309767BD"/>
    <w:rsid w:val="30B63A56"/>
    <w:rsid w:val="30D05639"/>
    <w:rsid w:val="30DE0516"/>
    <w:rsid w:val="30F37CC9"/>
    <w:rsid w:val="30FC566E"/>
    <w:rsid w:val="312D02F7"/>
    <w:rsid w:val="31514988"/>
    <w:rsid w:val="31617C99"/>
    <w:rsid w:val="31676662"/>
    <w:rsid w:val="31860E50"/>
    <w:rsid w:val="31894F6F"/>
    <w:rsid w:val="31C146CB"/>
    <w:rsid w:val="31E444C9"/>
    <w:rsid w:val="31E74446"/>
    <w:rsid w:val="321020C0"/>
    <w:rsid w:val="32131EAC"/>
    <w:rsid w:val="325A5D3A"/>
    <w:rsid w:val="32733A5C"/>
    <w:rsid w:val="32751AE0"/>
    <w:rsid w:val="3284349E"/>
    <w:rsid w:val="3297148B"/>
    <w:rsid w:val="32A40BA7"/>
    <w:rsid w:val="32AA34CC"/>
    <w:rsid w:val="32F37D11"/>
    <w:rsid w:val="33005A44"/>
    <w:rsid w:val="33030C23"/>
    <w:rsid w:val="33054A89"/>
    <w:rsid w:val="33112807"/>
    <w:rsid w:val="33205E7C"/>
    <w:rsid w:val="33342A24"/>
    <w:rsid w:val="33376F17"/>
    <w:rsid w:val="334517F7"/>
    <w:rsid w:val="334C4CF0"/>
    <w:rsid w:val="334D239E"/>
    <w:rsid w:val="3354203A"/>
    <w:rsid w:val="33750D06"/>
    <w:rsid w:val="338009E5"/>
    <w:rsid w:val="339E23A0"/>
    <w:rsid w:val="33EA6DB0"/>
    <w:rsid w:val="33F62651"/>
    <w:rsid w:val="34192C1F"/>
    <w:rsid w:val="346877B7"/>
    <w:rsid w:val="347E4F2E"/>
    <w:rsid w:val="34823B76"/>
    <w:rsid w:val="348873F9"/>
    <w:rsid w:val="348F61CE"/>
    <w:rsid w:val="34923D49"/>
    <w:rsid w:val="349C5B50"/>
    <w:rsid w:val="349C7EAD"/>
    <w:rsid w:val="34BA7332"/>
    <w:rsid w:val="351319D4"/>
    <w:rsid w:val="351C7D6E"/>
    <w:rsid w:val="351D2968"/>
    <w:rsid w:val="352C1F1C"/>
    <w:rsid w:val="354B056A"/>
    <w:rsid w:val="35646C4F"/>
    <w:rsid w:val="35793C20"/>
    <w:rsid w:val="358A3573"/>
    <w:rsid w:val="358D17E7"/>
    <w:rsid w:val="359043A3"/>
    <w:rsid w:val="35954265"/>
    <w:rsid w:val="35AA1BA9"/>
    <w:rsid w:val="35C718EF"/>
    <w:rsid w:val="35CE3CA0"/>
    <w:rsid w:val="35DB6D7A"/>
    <w:rsid w:val="35EC6961"/>
    <w:rsid w:val="35F136E7"/>
    <w:rsid w:val="35F93AB1"/>
    <w:rsid w:val="35FD05FA"/>
    <w:rsid w:val="360139DC"/>
    <w:rsid w:val="361A0F27"/>
    <w:rsid w:val="36291575"/>
    <w:rsid w:val="36433EB3"/>
    <w:rsid w:val="36505322"/>
    <w:rsid w:val="365C50E6"/>
    <w:rsid w:val="366C2152"/>
    <w:rsid w:val="366E0621"/>
    <w:rsid w:val="36775853"/>
    <w:rsid w:val="36852B44"/>
    <w:rsid w:val="36A60150"/>
    <w:rsid w:val="36D21BB2"/>
    <w:rsid w:val="36D4562E"/>
    <w:rsid w:val="36DB454F"/>
    <w:rsid w:val="36E21D63"/>
    <w:rsid w:val="36EE0537"/>
    <w:rsid w:val="36F870A6"/>
    <w:rsid w:val="3707366D"/>
    <w:rsid w:val="37106AD8"/>
    <w:rsid w:val="37185172"/>
    <w:rsid w:val="37253A78"/>
    <w:rsid w:val="373F6BC6"/>
    <w:rsid w:val="374925D7"/>
    <w:rsid w:val="374F6631"/>
    <w:rsid w:val="37662166"/>
    <w:rsid w:val="376C6BB9"/>
    <w:rsid w:val="37894D67"/>
    <w:rsid w:val="37A60FA7"/>
    <w:rsid w:val="37AA54ED"/>
    <w:rsid w:val="37B26D7A"/>
    <w:rsid w:val="37EA30E5"/>
    <w:rsid w:val="37F8042D"/>
    <w:rsid w:val="380B3320"/>
    <w:rsid w:val="382702D4"/>
    <w:rsid w:val="38351A7B"/>
    <w:rsid w:val="383A37F1"/>
    <w:rsid w:val="38420F9D"/>
    <w:rsid w:val="38485904"/>
    <w:rsid w:val="384C51AC"/>
    <w:rsid w:val="3851026C"/>
    <w:rsid w:val="38570C54"/>
    <w:rsid w:val="387704E8"/>
    <w:rsid w:val="38866C5B"/>
    <w:rsid w:val="38904C3F"/>
    <w:rsid w:val="38994267"/>
    <w:rsid w:val="38A01819"/>
    <w:rsid w:val="38A66799"/>
    <w:rsid w:val="38BF2A60"/>
    <w:rsid w:val="38C97524"/>
    <w:rsid w:val="38DD5D94"/>
    <w:rsid w:val="38E45E74"/>
    <w:rsid w:val="38E944FB"/>
    <w:rsid w:val="39161D88"/>
    <w:rsid w:val="391B7ADF"/>
    <w:rsid w:val="3949013B"/>
    <w:rsid w:val="3959641A"/>
    <w:rsid w:val="395C2A38"/>
    <w:rsid w:val="396225A8"/>
    <w:rsid w:val="3965558C"/>
    <w:rsid w:val="396E3294"/>
    <w:rsid w:val="39821BC0"/>
    <w:rsid w:val="399332B5"/>
    <w:rsid w:val="399961A1"/>
    <w:rsid w:val="39B245A5"/>
    <w:rsid w:val="39BF5515"/>
    <w:rsid w:val="39C13918"/>
    <w:rsid w:val="39CC65F1"/>
    <w:rsid w:val="39D41C68"/>
    <w:rsid w:val="39D63CC5"/>
    <w:rsid w:val="39E856FE"/>
    <w:rsid w:val="39F96117"/>
    <w:rsid w:val="39FF43AD"/>
    <w:rsid w:val="3A007656"/>
    <w:rsid w:val="3A521D71"/>
    <w:rsid w:val="3A665612"/>
    <w:rsid w:val="3A6B1F2C"/>
    <w:rsid w:val="3A874449"/>
    <w:rsid w:val="3A8D25E9"/>
    <w:rsid w:val="3AAF76A0"/>
    <w:rsid w:val="3ACD6B01"/>
    <w:rsid w:val="3AD0250C"/>
    <w:rsid w:val="3AEB5A3F"/>
    <w:rsid w:val="3AED1F00"/>
    <w:rsid w:val="3AF71E6A"/>
    <w:rsid w:val="3B031276"/>
    <w:rsid w:val="3B21053E"/>
    <w:rsid w:val="3B2C2AEB"/>
    <w:rsid w:val="3B3A6AC6"/>
    <w:rsid w:val="3B4938C4"/>
    <w:rsid w:val="3B817163"/>
    <w:rsid w:val="3C082A9E"/>
    <w:rsid w:val="3C1F6EE0"/>
    <w:rsid w:val="3C21007B"/>
    <w:rsid w:val="3C280836"/>
    <w:rsid w:val="3C57559F"/>
    <w:rsid w:val="3C6163E5"/>
    <w:rsid w:val="3C6C0AF5"/>
    <w:rsid w:val="3C727FAF"/>
    <w:rsid w:val="3C9A5EF9"/>
    <w:rsid w:val="3CC53CF8"/>
    <w:rsid w:val="3CCC4A9F"/>
    <w:rsid w:val="3CDC258F"/>
    <w:rsid w:val="3CEF0816"/>
    <w:rsid w:val="3CF227E3"/>
    <w:rsid w:val="3CF628C8"/>
    <w:rsid w:val="3D1C46F6"/>
    <w:rsid w:val="3D51706F"/>
    <w:rsid w:val="3D6607DF"/>
    <w:rsid w:val="3D7A6C91"/>
    <w:rsid w:val="3D9229AA"/>
    <w:rsid w:val="3DA67D12"/>
    <w:rsid w:val="3DB040A8"/>
    <w:rsid w:val="3DD16322"/>
    <w:rsid w:val="3DDD6BDA"/>
    <w:rsid w:val="3DE503F8"/>
    <w:rsid w:val="3DEE68C1"/>
    <w:rsid w:val="3DF12B89"/>
    <w:rsid w:val="3E1C6886"/>
    <w:rsid w:val="3E333AEC"/>
    <w:rsid w:val="3E6238D1"/>
    <w:rsid w:val="3E644793"/>
    <w:rsid w:val="3E79544F"/>
    <w:rsid w:val="3E8E49AD"/>
    <w:rsid w:val="3E942232"/>
    <w:rsid w:val="3EA369F6"/>
    <w:rsid w:val="3EA9200D"/>
    <w:rsid w:val="3EB01D2E"/>
    <w:rsid w:val="3EB21CD2"/>
    <w:rsid w:val="3EB6036A"/>
    <w:rsid w:val="3EBB3393"/>
    <w:rsid w:val="3EC141CA"/>
    <w:rsid w:val="3ED44F48"/>
    <w:rsid w:val="3EEE62B1"/>
    <w:rsid w:val="3EF55C4B"/>
    <w:rsid w:val="3EF80599"/>
    <w:rsid w:val="3F1A35A7"/>
    <w:rsid w:val="3F2248A9"/>
    <w:rsid w:val="3F386358"/>
    <w:rsid w:val="3F43577D"/>
    <w:rsid w:val="3F475971"/>
    <w:rsid w:val="3F484030"/>
    <w:rsid w:val="3F6D44AA"/>
    <w:rsid w:val="3F862085"/>
    <w:rsid w:val="3FA46875"/>
    <w:rsid w:val="3FA92670"/>
    <w:rsid w:val="3FC24A26"/>
    <w:rsid w:val="3FE32570"/>
    <w:rsid w:val="3FF616A5"/>
    <w:rsid w:val="40481853"/>
    <w:rsid w:val="40517DE4"/>
    <w:rsid w:val="4060590B"/>
    <w:rsid w:val="407C4081"/>
    <w:rsid w:val="408B1300"/>
    <w:rsid w:val="408B589A"/>
    <w:rsid w:val="408F5E66"/>
    <w:rsid w:val="40910FC0"/>
    <w:rsid w:val="40D92788"/>
    <w:rsid w:val="40DF216C"/>
    <w:rsid w:val="40E1222E"/>
    <w:rsid w:val="411E27CA"/>
    <w:rsid w:val="41233F01"/>
    <w:rsid w:val="413565B8"/>
    <w:rsid w:val="413614F2"/>
    <w:rsid w:val="41612E5C"/>
    <w:rsid w:val="416305B6"/>
    <w:rsid w:val="417E1E4E"/>
    <w:rsid w:val="41AF5DD8"/>
    <w:rsid w:val="41C81FC6"/>
    <w:rsid w:val="41E23B57"/>
    <w:rsid w:val="41E97080"/>
    <w:rsid w:val="41F867A7"/>
    <w:rsid w:val="42035E29"/>
    <w:rsid w:val="42066524"/>
    <w:rsid w:val="422E19C7"/>
    <w:rsid w:val="422F4080"/>
    <w:rsid w:val="42466E75"/>
    <w:rsid w:val="42642026"/>
    <w:rsid w:val="426E7F1A"/>
    <w:rsid w:val="42727C6F"/>
    <w:rsid w:val="427E3CDB"/>
    <w:rsid w:val="42885795"/>
    <w:rsid w:val="42885A7D"/>
    <w:rsid w:val="42A02D8A"/>
    <w:rsid w:val="42A8490F"/>
    <w:rsid w:val="42AD0C5A"/>
    <w:rsid w:val="42B0673C"/>
    <w:rsid w:val="42C67A6B"/>
    <w:rsid w:val="42D3768A"/>
    <w:rsid w:val="42E3460B"/>
    <w:rsid w:val="42EF2825"/>
    <w:rsid w:val="42F73D2F"/>
    <w:rsid w:val="42F76339"/>
    <w:rsid w:val="43054842"/>
    <w:rsid w:val="432227E1"/>
    <w:rsid w:val="433B2095"/>
    <w:rsid w:val="433E1DF5"/>
    <w:rsid w:val="43494B5D"/>
    <w:rsid w:val="435B7DF5"/>
    <w:rsid w:val="438011AD"/>
    <w:rsid w:val="438132DD"/>
    <w:rsid w:val="43A939C0"/>
    <w:rsid w:val="43AB6138"/>
    <w:rsid w:val="43AD0E90"/>
    <w:rsid w:val="43B24252"/>
    <w:rsid w:val="43B248B5"/>
    <w:rsid w:val="43D73CFA"/>
    <w:rsid w:val="43D823EE"/>
    <w:rsid w:val="43EC703C"/>
    <w:rsid w:val="44122884"/>
    <w:rsid w:val="442633D0"/>
    <w:rsid w:val="44330FD2"/>
    <w:rsid w:val="443A6B2B"/>
    <w:rsid w:val="44594E6A"/>
    <w:rsid w:val="447D08B4"/>
    <w:rsid w:val="447D6659"/>
    <w:rsid w:val="447F110D"/>
    <w:rsid w:val="44A63366"/>
    <w:rsid w:val="44B146E5"/>
    <w:rsid w:val="44C06A49"/>
    <w:rsid w:val="44C27A29"/>
    <w:rsid w:val="44C37C6B"/>
    <w:rsid w:val="44D851F3"/>
    <w:rsid w:val="44E827CB"/>
    <w:rsid w:val="44F47784"/>
    <w:rsid w:val="45220FCA"/>
    <w:rsid w:val="452516AF"/>
    <w:rsid w:val="454D3BB7"/>
    <w:rsid w:val="456C6972"/>
    <w:rsid w:val="457728FD"/>
    <w:rsid w:val="45995CA0"/>
    <w:rsid w:val="45CA2768"/>
    <w:rsid w:val="45D23527"/>
    <w:rsid w:val="45D4490F"/>
    <w:rsid w:val="45D5070D"/>
    <w:rsid w:val="45D66747"/>
    <w:rsid w:val="45F472DF"/>
    <w:rsid w:val="46116854"/>
    <w:rsid w:val="46136B35"/>
    <w:rsid w:val="46156C09"/>
    <w:rsid w:val="464051C6"/>
    <w:rsid w:val="466E67D7"/>
    <w:rsid w:val="467A4F9D"/>
    <w:rsid w:val="468A042F"/>
    <w:rsid w:val="469968A7"/>
    <w:rsid w:val="46A806E3"/>
    <w:rsid w:val="46AF3A3E"/>
    <w:rsid w:val="46C63B34"/>
    <w:rsid w:val="46C95336"/>
    <w:rsid w:val="46CF68EE"/>
    <w:rsid w:val="46D45767"/>
    <w:rsid w:val="46E81F21"/>
    <w:rsid w:val="46EE7905"/>
    <w:rsid w:val="46F95D01"/>
    <w:rsid w:val="471F1B29"/>
    <w:rsid w:val="472C3C99"/>
    <w:rsid w:val="47472DF1"/>
    <w:rsid w:val="4755283E"/>
    <w:rsid w:val="475E7AB8"/>
    <w:rsid w:val="476360FF"/>
    <w:rsid w:val="47997B51"/>
    <w:rsid w:val="47AA09DA"/>
    <w:rsid w:val="47C507D3"/>
    <w:rsid w:val="47D65CAD"/>
    <w:rsid w:val="47D83DBE"/>
    <w:rsid w:val="47DF45D4"/>
    <w:rsid w:val="47F73C1C"/>
    <w:rsid w:val="480A7BC6"/>
    <w:rsid w:val="4820639B"/>
    <w:rsid w:val="48240225"/>
    <w:rsid w:val="48273267"/>
    <w:rsid w:val="484D7B05"/>
    <w:rsid w:val="485208BC"/>
    <w:rsid w:val="48554C31"/>
    <w:rsid w:val="48560A64"/>
    <w:rsid w:val="486315CB"/>
    <w:rsid w:val="48651F98"/>
    <w:rsid w:val="48790A15"/>
    <w:rsid w:val="487B125B"/>
    <w:rsid w:val="487B5097"/>
    <w:rsid w:val="48867F6B"/>
    <w:rsid w:val="488704BE"/>
    <w:rsid w:val="4897111D"/>
    <w:rsid w:val="48B13100"/>
    <w:rsid w:val="48B20D65"/>
    <w:rsid w:val="48B73407"/>
    <w:rsid w:val="48C027AB"/>
    <w:rsid w:val="48E76D74"/>
    <w:rsid w:val="48FE525F"/>
    <w:rsid w:val="491A0E67"/>
    <w:rsid w:val="495657A7"/>
    <w:rsid w:val="495D7B8E"/>
    <w:rsid w:val="496219E7"/>
    <w:rsid w:val="497D32ED"/>
    <w:rsid w:val="49A71948"/>
    <w:rsid w:val="49BF3470"/>
    <w:rsid w:val="49CA2E10"/>
    <w:rsid w:val="49CF2371"/>
    <w:rsid w:val="49E07309"/>
    <w:rsid w:val="4A087E8B"/>
    <w:rsid w:val="4A1C2238"/>
    <w:rsid w:val="4A2205B0"/>
    <w:rsid w:val="4A2C3E7B"/>
    <w:rsid w:val="4A5116F5"/>
    <w:rsid w:val="4A8E6E4F"/>
    <w:rsid w:val="4A90490E"/>
    <w:rsid w:val="4AA364FF"/>
    <w:rsid w:val="4AAE5DEF"/>
    <w:rsid w:val="4AB044CD"/>
    <w:rsid w:val="4AB3753C"/>
    <w:rsid w:val="4ABA1CAB"/>
    <w:rsid w:val="4AC121EF"/>
    <w:rsid w:val="4AF25198"/>
    <w:rsid w:val="4AF81536"/>
    <w:rsid w:val="4B0E5CF0"/>
    <w:rsid w:val="4B110873"/>
    <w:rsid w:val="4B156FF4"/>
    <w:rsid w:val="4B1A2E9B"/>
    <w:rsid w:val="4B2B675B"/>
    <w:rsid w:val="4B4F1305"/>
    <w:rsid w:val="4B590B74"/>
    <w:rsid w:val="4B6211DC"/>
    <w:rsid w:val="4B75511B"/>
    <w:rsid w:val="4B7964C6"/>
    <w:rsid w:val="4B885F1B"/>
    <w:rsid w:val="4B941F8D"/>
    <w:rsid w:val="4B965699"/>
    <w:rsid w:val="4BA42905"/>
    <w:rsid w:val="4BAC36C9"/>
    <w:rsid w:val="4BC621CC"/>
    <w:rsid w:val="4BD80473"/>
    <w:rsid w:val="4BF219E8"/>
    <w:rsid w:val="4C0C32F3"/>
    <w:rsid w:val="4C152E66"/>
    <w:rsid w:val="4C4B3717"/>
    <w:rsid w:val="4C5D360B"/>
    <w:rsid w:val="4C631EDA"/>
    <w:rsid w:val="4C897FD8"/>
    <w:rsid w:val="4C9A2E59"/>
    <w:rsid w:val="4CBB3123"/>
    <w:rsid w:val="4CCB3D3B"/>
    <w:rsid w:val="4CCC12D5"/>
    <w:rsid w:val="4CF177CB"/>
    <w:rsid w:val="4CF678CA"/>
    <w:rsid w:val="4D175216"/>
    <w:rsid w:val="4D191608"/>
    <w:rsid w:val="4D201B8C"/>
    <w:rsid w:val="4D3B70D9"/>
    <w:rsid w:val="4D447BDC"/>
    <w:rsid w:val="4D967BF5"/>
    <w:rsid w:val="4D974BCF"/>
    <w:rsid w:val="4DAD2436"/>
    <w:rsid w:val="4DD51956"/>
    <w:rsid w:val="4DF04503"/>
    <w:rsid w:val="4DFC3F14"/>
    <w:rsid w:val="4DFD3513"/>
    <w:rsid w:val="4E1A701F"/>
    <w:rsid w:val="4E1F1918"/>
    <w:rsid w:val="4E43248F"/>
    <w:rsid w:val="4E561AB8"/>
    <w:rsid w:val="4E7B75DD"/>
    <w:rsid w:val="4E9A1D08"/>
    <w:rsid w:val="4EB4046C"/>
    <w:rsid w:val="4EB777B3"/>
    <w:rsid w:val="4EC17983"/>
    <w:rsid w:val="4EDC6BC6"/>
    <w:rsid w:val="4EDF7C7C"/>
    <w:rsid w:val="4EE95DAE"/>
    <w:rsid w:val="4EEA1AF0"/>
    <w:rsid w:val="4F0300AC"/>
    <w:rsid w:val="4F0C13D7"/>
    <w:rsid w:val="4F2471BE"/>
    <w:rsid w:val="4F252527"/>
    <w:rsid w:val="4F4C19E2"/>
    <w:rsid w:val="4F7026DE"/>
    <w:rsid w:val="4F7821DB"/>
    <w:rsid w:val="4F793FC4"/>
    <w:rsid w:val="4F853F93"/>
    <w:rsid w:val="4F911A9D"/>
    <w:rsid w:val="4F985DB5"/>
    <w:rsid w:val="4F9B7B24"/>
    <w:rsid w:val="4FB156DB"/>
    <w:rsid w:val="4FC04D6D"/>
    <w:rsid w:val="4FEC2B8D"/>
    <w:rsid w:val="4FF26D8E"/>
    <w:rsid w:val="4FF53A7A"/>
    <w:rsid w:val="4FFE3BFE"/>
    <w:rsid w:val="5014065C"/>
    <w:rsid w:val="503E20A8"/>
    <w:rsid w:val="505B2EA1"/>
    <w:rsid w:val="50720A71"/>
    <w:rsid w:val="50841485"/>
    <w:rsid w:val="5097037B"/>
    <w:rsid w:val="50B520E2"/>
    <w:rsid w:val="50C370DC"/>
    <w:rsid w:val="50E11524"/>
    <w:rsid w:val="50E52A97"/>
    <w:rsid w:val="50F557C8"/>
    <w:rsid w:val="51005BB2"/>
    <w:rsid w:val="510F688C"/>
    <w:rsid w:val="51197D54"/>
    <w:rsid w:val="511A208C"/>
    <w:rsid w:val="511E0191"/>
    <w:rsid w:val="513423E9"/>
    <w:rsid w:val="514E3B10"/>
    <w:rsid w:val="5153765D"/>
    <w:rsid w:val="516F59AA"/>
    <w:rsid w:val="51721A57"/>
    <w:rsid w:val="51744061"/>
    <w:rsid w:val="51921376"/>
    <w:rsid w:val="519A2902"/>
    <w:rsid w:val="519C4E03"/>
    <w:rsid w:val="51AA2759"/>
    <w:rsid w:val="51B56DA5"/>
    <w:rsid w:val="51C2557A"/>
    <w:rsid w:val="51C91642"/>
    <w:rsid w:val="51D266A4"/>
    <w:rsid w:val="51DE56EE"/>
    <w:rsid w:val="51E11A38"/>
    <w:rsid w:val="51F07C41"/>
    <w:rsid w:val="522A562A"/>
    <w:rsid w:val="52333A3F"/>
    <w:rsid w:val="523A6F46"/>
    <w:rsid w:val="523C7246"/>
    <w:rsid w:val="523E2E24"/>
    <w:rsid w:val="524567F4"/>
    <w:rsid w:val="525126EB"/>
    <w:rsid w:val="52547D17"/>
    <w:rsid w:val="525A25E2"/>
    <w:rsid w:val="52656175"/>
    <w:rsid w:val="52795A27"/>
    <w:rsid w:val="52901E08"/>
    <w:rsid w:val="529131F1"/>
    <w:rsid w:val="52984FFB"/>
    <w:rsid w:val="52990C1F"/>
    <w:rsid w:val="52A5443D"/>
    <w:rsid w:val="52C90F20"/>
    <w:rsid w:val="52EF5B87"/>
    <w:rsid w:val="530A0C73"/>
    <w:rsid w:val="5332522D"/>
    <w:rsid w:val="533F7C7A"/>
    <w:rsid w:val="53494EFD"/>
    <w:rsid w:val="53594062"/>
    <w:rsid w:val="53814A6A"/>
    <w:rsid w:val="53835FCF"/>
    <w:rsid w:val="53940164"/>
    <w:rsid w:val="53A92950"/>
    <w:rsid w:val="53CD4200"/>
    <w:rsid w:val="53DF58E9"/>
    <w:rsid w:val="53E30766"/>
    <w:rsid w:val="53E7120A"/>
    <w:rsid w:val="53FC748C"/>
    <w:rsid w:val="540E237B"/>
    <w:rsid w:val="541B33C9"/>
    <w:rsid w:val="54630DE1"/>
    <w:rsid w:val="548375C7"/>
    <w:rsid w:val="548C049A"/>
    <w:rsid w:val="548E5803"/>
    <w:rsid w:val="54D9267C"/>
    <w:rsid w:val="54E43EB4"/>
    <w:rsid w:val="54F749A7"/>
    <w:rsid w:val="54FC2F8E"/>
    <w:rsid w:val="55042847"/>
    <w:rsid w:val="551662CA"/>
    <w:rsid w:val="551E01D6"/>
    <w:rsid w:val="553232B5"/>
    <w:rsid w:val="55367803"/>
    <w:rsid w:val="55485AA9"/>
    <w:rsid w:val="5555434C"/>
    <w:rsid w:val="555E0910"/>
    <w:rsid w:val="55602765"/>
    <w:rsid w:val="556F6D99"/>
    <w:rsid w:val="557E5697"/>
    <w:rsid w:val="559B1B46"/>
    <w:rsid w:val="55A55AD4"/>
    <w:rsid w:val="55A95F86"/>
    <w:rsid w:val="55AD6E6F"/>
    <w:rsid w:val="55CF5899"/>
    <w:rsid w:val="55E97DB5"/>
    <w:rsid w:val="55F417F2"/>
    <w:rsid w:val="55FB6B21"/>
    <w:rsid w:val="56235D02"/>
    <w:rsid w:val="56274524"/>
    <w:rsid w:val="562F0788"/>
    <w:rsid w:val="564E62D7"/>
    <w:rsid w:val="5659399A"/>
    <w:rsid w:val="56644F43"/>
    <w:rsid w:val="56645440"/>
    <w:rsid w:val="56702E30"/>
    <w:rsid w:val="56704D0A"/>
    <w:rsid w:val="56894A3D"/>
    <w:rsid w:val="568F3A6F"/>
    <w:rsid w:val="568F6B3B"/>
    <w:rsid w:val="56AF58FD"/>
    <w:rsid w:val="56B8428B"/>
    <w:rsid w:val="56CF5904"/>
    <w:rsid w:val="56D23E27"/>
    <w:rsid w:val="56DF2B03"/>
    <w:rsid w:val="56F30B79"/>
    <w:rsid w:val="56F41FE6"/>
    <w:rsid w:val="5701367F"/>
    <w:rsid w:val="571621EF"/>
    <w:rsid w:val="573A040C"/>
    <w:rsid w:val="573A55E0"/>
    <w:rsid w:val="574B69B1"/>
    <w:rsid w:val="576D6710"/>
    <w:rsid w:val="57937FFB"/>
    <w:rsid w:val="57AC784C"/>
    <w:rsid w:val="57B849BA"/>
    <w:rsid w:val="57BF65B4"/>
    <w:rsid w:val="57D00AB2"/>
    <w:rsid w:val="57D56B6D"/>
    <w:rsid w:val="57E05AD1"/>
    <w:rsid w:val="581F6200"/>
    <w:rsid w:val="58270485"/>
    <w:rsid w:val="582D6394"/>
    <w:rsid w:val="583D4506"/>
    <w:rsid w:val="584C377E"/>
    <w:rsid w:val="585216F6"/>
    <w:rsid w:val="585F74A0"/>
    <w:rsid w:val="58682941"/>
    <w:rsid w:val="58762DC6"/>
    <w:rsid w:val="589C427F"/>
    <w:rsid w:val="58A46ACB"/>
    <w:rsid w:val="58A823EA"/>
    <w:rsid w:val="58A8618E"/>
    <w:rsid w:val="58B052FB"/>
    <w:rsid w:val="58E15E2C"/>
    <w:rsid w:val="58FC7AC9"/>
    <w:rsid w:val="590156E5"/>
    <w:rsid w:val="590B0801"/>
    <w:rsid w:val="59390245"/>
    <w:rsid w:val="593B6397"/>
    <w:rsid w:val="593F2508"/>
    <w:rsid w:val="594E189C"/>
    <w:rsid w:val="59516E31"/>
    <w:rsid w:val="596F07B3"/>
    <w:rsid w:val="597437D9"/>
    <w:rsid w:val="597A288C"/>
    <w:rsid w:val="597D76C4"/>
    <w:rsid w:val="598D17DD"/>
    <w:rsid w:val="59953BFB"/>
    <w:rsid w:val="599E3C55"/>
    <w:rsid w:val="59A2007F"/>
    <w:rsid w:val="59A459F2"/>
    <w:rsid w:val="59B95C5B"/>
    <w:rsid w:val="59D32C10"/>
    <w:rsid w:val="59D540B1"/>
    <w:rsid w:val="5A1030A8"/>
    <w:rsid w:val="5A2B12F0"/>
    <w:rsid w:val="5A4B6CB8"/>
    <w:rsid w:val="5A4C7225"/>
    <w:rsid w:val="5A523F01"/>
    <w:rsid w:val="5A5D7CE2"/>
    <w:rsid w:val="5A6B0C6D"/>
    <w:rsid w:val="5A6C7850"/>
    <w:rsid w:val="5A8C3A1A"/>
    <w:rsid w:val="5A9206A4"/>
    <w:rsid w:val="5AB12801"/>
    <w:rsid w:val="5AC501CE"/>
    <w:rsid w:val="5ACB7E61"/>
    <w:rsid w:val="5AD16627"/>
    <w:rsid w:val="5ADC5003"/>
    <w:rsid w:val="5AF02F44"/>
    <w:rsid w:val="5AFC466A"/>
    <w:rsid w:val="5AFC632C"/>
    <w:rsid w:val="5AFF6746"/>
    <w:rsid w:val="5B0C4999"/>
    <w:rsid w:val="5B194BAE"/>
    <w:rsid w:val="5B210307"/>
    <w:rsid w:val="5B236068"/>
    <w:rsid w:val="5B396B58"/>
    <w:rsid w:val="5B3B72A7"/>
    <w:rsid w:val="5B4A5638"/>
    <w:rsid w:val="5B5263FF"/>
    <w:rsid w:val="5B533CCE"/>
    <w:rsid w:val="5B573022"/>
    <w:rsid w:val="5B7A6DFF"/>
    <w:rsid w:val="5B7B6243"/>
    <w:rsid w:val="5B9C26DD"/>
    <w:rsid w:val="5BB04B61"/>
    <w:rsid w:val="5BBB2A7D"/>
    <w:rsid w:val="5BCF3EF7"/>
    <w:rsid w:val="5BD30E21"/>
    <w:rsid w:val="5BD46745"/>
    <w:rsid w:val="5BF738E3"/>
    <w:rsid w:val="5BFE7DB5"/>
    <w:rsid w:val="5C0075CD"/>
    <w:rsid w:val="5C1318A1"/>
    <w:rsid w:val="5C1E3E80"/>
    <w:rsid w:val="5C2E27B9"/>
    <w:rsid w:val="5C343794"/>
    <w:rsid w:val="5C367850"/>
    <w:rsid w:val="5C3A0A96"/>
    <w:rsid w:val="5C5B6A90"/>
    <w:rsid w:val="5C7034D0"/>
    <w:rsid w:val="5CA5608F"/>
    <w:rsid w:val="5CBB606D"/>
    <w:rsid w:val="5CCE3CFD"/>
    <w:rsid w:val="5CD075F2"/>
    <w:rsid w:val="5CD6638E"/>
    <w:rsid w:val="5CDA6EEE"/>
    <w:rsid w:val="5CDE77B7"/>
    <w:rsid w:val="5D23775A"/>
    <w:rsid w:val="5D3E4B67"/>
    <w:rsid w:val="5D4020CE"/>
    <w:rsid w:val="5D4C11EC"/>
    <w:rsid w:val="5D5B5E00"/>
    <w:rsid w:val="5D860304"/>
    <w:rsid w:val="5DA76F13"/>
    <w:rsid w:val="5DBA7BFD"/>
    <w:rsid w:val="5DCA0394"/>
    <w:rsid w:val="5DCA4D4C"/>
    <w:rsid w:val="5DCC5AF2"/>
    <w:rsid w:val="5E0013EB"/>
    <w:rsid w:val="5E021C06"/>
    <w:rsid w:val="5E03225B"/>
    <w:rsid w:val="5E123AFD"/>
    <w:rsid w:val="5E177981"/>
    <w:rsid w:val="5E2733A0"/>
    <w:rsid w:val="5E4E0B0D"/>
    <w:rsid w:val="5E5F40B5"/>
    <w:rsid w:val="5E6D14C7"/>
    <w:rsid w:val="5E6E1216"/>
    <w:rsid w:val="5E820C76"/>
    <w:rsid w:val="5EA66303"/>
    <w:rsid w:val="5EC178FD"/>
    <w:rsid w:val="5EC657EF"/>
    <w:rsid w:val="5EE81921"/>
    <w:rsid w:val="5EF1732C"/>
    <w:rsid w:val="5F241829"/>
    <w:rsid w:val="5F3773E5"/>
    <w:rsid w:val="5F6F4DB1"/>
    <w:rsid w:val="5F8D14A3"/>
    <w:rsid w:val="5F906CEE"/>
    <w:rsid w:val="5FA12FBE"/>
    <w:rsid w:val="5FAE76AD"/>
    <w:rsid w:val="5FC04431"/>
    <w:rsid w:val="5FDE1BB7"/>
    <w:rsid w:val="5FE420BD"/>
    <w:rsid w:val="5FE523A4"/>
    <w:rsid w:val="5FE7021A"/>
    <w:rsid w:val="600B47D9"/>
    <w:rsid w:val="600E0B7B"/>
    <w:rsid w:val="60140199"/>
    <w:rsid w:val="60140FAF"/>
    <w:rsid w:val="602422E3"/>
    <w:rsid w:val="60294F74"/>
    <w:rsid w:val="60386E33"/>
    <w:rsid w:val="603C4D7F"/>
    <w:rsid w:val="60680AAE"/>
    <w:rsid w:val="6070786D"/>
    <w:rsid w:val="607B0D84"/>
    <w:rsid w:val="60963114"/>
    <w:rsid w:val="60A46F13"/>
    <w:rsid w:val="60B45576"/>
    <w:rsid w:val="60BB0ECE"/>
    <w:rsid w:val="60E211C1"/>
    <w:rsid w:val="60E420DF"/>
    <w:rsid w:val="60EA432D"/>
    <w:rsid w:val="60FB4A82"/>
    <w:rsid w:val="60FD2554"/>
    <w:rsid w:val="60FD3345"/>
    <w:rsid w:val="60FE01F7"/>
    <w:rsid w:val="61121FF6"/>
    <w:rsid w:val="612800F5"/>
    <w:rsid w:val="612E0F84"/>
    <w:rsid w:val="61341D2E"/>
    <w:rsid w:val="613B5215"/>
    <w:rsid w:val="61527DD0"/>
    <w:rsid w:val="6153492F"/>
    <w:rsid w:val="6168749F"/>
    <w:rsid w:val="61730FDD"/>
    <w:rsid w:val="61771BCF"/>
    <w:rsid w:val="6192421A"/>
    <w:rsid w:val="61B70CB2"/>
    <w:rsid w:val="61C436DB"/>
    <w:rsid w:val="61C914C6"/>
    <w:rsid w:val="61D73478"/>
    <w:rsid w:val="61EE6ADB"/>
    <w:rsid w:val="61F3365A"/>
    <w:rsid w:val="620F6BB0"/>
    <w:rsid w:val="62163B1A"/>
    <w:rsid w:val="622F11E9"/>
    <w:rsid w:val="623B7785"/>
    <w:rsid w:val="623F74EC"/>
    <w:rsid w:val="62427BC2"/>
    <w:rsid w:val="626929CB"/>
    <w:rsid w:val="626F340D"/>
    <w:rsid w:val="6271160A"/>
    <w:rsid w:val="62896E74"/>
    <w:rsid w:val="628E3E71"/>
    <w:rsid w:val="629E3EA6"/>
    <w:rsid w:val="62BA167B"/>
    <w:rsid w:val="62C9318E"/>
    <w:rsid w:val="62CC6328"/>
    <w:rsid w:val="62E6051F"/>
    <w:rsid w:val="62E6347A"/>
    <w:rsid w:val="62E804D5"/>
    <w:rsid w:val="630028D4"/>
    <w:rsid w:val="63221CAF"/>
    <w:rsid w:val="6348293A"/>
    <w:rsid w:val="639026F2"/>
    <w:rsid w:val="63A15040"/>
    <w:rsid w:val="63A24C2F"/>
    <w:rsid w:val="63A31F1E"/>
    <w:rsid w:val="63BF427D"/>
    <w:rsid w:val="63C00E4E"/>
    <w:rsid w:val="63D67999"/>
    <w:rsid w:val="63E04A73"/>
    <w:rsid w:val="6433716C"/>
    <w:rsid w:val="645D1B81"/>
    <w:rsid w:val="6461035C"/>
    <w:rsid w:val="646D2F79"/>
    <w:rsid w:val="64833371"/>
    <w:rsid w:val="64B33E67"/>
    <w:rsid w:val="64C146F8"/>
    <w:rsid w:val="64D428D6"/>
    <w:rsid w:val="64E15B86"/>
    <w:rsid w:val="64F40D0D"/>
    <w:rsid w:val="64F46726"/>
    <w:rsid w:val="64FD407F"/>
    <w:rsid w:val="65000059"/>
    <w:rsid w:val="65053BE9"/>
    <w:rsid w:val="65055E4D"/>
    <w:rsid w:val="650826A5"/>
    <w:rsid w:val="650D2548"/>
    <w:rsid w:val="65194D81"/>
    <w:rsid w:val="652E1138"/>
    <w:rsid w:val="65343BB9"/>
    <w:rsid w:val="65525349"/>
    <w:rsid w:val="6553705E"/>
    <w:rsid w:val="65581AB3"/>
    <w:rsid w:val="656D2D8C"/>
    <w:rsid w:val="65855422"/>
    <w:rsid w:val="658F68AE"/>
    <w:rsid w:val="65972595"/>
    <w:rsid w:val="65976E06"/>
    <w:rsid w:val="65992817"/>
    <w:rsid w:val="65A947EC"/>
    <w:rsid w:val="65CF55FC"/>
    <w:rsid w:val="65D53232"/>
    <w:rsid w:val="65D83EF7"/>
    <w:rsid w:val="65F40795"/>
    <w:rsid w:val="65F66D68"/>
    <w:rsid w:val="65F761A2"/>
    <w:rsid w:val="661A56A8"/>
    <w:rsid w:val="662C53CC"/>
    <w:rsid w:val="66332253"/>
    <w:rsid w:val="6639371C"/>
    <w:rsid w:val="6655781C"/>
    <w:rsid w:val="66614173"/>
    <w:rsid w:val="666D30F1"/>
    <w:rsid w:val="66721844"/>
    <w:rsid w:val="66752E6C"/>
    <w:rsid w:val="667B12DC"/>
    <w:rsid w:val="667B78B2"/>
    <w:rsid w:val="668C712F"/>
    <w:rsid w:val="668F6C47"/>
    <w:rsid w:val="66A849BA"/>
    <w:rsid w:val="66AC540F"/>
    <w:rsid w:val="66B05103"/>
    <w:rsid w:val="66B23796"/>
    <w:rsid w:val="66B65345"/>
    <w:rsid w:val="66CA26B4"/>
    <w:rsid w:val="66D5652F"/>
    <w:rsid w:val="66E10157"/>
    <w:rsid w:val="66E20972"/>
    <w:rsid w:val="67144D9C"/>
    <w:rsid w:val="6717091B"/>
    <w:rsid w:val="671A3AEF"/>
    <w:rsid w:val="67526063"/>
    <w:rsid w:val="67593735"/>
    <w:rsid w:val="675C66AA"/>
    <w:rsid w:val="67900F42"/>
    <w:rsid w:val="67906A0A"/>
    <w:rsid w:val="679851B1"/>
    <w:rsid w:val="67E17D40"/>
    <w:rsid w:val="67FA3BE5"/>
    <w:rsid w:val="6815024D"/>
    <w:rsid w:val="68151294"/>
    <w:rsid w:val="681F5F6D"/>
    <w:rsid w:val="682753EA"/>
    <w:rsid w:val="68432C37"/>
    <w:rsid w:val="685A7BF3"/>
    <w:rsid w:val="68842C05"/>
    <w:rsid w:val="68A12FA5"/>
    <w:rsid w:val="68B87986"/>
    <w:rsid w:val="68BF6331"/>
    <w:rsid w:val="68D575DF"/>
    <w:rsid w:val="68DA38B3"/>
    <w:rsid w:val="69030B95"/>
    <w:rsid w:val="691A4EC3"/>
    <w:rsid w:val="69204E4A"/>
    <w:rsid w:val="69371B9A"/>
    <w:rsid w:val="694E1880"/>
    <w:rsid w:val="694F4832"/>
    <w:rsid w:val="699D4DD9"/>
    <w:rsid w:val="69C636A9"/>
    <w:rsid w:val="69D81708"/>
    <w:rsid w:val="69DA3DD7"/>
    <w:rsid w:val="69FE118F"/>
    <w:rsid w:val="6A0718DE"/>
    <w:rsid w:val="6A110F82"/>
    <w:rsid w:val="6A16644F"/>
    <w:rsid w:val="6A190A53"/>
    <w:rsid w:val="6A2E6725"/>
    <w:rsid w:val="6A36467C"/>
    <w:rsid w:val="6A435241"/>
    <w:rsid w:val="6A4B5FDB"/>
    <w:rsid w:val="6A5C053E"/>
    <w:rsid w:val="6A5C0CCD"/>
    <w:rsid w:val="6A630CFC"/>
    <w:rsid w:val="6A6E1A2A"/>
    <w:rsid w:val="6A6E3AC3"/>
    <w:rsid w:val="6A8C6BF6"/>
    <w:rsid w:val="6A9125EA"/>
    <w:rsid w:val="6A9A03D2"/>
    <w:rsid w:val="6AAE32F7"/>
    <w:rsid w:val="6AAE5A23"/>
    <w:rsid w:val="6AAE6BDA"/>
    <w:rsid w:val="6AD173AD"/>
    <w:rsid w:val="6AD63F97"/>
    <w:rsid w:val="6ADC7E0B"/>
    <w:rsid w:val="6AF721E5"/>
    <w:rsid w:val="6B037AF9"/>
    <w:rsid w:val="6B134CBB"/>
    <w:rsid w:val="6B340CBE"/>
    <w:rsid w:val="6B415C3A"/>
    <w:rsid w:val="6B6F31CB"/>
    <w:rsid w:val="6B806B8A"/>
    <w:rsid w:val="6B8A4F44"/>
    <w:rsid w:val="6BB27717"/>
    <w:rsid w:val="6BE14913"/>
    <w:rsid w:val="6BEC55D3"/>
    <w:rsid w:val="6C0024E4"/>
    <w:rsid w:val="6C282983"/>
    <w:rsid w:val="6C3106A6"/>
    <w:rsid w:val="6C334476"/>
    <w:rsid w:val="6C4528A7"/>
    <w:rsid w:val="6C500B83"/>
    <w:rsid w:val="6C504565"/>
    <w:rsid w:val="6C580715"/>
    <w:rsid w:val="6C704270"/>
    <w:rsid w:val="6C7B26A4"/>
    <w:rsid w:val="6C7F1FCA"/>
    <w:rsid w:val="6C922D49"/>
    <w:rsid w:val="6C9C0348"/>
    <w:rsid w:val="6CB06B71"/>
    <w:rsid w:val="6CD26A08"/>
    <w:rsid w:val="6CDC31C0"/>
    <w:rsid w:val="6CDC786F"/>
    <w:rsid w:val="6CEF2C30"/>
    <w:rsid w:val="6CF818CA"/>
    <w:rsid w:val="6D032647"/>
    <w:rsid w:val="6D374B9F"/>
    <w:rsid w:val="6D505F4E"/>
    <w:rsid w:val="6D5178C2"/>
    <w:rsid w:val="6D591866"/>
    <w:rsid w:val="6D784329"/>
    <w:rsid w:val="6D877795"/>
    <w:rsid w:val="6D8B4C36"/>
    <w:rsid w:val="6D94576F"/>
    <w:rsid w:val="6DA66AC4"/>
    <w:rsid w:val="6DA82030"/>
    <w:rsid w:val="6DC74D72"/>
    <w:rsid w:val="6DC764D3"/>
    <w:rsid w:val="6DC813B4"/>
    <w:rsid w:val="6DEE0D15"/>
    <w:rsid w:val="6DF37DED"/>
    <w:rsid w:val="6E34283D"/>
    <w:rsid w:val="6E410963"/>
    <w:rsid w:val="6E5637C0"/>
    <w:rsid w:val="6E6723D6"/>
    <w:rsid w:val="6E776F35"/>
    <w:rsid w:val="6E8F498E"/>
    <w:rsid w:val="6EBB2294"/>
    <w:rsid w:val="6ED264C4"/>
    <w:rsid w:val="6ED809D8"/>
    <w:rsid w:val="6EEC645D"/>
    <w:rsid w:val="6EF53B92"/>
    <w:rsid w:val="6F093755"/>
    <w:rsid w:val="6F151709"/>
    <w:rsid w:val="6F6646E9"/>
    <w:rsid w:val="6F734B8A"/>
    <w:rsid w:val="6F8119CC"/>
    <w:rsid w:val="6F94533D"/>
    <w:rsid w:val="6FA36B46"/>
    <w:rsid w:val="6FA45754"/>
    <w:rsid w:val="6FA91CEA"/>
    <w:rsid w:val="6FB1102D"/>
    <w:rsid w:val="6FC12DB3"/>
    <w:rsid w:val="6FD6505F"/>
    <w:rsid w:val="6FD66AE3"/>
    <w:rsid w:val="6FE30CD2"/>
    <w:rsid w:val="6FF32484"/>
    <w:rsid w:val="6FF466BD"/>
    <w:rsid w:val="6FFB415F"/>
    <w:rsid w:val="701A2F1E"/>
    <w:rsid w:val="70274D4E"/>
    <w:rsid w:val="70322887"/>
    <w:rsid w:val="70390B87"/>
    <w:rsid w:val="704D4CA0"/>
    <w:rsid w:val="706C287C"/>
    <w:rsid w:val="70727DFF"/>
    <w:rsid w:val="70A4359F"/>
    <w:rsid w:val="70A528A7"/>
    <w:rsid w:val="70CE5045"/>
    <w:rsid w:val="70D71582"/>
    <w:rsid w:val="70FE7EBC"/>
    <w:rsid w:val="7100433E"/>
    <w:rsid w:val="71656AE0"/>
    <w:rsid w:val="716A021D"/>
    <w:rsid w:val="71746D68"/>
    <w:rsid w:val="717B3F53"/>
    <w:rsid w:val="718050B8"/>
    <w:rsid w:val="719159E5"/>
    <w:rsid w:val="719236E2"/>
    <w:rsid w:val="71A0489B"/>
    <w:rsid w:val="71A17AAB"/>
    <w:rsid w:val="71CE231F"/>
    <w:rsid w:val="71EE564A"/>
    <w:rsid w:val="720A7DD1"/>
    <w:rsid w:val="720D0B66"/>
    <w:rsid w:val="724667CC"/>
    <w:rsid w:val="727D257F"/>
    <w:rsid w:val="729355F5"/>
    <w:rsid w:val="729E3D0C"/>
    <w:rsid w:val="72B6321C"/>
    <w:rsid w:val="72CC0920"/>
    <w:rsid w:val="72F42447"/>
    <w:rsid w:val="73026CFD"/>
    <w:rsid w:val="73300DCB"/>
    <w:rsid w:val="73325730"/>
    <w:rsid w:val="7348728B"/>
    <w:rsid w:val="73637282"/>
    <w:rsid w:val="736A164B"/>
    <w:rsid w:val="736A2297"/>
    <w:rsid w:val="73AA602F"/>
    <w:rsid w:val="73B37B7D"/>
    <w:rsid w:val="73CB26A8"/>
    <w:rsid w:val="73CD70A4"/>
    <w:rsid w:val="73CE2B42"/>
    <w:rsid w:val="73EE3D2C"/>
    <w:rsid w:val="73F150F4"/>
    <w:rsid w:val="740639BB"/>
    <w:rsid w:val="741C34F8"/>
    <w:rsid w:val="741D0651"/>
    <w:rsid w:val="743417C6"/>
    <w:rsid w:val="743A7ABC"/>
    <w:rsid w:val="743E056C"/>
    <w:rsid w:val="74461DBB"/>
    <w:rsid w:val="746840B5"/>
    <w:rsid w:val="749673CE"/>
    <w:rsid w:val="749771DD"/>
    <w:rsid w:val="749876E8"/>
    <w:rsid w:val="749F271C"/>
    <w:rsid w:val="74A124AA"/>
    <w:rsid w:val="74B010EE"/>
    <w:rsid w:val="74B6459F"/>
    <w:rsid w:val="74BA69AB"/>
    <w:rsid w:val="74BE0D67"/>
    <w:rsid w:val="74DE2189"/>
    <w:rsid w:val="74DE462D"/>
    <w:rsid w:val="74F742E7"/>
    <w:rsid w:val="74FA794F"/>
    <w:rsid w:val="750231BE"/>
    <w:rsid w:val="751D3A68"/>
    <w:rsid w:val="75246688"/>
    <w:rsid w:val="753A59FF"/>
    <w:rsid w:val="755605EA"/>
    <w:rsid w:val="75564F57"/>
    <w:rsid w:val="75565667"/>
    <w:rsid w:val="755728A1"/>
    <w:rsid w:val="756138AC"/>
    <w:rsid w:val="756842A3"/>
    <w:rsid w:val="75826D3A"/>
    <w:rsid w:val="758E203F"/>
    <w:rsid w:val="75900F33"/>
    <w:rsid w:val="75BE13F7"/>
    <w:rsid w:val="75D436B7"/>
    <w:rsid w:val="75E0592A"/>
    <w:rsid w:val="75E15891"/>
    <w:rsid w:val="75E23EC1"/>
    <w:rsid w:val="761F408D"/>
    <w:rsid w:val="7624173C"/>
    <w:rsid w:val="762478FB"/>
    <w:rsid w:val="76323D83"/>
    <w:rsid w:val="763F1F9D"/>
    <w:rsid w:val="76413178"/>
    <w:rsid w:val="764F5AF8"/>
    <w:rsid w:val="765467AB"/>
    <w:rsid w:val="76635A00"/>
    <w:rsid w:val="76647523"/>
    <w:rsid w:val="767A0EE3"/>
    <w:rsid w:val="769260FE"/>
    <w:rsid w:val="769446ED"/>
    <w:rsid w:val="76AD2BD7"/>
    <w:rsid w:val="76AF1F9D"/>
    <w:rsid w:val="76C60567"/>
    <w:rsid w:val="76D25CCB"/>
    <w:rsid w:val="76DA7F3B"/>
    <w:rsid w:val="76E21F14"/>
    <w:rsid w:val="76EF4690"/>
    <w:rsid w:val="77026631"/>
    <w:rsid w:val="7709218B"/>
    <w:rsid w:val="77172036"/>
    <w:rsid w:val="772D05D0"/>
    <w:rsid w:val="772E1D4C"/>
    <w:rsid w:val="773E75AE"/>
    <w:rsid w:val="776637C0"/>
    <w:rsid w:val="777C2930"/>
    <w:rsid w:val="777F0EDD"/>
    <w:rsid w:val="77C054A1"/>
    <w:rsid w:val="77C86312"/>
    <w:rsid w:val="77DE0C08"/>
    <w:rsid w:val="77E20619"/>
    <w:rsid w:val="77E854D0"/>
    <w:rsid w:val="77F6118F"/>
    <w:rsid w:val="77F76905"/>
    <w:rsid w:val="780A2CAA"/>
    <w:rsid w:val="78135A45"/>
    <w:rsid w:val="782A4FA2"/>
    <w:rsid w:val="78364A07"/>
    <w:rsid w:val="784F242A"/>
    <w:rsid w:val="78567139"/>
    <w:rsid w:val="7868607B"/>
    <w:rsid w:val="789C0D40"/>
    <w:rsid w:val="78AA22B0"/>
    <w:rsid w:val="78AD76A5"/>
    <w:rsid w:val="78C11DD3"/>
    <w:rsid w:val="78C3736C"/>
    <w:rsid w:val="7900785F"/>
    <w:rsid w:val="79065572"/>
    <w:rsid w:val="790A0DAD"/>
    <w:rsid w:val="790F7592"/>
    <w:rsid w:val="79624778"/>
    <w:rsid w:val="796920CE"/>
    <w:rsid w:val="79A46CA4"/>
    <w:rsid w:val="79AC2293"/>
    <w:rsid w:val="79C474B4"/>
    <w:rsid w:val="79D72BC6"/>
    <w:rsid w:val="7A310B04"/>
    <w:rsid w:val="7A3470EE"/>
    <w:rsid w:val="7A406322"/>
    <w:rsid w:val="7A462DA1"/>
    <w:rsid w:val="7A516018"/>
    <w:rsid w:val="7A645054"/>
    <w:rsid w:val="7A664F3C"/>
    <w:rsid w:val="7A762FED"/>
    <w:rsid w:val="7A79172B"/>
    <w:rsid w:val="7A840268"/>
    <w:rsid w:val="7A8E54B7"/>
    <w:rsid w:val="7A9A1494"/>
    <w:rsid w:val="7AA53EB3"/>
    <w:rsid w:val="7ABF12DC"/>
    <w:rsid w:val="7AC8541A"/>
    <w:rsid w:val="7AD65423"/>
    <w:rsid w:val="7AE2047B"/>
    <w:rsid w:val="7AF606D5"/>
    <w:rsid w:val="7AF84C6C"/>
    <w:rsid w:val="7AFE2079"/>
    <w:rsid w:val="7AFE2E1A"/>
    <w:rsid w:val="7B0B7B68"/>
    <w:rsid w:val="7B1A6B37"/>
    <w:rsid w:val="7B2E64F8"/>
    <w:rsid w:val="7B3D3CDC"/>
    <w:rsid w:val="7B4D06F4"/>
    <w:rsid w:val="7B504560"/>
    <w:rsid w:val="7B58401B"/>
    <w:rsid w:val="7B653887"/>
    <w:rsid w:val="7B6C7E5D"/>
    <w:rsid w:val="7B932E58"/>
    <w:rsid w:val="7B96509F"/>
    <w:rsid w:val="7B9D31FF"/>
    <w:rsid w:val="7BB6263D"/>
    <w:rsid w:val="7BC33D93"/>
    <w:rsid w:val="7BC7746F"/>
    <w:rsid w:val="7BD42193"/>
    <w:rsid w:val="7BD631E9"/>
    <w:rsid w:val="7BDF7CCD"/>
    <w:rsid w:val="7BE30FD8"/>
    <w:rsid w:val="7BE846AC"/>
    <w:rsid w:val="7BFB1551"/>
    <w:rsid w:val="7BFD5BE9"/>
    <w:rsid w:val="7C1F4C6C"/>
    <w:rsid w:val="7C2E4FDA"/>
    <w:rsid w:val="7C405388"/>
    <w:rsid w:val="7C467BBF"/>
    <w:rsid w:val="7C4D1F19"/>
    <w:rsid w:val="7C502038"/>
    <w:rsid w:val="7C5F27AC"/>
    <w:rsid w:val="7C687F80"/>
    <w:rsid w:val="7C6B06D3"/>
    <w:rsid w:val="7C6D4C4A"/>
    <w:rsid w:val="7C833A2B"/>
    <w:rsid w:val="7C9326D5"/>
    <w:rsid w:val="7CB40D88"/>
    <w:rsid w:val="7CC25F7C"/>
    <w:rsid w:val="7CD35875"/>
    <w:rsid w:val="7CDF2114"/>
    <w:rsid w:val="7CF4293F"/>
    <w:rsid w:val="7D0503FE"/>
    <w:rsid w:val="7D083A1E"/>
    <w:rsid w:val="7D197055"/>
    <w:rsid w:val="7D250A5C"/>
    <w:rsid w:val="7D306717"/>
    <w:rsid w:val="7D3A2075"/>
    <w:rsid w:val="7D3E337A"/>
    <w:rsid w:val="7D6543D6"/>
    <w:rsid w:val="7D696000"/>
    <w:rsid w:val="7D6A329C"/>
    <w:rsid w:val="7D8C10BB"/>
    <w:rsid w:val="7D98473E"/>
    <w:rsid w:val="7DB70173"/>
    <w:rsid w:val="7DC20964"/>
    <w:rsid w:val="7DC52577"/>
    <w:rsid w:val="7DC735BA"/>
    <w:rsid w:val="7DC92AB1"/>
    <w:rsid w:val="7DE219FE"/>
    <w:rsid w:val="7DFA1B73"/>
    <w:rsid w:val="7DFF2D37"/>
    <w:rsid w:val="7E0E56A3"/>
    <w:rsid w:val="7E0F6644"/>
    <w:rsid w:val="7E144FA9"/>
    <w:rsid w:val="7E4A6AF4"/>
    <w:rsid w:val="7E4F0ABF"/>
    <w:rsid w:val="7E5837F3"/>
    <w:rsid w:val="7E5D0626"/>
    <w:rsid w:val="7E877A8C"/>
    <w:rsid w:val="7E8E5D4E"/>
    <w:rsid w:val="7E990182"/>
    <w:rsid w:val="7ED03074"/>
    <w:rsid w:val="7EE0446A"/>
    <w:rsid w:val="7EEC40DA"/>
    <w:rsid w:val="7F03694A"/>
    <w:rsid w:val="7F0909DD"/>
    <w:rsid w:val="7F2A52C6"/>
    <w:rsid w:val="7F322FD1"/>
    <w:rsid w:val="7F3D2CB9"/>
    <w:rsid w:val="7F64285A"/>
    <w:rsid w:val="7F6B083A"/>
    <w:rsid w:val="7F6C73BB"/>
    <w:rsid w:val="7F7E4CA9"/>
    <w:rsid w:val="7F903BC3"/>
    <w:rsid w:val="7FA15205"/>
    <w:rsid w:val="7FA15A84"/>
    <w:rsid w:val="7FCA1A12"/>
    <w:rsid w:val="7FD6725C"/>
    <w:rsid w:val="7FD768A1"/>
    <w:rsid w:val="7FDB3C26"/>
    <w:rsid w:val="7FF5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ind w:left="420" w:leftChars="200"/>
    </w:pPr>
  </w:style>
  <w:style w:type="paragraph" w:styleId="4">
    <w:name w:val="Body Text"/>
    <w:basedOn w:val="1"/>
    <w:next w:val="1"/>
    <w:unhideWhenUsed/>
    <w:qFormat/>
    <w:uiPriority w:val="0"/>
    <w:pPr>
      <w:spacing w:after="120"/>
    </w:pPr>
    <w:rPr>
      <w:rFonts w:ascii="Calibri" w:hAnsi="Calibri"/>
      <w:szCs w:val="22"/>
    </w:rPr>
  </w:style>
  <w:style w:type="paragraph" w:styleId="5">
    <w:name w:val="footer"/>
    <w:basedOn w:val="1"/>
    <w:link w:val="11"/>
    <w:unhideWhenUsed/>
    <w:qFormat/>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font21"/>
    <w:basedOn w:val="9"/>
    <w:qFormat/>
    <w:uiPriority w:val="0"/>
    <w:rPr>
      <w:rFonts w:hint="eastAsia" w:ascii="宋体" w:hAnsi="宋体" w:eastAsia="宋体" w:cs="宋体"/>
      <w:color w:val="000000"/>
      <w:sz w:val="21"/>
      <w:szCs w:val="21"/>
      <w:u w:val="none"/>
    </w:rPr>
  </w:style>
  <w:style w:type="paragraph" w:customStyle="1" w:styleId="13">
    <w:name w:val="正文 New New New New"/>
    <w:qFormat/>
    <w:uiPriority w:val="0"/>
    <w:pPr>
      <w:widowControl w:val="0"/>
      <w:jc w:val="both"/>
    </w:pPr>
    <w:rPr>
      <w:rFonts w:ascii="Calibri" w:hAnsi="Calibri" w:eastAsia="宋体" w:cs="Times New Roman"/>
      <w:kern w:val="0"/>
      <w:sz w:val="21"/>
      <w:szCs w:val="24"/>
      <w:lang w:val="en-US" w:eastAsia="zh-CN" w:bidi="ar-SA"/>
    </w:rPr>
  </w:style>
  <w:style w:type="paragraph" w:customStyle="1" w:styleId="14">
    <w:name w:val="正文1"/>
    <w:basedOn w:val="1"/>
    <w:next w:val="1"/>
    <w:qFormat/>
    <w:uiPriority w:val="0"/>
    <w:pPr>
      <w:spacing w:before="156"/>
      <w:ind w:firstLine="51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26272</Words>
  <Characters>27705</Characters>
  <Lines>30</Lines>
  <Paragraphs>8</Paragraphs>
  <TotalTime>0</TotalTime>
  <ScaleCrop>false</ScaleCrop>
  <LinksUpToDate>false</LinksUpToDate>
  <CharactersWithSpaces>30851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2020-05-27T01:52:00Z</dcterms:created>
  <dc:creator>ljm95</dc:creator>
  <dc:description>电子投标（2025版）</dc:description>
  <cp:lastModifiedBy>Administrator</cp:lastModifiedBy>
  <cp:lastPrinted>2024-07-12T02:00:00Z</cp:lastPrinted>
  <dcterms:modified xsi:type="dcterms:W3CDTF">2025-06-27T01:07:12Z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