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宋体" w:hAnsi="宋体" w:cs="宋体"/>
          <w:sz w:val="32"/>
          <w:szCs w:val="32"/>
          <w:highlight w:val="none"/>
        </w:rPr>
      </w:pPr>
    </w:p>
    <w:p>
      <w:pPr>
        <w:spacing w:line="600" w:lineRule="exact"/>
        <w:jc w:val="center"/>
        <w:rPr>
          <w:rFonts w:ascii="宋体" w:hAnsi="宋体" w:cs="宋体"/>
          <w:sz w:val="32"/>
          <w:szCs w:val="32"/>
          <w:highlight w:val="none"/>
        </w:rPr>
      </w:pPr>
    </w:p>
    <w:p>
      <w:pPr>
        <w:jc w:val="center"/>
        <w:rPr>
          <w:rFonts w:ascii="宋体" w:hAnsi="宋体" w:cs="宋体"/>
          <w:sz w:val="44"/>
          <w:szCs w:val="20"/>
          <w:highlight w:val="none"/>
        </w:rPr>
      </w:pPr>
    </w:p>
    <w:p>
      <w:pPr>
        <w:spacing w:before="120" w:beforeLines="50"/>
        <w:jc w:val="center"/>
        <w:rPr>
          <w:rFonts w:ascii="宋体" w:hAnsi="宋体" w:cs="宋体"/>
          <w:sz w:val="52"/>
          <w:szCs w:val="52"/>
          <w:highlight w:val="none"/>
        </w:rPr>
      </w:pPr>
      <w:r>
        <w:rPr>
          <w:rFonts w:hint="eastAsia" w:ascii="宋体" w:hAnsi="宋体" w:cs="宋体"/>
          <w:sz w:val="52"/>
          <w:szCs w:val="52"/>
          <w:highlight w:val="none"/>
        </w:rPr>
        <w:t>公开招标采购文件</w:t>
      </w:r>
    </w:p>
    <w:p>
      <w:pPr>
        <w:snapToGrid w:val="0"/>
        <w:spacing w:before="120" w:beforeLines="50" w:line="360" w:lineRule="auto"/>
        <w:rPr>
          <w:rFonts w:ascii="宋体" w:hAnsi="宋体" w:cs="宋体"/>
          <w:sz w:val="30"/>
          <w:szCs w:val="72"/>
          <w:highlight w:val="none"/>
        </w:rPr>
      </w:pPr>
    </w:p>
    <w:p>
      <w:pPr>
        <w:snapToGrid w:val="0"/>
        <w:spacing w:before="120" w:beforeLines="50" w:line="360" w:lineRule="auto"/>
        <w:rPr>
          <w:rFonts w:ascii="宋体" w:hAnsi="宋体" w:cs="宋体"/>
          <w:sz w:val="30"/>
          <w:szCs w:val="72"/>
          <w:highlight w:val="none"/>
        </w:rPr>
      </w:pPr>
    </w:p>
    <w:p>
      <w:pPr>
        <w:snapToGrid w:val="0"/>
        <w:spacing w:before="120" w:beforeLines="50" w:line="360" w:lineRule="auto"/>
        <w:rPr>
          <w:rFonts w:ascii="宋体" w:hAnsi="宋体" w:cs="宋体"/>
          <w:sz w:val="30"/>
          <w:szCs w:val="72"/>
          <w:highlight w:val="none"/>
        </w:rPr>
      </w:pPr>
    </w:p>
    <w:p>
      <w:pPr>
        <w:pStyle w:val="26"/>
        <w:snapToGrid w:val="0"/>
        <w:spacing w:before="120" w:beforeLines="0" w:after="120" w:afterLines="0" w:line="360" w:lineRule="auto"/>
        <w:rPr>
          <w:rFonts w:hAnsi="宋体" w:cs="宋体"/>
          <w:b/>
          <w:sz w:val="30"/>
          <w:szCs w:val="48"/>
          <w:highlight w:val="none"/>
        </w:rPr>
      </w:pPr>
    </w:p>
    <w:p>
      <w:pPr>
        <w:pStyle w:val="26"/>
        <w:snapToGrid w:val="0"/>
        <w:spacing w:before="300" w:beforeLines="0" w:after="300" w:afterLines="0" w:line="360" w:lineRule="auto"/>
        <w:rPr>
          <w:rFonts w:hint="eastAsia" w:hAnsi="宋体" w:eastAsia="宋体" w:cs="宋体"/>
          <w:b/>
          <w:sz w:val="30"/>
          <w:szCs w:val="48"/>
          <w:highlight w:val="none"/>
          <w:lang w:eastAsia="zh-CN"/>
        </w:rPr>
      </w:pPr>
      <w:r>
        <w:rPr>
          <w:rFonts w:hint="eastAsia" w:hAnsi="宋体" w:cs="宋体"/>
          <w:b/>
          <w:sz w:val="30"/>
          <w:szCs w:val="48"/>
          <w:highlight w:val="none"/>
        </w:rPr>
        <w:t>项目编号：高正代咨[2023]第1033号</w:t>
      </w:r>
      <w:r>
        <w:rPr>
          <w:rFonts w:hint="eastAsia" w:hAnsi="宋体" w:cs="宋体"/>
          <w:b/>
          <w:sz w:val="30"/>
          <w:szCs w:val="48"/>
          <w:highlight w:val="none"/>
          <w:lang w:val="en-US" w:eastAsia="zh-CN"/>
        </w:rPr>
        <w:t xml:space="preserve"> </w:t>
      </w:r>
    </w:p>
    <w:p>
      <w:pPr>
        <w:rPr>
          <w:highlight w:val="none"/>
        </w:rPr>
      </w:pPr>
    </w:p>
    <w:p>
      <w:pPr>
        <w:pStyle w:val="26"/>
        <w:snapToGrid w:val="0"/>
        <w:spacing w:before="300" w:beforeLines="0" w:after="300" w:afterLines="0" w:line="360" w:lineRule="auto"/>
        <w:rPr>
          <w:rFonts w:hint="eastAsia" w:hAnsi="宋体" w:eastAsia="宋体" w:cs="宋体"/>
          <w:b/>
          <w:spacing w:val="-6"/>
          <w:sz w:val="30"/>
          <w:szCs w:val="48"/>
          <w:highlight w:val="none"/>
          <w:lang w:eastAsia="zh-CN"/>
        </w:rPr>
      </w:pPr>
      <w:r>
        <w:rPr>
          <w:rFonts w:hint="eastAsia" w:hAnsi="宋体" w:cs="宋体"/>
          <w:b/>
          <w:sz w:val="30"/>
          <w:szCs w:val="48"/>
          <w:highlight w:val="none"/>
        </w:rPr>
        <w:t>项目名称：</w:t>
      </w:r>
      <w:r>
        <w:rPr>
          <w:rFonts w:hint="eastAsia" w:hAnsi="宋体" w:cs="宋体"/>
          <w:b/>
          <w:sz w:val="30"/>
          <w:szCs w:val="48"/>
          <w:highlight w:val="none"/>
          <w:lang w:eastAsia="zh-CN"/>
        </w:rPr>
        <w:t>聚贤街道2023年度职工疗休养项目</w:t>
      </w:r>
    </w:p>
    <w:p>
      <w:pPr>
        <w:rPr>
          <w:highlight w:val="none"/>
        </w:rPr>
      </w:pPr>
    </w:p>
    <w:p>
      <w:pPr>
        <w:pStyle w:val="26"/>
        <w:snapToGrid w:val="0"/>
        <w:spacing w:before="300" w:beforeLines="0" w:after="300" w:afterLines="0" w:line="360" w:lineRule="auto"/>
        <w:rPr>
          <w:rFonts w:hint="eastAsia" w:hAnsi="宋体" w:cs="宋体"/>
          <w:b/>
          <w:spacing w:val="-6"/>
          <w:sz w:val="30"/>
          <w:szCs w:val="48"/>
          <w:highlight w:val="none"/>
          <w:lang w:eastAsia="zh-CN"/>
        </w:rPr>
      </w:pPr>
      <w:r>
        <w:rPr>
          <w:rFonts w:hint="eastAsia" w:hAnsi="宋体" w:cs="宋体"/>
          <w:b/>
          <w:sz w:val="30"/>
          <w:szCs w:val="48"/>
          <w:highlight w:val="none"/>
        </w:rPr>
        <w:t>采购单位：</w:t>
      </w:r>
      <w:r>
        <w:rPr>
          <w:rFonts w:hint="eastAsia" w:hAnsi="宋体" w:cs="宋体"/>
          <w:b/>
          <w:spacing w:val="-6"/>
          <w:sz w:val="30"/>
          <w:szCs w:val="48"/>
          <w:highlight w:val="none"/>
          <w:lang w:eastAsia="zh-CN"/>
        </w:rPr>
        <w:t>宁波市鄞州区人民政府聚贤街道办事处</w:t>
      </w:r>
    </w:p>
    <w:p>
      <w:pPr>
        <w:rPr>
          <w:rFonts w:hint="eastAsia"/>
          <w:highlight w:val="none"/>
          <w:lang w:eastAsia="zh-CN"/>
        </w:rPr>
      </w:pPr>
    </w:p>
    <w:p>
      <w:pPr>
        <w:pStyle w:val="26"/>
        <w:snapToGrid w:val="0"/>
        <w:spacing w:before="300" w:beforeLines="0" w:after="300" w:afterLines="0" w:line="360" w:lineRule="auto"/>
        <w:rPr>
          <w:rFonts w:hAnsi="宋体" w:cs="宋体"/>
          <w:b/>
          <w:sz w:val="30"/>
          <w:szCs w:val="48"/>
          <w:highlight w:val="none"/>
        </w:rPr>
      </w:pPr>
      <w:r>
        <w:rPr>
          <w:rFonts w:hint="eastAsia" w:hAnsi="宋体" w:cs="宋体"/>
          <w:b/>
          <w:sz w:val="30"/>
          <w:szCs w:val="48"/>
          <w:highlight w:val="none"/>
        </w:rPr>
        <w:t>代理机构：</w:t>
      </w:r>
      <w:r>
        <w:rPr>
          <w:rFonts w:hint="eastAsia" w:hAnsi="宋体" w:cs="宋体"/>
          <w:b/>
          <w:spacing w:val="-6"/>
          <w:sz w:val="30"/>
          <w:szCs w:val="48"/>
          <w:highlight w:val="none"/>
          <w:lang w:eastAsia="zh-CN"/>
        </w:rPr>
        <w:t>宁波高正工程管理有限公司</w:t>
      </w:r>
      <w:r>
        <w:rPr>
          <w:rFonts w:hint="eastAsia" w:hAnsi="宋体" w:cs="宋体"/>
          <w:b/>
          <w:spacing w:val="-6"/>
          <w:sz w:val="30"/>
          <w:szCs w:val="48"/>
          <w:highlight w:val="none"/>
        </w:rPr>
        <w:t xml:space="preserve"> </w:t>
      </w:r>
    </w:p>
    <w:p>
      <w:pPr>
        <w:snapToGrid w:val="0"/>
        <w:spacing w:before="120" w:beforeLines="50" w:line="360" w:lineRule="auto"/>
        <w:jc w:val="both"/>
        <w:rPr>
          <w:rFonts w:ascii="宋体" w:hAnsi="宋体" w:cs="宋体"/>
          <w:b/>
          <w:bCs/>
          <w:w w:val="95"/>
          <w:sz w:val="30"/>
          <w:szCs w:val="30"/>
          <w:highlight w:val="none"/>
        </w:rPr>
      </w:pPr>
    </w:p>
    <w:p>
      <w:pPr>
        <w:snapToGrid w:val="0"/>
        <w:spacing w:before="120" w:beforeLines="50" w:line="360" w:lineRule="auto"/>
        <w:jc w:val="center"/>
        <w:rPr>
          <w:rFonts w:ascii="宋体" w:hAnsi="宋体" w:cs="宋体"/>
          <w:highlight w:val="none"/>
        </w:rPr>
      </w:pPr>
      <w:r>
        <w:rPr>
          <w:rStyle w:val="194"/>
          <w:rFonts w:ascii="宋体" w:hAnsi="宋体" w:eastAsia="宋体"/>
          <w:b/>
          <w:bCs/>
          <w:i w:val="0"/>
          <w:caps w:val="0"/>
          <w:spacing w:val="0"/>
          <w:w w:val="100"/>
          <w:kern w:val="2"/>
          <w:sz w:val="36"/>
          <w:szCs w:val="36"/>
          <w:highlight w:val="none"/>
          <w:lang w:val="en-US" w:eastAsia="zh-CN" w:bidi="ar-SA"/>
        </w:rPr>
        <w:t>二○二</w:t>
      </w:r>
      <w:r>
        <w:rPr>
          <w:rStyle w:val="194"/>
          <w:rFonts w:hint="eastAsia" w:ascii="宋体" w:hAnsi="宋体" w:eastAsia="宋体"/>
          <w:b/>
          <w:bCs/>
          <w:i w:val="0"/>
          <w:caps w:val="0"/>
          <w:spacing w:val="0"/>
          <w:w w:val="100"/>
          <w:kern w:val="2"/>
          <w:sz w:val="36"/>
          <w:szCs w:val="36"/>
          <w:highlight w:val="none"/>
          <w:lang w:val="en-US" w:eastAsia="zh-CN" w:bidi="ar-SA"/>
        </w:rPr>
        <w:t>三</w:t>
      </w:r>
      <w:r>
        <w:rPr>
          <w:rStyle w:val="194"/>
          <w:rFonts w:ascii="宋体" w:hAnsi="宋体" w:eastAsia="宋体"/>
          <w:b/>
          <w:bCs/>
          <w:i w:val="0"/>
          <w:caps w:val="0"/>
          <w:spacing w:val="0"/>
          <w:w w:val="100"/>
          <w:kern w:val="2"/>
          <w:sz w:val="36"/>
          <w:szCs w:val="36"/>
          <w:highlight w:val="none"/>
          <w:lang w:val="en-US" w:eastAsia="zh-CN" w:bidi="ar-SA"/>
        </w:rPr>
        <w:t>年</w:t>
      </w:r>
      <w:r>
        <w:rPr>
          <w:rFonts w:hint="eastAsia" w:ascii="宋体" w:hAnsi="宋体" w:cs="宋体"/>
          <w:highlight w:val="none"/>
        </w:rPr>
        <w:br w:type="page"/>
      </w:r>
    </w:p>
    <w:p>
      <w:pPr>
        <w:jc w:val="center"/>
        <w:rPr>
          <w:rFonts w:ascii="宋体" w:hAnsi="宋体" w:cs="宋体"/>
          <w:highlight w:val="none"/>
        </w:rPr>
      </w:pPr>
    </w:p>
    <w:p>
      <w:pPr>
        <w:jc w:val="center"/>
        <w:rPr>
          <w:rFonts w:ascii="宋体" w:hAnsi="宋体" w:cs="宋体"/>
          <w:b/>
          <w:sz w:val="52"/>
          <w:szCs w:val="52"/>
          <w:highlight w:val="none"/>
        </w:rPr>
      </w:pPr>
      <w:r>
        <w:rPr>
          <w:rFonts w:hint="eastAsia" w:ascii="宋体" w:hAnsi="宋体" w:cs="宋体"/>
          <w:b/>
          <w:sz w:val="52"/>
          <w:szCs w:val="52"/>
          <w:highlight w:val="none"/>
        </w:rPr>
        <w:t>目    录</w:t>
      </w:r>
    </w:p>
    <w:p>
      <w:pPr>
        <w:pStyle w:val="6"/>
        <w:spacing w:line="360" w:lineRule="auto"/>
        <w:rPr>
          <w:rFonts w:ascii="宋体" w:hAnsi="宋体" w:cs="宋体"/>
          <w:sz w:val="30"/>
          <w:szCs w:val="30"/>
          <w:highlight w:val="none"/>
        </w:rPr>
      </w:pPr>
    </w:p>
    <w:p>
      <w:pPr>
        <w:pStyle w:val="34"/>
        <w:tabs>
          <w:tab w:val="right" w:leader="dot" w:pos="8307"/>
        </w:tabs>
        <w:spacing w:line="600" w:lineRule="auto"/>
        <w:rPr>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TOC \o "1-3" \h \z \u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_Toc898 </w:instrText>
      </w:r>
      <w:r>
        <w:rPr>
          <w:rFonts w:hint="eastAsia" w:ascii="宋体" w:hAnsi="宋体" w:eastAsia="宋体" w:cs="宋体"/>
          <w:sz w:val="30"/>
          <w:szCs w:val="30"/>
          <w:highlight w:val="none"/>
        </w:rPr>
        <w:fldChar w:fldCharType="separate"/>
      </w:r>
      <w:r>
        <w:rPr>
          <w:rFonts w:hint="eastAsia" w:ascii="宋体" w:hAnsi="宋体" w:cs="宋体"/>
          <w:sz w:val="30"/>
          <w:szCs w:val="30"/>
          <w:highlight w:val="none"/>
        </w:rPr>
        <w:t>第一章  公开招标采购公告</w:t>
      </w:r>
      <w:r>
        <w:rPr>
          <w:sz w:val="30"/>
          <w:szCs w:val="30"/>
          <w:highlight w:val="none"/>
        </w:rPr>
        <w:tab/>
      </w:r>
      <w:r>
        <w:rPr>
          <w:sz w:val="30"/>
          <w:szCs w:val="30"/>
          <w:highlight w:val="none"/>
        </w:rPr>
        <w:fldChar w:fldCharType="begin"/>
      </w:r>
      <w:r>
        <w:rPr>
          <w:sz w:val="30"/>
          <w:szCs w:val="30"/>
          <w:highlight w:val="none"/>
        </w:rPr>
        <w:instrText xml:space="preserve"> PAGEREF _Toc898 \h </w:instrText>
      </w:r>
      <w:r>
        <w:rPr>
          <w:sz w:val="30"/>
          <w:szCs w:val="30"/>
          <w:highlight w:val="none"/>
        </w:rPr>
        <w:fldChar w:fldCharType="separate"/>
      </w:r>
      <w:r>
        <w:rPr>
          <w:sz w:val="30"/>
          <w:szCs w:val="30"/>
          <w:highlight w:val="none"/>
        </w:rPr>
        <w:t>1</w:t>
      </w:r>
      <w:r>
        <w:rPr>
          <w:sz w:val="30"/>
          <w:szCs w:val="30"/>
          <w:highlight w:val="none"/>
        </w:rPr>
        <w:fldChar w:fldCharType="end"/>
      </w:r>
      <w:r>
        <w:rPr>
          <w:rFonts w:hint="eastAsia" w:ascii="宋体" w:hAnsi="宋体" w:eastAsia="宋体" w:cs="宋体"/>
          <w:sz w:val="30"/>
          <w:szCs w:val="30"/>
          <w:highlight w:val="none"/>
        </w:rPr>
        <w:fldChar w:fldCharType="end"/>
      </w:r>
    </w:p>
    <w:p>
      <w:pPr>
        <w:pStyle w:val="34"/>
        <w:tabs>
          <w:tab w:val="right" w:leader="dot" w:pos="8307"/>
        </w:tabs>
        <w:spacing w:line="600" w:lineRule="auto"/>
        <w:rPr>
          <w:sz w:val="30"/>
          <w:szCs w:val="30"/>
          <w:highlight w:val="none"/>
        </w:rPr>
      </w:pPr>
      <w:r>
        <w:rPr>
          <w:rFonts w:hint="eastAsia" w:ascii="宋体" w:hAnsi="宋体" w:eastAsia="宋体" w:cs="宋体"/>
          <w:bCs/>
          <w:sz w:val="30"/>
          <w:szCs w:val="30"/>
          <w:highlight w:val="none"/>
          <w:lang w:val="zh-CN"/>
        </w:rPr>
        <w:fldChar w:fldCharType="begin"/>
      </w:r>
      <w:r>
        <w:rPr>
          <w:rFonts w:hint="eastAsia" w:ascii="宋体" w:hAnsi="宋体" w:eastAsia="宋体" w:cs="宋体"/>
          <w:bCs/>
          <w:sz w:val="30"/>
          <w:szCs w:val="30"/>
          <w:highlight w:val="none"/>
          <w:lang w:val="zh-CN"/>
        </w:rPr>
        <w:instrText xml:space="preserve"> HYPERLINK \l _Toc16085 </w:instrText>
      </w:r>
      <w:r>
        <w:rPr>
          <w:rFonts w:hint="eastAsia" w:ascii="宋体" w:hAnsi="宋体" w:eastAsia="宋体" w:cs="宋体"/>
          <w:bCs/>
          <w:sz w:val="30"/>
          <w:szCs w:val="30"/>
          <w:highlight w:val="none"/>
          <w:lang w:val="zh-CN"/>
        </w:rPr>
        <w:fldChar w:fldCharType="separate"/>
      </w:r>
      <w:r>
        <w:rPr>
          <w:rFonts w:hint="eastAsia" w:ascii="宋体" w:hAnsi="宋体" w:eastAsia="宋体" w:cs="宋体"/>
          <w:sz w:val="30"/>
          <w:szCs w:val="30"/>
          <w:highlight w:val="none"/>
        </w:rPr>
        <w:t>第二章  投标资料表</w:t>
      </w:r>
      <w:r>
        <w:rPr>
          <w:sz w:val="30"/>
          <w:szCs w:val="30"/>
          <w:highlight w:val="none"/>
        </w:rPr>
        <w:tab/>
      </w:r>
      <w:r>
        <w:rPr>
          <w:sz w:val="30"/>
          <w:szCs w:val="30"/>
          <w:highlight w:val="none"/>
        </w:rPr>
        <w:fldChar w:fldCharType="begin"/>
      </w:r>
      <w:r>
        <w:rPr>
          <w:sz w:val="30"/>
          <w:szCs w:val="30"/>
          <w:highlight w:val="none"/>
        </w:rPr>
        <w:instrText xml:space="preserve"> PAGEREF _Toc16085 \h </w:instrText>
      </w:r>
      <w:r>
        <w:rPr>
          <w:sz w:val="30"/>
          <w:szCs w:val="30"/>
          <w:highlight w:val="none"/>
        </w:rPr>
        <w:fldChar w:fldCharType="separate"/>
      </w:r>
      <w:r>
        <w:rPr>
          <w:sz w:val="30"/>
          <w:szCs w:val="30"/>
          <w:highlight w:val="none"/>
        </w:rPr>
        <w:t>5</w:t>
      </w:r>
      <w:r>
        <w:rPr>
          <w:sz w:val="30"/>
          <w:szCs w:val="30"/>
          <w:highlight w:val="none"/>
        </w:rPr>
        <w:fldChar w:fldCharType="end"/>
      </w:r>
      <w:r>
        <w:rPr>
          <w:rFonts w:hint="eastAsia" w:ascii="宋体" w:hAnsi="宋体" w:eastAsia="宋体" w:cs="宋体"/>
          <w:bCs/>
          <w:sz w:val="30"/>
          <w:szCs w:val="30"/>
          <w:highlight w:val="none"/>
          <w:lang w:val="zh-CN"/>
        </w:rPr>
        <w:fldChar w:fldCharType="end"/>
      </w:r>
    </w:p>
    <w:p>
      <w:pPr>
        <w:pStyle w:val="34"/>
        <w:tabs>
          <w:tab w:val="right" w:leader="dot" w:pos="8307"/>
        </w:tabs>
        <w:spacing w:line="600" w:lineRule="auto"/>
        <w:rPr>
          <w:sz w:val="30"/>
          <w:szCs w:val="30"/>
          <w:highlight w:val="none"/>
        </w:rPr>
      </w:pPr>
      <w:r>
        <w:rPr>
          <w:rFonts w:hint="eastAsia" w:ascii="宋体" w:hAnsi="宋体" w:eastAsia="宋体" w:cs="宋体"/>
          <w:bCs/>
          <w:sz w:val="30"/>
          <w:szCs w:val="30"/>
          <w:highlight w:val="none"/>
          <w:lang w:val="zh-CN"/>
        </w:rPr>
        <w:fldChar w:fldCharType="begin"/>
      </w:r>
      <w:r>
        <w:rPr>
          <w:rFonts w:hint="eastAsia" w:ascii="宋体" w:hAnsi="宋体" w:eastAsia="宋体" w:cs="宋体"/>
          <w:bCs/>
          <w:sz w:val="30"/>
          <w:szCs w:val="30"/>
          <w:highlight w:val="none"/>
          <w:lang w:val="zh-CN"/>
        </w:rPr>
        <w:instrText xml:space="preserve"> HYPERLINK \l _Toc4165 </w:instrText>
      </w:r>
      <w:r>
        <w:rPr>
          <w:rFonts w:hint="eastAsia" w:ascii="宋体" w:hAnsi="宋体" w:eastAsia="宋体" w:cs="宋体"/>
          <w:bCs/>
          <w:sz w:val="30"/>
          <w:szCs w:val="30"/>
          <w:highlight w:val="none"/>
          <w:lang w:val="zh-CN"/>
        </w:rPr>
        <w:fldChar w:fldCharType="separate"/>
      </w:r>
      <w:r>
        <w:rPr>
          <w:rFonts w:hint="eastAsia" w:ascii="宋体" w:hAnsi="宋体" w:eastAsia="宋体" w:cs="宋体"/>
          <w:sz w:val="30"/>
          <w:szCs w:val="30"/>
          <w:highlight w:val="none"/>
        </w:rPr>
        <w:t>第三章  供应商须知</w:t>
      </w:r>
      <w:r>
        <w:rPr>
          <w:sz w:val="30"/>
          <w:szCs w:val="30"/>
          <w:highlight w:val="none"/>
        </w:rPr>
        <w:tab/>
      </w:r>
      <w:r>
        <w:rPr>
          <w:sz w:val="30"/>
          <w:szCs w:val="30"/>
          <w:highlight w:val="none"/>
        </w:rPr>
        <w:fldChar w:fldCharType="begin"/>
      </w:r>
      <w:r>
        <w:rPr>
          <w:sz w:val="30"/>
          <w:szCs w:val="30"/>
          <w:highlight w:val="none"/>
        </w:rPr>
        <w:instrText xml:space="preserve"> PAGEREF _Toc4165 \h </w:instrText>
      </w:r>
      <w:r>
        <w:rPr>
          <w:sz w:val="30"/>
          <w:szCs w:val="30"/>
          <w:highlight w:val="none"/>
        </w:rPr>
        <w:fldChar w:fldCharType="separate"/>
      </w:r>
      <w:r>
        <w:rPr>
          <w:sz w:val="30"/>
          <w:szCs w:val="30"/>
          <w:highlight w:val="none"/>
        </w:rPr>
        <w:t>7</w:t>
      </w:r>
      <w:r>
        <w:rPr>
          <w:sz w:val="30"/>
          <w:szCs w:val="30"/>
          <w:highlight w:val="none"/>
        </w:rPr>
        <w:fldChar w:fldCharType="end"/>
      </w:r>
      <w:r>
        <w:rPr>
          <w:rFonts w:hint="eastAsia" w:ascii="宋体" w:hAnsi="宋体" w:eastAsia="宋体" w:cs="宋体"/>
          <w:bCs/>
          <w:sz w:val="30"/>
          <w:szCs w:val="30"/>
          <w:highlight w:val="none"/>
          <w:lang w:val="zh-CN"/>
        </w:rPr>
        <w:fldChar w:fldCharType="end"/>
      </w:r>
    </w:p>
    <w:p>
      <w:pPr>
        <w:pStyle w:val="34"/>
        <w:tabs>
          <w:tab w:val="right" w:leader="dot" w:pos="8307"/>
        </w:tabs>
        <w:spacing w:line="600" w:lineRule="auto"/>
        <w:rPr>
          <w:sz w:val="30"/>
          <w:szCs w:val="30"/>
          <w:highlight w:val="none"/>
        </w:rPr>
      </w:pPr>
      <w:r>
        <w:rPr>
          <w:rFonts w:hint="eastAsia" w:ascii="宋体" w:hAnsi="宋体" w:eastAsia="宋体" w:cs="宋体"/>
          <w:bCs/>
          <w:sz w:val="30"/>
          <w:szCs w:val="30"/>
          <w:highlight w:val="none"/>
          <w:lang w:val="zh-CN"/>
        </w:rPr>
        <w:fldChar w:fldCharType="begin"/>
      </w:r>
      <w:r>
        <w:rPr>
          <w:rFonts w:hint="eastAsia" w:ascii="宋体" w:hAnsi="宋体" w:eastAsia="宋体" w:cs="宋体"/>
          <w:bCs/>
          <w:sz w:val="30"/>
          <w:szCs w:val="30"/>
          <w:highlight w:val="none"/>
          <w:lang w:val="zh-CN"/>
        </w:rPr>
        <w:instrText xml:space="preserve"> HYPERLINK \l _Toc23761 </w:instrText>
      </w:r>
      <w:r>
        <w:rPr>
          <w:rFonts w:hint="eastAsia" w:ascii="宋体" w:hAnsi="宋体" w:eastAsia="宋体" w:cs="宋体"/>
          <w:bCs/>
          <w:sz w:val="30"/>
          <w:szCs w:val="30"/>
          <w:highlight w:val="none"/>
          <w:lang w:val="zh-CN"/>
        </w:rPr>
        <w:fldChar w:fldCharType="separate"/>
      </w:r>
      <w:r>
        <w:rPr>
          <w:rFonts w:hint="eastAsia" w:ascii="宋体" w:hAnsi="宋体" w:cs="宋体"/>
          <w:sz w:val="30"/>
          <w:szCs w:val="30"/>
          <w:highlight w:val="none"/>
        </w:rPr>
        <w:t xml:space="preserve">第四章 </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rPr>
        <w:t>采购需求</w:t>
      </w:r>
      <w:r>
        <w:rPr>
          <w:sz w:val="30"/>
          <w:szCs w:val="30"/>
          <w:highlight w:val="none"/>
        </w:rPr>
        <w:tab/>
      </w:r>
      <w:r>
        <w:rPr>
          <w:sz w:val="30"/>
          <w:szCs w:val="30"/>
          <w:highlight w:val="none"/>
        </w:rPr>
        <w:fldChar w:fldCharType="begin"/>
      </w:r>
      <w:r>
        <w:rPr>
          <w:sz w:val="30"/>
          <w:szCs w:val="30"/>
          <w:highlight w:val="none"/>
        </w:rPr>
        <w:instrText xml:space="preserve"> PAGEREF _Toc23761 \h </w:instrText>
      </w:r>
      <w:r>
        <w:rPr>
          <w:sz w:val="30"/>
          <w:szCs w:val="30"/>
          <w:highlight w:val="none"/>
        </w:rPr>
        <w:fldChar w:fldCharType="separate"/>
      </w:r>
      <w:r>
        <w:rPr>
          <w:sz w:val="30"/>
          <w:szCs w:val="30"/>
          <w:highlight w:val="none"/>
        </w:rPr>
        <w:t>16</w:t>
      </w:r>
      <w:r>
        <w:rPr>
          <w:sz w:val="30"/>
          <w:szCs w:val="30"/>
          <w:highlight w:val="none"/>
        </w:rPr>
        <w:fldChar w:fldCharType="end"/>
      </w:r>
      <w:r>
        <w:rPr>
          <w:rFonts w:hint="eastAsia" w:ascii="宋体" w:hAnsi="宋体" w:eastAsia="宋体" w:cs="宋体"/>
          <w:bCs/>
          <w:sz w:val="30"/>
          <w:szCs w:val="30"/>
          <w:highlight w:val="none"/>
          <w:lang w:val="zh-CN"/>
        </w:rPr>
        <w:fldChar w:fldCharType="end"/>
      </w:r>
    </w:p>
    <w:p>
      <w:pPr>
        <w:pStyle w:val="34"/>
        <w:tabs>
          <w:tab w:val="right" w:leader="dot" w:pos="8307"/>
        </w:tabs>
        <w:spacing w:line="600" w:lineRule="auto"/>
        <w:rPr>
          <w:sz w:val="30"/>
          <w:szCs w:val="30"/>
          <w:highlight w:val="none"/>
        </w:rPr>
      </w:pPr>
      <w:r>
        <w:rPr>
          <w:rFonts w:hint="eastAsia" w:ascii="宋体" w:hAnsi="宋体" w:eastAsia="宋体" w:cs="宋体"/>
          <w:bCs/>
          <w:sz w:val="30"/>
          <w:szCs w:val="30"/>
          <w:highlight w:val="none"/>
          <w:lang w:val="zh-CN"/>
        </w:rPr>
        <w:fldChar w:fldCharType="begin"/>
      </w:r>
      <w:r>
        <w:rPr>
          <w:rFonts w:hint="eastAsia" w:ascii="宋体" w:hAnsi="宋体" w:eastAsia="宋体" w:cs="宋体"/>
          <w:bCs/>
          <w:sz w:val="30"/>
          <w:szCs w:val="30"/>
          <w:highlight w:val="none"/>
          <w:lang w:val="zh-CN"/>
        </w:rPr>
        <w:instrText xml:space="preserve"> HYPERLINK \l _Toc4253 </w:instrText>
      </w:r>
      <w:r>
        <w:rPr>
          <w:rFonts w:hint="eastAsia" w:ascii="宋体" w:hAnsi="宋体" w:eastAsia="宋体" w:cs="宋体"/>
          <w:bCs/>
          <w:sz w:val="30"/>
          <w:szCs w:val="30"/>
          <w:highlight w:val="none"/>
          <w:lang w:val="zh-CN"/>
        </w:rPr>
        <w:fldChar w:fldCharType="separate"/>
      </w:r>
      <w:r>
        <w:rPr>
          <w:rFonts w:hint="eastAsia" w:ascii="宋体" w:hAnsi="宋体" w:eastAsia="宋体" w:cs="宋体"/>
          <w:sz w:val="30"/>
          <w:szCs w:val="30"/>
          <w:highlight w:val="none"/>
          <w:lang w:val="en-US" w:eastAsia="zh-CN"/>
        </w:rPr>
        <w:t>第五章  评标办法及评分标准</w:t>
      </w:r>
      <w:r>
        <w:rPr>
          <w:sz w:val="30"/>
          <w:szCs w:val="30"/>
          <w:highlight w:val="none"/>
        </w:rPr>
        <w:tab/>
      </w:r>
      <w:r>
        <w:rPr>
          <w:sz w:val="30"/>
          <w:szCs w:val="30"/>
          <w:highlight w:val="none"/>
        </w:rPr>
        <w:fldChar w:fldCharType="begin"/>
      </w:r>
      <w:r>
        <w:rPr>
          <w:sz w:val="30"/>
          <w:szCs w:val="30"/>
          <w:highlight w:val="none"/>
        </w:rPr>
        <w:instrText xml:space="preserve"> PAGEREF _Toc4253 \h </w:instrText>
      </w:r>
      <w:r>
        <w:rPr>
          <w:sz w:val="30"/>
          <w:szCs w:val="30"/>
          <w:highlight w:val="none"/>
        </w:rPr>
        <w:fldChar w:fldCharType="separate"/>
      </w:r>
      <w:r>
        <w:rPr>
          <w:sz w:val="30"/>
          <w:szCs w:val="30"/>
          <w:highlight w:val="none"/>
        </w:rPr>
        <w:t>20</w:t>
      </w:r>
      <w:r>
        <w:rPr>
          <w:sz w:val="30"/>
          <w:szCs w:val="30"/>
          <w:highlight w:val="none"/>
        </w:rPr>
        <w:fldChar w:fldCharType="end"/>
      </w:r>
      <w:r>
        <w:rPr>
          <w:rFonts w:hint="eastAsia" w:ascii="宋体" w:hAnsi="宋体" w:eastAsia="宋体" w:cs="宋体"/>
          <w:bCs/>
          <w:sz w:val="30"/>
          <w:szCs w:val="30"/>
          <w:highlight w:val="none"/>
          <w:lang w:val="zh-CN"/>
        </w:rPr>
        <w:fldChar w:fldCharType="end"/>
      </w:r>
    </w:p>
    <w:p>
      <w:pPr>
        <w:pStyle w:val="34"/>
        <w:tabs>
          <w:tab w:val="right" w:leader="dot" w:pos="8307"/>
        </w:tabs>
        <w:spacing w:line="600" w:lineRule="auto"/>
        <w:rPr>
          <w:sz w:val="30"/>
          <w:szCs w:val="30"/>
          <w:highlight w:val="none"/>
        </w:rPr>
      </w:pPr>
      <w:r>
        <w:rPr>
          <w:rFonts w:hint="eastAsia" w:ascii="宋体" w:hAnsi="宋体" w:eastAsia="宋体" w:cs="宋体"/>
          <w:bCs/>
          <w:sz w:val="30"/>
          <w:szCs w:val="30"/>
          <w:highlight w:val="none"/>
          <w:lang w:val="zh-CN"/>
        </w:rPr>
        <w:fldChar w:fldCharType="begin"/>
      </w:r>
      <w:r>
        <w:rPr>
          <w:rFonts w:hint="eastAsia" w:ascii="宋体" w:hAnsi="宋体" w:eastAsia="宋体" w:cs="宋体"/>
          <w:bCs/>
          <w:sz w:val="30"/>
          <w:szCs w:val="30"/>
          <w:highlight w:val="none"/>
          <w:lang w:val="zh-CN"/>
        </w:rPr>
        <w:instrText xml:space="preserve"> HYPERLINK \l _Toc11540 </w:instrText>
      </w:r>
      <w:r>
        <w:rPr>
          <w:rFonts w:hint="eastAsia" w:ascii="宋体" w:hAnsi="宋体" w:eastAsia="宋体" w:cs="宋体"/>
          <w:bCs/>
          <w:sz w:val="30"/>
          <w:szCs w:val="30"/>
          <w:highlight w:val="none"/>
          <w:lang w:val="zh-CN"/>
        </w:rPr>
        <w:fldChar w:fldCharType="separate"/>
      </w:r>
      <w:r>
        <w:rPr>
          <w:rFonts w:hint="eastAsia" w:ascii="宋体" w:hAnsi="宋体" w:eastAsia="宋体" w:cs="宋体"/>
          <w:sz w:val="30"/>
          <w:szCs w:val="30"/>
          <w:highlight w:val="none"/>
          <w:lang w:val="en-US" w:eastAsia="zh-CN"/>
        </w:rPr>
        <w:t>第六章  政府采购合同主要条款</w:t>
      </w:r>
      <w:r>
        <w:rPr>
          <w:sz w:val="30"/>
          <w:szCs w:val="30"/>
          <w:highlight w:val="none"/>
        </w:rPr>
        <w:tab/>
      </w:r>
      <w:r>
        <w:rPr>
          <w:sz w:val="30"/>
          <w:szCs w:val="30"/>
          <w:highlight w:val="none"/>
        </w:rPr>
        <w:fldChar w:fldCharType="begin"/>
      </w:r>
      <w:r>
        <w:rPr>
          <w:sz w:val="30"/>
          <w:szCs w:val="30"/>
          <w:highlight w:val="none"/>
        </w:rPr>
        <w:instrText xml:space="preserve"> PAGEREF _Toc11540 \h </w:instrText>
      </w:r>
      <w:r>
        <w:rPr>
          <w:sz w:val="30"/>
          <w:szCs w:val="30"/>
          <w:highlight w:val="none"/>
        </w:rPr>
        <w:fldChar w:fldCharType="separate"/>
      </w:r>
      <w:r>
        <w:rPr>
          <w:sz w:val="30"/>
          <w:szCs w:val="30"/>
          <w:highlight w:val="none"/>
        </w:rPr>
        <w:t>27</w:t>
      </w:r>
      <w:r>
        <w:rPr>
          <w:sz w:val="30"/>
          <w:szCs w:val="30"/>
          <w:highlight w:val="none"/>
        </w:rPr>
        <w:fldChar w:fldCharType="end"/>
      </w:r>
      <w:r>
        <w:rPr>
          <w:rFonts w:hint="eastAsia" w:ascii="宋体" w:hAnsi="宋体" w:eastAsia="宋体" w:cs="宋体"/>
          <w:bCs/>
          <w:sz w:val="30"/>
          <w:szCs w:val="30"/>
          <w:highlight w:val="none"/>
          <w:lang w:val="zh-CN"/>
        </w:rPr>
        <w:fldChar w:fldCharType="end"/>
      </w:r>
    </w:p>
    <w:p>
      <w:pPr>
        <w:pStyle w:val="34"/>
        <w:tabs>
          <w:tab w:val="right" w:leader="dot" w:pos="8307"/>
        </w:tabs>
        <w:spacing w:line="600" w:lineRule="auto"/>
        <w:rPr>
          <w:sz w:val="30"/>
          <w:szCs w:val="30"/>
          <w:highlight w:val="none"/>
        </w:rPr>
      </w:pPr>
      <w:r>
        <w:rPr>
          <w:rFonts w:hint="eastAsia" w:ascii="宋体" w:hAnsi="宋体" w:eastAsia="宋体" w:cs="宋体"/>
          <w:bCs/>
          <w:sz w:val="30"/>
          <w:szCs w:val="30"/>
          <w:highlight w:val="none"/>
          <w:lang w:val="zh-CN"/>
        </w:rPr>
        <w:fldChar w:fldCharType="begin"/>
      </w:r>
      <w:r>
        <w:rPr>
          <w:rFonts w:hint="eastAsia" w:ascii="宋体" w:hAnsi="宋体" w:eastAsia="宋体" w:cs="宋体"/>
          <w:bCs/>
          <w:sz w:val="30"/>
          <w:szCs w:val="30"/>
          <w:highlight w:val="none"/>
          <w:lang w:val="zh-CN"/>
        </w:rPr>
        <w:instrText xml:space="preserve"> HYPERLINK \l _Toc1544 </w:instrText>
      </w:r>
      <w:r>
        <w:rPr>
          <w:rFonts w:hint="eastAsia" w:ascii="宋体" w:hAnsi="宋体" w:eastAsia="宋体" w:cs="宋体"/>
          <w:bCs/>
          <w:sz w:val="30"/>
          <w:szCs w:val="30"/>
          <w:highlight w:val="none"/>
          <w:lang w:val="zh-CN"/>
        </w:rPr>
        <w:fldChar w:fldCharType="separate"/>
      </w:r>
      <w:r>
        <w:rPr>
          <w:rFonts w:hint="eastAsia" w:ascii="宋体" w:hAnsi="宋体" w:cs="宋体"/>
          <w:sz w:val="30"/>
          <w:szCs w:val="30"/>
          <w:highlight w:val="none"/>
        </w:rPr>
        <w:t>第</w:t>
      </w:r>
      <w:r>
        <w:rPr>
          <w:rFonts w:hint="eastAsia" w:ascii="宋体" w:hAnsi="宋体" w:cs="宋体"/>
          <w:sz w:val="30"/>
          <w:szCs w:val="30"/>
          <w:highlight w:val="none"/>
          <w:lang w:val="en-US" w:eastAsia="zh-CN"/>
        </w:rPr>
        <w:t>七</w:t>
      </w:r>
      <w:r>
        <w:rPr>
          <w:rFonts w:hint="eastAsia" w:ascii="宋体" w:hAnsi="宋体" w:cs="宋体"/>
          <w:sz w:val="30"/>
          <w:szCs w:val="30"/>
          <w:highlight w:val="none"/>
        </w:rPr>
        <w:t>章　</w:t>
      </w:r>
      <w:r>
        <w:rPr>
          <w:rFonts w:hint="eastAsia" w:ascii="宋体" w:hAnsi="宋体" w:cs="宋体"/>
          <w:sz w:val="30"/>
          <w:szCs w:val="30"/>
          <w:highlight w:val="none"/>
          <w:lang w:eastAsia="zh-CN"/>
        </w:rPr>
        <w:t>投标文件</w:t>
      </w:r>
      <w:r>
        <w:rPr>
          <w:rFonts w:hint="eastAsia" w:ascii="宋体" w:hAnsi="宋体" w:cs="宋体"/>
          <w:sz w:val="30"/>
          <w:szCs w:val="30"/>
          <w:highlight w:val="none"/>
        </w:rPr>
        <w:t>格式</w:t>
      </w:r>
      <w:r>
        <w:rPr>
          <w:sz w:val="30"/>
          <w:szCs w:val="30"/>
          <w:highlight w:val="none"/>
        </w:rPr>
        <w:tab/>
      </w:r>
      <w:r>
        <w:rPr>
          <w:sz w:val="30"/>
          <w:szCs w:val="30"/>
          <w:highlight w:val="none"/>
        </w:rPr>
        <w:fldChar w:fldCharType="begin"/>
      </w:r>
      <w:r>
        <w:rPr>
          <w:sz w:val="30"/>
          <w:szCs w:val="30"/>
          <w:highlight w:val="none"/>
        </w:rPr>
        <w:instrText xml:space="preserve"> PAGEREF _Toc1544 \h </w:instrText>
      </w:r>
      <w:r>
        <w:rPr>
          <w:sz w:val="30"/>
          <w:szCs w:val="30"/>
          <w:highlight w:val="none"/>
        </w:rPr>
        <w:fldChar w:fldCharType="separate"/>
      </w:r>
      <w:r>
        <w:rPr>
          <w:sz w:val="30"/>
          <w:szCs w:val="30"/>
          <w:highlight w:val="none"/>
        </w:rPr>
        <w:t>31</w:t>
      </w:r>
      <w:r>
        <w:rPr>
          <w:sz w:val="30"/>
          <w:szCs w:val="30"/>
          <w:highlight w:val="none"/>
        </w:rPr>
        <w:fldChar w:fldCharType="end"/>
      </w:r>
      <w:r>
        <w:rPr>
          <w:rFonts w:hint="eastAsia" w:ascii="宋体" w:hAnsi="宋体" w:eastAsia="宋体" w:cs="宋体"/>
          <w:bCs/>
          <w:sz w:val="30"/>
          <w:szCs w:val="30"/>
          <w:highlight w:val="none"/>
          <w:lang w:val="zh-CN"/>
        </w:rPr>
        <w:fldChar w:fldCharType="end"/>
      </w:r>
    </w:p>
    <w:p>
      <w:pPr>
        <w:pStyle w:val="25"/>
        <w:tabs>
          <w:tab w:val="right" w:leader="dot" w:pos="8307"/>
        </w:tabs>
        <w:spacing w:line="600" w:lineRule="auto"/>
        <w:rPr>
          <w:sz w:val="30"/>
          <w:szCs w:val="30"/>
          <w:highlight w:val="none"/>
        </w:rPr>
      </w:pPr>
    </w:p>
    <w:p>
      <w:pPr>
        <w:spacing w:line="600" w:lineRule="auto"/>
        <w:rPr>
          <w:rFonts w:hint="eastAsia" w:ascii="宋体" w:hAnsi="宋体" w:eastAsia="宋体" w:cs="宋体"/>
          <w:sz w:val="30"/>
          <w:szCs w:val="30"/>
          <w:highlight w:val="none"/>
        </w:rPr>
      </w:pPr>
      <w:r>
        <w:rPr>
          <w:rFonts w:hint="eastAsia" w:ascii="宋体" w:hAnsi="宋体" w:eastAsia="宋体" w:cs="宋体"/>
          <w:bCs/>
          <w:sz w:val="30"/>
          <w:szCs w:val="30"/>
          <w:highlight w:val="none"/>
          <w:lang w:val="zh-CN"/>
        </w:rPr>
        <w:fldChar w:fldCharType="end"/>
      </w:r>
    </w:p>
    <w:p>
      <w:pPr>
        <w:pStyle w:val="47"/>
        <w:spacing w:line="720" w:lineRule="auto"/>
        <w:rPr>
          <w:rFonts w:ascii="宋体" w:hAnsi="宋体" w:cs="宋体"/>
          <w:highlight w:val="none"/>
        </w:rPr>
      </w:pPr>
    </w:p>
    <w:p>
      <w:pPr>
        <w:spacing w:line="480" w:lineRule="auto"/>
        <w:rPr>
          <w:rFonts w:ascii="宋体" w:hAnsi="宋体" w:cs="宋体"/>
          <w:highlight w:val="none"/>
        </w:rPr>
      </w:pPr>
    </w:p>
    <w:p>
      <w:pPr>
        <w:pStyle w:val="34"/>
        <w:tabs>
          <w:tab w:val="right" w:leader="dot" w:pos="8721"/>
        </w:tabs>
        <w:spacing w:line="360" w:lineRule="auto"/>
        <w:rPr>
          <w:rFonts w:ascii="宋体" w:hAnsi="宋体" w:cs="宋体"/>
          <w:b/>
          <w:sz w:val="30"/>
          <w:szCs w:val="30"/>
          <w:highlight w:val="none"/>
        </w:rPr>
      </w:pPr>
      <w:r>
        <w:rPr>
          <w:rFonts w:hint="eastAsia" w:ascii="宋体" w:hAnsi="宋体" w:cs="宋体"/>
          <w:b/>
          <w:sz w:val="30"/>
          <w:szCs w:val="30"/>
          <w:highlight w:val="none"/>
        </w:rPr>
        <w:fldChar w:fldCharType="begin"/>
      </w:r>
      <w:r>
        <w:rPr>
          <w:rFonts w:hint="eastAsia" w:ascii="宋体" w:hAnsi="宋体" w:cs="宋体"/>
          <w:b/>
          <w:sz w:val="30"/>
          <w:szCs w:val="30"/>
          <w:highlight w:val="none"/>
        </w:rPr>
        <w:instrText xml:space="preserve"> TOC \o "1-3" \h \z \u </w:instrText>
      </w:r>
      <w:r>
        <w:rPr>
          <w:rFonts w:hint="eastAsia" w:ascii="宋体" w:hAnsi="宋体" w:cs="宋体"/>
          <w:b/>
          <w:sz w:val="30"/>
          <w:szCs w:val="30"/>
          <w:highlight w:val="none"/>
        </w:rPr>
        <w:fldChar w:fldCharType="separate"/>
      </w:r>
    </w:p>
    <w:p>
      <w:pPr>
        <w:pStyle w:val="26"/>
        <w:spacing w:before="120" w:beforeLines="0" w:after="120" w:afterLines="0" w:line="360" w:lineRule="auto"/>
        <w:jc w:val="center"/>
        <w:rPr>
          <w:rFonts w:hAnsi="宋体" w:cs="宋体"/>
          <w:b/>
          <w:sz w:val="30"/>
          <w:szCs w:val="30"/>
          <w:highlight w:val="none"/>
        </w:rPr>
      </w:pPr>
      <w:r>
        <w:rPr>
          <w:rFonts w:hint="eastAsia" w:hAnsi="宋体" w:cs="宋体"/>
          <w:b/>
          <w:sz w:val="30"/>
          <w:szCs w:val="30"/>
          <w:highlight w:val="none"/>
        </w:rPr>
        <w:fldChar w:fldCharType="end"/>
      </w:r>
    </w:p>
    <w:p>
      <w:pPr>
        <w:pStyle w:val="26"/>
        <w:spacing w:before="120" w:beforeLines="0" w:after="120" w:afterLines="0" w:line="360" w:lineRule="auto"/>
        <w:jc w:val="center"/>
        <w:rPr>
          <w:rFonts w:hAnsi="宋体" w:cs="宋体"/>
          <w:b/>
          <w:sz w:val="30"/>
          <w:szCs w:val="30"/>
          <w:highlight w:val="none"/>
        </w:rPr>
      </w:pPr>
    </w:p>
    <w:p>
      <w:pPr>
        <w:pStyle w:val="26"/>
        <w:spacing w:before="120" w:beforeLines="0" w:after="120" w:afterLines="0" w:line="360" w:lineRule="auto"/>
        <w:jc w:val="center"/>
        <w:rPr>
          <w:rFonts w:hAnsi="宋体" w:cs="宋体"/>
          <w:b/>
          <w:sz w:val="30"/>
          <w:szCs w:val="30"/>
          <w:highlight w:val="none"/>
        </w:rPr>
      </w:pPr>
    </w:p>
    <w:p>
      <w:pPr>
        <w:pStyle w:val="26"/>
        <w:spacing w:before="120" w:beforeLines="0" w:after="120" w:afterLines="0" w:line="360" w:lineRule="auto"/>
        <w:jc w:val="center"/>
        <w:rPr>
          <w:rFonts w:hAnsi="宋体" w:cs="宋体"/>
          <w:b/>
          <w:sz w:val="30"/>
          <w:szCs w:val="30"/>
          <w:highlight w:val="none"/>
        </w:rPr>
      </w:pPr>
    </w:p>
    <w:p>
      <w:pPr>
        <w:pStyle w:val="45"/>
        <w:rPr>
          <w:rFonts w:hint="eastAsia" w:ascii="宋体" w:hAnsi="宋体" w:cs="宋体"/>
          <w:highlight w:val="none"/>
        </w:rPr>
        <w:sectPr>
          <w:headerReference r:id="rId3" w:type="default"/>
          <w:pgSz w:w="11907" w:h="16840"/>
          <w:pgMar w:top="1440" w:right="1800" w:bottom="1440" w:left="1800" w:header="720" w:footer="720" w:gutter="0"/>
          <w:cols w:space="720" w:num="1"/>
          <w:docGrid w:type="lines" w:linePitch="286" w:charSpace="0"/>
        </w:sectPr>
      </w:pPr>
    </w:p>
    <w:p>
      <w:pPr>
        <w:pStyle w:val="45"/>
        <w:rPr>
          <w:rFonts w:ascii="宋体" w:hAnsi="宋体" w:cs="宋体"/>
          <w:highlight w:val="none"/>
        </w:rPr>
      </w:pPr>
      <w:bookmarkStart w:id="0" w:name="_Toc898"/>
      <w:r>
        <w:rPr>
          <w:rFonts w:hint="eastAsia" w:ascii="宋体" w:hAnsi="宋体" w:cs="宋体"/>
          <w:highlight w:val="none"/>
        </w:rPr>
        <w:t>第一章  公开招标采购公告</w:t>
      </w:r>
      <w:bookmarkEnd w:id="0"/>
    </w:p>
    <w:p>
      <w:pPr>
        <w:pStyle w:val="7"/>
        <w:keepNext w:val="0"/>
        <w:keepLines w:val="0"/>
        <w:widowControl/>
        <w:spacing w:before="0" w:after="0" w:line="360" w:lineRule="auto"/>
        <w:jc w:val="left"/>
        <w:textAlignment w:val="baseline"/>
        <w:rPr>
          <w:rFonts w:ascii="宋体" w:hAnsi="宋体" w:cs="宋体"/>
          <w:sz w:val="21"/>
          <w:szCs w:val="21"/>
          <w:highlight w:val="none"/>
        </w:rPr>
      </w:pPr>
      <w:bookmarkStart w:id="1" w:name="_Toc98160126"/>
    </w:p>
    <w:p>
      <w:pPr>
        <w:pStyle w:val="7"/>
        <w:keepNext w:val="0"/>
        <w:keepLines w:val="0"/>
        <w:pageBreakBefore w:val="0"/>
        <w:widowControl/>
        <w:kinsoku/>
        <w:wordWrap/>
        <w:overflowPunct/>
        <w:topLinePunct w:val="0"/>
        <w:autoSpaceDE/>
        <w:autoSpaceDN/>
        <w:bidi w:val="0"/>
        <w:adjustRightInd/>
        <w:snapToGrid/>
        <w:spacing w:before="0" w:after="0" w:line="360" w:lineRule="auto"/>
        <w:jc w:val="left"/>
        <w:textAlignment w:val="baseline"/>
        <w:rPr>
          <w:rFonts w:ascii="宋体" w:hAnsi="宋体" w:cs="宋体"/>
          <w:sz w:val="21"/>
          <w:szCs w:val="21"/>
          <w:highlight w:val="none"/>
        </w:rPr>
      </w:pPr>
      <w:bookmarkStart w:id="2" w:name="_Toc10986"/>
      <w:bookmarkStart w:id="3" w:name="_Toc1616"/>
      <w:bookmarkStart w:id="4" w:name="_Toc26717"/>
      <w:r>
        <w:rPr>
          <w:rFonts w:hint="eastAsia" w:ascii="宋体" w:hAnsi="宋体" w:cs="宋体"/>
          <w:sz w:val="21"/>
          <w:szCs w:val="21"/>
          <w:highlight w:val="none"/>
        </w:rPr>
        <w:t>项目概况</w:t>
      </w:r>
      <w:bookmarkEnd w:id="1"/>
      <w:bookmarkEnd w:id="2"/>
      <w:bookmarkEnd w:id="3"/>
      <w:bookmarkEnd w:id="4"/>
    </w:p>
    <w:p>
      <w:pPr>
        <w:keepNext w:val="0"/>
        <w:keepLines w:val="0"/>
        <w:pageBreakBefore w:val="0"/>
        <w:pBdr>
          <w:top w:val="single" w:color="auto" w:sz="4" w:space="1"/>
          <w:left w:val="single" w:color="auto" w:sz="4" w:space="4"/>
          <w:bottom w:val="single" w:color="auto" w:sz="4" w:space="0"/>
          <w:right w:val="single" w:color="auto" w:sz="4" w:space="4"/>
        </w:pBdr>
        <w:kinsoku/>
        <w:wordWrap/>
        <w:overflowPunct/>
        <w:topLinePunct w:val="0"/>
        <w:autoSpaceDE/>
        <w:autoSpaceDN/>
        <w:bidi w:val="0"/>
        <w:adjustRightInd/>
        <w:snapToGrid/>
        <w:spacing w:line="360" w:lineRule="auto"/>
        <w:ind w:firstLine="420" w:firstLineChars="200"/>
        <w:contextualSpacing/>
        <w:jc w:val="left"/>
        <w:rPr>
          <w:rFonts w:ascii="宋体" w:hAnsi="宋体" w:cs="宋体"/>
          <w:highlight w:val="none"/>
        </w:rPr>
      </w:pPr>
      <w:r>
        <w:rPr>
          <w:rFonts w:hint="eastAsia" w:ascii="宋体" w:hAnsi="宋体" w:cs="宋体"/>
          <w:highlight w:val="none"/>
          <w:u w:val="single"/>
          <w:shd w:val="clear" w:color="auto" w:fill="FFFFFF"/>
          <w:lang w:eastAsia="zh-CN"/>
        </w:rPr>
        <w:t>聚贤街道2023年度职工疗休养项目</w:t>
      </w:r>
      <w:r>
        <w:rPr>
          <w:rFonts w:hint="eastAsia" w:ascii="宋体" w:hAnsi="宋体" w:cs="宋体"/>
          <w:highlight w:val="none"/>
          <w:shd w:val="clear" w:color="auto" w:fill="FFFFFF"/>
        </w:rPr>
        <w:t>招标项目的</w:t>
      </w:r>
      <w:r>
        <w:rPr>
          <w:rFonts w:hint="eastAsia" w:ascii="宋体" w:hAnsi="宋体"/>
          <w:highlight w:val="none"/>
        </w:rPr>
        <w:t>潜在供应商应在</w:t>
      </w:r>
      <w:r>
        <w:rPr>
          <w:rFonts w:hint="eastAsia" w:ascii="宋体" w:hAnsi="宋体"/>
          <w:highlight w:val="none"/>
          <w:u w:val="single"/>
        </w:rPr>
        <w:t>政府采购云平台</w:t>
      </w:r>
      <w:r>
        <w:rPr>
          <w:rFonts w:hint="eastAsia" w:ascii="宋体" w:hAnsi="宋体"/>
          <w:highlight w:val="none"/>
        </w:rPr>
        <w:t>（http://www.zcygov.cn/）获取采购文件，并于</w:t>
      </w:r>
      <w:r>
        <w:rPr>
          <w:rFonts w:hint="eastAsia" w:ascii="宋体" w:hAnsi="宋体"/>
          <w:highlight w:val="none"/>
          <w:u w:val="single"/>
        </w:rPr>
        <w:t>20</w:t>
      </w:r>
      <w:r>
        <w:rPr>
          <w:rFonts w:hint="eastAsia" w:ascii="宋体" w:hAnsi="宋体"/>
          <w:highlight w:val="none"/>
          <w:u w:val="single"/>
          <w:lang w:val="en-US" w:eastAsia="zh-CN"/>
        </w:rPr>
        <w:t>23</w:t>
      </w:r>
      <w:r>
        <w:rPr>
          <w:rFonts w:hint="eastAsia" w:ascii="宋体" w:hAnsi="宋体"/>
          <w:bCs/>
          <w:highlight w:val="none"/>
          <w:u w:val="single"/>
        </w:rPr>
        <w:t>年</w:t>
      </w:r>
      <w:r>
        <w:rPr>
          <w:rFonts w:hint="eastAsia" w:ascii="宋体" w:hAnsi="宋体"/>
          <w:bCs/>
          <w:highlight w:val="none"/>
          <w:u w:val="single"/>
          <w:lang w:val="en-US" w:eastAsia="zh-CN"/>
        </w:rPr>
        <w:t>5</w:t>
      </w:r>
      <w:r>
        <w:rPr>
          <w:rFonts w:hint="eastAsia" w:ascii="宋体" w:hAnsi="宋体"/>
          <w:bCs/>
          <w:highlight w:val="none"/>
          <w:u w:val="single"/>
        </w:rPr>
        <w:t>月</w:t>
      </w:r>
      <w:r>
        <w:rPr>
          <w:rFonts w:hint="eastAsia" w:ascii="宋体" w:hAnsi="宋体"/>
          <w:bCs/>
          <w:highlight w:val="none"/>
          <w:u w:val="single"/>
          <w:lang w:val="en-US" w:eastAsia="zh-CN"/>
        </w:rPr>
        <w:t>29</w:t>
      </w:r>
      <w:r>
        <w:rPr>
          <w:rFonts w:hint="eastAsia" w:ascii="宋体" w:hAnsi="宋体"/>
          <w:bCs/>
          <w:highlight w:val="none"/>
          <w:u w:val="single"/>
        </w:rPr>
        <w:t>日</w:t>
      </w:r>
      <w:r>
        <w:rPr>
          <w:rFonts w:hint="eastAsia" w:ascii="宋体" w:hAnsi="宋体"/>
          <w:bCs/>
          <w:highlight w:val="none"/>
          <w:u w:val="single"/>
          <w:lang w:val="en-US" w:eastAsia="zh-CN"/>
        </w:rPr>
        <w:t>09</w:t>
      </w:r>
      <w:r>
        <w:rPr>
          <w:rFonts w:hint="eastAsia" w:ascii="宋体" w:hAnsi="宋体"/>
          <w:bCs/>
          <w:highlight w:val="none"/>
          <w:u w:val="single"/>
        </w:rPr>
        <w:t>点</w:t>
      </w:r>
      <w:r>
        <w:rPr>
          <w:rFonts w:hint="eastAsia" w:ascii="宋体" w:hAnsi="宋体"/>
          <w:bCs/>
          <w:highlight w:val="none"/>
          <w:u w:val="single"/>
          <w:lang w:val="en-US" w:eastAsia="zh-CN"/>
        </w:rPr>
        <w:t>30</w:t>
      </w:r>
      <w:r>
        <w:rPr>
          <w:rFonts w:hint="eastAsia" w:ascii="宋体" w:hAnsi="宋体"/>
          <w:bCs/>
          <w:highlight w:val="none"/>
          <w:u w:val="single"/>
        </w:rPr>
        <w:t>分</w:t>
      </w:r>
      <w:r>
        <w:rPr>
          <w:rFonts w:hint="eastAsia" w:ascii="宋体" w:hAnsi="宋体"/>
          <w:bCs/>
          <w:highlight w:val="none"/>
        </w:rPr>
        <w:t>（北京时间）前提交投标</w:t>
      </w:r>
      <w:r>
        <w:rPr>
          <w:rFonts w:ascii="宋体" w:hAnsi="宋体"/>
          <w:bCs/>
          <w:highlight w:val="none"/>
        </w:rPr>
        <w:t>文件</w:t>
      </w:r>
      <w:r>
        <w:rPr>
          <w:rFonts w:hint="eastAsia" w:ascii="宋体" w:hAnsi="宋体"/>
          <w:highlight w:val="none"/>
        </w:rPr>
        <w:t>。</w:t>
      </w:r>
    </w:p>
    <w:p>
      <w:pPr>
        <w:spacing w:line="360" w:lineRule="auto"/>
        <w:rPr>
          <w:rFonts w:ascii="宋体" w:hAnsi="宋体" w:cs="宋体"/>
          <w:b/>
          <w:bCs/>
          <w:color w:val="auto"/>
          <w:highlight w:val="none"/>
        </w:rPr>
      </w:pPr>
      <w:r>
        <w:rPr>
          <w:rFonts w:hint="eastAsia" w:ascii="宋体" w:hAnsi="宋体" w:cs="宋体"/>
          <w:b/>
          <w:bCs/>
          <w:highlight w:val="none"/>
        </w:rPr>
        <w:t>一、</w:t>
      </w:r>
      <w:r>
        <w:rPr>
          <w:rFonts w:hint="eastAsia" w:ascii="宋体" w:hAnsi="宋体" w:cs="宋体"/>
          <w:b/>
          <w:bCs/>
          <w:color w:val="auto"/>
          <w:highlight w:val="none"/>
        </w:rPr>
        <w:t>项目基本情况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项目编号：高正代咨[2023]第1033号</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p>
    <w:p>
      <w:pPr>
        <w:spacing w:line="360" w:lineRule="auto"/>
        <w:ind w:firstLine="420" w:firstLineChars="200"/>
        <w:rPr>
          <w:rFonts w:ascii="宋体" w:hAnsi="宋体" w:cs="宋体"/>
          <w:highlight w:val="none"/>
        </w:rPr>
      </w:pPr>
      <w:r>
        <w:rPr>
          <w:rFonts w:hint="eastAsia" w:ascii="宋体" w:hAnsi="宋体" w:cs="宋体"/>
          <w:color w:val="auto"/>
          <w:highlight w:val="none"/>
        </w:rPr>
        <w:t>项目名称：</w:t>
      </w:r>
      <w:r>
        <w:rPr>
          <w:rFonts w:hint="eastAsia" w:ascii="宋体" w:hAnsi="宋体" w:cs="宋体"/>
          <w:color w:val="auto"/>
          <w:highlight w:val="none"/>
          <w:shd w:val="clear" w:color="auto" w:fill="FFFFFF"/>
          <w:lang w:eastAsia="zh-CN"/>
        </w:rPr>
        <w:t>聚贤街道2023年度职工疗休养项目</w:t>
      </w:r>
      <w:r>
        <w:rPr>
          <w:rFonts w:hint="eastAsia" w:ascii="宋体" w:hAnsi="宋体" w:cs="宋体"/>
          <w:highlight w:val="none"/>
        </w:rPr>
        <w:t xml:space="preserve"> </w:t>
      </w:r>
    </w:p>
    <w:p>
      <w:pPr>
        <w:spacing w:line="360" w:lineRule="auto"/>
        <w:ind w:firstLine="420" w:firstLineChars="200"/>
        <w:rPr>
          <w:rFonts w:ascii="宋体" w:hAnsi="宋体" w:cs="宋体"/>
          <w:highlight w:val="none"/>
        </w:rPr>
      </w:pPr>
      <w:r>
        <w:rPr>
          <w:rFonts w:hint="eastAsia" w:ascii="宋体" w:hAnsi="宋体" w:cs="宋体"/>
          <w:highlight w:val="none"/>
        </w:rPr>
        <w:t>预算金额（元）：</w:t>
      </w:r>
      <w:r>
        <w:rPr>
          <w:rFonts w:hint="eastAsia" w:ascii="宋体" w:hAnsi="宋体" w:cs="宋体"/>
          <w:highlight w:val="none"/>
          <w:lang w:val="en-US" w:eastAsia="zh-CN"/>
        </w:rPr>
        <w:t xml:space="preserve">450000 </w:t>
      </w:r>
    </w:p>
    <w:p>
      <w:pPr>
        <w:spacing w:line="360" w:lineRule="auto"/>
        <w:ind w:firstLine="420" w:firstLineChars="200"/>
        <w:rPr>
          <w:rFonts w:ascii="宋体" w:hAnsi="宋体" w:cs="宋体"/>
          <w:highlight w:val="none"/>
        </w:rPr>
      </w:pPr>
      <w:r>
        <w:rPr>
          <w:rFonts w:hint="eastAsia" w:ascii="宋体" w:hAnsi="宋体" w:cs="宋体"/>
          <w:highlight w:val="none"/>
        </w:rPr>
        <w:t>最高限价（元）：</w:t>
      </w:r>
      <w:r>
        <w:rPr>
          <w:rFonts w:hint="eastAsia" w:ascii="宋体" w:hAnsi="宋体" w:cs="宋体"/>
          <w:highlight w:val="none"/>
          <w:lang w:val="en-US" w:eastAsia="zh-CN"/>
        </w:rPr>
        <w:t>450000</w:t>
      </w:r>
    </w:p>
    <w:p>
      <w:pPr>
        <w:spacing w:line="360" w:lineRule="auto"/>
        <w:ind w:firstLine="420" w:firstLineChars="200"/>
        <w:rPr>
          <w:rFonts w:ascii="宋体" w:hAnsi="宋体" w:cs="宋体"/>
          <w:highlight w:val="none"/>
        </w:rPr>
      </w:pPr>
      <w:r>
        <w:rPr>
          <w:rFonts w:hint="eastAsia" w:ascii="宋体" w:hAnsi="宋体" w:cs="宋体"/>
          <w:highlight w:val="none"/>
        </w:rPr>
        <w:t>采购需求：</w:t>
      </w:r>
    </w:p>
    <w:p>
      <w:pPr>
        <w:spacing w:line="360" w:lineRule="auto"/>
        <w:ind w:firstLine="420" w:firstLineChars="200"/>
        <w:rPr>
          <w:rFonts w:hint="eastAsia" w:ascii="宋体" w:hAnsi="宋体" w:eastAsia="宋体" w:cs="宋体"/>
          <w:highlight w:val="none"/>
          <w:u w:val="single"/>
          <w:shd w:val="clear" w:color="auto" w:fill="FFFFFF"/>
          <w:lang w:eastAsia="zh-CN"/>
        </w:rPr>
      </w:pPr>
      <w:r>
        <w:rPr>
          <w:rFonts w:hint="eastAsia" w:ascii="宋体" w:hAnsi="宋体" w:cs="宋体"/>
          <w:highlight w:val="none"/>
        </w:rPr>
        <w:t>标项名称</w:t>
      </w:r>
      <w:r>
        <w:rPr>
          <w:rFonts w:hint="eastAsia" w:ascii="宋体" w:hAnsi="宋体" w:cs="宋体"/>
          <w:highlight w:val="none"/>
          <w:lang w:eastAsia="zh-CN"/>
        </w:rPr>
        <w:t>：</w:t>
      </w:r>
      <w:r>
        <w:rPr>
          <w:rFonts w:hint="eastAsia" w:ascii="宋体" w:hAnsi="宋体" w:cs="宋体"/>
          <w:bCs/>
          <w:highlight w:val="none"/>
          <w:shd w:val="clear" w:color="auto" w:fill="FFFFFF"/>
          <w:lang w:eastAsia="zh-CN"/>
        </w:rPr>
        <w:t>聚贤街道2023年度职工疗休养项目</w:t>
      </w:r>
    </w:p>
    <w:p>
      <w:pPr>
        <w:spacing w:line="360" w:lineRule="auto"/>
        <w:ind w:firstLine="420" w:firstLineChars="200"/>
        <w:rPr>
          <w:rFonts w:ascii="宋体" w:hAnsi="宋体" w:cs="宋体"/>
          <w:highlight w:val="none"/>
          <w:shd w:val="clear" w:color="auto" w:fill="FFFFFF"/>
        </w:rPr>
      </w:pPr>
      <w:r>
        <w:rPr>
          <w:rFonts w:hint="eastAsia" w:ascii="宋体" w:hAnsi="宋体" w:cs="宋体"/>
          <w:highlight w:val="none"/>
          <w:shd w:val="clear" w:color="auto" w:fill="FFFFFF"/>
        </w:rPr>
        <w:t>数量: 1</w:t>
      </w:r>
    </w:p>
    <w:p>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预算金额（元）:</w:t>
      </w:r>
      <w:r>
        <w:rPr>
          <w:rFonts w:hint="eastAsia" w:ascii="宋体" w:hAnsi="宋体" w:cs="宋体"/>
          <w:highlight w:val="none"/>
          <w:lang w:val="en-US" w:eastAsia="zh-CN"/>
        </w:rPr>
        <w:t xml:space="preserve"> 450000</w:t>
      </w:r>
    </w:p>
    <w:p>
      <w:pPr>
        <w:spacing w:line="360" w:lineRule="auto"/>
        <w:ind w:firstLine="420" w:firstLineChars="200"/>
        <w:rPr>
          <w:rFonts w:hint="eastAsia" w:ascii="宋体" w:hAnsi="宋体" w:cs="宋体"/>
          <w:highlight w:val="none"/>
        </w:rPr>
      </w:pPr>
      <w:r>
        <w:rPr>
          <w:rFonts w:hint="eastAsia" w:ascii="宋体" w:hAnsi="宋体" w:cs="宋体"/>
          <w:highlight w:val="none"/>
        </w:rPr>
        <w:t>简要规格描述或项目基本概况介绍、用途：职工疗休养服务，具体详见“第四章  采购需求”。</w:t>
      </w:r>
    </w:p>
    <w:p>
      <w:pPr>
        <w:pStyle w:val="47"/>
        <w:ind w:left="0" w:leftChars="0" w:firstLine="0" w:firstLineChars="0"/>
        <w:rPr>
          <w:rFonts w:hint="eastAsia" w:ascii="宋体" w:hAnsi="宋体" w:cs="宋体"/>
          <w:highlight w:val="none"/>
        </w:rPr>
      </w:pPr>
    </w:p>
    <w:p>
      <w:pPr>
        <w:pStyle w:val="47"/>
        <w:ind w:left="0" w:leftChars="0" w:firstLine="0" w:firstLineChars="0"/>
        <w:rPr>
          <w:rFonts w:ascii="宋体" w:hAnsi="宋体" w:cs="宋体"/>
          <w:highlight w:val="none"/>
        </w:rPr>
      </w:pPr>
      <w:r>
        <w:rPr>
          <w:rFonts w:hint="eastAsia" w:ascii="宋体" w:hAnsi="宋体" w:cs="宋体"/>
          <w:highlight w:val="none"/>
        </w:rPr>
        <w:t xml:space="preserve">    备注： </w:t>
      </w:r>
    </w:p>
    <w:p>
      <w:pPr>
        <w:spacing w:line="360" w:lineRule="auto"/>
        <w:ind w:firstLine="420" w:firstLineChars="200"/>
        <w:rPr>
          <w:rFonts w:ascii="宋体" w:hAnsi="宋体" w:cs="宋体"/>
          <w:highlight w:val="none"/>
        </w:rPr>
      </w:pPr>
      <w:r>
        <w:rPr>
          <w:rFonts w:hint="eastAsia" w:ascii="宋体" w:hAnsi="宋体" w:cs="宋体"/>
          <w:highlight w:val="none"/>
        </w:rPr>
        <w:t>合同履行期限：标项1，自合同签订之日起至2023年12月31日止（具体每批次出行时间以采购人要求为准）。</w:t>
      </w:r>
    </w:p>
    <w:p>
      <w:pPr>
        <w:pStyle w:val="47"/>
        <w:spacing w:line="360" w:lineRule="auto"/>
        <w:ind w:left="0" w:leftChars="0" w:firstLine="0" w:firstLineChars="0"/>
        <w:rPr>
          <w:rFonts w:ascii="宋体" w:hAnsi="宋体" w:cs="宋体"/>
          <w:highlight w:val="none"/>
        </w:rPr>
      </w:pPr>
      <w:r>
        <w:rPr>
          <w:rFonts w:hint="eastAsia" w:ascii="宋体" w:hAnsi="宋体" w:cs="宋体"/>
          <w:highlight w:val="none"/>
        </w:rPr>
        <w:t xml:space="preserve">    本项目（否）接受联合体投标。</w:t>
      </w:r>
    </w:p>
    <w:p>
      <w:pPr>
        <w:spacing w:line="360" w:lineRule="auto"/>
        <w:rPr>
          <w:rFonts w:ascii="宋体" w:hAnsi="宋体" w:cs="宋体"/>
          <w:b/>
          <w:bCs/>
          <w:highlight w:val="none"/>
        </w:rPr>
      </w:pPr>
      <w:r>
        <w:rPr>
          <w:rFonts w:hint="eastAsia" w:ascii="宋体" w:hAnsi="宋体" w:cs="宋体"/>
          <w:b/>
          <w:bCs/>
          <w:highlight w:val="none"/>
        </w:rPr>
        <w:t>二、申请人的资格要求：</w:t>
      </w:r>
    </w:p>
    <w:p>
      <w:pPr>
        <w:spacing w:line="360" w:lineRule="auto"/>
        <w:ind w:firstLine="420" w:firstLineChars="200"/>
        <w:rPr>
          <w:rFonts w:ascii="宋体" w:hAnsi="宋体" w:cs="宋体"/>
          <w:highlight w:val="none"/>
        </w:rPr>
      </w:pPr>
      <w:r>
        <w:rPr>
          <w:rFonts w:hint="eastAsia" w:ascii="宋体" w:hAnsi="宋体" w:cs="宋体"/>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highlight w:val="none"/>
        </w:rPr>
      </w:pPr>
      <w:r>
        <w:rPr>
          <w:rFonts w:hint="eastAsia" w:ascii="宋体" w:hAnsi="宋体" w:cs="宋体"/>
          <w:highlight w:val="none"/>
        </w:rPr>
        <w:t>2、落实政府采购政策需满足的资格要求：</w:t>
      </w:r>
      <w:r>
        <w:rPr>
          <w:rFonts w:hint="eastAsia" w:ascii="宋体" w:hAnsi="宋体" w:cs="宋体"/>
          <w:highlight w:val="none"/>
          <w:lang w:val="en-US" w:eastAsia="zh-CN"/>
        </w:rPr>
        <w:t>标项1：本项目属于专门面向中小企业采购的项目，供应商应为符合《政府采购促进中小企业发展管理办法》（财库﹝2020﹞46 号）规定的中小企业（其中，小微企业包括视同为小型、微型企业的监狱企业、残疾人福利性单位。）</w:t>
      </w:r>
      <w:r>
        <w:rPr>
          <w:rFonts w:hint="eastAsia" w:ascii="宋体" w:hAnsi="宋体" w:cs="宋体"/>
          <w:highlight w:val="none"/>
        </w:rPr>
        <w:t>。</w:t>
      </w:r>
    </w:p>
    <w:p>
      <w:pPr>
        <w:spacing w:line="360" w:lineRule="auto"/>
        <w:ind w:firstLine="420" w:firstLineChars="200"/>
        <w:rPr>
          <w:rFonts w:ascii="宋体" w:hAnsi="宋体" w:cs="宋体"/>
          <w:highlight w:val="none"/>
        </w:rPr>
      </w:pPr>
      <w:r>
        <w:rPr>
          <w:rFonts w:hint="eastAsia" w:ascii="宋体" w:hAnsi="宋体" w:cs="宋体"/>
          <w:highlight w:val="none"/>
        </w:rPr>
        <w:t>3、本项目的特定资格要求：</w:t>
      </w:r>
      <w:r>
        <w:rPr>
          <w:rFonts w:hint="eastAsia" w:ascii="宋体" w:hAnsi="宋体" w:cs="宋体"/>
          <w:highlight w:val="none"/>
          <w:lang w:val="en-US" w:eastAsia="zh-CN"/>
        </w:rPr>
        <w:t>供应商具有《旅行社业务经营许可证》，许可经营业务范围须包含国内旅游业务/境内旅游业务。</w:t>
      </w:r>
    </w:p>
    <w:p>
      <w:pPr>
        <w:spacing w:line="360" w:lineRule="auto"/>
        <w:rPr>
          <w:rFonts w:ascii="宋体" w:hAnsi="宋体" w:cs="宋体"/>
          <w:b/>
          <w:bCs/>
          <w:highlight w:val="none"/>
        </w:rPr>
      </w:pPr>
      <w:r>
        <w:rPr>
          <w:rFonts w:hint="eastAsia" w:ascii="宋体" w:hAnsi="宋体" w:cs="宋体"/>
          <w:b/>
          <w:bCs/>
          <w:highlight w:val="none"/>
        </w:rPr>
        <w:t>三、获取招标文件</w:t>
      </w:r>
    </w:p>
    <w:p>
      <w:pPr>
        <w:spacing w:line="360" w:lineRule="auto"/>
        <w:ind w:firstLine="420" w:firstLineChars="200"/>
        <w:rPr>
          <w:rFonts w:ascii="宋体" w:hAnsi="宋体" w:cs="宋体"/>
          <w:highlight w:val="none"/>
        </w:rPr>
      </w:pPr>
      <w:r>
        <w:rPr>
          <w:rFonts w:hint="eastAsia" w:ascii="宋体" w:hAnsi="宋体" w:cs="宋体"/>
          <w:highlight w:val="none"/>
        </w:rPr>
        <w:t>时间：202</w:t>
      </w:r>
      <w:r>
        <w:rPr>
          <w:rFonts w:hint="eastAsia" w:ascii="宋体" w:hAnsi="宋体" w:cs="宋体"/>
          <w:highlight w:val="none"/>
          <w:lang w:val="en-US" w:eastAsia="zh-CN"/>
        </w:rPr>
        <w:t>3</w:t>
      </w:r>
      <w:r>
        <w:rPr>
          <w:rFonts w:hint="eastAsia" w:ascii="宋体" w:hAnsi="宋体" w:cs="宋体"/>
          <w:highlight w:val="none"/>
        </w:rPr>
        <w:t>年</w:t>
      </w:r>
      <w:r>
        <w:rPr>
          <w:rFonts w:hint="eastAsia" w:ascii="宋体" w:hAnsi="宋体" w:cs="宋体"/>
          <w:highlight w:val="none"/>
          <w:lang w:val="en-US" w:eastAsia="zh-CN"/>
        </w:rPr>
        <w:t>5</w:t>
      </w:r>
      <w:r>
        <w:rPr>
          <w:rFonts w:hint="eastAsia" w:ascii="宋体" w:hAnsi="宋体" w:cs="宋体"/>
          <w:highlight w:val="none"/>
        </w:rPr>
        <w:t>月</w:t>
      </w:r>
      <w:r>
        <w:rPr>
          <w:rFonts w:hint="eastAsia" w:ascii="宋体" w:hAnsi="宋体" w:cs="宋体"/>
          <w:highlight w:val="none"/>
          <w:lang w:val="en-US" w:eastAsia="zh-CN"/>
        </w:rPr>
        <w:t>8</w:t>
      </w:r>
      <w:r>
        <w:rPr>
          <w:rFonts w:hint="eastAsia" w:ascii="宋体" w:hAnsi="宋体" w:cs="宋体"/>
          <w:highlight w:val="none"/>
        </w:rPr>
        <w:t>日至202</w:t>
      </w:r>
      <w:r>
        <w:rPr>
          <w:rFonts w:hint="eastAsia" w:ascii="宋体" w:hAnsi="宋体" w:cs="宋体"/>
          <w:highlight w:val="none"/>
          <w:lang w:val="en-US" w:eastAsia="zh-CN"/>
        </w:rPr>
        <w:t>3</w:t>
      </w:r>
      <w:r>
        <w:rPr>
          <w:rFonts w:hint="eastAsia" w:ascii="宋体" w:hAnsi="宋体" w:cs="宋体"/>
          <w:highlight w:val="none"/>
        </w:rPr>
        <w:t>年</w:t>
      </w:r>
      <w:r>
        <w:rPr>
          <w:rFonts w:hint="eastAsia" w:ascii="宋体" w:hAnsi="宋体" w:cs="宋体"/>
          <w:highlight w:val="none"/>
          <w:lang w:val="en-US" w:eastAsia="zh-CN"/>
        </w:rPr>
        <w:t>5</w:t>
      </w:r>
      <w:r>
        <w:rPr>
          <w:rFonts w:hint="eastAsia" w:ascii="宋体" w:hAnsi="宋体" w:cs="宋体"/>
          <w:highlight w:val="none"/>
        </w:rPr>
        <w:t>月</w:t>
      </w:r>
      <w:r>
        <w:rPr>
          <w:rFonts w:hint="eastAsia" w:ascii="宋体" w:hAnsi="宋体" w:cs="宋体"/>
          <w:highlight w:val="none"/>
          <w:lang w:val="en-US" w:eastAsia="zh-CN"/>
        </w:rPr>
        <w:t>15</w:t>
      </w:r>
      <w:r>
        <w:rPr>
          <w:rFonts w:hint="eastAsia" w:ascii="宋体" w:hAnsi="宋体" w:cs="宋体"/>
          <w:highlight w:val="none"/>
        </w:rPr>
        <w:t>日，</w:t>
      </w:r>
      <w:r>
        <w:rPr>
          <w:rFonts w:hint="eastAsia" w:ascii="宋体" w:hAnsi="宋体" w:cs="宋体"/>
          <w:color w:val="auto"/>
          <w:highlight w:val="none"/>
        </w:rPr>
        <w:t>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（北京时间，线上获取法定节假日均可，线下获取文件法定节假日除外）</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地点（网址）：</w:t>
      </w:r>
      <w:r>
        <w:rPr>
          <w:rFonts w:hint="eastAsia" w:ascii="宋体" w:hAnsi="宋体"/>
          <w:color w:val="auto"/>
          <w:highlight w:val="none"/>
        </w:rPr>
        <w:t>政府采购云平台（http://www.zcygov.cn/）。</w:t>
      </w:r>
    </w:p>
    <w:p>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方式：供应商登录政采云平台https://www.zcygov.cn/在线申请获取采购文件（进入“项目采购”应用，在获取采购文件菜单中选择项目，申请获取采购文件）  </w:t>
      </w:r>
    </w:p>
    <w:p>
      <w:pPr>
        <w:spacing w:line="360" w:lineRule="auto"/>
        <w:ind w:firstLine="420" w:firstLineChars="200"/>
        <w:rPr>
          <w:rFonts w:ascii="宋体" w:hAnsi="宋体" w:cs="宋体"/>
          <w:highlight w:val="none"/>
        </w:rPr>
      </w:pPr>
      <w:r>
        <w:rPr>
          <w:rFonts w:hint="eastAsia" w:ascii="宋体" w:hAnsi="宋体" w:cs="宋体"/>
          <w:color w:val="auto"/>
          <w:highlight w:val="none"/>
        </w:rPr>
        <w:t>售价：0元。</w:t>
      </w:r>
      <w:r>
        <w:rPr>
          <w:rFonts w:hint="eastAsia" w:ascii="宋体" w:hAnsi="宋体" w:cs="宋体"/>
          <w:highlight w:val="none"/>
        </w:rPr>
        <w:t xml:space="preserve"> </w:t>
      </w:r>
    </w:p>
    <w:p>
      <w:pPr>
        <w:spacing w:line="360" w:lineRule="auto"/>
        <w:rPr>
          <w:rFonts w:ascii="宋体" w:hAnsi="宋体" w:cs="宋体"/>
          <w:b/>
          <w:bCs/>
          <w:highlight w:val="none"/>
        </w:rPr>
      </w:pPr>
      <w:r>
        <w:rPr>
          <w:rFonts w:hint="eastAsia" w:ascii="宋体" w:hAnsi="宋体" w:cs="宋体"/>
          <w:b/>
          <w:bCs/>
          <w:highlight w:val="none"/>
        </w:rPr>
        <w:t>四、提交</w:t>
      </w:r>
      <w:r>
        <w:rPr>
          <w:rFonts w:hint="eastAsia" w:ascii="宋体" w:hAnsi="宋体" w:cs="宋体"/>
          <w:b/>
          <w:bCs/>
          <w:highlight w:val="none"/>
          <w:lang w:eastAsia="zh-CN"/>
        </w:rPr>
        <w:t>投标文件</w:t>
      </w:r>
      <w:r>
        <w:rPr>
          <w:rFonts w:hint="eastAsia" w:ascii="宋体" w:hAnsi="宋体" w:cs="宋体"/>
          <w:b/>
          <w:bCs/>
          <w:highlight w:val="none"/>
        </w:rPr>
        <w:t>截止时间、开标时间和地点</w:t>
      </w:r>
    </w:p>
    <w:p>
      <w:pPr>
        <w:spacing w:line="360" w:lineRule="auto"/>
        <w:ind w:firstLine="412" w:firstLineChars="200"/>
        <w:rPr>
          <w:rFonts w:ascii="宋体" w:hAnsi="宋体" w:cs="宋体"/>
          <w:spacing w:val="-2"/>
          <w:highlight w:val="none"/>
        </w:rPr>
      </w:pPr>
      <w:r>
        <w:rPr>
          <w:rFonts w:hint="eastAsia" w:ascii="宋体" w:hAnsi="宋体" w:cs="宋体"/>
          <w:spacing w:val="-2"/>
          <w:highlight w:val="none"/>
        </w:rPr>
        <w:t>提交</w:t>
      </w:r>
      <w:r>
        <w:rPr>
          <w:rFonts w:hint="eastAsia" w:ascii="宋体" w:hAnsi="宋体" w:cs="宋体"/>
          <w:spacing w:val="-2"/>
          <w:highlight w:val="none"/>
          <w:lang w:eastAsia="zh-CN"/>
        </w:rPr>
        <w:t>投标文件</w:t>
      </w:r>
      <w:r>
        <w:rPr>
          <w:rFonts w:hint="eastAsia" w:ascii="宋体" w:hAnsi="宋体" w:cs="宋体"/>
          <w:spacing w:val="-2"/>
          <w:highlight w:val="none"/>
        </w:rPr>
        <w:t>截止时</w:t>
      </w:r>
      <w:r>
        <w:rPr>
          <w:rFonts w:hint="eastAsia" w:ascii="宋体" w:hAnsi="宋体" w:cs="宋体"/>
          <w:spacing w:val="-2"/>
          <w:highlight w:val="none"/>
          <w:shd w:val="clear"/>
        </w:rPr>
        <w:t>间：202</w:t>
      </w:r>
      <w:r>
        <w:rPr>
          <w:rFonts w:hint="eastAsia" w:ascii="宋体" w:hAnsi="宋体" w:cs="宋体"/>
          <w:spacing w:val="-2"/>
          <w:highlight w:val="none"/>
          <w:shd w:val="clear"/>
          <w:lang w:val="en-US" w:eastAsia="zh-CN"/>
        </w:rPr>
        <w:t>3</w:t>
      </w:r>
      <w:r>
        <w:rPr>
          <w:rFonts w:hint="eastAsia" w:ascii="宋体" w:hAnsi="宋体" w:cs="宋体"/>
          <w:spacing w:val="-2"/>
          <w:highlight w:val="none"/>
          <w:shd w:val="clear"/>
        </w:rPr>
        <w:t>年</w:t>
      </w:r>
      <w:r>
        <w:rPr>
          <w:rFonts w:hint="eastAsia" w:ascii="宋体" w:hAnsi="宋体" w:cs="宋体"/>
          <w:spacing w:val="-2"/>
          <w:highlight w:val="none"/>
          <w:shd w:val="clear"/>
          <w:lang w:val="en-US" w:eastAsia="zh-CN"/>
        </w:rPr>
        <w:t>5</w:t>
      </w:r>
      <w:r>
        <w:rPr>
          <w:rFonts w:hint="eastAsia" w:ascii="宋体" w:hAnsi="宋体" w:cs="宋体"/>
          <w:spacing w:val="-2"/>
          <w:highlight w:val="none"/>
          <w:shd w:val="clear"/>
        </w:rPr>
        <w:t>月</w:t>
      </w:r>
      <w:r>
        <w:rPr>
          <w:rFonts w:hint="eastAsia" w:ascii="宋体" w:hAnsi="宋体" w:cs="宋体"/>
          <w:spacing w:val="-2"/>
          <w:highlight w:val="none"/>
          <w:shd w:val="clear"/>
          <w:lang w:val="en-US" w:eastAsia="zh-CN"/>
        </w:rPr>
        <w:t>29</w:t>
      </w:r>
      <w:r>
        <w:rPr>
          <w:rFonts w:hint="eastAsia" w:ascii="宋体" w:hAnsi="宋体" w:cs="宋体"/>
          <w:spacing w:val="-2"/>
          <w:highlight w:val="none"/>
          <w:shd w:val="clear"/>
        </w:rPr>
        <w:t>日</w:t>
      </w:r>
      <w:r>
        <w:rPr>
          <w:rFonts w:hint="eastAsia" w:ascii="宋体" w:hAnsi="宋体" w:cs="宋体"/>
          <w:highlight w:val="none"/>
          <w:shd w:val="clear"/>
          <w:lang w:val="en-US" w:eastAsia="zh-CN"/>
        </w:rPr>
        <w:t>09:30</w:t>
      </w:r>
      <w:r>
        <w:rPr>
          <w:rFonts w:hint="eastAsia" w:ascii="宋体" w:hAnsi="宋体" w:cs="宋体"/>
          <w:spacing w:val="-2"/>
          <w:highlight w:val="none"/>
          <w:shd w:val="clear"/>
        </w:rPr>
        <w:t>（北</w:t>
      </w:r>
      <w:r>
        <w:rPr>
          <w:rFonts w:hint="eastAsia" w:ascii="宋体" w:hAnsi="宋体" w:cs="宋体"/>
          <w:spacing w:val="-2"/>
          <w:highlight w:val="none"/>
        </w:rPr>
        <w:t>京时间）</w:t>
      </w:r>
    </w:p>
    <w:p>
      <w:pPr>
        <w:spacing w:line="360" w:lineRule="auto"/>
        <w:ind w:firstLine="412" w:firstLineChars="200"/>
        <w:rPr>
          <w:rFonts w:ascii="宋体" w:hAnsi="宋体" w:cs="宋体"/>
          <w:spacing w:val="-2"/>
          <w:highlight w:val="none"/>
        </w:rPr>
      </w:pPr>
      <w:r>
        <w:rPr>
          <w:rFonts w:hint="eastAsia" w:ascii="宋体" w:hAnsi="宋体" w:cs="宋体"/>
          <w:spacing w:val="-2"/>
          <w:highlight w:val="none"/>
        </w:rPr>
        <w:t>投标地点（网址）：</w:t>
      </w:r>
      <w:r>
        <w:rPr>
          <w:rFonts w:hint="eastAsia" w:ascii="宋体" w:hAnsi="宋体" w:cs="Arial"/>
          <w:color w:val="auto"/>
          <w:szCs w:val="21"/>
          <w:highlight w:val="none"/>
          <w:u w:val="none"/>
        </w:rPr>
        <w:t>宁波高新区公共资源交易中心（宁波市高新区广贤路997号南楼三楼开标室，详见电子显示屏），本项目通过“政府采购云平台”实行在线电子评标，供应商可在线参加开标</w:t>
      </w:r>
      <w:r>
        <w:rPr>
          <w:rFonts w:hint="eastAsia" w:ascii="宋体" w:hAnsi="宋体" w:cs="宋体"/>
          <w:spacing w:val="-2"/>
          <w:highlight w:val="none"/>
        </w:rPr>
        <w:t> </w:t>
      </w:r>
    </w:p>
    <w:p>
      <w:pPr>
        <w:spacing w:line="360" w:lineRule="auto"/>
        <w:ind w:firstLine="412" w:firstLineChars="200"/>
        <w:rPr>
          <w:rFonts w:ascii="宋体" w:hAnsi="宋体" w:cs="宋体"/>
          <w:spacing w:val="-2"/>
          <w:sz w:val="18"/>
          <w:szCs w:val="18"/>
          <w:highlight w:val="none"/>
        </w:rPr>
      </w:pPr>
      <w:r>
        <w:rPr>
          <w:rFonts w:hint="eastAsia" w:ascii="宋体" w:hAnsi="宋体" w:cs="宋体"/>
          <w:spacing w:val="-2"/>
          <w:highlight w:val="none"/>
        </w:rPr>
        <w:t>开标时间：</w:t>
      </w:r>
      <w:r>
        <w:rPr>
          <w:rFonts w:hint="eastAsia" w:ascii="宋体" w:hAnsi="宋体" w:cs="宋体"/>
          <w:spacing w:val="-2"/>
          <w:highlight w:val="none"/>
          <w:shd w:val="clear"/>
        </w:rPr>
        <w:t>202</w:t>
      </w:r>
      <w:r>
        <w:rPr>
          <w:rFonts w:hint="eastAsia" w:ascii="宋体" w:hAnsi="宋体" w:cs="宋体"/>
          <w:spacing w:val="-2"/>
          <w:highlight w:val="none"/>
          <w:shd w:val="clear"/>
          <w:lang w:val="en-US" w:eastAsia="zh-CN"/>
        </w:rPr>
        <w:t>3</w:t>
      </w:r>
      <w:r>
        <w:rPr>
          <w:rFonts w:hint="eastAsia" w:ascii="宋体" w:hAnsi="宋体" w:cs="宋体"/>
          <w:spacing w:val="-2"/>
          <w:highlight w:val="none"/>
          <w:shd w:val="clear"/>
        </w:rPr>
        <w:t>年</w:t>
      </w:r>
      <w:r>
        <w:rPr>
          <w:rFonts w:hint="eastAsia" w:ascii="宋体" w:hAnsi="宋体" w:cs="宋体"/>
          <w:spacing w:val="-2"/>
          <w:highlight w:val="none"/>
          <w:shd w:val="clear"/>
          <w:lang w:val="en-US" w:eastAsia="zh-CN"/>
        </w:rPr>
        <w:t>5</w:t>
      </w:r>
      <w:r>
        <w:rPr>
          <w:rFonts w:hint="eastAsia" w:ascii="宋体" w:hAnsi="宋体" w:cs="宋体"/>
          <w:spacing w:val="-2"/>
          <w:highlight w:val="none"/>
          <w:shd w:val="clear"/>
        </w:rPr>
        <w:t>月</w:t>
      </w:r>
      <w:r>
        <w:rPr>
          <w:rFonts w:hint="eastAsia" w:ascii="宋体" w:hAnsi="宋体" w:cs="宋体"/>
          <w:spacing w:val="-2"/>
          <w:highlight w:val="none"/>
          <w:shd w:val="clear"/>
          <w:lang w:val="en-US" w:eastAsia="zh-CN"/>
        </w:rPr>
        <w:t>29</w:t>
      </w:r>
      <w:r>
        <w:rPr>
          <w:rFonts w:hint="eastAsia" w:ascii="宋体" w:hAnsi="宋体" w:cs="宋体"/>
          <w:spacing w:val="-2"/>
          <w:highlight w:val="none"/>
          <w:shd w:val="clear"/>
        </w:rPr>
        <w:t>日</w:t>
      </w:r>
      <w:r>
        <w:rPr>
          <w:rFonts w:hint="eastAsia" w:ascii="宋体" w:hAnsi="宋体" w:cs="宋体"/>
          <w:highlight w:val="none"/>
          <w:shd w:val="clear"/>
          <w:lang w:val="en-US" w:eastAsia="zh-CN"/>
        </w:rPr>
        <w:t>09:30</w:t>
      </w:r>
      <w:r>
        <w:rPr>
          <w:rFonts w:hint="eastAsia" w:ascii="宋体" w:hAnsi="宋体" w:cs="宋体"/>
          <w:spacing w:val="-2"/>
          <w:highlight w:val="none"/>
        </w:rPr>
        <w:t>（北京时间）</w:t>
      </w:r>
    </w:p>
    <w:p>
      <w:pPr>
        <w:spacing w:line="360" w:lineRule="auto"/>
        <w:ind w:firstLine="412" w:firstLineChars="200"/>
        <w:rPr>
          <w:rFonts w:hint="eastAsia" w:ascii="宋体" w:hAnsi="宋体" w:eastAsia="宋体" w:cs="宋体"/>
          <w:highlight w:val="none"/>
          <w:lang w:eastAsia="zh-CN"/>
        </w:rPr>
      </w:pPr>
      <w:r>
        <w:rPr>
          <w:rFonts w:hint="eastAsia" w:ascii="宋体" w:hAnsi="宋体" w:cs="宋体"/>
          <w:spacing w:val="-2"/>
          <w:highlight w:val="none"/>
        </w:rPr>
        <w:t>开标地点（网址）：</w:t>
      </w:r>
      <w:r>
        <w:rPr>
          <w:rFonts w:hint="eastAsia" w:ascii="宋体" w:hAnsi="宋体" w:cs="宋体"/>
          <w:bCs/>
          <w:color w:val="auto"/>
          <w:highlight w:val="none"/>
        </w:rPr>
        <w:t>本项目通过“政府采购云平台（www.zcygov.cn）”实行在线制作并提交投标文件（电子投标）</w:t>
      </w:r>
    </w:p>
    <w:p>
      <w:pPr>
        <w:spacing w:line="360" w:lineRule="auto"/>
        <w:rPr>
          <w:rFonts w:ascii="宋体" w:hAnsi="宋体" w:cs="宋体"/>
          <w:b/>
          <w:bCs/>
          <w:highlight w:val="none"/>
        </w:rPr>
      </w:pPr>
      <w:r>
        <w:rPr>
          <w:rFonts w:hint="eastAsia" w:ascii="宋体" w:hAnsi="宋体" w:cs="宋体"/>
          <w:b/>
          <w:bCs/>
          <w:highlight w:val="none"/>
        </w:rPr>
        <w:t>五、公告期限</w:t>
      </w:r>
    </w:p>
    <w:p>
      <w:pPr>
        <w:spacing w:line="360" w:lineRule="auto"/>
        <w:ind w:firstLine="420" w:firstLineChars="200"/>
        <w:rPr>
          <w:rFonts w:ascii="宋体" w:hAnsi="宋体" w:cs="宋体"/>
          <w:highlight w:val="none"/>
        </w:rPr>
      </w:pPr>
      <w:r>
        <w:rPr>
          <w:rFonts w:hint="eastAsia" w:ascii="宋体" w:hAnsi="宋体" w:cs="宋体"/>
          <w:highlight w:val="none"/>
        </w:rPr>
        <w:t>自本公告发布之日起5个工作日。</w:t>
      </w:r>
    </w:p>
    <w:p>
      <w:pPr>
        <w:spacing w:line="360" w:lineRule="auto"/>
        <w:rPr>
          <w:rFonts w:ascii="宋体" w:hAnsi="宋体" w:cs="宋体"/>
          <w:b/>
          <w:bCs/>
          <w:highlight w:val="none"/>
        </w:rPr>
      </w:pPr>
      <w:r>
        <w:rPr>
          <w:rFonts w:hint="eastAsia" w:ascii="宋体" w:hAnsi="宋体" w:cs="宋体"/>
          <w:b/>
          <w:bCs/>
          <w:highlight w:val="none"/>
        </w:rPr>
        <w:t>六、其他补充事宜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2.其他事项：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2.1落实政策：《关于促进残疾人就业政府采购政策的通知》（财库〔2017〕141号）、《政府采购促进中小企业发展管理办法》（财库﹝2020﹞46 号）、《关于政府采购支持监狱企业发展有关问题的通知》(财库〔2014〕68号)。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2.2各供应商应在开标前确保成为浙江省政府采购网正式注册入库供应商，并完成CA数字证书办理。因未注册入库、未办理CA数字证书等原因造成无法投标或投标失败等后果由供应商自行承担。（具体操作详见供应商CA申领操作指南https://help.zcygov.cn/web/site_2/2018/11-29/2452.html）。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本次政府采购活动有关信息在“浙江政府采购网（http://zfcg.czt.zj.gov.cn/）”、“宁波市政府采购网（www.nbzfcg.cn）”、“宁波公共资源交易网高新区分网(http://gaoxin.nbggzy.cn/)”网站上公布，公布信息视同送达所有潜在供应商。</w:t>
      </w:r>
    </w:p>
    <w:p>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2.4特别提醒事项：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2.4.1采用邮寄方式提交备份投标文件</w:t>
      </w:r>
      <w:r>
        <w:rPr>
          <w:rFonts w:hint="eastAsia" w:ascii="宋体" w:hAnsi="宋体" w:cs="宋体"/>
          <w:szCs w:val="21"/>
          <w:highlight w:val="none"/>
          <w:lang w:val="en-US" w:eastAsia="zh-CN"/>
        </w:rPr>
        <w:t>的</w:t>
      </w:r>
      <w:r>
        <w:rPr>
          <w:rFonts w:hint="eastAsia" w:ascii="宋体" w:hAnsi="宋体" w:cs="宋体"/>
          <w:szCs w:val="21"/>
          <w:highlight w:val="none"/>
        </w:rPr>
        <w:t xml:space="preserve">，需按以下要求递交：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供应商须在</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5</w:t>
      </w:r>
      <w:r>
        <w:rPr>
          <w:rFonts w:hint="eastAsia" w:ascii="宋体" w:hAnsi="宋体" w:cs="宋体"/>
          <w:szCs w:val="21"/>
          <w:highlight w:val="none"/>
        </w:rPr>
        <w:t>月</w:t>
      </w:r>
      <w:r>
        <w:rPr>
          <w:rFonts w:hint="eastAsia" w:ascii="宋体" w:hAnsi="宋体" w:cs="宋体"/>
          <w:szCs w:val="21"/>
          <w:highlight w:val="none"/>
          <w:u w:val="single"/>
          <w:lang w:val="en-US" w:eastAsia="zh-CN"/>
        </w:rPr>
        <w:t>26</w:t>
      </w:r>
      <w:r>
        <w:rPr>
          <w:rFonts w:hint="eastAsia" w:ascii="宋体" w:hAnsi="宋体" w:cs="宋体"/>
          <w:szCs w:val="21"/>
          <w:highlight w:val="none"/>
        </w:rPr>
        <w:t xml:space="preserve">日16:00（北京时间）前将备份投标文件邮寄至规定地点，由采购代理机构工作人员进行签收。各供应商自行考虑邮寄在途时间，邮寄过程中无论何种因素导致备份投标文件未按时递交的后果，均由供应商自行负责。备份投标文件递交时间以招标代理实际收到投标文件的时间为准。迟到的备份投标文件将被拒收。请各供应商确保密封包装在邮寄过程密封包装完好，并在邮寄包裹上注明项目名称，因邮寄过程的密封破损造成不符合开标要求的，本招标代理及采购人概不负责。 </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备份投标文件邮寄地址为：</w:t>
      </w:r>
      <w:r>
        <w:rPr>
          <w:rFonts w:hint="eastAsia" w:ascii="宋体" w:hAnsi="宋体" w:cs="宋体"/>
          <w:szCs w:val="21"/>
          <w:highlight w:val="none"/>
          <w:lang w:val="en-US" w:eastAsia="zh-CN"/>
        </w:rPr>
        <w:t xml:space="preserve">浙江省宁波市鄞州区嘉恒广场写字楼B座10楼 </w:t>
      </w:r>
    </w:p>
    <w:p>
      <w:pPr>
        <w:pStyle w:val="44"/>
        <w:adjustRightInd w:val="0"/>
        <w:snapToGrid w:val="0"/>
        <w:spacing w:before="0" w:beforeAutospacing="0" w:after="0" w:afterAutospacing="0" w:line="360" w:lineRule="auto"/>
        <w:ind w:firstLine="420" w:firstLineChars="200"/>
        <w:rPr>
          <w:rFonts w:hint="default" w:eastAsia="宋体" w:cs="宋体"/>
          <w:szCs w:val="21"/>
          <w:highlight w:val="none"/>
          <w:lang w:val="en-US" w:eastAsia="zh-CN"/>
        </w:rPr>
      </w:pPr>
      <w:r>
        <w:rPr>
          <w:rFonts w:hint="eastAsia" w:cs="宋体"/>
          <w:sz w:val="21"/>
          <w:szCs w:val="21"/>
          <w:highlight w:val="none"/>
          <w:shd w:val="clear" w:color="auto" w:fill="FFFFFF"/>
        </w:rPr>
        <w:t>收件人：</w:t>
      </w:r>
      <w:r>
        <w:rPr>
          <w:rFonts w:hint="eastAsia" w:cs="宋体"/>
          <w:sz w:val="21"/>
          <w:szCs w:val="21"/>
          <w:highlight w:val="none"/>
          <w:shd w:val="clear" w:color="auto" w:fill="FFFFFF"/>
          <w:lang w:val="en-US" w:eastAsia="zh-CN"/>
        </w:rPr>
        <w:t>朱宇超</w:t>
      </w:r>
      <w:r>
        <w:rPr>
          <w:rFonts w:hint="eastAsia" w:cs="宋体"/>
          <w:sz w:val="21"/>
          <w:szCs w:val="21"/>
          <w:highlight w:val="none"/>
          <w:shd w:val="clear" w:color="auto" w:fill="FFFFFF"/>
        </w:rPr>
        <w:t xml:space="preserve">   联系方式：</w:t>
      </w:r>
      <w:r>
        <w:rPr>
          <w:rFonts w:hint="eastAsia" w:cs="宋体"/>
          <w:sz w:val="21"/>
          <w:szCs w:val="21"/>
          <w:highlight w:val="none"/>
          <w:shd w:val="clear" w:color="auto" w:fill="FFFFFF"/>
          <w:lang w:val="en-US" w:eastAsia="zh-CN"/>
        </w:rPr>
        <w:t>13250960121</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szCs w:val="21"/>
          <w:highlight w:val="none"/>
        </w:rPr>
        <w:t>2.4.2采用现场递交方式递交电子备份投标文件</w:t>
      </w:r>
      <w:r>
        <w:rPr>
          <w:rFonts w:hint="eastAsia" w:ascii="宋体" w:hAnsi="宋体" w:cs="宋体"/>
          <w:szCs w:val="21"/>
          <w:highlight w:val="none"/>
          <w:lang w:val="en-US" w:eastAsia="zh-CN"/>
        </w:rPr>
        <w:t>的</w:t>
      </w:r>
      <w:r>
        <w:rPr>
          <w:rFonts w:hint="eastAsia" w:ascii="宋体" w:hAnsi="宋体" w:cs="宋体"/>
          <w:szCs w:val="21"/>
          <w:highlight w:val="none"/>
        </w:rPr>
        <w:t>，</w:t>
      </w:r>
      <w:r>
        <w:rPr>
          <w:rFonts w:hint="eastAsia" w:ascii="宋体" w:hAnsi="宋体" w:cs="宋体"/>
          <w:bCs/>
          <w:szCs w:val="21"/>
          <w:highlight w:val="none"/>
        </w:rPr>
        <w:t>供应商可安排一名授权代表在投标截止时间前将电子备份投标文件送至</w:t>
      </w:r>
      <w:r>
        <w:rPr>
          <w:rFonts w:hint="eastAsia" w:ascii="宋体" w:hAnsi="宋体" w:cs="宋体"/>
          <w:szCs w:val="21"/>
          <w:highlight w:val="none"/>
          <w:u w:val="single"/>
        </w:rPr>
        <w:t>宁波高新区公共资源交易中心【宁波市高新区广贤路</w:t>
      </w:r>
      <w:r>
        <w:rPr>
          <w:rFonts w:ascii="宋体" w:hAnsi="宋体" w:cs="宋体"/>
          <w:szCs w:val="21"/>
          <w:highlight w:val="none"/>
          <w:u w:val="single"/>
        </w:rPr>
        <w:t>997</w:t>
      </w:r>
      <w:r>
        <w:rPr>
          <w:rFonts w:hint="eastAsia" w:ascii="宋体" w:hAnsi="宋体" w:cs="宋体"/>
          <w:szCs w:val="21"/>
          <w:highlight w:val="none"/>
          <w:u w:val="single"/>
        </w:rPr>
        <w:t>号南楼三楼开标室，详见电子显示屏】</w:t>
      </w:r>
      <w:r>
        <w:rPr>
          <w:rFonts w:hint="eastAsia" w:ascii="宋体" w:hAnsi="宋体" w:cs="宋体"/>
          <w:bCs/>
          <w:szCs w:val="21"/>
          <w:highlight w:val="none"/>
        </w:rPr>
        <w:t>，投标文件递交时须同时递交供应商的法定代表人（或其授权代表）联系方式，并保证开标期间联系方式畅通。不要求</w:t>
      </w:r>
      <w:r>
        <w:rPr>
          <w:rFonts w:hint="eastAsia" w:ascii="宋体" w:hAnsi="宋体" w:cs="宋体"/>
          <w:bCs/>
          <w:szCs w:val="21"/>
          <w:highlight w:val="none"/>
          <w:lang w:val="en-US" w:eastAsia="zh-CN"/>
        </w:rPr>
        <w:t>投标人</w:t>
      </w:r>
      <w:r>
        <w:rPr>
          <w:rFonts w:hint="eastAsia" w:ascii="宋体" w:hAnsi="宋体" w:cs="宋体"/>
          <w:bCs/>
          <w:szCs w:val="21"/>
          <w:highlight w:val="none"/>
        </w:rPr>
        <w:t>员必须到场参加现场开标</w:t>
      </w:r>
      <w:r>
        <w:rPr>
          <w:rFonts w:hint="eastAsia" w:ascii="宋体" w:hAnsi="宋体" w:cs="宋体"/>
          <w:bCs/>
          <w:szCs w:val="21"/>
          <w:highlight w:val="none"/>
          <w:lang w:eastAsia="zh-CN"/>
        </w:rPr>
        <w:t>。</w:t>
      </w:r>
      <w:r>
        <w:rPr>
          <w:rFonts w:hint="eastAsia" w:ascii="宋体" w:hAnsi="宋体" w:cs="宋体"/>
          <w:bCs/>
          <w:color w:val="auto"/>
          <w:szCs w:val="21"/>
          <w:highlight w:val="none"/>
        </w:rPr>
        <w:t xml:space="preserve"> </w:t>
      </w:r>
    </w:p>
    <w:p>
      <w:pPr>
        <w:tabs>
          <w:tab w:val="left" w:pos="0"/>
        </w:tabs>
        <w:spacing w:line="360" w:lineRule="auto"/>
        <w:ind w:firstLine="420" w:firstLineChars="200"/>
        <w:rPr>
          <w:rFonts w:ascii="宋体" w:hAnsi="宋体" w:cs="宋体"/>
          <w:spacing w:val="-2"/>
          <w:highlight w:val="none"/>
        </w:rPr>
      </w:pPr>
      <w:r>
        <w:rPr>
          <w:rFonts w:hint="eastAsia" w:ascii="宋体" w:hAnsi="宋体" w:cs="宋体"/>
          <w:bCs/>
          <w:color w:val="auto"/>
          <w:szCs w:val="21"/>
          <w:highlight w:val="none"/>
        </w:rPr>
        <w:t>2.5单位负责人为同一人或者存在直接控股、管理关系的不同供应商，不得同时参加同一合同项下的投标。为本项目提供整体设计、规范编制或者项目管理、监理、检测等服务的供应商，不得再参加本项目的</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活动。</w:t>
      </w:r>
    </w:p>
    <w:p>
      <w:pPr>
        <w:spacing w:line="360" w:lineRule="auto"/>
        <w:rPr>
          <w:rFonts w:ascii="宋体" w:hAnsi="宋体" w:cs="宋体"/>
          <w:b/>
          <w:bCs/>
          <w:highlight w:val="none"/>
        </w:rPr>
      </w:pPr>
      <w:r>
        <w:rPr>
          <w:rFonts w:hint="eastAsia" w:ascii="宋体" w:hAnsi="宋体" w:cs="宋体"/>
          <w:b/>
          <w:bCs/>
          <w:highlight w:val="none"/>
        </w:rPr>
        <w:t>七、对本次招标提出询问，请按以下方式联系。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宁波市鄞州区人民政府聚贤街道办事处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地址：宁波高新区江南路1962号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项目联系人（询问）： </w:t>
      </w:r>
      <w:r>
        <w:rPr>
          <w:rFonts w:hint="eastAsia" w:ascii="宋体" w:hAnsi="宋体" w:cs="宋体"/>
          <w:sz w:val="21"/>
          <w:szCs w:val="21"/>
          <w:highlight w:val="none"/>
          <w:shd w:val="clear" w:color="auto" w:fill="FFFFFF"/>
          <w:lang w:val="en-US" w:eastAsia="zh-CN"/>
        </w:rPr>
        <w:t>俞</w:t>
      </w:r>
      <w:r>
        <w:rPr>
          <w:rFonts w:hint="eastAsia" w:ascii="宋体" w:hAnsi="宋体" w:eastAsia="宋体" w:cs="宋体"/>
          <w:sz w:val="21"/>
          <w:szCs w:val="21"/>
          <w:highlight w:val="none"/>
          <w:shd w:val="clear" w:color="auto" w:fill="FFFFFF"/>
          <w:lang w:val="en-US" w:eastAsia="zh-CN"/>
        </w:rPr>
        <w:t>老师</w:t>
      </w:r>
    </w:p>
    <w:p>
      <w:pPr>
        <w:spacing w:line="360" w:lineRule="auto"/>
        <w:ind w:firstLine="420" w:firstLineChars="200"/>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auto"/>
          <w:szCs w:val="21"/>
          <w:highlight w:val="none"/>
        </w:rPr>
        <w:t>项目联系方式（询问）：</w:t>
      </w:r>
      <w:r>
        <w:rPr>
          <w:rFonts w:hint="eastAsia" w:ascii="宋体" w:hAnsi="宋体" w:cs="宋体"/>
          <w:color w:val="000000"/>
          <w:kern w:val="0"/>
          <w:szCs w:val="21"/>
          <w:highlight w:val="none"/>
          <w:shd w:val="clear" w:color="auto" w:fill="FFFFFF"/>
          <w:lang w:val="en-US" w:eastAsia="zh-CN"/>
        </w:rPr>
        <w:t>0574-89076229</w:t>
      </w:r>
    </w:p>
    <w:p>
      <w:pPr>
        <w:pStyle w:val="4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质疑联系人：</w:t>
      </w:r>
      <w:r>
        <w:rPr>
          <w:rFonts w:hint="eastAsia" w:ascii="宋体" w:hAnsi="宋体" w:cs="宋体"/>
          <w:sz w:val="21"/>
          <w:szCs w:val="21"/>
          <w:highlight w:val="none"/>
          <w:shd w:val="clear" w:color="auto" w:fill="FFFFFF"/>
          <w:lang w:val="en-US" w:eastAsia="zh-CN"/>
        </w:rPr>
        <w:t xml:space="preserve">张老师 </w:t>
      </w:r>
    </w:p>
    <w:p>
      <w:pPr>
        <w:pStyle w:val="4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质疑联系方式：</w:t>
      </w:r>
      <w:r>
        <w:rPr>
          <w:rFonts w:hint="eastAsia" w:ascii="宋体" w:hAnsi="宋体" w:cs="宋体"/>
          <w:color w:val="000000"/>
          <w:sz w:val="21"/>
          <w:szCs w:val="21"/>
          <w:highlight w:val="none"/>
          <w:shd w:val="clear" w:color="auto" w:fill="FFFFFF"/>
          <w:lang w:val="en-US" w:eastAsia="zh-CN"/>
        </w:rPr>
        <w:t>0574-89076229</w:t>
      </w:r>
      <w:r>
        <w:rPr>
          <w:rFonts w:hint="eastAsia" w:ascii="宋体" w:hAnsi="宋体" w:eastAsia="宋体" w:cs="宋体"/>
          <w:sz w:val="21"/>
          <w:szCs w:val="21"/>
          <w:highlight w:val="none"/>
          <w:shd w:val="clear" w:color="auto" w:fill="FFFFFF"/>
          <w:lang w:val="en-US" w:eastAsia="zh-CN"/>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宁波高正工程管理有限公司</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宁波市鄞州区嘉恒广场写字楼B座10楼</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传真：0574-87721309</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朱宇超、陈懿倩</w:t>
      </w:r>
      <w:r>
        <w:rPr>
          <w:rFonts w:hint="eastAsia" w:ascii="宋体" w:hAnsi="宋体" w:cs="宋体"/>
          <w:color w:val="auto"/>
          <w:szCs w:val="21"/>
          <w:highlight w:val="none"/>
        </w:rPr>
        <w:t>　 　</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13250960121</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黄琪</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0574-87727358</w:t>
      </w:r>
    </w:p>
    <w:p>
      <w:pPr>
        <w:tabs>
          <w:tab w:val="left" w:pos="0"/>
        </w:tabs>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3.同级政府采购监督管理部门</w:t>
      </w:r>
    </w:p>
    <w:p>
      <w:pPr>
        <w:tabs>
          <w:tab w:val="left" w:pos="0"/>
        </w:tabs>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 xml:space="preserve">名    称：宁波高新区政府采购管理办公室 </w:t>
      </w:r>
    </w:p>
    <w:p>
      <w:pPr>
        <w:tabs>
          <w:tab w:val="left" w:pos="0"/>
        </w:tabs>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地    址：宁波高新区广贤路999号</w:t>
      </w:r>
    </w:p>
    <w:p>
      <w:pPr>
        <w:tabs>
          <w:tab w:val="left" w:pos="0"/>
        </w:tabs>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传    真：/</w:t>
      </w:r>
    </w:p>
    <w:p>
      <w:pPr>
        <w:tabs>
          <w:tab w:val="left" w:pos="0"/>
        </w:tabs>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联 系 人：蔡科</w:t>
      </w:r>
    </w:p>
    <w:p>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监督投诉电话：0574-89288732</w:t>
      </w:r>
    </w:p>
    <w:p>
      <w:pPr>
        <w:spacing w:line="360" w:lineRule="auto"/>
        <w:ind w:firstLine="420"/>
        <w:rPr>
          <w:rFonts w:ascii="宋体" w:hAnsi="宋体" w:cs="宋体"/>
          <w:highlight w:val="none"/>
        </w:rPr>
      </w:pPr>
    </w:p>
    <w:p>
      <w:pPr>
        <w:spacing w:line="360" w:lineRule="auto"/>
        <w:ind w:firstLine="42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若对项目采购电子交易系统操作有疑问，可登录政采云（https://www.zcygov.cn/），点击右侧咨询小采，获取采小蜜智能服务管家帮助，或拨打政采云服务热线400-881-7190获取热线服务帮助。       </w:t>
      </w:r>
    </w:p>
    <w:p>
      <w:pPr>
        <w:spacing w:line="360" w:lineRule="auto"/>
        <w:ind w:firstLine="420"/>
        <w:rPr>
          <w:rFonts w:ascii="宋体" w:hAnsi="宋体" w:cs="宋体"/>
          <w:highlight w:val="none"/>
        </w:rPr>
      </w:pPr>
      <w:r>
        <w:rPr>
          <w:rFonts w:hint="eastAsia" w:ascii="宋体" w:hAnsi="宋体" w:cs="宋体"/>
          <w:highlight w:val="none"/>
        </w:rPr>
        <w:t>CA问题联系电话（人工）：汇信CA 400-888-4636；天谷CA 400-087-8198。</w:t>
      </w:r>
      <w:r>
        <w:rPr>
          <w:rFonts w:hint="eastAsia" w:ascii="宋体" w:hAnsi="宋体" w:cs="宋体"/>
          <w:b/>
          <w:highlight w:val="none"/>
        </w:rPr>
        <w:br w:type="page"/>
      </w:r>
    </w:p>
    <w:p>
      <w:pPr>
        <w:pStyle w:val="45"/>
        <w:rPr>
          <w:rFonts w:hint="eastAsia" w:ascii="宋体" w:hAnsi="宋体" w:eastAsia="宋体" w:cs="宋体"/>
          <w:highlight w:val="none"/>
        </w:rPr>
      </w:pPr>
      <w:bookmarkStart w:id="5" w:name="_Toc16085"/>
      <w:bookmarkStart w:id="6" w:name="_Toc13741"/>
      <w:bookmarkStart w:id="7" w:name="_Toc24263"/>
      <w:r>
        <w:rPr>
          <w:rFonts w:hint="eastAsia" w:ascii="宋体" w:hAnsi="宋体" w:eastAsia="宋体" w:cs="宋体"/>
          <w:highlight w:val="none"/>
        </w:rPr>
        <w:t>第二章  投标资料表</w:t>
      </w:r>
      <w:bookmarkEnd w:id="5"/>
      <w:bookmarkEnd w:id="6"/>
      <w:bookmarkEnd w:id="7"/>
    </w:p>
    <w:tbl>
      <w:tblPr>
        <w:tblStyle w:val="48"/>
        <w:tblW w:w="1091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87"/>
        <w:gridCol w:w="1023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63" w:hRule="atLeast"/>
          <w:tblHeader/>
          <w:jc w:val="center"/>
        </w:trPr>
        <w:tc>
          <w:tcPr>
            <w:tcW w:w="687"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ind w:left="0" w:right="0"/>
              <w:contextualSpacing/>
              <w:jc w:val="center"/>
              <w:textAlignment w:val="auto"/>
              <w:rPr>
                <w:color w:val="auto"/>
                <w:szCs w:val="21"/>
                <w:highlight w:val="none"/>
              </w:rPr>
            </w:pPr>
            <w:r>
              <w:rPr>
                <w:rFonts w:hint="eastAsia"/>
                <w:color w:val="auto"/>
                <w:szCs w:val="21"/>
                <w:highlight w:val="none"/>
              </w:rPr>
              <w:t>序号</w:t>
            </w:r>
          </w:p>
        </w:tc>
        <w:tc>
          <w:tcPr>
            <w:tcW w:w="10230"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ind w:left="0" w:right="0"/>
              <w:contextualSpacing/>
              <w:jc w:val="center"/>
              <w:textAlignment w:val="auto"/>
              <w:rPr>
                <w:color w:val="auto"/>
                <w:szCs w:val="21"/>
                <w:highlight w:val="none"/>
              </w:rPr>
            </w:pPr>
            <w:r>
              <w:rPr>
                <w:rFonts w:hint="eastAsia"/>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74" w:hRule="atLeast"/>
          <w:jc w:val="center"/>
        </w:trPr>
        <w:tc>
          <w:tcPr>
            <w:tcW w:w="68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jc w:val="center"/>
              <w:textAlignment w:val="auto"/>
              <w:rPr>
                <w:color w:val="auto"/>
                <w:szCs w:val="21"/>
                <w:highlight w:val="none"/>
              </w:rPr>
            </w:pPr>
            <w:r>
              <w:rPr>
                <w:rFonts w:hint="eastAsia"/>
                <w:color w:val="auto"/>
                <w:szCs w:val="21"/>
                <w:highlight w:val="none"/>
              </w:rPr>
              <w:t>1</w:t>
            </w:r>
          </w:p>
        </w:tc>
        <w:tc>
          <w:tcPr>
            <w:tcW w:w="10230" w:type="dxa"/>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ind w:left="0" w:right="0"/>
              <w:contextualSpacing/>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聚贤街道2023年度职工疗休养项目</w:t>
            </w:r>
            <w:r>
              <w:rPr>
                <w:rFonts w:hint="eastAsia" w:ascii="宋体" w:hAnsi="宋体" w:eastAsia="宋体" w:cs="宋体"/>
                <w:color w:val="auto"/>
                <w:szCs w:val="21"/>
                <w:highlight w:val="non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400" w:lineRule="exact"/>
              <w:ind w:left="0" w:right="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俞老师</w:t>
            </w:r>
            <w:r>
              <w:rPr>
                <w:rFonts w:hint="eastAsia" w:ascii="宋体" w:hAnsi="宋体" w:eastAsia="宋体" w:cs="宋体"/>
                <w:color w:val="auto"/>
                <w:szCs w:val="21"/>
                <w:highlight w:val="none"/>
              </w:rPr>
              <w:t xml:space="preserve">  </w:t>
            </w:r>
          </w:p>
          <w:p>
            <w:pPr>
              <w:keepNext w:val="0"/>
              <w:keepLines w:val="0"/>
              <w:pageBreakBefore w:val="0"/>
              <w:widowControl/>
              <w:kinsoku/>
              <w:wordWrap/>
              <w:overflowPunct/>
              <w:topLinePunct w:val="0"/>
              <w:autoSpaceDE w:val="0"/>
              <w:autoSpaceDN w:val="0"/>
              <w:bidi w:val="0"/>
              <w:adjustRightInd/>
              <w:snapToGrid/>
              <w:spacing w:line="400" w:lineRule="exact"/>
              <w:ind w:left="0" w:right="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0574-89076229</w:t>
            </w:r>
            <w:r>
              <w:rPr>
                <w:rFonts w:hint="eastAsia" w:ascii="宋体" w:hAnsi="宋体" w:eastAsia="宋体" w:cs="宋体"/>
                <w:color w:val="auto"/>
                <w:szCs w:val="21"/>
                <w:highlight w:val="non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400" w:lineRule="exact"/>
              <w:ind w:left="0" w:right="0"/>
              <w:contextualSpacing/>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1"/>
                <w:highlight w:val="none"/>
              </w:rPr>
              <w:t>联系地址：</w:t>
            </w:r>
            <w:r>
              <w:rPr>
                <w:rFonts w:hint="eastAsia" w:ascii="宋体" w:hAnsi="宋体" w:eastAsia="宋体" w:cs="宋体"/>
                <w:b w:val="0"/>
                <w:color w:val="auto"/>
                <w:spacing w:val="0"/>
                <w:sz w:val="21"/>
                <w:szCs w:val="21"/>
                <w:highlight w:val="none"/>
                <w:lang w:eastAsia="zh-CN"/>
              </w:rPr>
              <w:t>宁波高新区江南路1962号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37" w:hRule="atLeast"/>
          <w:jc w:val="center"/>
        </w:trPr>
        <w:tc>
          <w:tcPr>
            <w:tcW w:w="68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jc w:val="center"/>
              <w:textAlignment w:val="auto"/>
              <w:rPr>
                <w:color w:val="auto"/>
                <w:szCs w:val="21"/>
                <w:highlight w:val="none"/>
              </w:rPr>
            </w:pPr>
          </w:p>
        </w:tc>
        <w:tc>
          <w:tcPr>
            <w:tcW w:w="1023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宁波高正工程管理有限公司</w:t>
            </w:r>
          </w:p>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val="en-US" w:eastAsia="zh-CN"/>
              </w:rPr>
              <w:t>宁波市鄞州区嘉恒广场写字楼B座10楼</w:t>
            </w:r>
          </w:p>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编：315000</w:t>
            </w:r>
          </w:p>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val="en-US" w:eastAsia="zh-CN"/>
              </w:rPr>
              <w:t>13250960121</w:t>
            </w:r>
          </w:p>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电子邮件：</w:t>
            </w:r>
            <w:r>
              <w:rPr>
                <w:rFonts w:hint="eastAsia" w:ascii="宋体" w:hAnsi="宋体" w:eastAsia="宋体" w:cs="宋体"/>
                <w:color w:val="auto"/>
                <w:szCs w:val="21"/>
                <w:highlight w:val="none"/>
                <w:lang w:val="en-US" w:eastAsia="zh-CN"/>
              </w:rPr>
              <w:t>438208792</w:t>
            </w:r>
            <w:r>
              <w:rPr>
                <w:rFonts w:hint="eastAsia" w:ascii="宋体" w:hAnsi="宋体" w:eastAsia="宋体" w:cs="宋体"/>
                <w:color w:val="auto"/>
                <w:szCs w:val="21"/>
                <w:highlight w:val="none"/>
              </w:rPr>
              <w:t>@qq.com</w:t>
            </w:r>
          </w:p>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lang w:val="en-US" w:eastAsia="zh-CN"/>
              </w:rPr>
              <w:t>朱宇超、陈懿倩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687" w:type="dxa"/>
            <w:tcBorders>
              <w:top w:val="single" w:color="auto" w:sz="4"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contextualSpacing/>
              <w:jc w:val="center"/>
              <w:textAlignment w:val="auto"/>
              <w:rPr>
                <w:color w:val="auto"/>
                <w:szCs w:val="21"/>
                <w:highlight w:val="none"/>
              </w:rPr>
            </w:pPr>
            <w:r>
              <w:rPr>
                <w:rFonts w:hint="eastAsia"/>
                <w:color w:val="auto"/>
                <w:szCs w:val="21"/>
                <w:highlight w:val="none"/>
              </w:rPr>
              <w:t>2</w:t>
            </w:r>
          </w:p>
        </w:tc>
        <w:tc>
          <w:tcPr>
            <w:tcW w:w="10230" w:type="dxa"/>
            <w:tcBorders>
              <w:top w:val="single" w:color="auto" w:sz="4"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contextualSpacing/>
              <w:textAlignment w:val="auto"/>
              <w:rPr>
                <w:color w:val="auto"/>
                <w:szCs w:val="21"/>
                <w:highlight w:val="none"/>
              </w:rPr>
            </w:pPr>
            <w:r>
              <w:rPr>
                <w:rFonts w:hint="eastAsia" w:eastAsia="宋体" w:cs="Times New Roman"/>
                <w:color w:val="auto"/>
                <w:szCs w:val="24"/>
                <w:highlight w:val="none"/>
              </w:rPr>
              <w:t>经批准的本次采购方式：</w:t>
            </w:r>
            <w:r>
              <w:rPr>
                <w:rFonts w:hint="eastAsia" w:ascii="宋体" w:hAnsi="宋体" w:cs="宋体"/>
                <w:bCs/>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7" w:type="dxa"/>
            <w:tcBorders>
              <w:top w:val="single" w:color="auto" w:sz="4" w:space="0"/>
              <w:bottom w:val="single" w:color="auto" w:sz="2" w:space="0"/>
            </w:tcBorders>
            <w:noWrap w:val="0"/>
            <w:vAlign w:val="center"/>
          </w:tcPr>
          <w:p>
            <w:pPr>
              <w:keepNext w:val="0"/>
              <w:keepLines w:val="0"/>
              <w:pageBreakBefore w:val="0"/>
              <w:widowControl w:val="0"/>
              <w:kinsoku/>
              <w:wordWrap/>
              <w:overflowPunct/>
              <w:topLinePunct w:val="0"/>
              <w:bidi w:val="0"/>
              <w:adjustRightInd/>
              <w:spacing w:line="400" w:lineRule="exact"/>
              <w:ind w:left="0" w:right="0"/>
              <w:contextualSpacing/>
              <w:jc w:val="center"/>
              <w:textAlignment w:val="auto"/>
              <w:rPr>
                <w:color w:val="auto"/>
                <w:szCs w:val="21"/>
                <w:highlight w:val="none"/>
              </w:rPr>
            </w:pPr>
            <w:r>
              <w:rPr>
                <w:rFonts w:hint="eastAsia"/>
                <w:color w:val="auto"/>
                <w:szCs w:val="21"/>
                <w:highlight w:val="none"/>
              </w:rPr>
              <w:t>★3</w:t>
            </w:r>
          </w:p>
        </w:tc>
        <w:tc>
          <w:tcPr>
            <w:tcW w:w="10230" w:type="dxa"/>
            <w:tcBorders>
              <w:top w:val="single" w:color="auto" w:sz="4" w:space="0"/>
              <w:bottom w:val="single" w:color="auto" w:sz="2" w:space="0"/>
            </w:tcBorders>
            <w:noWrap w:val="0"/>
            <w:vAlign w:val="center"/>
          </w:tcPr>
          <w:p>
            <w:pPr>
              <w:keepNext w:val="0"/>
              <w:keepLines w:val="0"/>
              <w:pageBreakBefore w:val="0"/>
              <w:widowControl w:val="0"/>
              <w:kinsoku/>
              <w:wordWrap/>
              <w:overflowPunct/>
              <w:topLinePunct w:val="0"/>
              <w:bidi w:val="0"/>
              <w:adjustRightInd/>
              <w:spacing w:line="400" w:lineRule="exact"/>
              <w:ind w:left="0" w:right="0"/>
              <w:contextualSpacing/>
              <w:textAlignment w:val="auto"/>
              <w:rPr>
                <w:rFonts w:hint="default" w:eastAsia="宋体" w:cs="Arial"/>
                <w:color w:val="auto"/>
                <w:szCs w:val="21"/>
                <w:highlight w:val="none"/>
                <w:lang w:val="en-US" w:eastAsia="zh-CN"/>
              </w:rPr>
            </w:pPr>
            <w:r>
              <w:rPr>
                <w:rFonts w:hint="eastAsia" w:cs="Arial"/>
                <w:b/>
                <w:bCs/>
                <w:color w:val="auto"/>
                <w:szCs w:val="21"/>
                <w:highlight w:val="none"/>
              </w:rPr>
              <w:t>供应商</w:t>
            </w:r>
            <w:r>
              <w:rPr>
                <w:rFonts w:cs="Arial"/>
                <w:b/>
                <w:bCs/>
                <w:color w:val="auto"/>
                <w:szCs w:val="21"/>
                <w:highlight w:val="none"/>
              </w:rPr>
              <w:t>的资格要求：</w:t>
            </w:r>
            <w:r>
              <w:rPr>
                <w:rFonts w:hint="eastAsia" w:eastAsia="宋体" w:cs="Times New Roman"/>
                <w:color w:val="auto"/>
                <w:szCs w:val="24"/>
                <w:highlight w:val="none"/>
                <w:lang w:val="en-US" w:eastAsia="zh-CN"/>
              </w:rPr>
              <w:t>详见采购公告</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4" w:hRule="atLeast"/>
          <w:jc w:val="center"/>
        </w:trPr>
        <w:tc>
          <w:tcPr>
            <w:tcW w:w="687" w:type="dxa"/>
            <w:tcBorders>
              <w:top w:val="single" w:color="auto" w:sz="4" w:space="0"/>
              <w:bottom w:val="single" w:color="auto" w:sz="2" w:space="0"/>
            </w:tcBorders>
            <w:noWrap w:val="0"/>
            <w:vAlign w:val="center"/>
          </w:tcPr>
          <w:p>
            <w:pPr>
              <w:keepNext w:val="0"/>
              <w:keepLines w:val="0"/>
              <w:pageBreakBefore w:val="0"/>
              <w:widowControl w:val="0"/>
              <w:kinsoku/>
              <w:wordWrap/>
              <w:overflowPunct/>
              <w:topLinePunct w:val="0"/>
              <w:bidi w:val="0"/>
              <w:adjustRightInd/>
              <w:spacing w:line="400" w:lineRule="exact"/>
              <w:ind w:left="0" w:right="0"/>
              <w:contextualSpacing/>
              <w:jc w:val="center"/>
              <w:textAlignment w:val="auto"/>
              <w:rPr>
                <w:color w:val="auto"/>
                <w:szCs w:val="21"/>
                <w:highlight w:val="none"/>
              </w:rPr>
            </w:pPr>
            <w:r>
              <w:rPr>
                <w:rFonts w:hint="eastAsia"/>
                <w:color w:val="auto"/>
                <w:szCs w:val="21"/>
                <w:highlight w:val="none"/>
              </w:rPr>
              <w:t>4</w:t>
            </w:r>
          </w:p>
        </w:tc>
        <w:tc>
          <w:tcPr>
            <w:tcW w:w="10230" w:type="dxa"/>
            <w:tcBorders>
              <w:top w:val="single" w:color="auto" w:sz="4" w:space="0"/>
              <w:bottom w:val="single" w:color="auto" w:sz="2" w:space="0"/>
            </w:tcBorders>
            <w:noWrap w:val="0"/>
            <w:vAlign w:val="center"/>
          </w:tcPr>
          <w:p>
            <w:pPr>
              <w:keepNext w:val="0"/>
              <w:keepLines w:val="0"/>
              <w:pageBreakBefore w:val="0"/>
              <w:widowControl w:val="0"/>
              <w:kinsoku/>
              <w:wordWrap/>
              <w:overflowPunct/>
              <w:topLinePunct w:val="0"/>
              <w:bidi w:val="0"/>
              <w:adjustRightInd/>
              <w:spacing w:line="400" w:lineRule="exact"/>
              <w:ind w:left="0" w:right="0"/>
              <w:contextualSpacing/>
              <w:textAlignment w:val="auto"/>
              <w:rPr>
                <w:color w:val="auto"/>
                <w:szCs w:val="21"/>
                <w:highlight w:val="none"/>
              </w:rPr>
            </w:pPr>
            <w:r>
              <w:rPr>
                <w:rFonts w:hint="eastAsia"/>
                <w:color w:val="auto"/>
                <w:szCs w:val="21"/>
                <w:highlight w:val="none"/>
              </w:rPr>
              <w:t>资格审查：本项目采用资格后审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7" w:type="dxa"/>
            <w:noWrap w:val="0"/>
            <w:vAlign w:val="center"/>
          </w:tcPr>
          <w:p>
            <w:pPr>
              <w:keepNext w:val="0"/>
              <w:keepLines w:val="0"/>
              <w:pageBreakBefore w:val="0"/>
              <w:widowControl w:val="0"/>
              <w:tabs>
                <w:tab w:val="left" w:pos="1580"/>
                <w:tab w:val="left" w:pos="3436"/>
                <w:tab w:val="left" w:pos="5512"/>
              </w:tabs>
              <w:kinsoku/>
              <w:wordWrap/>
              <w:overflowPunct/>
              <w:topLinePunct w:val="0"/>
              <w:bidi w:val="0"/>
              <w:adjustRightInd/>
              <w:spacing w:line="400" w:lineRule="exact"/>
              <w:ind w:left="0" w:right="0"/>
              <w:contextualSpacing/>
              <w:jc w:val="center"/>
              <w:textAlignment w:val="auto"/>
              <w:rPr>
                <w:rFonts w:hint="eastAsia" w:eastAsia="宋体"/>
                <w:color w:val="auto"/>
                <w:szCs w:val="21"/>
                <w:highlight w:val="none"/>
                <w:lang w:eastAsia="zh-CN"/>
              </w:rPr>
            </w:pPr>
            <w:r>
              <w:rPr>
                <w:rFonts w:hint="eastAsia"/>
                <w:color w:val="auto"/>
                <w:szCs w:val="21"/>
                <w:highlight w:val="none"/>
              </w:rPr>
              <w:t>★</w:t>
            </w:r>
            <w:r>
              <w:rPr>
                <w:rFonts w:hint="eastAsia"/>
                <w:color w:val="auto"/>
                <w:szCs w:val="21"/>
                <w:highlight w:val="none"/>
                <w:lang w:val="en-US" w:eastAsia="zh-CN"/>
              </w:rPr>
              <w:t>5</w:t>
            </w:r>
          </w:p>
        </w:tc>
        <w:tc>
          <w:tcPr>
            <w:tcW w:w="10230"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right="0" w:rightChars="0"/>
              <w:contextualSpacing/>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投标报价：</w:t>
            </w:r>
          </w:p>
          <w:p>
            <w:pPr>
              <w:pStyle w:val="2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textAlignment w:val="auto"/>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、报价构成：</w:t>
            </w:r>
            <w:r>
              <w:rPr>
                <w:rFonts w:hint="eastAsia" w:ascii="宋体" w:hAnsi="宋体" w:eastAsia="宋体" w:cs="宋体"/>
                <w:bCs/>
                <w:color w:val="auto"/>
                <w:sz w:val="21"/>
                <w:szCs w:val="21"/>
                <w:highlight w:val="none"/>
              </w:rPr>
              <w:t>包括完成服务期限内疗休养的交通费、住宿费、餐费，各旅游景点的所有门票、导游、司机的费用、服务费、责任险和意外险费、管理费、</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lang w:eastAsia="zh-CN"/>
              </w:rPr>
              <w:t>服务费、</w:t>
            </w:r>
            <w:r>
              <w:rPr>
                <w:rFonts w:hint="eastAsia" w:ascii="宋体" w:hAnsi="宋体" w:eastAsia="宋体" w:cs="宋体"/>
                <w:bCs/>
                <w:color w:val="auto"/>
                <w:sz w:val="21"/>
                <w:szCs w:val="21"/>
                <w:highlight w:val="none"/>
              </w:rPr>
              <w:t>税金、规费以及履行合同所需的所有风险、责任等其他一切隐含及不可预见的费用。</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、采购预算：</w:t>
            </w:r>
            <w:r>
              <w:rPr>
                <w:rFonts w:hint="eastAsia" w:ascii="宋体" w:hAnsi="宋体" w:cs="宋体"/>
                <w:b w:val="0"/>
                <w:bCs/>
                <w:color w:val="auto"/>
                <w:sz w:val="21"/>
                <w:szCs w:val="21"/>
                <w:highlight w:val="none"/>
                <w:lang w:val="en-US" w:eastAsia="zh-CN"/>
              </w:rPr>
              <w:t>人民币450000元</w:t>
            </w:r>
            <w:r>
              <w:rPr>
                <w:rFonts w:hint="eastAsia" w:ascii="宋体" w:hAnsi="宋体" w:eastAsia="宋体" w:cs="宋体"/>
                <w:b w:val="0"/>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、除非因特殊原因并经双方协商同意，否则</w:t>
            </w:r>
            <w:r>
              <w:rPr>
                <w:rFonts w:hint="eastAsia" w:ascii="宋体" w:hAnsi="宋体" w:eastAsia="宋体" w:cs="宋体"/>
                <w:b w:val="0"/>
                <w:bCs/>
                <w:color w:val="auto"/>
                <w:sz w:val="21"/>
                <w:szCs w:val="21"/>
                <w:highlight w:val="none"/>
                <w:lang w:eastAsia="zh-CN"/>
              </w:rPr>
              <w:t>成交供应商</w:t>
            </w:r>
            <w:r>
              <w:rPr>
                <w:rFonts w:hint="eastAsia" w:ascii="宋体" w:hAnsi="宋体" w:eastAsia="宋体" w:cs="宋体"/>
                <w:b w:val="0"/>
                <w:bCs/>
                <w:color w:val="auto"/>
                <w:sz w:val="21"/>
                <w:szCs w:val="21"/>
                <w:highlight w:val="none"/>
              </w:rPr>
              <w:t>不得再要求追加任何费用。同时，除非合同条款中另有规定，否则，</w:t>
            </w:r>
            <w:r>
              <w:rPr>
                <w:rFonts w:hint="eastAsia" w:ascii="宋体" w:hAnsi="宋体" w:eastAsia="宋体" w:cs="宋体"/>
                <w:b w:val="0"/>
                <w:bCs/>
                <w:color w:val="auto"/>
                <w:sz w:val="21"/>
                <w:szCs w:val="21"/>
                <w:highlight w:val="none"/>
                <w:lang w:eastAsia="zh-CN"/>
              </w:rPr>
              <w:t>成交供应商</w:t>
            </w:r>
            <w:r>
              <w:rPr>
                <w:rFonts w:hint="eastAsia" w:ascii="宋体" w:hAnsi="宋体" w:eastAsia="宋体" w:cs="宋体"/>
                <w:b w:val="0"/>
                <w:bCs/>
                <w:color w:val="auto"/>
                <w:sz w:val="21"/>
                <w:szCs w:val="21"/>
                <w:highlight w:val="none"/>
              </w:rPr>
              <w:t>所报价格在合同实施期间不因市场变化和政策因素而变动。</w:t>
            </w:r>
          </w:p>
          <w:p>
            <w:pPr>
              <w:keepNext w:val="0"/>
              <w:keepLines w:val="0"/>
              <w:pageBreakBefore w:val="0"/>
              <w:widowControl w:val="0"/>
              <w:kinsoku/>
              <w:wordWrap/>
              <w:overflowPunct/>
              <w:topLinePunct w:val="0"/>
              <w:autoSpaceDE w:val="0"/>
              <w:autoSpaceDN w:val="0"/>
              <w:bidi w:val="0"/>
              <w:adjustRightInd/>
              <w:snapToGrid w:val="0"/>
              <w:spacing w:line="360" w:lineRule="auto"/>
              <w:ind w:left="0" w:right="0"/>
              <w:contextualSpacing/>
              <w:textAlignment w:val="auto"/>
              <w:rPr>
                <w:color w:val="auto"/>
                <w:szCs w:val="21"/>
                <w:highlight w:val="none"/>
              </w:rPr>
            </w:pP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、不论投标结果如何，</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687" w:type="dxa"/>
            <w:noWrap w:val="0"/>
            <w:vAlign w:val="center"/>
          </w:tcPr>
          <w:p>
            <w:pPr>
              <w:keepNext w:val="0"/>
              <w:keepLines w:val="0"/>
              <w:pageBreakBefore w:val="0"/>
              <w:widowControl w:val="0"/>
              <w:tabs>
                <w:tab w:val="left" w:pos="1580"/>
                <w:tab w:val="left" w:pos="3436"/>
                <w:tab w:val="left" w:pos="5512"/>
              </w:tabs>
              <w:kinsoku/>
              <w:wordWrap/>
              <w:overflowPunct/>
              <w:topLinePunct w:val="0"/>
              <w:bidi w:val="0"/>
              <w:adjustRightInd/>
              <w:spacing w:line="400" w:lineRule="exact"/>
              <w:ind w:left="0" w:right="0"/>
              <w:contextualSpacing/>
              <w:jc w:val="center"/>
              <w:textAlignment w:val="auto"/>
              <w:rPr>
                <w:rFonts w:hint="eastAsia" w:eastAsia="宋体"/>
                <w:color w:val="auto"/>
                <w:szCs w:val="21"/>
                <w:highlight w:val="none"/>
                <w:lang w:eastAsia="zh-CN"/>
              </w:rPr>
            </w:pPr>
            <w:r>
              <w:rPr>
                <w:rFonts w:hint="eastAsia"/>
                <w:color w:val="auto"/>
                <w:szCs w:val="21"/>
                <w:highlight w:val="none"/>
              </w:rPr>
              <w:t>★</w:t>
            </w:r>
            <w:r>
              <w:rPr>
                <w:rFonts w:hint="eastAsia"/>
                <w:color w:val="auto"/>
                <w:szCs w:val="21"/>
                <w:highlight w:val="none"/>
                <w:lang w:val="en-US" w:eastAsia="zh-CN"/>
              </w:rPr>
              <w:t>6</w:t>
            </w:r>
          </w:p>
        </w:tc>
        <w:tc>
          <w:tcPr>
            <w:tcW w:w="1023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textAlignment w:val="auto"/>
              <w:rPr>
                <w:color w:val="auto"/>
                <w:szCs w:val="21"/>
                <w:highlight w:val="none"/>
              </w:rPr>
            </w:pPr>
            <w:r>
              <w:rPr>
                <w:rFonts w:hint="eastAsia"/>
                <w:color w:val="auto"/>
                <w:szCs w:val="21"/>
                <w:highlight w:val="none"/>
              </w:rPr>
              <w:t>投标有效期：开标之日起90日历天；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687" w:type="dxa"/>
            <w:noWrap w:val="0"/>
            <w:vAlign w:val="center"/>
          </w:tcPr>
          <w:p>
            <w:pPr>
              <w:keepNext w:val="0"/>
              <w:keepLines w:val="0"/>
              <w:pageBreakBefore w:val="0"/>
              <w:widowControl w:val="0"/>
              <w:tabs>
                <w:tab w:val="left" w:pos="1580"/>
                <w:tab w:val="left" w:pos="3436"/>
                <w:tab w:val="left" w:pos="5512"/>
              </w:tabs>
              <w:kinsoku/>
              <w:wordWrap/>
              <w:overflowPunct/>
              <w:topLinePunct w:val="0"/>
              <w:bidi w:val="0"/>
              <w:adjustRightInd/>
              <w:spacing w:line="400" w:lineRule="exact"/>
              <w:ind w:left="0" w:right="0"/>
              <w:contextualSpacing/>
              <w:jc w:val="center"/>
              <w:textAlignment w:val="auto"/>
              <w:rPr>
                <w:rFonts w:hint="eastAsia" w:eastAsia="宋体"/>
                <w:color w:val="auto"/>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7</w:t>
            </w:r>
          </w:p>
        </w:tc>
        <w:tc>
          <w:tcPr>
            <w:tcW w:w="10230" w:type="dxa"/>
            <w:noWrap w:val="0"/>
            <w:vAlign w:val="center"/>
          </w:tcPr>
          <w:p>
            <w:pPr>
              <w:keepNext w:val="0"/>
              <w:keepLines w:val="0"/>
              <w:pageBreakBefore w:val="0"/>
              <w:widowControl w:val="0"/>
              <w:kinsoku/>
              <w:wordWrap/>
              <w:overflowPunct/>
              <w:topLinePunct w:val="0"/>
              <w:bidi w:val="0"/>
              <w:adjustRightInd/>
              <w:spacing w:line="400" w:lineRule="exact"/>
              <w:ind w:left="0" w:right="0"/>
              <w:contextualSpacing/>
              <w:textAlignment w:val="auto"/>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保证金金额：无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790" w:hRule="atLeast"/>
          <w:jc w:val="center"/>
        </w:trPr>
        <w:tc>
          <w:tcPr>
            <w:tcW w:w="687" w:type="dxa"/>
            <w:tcBorders>
              <w:bottom w:val="single" w:color="auto"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jc w:val="both"/>
              <w:textAlignment w:val="auto"/>
              <w:rPr>
                <w:rFonts w:hint="default" w:eastAsia="宋体"/>
                <w:color w:val="auto"/>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8</w:t>
            </w:r>
          </w:p>
        </w:tc>
        <w:tc>
          <w:tcPr>
            <w:tcW w:w="102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投标文件份数：本项目实行网上投标，供应商应准备以下投标文件：</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★1、上传到政府采购云平台的电子投标文件（含资格文件、商务技术文件、报价文件）1份。</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 U 盘形式存储的电子备份投标文件（含资格文件、商务技术文件、报价文件）1份。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left="0" w:leftChars="0" w:right="0" w:rightChars="0" w:firstLine="0" w:firstLineChars="0"/>
              <w:contextualSpacing/>
              <w:jc w:val="both"/>
              <w:textAlignment w:val="auto"/>
              <w:rPr>
                <w:rFonts w:hint="eastAsia"/>
                <w:color w:val="auto"/>
                <w:szCs w:val="21"/>
                <w:highlight w:val="none"/>
              </w:rPr>
            </w:pPr>
            <w:r>
              <w:rPr>
                <w:rFonts w:hint="eastAsia" w:ascii="宋体" w:hAnsi="宋体" w:eastAsia="宋体" w:cs="宋体"/>
                <w:color w:val="auto"/>
                <w:sz w:val="21"/>
                <w:szCs w:val="21"/>
                <w:highlight w:val="none"/>
              </w:rPr>
              <w:t>注：电子备份投标文件不作实质性要求，是否提交由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自行决定。</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9" w:hRule="atLeast"/>
          <w:jc w:val="center"/>
        </w:trPr>
        <w:tc>
          <w:tcPr>
            <w:tcW w:w="687" w:type="dxa"/>
            <w:tcBorders>
              <w:top w:val="single" w:color="auto" w:sz="2"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jc w:val="center"/>
              <w:textAlignment w:val="auto"/>
              <w:rPr>
                <w:rFonts w:hint="default"/>
                <w:color w:val="auto"/>
                <w:szCs w:val="21"/>
                <w:highlight w:val="none"/>
                <w:lang w:val="en-US" w:eastAsia="zh-CN"/>
              </w:rPr>
            </w:pPr>
            <w:r>
              <w:rPr>
                <w:rFonts w:hint="eastAsia"/>
                <w:color w:val="auto"/>
                <w:szCs w:val="21"/>
                <w:highlight w:val="none"/>
                <w:lang w:val="en-US" w:eastAsia="zh-CN"/>
              </w:rPr>
              <w:t>9</w:t>
            </w:r>
          </w:p>
        </w:tc>
        <w:tc>
          <w:tcPr>
            <w:tcW w:w="10230" w:type="dxa"/>
            <w:tcBorders>
              <w:top w:val="single" w:color="auto" w:sz="2"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textAlignment w:val="auto"/>
              <w:rPr>
                <w:rFonts w:hint="eastAsia"/>
                <w:color w:val="auto"/>
                <w:szCs w:val="21"/>
                <w:highlight w:val="none"/>
              </w:rPr>
            </w:pPr>
            <w:r>
              <w:rPr>
                <w:rFonts w:hint="eastAsia" w:ascii="宋体" w:hAnsi="宋体" w:eastAsia="宋体" w:cs="宋体"/>
                <w:color w:val="auto"/>
                <w:sz w:val="21"/>
                <w:szCs w:val="21"/>
                <w:highlight w:val="none"/>
              </w:rPr>
              <w:t>投标截止时间和地点：详见第一章 采购公告“投标截止时间和地点”。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87" w:type="dxa"/>
            <w:tcBorders>
              <w:top w:val="single" w:color="auto" w:sz="2"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jc w:val="center"/>
              <w:textAlignment w:val="auto"/>
              <w:rPr>
                <w:rFonts w:hint="eastAsia" w:eastAsia="宋体"/>
                <w:color w:val="auto"/>
                <w:kern w:val="2"/>
                <w:sz w:val="21"/>
                <w:szCs w:val="21"/>
                <w:highlight w:val="none"/>
                <w:lang w:val="en-US" w:eastAsia="zh-CN" w:bidi="ar-SA"/>
              </w:rPr>
            </w:pPr>
            <w:r>
              <w:rPr>
                <w:rFonts w:hint="eastAsia"/>
                <w:color w:val="auto"/>
                <w:szCs w:val="21"/>
                <w:highlight w:val="none"/>
                <w:lang w:val="en-US" w:eastAsia="zh-CN"/>
              </w:rPr>
              <w:t>10</w:t>
            </w:r>
          </w:p>
        </w:tc>
        <w:tc>
          <w:tcPr>
            <w:tcW w:w="10230" w:type="dxa"/>
            <w:tcBorders>
              <w:top w:val="single" w:color="auto" w:sz="2"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textAlignment w:val="auto"/>
              <w:rPr>
                <w:rFonts w:hint="eastAsia"/>
                <w:color w:val="auto"/>
                <w:szCs w:val="21"/>
                <w:highlight w:val="none"/>
                <w:lang w:val="en-US" w:eastAsia="zh-CN"/>
              </w:rPr>
            </w:pPr>
            <w:r>
              <w:rPr>
                <w:rFonts w:hint="eastAsia"/>
                <w:color w:val="auto"/>
                <w:szCs w:val="21"/>
                <w:highlight w:val="none"/>
                <w:lang w:val="en-US" w:eastAsia="zh-CN"/>
              </w:rPr>
              <w:t>采购标的：聚贤街道2023年度职工疗休养项目。</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textAlignment w:val="auto"/>
              <w:rPr>
                <w:rFonts w:hint="eastAsia"/>
                <w:color w:val="auto"/>
                <w:szCs w:val="21"/>
                <w:highlight w:val="none"/>
                <w:lang w:val="en-US" w:eastAsia="zh-CN"/>
              </w:rPr>
            </w:pPr>
            <w:r>
              <w:rPr>
                <w:rFonts w:hint="eastAsia"/>
                <w:color w:val="auto"/>
                <w:szCs w:val="21"/>
                <w:highlight w:val="none"/>
                <w:lang w:val="en-US" w:eastAsia="zh-CN"/>
              </w:rPr>
              <w:t>所属行业：租赁和商务服务业。</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textAlignment w:val="auto"/>
              <w:rPr>
                <w:rFonts w:hint="eastAsia"/>
                <w:color w:val="auto"/>
                <w:szCs w:val="21"/>
                <w:highlight w:val="none"/>
                <w:lang w:val="en-US" w:eastAsia="zh-CN"/>
              </w:rPr>
            </w:pPr>
            <w:r>
              <w:rPr>
                <w:rFonts w:hint="eastAsia"/>
                <w:color w:val="auto"/>
                <w:szCs w:val="21"/>
                <w:highlight w:val="none"/>
                <w:lang w:val="en-US" w:eastAsia="zh-CN"/>
              </w:rPr>
              <w:t>行业划分标准：《关于印发中小企业划型标准规定的通知》工信部联企业〔2011〕300号。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83" w:hRule="atLeast"/>
          <w:jc w:val="center"/>
        </w:trPr>
        <w:tc>
          <w:tcPr>
            <w:tcW w:w="687" w:type="dxa"/>
            <w:tcBorders>
              <w:top w:val="single" w:color="auto"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jc w:val="center"/>
              <w:textAlignment w:val="auto"/>
              <w:rPr>
                <w:rFonts w:hint="default"/>
                <w:color w:val="auto"/>
                <w:kern w:val="2"/>
                <w:sz w:val="21"/>
                <w:szCs w:val="21"/>
                <w:highlight w:val="none"/>
                <w:lang w:val="en-US" w:eastAsia="zh-CN" w:bidi="ar-SA"/>
              </w:rPr>
            </w:pPr>
            <w:r>
              <w:rPr>
                <w:rFonts w:hint="eastAsia"/>
                <w:color w:val="auto"/>
                <w:szCs w:val="21"/>
                <w:highlight w:val="none"/>
                <w:lang w:val="en-US" w:eastAsia="zh-CN"/>
              </w:rPr>
              <w:t>11</w:t>
            </w:r>
          </w:p>
        </w:tc>
        <w:tc>
          <w:tcPr>
            <w:tcW w:w="10230" w:type="dxa"/>
            <w:tcBorders>
              <w:top w:val="single" w:color="auto"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jc w:val="left"/>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 w:val="21"/>
                <w:szCs w:val="21"/>
                <w:highlight w:val="none"/>
              </w:rPr>
              <w:t>评标委员会的组建</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Cs w:val="21"/>
                <w:highlight w:val="none"/>
              </w:rPr>
              <w:t>评标委员会构成：5 人，招标人代表： ≤1人，</w:t>
            </w:r>
            <w:r>
              <w:rPr>
                <w:rFonts w:hint="eastAsia" w:ascii="Times New Roman" w:hAnsi="Times New Roman" w:eastAsia="宋体" w:cs="Times New Roman"/>
                <w:color w:val="auto"/>
                <w:szCs w:val="21"/>
                <w:highlight w:val="none"/>
                <w:lang w:val="en-US" w:eastAsia="zh-CN"/>
              </w:rPr>
              <w:t>评审</w:t>
            </w:r>
            <w:r>
              <w:rPr>
                <w:rFonts w:hint="eastAsia" w:ascii="Times New Roman" w:hAnsi="Times New Roman" w:eastAsia="宋体" w:cs="Times New Roman"/>
                <w:color w:val="auto"/>
                <w:szCs w:val="21"/>
                <w:highlight w:val="none"/>
              </w:rPr>
              <w:t>专家≥4人</w:t>
            </w:r>
            <w:r>
              <w:rPr>
                <w:rFonts w:hint="eastAsia"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jc w:val="left"/>
              <w:textAlignment w:val="auto"/>
              <w:rPr>
                <w:rFonts w:hint="eastAsia" w:ascii="宋体" w:hAnsi="宋体" w:eastAsia="宋体"/>
                <w:b/>
                <w:bCs/>
                <w:color w:val="auto"/>
                <w:szCs w:val="21"/>
                <w:highlight w:val="none"/>
                <w:lang w:eastAsia="zh-CN"/>
              </w:rPr>
            </w:pPr>
            <w:r>
              <w:rPr>
                <w:rFonts w:hint="eastAsia" w:ascii="Times New Roman" w:hAnsi="Times New Roman" w:eastAsia="宋体" w:cs="Times New Roman"/>
                <w:color w:val="auto"/>
                <w:szCs w:val="21"/>
                <w:highlight w:val="none"/>
              </w:rPr>
              <w:t>评</w:t>
            </w:r>
            <w:r>
              <w:rPr>
                <w:rFonts w:hint="eastAsia" w:ascii="Times New Roman" w:hAnsi="Times New Roman" w:eastAsia="宋体" w:cs="Times New Roman"/>
                <w:color w:val="auto"/>
                <w:szCs w:val="21"/>
                <w:highlight w:val="none"/>
                <w:lang w:val="en-US" w:eastAsia="zh-CN"/>
              </w:rPr>
              <w:t>审</w:t>
            </w:r>
            <w:r>
              <w:rPr>
                <w:rFonts w:hint="eastAsia" w:ascii="Times New Roman" w:hAnsi="Times New Roman" w:eastAsia="宋体" w:cs="Times New Roman"/>
                <w:color w:val="auto"/>
                <w:szCs w:val="21"/>
                <w:highlight w:val="none"/>
              </w:rPr>
              <w:t>专家确定方式：</w:t>
            </w:r>
            <w:r>
              <w:rPr>
                <w:rFonts w:hint="eastAsia" w:ascii="Times New Roman" w:hAnsi="Times New Roman" w:eastAsia="宋体" w:cs="Times New Roman"/>
                <w:color w:val="auto"/>
                <w:szCs w:val="21"/>
                <w:highlight w:val="none"/>
                <w:lang w:val="en-US" w:eastAsia="zh-CN"/>
              </w:rPr>
              <w:t>在浙江省政府采购评审</w:t>
            </w:r>
            <w:r>
              <w:rPr>
                <w:rFonts w:hint="eastAsia" w:ascii="Times New Roman" w:hAnsi="Times New Roman" w:eastAsia="宋体" w:cs="Times New Roman"/>
                <w:color w:val="auto"/>
                <w:szCs w:val="21"/>
                <w:highlight w:val="none"/>
              </w:rPr>
              <w:t>专家库</w:t>
            </w:r>
            <w:r>
              <w:rPr>
                <w:rFonts w:hint="eastAsia" w:ascii="Times New Roman" w:hAnsi="Times New Roman" w:eastAsia="宋体" w:cs="Times New Roman"/>
                <w:color w:val="auto"/>
                <w:szCs w:val="21"/>
                <w:highlight w:val="none"/>
                <w:lang w:val="en-US" w:eastAsia="zh-CN"/>
              </w:rPr>
              <w:t>宁波分库</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政采云</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中随机抽取。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687" w:type="dxa"/>
            <w:tcBorders>
              <w:top w:val="single" w:color="auto"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contextualSpacing/>
              <w:jc w:val="center"/>
              <w:textAlignment w:val="auto"/>
              <w:rPr>
                <w:rFonts w:hint="default" w:eastAsia="宋体"/>
                <w:color w:val="auto"/>
                <w:kern w:val="2"/>
                <w:sz w:val="21"/>
                <w:szCs w:val="21"/>
                <w:highlight w:val="none"/>
                <w:lang w:val="en-US" w:eastAsia="zh-CN" w:bidi="ar-SA"/>
              </w:rPr>
            </w:pPr>
            <w:r>
              <w:rPr>
                <w:rFonts w:hint="eastAsia"/>
                <w:color w:val="auto"/>
                <w:kern w:val="2"/>
                <w:sz w:val="21"/>
                <w:szCs w:val="21"/>
                <w:highlight w:val="none"/>
                <w:lang w:val="en-US" w:eastAsia="zh-CN" w:bidi="ar-SA"/>
              </w:rPr>
              <w:t>12</w:t>
            </w:r>
          </w:p>
        </w:tc>
        <w:tc>
          <w:tcPr>
            <w:tcW w:w="10230" w:type="dxa"/>
            <w:tcBorders>
              <w:top w:val="single" w:color="auto" w:sz="2" w:space="0"/>
            </w:tcBorders>
            <w:noWrap w:val="0"/>
            <w:vAlign w:val="center"/>
          </w:tcPr>
          <w:p>
            <w:pPr>
              <w:keepNext w:val="0"/>
              <w:keepLines w:val="0"/>
              <w:pageBreakBefore w:val="0"/>
              <w:widowControl w:val="0"/>
              <w:kinsoku/>
              <w:wordWrap/>
              <w:overflowPunct/>
              <w:topLinePunct w:val="0"/>
              <w:bidi w:val="0"/>
              <w:adjustRightInd/>
              <w:spacing w:line="400" w:lineRule="exact"/>
              <w:ind w:left="0" w:leftChars="0" w:right="0" w:rightChars="0"/>
              <w:jc w:val="left"/>
              <w:textAlignment w:val="auto"/>
              <w:rPr>
                <w:rFonts w:hint="default" w:ascii="宋体" w:hAnsi="宋体" w:eastAsia="宋体"/>
                <w:b/>
                <w:bCs/>
                <w:color w:val="auto"/>
                <w:szCs w:val="21"/>
                <w:highlight w:val="none"/>
                <w:lang w:val="en-US" w:eastAsia="zh-CN"/>
              </w:rPr>
            </w:pPr>
            <w:r>
              <w:rPr>
                <w:rFonts w:hint="eastAsia" w:ascii="宋体" w:hAnsi="宋体"/>
                <w:b/>
                <w:bCs/>
                <w:color w:val="auto"/>
                <w:szCs w:val="21"/>
                <w:highlight w:val="none"/>
              </w:rPr>
              <w:t>本项目信息发布媒体：</w:t>
            </w:r>
            <w:r>
              <w:rPr>
                <w:rFonts w:hint="eastAsia" w:ascii="宋体" w:hAnsi="宋体" w:eastAsia="宋体" w:cs="宋体"/>
                <w:color w:val="auto"/>
                <w:sz w:val="21"/>
                <w:szCs w:val="21"/>
                <w:highlight w:val="none"/>
              </w:rPr>
              <w:t>浙江政府采购网（www.zjzfcg.gov.cn）、宁波市政府采购网（www.nbzfcg.cn）</w:t>
            </w:r>
            <w:r>
              <w:rPr>
                <w:rFonts w:hint="eastAsia" w:ascii="宋体" w:hAnsi="宋体" w:eastAsia="宋体" w:cs="宋体"/>
                <w:color w:val="auto"/>
                <w:sz w:val="21"/>
                <w:szCs w:val="21"/>
                <w:highlight w:val="none"/>
                <w:lang w:eastAsia="zh-CN"/>
              </w:rPr>
              <w:t>、宁波市公共资源交易网（高新区分网）（http://gaoxin.nbggzy.cn/）。</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7" w:hRule="atLeast"/>
          <w:jc w:val="center"/>
        </w:trPr>
        <w:tc>
          <w:tcPr>
            <w:tcW w:w="687" w:type="dxa"/>
            <w:tcBorders>
              <w:top w:val="single" w:color="auto" w:sz="2"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13</w:t>
            </w:r>
          </w:p>
        </w:tc>
        <w:tc>
          <w:tcPr>
            <w:tcW w:w="10230" w:type="dxa"/>
            <w:tcBorders>
              <w:top w:val="single" w:color="auto" w:sz="2" w:space="0"/>
            </w:tcBorders>
            <w:noWrap w:val="0"/>
            <w:vAlign w:val="center"/>
          </w:tcPr>
          <w:p>
            <w:pPr>
              <w:keepNext w:val="0"/>
              <w:keepLines w:val="0"/>
              <w:pageBreakBefore w:val="0"/>
              <w:widowControl w:val="0"/>
              <w:kinsoku/>
              <w:wordWrap/>
              <w:overflowPunct/>
              <w:topLinePunct w:val="0"/>
              <w:bidi w:val="0"/>
              <w:adjustRightInd/>
              <w:snapToGrid w:val="0"/>
              <w:spacing w:line="400" w:lineRule="exact"/>
              <w:ind w:left="0" w:right="0"/>
              <w:textAlignment w:val="auto"/>
              <w:rPr>
                <w:rFonts w:hint="eastAsia"/>
                <w:color w:val="auto"/>
                <w:highlight w:val="none"/>
                <w:lang w:val="zh-CN"/>
              </w:rPr>
            </w:pPr>
            <w:r>
              <w:rPr>
                <w:rFonts w:hint="eastAsia"/>
                <w:color w:val="auto"/>
                <w:highlight w:val="none"/>
                <w:lang w:val="en-US" w:eastAsia="zh-CN"/>
              </w:rPr>
              <w:t>中标</w:t>
            </w:r>
            <w:r>
              <w:rPr>
                <w:rFonts w:hint="eastAsia"/>
                <w:color w:val="auto"/>
                <w:highlight w:val="none"/>
                <w:lang w:val="zh-CN"/>
              </w:rPr>
              <w:t>服务费：</w:t>
            </w:r>
          </w:p>
          <w:p>
            <w:pPr>
              <w:keepNext w:val="0"/>
              <w:keepLines w:val="0"/>
              <w:pageBreakBefore w:val="0"/>
              <w:widowControl w:val="0"/>
              <w:kinsoku/>
              <w:wordWrap/>
              <w:overflowPunct/>
              <w:topLinePunct w:val="0"/>
              <w:autoSpaceDE w:val="0"/>
              <w:autoSpaceDN w:val="0"/>
              <w:bidi w:val="0"/>
              <w:adjustRightInd/>
              <w:snapToGrid w:val="0"/>
              <w:spacing w:line="400" w:lineRule="exact"/>
              <w:ind w:left="0" w:right="0"/>
              <w:contextualSpacing/>
              <w:textAlignment w:val="auto"/>
              <w:rPr>
                <w:rFonts w:hint="eastAsia" w:eastAsia="宋体" w:cs="Times New Roman"/>
                <w:b w:val="0"/>
                <w:bCs w:val="0"/>
                <w:color w:val="auto"/>
                <w:szCs w:val="21"/>
                <w:highlight w:val="none"/>
                <w:lang w:val="zh-CN"/>
              </w:rPr>
            </w:pPr>
            <w:r>
              <w:rPr>
                <w:rFonts w:hint="eastAsia" w:eastAsia="宋体" w:cs="Times New Roman"/>
                <w:b w:val="0"/>
                <w:bCs w:val="0"/>
                <w:color w:val="auto"/>
                <w:szCs w:val="21"/>
                <w:highlight w:val="none"/>
              </w:rPr>
              <w:t>1、</w:t>
            </w:r>
            <w:r>
              <w:rPr>
                <w:rFonts w:hint="eastAsia" w:eastAsia="宋体" w:cs="Times New Roman"/>
                <w:b w:val="0"/>
                <w:bCs w:val="0"/>
                <w:color w:val="auto"/>
                <w:szCs w:val="21"/>
                <w:highlight w:val="none"/>
                <w:lang w:val="zh-CN"/>
              </w:rPr>
              <w:t>不论投标结果如何，供应商均应自行承担所有与投标有关的全部费用；</w:t>
            </w:r>
          </w:p>
          <w:p>
            <w:pPr>
              <w:keepNext w:val="0"/>
              <w:keepLines w:val="0"/>
              <w:pageBreakBefore w:val="0"/>
              <w:widowControl w:val="0"/>
              <w:kinsoku/>
              <w:wordWrap/>
              <w:overflowPunct/>
              <w:topLinePunct w:val="0"/>
              <w:autoSpaceDE w:val="0"/>
              <w:autoSpaceDN w:val="0"/>
              <w:bidi w:val="0"/>
              <w:adjustRightInd/>
              <w:snapToGrid w:val="0"/>
              <w:spacing w:line="400" w:lineRule="exact"/>
              <w:contextualSpacing/>
              <w:textAlignment w:val="auto"/>
              <w:rPr>
                <w:rFonts w:hint="eastAsia" w:ascii="宋体" w:hAnsi="宋体" w:eastAsia="宋体" w:cs="宋体"/>
                <w:b w:val="0"/>
                <w:bCs w:val="0"/>
                <w:color w:val="auto"/>
                <w:szCs w:val="21"/>
                <w:highlight w:val="none"/>
              </w:rPr>
            </w:pPr>
            <w:r>
              <w:rPr>
                <w:rFonts w:hint="eastAsia" w:eastAsia="宋体" w:cs="Times New Roman"/>
                <w:b w:val="0"/>
                <w:bCs w:val="0"/>
                <w:color w:val="auto"/>
                <w:szCs w:val="21"/>
                <w:highlight w:val="none"/>
              </w:rPr>
              <w:t>2、</w:t>
            </w:r>
            <w:r>
              <w:rPr>
                <w:rFonts w:hint="eastAsia"/>
                <w:color w:val="auto"/>
                <w:highlight w:val="none"/>
                <w:lang w:val="en-US" w:eastAsia="zh-CN"/>
              </w:rPr>
              <w:t>中标</w:t>
            </w:r>
            <w:r>
              <w:rPr>
                <w:rFonts w:hint="eastAsia" w:eastAsia="宋体" w:cs="Times New Roman"/>
                <w:b w:val="0"/>
                <w:bCs w:val="0"/>
                <w:color w:val="auto"/>
                <w:szCs w:val="21"/>
                <w:highlight w:val="none"/>
              </w:rPr>
              <w:t>服务费金额：</w:t>
            </w:r>
            <w:r>
              <w:rPr>
                <w:rFonts w:hint="eastAsia" w:ascii="宋体" w:hAnsi="宋体" w:eastAsia="宋体" w:cs="宋体"/>
                <w:highlight w:val="none"/>
              </w:rPr>
              <w:t>按照宁波市中介超市网就本项目中选价格（人民币</w:t>
            </w:r>
            <w:r>
              <w:rPr>
                <w:rFonts w:hint="eastAsia" w:ascii="宋体" w:hAnsi="宋体" w:eastAsia="宋体" w:cs="宋体"/>
                <w:highlight w:val="none"/>
                <w:lang w:val="en-US" w:eastAsia="zh-CN"/>
              </w:rPr>
              <w:t>6000元</w:t>
            </w:r>
            <w:r>
              <w:rPr>
                <w:rFonts w:hint="eastAsia" w:ascii="宋体" w:hAnsi="宋体" w:eastAsia="宋体" w:cs="宋体"/>
                <w:highlight w:val="none"/>
              </w:rPr>
              <w:t>）向</w:t>
            </w:r>
            <w:r>
              <w:rPr>
                <w:rFonts w:hint="eastAsia" w:ascii="宋体" w:hAnsi="宋体" w:eastAsia="宋体" w:cs="宋体"/>
                <w:highlight w:val="none"/>
                <w:lang w:eastAsia="zh-CN"/>
              </w:rPr>
              <w:t>成交供应商</w:t>
            </w:r>
            <w:r>
              <w:rPr>
                <w:rFonts w:hint="eastAsia" w:ascii="宋体" w:hAnsi="宋体" w:eastAsia="宋体" w:cs="宋体"/>
                <w:highlight w:val="none"/>
              </w:rPr>
              <w:t>进行收取</w:t>
            </w:r>
            <w:r>
              <w:rPr>
                <w:rFonts w:hint="eastAsia" w:ascii="宋体" w:hAnsi="宋体" w:eastAsia="宋体" w:cs="宋体"/>
                <w:b w:val="0"/>
                <w:bCs w:val="0"/>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val="0"/>
              <w:spacing w:line="400" w:lineRule="exact"/>
              <w:contextualSpacing/>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成交供应商应在代理机构发出成交通知书5个工作日内向本代理机构分别支付</w:t>
            </w:r>
            <w:r>
              <w:rPr>
                <w:rFonts w:hint="eastAsia"/>
                <w:color w:val="auto"/>
                <w:highlight w:val="none"/>
                <w:lang w:val="en-US" w:eastAsia="zh-CN"/>
              </w:rPr>
              <w:t>中标</w:t>
            </w:r>
            <w:r>
              <w:rPr>
                <w:rFonts w:hint="eastAsia" w:ascii="宋体" w:hAnsi="宋体" w:eastAsia="宋体" w:cs="宋体"/>
                <w:b w:val="0"/>
                <w:bCs w:val="0"/>
                <w:color w:val="auto"/>
                <w:szCs w:val="21"/>
                <w:highlight w:val="none"/>
              </w:rPr>
              <w:t>服务费。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auto"/>
                <w:szCs w:val="21"/>
                <w:highlight w:val="none"/>
              </w:rPr>
            </w:pPr>
            <w:r>
              <w:rPr>
                <w:rFonts w:hint="eastAsia"/>
                <w:color w:val="auto"/>
                <w:highlight w:val="none"/>
                <w:lang w:val="en-US" w:eastAsia="zh-CN"/>
              </w:rPr>
              <w:t>中标</w:t>
            </w:r>
            <w:r>
              <w:rPr>
                <w:rFonts w:hint="eastAsia" w:ascii="宋体" w:hAnsi="宋体" w:eastAsia="宋体" w:cs="宋体"/>
                <w:b w:val="0"/>
                <w:bCs w:val="0"/>
                <w:color w:val="auto"/>
                <w:szCs w:val="21"/>
                <w:highlight w:val="none"/>
              </w:rPr>
              <w:t>服务费只收现金、银行票汇款、电汇款。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收 款 人：</w:t>
            </w:r>
            <w:r>
              <w:rPr>
                <w:rFonts w:hint="eastAsia" w:ascii="宋体" w:hAnsi="宋体" w:cs="宋体"/>
                <w:b w:val="0"/>
                <w:bCs w:val="0"/>
                <w:color w:val="auto"/>
                <w:szCs w:val="21"/>
                <w:highlight w:val="none"/>
                <w:lang w:eastAsia="zh-CN"/>
              </w:rPr>
              <w:t>宁波高正工程管理有限公司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开户银行：中国银行宁波市江东支行</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jc w:val="both"/>
              <w:textAlignment w:val="auto"/>
              <w:rPr>
                <w:rFonts w:hint="eastAsia"/>
                <w:color w:val="auto"/>
                <w:szCs w:val="21"/>
                <w:highlight w:val="none"/>
              </w:rPr>
            </w:pPr>
            <w:r>
              <w:rPr>
                <w:rFonts w:hint="eastAsia" w:ascii="宋体" w:hAnsi="宋体" w:eastAsia="宋体" w:cs="宋体"/>
                <w:b w:val="0"/>
                <w:bCs w:val="0"/>
                <w:color w:val="auto"/>
                <w:szCs w:val="21"/>
                <w:highlight w:val="none"/>
              </w:rPr>
              <w:t>银行账号：380558329639</w:t>
            </w:r>
          </w:p>
        </w:tc>
      </w:tr>
    </w:tbl>
    <w:p>
      <w:pPr>
        <w:pStyle w:val="45"/>
        <w:jc w:val="center"/>
        <w:rPr>
          <w:rFonts w:hint="eastAsia" w:ascii="宋体" w:hAnsi="宋体" w:cs="宋体"/>
          <w:highlight w:val="none"/>
        </w:rPr>
      </w:pPr>
    </w:p>
    <w:p>
      <w:pPr>
        <w:pStyle w:val="45"/>
        <w:jc w:val="center"/>
        <w:rPr>
          <w:rFonts w:hint="eastAsia" w:ascii="宋体" w:hAnsi="宋体" w:cs="宋体"/>
          <w:highlight w:val="none"/>
        </w:rPr>
      </w:pPr>
    </w:p>
    <w:p>
      <w:pPr>
        <w:rPr>
          <w:rFonts w:hint="eastAsia" w:ascii="宋体" w:hAnsi="宋体" w:cs="宋体"/>
          <w:highlight w:val="none"/>
        </w:rPr>
      </w:pPr>
      <w:r>
        <w:rPr>
          <w:rFonts w:hint="eastAsia" w:ascii="宋体" w:hAnsi="宋体" w:cs="宋体"/>
          <w:highlight w:val="none"/>
        </w:rPr>
        <w:br w:type="page"/>
      </w:r>
    </w:p>
    <w:p>
      <w:pPr>
        <w:pStyle w:val="45"/>
        <w:rPr>
          <w:rFonts w:hint="eastAsia" w:ascii="宋体" w:hAnsi="宋体" w:eastAsia="宋体" w:cs="宋体"/>
          <w:highlight w:val="none"/>
        </w:rPr>
      </w:pPr>
      <w:bookmarkStart w:id="8" w:name="_Toc4165"/>
      <w:r>
        <w:rPr>
          <w:rFonts w:hint="eastAsia" w:ascii="宋体" w:hAnsi="宋体" w:eastAsia="宋体" w:cs="宋体"/>
          <w:highlight w:val="none"/>
        </w:rPr>
        <w:t>第三章  供应商须知</w:t>
      </w:r>
      <w:bookmarkEnd w:id="8"/>
    </w:p>
    <w:p>
      <w:pPr>
        <w:pStyle w:val="26"/>
        <w:keepNext w:val="0"/>
        <w:keepLines w:val="0"/>
        <w:pageBreakBefore w:val="0"/>
        <w:kinsoku/>
        <w:wordWrap/>
        <w:overflowPunct/>
        <w:topLinePunct w:val="0"/>
        <w:bidi w:val="0"/>
        <w:snapToGrid/>
        <w:spacing w:before="0" w:beforeLines="0" w:after="0" w:afterLines="0" w:line="360" w:lineRule="auto"/>
        <w:ind w:left="0" w:leftChars="0"/>
        <w:textAlignment w:val="auto"/>
        <w:rPr>
          <w:rFonts w:hAnsi="宋体" w:cs="宋体"/>
          <w:b/>
          <w:sz w:val="21"/>
          <w:highlight w:val="none"/>
        </w:rPr>
      </w:pPr>
      <w:r>
        <w:rPr>
          <w:rFonts w:hint="eastAsia" w:hAnsi="宋体" w:cs="宋体"/>
          <w:b/>
          <w:sz w:val="21"/>
          <w:highlight w:val="none"/>
        </w:rPr>
        <w:t>一   总  则</w:t>
      </w:r>
    </w:p>
    <w:p>
      <w:pPr>
        <w:keepNext w:val="0"/>
        <w:keepLines w:val="0"/>
        <w:pageBreakBefore w:val="0"/>
        <w:kinsoku/>
        <w:wordWrap/>
        <w:overflowPunct/>
        <w:topLinePunct w:val="0"/>
        <w:bidi w:val="0"/>
        <w:snapToGrid/>
        <w:spacing w:line="360" w:lineRule="auto"/>
        <w:ind w:left="0" w:leftChars="0"/>
        <w:jc w:val="left"/>
        <w:textAlignment w:val="auto"/>
        <w:outlineLvl w:val="1"/>
        <w:rPr>
          <w:rFonts w:ascii="宋体" w:hAnsi="宋体" w:cs="宋体"/>
          <w:b/>
          <w:highlight w:val="none"/>
        </w:rPr>
      </w:pPr>
      <w:r>
        <w:rPr>
          <w:rFonts w:hint="eastAsia" w:ascii="宋体" w:hAnsi="宋体" w:cs="宋体"/>
          <w:b/>
          <w:highlight w:val="none"/>
        </w:rPr>
        <w:t xml:space="preserve">   </w:t>
      </w:r>
      <w:bookmarkStart w:id="9" w:name="_Toc12703"/>
      <w:bookmarkStart w:id="10" w:name="_Toc98160166"/>
      <w:bookmarkStart w:id="11" w:name="_Toc23192"/>
      <w:bookmarkStart w:id="12" w:name="_Toc7015"/>
      <w:r>
        <w:rPr>
          <w:rFonts w:hint="eastAsia" w:ascii="宋体" w:hAnsi="宋体" w:cs="宋体"/>
          <w:b/>
          <w:highlight w:val="none"/>
        </w:rPr>
        <w:t>（一） 适用范围</w:t>
      </w:r>
      <w:bookmarkEnd w:id="9"/>
      <w:bookmarkEnd w:id="10"/>
      <w:bookmarkEnd w:id="11"/>
      <w:bookmarkEnd w:id="12"/>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本招标文件适用于</w:t>
      </w:r>
      <w:r>
        <w:rPr>
          <w:rFonts w:hint="eastAsia" w:ascii="宋体" w:hAnsi="宋体" w:cs="宋体"/>
          <w:highlight w:val="none"/>
          <w:u w:val="single"/>
          <w:lang w:eastAsia="zh-CN"/>
        </w:rPr>
        <w:t>聚贤街道2023年度职工疗休养项目</w:t>
      </w:r>
      <w:r>
        <w:rPr>
          <w:rFonts w:hint="eastAsia" w:ascii="宋体" w:hAnsi="宋体" w:cs="宋体"/>
          <w:highlight w:val="none"/>
        </w:rPr>
        <w:t>的招标、投标、评标、定标、验收、合同履约、付款等行为（法律、法规另有规定的，从其规定）。</w:t>
      </w:r>
    </w:p>
    <w:p>
      <w:pPr>
        <w:keepNext w:val="0"/>
        <w:keepLines w:val="0"/>
        <w:pageBreakBefore w:val="0"/>
        <w:kinsoku/>
        <w:wordWrap/>
        <w:overflowPunct/>
        <w:topLinePunct w:val="0"/>
        <w:bidi w:val="0"/>
        <w:snapToGrid/>
        <w:spacing w:line="360" w:lineRule="auto"/>
        <w:ind w:left="0" w:leftChars="0" w:firstLine="310" w:firstLineChars="147"/>
        <w:jc w:val="left"/>
        <w:textAlignment w:val="auto"/>
        <w:outlineLvl w:val="1"/>
        <w:rPr>
          <w:rFonts w:ascii="宋体" w:hAnsi="宋体" w:cs="宋体"/>
          <w:b/>
          <w:highlight w:val="none"/>
        </w:rPr>
      </w:pPr>
      <w:bookmarkStart w:id="13" w:name="_Toc21498"/>
      <w:bookmarkStart w:id="14" w:name="_Toc4097"/>
      <w:bookmarkStart w:id="15" w:name="_Toc98160167"/>
      <w:bookmarkStart w:id="16" w:name="_Toc2590"/>
      <w:r>
        <w:rPr>
          <w:rFonts w:hint="eastAsia" w:ascii="宋体" w:hAnsi="宋体" w:cs="宋体"/>
          <w:b/>
          <w:highlight w:val="none"/>
        </w:rPr>
        <w:t>（二）定义</w:t>
      </w:r>
      <w:bookmarkEnd w:id="13"/>
      <w:bookmarkEnd w:id="14"/>
      <w:bookmarkEnd w:id="15"/>
      <w:bookmarkEnd w:id="16"/>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1.“采购单位”</w:t>
      </w:r>
      <w:r>
        <w:rPr>
          <w:rFonts w:hint="eastAsia" w:ascii="宋体" w:hAnsi="宋体" w:eastAsia="宋体" w:cs="宋体"/>
          <w:color w:val="auto"/>
          <w:sz w:val="21"/>
          <w:szCs w:val="21"/>
          <w:highlight w:val="none"/>
          <w:lang w:val="en-US" w:eastAsia="zh-CN" w:bidi="ar-SA"/>
        </w:rPr>
        <w:t>系指组织本次采购的代理机构和采购人</w:t>
      </w:r>
      <w:r>
        <w:rPr>
          <w:rFonts w:hint="eastAsia" w:ascii="宋体" w:hAnsi="宋体" w:cs="宋体"/>
          <w:highlight w:val="none"/>
        </w:rPr>
        <w:t>。</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2.“供应商”系指向招标方提交</w:t>
      </w:r>
      <w:r>
        <w:rPr>
          <w:rFonts w:hint="eastAsia" w:ascii="宋体" w:hAnsi="宋体" w:cs="宋体"/>
          <w:highlight w:val="none"/>
          <w:lang w:eastAsia="zh-CN"/>
        </w:rPr>
        <w:t>投标文件</w:t>
      </w:r>
      <w:r>
        <w:rPr>
          <w:rFonts w:hint="eastAsia" w:ascii="宋体" w:hAnsi="宋体" w:cs="宋体"/>
          <w:highlight w:val="none"/>
        </w:rPr>
        <w:t>的单位。</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3.“产品”系指供方按招标文件规定，须向采购单位提供的一切设备、保险、税金、备品备件、工具、手册及其它有关技术资料和材料。</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4.“服务”系指招标文件规定</w:t>
      </w:r>
      <w:r>
        <w:rPr>
          <w:rFonts w:hint="eastAsia" w:ascii="宋体" w:hAnsi="宋体" w:cs="宋体"/>
          <w:highlight w:val="none"/>
          <w:lang w:eastAsia="zh-CN"/>
        </w:rPr>
        <w:t>供应商</w:t>
      </w:r>
      <w:r>
        <w:rPr>
          <w:rFonts w:hint="eastAsia" w:ascii="宋体" w:hAnsi="宋体" w:cs="宋体"/>
          <w:highlight w:val="none"/>
        </w:rPr>
        <w:t>须承担的安装、调试、技术协助、校准、培训、技术指导以及其他类似的义务。</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5.“项目”系指供应商按招标文件规定向采购人提供的产品和服务。</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6.“书面形式”包括信函、传真、电报等。</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7.“★”系指实质性要求条款，供应商的投标对任何带“★”号条款的负偏离和未作实质性响应都将直接投标无效。</w:t>
      </w:r>
    </w:p>
    <w:p>
      <w:pPr>
        <w:keepNext w:val="0"/>
        <w:keepLines w:val="0"/>
        <w:pageBreakBefore w:val="0"/>
        <w:kinsoku/>
        <w:wordWrap/>
        <w:overflowPunct/>
        <w:topLinePunct w:val="0"/>
        <w:bidi w:val="0"/>
        <w:snapToGrid/>
        <w:spacing w:line="360" w:lineRule="auto"/>
        <w:ind w:left="0" w:leftChars="0" w:firstLine="413" w:firstLineChars="196"/>
        <w:jc w:val="left"/>
        <w:textAlignment w:val="auto"/>
        <w:outlineLvl w:val="1"/>
        <w:rPr>
          <w:rFonts w:ascii="宋体" w:hAnsi="宋体" w:cs="宋体"/>
          <w:b/>
          <w:highlight w:val="none"/>
        </w:rPr>
      </w:pPr>
      <w:bookmarkStart w:id="17" w:name="_Toc98160168"/>
      <w:bookmarkStart w:id="18" w:name="_Toc24505"/>
      <w:bookmarkStart w:id="19" w:name="_Toc25399"/>
      <w:bookmarkStart w:id="20" w:name="_Toc30598"/>
      <w:r>
        <w:rPr>
          <w:rFonts w:hint="eastAsia" w:ascii="宋体" w:hAnsi="宋体" w:cs="宋体"/>
          <w:b/>
          <w:highlight w:val="none"/>
        </w:rPr>
        <w:t>（三）招标方式</w:t>
      </w:r>
      <w:bookmarkEnd w:id="17"/>
      <w:bookmarkEnd w:id="18"/>
      <w:bookmarkEnd w:id="19"/>
      <w:bookmarkEnd w:id="20"/>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本次招标采用公开招标方式进行。</w:t>
      </w:r>
    </w:p>
    <w:p>
      <w:pPr>
        <w:keepNext w:val="0"/>
        <w:keepLines w:val="0"/>
        <w:pageBreakBefore w:val="0"/>
        <w:kinsoku/>
        <w:wordWrap/>
        <w:overflowPunct/>
        <w:topLinePunct w:val="0"/>
        <w:bidi w:val="0"/>
        <w:snapToGrid/>
        <w:spacing w:line="360" w:lineRule="auto"/>
        <w:ind w:left="0" w:leftChars="0" w:firstLine="413" w:firstLineChars="196"/>
        <w:jc w:val="left"/>
        <w:textAlignment w:val="auto"/>
        <w:outlineLvl w:val="1"/>
        <w:rPr>
          <w:rFonts w:ascii="宋体" w:hAnsi="宋体" w:cs="宋体"/>
          <w:b/>
          <w:highlight w:val="none"/>
        </w:rPr>
      </w:pPr>
      <w:bookmarkStart w:id="21" w:name="_Toc15731"/>
      <w:bookmarkStart w:id="22" w:name="_Toc98160169"/>
      <w:bookmarkStart w:id="23" w:name="_Toc5076"/>
      <w:bookmarkStart w:id="24" w:name="_Toc2358"/>
      <w:r>
        <w:rPr>
          <w:rFonts w:hint="eastAsia" w:ascii="宋体" w:hAnsi="宋体" w:cs="宋体"/>
          <w:b/>
          <w:highlight w:val="none"/>
        </w:rPr>
        <w:t>（四）投标委托</w:t>
      </w:r>
      <w:bookmarkEnd w:id="21"/>
      <w:bookmarkEnd w:id="22"/>
      <w:bookmarkEnd w:id="23"/>
      <w:bookmarkEnd w:id="24"/>
    </w:p>
    <w:p>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ascii="宋体" w:hAnsi="宋体" w:cs="宋体"/>
          <w:b/>
          <w:highlight w:val="none"/>
        </w:rPr>
      </w:pPr>
      <w:r>
        <w:rPr>
          <w:rFonts w:hint="eastAsia" w:hAnsi="宋体" w:eastAsia="宋体" w:cs="宋体"/>
          <w:color w:val="auto"/>
          <w:kern w:val="2"/>
          <w:sz w:val="21"/>
          <w:highlight w:val="none"/>
        </w:rPr>
        <w:t>如供应商派授权代表出席磋商会议，授权代表须携带有效身份证件。如授权代表不是法定代表人，须有法定代表人出具的法定代表人授权委托书（正本用原件，副本用复印件，格式见第七章投标文件格式）。</w:t>
      </w:r>
    </w:p>
    <w:p>
      <w:pPr>
        <w:keepNext w:val="0"/>
        <w:keepLines w:val="0"/>
        <w:pageBreakBefore w:val="0"/>
        <w:kinsoku/>
        <w:wordWrap/>
        <w:overflowPunct/>
        <w:topLinePunct w:val="0"/>
        <w:bidi w:val="0"/>
        <w:snapToGrid/>
        <w:spacing w:line="360" w:lineRule="auto"/>
        <w:ind w:left="0" w:leftChars="0" w:firstLine="413" w:firstLineChars="196"/>
        <w:jc w:val="left"/>
        <w:textAlignment w:val="auto"/>
        <w:outlineLvl w:val="1"/>
        <w:rPr>
          <w:rFonts w:ascii="宋体" w:hAnsi="宋体" w:cs="宋体"/>
          <w:b/>
          <w:highlight w:val="none"/>
        </w:rPr>
      </w:pPr>
      <w:bookmarkStart w:id="25" w:name="_Toc5715"/>
      <w:bookmarkStart w:id="26" w:name="_Toc98160171"/>
      <w:bookmarkStart w:id="27" w:name="_Toc3775"/>
      <w:bookmarkStart w:id="28" w:name="_Toc6878"/>
      <w:r>
        <w:rPr>
          <w:rFonts w:hint="eastAsia" w:ascii="宋体" w:hAnsi="宋体" w:cs="宋体"/>
          <w:b/>
          <w:highlight w:val="none"/>
        </w:rPr>
        <w:t>（五）投标费用</w:t>
      </w:r>
      <w:bookmarkEnd w:id="25"/>
      <w:bookmarkEnd w:id="26"/>
      <w:bookmarkEnd w:id="27"/>
      <w:bookmarkEnd w:id="28"/>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不论投标结果如何，供应商均应自行承担所有与投标有关的全部费用（招标文件有相反规定除外）。</w:t>
      </w:r>
    </w:p>
    <w:p>
      <w:pPr>
        <w:keepNext w:val="0"/>
        <w:keepLines w:val="0"/>
        <w:pageBreakBefore w:val="0"/>
        <w:kinsoku/>
        <w:wordWrap/>
        <w:overflowPunct/>
        <w:topLinePunct w:val="0"/>
        <w:bidi w:val="0"/>
        <w:snapToGrid/>
        <w:spacing w:line="360" w:lineRule="auto"/>
        <w:ind w:left="0" w:leftChars="0" w:firstLine="413" w:firstLineChars="196"/>
        <w:jc w:val="left"/>
        <w:textAlignment w:val="auto"/>
        <w:rPr>
          <w:rFonts w:ascii="宋体" w:hAnsi="宋体" w:cs="宋体"/>
          <w:b/>
          <w:highlight w:val="none"/>
        </w:rPr>
      </w:pPr>
      <w:r>
        <w:rPr>
          <w:rFonts w:hint="eastAsia" w:ascii="宋体" w:hAnsi="宋体" w:cs="宋体"/>
          <w:b/>
          <w:highlight w:val="none"/>
        </w:rPr>
        <w:t>（六）联合体投标</w:t>
      </w:r>
    </w:p>
    <w:p>
      <w:pPr>
        <w:keepNext w:val="0"/>
        <w:keepLines w:val="0"/>
        <w:pageBreakBefore w:val="0"/>
        <w:kinsoku/>
        <w:wordWrap/>
        <w:overflowPunct/>
        <w:topLinePunct w:val="0"/>
        <w:bidi w:val="0"/>
        <w:snapToGrid/>
        <w:spacing w:line="360" w:lineRule="auto"/>
        <w:ind w:left="0" w:leftChars="0" w:firstLine="420" w:firstLineChars="200"/>
        <w:textAlignment w:val="auto"/>
        <w:rPr>
          <w:rFonts w:hint="eastAsia" w:ascii="宋体" w:hAnsi="宋体" w:eastAsia="宋体" w:cs="宋体"/>
          <w:highlight w:val="none"/>
          <w:lang w:eastAsia="zh-CN"/>
        </w:rPr>
      </w:pPr>
      <w:r>
        <w:rPr>
          <w:rFonts w:hint="eastAsia" w:ascii="宋体" w:hAnsi="宋体" w:cs="宋体"/>
          <w:highlight w:val="none"/>
        </w:rPr>
        <w:t>本项目不接受联合体投标</w:t>
      </w:r>
      <w:r>
        <w:rPr>
          <w:rFonts w:hint="eastAsia" w:ascii="宋体" w:hAnsi="宋体" w:cs="宋体"/>
          <w:highlight w:val="none"/>
          <w:lang w:eastAsia="zh-CN"/>
        </w:rPr>
        <w:t>。</w:t>
      </w:r>
    </w:p>
    <w:p>
      <w:pPr>
        <w:keepNext w:val="0"/>
        <w:keepLines w:val="0"/>
        <w:pageBreakBefore w:val="0"/>
        <w:kinsoku/>
        <w:wordWrap/>
        <w:overflowPunct/>
        <w:topLinePunct w:val="0"/>
        <w:bidi w:val="0"/>
        <w:snapToGrid/>
        <w:spacing w:line="360" w:lineRule="auto"/>
        <w:ind w:left="0" w:leftChars="0" w:firstLine="413" w:firstLineChars="196"/>
        <w:textAlignment w:val="auto"/>
        <w:rPr>
          <w:rFonts w:ascii="宋体" w:hAnsi="宋体" w:cs="宋体"/>
          <w:b/>
          <w:kern w:val="0"/>
          <w:highlight w:val="none"/>
        </w:rPr>
      </w:pPr>
      <w:r>
        <w:rPr>
          <w:rFonts w:hint="eastAsia" w:ascii="宋体" w:hAnsi="宋体" w:cs="宋体"/>
          <w:b/>
          <w:highlight w:val="none"/>
        </w:rPr>
        <w:t>（七）</w:t>
      </w:r>
      <w:r>
        <w:rPr>
          <w:rFonts w:hint="eastAsia" w:ascii="宋体" w:hAnsi="宋体" w:cs="宋体"/>
          <w:b/>
          <w:kern w:val="0"/>
          <w:highlight w:val="none"/>
        </w:rPr>
        <w:t>转包与分包</w:t>
      </w:r>
    </w:p>
    <w:p>
      <w:pPr>
        <w:keepNext w:val="0"/>
        <w:keepLines w:val="0"/>
        <w:pageBreakBefore w:val="0"/>
        <w:kinsoku/>
        <w:wordWrap/>
        <w:overflowPunct/>
        <w:topLinePunct w:val="0"/>
        <w:bidi w:val="0"/>
        <w:snapToGrid/>
        <w:spacing w:line="360" w:lineRule="auto"/>
        <w:ind w:left="0" w:leftChars="0" w:firstLine="411" w:firstLineChars="196"/>
        <w:jc w:val="left"/>
        <w:textAlignment w:val="auto"/>
        <w:outlineLvl w:val="1"/>
        <w:rPr>
          <w:rFonts w:ascii="宋体" w:hAnsi="宋体" w:cs="宋体"/>
          <w:kern w:val="0"/>
          <w:highlight w:val="none"/>
        </w:rPr>
      </w:pPr>
      <w:bookmarkStart w:id="29" w:name="_Toc27499"/>
      <w:bookmarkStart w:id="30" w:name="_Toc24013"/>
      <w:bookmarkStart w:id="31" w:name="_Toc19082"/>
      <w:bookmarkStart w:id="32" w:name="_Toc98160172"/>
      <w:r>
        <w:rPr>
          <w:rFonts w:hint="eastAsia" w:ascii="宋体" w:hAnsi="宋体" w:cs="宋体"/>
          <w:kern w:val="0"/>
          <w:highlight w:val="none"/>
        </w:rPr>
        <w:t>本项目不允许转包，允许分包。</w:t>
      </w:r>
      <w:bookmarkEnd w:id="29"/>
      <w:bookmarkEnd w:id="30"/>
      <w:bookmarkEnd w:id="31"/>
    </w:p>
    <w:p>
      <w:pPr>
        <w:keepNext w:val="0"/>
        <w:keepLines w:val="0"/>
        <w:pageBreakBefore w:val="0"/>
        <w:kinsoku/>
        <w:wordWrap/>
        <w:overflowPunct/>
        <w:topLinePunct w:val="0"/>
        <w:bidi w:val="0"/>
        <w:snapToGrid/>
        <w:spacing w:line="360" w:lineRule="auto"/>
        <w:ind w:left="0" w:leftChars="0" w:firstLine="413" w:firstLineChars="196"/>
        <w:jc w:val="left"/>
        <w:textAlignment w:val="auto"/>
        <w:outlineLvl w:val="1"/>
        <w:rPr>
          <w:rFonts w:ascii="宋体" w:hAnsi="宋体" w:cs="宋体"/>
          <w:b/>
          <w:highlight w:val="none"/>
        </w:rPr>
      </w:pPr>
      <w:bookmarkStart w:id="33" w:name="_Toc18861"/>
      <w:bookmarkStart w:id="34" w:name="_Toc16605"/>
      <w:bookmarkStart w:id="35" w:name="_Toc8052"/>
      <w:r>
        <w:rPr>
          <w:rFonts w:hint="eastAsia" w:ascii="宋体" w:hAnsi="宋体" w:cs="宋体"/>
          <w:b/>
          <w:highlight w:val="none"/>
        </w:rPr>
        <w:t>（八）特别说明：</w:t>
      </w:r>
      <w:bookmarkEnd w:id="32"/>
      <w:bookmarkEnd w:id="33"/>
      <w:bookmarkEnd w:id="34"/>
      <w:bookmarkEnd w:id="35"/>
    </w:p>
    <w:p>
      <w:pPr>
        <w:keepNext w:val="0"/>
        <w:keepLines w:val="0"/>
        <w:pageBreakBefore w:val="0"/>
        <w:widowControl/>
        <w:kinsoku/>
        <w:wordWrap/>
        <w:overflowPunct/>
        <w:topLinePunct w:val="0"/>
        <w:bidi w:val="0"/>
        <w:snapToGrid/>
        <w:spacing w:line="360" w:lineRule="auto"/>
        <w:ind w:left="0" w:leftChars="0" w:firstLine="210" w:firstLineChars="100"/>
        <w:jc w:val="left"/>
        <w:textAlignment w:val="auto"/>
        <w:rPr>
          <w:rFonts w:ascii="宋体" w:hAnsi="宋体" w:cs="宋体"/>
          <w:highlight w:val="none"/>
        </w:rPr>
      </w:pPr>
      <w:r>
        <w:rPr>
          <w:rFonts w:hint="eastAsia" w:ascii="宋体" w:hAnsi="宋体" w:cs="宋体"/>
          <w:kern w:val="0"/>
          <w:highlight w:val="none"/>
        </w:rPr>
        <w:t xml:space="preserve">  </w:t>
      </w: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w:t>
      </w:r>
      <w:r>
        <w:rPr>
          <w:rFonts w:hint="eastAsia" w:ascii="宋体" w:hAnsi="宋体" w:cs="宋体"/>
          <w:highlight w:val="none"/>
          <w:lang w:eastAsia="zh-CN"/>
        </w:rPr>
        <w:t>供应商</w:t>
      </w:r>
      <w:r>
        <w:rPr>
          <w:rFonts w:hint="eastAsia" w:ascii="宋体" w:hAnsi="宋体" w:cs="宋体"/>
          <w:highlight w:val="none"/>
        </w:rPr>
        <w:t>应仔细阅读招标文件的所有内容，按照招标文件的要求提交</w:t>
      </w:r>
      <w:r>
        <w:rPr>
          <w:rFonts w:hint="eastAsia" w:ascii="宋体" w:hAnsi="宋体" w:cs="宋体"/>
          <w:highlight w:val="none"/>
          <w:lang w:eastAsia="zh-CN"/>
        </w:rPr>
        <w:t>投标文件</w:t>
      </w:r>
      <w:r>
        <w:rPr>
          <w:rFonts w:hint="eastAsia" w:ascii="宋体" w:hAnsi="宋体" w:cs="宋体"/>
          <w:highlight w:val="none"/>
        </w:rPr>
        <w:t>，并对所提供的全部资料的真实性承担法律责任。</w:t>
      </w:r>
    </w:p>
    <w:p>
      <w:pPr>
        <w:pStyle w:val="26"/>
        <w:keepNext w:val="0"/>
        <w:keepLines w:val="0"/>
        <w:pageBreakBefore w:val="0"/>
        <w:kinsoku/>
        <w:wordWrap/>
        <w:overflowPunct/>
        <w:topLinePunct w:val="0"/>
        <w:bidi w:val="0"/>
        <w:snapToGrid/>
        <w:spacing w:before="0" w:beforeLines="0" w:after="0" w:afterLines="0" w:line="360" w:lineRule="auto"/>
        <w:ind w:left="0" w:leftChars="0" w:firstLine="420" w:firstLineChars="200"/>
        <w:textAlignment w:val="auto"/>
        <w:rPr>
          <w:rFonts w:hAnsi="宋体" w:cs="宋体"/>
          <w:sz w:val="21"/>
          <w:highlight w:val="none"/>
        </w:rPr>
      </w:pPr>
      <w:r>
        <w:rPr>
          <w:rFonts w:hint="eastAsia" w:hAnsi="宋体" w:cs="宋体"/>
          <w:sz w:val="21"/>
          <w:highlight w:val="none"/>
        </w:rPr>
        <w:t>★</w:t>
      </w:r>
      <w:r>
        <w:rPr>
          <w:rFonts w:hAnsi="宋体" w:cs="宋体"/>
          <w:sz w:val="21"/>
          <w:highlight w:val="none"/>
        </w:rPr>
        <w:t>2</w:t>
      </w:r>
      <w:r>
        <w:rPr>
          <w:rFonts w:hint="eastAsia" w:hAnsi="宋体" w:cs="宋体"/>
          <w:sz w:val="21"/>
          <w:highlight w:val="none"/>
        </w:rPr>
        <w:t>.</w:t>
      </w:r>
      <w:r>
        <w:rPr>
          <w:rFonts w:hint="eastAsia" w:hAnsi="宋体" w:cs="宋体"/>
          <w:sz w:val="21"/>
          <w:highlight w:val="none"/>
          <w:lang w:eastAsia="zh-CN"/>
        </w:rPr>
        <w:t>供应商</w:t>
      </w:r>
      <w:r>
        <w:rPr>
          <w:rFonts w:hint="eastAsia" w:hAnsi="宋体" w:cs="宋体"/>
          <w:sz w:val="21"/>
          <w:highlight w:val="none"/>
        </w:rPr>
        <w:t>在投标活动中提供任何虚假材料,其投标无效。</w:t>
      </w:r>
    </w:p>
    <w:p>
      <w:pPr>
        <w:keepNext w:val="0"/>
        <w:keepLines w:val="0"/>
        <w:pageBreakBefore w:val="0"/>
        <w:widowControl/>
        <w:kinsoku/>
        <w:wordWrap/>
        <w:overflowPunct/>
        <w:topLinePunct w:val="0"/>
        <w:bidi w:val="0"/>
        <w:snapToGrid/>
        <w:spacing w:line="360" w:lineRule="auto"/>
        <w:ind w:left="0" w:leftChars="0" w:firstLine="420" w:firstLineChars="200"/>
        <w:jc w:val="left"/>
        <w:textAlignment w:val="auto"/>
        <w:rPr>
          <w:rFonts w:ascii="宋体" w:hAnsi="宋体" w:cs="宋体"/>
          <w:kern w:val="0"/>
          <w:highlight w:val="none"/>
        </w:rPr>
      </w:pPr>
      <w:r>
        <w:rPr>
          <w:rFonts w:ascii="宋体" w:hAnsi="宋体" w:cs="宋体"/>
          <w:kern w:val="0"/>
          <w:highlight w:val="none"/>
        </w:rPr>
        <w:t>3</w:t>
      </w:r>
      <w:r>
        <w:rPr>
          <w:rFonts w:hint="eastAsia" w:ascii="宋体" w:hAnsi="宋体" w:cs="宋体"/>
          <w:kern w:val="0"/>
          <w:highlight w:val="none"/>
        </w:rPr>
        <w:t>.个体工商户、个人独资企业、合伙企业参加本项目投标并由单位负责人签署的相关投标资料与本采购文件规定由法定代表人签署的文件材料具有同等效力。</w:t>
      </w:r>
    </w:p>
    <w:p>
      <w:pPr>
        <w:keepNext w:val="0"/>
        <w:keepLines w:val="0"/>
        <w:pageBreakBefore w:val="0"/>
        <w:widowControl/>
        <w:kinsoku/>
        <w:wordWrap/>
        <w:overflowPunct/>
        <w:topLinePunct w:val="0"/>
        <w:bidi w:val="0"/>
        <w:snapToGrid/>
        <w:spacing w:line="360" w:lineRule="auto"/>
        <w:ind w:left="0" w:leftChars="0" w:firstLine="420" w:firstLineChars="200"/>
        <w:jc w:val="left"/>
        <w:textAlignment w:val="auto"/>
        <w:rPr>
          <w:rFonts w:ascii="宋体" w:hAnsi="宋体" w:cs="宋体"/>
          <w:kern w:val="0"/>
          <w:highlight w:val="none"/>
        </w:rPr>
      </w:pPr>
      <w:r>
        <w:rPr>
          <w:rFonts w:ascii="宋体" w:hAnsi="宋体" w:cs="宋体"/>
          <w:kern w:val="0"/>
          <w:highlight w:val="none"/>
        </w:rPr>
        <w:t>4</w:t>
      </w:r>
      <w:r>
        <w:rPr>
          <w:rFonts w:hint="eastAsia" w:ascii="宋体" w:hAnsi="宋体" w:cs="宋体"/>
          <w:kern w:val="0"/>
          <w:highlight w:val="none"/>
        </w:rPr>
        <w:t>.除银行、保险、石油石化、电力、电信等特殊行业允许分公司投标外，不允许分公司参加投标。</w:t>
      </w:r>
    </w:p>
    <w:p>
      <w:pPr>
        <w:pStyle w:val="26"/>
        <w:keepNext w:val="0"/>
        <w:keepLines w:val="0"/>
        <w:pageBreakBefore w:val="0"/>
        <w:kinsoku/>
        <w:wordWrap/>
        <w:overflowPunct/>
        <w:topLinePunct w:val="0"/>
        <w:bidi w:val="0"/>
        <w:snapToGrid/>
        <w:spacing w:before="0" w:beforeLines="0" w:after="0" w:afterLines="0" w:line="360" w:lineRule="auto"/>
        <w:ind w:left="0" w:leftChars="0" w:firstLine="413" w:firstLineChars="196"/>
        <w:textAlignment w:val="auto"/>
        <w:outlineLvl w:val="1"/>
        <w:rPr>
          <w:rFonts w:hAnsi="宋体" w:cs="宋体"/>
          <w:b/>
          <w:bCs/>
          <w:sz w:val="21"/>
          <w:highlight w:val="none"/>
        </w:rPr>
      </w:pPr>
      <w:bookmarkStart w:id="36" w:name="_Toc24634"/>
      <w:bookmarkStart w:id="37" w:name="_Toc11186"/>
      <w:bookmarkStart w:id="38" w:name="_Toc22874"/>
      <w:bookmarkStart w:id="39" w:name="_Toc98160173"/>
      <w:r>
        <w:rPr>
          <w:rFonts w:hint="eastAsia" w:hAnsi="宋体" w:cs="宋体"/>
          <w:b/>
          <w:bCs/>
          <w:sz w:val="21"/>
          <w:highlight w:val="none"/>
        </w:rPr>
        <w:t>（九）质疑和投诉</w:t>
      </w:r>
      <w:bookmarkEnd w:id="36"/>
      <w:bookmarkEnd w:id="37"/>
      <w:bookmarkEnd w:id="38"/>
      <w:bookmarkEnd w:id="39"/>
    </w:p>
    <w:p>
      <w:pPr>
        <w:pStyle w:val="26"/>
        <w:keepNext w:val="0"/>
        <w:keepLines w:val="0"/>
        <w:pageBreakBefore w:val="0"/>
        <w:kinsoku/>
        <w:wordWrap/>
        <w:overflowPunct/>
        <w:topLinePunct w:val="0"/>
        <w:bidi w:val="0"/>
        <w:snapToGrid/>
        <w:spacing w:before="0" w:beforeLines="0" w:after="0" w:afterLines="0" w:line="360" w:lineRule="auto"/>
        <w:ind w:left="0" w:leftChars="0" w:firstLine="420" w:firstLineChars="200"/>
        <w:textAlignment w:val="auto"/>
        <w:rPr>
          <w:rFonts w:hAnsi="宋体" w:cs="宋体"/>
          <w:sz w:val="21"/>
          <w:highlight w:val="none"/>
        </w:rPr>
      </w:pPr>
      <w:r>
        <w:rPr>
          <w:rFonts w:hint="eastAsia" w:hAnsi="宋体" w:cs="宋体"/>
          <w:sz w:val="21"/>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6"/>
        <w:keepNext w:val="0"/>
        <w:keepLines w:val="0"/>
        <w:pageBreakBefore w:val="0"/>
        <w:kinsoku/>
        <w:wordWrap/>
        <w:overflowPunct/>
        <w:topLinePunct w:val="0"/>
        <w:bidi w:val="0"/>
        <w:snapToGrid/>
        <w:spacing w:before="0" w:beforeLines="0" w:after="0" w:afterLines="0" w:line="360" w:lineRule="auto"/>
        <w:ind w:left="0" w:leftChars="0" w:firstLine="420" w:firstLineChars="200"/>
        <w:textAlignment w:val="auto"/>
        <w:rPr>
          <w:rFonts w:hAnsi="宋体" w:cs="宋体"/>
          <w:sz w:val="21"/>
          <w:highlight w:val="none"/>
        </w:rPr>
      </w:pPr>
      <w:r>
        <w:rPr>
          <w:rFonts w:hint="eastAsia" w:hAnsi="宋体" w:cs="宋体"/>
          <w:sz w:val="21"/>
          <w:highlight w:val="none"/>
        </w:rPr>
        <w:t>2.提出质疑的供应商应当是参与所质疑项目采购活动的供应商。未依法获取采购文件的，不得就采购文件提出质疑；未提交</w:t>
      </w:r>
      <w:r>
        <w:rPr>
          <w:rFonts w:hint="eastAsia" w:hAnsi="宋体" w:cs="宋体"/>
          <w:sz w:val="21"/>
          <w:highlight w:val="none"/>
          <w:lang w:eastAsia="zh-CN"/>
        </w:rPr>
        <w:t>投标文件</w:t>
      </w:r>
      <w:r>
        <w:rPr>
          <w:rFonts w:hint="eastAsia" w:hAnsi="宋体" w:cs="宋体"/>
          <w:sz w:val="21"/>
          <w:highlight w:val="none"/>
        </w:rPr>
        <w:t>的供应商，视为与采购结果没有利害关系，不得就采购响应截止时间后的采购过程、采购结果提出质疑。</w:t>
      </w:r>
    </w:p>
    <w:p>
      <w:pPr>
        <w:pStyle w:val="26"/>
        <w:keepNext w:val="0"/>
        <w:keepLines w:val="0"/>
        <w:pageBreakBefore w:val="0"/>
        <w:kinsoku/>
        <w:wordWrap/>
        <w:overflowPunct/>
        <w:topLinePunct w:val="0"/>
        <w:bidi w:val="0"/>
        <w:snapToGrid/>
        <w:spacing w:before="0" w:beforeLines="0" w:after="0" w:afterLines="0" w:line="360" w:lineRule="auto"/>
        <w:ind w:left="0" w:leftChars="0" w:firstLine="420" w:firstLineChars="200"/>
        <w:textAlignment w:val="auto"/>
        <w:rPr>
          <w:rFonts w:hAnsi="宋体" w:cs="宋体"/>
          <w:sz w:val="21"/>
          <w:highlight w:val="none"/>
        </w:rPr>
      </w:pPr>
      <w:r>
        <w:rPr>
          <w:rFonts w:hint="eastAsia" w:hAnsi="宋体" w:cs="宋体"/>
          <w:sz w:val="21"/>
          <w:highlight w:val="none"/>
        </w:rPr>
        <w:t xml:space="preserve"> 3.供应商提出质疑应当提交质疑函和必要的证明材料，质函应当以书面形式提出，质疑函格式和内容须符合财政部《质疑函范本》要求，供应商可到中国政府采购网自行下载财政部《质疑函范本》。</w:t>
      </w:r>
    </w:p>
    <w:p>
      <w:pPr>
        <w:pStyle w:val="26"/>
        <w:keepNext w:val="0"/>
        <w:keepLines w:val="0"/>
        <w:pageBreakBefore w:val="0"/>
        <w:kinsoku/>
        <w:wordWrap/>
        <w:overflowPunct/>
        <w:topLinePunct w:val="0"/>
        <w:bidi w:val="0"/>
        <w:snapToGrid/>
        <w:spacing w:before="0" w:beforeLines="0" w:after="0" w:afterLines="0" w:line="360" w:lineRule="auto"/>
        <w:ind w:left="0" w:leftChars="0" w:firstLine="420" w:firstLineChars="200"/>
        <w:textAlignment w:val="auto"/>
        <w:rPr>
          <w:rFonts w:hAnsi="宋体" w:cs="宋体"/>
          <w:sz w:val="21"/>
          <w:highlight w:val="none"/>
        </w:rPr>
      </w:pPr>
      <w:r>
        <w:rPr>
          <w:rFonts w:hint="eastAsia" w:hAnsi="宋体" w:cs="宋体"/>
          <w:sz w:val="21"/>
          <w:highlight w:val="none"/>
        </w:rPr>
        <w:t xml:space="preserve"> 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6"/>
        <w:keepNext w:val="0"/>
        <w:keepLines w:val="0"/>
        <w:pageBreakBefore w:val="0"/>
        <w:kinsoku/>
        <w:wordWrap/>
        <w:overflowPunct/>
        <w:topLinePunct w:val="0"/>
        <w:bidi w:val="0"/>
        <w:snapToGrid/>
        <w:spacing w:before="0" w:beforeLines="0" w:after="0" w:afterLines="0" w:line="360" w:lineRule="auto"/>
        <w:ind w:left="0" w:leftChars="0" w:firstLine="420" w:firstLineChars="200"/>
        <w:textAlignment w:val="auto"/>
        <w:rPr>
          <w:rFonts w:hAnsi="宋体" w:cs="宋体"/>
          <w:bCs/>
          <w:sz w:val="21"/>
          <w:highlight w:val="none"/>
        </w:rPr>
      </w:pPr>
      <w:r>
        <w:rPr>
          <w:rFonts w:hint="eastAsia" w:hAnsi="宋体" w:cs="宋体"/>
          <w:sz w:val="21"/>
          <w:highlight w:val="none"/>
        </w:rPr>
        <w:t xml:space="preserve">    5.供应商对采购人或采购代理机构的质疑答复不满意或者采购人或采购代理机构未在规定时间内作出答复的，可以在答复期满后十五个工作日内向同级采购监管部门投诉。</w:t>
      </w:r>
    </w:p>
    <w:p>
      <w:pPr>
        <w:pStyle w:val="26"/>
        <w:keepNext w:val="0"/>
        <w:keepLines w:val="0"/>
        <w:pageBreakBefore w:val="0"/>
        <w:kinsoku/>
        <w:wordWrap/>
        <w:overflowPunct/>
        <w:topLinePunct w:val="0"/>
        <w:bidi w:val="0"/>
        <w:snapToGrid/>
        <w:spacing w:before="0" w:beforeLines="0" w:after="0" w:afterLines="0" w:line="360" w:lineRule="auto"/>
        <w:ind w:left="0" w:leftChars="0" w:firstLine="413" w:firstLineChars="196"/>
        <w:textAlignment w:val="auto"/>
        <w:outlineLvl w:val="0"/>
        <w:rPr>
          <w:rFonts w:hAnsi="宋体" w:cs="宋体"/>
          <w:b/>
          <w:sz w:val="21"/>
          <w:highlight w:val="none"/>
        </w:rPr>
      </w:pPr>
      <w:bookmarkStart w:id="40" w:name="_Toc5224"/>
      <w:bookmarkStart w:id="41" w:name="_Toc27337"/>
      <w:bookmarkStart w:id="42" w:name="_Toc24854"/>
      <w:bookmarkStart w:id="43" w:name="_Toc98160174"/>
      <w:r>
        <w:rPr>
          <w:rFonts w:hint="eastAsia" w:hAnsi="宋体" w:cs="宋体"/>
          <w:b/>
          <w:sz w:val="21"/>
          <w:highlight w:val="none"/>
        </w:rPr>
        <w:t>二  招标文件</w:t>
      </w:r>
      <w:bookmarkEnd w:id="40"/>
      <w:bookmarkEnd w:id="41"/>
      <w:bookmarkEnd w:id="42"/>
      <w:bookmarkEnd w:id="43"/>
    </w:p>
    <w:p>
      <w:pPr>
        <w:keepNext w:val="0"/>
        <w:keepLines w:val="0"/>
        <w:pageBreakBefore w:val="0"/>
        <w:kinsoku/>
        <w:wordWrap/>
        <w:overflowPunct/>
        <w:topLinePunct w:val="0"/>
        <w:bidi w:val="0"/>
        <w:snapToGrid/>
        <w:spacing w:line="360" w:lineRule="auto"/>
        <w:ind w:left="0" w:leftChars="0" w:firstLine="413" w:firstLineChars="196"/>
        <w:jc w:val="left"/>
        <w:textAlignment w:val="auto"/>
        <w:rPr>
          <w:rFonts w:ascii="宋体" w:hAnsi="宋体" w:cs="宋体"/>
          <w:b/>
          <w:highlight w:val="none"/>
        </w:rPr>
      </w:pPr>
      <w:r>
        <w:rPr>
          <w:rFonts w:hint="eastAsia" w:ascii="宋体" w:hAnsi="宋体" w:cs="宋体"/>
          <w:b/>
          <w:highlight w:val="none"/>
        </w:rPr>
        <w:t>（一）招标文件的构成。本招标文件由以下部</w:t>
      </w:r>
      <w:r>
        <w:rPr>
          <w:rFonts w:hint="eastAsia" w:ascii="宋体" w:hAnsi="宋体" w:cs="宋体"/>
          <w:b/>
          <w:highlight w:val="none"/>
          <w:lang w:val="en-US" w:eastAsia="zh-CN"/>
        </w:rPr>
        <w:t>分</w:t>
      </w:r>
      <w:r>
        <w:rPr>
          <w:rFonts w:hint="eastAsia" w:ascii="宋体" w:hAnsi="宋体" w:cs="宋体"/>
          <w:b/>
          <w:highlight w:val="none"/>
        </w:rPr>
        <w:t>组成：</w:t>
      </w:r>
    </w:p>
    <w:p>
      <w:pPr>
        <w:keepNext w:val="0"/>
        <w:keepLines w:val="0"/>
        <w:pageBreakBefore w:val="0"/>
        <w:kinsoku/>
        <w:wordWrap/>
        <w:overflowPunct/>
        <w:topLinePunct w:val="0"/>
        <w:bidi w:val="0"/>
        <w:snapToGrid/>
        <w:spacing w:line="360" w:lineRule="auto"/>
        <w:ind w:left="0" w:leftChars="0" w:firstLine="411" w:firstLineChars="196"/>
        <w:jc w:val="left"/>
        <w:textAlignment w:val="auto"/>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公开招标采购公告</w:t>
      </w:r>
      <w:r>
        <w:rPr>
          <w:rFonts w:hint="eastAsia" w:ascii="宋体" w:hAnsi="宋体" w:cs="宋体"/>
          <w:highlight w:val="none"/>
        </w:rPr>
        <w:tab/>
      </w:r>
    </w:p>
    <w:p>
      <w:pPr>
        <w:keepNext w:val="0"/>
        <w:keepLines w:val="0"/>
        <w:pageBreakBefore w:val="0"/>
        <w:kinsoku/>
        <w:wordWrap/>
        <w:overflowPunct/>
        <w:topLinePunct w:val="0"/>
        <w:bidi w:val="0"/>
        <w:snapToGrid/>
        <w:spacing w:line="360" w:lineRule="auto"/>
        <w:ind w:left="0" w:leftChars="0" w:firstLine="411" w:firstLineChars="196"/>
        <w:jc w:val="left"/>
        <w:textAlignment w:val="auto"/>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投标资料表</w:t>
      </w:r>
    </w:p>
    <w:p>
      <w:pPr>
        <w:keepNext w:val="0"/>
        <w:keepLines w:val="0"/>
        <w:pageBreakBefore w:val="0"/>
        <w:kinsoku/>
        <w:wordWrap/>
        <w:overflowPunct/>
        <w:topLinePunct w:val="0"/>
        <w:bidi w:val="0"/>
        <w:snapToGrid/>
        <w:spacing w:line="360" w:lineRule="auto"/>
        <w:ind w:left="0" w:leftChars="0" w:firstLine="411" w:firstLineChars="196"/>
        <w:jc w:val="left"/>
        <w:textAlignment w:val="auto"/>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供应商须知</w:t>
      </w:r>
    </w:p>
    <w:p>
      <w:pPr>
        <w:keepNext w:val="0"/>
        <w:keepLines w:val="0"/>
        <w:pageBreakBefore w:val="0"/>
        <w:kinsoku/>
        <w:wordWrap/>
        <w:overflowPunct/>
        <w:topLinePunct w:val="0"/>
        <w:bidi w:val="0"/>
        <w:snapToGrid/>
        <w:spacing w:line="360" w:lineRule="auto"/>
        <w:ind w:left="0" w:leftChars="0" w:firstLine="411" w:firstLineChars="196"/>
        <w:jc w:val="left"/>
        <w:textAlignment w:val="auto"/>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采购需求</w:t>
      </w:r>
      <w:r>
        <w:rPr>
          <w:rFonts w:hint="eastAsia" w:ascii="宋体" w:hAnsi="宋体" w:cs="宋体"/>
          <w:highlight w:val="none"/>
        </w:rPr>
        <w:tab/>
      </w:r>
    </w:p>
    <w:p>
      <w:pPr>
        <w:keepNext w:val="0"/>
        <w:keepLines w:val="0"/>
        <w:pageBreakBefore w:val="0"/>
        <w:kinsoku/>
        <w:wordWrap/>
        <w:overflowPunct/>
        <w:topLinePunct w:val="0"/>
        <w:bidi w:val="0"/>
        <w:snapToGrid/>
        <w:spacing w:line="360" w:lineRule="auto"/>
        <w:ind w:left="0" w:leftChars="0" w:firstLine="411" w:firstLineChars="196"/>
        <w:jc w:val="left"/>
        <w:textAlignment w:val="auto"/>
        <w:rPr>
          <w:rFonts w:hint="eastAsia"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评标办法及评分标准</w:t>
      </w:r>
    </w:p>
    <w:p>
      <w:pPr>
        <w:keepNext w:val="0"/>
        <w:keepLines w:val="0"/>
        <w:pageBreakBefore w:val="0"/>
        <w:kinsoku/>
        <w:wordWrap/>
        <w:overflowPunct/>
        <w:topLinePunct w:val="0"/>
        <w:bidi w:val="0"/>
        <w:snapToGrid/>
        <w:spacing w:line="360" w:lineRule="auto"/>
        <w:ind w:left="0" w:leftChars="0" w:firstLine="411" w:firstLineChars="196"/>
        <w:jc w:val="left"/>
        <w:textAlignment w:val="auto"/>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政府采购合同主要条款</w:t>
      </w:r>
      <w:r>
        <w:rPr>
          <w:rFonts w:hint="eastAsia" w:ascii="宋体" w:hAnsi="宋体" w:cs="宋体"/>
          <w:highlight w:val="none"/>
        </w:rPr>
        <w:tab/>
      </w:r>
    </w:p>
    <w:p>
      <w:pPr>
        <w:keepNext w:val="0"/>
        <w:keepLines w:val="0"/>
        <w:pageBreakBefore w:val="0"/>
        <w:kinsoku/>
        <w:wordWrap/>
        <w:overflowPunct/>
        <w:topLinePunct w:val="0"/>
        <w:bidi w:val="0"/>
        <w:snapToGrid/>
        <w:spacing w:line="360" w:lineRule="auto"/>
        <w:ind w:left="0" w:leftChars="0" w:firstLine="411" w:firstLineChars="196"/>
        <w:jc w:val="left"/>
        <w:textAlignment w:val="auto"/>
        <w:rPr>
          <w:rFonts w:hint="eastAsia"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投标文件格式</w:t>
      </w:r>
      <w:r>
        <w:rPr>
          <w:rFonts w:hint="eastAsia" w:ascii="宋体" w:hAnsi="宋体" w:cs="宋体"/>
          <w:highlight w:val="none"/>
        </w:rPr>
        <w:tab/>
      </w:r>
    </w:p>
    <w:p>
      <w:pPr>
        <w:keepNext w:val="0"/>
        <w:keepLines w:val="0"/>
        <w:pageBreakBefore w:val="0"/>
        <w:kinsoku/>
        <w:wordWrap/>
        <w:overflowPunct/>
        <w:topLinePunct w:val="0"/>
        <w:bidi w:val="0"/>
        <w:snapToGrid/>
        <w:spacing w:line="360" w:lineRule="auto"/>
        <w:ind w:left="0" w:leftChars="0" w:firstLine="413" w:firstLineChars="196"/>
        <w:jc w:val="left"/>
        <w:textAlignment w:val="auto"/>
        <w:rPr>
          <w:rFonts w:ascii="宋体" w:hAnsi="宋体" w:cs="宋体"/>
          <w:b/>
          <w:highlight w:val="none"/>
        </w:rPr>
      </w:pPr>
      <w:r>
        <w:rPr>
          <w:rFonts w:hint="eastAsia" w:ascii="宋体" w:hAnsi="宋体" w:cs="宋体"/>
          <w:b/>
          <w:highlight w:val="none"/>
        </w:rPr>
        <w:t>（二）供应商的风险</w:t>
      </w:r>
    </w:p>
    <w:p>
      <w:pPr>
        <w:pStyle w:val="39"/>
        <w:keepNext w:val="0"/>
        <w:keepLines w:val="0"/>
        <w:pageBreakBefore w:val="0"/>
        <w:kinsoku/>
        <w:wordWrap/>
        <w:overflowPunct/>
        <w:topLinePunct w:val="0"/>
        <w:bidi w:val="0"/>
        <w:snapToGrid/>
        <w:spacing w:line="360" w:lineRule="auto"/>
        <w:ind w:left="0" w:leftChars="0" w:firstLine="420"/>
        <w:textAlignment w:val="auto"/>
        <w:rPr>
          <w:rFonts w:ascii="宋体" w:eastAsia="宋体" w:cs="宋体"/>
          <w:color w:val="auto"/>
          <w:sz w:val="21"/>
          <w:highlight w:val="none"/>
        </w:rPr>
      </w:pPr>
      <w:r>
        <w:rPr>
          <w:rFonts w:hint="eastAsia" w:ascii="宋体" w:eastAsia="宋体" w:cs="宋体"/>
          <w:color w:val="auto"/>
          <w:sz w:val="21"/>
          <w:highlight w:val="none"/>
        </w:rPr>
        <w:t>供应商没有按照招标文件要求提供全部资料，或者供应商没有对招标文件在各方面作出实质性响应是供应商的风险，并可能导致其投标被拒绝。</w:t>
      </w:r>
    </w:p>
    <w:p>
      <w:pPr>
        <w:pStyle w:val="15"/>
        <w:keepNext w:val="0"/>
        <w:keepLines w:val="0"/>
        <w:pageBreakBefore w:val="0"/>
        <w:widowControl w:val="0"/>
        <w:tabs>
          <w:tab w:val="clear" w:pos="454"/>
        </w:tabs>
        <w:kinsoku/>
        <w:wordWrap/>
        <w:overflowPunct/>
        <w:topLinePunct w:val="0"/>
        <w:bidi w:val="0"/>
        <w:snapToGrid/>
        <w:spacing w:after="0" w:afterLines="0" w:line="360" w:lineRule="auto"/>
        <w:ind w:left="0" w:leftChars="0" w:firstLine="413" w:firstLineChars="196"/>
        <w:textAlignment w:val="auto"/>
        <w:rPr>
          <w:rFonts w:ascii="宋体" w:hAnsi="宋体" w:cs="宋体"/>
          <w:b/>
          <w:sz w:val="21"/>
          <w:szCs w:val="21"/>
          <w:highlight w:val="none"/>
        </w:rPr>
      </w:pPr>
      <w:r>
        <w:rPr>
          <w:rFonts w:hint="eastAsia" w:ascii="宋体" w:hAnsi="宋体" w:cs="宋体"/>
          <w:b/>
          <w:sz w:val="21"/>
          <w:szCs w:val="21"/>
          <w:highlight w:val="none"/>
        </w:rPr>
        <w:t xml:space="preserve">（三）招标文件的澄清与修改 </w:t>
      </w:r>
    </w:p>
    <w:p>
      <w:pPr>
        <w:pStyle w:val="26"/>
        <w:keepNext w:val="0"/>
        <w:keepLines w:val="0"/>
        <w:pageBreakBefore w:val="0"/>
        <w:kinsoku/>
        <w:wordWrap/>
        <w:overflowPunct/>
        <w:topLinePunct w:val="0"/>
        <w:bidi w:val="0"/>
        <w:snapToGrid/>
        <w:spacing w:before="0" w:beforeLines="0" w:after="0" w:afterLines="0" w:line="360" w:lineRule="auto"/>
        <w:ind w:left="0" w:leftChars="0" w:firstLine="413"/>
        <w:textAlignment w:val="auto"/>
        <w:rPr>
          <w:rFonts w:hAnsi="宋体" w:cs="宋体"/>
          <w:sz w:val="21"/>
          <w:highlight w:val="none"/>
        </w:rPr>
      </w:pPr>
      <w:r>
        <w:rPr>
          <w:rFonts w:hint="eastAsia" w:hAnsi="宋体" w:cs="宋体"/>
          <w:sz w:val="21"/>
          <w:highlight w:val="none"/>
        </w:rPr>
        <w:t>1、采购人对采购文件进行必要的澄清或者修改的，在发布招标公告的网站上发布更正公告。澄清或者修改的内容可能影响</w:t>
      </w:r>
      <w:r>
        <w:rPr>
          <w:rFonts w:hint="eastAsia" w:hAnsi="宋体" w:cs="宋体"/>
          <w:sz w:val="21"/>
          <w:highlight w:val="none"/>
          <w:lang w:eastAsia="zh-CN"/>
        </w:rPr>
        <w:t>投标文件</w:t>
      </w:r>
      <w:r>
        <w:rPr>
          <w:rFonts w:hint="eastAsia" w:hAnsi="宋体" w:cs="宋体"/>
          <w:sz w:val="21"/>
          <w:highlight w:val="none"/>
        </w:rPr>
        <w:t>编制的，更正公告在投标截止时间至少15日前发出；不足15日的，顺延提交</w:t>
      </w:r>
      <w:r>
        <w:rPr>
          <w:rFonts w:hint="eastAsia" w:hAnsi="宋体" w:cs="宋体"/>
          <w:sz w:val="21"/>
          <w:highlight w:val="none"/>
          <w:lang w:eastAsia="zh-CN"/>
        </w:rPr>
        <w:t>投标文件</w:t>
      </w:r>
      <w:r>
        <w:rPr>
          <w:rFonts w:hint="eastAsia" w:hAnsi="宋体" w:cs="宋体"/>
          <w:sz w:val="21"/>
          <w:highlight w:val="none"/>
        </w:rPr>
        <w:t>截止时间。</w:t>
      </w:r>
    </w:p>
    <w:p>
      <w:pPr>
        <w:pStyle w:val="26"/>
        <w:keepNext w:val="0"/>
        <w:keepLines w:val="0"/>
        <w:pageBreakBefore w:val="0"/>
        <w:kinsoku/>
        <w:wordWrap/>
        <w:overflowPunct/>
        <w:topLinePunct w:val="0"/>
        <w:bidi w:val="0"/>
        <w:snapToGrid/>
        <w:spacing w:before="0" w:beforeLines="0" w:after="0" w:afterLines="0" w:line="360" w:lineRule="auto"/>
        <w:ind w:left="0" w:leftChars="0" w:firstLine="413"/>
        <w:textAlignment w:val="auto"/>
        <w:rPr>
          <w:rFonts w:hAnsi="宋体" w:cs="宋体"/>
          <w:sz w:val="21"/>
          <w:highlight w:val="none"/>
        </w:rPr>
      </w:pPr>
      <w:r>
        <w:rPr>
          <w:rFonts w:hint="eastAsia" w:hAnsi="宋体" w:cs="宋体"/>
          <w:sz w:val="21"/>
          <w:highlight w:val="none"/>
        </w:rPr>
        <w:t>2、更正公告为采购文件的组成部分，一经在网站发布，视同已通知所有采购文件的收受人，不再采用其它方式传达相关信息, 若因未能及时了解到上述网站上发布的相关信息而导致的一切后果自行承担。</w:t>
      </w:r>
    </w:p>
    <w:p>
      <w:pPr>
        <w:pStyle w:val="26"/>
        <w:keepNext w:val="0"/>
        <w:keepLines w:val="0"/>
        <w:pageBreakBefore w:val="0"/>
        <w:kinsoku/>
        <w:wordWrap/>
        <w:overflowPunct/>
        <w:topLinePunct w:val="0"/>
        <w:bidi w:val="0"/>
        <w:snapToGrid/>
        <w:spacing w:before="0" w:beforeLines="0" w:after="0" w:afterLines="0" w:line="360" w:lineRule="auto"/>
        <w:ind w:left="0" w:leftChars="0" w:firstLine="413"/>
        <w:textAlignment w:val="auto"/>
        <w:rPr>
          <w:rFonts w:hAnsi="宋体" w:cs="宋体"/>
          <w:sz w:val="21"/>
          <w:highlight w:val="none"/>
        </w:rPr>
      </w:pPr>
      <w:r>
        <w:rPr>
          <w:rFonts w:hint="eastAsia" w:hAnsi="宋体" w:cs="宋体"/>
          <w:sz w:val="21"/>
          <w:highlight w:val="none"/>
        </w:rPr>
        <w:t>3、如更正公告有重新发布电子采购文件的，</w:t>
      </w:r>
      <w:r>
        <w:rPr>
          <w:rFonts w:hint="eastAsia" w:hAnsi="宋体" w:cs="宋体"/>
          <w:sz w:val="21"/>
          <w:highlight w:val="none"/>
          <w:lang w:eastAsia="zh-CN"/>
        </w:rPr>
        <w:t>供应商</w:t>
      </w:r>
      <w:r>
        <w:rPr>
          <w:rFonts w:hint="eastAsia" w:hAnsi="宋体" w:cs="宋体"/>
          <w:sz w:val="21"/>
          <w:highlight w:val="none"/>
        </w:rPr>
        <w:t>应下载最新发布的电子招标文件制作</w:t>
      </w:r>
      <w:r>
        <w:rPr>
          <w:rFonts w:hint="eastAsia" w:hAnsi="宋体" w:cs="宋体"/>
          <w:sz w:val="21"/>
          <w:highlight w:val="none"/>
          <w:lang w:eastAsia="zh-CN"/>
        </w:rPr>
        <w:t>投标文件</w:t>
      </w:r>
      <w:r>
        <w:rPr>
          <w:rFonts w:hint="eastAsia" w:hAnsi="宋体" w:cs="宋体"/>
          <w:sz w:val="21"/>
          <w:highlight w:val="none"/>
        </w:rPr>
        <w:t>。</w:t>
      </w:r>
    </w:p>
    <w:p>
      <w:pPr>
        <w:pStyle w:val="26"/>
        <w:keepNext w:val="0"/>
        <w:keepLines w:val="0"/>
        <w:pageBreakBefore w:val="0"/>
        <w:kinsoku/>
        <w:wordWrap/>
        <w:overflowPunct/>
        <w:topLinePunct w:val="0"/>
        <w:bidi w:val="0"/>
        <w:snapToGrid/>
        <w:spacing w:before="0" w:beforeLines="0" w:after="0" w:afterLines="0" w:line="360" w:lineRule="auto"/>
        <w:ind w:left="0" w:leftChars="0" w:firstLine="420" w:firstLineChars="200"/>
        <w:textAlignment w:val="auto"/>
        <w:rPr>
          <w:rFonts w:hAnsi="宋体" w:cs="宋体"/>
          <w:sz w:val="21"/>
          <w:highlight w:val="none"/>
        </w:rPr>
      </w:pPr>
      <w:r>
        <w:rPr>
          <w:rFonts w:hint="eastAsia" w:hAnsi="宋体" w:cs="宋体"/>
          <w:sz w:val="21"/>
          <w:highlight w:val="none"/>
        </w:rPr>
        <w:t>4、</w:t>
      </w:r>
      <w:r>
        <w:rPr>
          <w:rFonts w:hint="eastAsia" w:hAnsi="宋体" w:cs="宋体"/>
          <w:sz w:val="21"/>
          <w:highlight w:val="none"/>
          <w:lang w:eastAsia="zh-CN"/>
        </w:rPr>
        <w:t>供应商</w:t>
      </w:r>
      <w:r>
        <w:rPr>
          <w:rFonts w:hint="eastAsia" w:hAnsi="宋体" w:cs="宋体"/>
          <w:sz w:val="21"/>
          <w:highlight w:val="none"/>
        </w:rPr>
        <w:t>在规定的时间内未对招标文件提出疑问、质疑或要求澄清的，将视其为无异议。对采购文件中描述有歧义或前后不一致的地方，评标委员会有权进行评判，但对同一条款的评判应适用于每个</w:t>
      </w:r>
      <w:r>
        <w:rPr>
          <w:rFonts w:hint="eastAsia" w:hAnsi="宋体" w:cs="宋体"/>
          <w:sz w:val="21"/>
          <w:highlight w:val="none"/>
          <w:lang w:eastAsia="zh-CN"/>
        </w:rPr>
        <w:t>供应商</w:t>
      </w:r>
      <w:r>
        <w:rPr>
          <w:rFonts w:hint="eastAsia" w:hAnsi="宋体" w:cs="宋体"/>
          <w:sz w:val="21"/>
          <w:highlight w:val="none"/>
        </w:rPr>
        <w:t>。</w:t>
      </w:r>
    </w:p>
    <w:p>
      <w:pPr>
        <w:pStyle w:val="26"/>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13" w:firstLineChars="196"/>
        <w:jc w:val="both"/>
        <w:textAlignment w:val="auto"/>
        <w:outlineLvl w:val="1"/>
        <w:rPr>
          <w:rFonts w:hAnsi="宋体" w:cs="宋体"/>
          <w:b/>
          <w:sz w:val="21"/>
          <w:highlight w:val="none"/>
        </w:rPr>
      </w:pPr>
      <w:bookmarkStart w:id="44" w:name="_Toc2413"/>
      <w:bookmarkStart w:id="45" w:name="_Toc31206"/>
      <w:bookmarkStart w:id="46" w:name="_Toc98160175"/>
      <w:bookmarkStart w:id="47" w:name="_Toc12522"/>
      <w:r>
        <w:rPr>
          <w:rFonts w:hint="eastAsia" w:hAnsi="宋体" w:cs="宋体"/>
          <w:b/>
          <w:sz w:val="21"/>
          <w:highlight w:val="none"/>
        </w:rPr>
        <w:t>三、</w:t>
      </w:r>
      <w:r>
        <w:rPr>
          <w:rFonts w:hint="eastAsia" w:hAnsi="宋体" w:cs="宋体"/>
          <w:b/>
          <w:sz w:val="21"/>
          <w:highlight w:val="none"/>
          <w:lang w:val="en-US" w:eastAsia="zh-CN"/>
        </w:rPr>
        <w:t>投标</w:t>
      </w:r>
      <w:r>
        <w:rPr>
          <w:rFonts w:hint="eastAsia" w:hAnsi="宋体" w:cs="宋体"/>
          <w:b/>
          <w:sz w:val="21"/>
          <w:highlight w:val="none"/>
        </w:rPr>
        <w:t>文件的编制</w:t>
      </w:r>
      <w:bookmarkEnd w:id="44"/>
      <w:bookmarkEnd w:id="45"/>
      <w:bookmarkEnd w:id="46"/>
      <w:bookmarkEnd w:id="47"/>
    </w:p>
    <w:p>
      <w:pPr>
        <w:pStyle w:val="26"/>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13" w:firstLineChars="196"/>
        <w:jc w:val="both"/>
        <w:textAlignment w:val="auto"/>
        <w:outlineLvl w:val="1"/>
        <w:rPr>
          <w:rFonts w:hAnsi="宋体" w:cs="宋体"/>
          <w:b/>
          <w:sz w:val="21"/>
          <w:highlight w:val="none"/>
        </w:rPr>
      </w:pPr>
      <w:bookmarkStart w:id="48" w:name="_Toc6799"/>
      <w:bookmarkStart w:id="49" w:name="_Toc98160176"/>
      <w:bookmarkStart w:id="50" w:name="_Toc30804"/>
      <w:bookmarkStart w:id="51" w:name="_Toc13285"/>
      <w:r>
        <w:rPr>
          <w:rFonts w:hint="eastAsia" w:hAnsi="宋体" w:cs="宋体"/>
          <w:b/>
          <w:sz w:val="21"/>
          <w:highlight w:val="none"/>
        </w:rPr>
        <w:t>（一）</w:t>
      </w:r>
      <w:r>
        <w:rPr>
          <w:rFonts w:hint="eastAsia" w:hAnsi="宋体" w:cs="宋体"/>
          <w:b/>
          <w:sz w:val="21"/>
          <w:highlight w:val="none"/>
          <w:lang w:val="en-US" w:eastAsia="zh-CN"/>
        </w:rPr>
        <w:t>投标</w:t>
      </w:r>
      <w:r>
        <w:rPr>
          <w:rFonts w:hint="eastAsia" w:hAnsi="宋体" w:cs="宋体"/>
          <w:b/>
          <w:sz w:val="21"/>
          <w:highlight w:val="none"/>
        </w:rPr>
        <w:t>文件由资格证明文件</w:t>
      </w:r>
      <w:r>
        <w:rPr>
          <w:rFonts w:hint="eastAsia" w:hAnsi="宋体" w:cs="宋体"/>
          <w:b/>
          <w:sz w:val="21"/>
          <w:highlight w:val="none"/>
          <w:lang w:eastAsia="zh-CN"/>
        </w:rPr>
        <w:t>、</w:t>
      </w:r>
      <w:r>
        <w:rPr>
          <w:rFonts w:hint="eastAsia" w:hAnsi="宋体" w:cs="宋体"/>
          <w:b/>
          <w:sz w:val="21"/>
          <w:highlight w:val="none"/>
        </w:rPr>
        <w:t>商务技术文件</w:t>
      </w:r>
      <w:r>
        <w:rPr>
          <w:rFonts w:hint="eastAsia" w:hAnsi="宋体" w:cs="宋体"/>
          <w:b/>
          <w:sz w:val="21"/>
          <w:highlight w:val="none"/>
          <w:lang w:val="en-US" w:eastAsia="zh-CN"/>
        </w:rPr>
        <w:t>及</w:t>
      </w:r>
      <w:r>
        <w:rPr>
          <w:rFonts w:hint="eastAsia" w:hAnsi="宋体" w:cs="宋体"/>
          <w:b/>
          <w:sz w:val="21"/>
          <w:highlight w:val="none"/>
        </w:rPr>
        <w:t>报价文件组成</w:t>
      </w:r>
      <w:bookmarkEnd w:id="48"/>
      <w:bookmarkEnd w:id="49"/>
      <w:bookmarkEnd w:id="50"/>
      <w:bookmarkEnd w:id="51"/>
    </w:p>
    <w:p>
      <w:pPr>
        <w:keepNext w:val="0"/>
        <w:keepLines w:val="0"/>
        <w:pageBreakBefore w:val="0"/>
        <w:kinsoku/>
        <w:wordWrap/>
        <w:overflowPunct/>
        <w:topLinePunct w:val="0"/>
        <w:autoSpaceDE/>
        <w:autoSpaceDN/>
        <w:bidi w:val="0"/>
        <w:adjustRightInd/>
        <w:snapToGrid/>
        <w:spacing w:line="360" w:lineRule="auto"/>
        <w:ind w:left="0" w:leftChars="0" w:firstLine="413" w:firstLineChars="196"/>
        <w:jc w:val="both"/>
        <w:textAlignment w:val="auto"/>
        <w:outlineLvl w:val="0"/>
        <w:rPr>
          <w:rFonts w:hint="eastAsia" w:ascii="宋体" w:hAnsi="宋体" w:cs="宋体"/>
          <w:b/>
          <w:highlight w:val="none"/>
        </w:rPr>
      </w:pPr>
      <w:bookmarkStart w:id="52" w:name="_Toc98160177"/>
      <w:bookmarkStart w:id="53" w:name="_Toc26512"/>
      <w:bookmarkStart w:id="54" w:name="_Toc28558"/>
      <w:bookmarkStart w:id="55" w:name="_Toc13530"/>
      <w:r>
        <w:rPr>
          <w:rFonts w:hint="eastAsia" w:ascii="宋体" w:hAnsi="宋体" w:cs="宋体"/>
          <w:b/>
          <w:highlight w:val="none"/>
        </w:rPr>
        <w:t xml:space="preserve">1. </w:t>
      </w:r>
      <w:bookmarkEnd w:id="52"/>
      <w:r>
        <w:rPr>
          <w:rFonts w:hint="eastAsia" w:ascii="宋体" w:hAnsi="宋体" w:cs="宋体"/>
          <w:b/>
          <w:highlight w:val="none"/>
        </w:rPr>
        <w:t>资格证明文件</w:t>
      </w:r>
      <w:r>
        <w:rPr>
          <w:rFonts w:hint="eastAsia" w:ascii="宋体" w:hAnsi="宋体" w:cs="宋体"/>
          <w:b/>
          <w:highlight w:val="none"/>
          <w:lang w:val="en-US" w:eastAsia="zh-CN"/>
        </w:rPr>
        <w:t>包</w:t>
      </w:r>
      <w:r>
        <w:rPr>
          <w:rFonts w:hint="eastAsia" w:ascii="宋体" w:hAnsi="宋体" w:cs="宋体"/>
          <w:b/>
          <w:highlight w:val="none"/>
        </w:rPr>
        <w:t>括以下内容：</w:t>
      </w:r>
      <w:bookmarkEnd w:id="53"/>
      <w:bookmarkEnd w:id="54"/>
      <w:bookmarkEnd w:id="55"/>
      <w:r>
        <w:rPr>
          <w:rFonts w:hint="eastAsia" w:ascii="宋体" w:hAnsi="宋体" w:cs="宋体"/>
          <w:b/>
          <w:highlight w:val="none"/>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b w:val="0"/>
          <w:bCs/>
          <w:color w:val="auto"/>
          <w:szCs w:val="21"/>
          <w:highlight w:val="none"/>
        </w:rPr>
      </w:pPr>
      <w:r>
        <w:rPr>
          <w:rFonts w:hint="eastAsia" w:ascii="宋体" w:hAnsi="宋体"/>
          <w:b w:val="0"/>
          <w:bCs/>
          <w:color w:val="auto"/>
          <w:szCs w:val="21"/>
          <w:highlight w:val="none"/>
        </w:rPr>
        <w:t>营业执照复印件。供应商如果有名称变更的，应提供由行政主管部门出具的变更证明文件；</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color w:val="auto"/>
          <w:szCs w:val="21"/>
          <w:highlight w:val="none"/>
          <w:lang w:val="en-US" w:eastAsia="zh-CN"/>
        </w:rPr>
      </w:pPr>
      <w:r>
        <w:rPr>
          <w:rFonts w:hint="eastAsia" w:ascii="宋体" w:hAnsi="宋体"/>
          <w:b w:val="0"/>
          <w:bCs/>
          <w:color w:val="auto"/>
          <w:szCs w:val="21"/>
          <w:highlight w:val="none"/>
        </w:rPr>
        <w:t>关于资格的承诺函；</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中小企业声明函；</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残疾人福利性单位声明函，供应商如为非残疾人福利性单位的，可不提供本声明函；</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监狱企业参加政府采购活动时，应当提供由省级以上监狱管理局、戒毒管理局（含新疆生产建设兵团）出具的属于监狱企业的证明文件，供应商如为非监狱企业的，可不提供本内容；</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供应商认为需要补充说明的资料特定条件。</w:t>
      </w:r>
    </w:p>
    <w:p>
      <w:pPr>
        <w:keepNext w:val="0"/>
        <w:keepLines w:val="0"/>
        <w:pageBreakBefore w:val="0"/>
        <w:kinsoku/>
        <w:wordWrap/>
        <w:overflowPunct/>
        <w:topLinePunct w:val="0"/>
        <w:bidi w:val="0"/>
        <w:snapToGrid/>
        <w:spacing w:line="360" w:lineRule="auto"/>
        <w:ind w:left="0" w:leftChars="0" w:firstLine="413" w:firstLineChars="196"/>
        <w:jc w:val="left"/>
        <w:textAlignment w:val="auto"/>
        <w:outlineLvl w:val="0"/>
        <w:rPr>
          <w:rFonts w:ascii="宋体" w:hAnsi="宋体" w:cs="宋体"/>
          <w:b/>
          <w:highlight w:val="none"/>
        </w:rPr>
      </w:pPr>
      <w:bookmarkStart w:id="56" w:name="_Toc2820"/>
      <w:bookmarkStart w:id="57" w:name="_Toc98160190"/>
      <w:bookmarkStart w:id="58" w:name="_Toc19568"/>
      <w:bookmarkStart w:id="59" w:name="_Toc13907"/>
      <w:r>
        <w:rPr>
          <w:rFonts w:hint="eastAsia" w:ascii="宋体" w:hAnsi="宋体" w:cs="宋体"/>
          <w:b/>
          <w:highlight w:val="none"/>
          <w:lang w:val="en-US" w:eastAsia="zh-CN"/>
        </w:rPr>
        <w:t>2</w:t>
      </w:r>
      <w:r>
        <w:rPr>
          <w:rFonts w:hint="eastAsia" w:ascii="宋体" w:hAnsi="宋体" w:cs="宋体"/>
          <w:b/>
          <w:highlight w:val="none"/>
        </w:rPr>
        <w:t>. 商务技术文件包括以下内容：</w:t>
      </w:r>
      <w:bookmarkEnd w:id="56"/>
      <w:bookmarkEnd w:id="57"/>
      <w:bookmarkEnd w:id="58"/>
      <w:bookmarkEnd w:id="59"/>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b w:val="0"/>
          <w:bCs/>
          <w:color w:val="auto"/>
          <w:szCs w:val="21"/>
          <w:highlight w:val="none"/>
        </w:rPr>
      </w:pPr>
      <w:r>
        <w:rPr>
          <w:rFonts w:hint="eastAsia" w:ascii="宋体" w:hAnsi="宋体"/>
          <w:b w:val="0"/>
          <w:bCs/>
          <w:color w:val="auto"/>
          <w:szCs w:val="21"/>
          <w:highlight w:val="none"/>
        </w:rPr>
        <w:t xml:space="preserve">委托代理人的身份证、法定代表人身份证明及法定代表人授权委托书（或法定代表人身份证及法定代表人身份证明）；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b w:val="0"/>
          <w:bCs/>
          <w:color w:val="auto"/>
          <w:szCs w:val="21"/>
          <w:highlight w:val="none"/>
        </w:rPr>
      </w:pPr>
      <w:r>
        <w:rPr>
          <w:rFonts w:hint="eastAsia" w:ascii="宋体" w:hAnsi="宋体"/>
          <w:b w:val="0"/>
          <w:bCs/>
          <w:color w:val="auto"/>
          <w:szCs w:val="21"/>
          <w:highlight w:val="none"/>
        </w:rPr>
        <w:t xml:space="preserve">供应商基本情况表；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b w:val="0"/>
          <w:bCs/>
          <w:color w:val="auto"/>
          <w:szCs w:val="21"/>
          <w:highlight w:val="none"/>
        </w:rPr>
      </w:pPr>
      <w:r>
        <w:rPr>
          <w:rFonts w:hint="eastAsia" w:ascii="宋体" w:hAnsi="宋体"/>
          <w:b w:val="0"/>
          <w:bCs/>
          <w:color w:val="auto"/>
          <w:szCs w:val="21"/>
          <w:highlight w:val="none"/>
        </w:rPr>
        <w:t>技术、商务条款偏离表；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b w:val="0"/>
          <w:bCs/>
          <w:color w:val="auto"/>
          <w:szCs w:val="21"/>
          <w:highlight w:val="none"/>
        </w:rPr>
      </w:pPr>
      <w:r>
        <w:rPr>
          <w:rFonts w:hint="eastAsia" w:ascii="宋体" w:hAnsi="宋体"/>
          <w:b w:val="0"/>
          <w:bCs/>
          <w:color w:val="auto"/>
          <w:szCs w:val="21"/>
          <w:highlight w:val="none"/>
        </w:rPr>
        <w:t>根据</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第五章 评标办法及评分标准</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中“评分标准”要求提供的资料（如有需提供）；</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b w:val="0"/>
          <w:bCs/>
          <w:color w:val="auto"/>
          <w:szCs w:val="21"/>
          <w:highlight w:val="none"/>
        </w:rPr>
      </w:pPr>
      <w:r>
        <w:rPr>
          <w:rFonts w:hint="eastAsia" w:ascii="宋体" w:hAnsi="宋体"/>
          <w:b w:val="0"/>
          <w:bCs/>
          <w:color w:val="auto"/>
          <w:szCs w:val="21"/>
          <w:highlight w:val="none"/>
        </w:rPr>
        <w:t>供应商认为需要提供的其他技术商务材料。</w:t>
      </w:r>
    </w:p>
    <w:p>
      <w:pPr>
        <w:keepNext w:val="0"/>
        <w:keepLines w:val="0"/>
        <w:pageBreakBefore w:val="0"/>
        <w:kinsoku/>
        <w:wordWrap/>
        <w:overflowPunct/>
        <w:topLinePunct w:val="0"/>
        <w:bidi w:val="0"/>
        <w:snapToGrid/>
        <w:spacing w:line="360" w:lineRule="auto"/>
        <w:ind w:left="0" w:leftChars="0" w:firstLine="413" w:firstLineChars="196"/>
        <w:jc w:val="left"/>
        <w:textAlignment w:val="auto"/>
        <w:outlineLvl w:val="0"/>
        <w:rPr>
          <w:rFonts w:hint="eastAsia" w:ascii="宋体" w:hAnsi="宋体" w:cs="宋体"/>
          <w:b/>
          <w:highlight w:val="none"/>
          <w:lang w:val="en-US" w:eastAsia="zh-CN"/>
        </w:rPr>
      </w:pPr>
      <w:bookmarkStart w:id="60" w:name="_Toc3683"/>
      <w:bookmarkStart w:id="61" w:name="_Toc12623"/>
      <w:bookmarkStart w:id="62" w:name="_Toc15636"/>
      <w:r>
        <w:rPr>
          <w:rFonts w:hint="eastAsia" w:ascii="宋体" w:hAnsi="宋体" w:cs="宋体"/>
          <w:b/>
          <w:highlight w:val="none"/>
          <w:lang w:val="en-US" w:eastAsia="zh-CN"/>
        </w:rPr>
        <w:t>3、报价文件包</w:t>
      </w:r>
      <w:r>
        <w:rPr>
          <w:rFonts w:hint="eastAsia" w:ascii="宋体" w:hAnsi="宋体" w:cs="宋体"/>
          <w:b/>
          <w:highlight w:val="none"/>
        </w:rPr>
        <w:t>括以下内容：</w:t>
      </w:r>
      <w:bookmarkEnd w:id="60"/>
      <w:bookmarkEnd w:id="61"/>
      <w:bookmarkEnd w:id="62"/>
      <w:r>
        <w:rPr>
          <w:rFonts w:hint="eastAsia" w:ascii="宋体" w:hAnsi="宋体" w:cs="宋体"/>
          <w:b/>
          <w:highlight w:val="none"/>
          <w:lang w:val="en-US" w:eastAsia="zh-CN"/>
        </w:rPr>
        <w:t xml:space="preserve">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b w:val="0"/>
          <w:bCs/>
          <w:color w:val="auto"/>
          <w:szCs w:val="21"/>
          <w:highlight w:val="none"/>
          <w:lang w:val="en-US" w:eastAsia="zh-CN"/>
        </w:rPr>
      </w:pPr>
      <w:bookmarkStart w:id="63" w:name="_Toc98160207"/>
      <w:bookmarkStart w:id="64" w:name="_Toc14191"/>
      <w:r>
        <w:rPr>
          <w:rFonts w:hint="eastAsia" w:ascii="宋体" w:hAnsi="宋体"/>
          <w:b w:val="0"/>
          <w:bCs/>
          <w:color w:val="auto"/>
          <w:szCs w:val="21"/>
          <w:highlight w:val="none"/>
          <w:lang w:val="en-US" w:eastAsia="zh-CN"/>
        </w:rPr>
        <w:t>投标函；</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开标一览表；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val="0"/>
          <w:bCs/>
          <w:color w:val="auto"/>
          <w:szCs w:val="21"/>
          <w:highlight w:val="none"/>
          <w:lang w:val="en-US" w:eastAsia="zh-CN"/>
        </w:rPr>
      </w:pPr>
      <w:r>
        <w:rPr>
          <w:rFonts w:hint="eastAsia" w:ascii="宋体" w:hAnsi="宋体"/>
          <w:b w:val="0"/>
          <w:bCs/>
          <w:color w:val="auto"/>
          <w:szCs w:val="21"/>
          <w:highlight w:val="none"/>
          <w:lang w:val="en-US" w:eastAsia="zh-CN"/>
        </w:rPr>
        <w:t>供应商认为需提交的其他文件资料。</w:t>
      </w:r>
    </w:p>
    <w:p>
      <w:pPr>
        <w:keepNext w:val="0"/>
        <w:keepLines w:val="0"/>
        <w:pageBreakBefore w:val="0"/>
        <w:kinsoku/>
        <w:wordWrap/>
        <w:overflowPunct/>
        <w:topLinePunct w:val="0"/>
        <w:bidi w:val="0"/>
        <w:snapToGrid/>
        <w:spacing w:line="360" w:lineRule="auto"/>
        <w:ind w:left="0" w:leftChars="0" w:firstLine="413" w:firstLineChars="196"/>
        <w:jc w:val="left"/>
        <w:textAlignment w:val="auto"/>
        <w:outlineLvl w:val="0"/>
        <w:rPr>
          <w:rFonts w:ascii="宋体" w:hAnsi="宋体" w:cs="宋体"/>
          <w:b/>
          <w:highlight w:val="none"/>
        </w:rPr>
      </w:pPr>
      <w:bookmarkStart w:id="65" w:name="_Toc17548"/>
      <w:bookmarkStart w:id="66" w:name="_Toc23766"/>
      <w:r>
        <w:rPr>
          <w:rFonts w:hint="eastAsia" w:ascii="宋体" w:hAnsi="宋体" w:cs="宋体"/>
          <w:b/>
          <w:highlight w:val="none"/>
        </w:rPr>
        <w:t>（二）</w:t>
      </w:r>
      <w:r>
        <w:rPr>
          <w:rFonts w:hint="eastAsia" w:ascii="宋体" w:hAnsi="宋体" w:cs="宋体"/>
          <w:b/>
          <w:highlight w:val="none"/>
          <w:lang w:eastAsia="zh-CN"/>
        </w:rPr>
        <w:t>投标文件</w:t>
      </w:r>
      <w:r>
        <w:rPr>
          <w:rFonts w:hint="eastAsia" w:ascii="宋体" w:hAnsi="宋体" w:cs="宋体"/>
          <w:b/>
          <w:highlight w:val="none"/>
        </w:rPr>
        <w:t>的语言及计量</w:t>
      </w:r>
      <w:bookmarkEnd w:id="63"/>
      <w:bookmarkEnd w:id="64"/>
      <w:bookmarkEnd w:id="65"/>
      <w:bookmarkEnd w:id="66"/>
    </w:p>
    <w:p>
      <w:pPr>
        <w:keepNext w:val="0"/>
        <w:keepLines w:val="0"/>
        <w:pageBreakBefore w:val="0"/>
        <w:kinsoku/>
        <w:wordWrap/>
        <w:overflowPunct/>
        <w:topLinePunct w:val="0"/>
        <w:bidi w:val="0"/>
        <w:snapToGrid/>
        <w:spacing w:line="360" w:lineRule="auto"/>
        <w:ind w:left="0" w:leftChars="0" w:firstLine="422" w:firstLineChars="200"/>
        <w:jc w:val="left"/>
        <w:textAlignment w:val="auto"/>
        <w:rPr>
          <w:rFonts w:ascii="宋体" w:hAnsi="宋体" w:cs="宋体"/>
          <w:b/>
          <w:highlight w:val="none"/>
        </w:rPr>
      </w:pPr>
      <w:r>
        <w:rPr>
          <w:rFonts w:hint="eastAsia" w:ascii="宋体" w:hAnsi="宋体" w:cs="宋体"/>
          <w:b/>
          <w:highlight w:val="none"/>
        </w:rPr>
        <w:t>★1</w:t>
      </w:r>
      <w:r>
        <w:rPr>
          <w:rFonts w:hint="eastAsia" w:ascii="宋体" w:hAnsi="宋体" w:cs="宋体"/>
          <w:b/>
          <w:highlight w:val="none"/>
          <w:lang w:eastAsia="zh-CN"/>
        </w:rPr>
        <w:t>投标文件</w:t>
      </w:r>
      <w:r>
        <w:rPr>
          <w:rFonts w:hint="eastAsia" w:ascii="宋体" w:hAnsi="宋体" w:cs="宋体"/>
          <w:b/>
          <w:highlight w:val="none"/>
        </w:rPr>
        <w:t>以及投标方与招标方就有关投标事宜的所有来往函电，均应以中文汉语书写。除签名、盖章、专用名称等特殊情形外，以中文汉语以外的文字表述的</w:t>
      </w:r>
      <w:r>
        <w:rPr>
          <w:rFonts w:hint="eastAsia" w:ascii="宋体" w:hAnsi="宋体" w:cs="宋体"/>
          <w:b/>
          <w:highlight w:val="none"/>
          <w:lang w:eastAsia="zh-CN"/>
        </w:rPr>
        <w:t>投标文件</w:t>
      </w:r>
      <w:r>
        <w:rPr>
          <w:rFonts w:hint="eastAsia" w:ascii="宋体" w:hAnsi="宋体" w:cs="宋体"/>
          <w:b/>
          <w:highlight w:val="none"/>
        </w:rPr>
        <w:t>视同未提供。</w:t>
      </w:r>
    </w:p>
    <w:p>
      <w:pPr>
        <w:keepNext w:val="0"/>
        <w:keepLines w:val="0"/>
        <w:pageBreakBefore w:val="0"/>
        <w:kinsoku/>
        <w:wordWrap/>
        <w:overflowPunct/>
        <w:topLinePunct w:val="0"/>
        <w:bidi w:val="0"/>
        <w:snapToGrid/>
        <w:spacing w:line="360" w:lineRule="auto"/>
        <w:ind w:left="0" w:leftChars="0" w:firstLine="422" w:firstLineChars="200"/>
        <w:jc w:val="left"/>
        <w:textAlignment w:val="auto"/>
        <w:rPr>
          <w:rFonts w:ascii="宋体" w:hAnsi="宋体" w:cs="宋体"/>
          <w:b/>
          <w:highlight w:val="none"/>
        </w:rPr>
      </w:pPr>
      <w:r>
        <w:rPr>
          <w:rFonts w:hint="eastAsia" w:ascii="宋体" w:hAnsi="宋体" w:cs="宋体"/>
          <w:b/>
          <w:highlight w:val="none"/>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bidi w:val="0"/>
        <w:snapToGrid/>
        <w:spacing w:line="360" w:lineRule="auto"/>
        <w:ind w:left="0" w:leftChars="0" w:firstLine="413" w:firstLineChars="196"/>
        <w:jc w:val="left"/>
        <w:textAlignment w:val="auto"/>
        <w:outlineLvl w:val="0"/>
        <w:rPr>
          <w:rFonts w:ascii="宋体" w:hAnsi="宋体" w:cs="宋体"/>
          <w:b/>
          <w:highlight w:val="none"/>
        </w:rPr>
      </w:pPr>
      <w:bookmarkStart w:id="67" w:name="_Toc17792"/>
      <w:bookmarkStart w:id="68" w:name="_Toc98160208"/>
      <w:bookmarkStart w:id="69" w:name="_Toc15464"/>
      <w:bookmarkStart w:id="70" w:name="_Toc29887"/>
      <w:r>
        <w:rPr>
          <w:rFonts w:hint="eastAsia" w:ascii="宋体" w:hAnsi="宋体" w:cs="宋体"/>
          <w:b/>
          <w:highlight w:val="none"/>
        </w:rPr>
        <w:t>（三）投标报价</w:t>
      </w:r>
      <w:bookmarkEnd w:id="67"/>
      <w:bookmarkEnd w:id="68"/>
      <w:bookmarkEnd w:id="69"/>
      <w:bookmarkEnd w:id="70"/>
    </w:p>
    <w:p>
      <w:pPr>
        <w:pStyle w:val="15"/>
        <w:keepNext w:val="0"/>
        <w:keepLines w:val="0"/>
        <w:pageBreakBefore w:val="0"/>
        <w:widowControl w:val="0"/>
        <w:tabs>
          <w:tab w:val="clear" w:pos="454"/>
        </w:tabs>
        <w:kinsoku/>
        <w:wordWrap/>
        <w:overflowPunct/>
        <w:topLinePunct w:val="0"/>
        <w:bidi w:val="0"/>
        <w:snapToGrid/>
        <w:spacing w:after="0" w:afterLines="0" w:line="360" w:lineRule="auto"/>
        <w:ind w:left="0" w:leftChars="0" w:firstLine="411" w:firstLineChars="196"/>
        <w:textAlignment w:val="auto"/>
        <w:rPr>
          <w:rFonts w:hint="eastAsia" w:hAnsi="宋体" w:cs="宋体"/>
          <w:sz w:val="21"/>
          <w:highlight w:val="none"/>
        </w:rPr>
      </w:pPr>
      <w:r>
        <w:rPr>
          <w:rFonts w:hint="eastAsia" w:hAnsi="宋体" w:cs="宋体"/>
          <w:sz w:val="21"/>
          <w:highlight w:val="none"/>
        </w:rPr>
        <w:t>1．投标报价应按招标文件中相关附表格式填写。</w:t>
      </w:r>
    </w:p>
    <w:p>
      <w:pPr>
        <w:pStyle w:val="15"/>
        <w:keepNext w:val="0"/>
        <w:keepLines w:val="0"/>
        <w:pageBreakBefore w:val="0"/>
        <w:widowControl w:val="0"/>
        <w:tabs>
          <w:tab w:val="clear" w:pos="454"/>
        </w:tabs>
        <w:kinsoku/>
        <w:wordWrap/>
        <w:overflowPunct/>
        <w:topLinePunct w:val="0"/>
        <w:bidi w:val="0"/>
        <w:snapToGrid/>
        <w:spacing w:after="0" w:afterLines="0" w:line="360" w:lineRule="auto"/>
        <w:ind w:left="0" w:leftChars="0" w:firstLine="472" w:firstLineChars="196"/>
        <w:textAlignment w:val="auto"/>
        <w:rPr>
          <w:rFonts w:hint="eastAsia" w:hAnsi="宋体" w:cs="宋体"/>
          <w:sz w:val="21"/>
          <w:highlight w:val="none"/>
        </w:rPr>
      </w:pPr>
      <w:r>
        <w:rPr>
          <w:rFonts w:hint="eastAsia" w:ascii="宋体" w:hAnsi="宋体" w:cs="宋体"/>
          <w:b/>
          <w:bCs w:val="0"/>
          <w:highlight w:val="none"/>
        </w:rPr>
        <w:t>★</w:t>
      </w:r>
      <w:r>
        <w:rPr>
          <w:rFonts w:hint="eastAsia" w:hAnsi="宋体" w:cs="宋体"/>
          <w:b/>
          <w:bCs w:val="0"/>
          <w:sz w:val="21"/>
          <w:highlight w:val="none"/>
        </w:rPr>
        <w:t>2．投标文件只允许有一个投标总价，有选择的或有条件的报价将不予接受。</w:t>
      </w:r>
    </w:p>
    <w:p>
      <w:pPr>
        <w:pStyle w:val="15"/>
        <w:keepNext w:val="0"/>
        <w:keepLines w:val="0"/>
        <w:pageBreakBefore w:val="0"/>
        <w:widowControl w:val="0"/>
        <w:tabs>
          <w:tab w:val="clear" w:pos="454"/>
        </w:tabs>
        <w:kinsoku/>
        <w:wordWrap/>
        <w:overflowPunct/>
        <w:topLinePunct w:val="0"/>
        <w:bidi w:val="0"/>
        <w:snapToGrid/>
        <w:spacing w:after="0" w:afterLines="0" w:line="360" w:lineRule="auto"/>
        <w:ind w:left="0" w:leftChars="0" w:firstLine="411" w:firstLineChars="196"/>
        <w:textAlignment w:val="auto"/>
        <w:rPr>
          <w:rFonts w:hint="eastAsia" w:hAnsi="宋体" w:cs="宋体"/>
          <w:sz w:val="21"/>
          <w:highlight w:val="none"/>
        </w:rPr>
      </w:pPr>
      <w:r>
        <w:rPr>
          <w:rFonts w:hint="eastAsia" w:hAnsi="宋体" w:cs="宋体"/>
          <w:sz w:val="21"/>
          <w:highlight w:val="none"/>
        </w:rPr>
        <w:t>3．所有投标报价必须以人民币报价，对用外汇支付部分，须折合成人民币计入总价，总报价不受汇率变动影响。不接受外币报价，除非招标文件另有要求。</w:t>
      </w:r>
    </w:p>
    <w:p>
      <w:pPr>
        <w:pStyle w:val="15"/>
        <w:keepNext w:val="0"/>
        <w:keepLines w:val="0"/>
        <w:pageBreakBefore w:val="0"/>
        <w:widowControl w:val="0"/>
        <w:tabs>
          <w:tab w:val="clear" w:pos="454"/>
        </w:tabs>
        <w:kinsoku/>
        <w:wordWrap/>
        <w:overflowPunct/>
        <w:topLinePunct w:val="0"/>
        <w:bidi w:val="0"/>
        <w:snapToGrid/>
        <w:spacing w:after="0" w:afterLines="0" w:line="360" w:lineRule="auto"/>
        <w:ind w:left="0" w:leftChars="0" w:firstLine="411" w:firstLineChars="196"/>
        <w:textAlignment w:val="auto"/>
        <w:rPr>
          <w:rFonts w:hint="eastAsia" w:hAnsi="宋体" w:cs="宋体"/>
          <w:sz w:val="21"/>
          <w:highlight w:val="none"/>
        </w:rPr>
      </w:pPr>
      <w:r>
        <w:rPr>
          <w:rFonts w:hint="eastAsia" w:hAnsi="宋体" w:cs="宋体"/>
          <w:sz w:val="21"/>
          <w:highlight w:val="none"/>
        </w:rPr>
        <w:t>4．本项目投标应以含税人民币报价，投标报价是履行合同的最终价格，应包括完成采购内容涉及的所有费用。</w:t>
      </w:r>
    </w:p>
    <w:p>
      <w:pPr>
        <w:pStyle w:val="15"/>
        <w:keepNext w:val="0"/>
        <w:keepLines w:val="0"/>
        <w:pageBreakBefore w:val="0"/>
        <w:widowControl w:val="0"/>
        <w:tabs>
          <w:tab w:val="clear" w:pos="454"/>
        </w:tabs>
        <w:kinsoku/>
        <w:wordWrap/>
        <w:overflowPunct/>
        <w:topLinePunct w:val="0"/>
        <w:bidi w:val="0"/>
        <w:snapToGrid/>
        <w:spacing w:after="0" w:afterLines="0" w:line="360" w:lineRule="auto"/>
        <w:ind w:left="0" w:leftChars="0" w:firstLine="413" w:firstLineChars="196"/>
        <w:textAlignment w:val="auto"/>
        <w:rPr>
          <w:rFonts w:ascii="宋体" w:hAnsi="宋体" w:cs="宋体"/>
          <w:b/>
          <w:sz w:val="21"/>
          <w:szCs w:val="21"/>
          <w:highlight w:val="none"/>
        </w:rPr>
      </w:pPr>
      <w:r>
        <w:rPr>
          <w:rFonts w:hint="eastAsia" w:ascii="宋体" w:hAnsi="宋体" w:cs="宋体"/>
          <w:b/>
          <w:sz w:val="21"/>
          <w:szCs w:val="21"/>
          <w:highlight w:val="none"/>
        </w:rPr>
        <w:t>（四）</w:t>
      </w:r>
      <w:r>
        <w:rPr>
          <w:rFonts w:hint="eastAsia" w:ascii="宋体" w:hAnsi="宋体" w:cs="宋体"/>
          <w:b/>
          <w:sz w:val="21"/>
          <w:szCs w:val="21"/>
          <w:highlight w:val="none"/>
          <w:lang w:eastAsia="zh-CN"/>
        </w:rPr>
        <w:t>投标文件</w:t>
      </w:r>
      <w:r>
        <w:rPr>
          <w:rFonts w:hint="eastAsia" w:ascii="宋体" w:hAnsi="宋体" w:cs="宋体"/>
          <w:b/>
          <w:sz w:val="21"/>
          <w:szCs w:val="21"/>
          <w:highlight w:val="none"/>
        </w:rPr>
        <w:t>的有效期</w:t>
      </w:r>
    </w:p>
    <w:p>
      <w:pPr>
        <w:pStyle w:val="15"/>
        <w:keepNext w:val="0"/>
        <w:keepLines w:val="0"/>
        <w:pageBreakBefore w:val="0"/>
        <w:widowControl w:val="0"/>
        <w:tabs>
          <w:tab w:val="clear" w:pos="454"/>
        </w:tabs>
        <w:kinsoku/>
        <w:wordWrap/>
        <w:overflowPunct/>
        <w:topLinePunct w:val="0"/>
        <w:bidi w:val="0"/>
        <w:snapToGrid/>
        <w:spacing w:after="0" w:afterLines="0" w:line="360" w:lineRule="auto"/>
        <w:ind w:left="0" w:leftChars="0" w:firstLine="422" w:firstLineChars="200"/>
        <w:textAlignment w:val="auto"/>
        <w:rPr>
          <w:rFonts w:ascii="宋体" w:hAnsi="宋体" w:cs="宋体"/>
          <w:b/>
          <w:sz w:val="21"/>
          <w:szCs w:val="21"/>
          <w:highlight w:val="none"/>
        </w:rPr>
      </w:pPr>
      <w:r>
        <w:rPr>
          <w:rFonts w:hint="eastAsia" w:ascii="宋体" w:hAnsi="宋体" w:cs="宋体"/>
          <w:b/>
          <w:sz w:val="21"/>
          <w:szCs w:val="21"/>
          <w:highlight w:val="none"/>
        </w:rPr>
        <w:t>★1.自投标截止日起</w:t>
      </w:r>
      <w:r>
        <w:rPr>
          <w:rFonts w:hint="eastAsia" w:ascii="宋体" w:hAnsi="宋体" w:cs="宋体"/>
          <w:b/>
          <w:sz w:val="21"/>
          <w:szCs w:val="21"/>
          <w:highlight w:val="none"/>
          <w:u w:val="single"/>
        </w:rPr>
        <w:t>90</w:t>
      </w:r>
      <w:r>
        <w:rPr>
          <w:rFonts w:hint="eastAsia" w:ascii="宋体" w:hAnsi="宋体" w:cs="宋体"/>
          <w:b/>
          <w:sz w:val="21"/>
          <w:szCs w:val="21"/>
          <w:highlight w:val="none"/>
        </w:rPr>
        <w:t>天</w:t>
      </w:r>
      <w:r>
        <w:rPr>
          <w:rFonts w:hint="eastAsia" w:ascii="宋体" w:hAnsi="宋体" w:cs="宋体"/>
          <w:b/>
          <w:sz w:val="21"/>
          <w:szCs w:val="21"/>
          <w:highlight w:val="none"/>
          <w:lang w:eastAsia="zh-CN"/>
        </w:rPr>
        <w:t>投标文件</w:t>
      </w:r>
      <w:r>
        <w:rPr>
          <w:rFonts w:hint="eastAsia" w:ascii="宋体" w:hAnsi="宋体" w:cs="宋体"/>
          <w:b/>
          <w:sz w:val="21"/>
          <w:szCs w:val="21"/>
          <w:highlight w:val="none"/>
        </w:rPr>
        <w:t>应保持有效。有效期不足的</w:t>
      </w:r>
      <w:r>
        <w:rPr>
          <w:rFonts w:hint="eastAsia" w:ascii="宋体" w:hAnsi="宋体" w:cs="宋体"/>
          <w:b/>
          <w:sz w:val="21"/>
          <w:szCs w:val="21"/>
          <w:highlight w:val="none"/>
          <w:lang w:eastAsia="zh-CN"/>
        </w:rPr>
        <w:t>投标文件</w:t>
      </w:r>
      <w:r>
        <w:rPr>
          <w:rFonts w:hint="eastAsia" w:ascii="宋体" w:hAnsi="宋体" w:cs="宋体"/>
          <w:b/>
          <w:sz w:val="21"/>
          <w:szCs w:val="21"/>
          <w:highlight w:val="none"/>
        </w:rPr>
        <w:t>将被拒绝。</w:t>
      </w:r>
    </w:p>
    <w:p>
      <w:pPr>
        <w:pStyle w:val="15"/>
        <w:keepNext w:val="0"/>
        <w:keepLines w:val="0"/>
        <w:pageBreakBefore w:val="0"/>
        <w:widowControl w:val="0"/>
        <w:tabs>
          <w:tab w:val="clear" w:pos="454"/>
        </w:tabs>
        <w:kinsoku/>
        <w:wordWrap/>
        <w:overflowPunct/>
        <w:topLinePunct w:val="0"/>
        <w:bidi w:val="0"/>
        <w:snapToGrid/>
        <w:spacing w:after="0" w:afterLines="0" w:line="360" w:lineRule="auto"/>
        <w:ind w:left="0" w:leftChars="0" w:firstLine="420" w:firstLineChars="200"/>
        <w:textAlignment w:val="auto"/>
        <w:rPr>
          <w:rFonts w:ascii="宋体" w:hAnsi="宋体" w:cs="宋体"/>
          <w:sz w:val="21"/>
          <w:szCs w:val="21"/>
          <w:highlight w:val="none"/>
        </w:rPr>
      </w:pPr>
      <w:r>
        <w:rPr>
          <w:rFonts w:hint="eastAsia" w:ascii="宋体" w:hAnsi="宋体" w:cs="宋体"/>
          <w:sz w:val="21"/>
          <w:szCs w:val="21"/>
          <w:highlight w:val="none"/>
        </w:rPr>
        <w:t>2.在特殊情况下，招标人可与供应商协商延长投标书的有效期，这种要求和答复均以书面形式进行。</w:t>
      </w:r>
    </w:p>
    <w:p>
      <w:pPr>
        <w:keepNext w:val="0"/>
        <w:keepLines w:val="0"/>
        <w:pageBreakBefore w:val="0"/>
        <w:kinsoku/>
        <w:wordWrap/>
        <w:overflowPunct/>
        <w:topLinePunct w:val="0"/>
        <w:bidi w:val="0"/>
        <w:snapToGrid/>
        <w:spacing w:line="360" w:lineRule="auto"/>
        <w:ind w:left="0" w:leftChars="0" w:firstLine="420" w:firstLineChars="200"/>
        <w:jc w:val="left"/>
        <w:textAlignment w:val="auto"/>
        <w:outlineLvl w:val="0"/>
        <w:rPr>
          <w:rFonts w:ascii="宋体" w:hAnsi="宋体" w:cs="宋体"/>
          <w:b/>
          <w:highlight w:val="none"/>
        </w:rPr>
      </w:pPr>
      <w:bookmarkStart w:id="71" w:name="_Toc6838"/>
      <w:bookmarkStart w:id="72" w:name="_Toc19897"/>
      <w:bookmarkStart w:id="73" w:name="_Toc98160209"/>
      <w:bookmarkStart w:id="74" w:name="_Toc22429"/>
      <w:r>
        <w:rPr>
          <w:rFonts w:hint="eastAsia" w:ascii="宋体" w:hAnsi="宋体" w:cs="宋体"/>
          <w:highlight w:val="none"/>
        </w:rPr>
        <w:t>3.中标人的</w:t>
      </w:r>
      <w:r>
        <w:rPr>
          <w:rFonts w:hint="eastAsia" w:ascii="宋体" w:hAnsi="宋体" w:cs="宋体"/>
          <w:highlight w:val="none"/>
          <w:lang w:eastAsia="zh-CN"/>
        </w:rPr>
        <w:t>投标文件</w:t>
      </w:r>
      <w:r>
        <w:rPr>
          <w:rFonts w:hint="eastAsia" w:ascii="宋体" w:hAnsi="宋体" w:cs="宋体"/>
          <w:highlight w:val="none"/>
        </w:rPr>
        <w:t>自开标之日起至合同履行完毕止均应保持有效。</w:t>
      </w:r>
      <w:bookmarkEnd w:id="71"/>
      <w:bookmarkEnd w:id="72"/>
      <w:bookmarkEnd w:id="73"/>
      <w:bookmarkEnd w:id="74"/>
    </w:p>
    <w:p>
      <w:pPr>
        <w:keepNext w:val="0"/>
        <w:keepLines w:val="0"/>
        <w:pageBreakBefore w:val="0"/>
        <w:kinsoku/>
        <w:wordWrap/>
        <w:overflowPunct/>
        <w:topLinePunct w:val="0"/>
        <w:bidi w:val="0"/>
        <w:snapToGrid/>
        <w:spacing w:line="360" w:lineRule="auto"/>
        <w:ind w:left="0" w:leftChars="0" w:firstLine="413" w:firstLineChars="196"/>
        <w:jc w:val="left"/>
        <w:textAlignment w:val="auto"/>
        <w:outlineLvl w:val="0"/>
        <w:rPr>
          <w:rFonts w:ascii="宋体" w:hAnsi="宋体" w:cs="宋体"/>
          <w:b/>
          <w:highlight w:val="none"/>
        </w:rPr>
      </w:pPr>
      <w:bookmarkStart w:id="75" w:name="_Toc9351"/>
      <w:bookmarkStart w:id="76" w:name="_Toc7188"/>
      <w:bookmarkStart w:id="77" w:name="_Toc20508"/>
      <w:bookmarkStart w:id="78" w:name="_Toc98160210"/>
      <w:r>
        <w:rPr>
          <w:rFonts w:hint="eastAsia" w:ascii="宋体" w:hAnsi="宋体" w:cs="宋体"/>
          <w:b/>
          <w:highlight w:val="none"/>
        </w:rPr>
        <w:t>（五）</w:t>
      </w:r>
      <w:r>
        <w:rPr>
          <w:rFonts w:hint="eastAsia" w:ascii="宋体" w:hAnsi="宋体" w:cs="宋体"/>
          <w:b/>
          <w:highlight w:val="none"/>
          <w:lang w:eastAsia="zh-CN"/>
        </w:rPr>
        <w:t>投标文件</w:t>
      </w:r>
      <w:r>
        <w:rPr>
          <w:rFonts w:hint="eastAsia" w:ascii="宋体" w:hAnsi="宋体" w:cs="宋体"/>
          <w:b/>
          <w:highlight w:val="none"/>
        </w:rPr>
        <w:t>的签署和份数</w:t>
      </w:r>
      <w:bookmarkEnd w:id="75"/>
      <w:bookmarkEnd w:id="76"/>
      <w:bookmarkEnd w:id="77"/>
      <w:bookmarkEnd w:id="78"/>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供应商</w:t>
      </w:r>
      <w:r>
        <w:rPr>
          <w:rFonts w:hint="eastAsia" w:ascii="宋体" w:hAnsi="宋体" w:cs="宋体"/>
          <w:highlight w:val="none"/>
        </w:rPr>
        <w:t>应按本采购文件规定的格式和顺序编制、装订</w:t>
      </w:r>
      <w:r>
        <w:rPr>
          <w:rFonts w:hint="eastAsia" w:ascii="宋体" w:hAnsi="宋体" w:cs="宋体"/>
          <w:highlight w:val="none"/>
          <w:lang w:eastAsia="zh-CN"/>
        </w:rPr>
        <w:t>投标文件</w:t>
      </w:r>
      <w:r>
        <w:rPr>
          <w:rFonts w:hint="eastAsia" w:ascii="宋体" w:hAnsi="宋体" w:cs="宋体"/>
          <w:highlight w:val="none"/>
        </w:rPr>
        <w:t>并标注页码，</w:t>
      </w:r>
      <w:r>
        <w:rPr>
          <w:rFonts w:hint="eastAsia" w:ascii="宋体" w:hAnsi="宋体" w:cs="宋体"/>
          <w:highlight w:val="none"/>
          <w:lang w:eastAsia="zh-CN"/>
        </w:rPr>
        <w:t>投标文件</w:t>
      </w:r>
      <w:r>
        <w:rPr>
          <w:rFonts w:hint="eastAsia" w:ascii="宋体" w:hAnsi="宋体" w:cs="宋体"/>
          <w:highlight w:val="none"/>
        </w:rPr>
        <w:t>内容不完整、编排混乱导致</w:t>
      </w:r>
      <w:r>
        <w:rPr>
          <w:rFonts w:hint="eastAsia" w:ascii="宋体" w:hAnsi="宋体" w:cs="宋体"/>
          <w:highlight w:val="none"/>
          <w:lang w:eastAsia="zh-CN"/>
        </w:rPr>
        <w:t>投标文件</w:t>
      </w:r>
      <w:r>
        <w:rPr>
          <w:rFonts w:hint="eastAsia" w:ascii="宋体" w:hAnsi="宋体" w:cs="宋体"/>
          <w:highlight w:val="none"/>
        </w:rPr>
        <w:t>被误读、漏读或者查找不到相关内容的，是</w:t>
      </w:r>
      <w:r>
        <w:rPr>
          <w:rFonts w:hint="eastAsia" w:ascii="宋体" w:hAnsi="宋体" w:cs="宋体"/>
          <w:highlight w:val="none"/>
          <w:lang w:eastAsia="zh-CN"/>
        </w:rPr>
        <w:t>供应商</w:t>
      </w:r>
      <w:r>
        <w:rPr>
          <w:rFonts w:hint="eastAsia" w:ascii="宋体" w:hAnsi="宋体" w:cs="宋体"/>
          <w:highlight w:val="none"/>
        </w:rPr>
        <w:t>的责任。</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bCs/>
          <w:highlight w:val="none"/>
        </w:rPr>
      </w:pPr>
      <w:r>
        <w:rPr>
          <w:rFonts w:hint="eastAsia" w:ascii="宋体" w:hAnsi="宋体" w:cs="宋体"/>
          <w:bCs/>
          <w:highlight w:val="none"/>
        </w:rPr>
        <w:t>2.</w:t>
      </w:r>
      <w:r>
        <w:rPr>
          <w:rFonts w:hint="eastAsia" w:ascii="宋体" w:hAnsi="宋体" w:cs="宋体"/>
          <w:bCs/>
          <w:highlight w:val="none"/>
          <w:lang w:eastAsia="zh-CN"/>
        </w:rPr>
        <w:t>投标文件</w:t>
      </w:r>
      <w:r>
        <w:rPr>
          <w:rFonts w:hint="eastAsia" w:ascii="宋体" w:hAnsi="宋体" w:cs="宋体"/>
          <w:bCs/>
          <w:highlight w:val="none"/>
        </w:rPr>
        <w:t>的份数：</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bCs/>
          <w:highlight w:val="none"/>
        </w:rPr>
      </w:pPr>
      <w:r>
        <w:rPr>
          <w:rFonts w:hint="eastAsia" w:ascii="宋体" w:hAnsi="宋体" w:cs="宋体"/>
          <w:bCs/>
          <w:highlight w:val="none"/>
        </w:rPr>
        <w:t>本项目实行网上投标，供应商应准备以下</w:t>
      </w:r>
      <w:r>
        <w:rPr>
          <w:rFonts w:hint="eastAsia" w:ascii="宋体" w:hAnsi="宋体" w:cs="宋体"/>
          <w:bCs/>
          <w:highlight w:val="none"/>
          <w:lang w:eastAsia="zh-CN"/>
        </w:rPr>
        <w:t>投标文件</w:t>
      </w:r>
      <w:r>
        <w:rPr>
          <w:rFonts w:hint="eastAsia" w:ascii="宋体" w:hAnsi="宋体" w:cs="宋体"/>
          <w:bCs/>
          <w:highlight w:val="none"/>
        </w:rPr>
        <w:t>：</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bCs/>
          <w:highlight w:val="none"/>
        </w:rPr>
      </w:pPr>
      <w:r>
        <w:rPr>
          <w:rFonts w:hint="eastAsia" w:ascii="宋体" w:hAnsi="宋体" w:cs="宋体"/>
          <w:bCs/>
          <w:highlight w:val="none"/>
        </w:rPr>
        <w:t>（1）上传到政府采购云平台的电子加密</w:t>
      </w:r>
      <w:r>
        <w:rPr>
          <w:rFonts w:hint="eastAsia" w:ascii="宋体" w:hAnsi="宋体" w:cs="宋体"/>
          <w:bCs/>
          <w:highlight w:val="none"/>
          <w:lang w:eastAsia="zh-CN"/>
        </w:rPr>
        <w:t>投标文件</w:t>
      </w:r>
      <w:r>
        <w:rPr>
          <w:rFonts w:hint="eastAsia" w:ascii="宋体" w:hAnsi="宋体" w:cs="宋体"/>
          <w:bCs/>
          <w:highlight w:val="none"/>
        </w:rPr>
        <w:t>（含资格证明文件、商务技术文件、报价文件）1份。</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bCs/>
          <w:highlight w:val="none"/>
        </w:rPr>
      </w:pPr>
      <w:r>
        <w:rPr>
          <w:rFonts w:hint="eastAsia" w:ascii="宋体" w:hAnsi="宋体" w:cs="宋体"/>
          <w:bCs/>
          <w:highlight w:val="none"/>
        </w:rPr>
        <w:t>（2）以U盘存储的电子备份</w:t>
      </w:r>
      <w:r>
        <w:rPr>
          <w:rFonts w:hint="eastAsia" w:ascii="宋体" w:hAnsi="宋体" w:cs="宋体"/>
          <w:bCs/>
          <w:highlight w:val="none"/>
          <w:lang w:eastAsia="zh-CN"/>
        </w:rPr>
        <w:t>投标文件</w:t>
      </w:r>
      <w:r>
        <w:rPr>
          <w:rFonts w:hint="eastAsia" w:ascii="宋体" w:hAnsi="宋体" w:cs="宋体"/>
          <w:bCs/>
          <w:highlight w:val="none"/>
        </w:rPr>
        <w:t>（含资格证明文件、商务技术文件、报价文件）1份。</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bCs/>
          <w:highlight w:val="none"/>
        </w:rPr>
      </w:pPr>
      <w:r>
        <w:rPr>
          <w:rFonts w:hint="eastAsia" w:ascii="宋体" w:hAnsi="宋体" w:cs="宋体"/>
          <w:bCs/>
          <w:highlight w:val="none"/>
        </w:rPr>
        <w:t>3.电子</w:t>
      </w:r>
      <w:r>
        <w:rPr>
          <w:rFonts w:hint="eastAsia" w:ascii="宋体" w:hAnsi="宋体" w:cs="宋体"/>
          <w:bCs/>
          <w:highlight w:val="none"/>
          <w:lang w:eastAsia="zh-CN"/>
        </w:rPr>
        <w:t>投标文件</w:t>
      </w:r>
      <w:r>
        <w:rPr>
          <w:rFonts w:hint="eastAsia" w:ascii="宋体" w:hAnsi="宋体" w:cs="宋体"/>
          <w:bCs/>
          <w:highlight w:val="none"/>
        </w:rPr>
        <w:t>：</w:t>
      </w:r>
    </w:p>
    <w:p>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ascii="宋体" w:hAnsi="宋体" w:cs="宋体"/>
          <w:highlight w:val="none"/>
        </w:rPr>
      </w:pPr>
      <w:r>
        <w:rPr>
          <w:rFonts w:hint="eastAsia" w:ascii="宋体" w:hAnsi="宋体" w:cs="宋体"/>
          <w:bCs/>
          <w:highlight w:val="none"/>
        </w:rPr>
        <w:t>3.1供应商应根据政府采购云平台的要求及本采购文件规定的格式和顺序编制电子</w:t>
      </w:r>
      <w:r>
        <w:rPr>
          <w:rFonts w:hint="eastAsia" w:ascii="宋体" w:hAnsi="宋体" w:cs="宋体"/>
          <w:bCs/>
          <w:highlight w:val="none"/>
          <w:lang w:eastAsia="zh-CN"/>
        </w:rPr>
        <w:t>投标文件</w:t>
      </w:r>
      <w:r>
        <w:rPr>
          <w:rFonts w:hint="eastAsia" w:ascii="宋体" w:hAnsi="宋体" w:cs="宋体"/>
          <w:bCs/>
          <w:highlight w:val="none"/>
        </w:rPr>
        <w:t>并进行关联定位。</w:t>
      </w:r>
    </w:p>
    <w:p>
      <w:pPr>
        <w:keepNext w:val="0"/>
        <w:keepLines w:val="0"/>
        <w:pageBreakBefore w:val="0"/>
        <w:kinsoku/>
        <w:wordWrap/>
        <w:overflowPunct/>
        <w:topLinePunct w:val="0"/>
        <w:bidi w:val="0"/>
        <w:snapToGrid/>
        <w:spacing w:line="360" w:lineRule="auto"/>
        <w:ind w:left="0" w:leftChars="0" w:firstLine="310" w:firstLineChars="147"/>
        <w:jc w:val="left"/>
        <w:textAlignment w:val="auto"/>
        <w:rPr>
          <w:rFonts w:ascii="宋体" w:hAnsi="宋体" w:cs="宋体"/>
          <w:b/>
          <w:highlight w:val="none"/>
        </w:rPr>
      </w:pPr>
      <w:r>
        <w:rPr>
          <w:rFonts w:hint="eastAsia" w:ascii="宋体" w:hAnsi="宋体" w:cs="宋体"/>
          <w:b/>
          <w:highlight w:val="none"/>
        </w:rPr>
        <w:t>（六）</w:t>
      </w:r>
      <w:r>
        <w:rPr>
          <w:rFonts w:hint="eastAsia" w:ascii="宋体" w:hAnsi="宋体" w:cs="宋体"/>
          <w:b/>
          <w:highlight w:val="none"/>
          <w:lang w:eastAsia="zh-CN"/>
        </w:rPr>
        <w:t>投标文件</w:t>
      </w:r>
      <w:r>
        <w:rPr>
          <w:rFonts w:hint="eastAsia" w:ascii="宋体" w:hAnsi="宋体" w:cs="宋体"/>
          <w:b/>
          <w:highlight w:val="none"/>
        </w:rPr>
        <w:t>的包装、递交、修改和撤回</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1.以U盘存储的电子备份</w:t>
      </w:r>
      <w:r>
        <w:rPr>
          <w:rFonts w:hint="eastAsia" w:ascii="宋体" w:hAnsi="宋体" w:cs="宋体"/>
          <w:bCs/>
          <w:highlight w:val="none"/>
          <w:lang w:eastAsia="zh-CN"/>
        </w:rPr>
        <w:t>投标文件</w:t>
      </w:r>
      <w:r>
        <w:rPr>
          <w:rFonts w:hint="eastAsia" w:ascii="宋体" w:hAnsi="宋体" w:cs="宋体"/>
          <w:bCs/>
          <w:highlight w:val="none"/>
        </w:rPr>
        <w:t>用封袋密封后递交。</w:t>
      </w:r>
      <w:r>
        <w:rPr>
          <w:rFonts w:hint="eastAsia" w:ascii="宋体" w:hAnsi="宋体" w:cs="宋体"/>
          <w:highlight w:val="none"/>
        </w:rPr>
        <w:t>“电子备份</w:t>
      </w:r>
      <w:r>
        <w:rPr>
          <w:rFonts w:hint="eastAsia" w:ascii="宋体" w:hAnsi="宋体" w:cs="宋体"/>
          <w:highlight w:val="none"/>
          <w:lang w:eastAsia="zh-CN"/>
        </w:rPr>
        <w:t>投标文件</w:t>
      </w:r>
      <w:r>
        <w:rPr>
          <w:rFonts w:hint="eastAsia" w:ascii="宋体" w:hAnsi="宋体" w:cs="宋体"/>
          <w:highlight w:val="none"/>
        </w:rPr>
        <w:t>”应当密封包装，并在包装上标注投标项目编号、项目名称、投标单位名称等并加盖公章。</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2.未按规定密封或标记的电子备份</w:t>
      </w:r>
      <w:r>
        <w:rPr>
          <w:rFonts w:hint="eastAsia" w:ascii="宋体" w:hAnsi="宋体" w:cs="宋体"/>
          <w:bCs/>
          <w:highlight w:val="none"/>
          <w:lang w:eastAsia="zh-CN"/>
        </w:rPr>
        <w:t>投标文件</w:t>
      </w:r>
      <w:r>
        <w:rPr>
          <w:rFonts w:hint="eastAsia" w:ascii="宋体" w:hAnsi="宋体" w:cs="宋体"/>
          <w:bCs/>
          <w:highlight w:val="none"/>
        </w:rPr>
        <w:t>将被拒绝，由此造成电子备份</w:t>
      </w:r>
      <w:r>
        <w:rPr>
          <w:rFonts w:hint="eastAsia" w:ascii="宋体" w:hAnsi="宋体" w:cs="宋体"/>
          <w:bCs/>
          <w:highlight w:val="none"/>
          <w:lang w:eastAsia="zh-CN"/>
        </w:rPr>
        <w:t>投标文件</w:t>
      </w:r>
      <w:r>
        <w:rPr>
          <w:rFonts w:hint="eastAsia" w:ascii="宋体" w:hAnsi="宋体" w:cs="宋体"/>
          <w:bCs/>
          <w:highlight w:val="none"/>
        </w:rPr>
        <w:t>被误投或提前拆封的风险由</w:t>
      </w:r>
      <w:r>
        <w:rPr>
          <w:rFonts w:hint="eastAsia" w:ascii="宋体" w:hAnsi="宋体" w:cs="宋体"/>
          <w:bCs/>
          <w:highlight w:val="none"/>
          <w:lang w:eastAsia="zh-CN"/>
        </w:rPr>
        <w:t>供应商</w:t>
      </w:r>
      <w:r>
        <w:rPr>
          <w:rFonts w:hint="eastAsia" w:ascii="宋体" w:hAnsi="宋体" w:cs="宋体"/>
          <w:bCs/>
          <w:highlight w:val="none"/>
        </w:rPr>
        <w:t>承担。</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 xml:space="preserve">3. </w:t>
      </w:r>
      <w:r>
        <w:rPr>
          <w:rFonts w:hint="eastAsia" w:ascii="宋体" w:hAnsi="宋体" w:cs="宋体"/>
          <w:bCs/>
          <w:highlight w:val="none"/>
          <w:lang w:eastAsia="zh-CN"/>
        </w:rPr>
        <w:t>供应商</w:t>
      </w:r>
      <w:r>
        <w:rPr>
          <w:rFonts w:hint="eastAsia" w:ascii="宋体" w:hAnsi="宋体" w:cs="宋体"/>
          <w:bCs/>
          <w:highlight w:val="none"/>
        </w:rPr>
        <w:t>在投标截止时间之前，可以对已提交的电子备份</w:t>
      </w:r>
      <w:r>
        <w:rPr>
          <w:rFonts w:hint="eastAsia" w:ascii="宋体" w:hAnsi="宋体" w:cs="宋体"/>
          <w:bCs/>
          <w:highlight w:val="none"/>
          <w:lang w:eastAsia="zh-CN"/>
        </w:rPr>
        <w:t>投标文件</w:t>
      </w:r>
      <w:r>
        <w:rPr>
          <w:rFonts w:hint="eastAsia" w:ascii="宋体" w:hAnsi="宋体" w:cs="宋体"/>
          <w:bCs/>
          <w:highlight w:val="none"/>
        </w:rPr>
        <w:t>进行修改或撤回，并书面通知招标采购单位；投标截止时间后，</w:t>
      </w:r>
      <w:r>
        <w:rPr>
          <w:rFonts w:hint="eastAsia" w:ascii="宋体" w:hAnsi="宋体" w:cs="宋体"/>
          <w:bCs/>
          <w:highlight w:val="none"/>
          <w:lang w:eastAsia="zh-CN"/>
        </w:rPr>
        <w:t>供应商</w:t>
      </w:r>
      <w:r>
        <w:rPr>
          <w:rFonts w:hint="eastAsia" w:ascii="宋体" w:hAnsi="宋体" w:cs="宋体"/>
          <w:bCs/>
          <w:highlight w:val="none"/>
        </w:rPr>
        <w:t>不得撤回、修改</w:t>
      </w:r>
      <w:r>
        <w:rPr>
          <w:rFonts w:hint="eastAsia" w:ascii="宋体" w:hAnsi="宋体" w:cs="宋体"/>
          <w:bCs/>
          <w:highlight w:val="none"/>
          <w:lang w:eastAsia="zh-CN"/>
        </w:rPr>
        <w:t>投标文件</w:t>
      </w:r>
      <w:r>
        <w:rPr>
          <w:rFonts w:hint="eastAsia" w:ascii="宋体" w:hAnsi="宋体" w:cs="宋体"/>
          <w:bCs/>
          <w:highlight w:val="none"/>
        </w:rPr>
        <w:t>。修改后重新递交的电子备份</w:t>
      </w:r>
      <w:r>
        <w:rPr>
          <w:rFonts w:hint="eastAsia" w:ascii="宋体" w:hAnsi="宋体" w:cs="宋体"/>
          <w:bCs/>
          <w:highlight w:val="none"/>
          <w:lang w:eastAsia="zh-CN"/>
        </w:rPr>
        <w:t>投标文件</w:t>
      </w:r>
      <w:r>
        <w:rPr>
          <w:rFonts w:hint="eastAsia" w:ascii="宋体" w:hAnsi="宋体" w:cs="宋体"/>
          <w:bCs/>
          <w:highlight w:val="none"/>
        </w:rPr>
        <w:t>应当按本采购文件的要求签署、盖章和密封。</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highlight w:val="none"/>
        </w:rPr>
      </w:pPr>
      <w:r>
        <w:rPr>
          <w:rFonts w:hint="eastAsia" w:ascii="宋体" w:hAnsi="宋体" w:cs="宋体"/>
          <w:bCs/>
          <w:highlight w:val="none"/>
        </w:rPr>
        <w:t xml:space="preserve">4. </w:t>
      </w:r>
      <w:r>
        <w:rPr>
          <w:rFonts w:hint="eastAsia" w:ascii="宋体" w:hAnsi="宋体" w:cs="宋体"/>
          <w:bCs/>
          <w:highlight w:val="none"/>
          <w:lang w:eastAsia="zh-CN"/>
        </w:rPr>
        <w:t>供应商</w:t>
      </w:r>
      <w:r>
        <w:rPr>
          <w:rFonts w:hint="eastAsia" w:ascii="宋体" w:hAnsi="宋体" w:cs="宋体"/>
          <w:bCs/>
          <w:highlight w:val="none"/>
        </w:rPr>
        <w:t>应当在投标截止时间前完成电子加密</w:t>
      </w:r>
      <w:r>
        <w:rPr>
          <w:rFonts w:hint="eastAsia" w:ascii="宋体" w:hAnsi="宋体" w:cs="宋体"/>
          <w:bCs/>
          <w:highlight w:val="none"/>
          <w:lang w:eastAsia="zh-CN"/>
        </w:rPr>
        <w:t>投标文件</w:t>
      </w:r>
      <w:r>
        <w:rPr>
          <w:rFonts w:hint="eastAsia" w:ascii="宋体" w:hAnsi="宋体" w:cs="宋体"/>
          <w:bCs/>
          <w:highlight w:val="none"/>
        </w:rPr>
        <w:t>的传输递交，并可以补充、修改或者撤回电子</w:t>
      </w:r>
      <w:r>
        <w:rPr>
          <w:rFonts w:hint="eastAsia" w:ascii="宋体" w:hAnsi="宋体" w:cs="宋体"/>
          <w:bCs/>
          <w:highlight w:val="none"/>
          <w:lang w:eastAsia="zh-CN"/>
        </w:rPr>
        <w:t>投标文件</w:t>
      </w:r>
      <w:r>
        <w:rPr>
          <w:rFonts w:hint="eastAsia" w:ascii="宋体" w:hAnsi="宋体" w:cs="宋体"/>
          <w:bCs/>
          <w:highlight w:val="none"/>
        </w:rPr>
        <w:t>。补充或者修改电子</w:t>
      </w:r>
      <w:r>
        <w:rPr>
          <w:rFonts w:hint="eastAsia" w:ascii="宋体" w:hAnsi="宋体" w:cs="宋体"/>
          <w:bCs/>
          <w:highlight w:val="none"/>
          <w:lang w:eastAsia="zh-CN"/>
        </w:rPr>
        <w:t>投标文件</w:t>
      </w:r>
      <w:r>
        <w:rPr>
          <w:rFonts w:hint="eastAsia" w:ascii="宋体" w:hAnsi="宋体" w:cs="宋体"/>
          <w:bCs/>
          <w:highlight w:val="none"/>
        </w:rPr>
        <w:t>的，应当先行撤回原文件，补充、修改后重新传输递交。投标截止时间前未完成传输的，视为撤回</w:t>
      </w:r>
      <w:r>
        <w:rPr>
          <w:rFonts w:hint="eastAsia" w:ascii="宋体" w:hAnsi="宋体" w:cs="宋体"/>
          <w:bCs/>
          <w:highlight w:val="none"/>
          <w:lang w:eastAsia="zh-CN"/>
        </w:rPr>
        <w:t>投标文件</w:t>
      </w:r>
      <w:r>
        <w:rPr>
          <w:rFonts w:hint="eastAsia" w:ascii="宋体" w:hAnsi="宋体" w:cs="宋体"/>
          <w:bCs/>
          <w:highlight w:val="none"/>
        </w:rPr>
        <w:t>。投标截止时间后传输递交的投标件，将被拒收。</w:t>
      </w:r>
    </w:p>
    <w:p>
      <w:pPr>
        <w:pStyle w:val="20"/>
        <w:keepNext w:val="0"/>
        <w:keepLines w:val="0"/>
        <w:pageBreakBefore w:val="0"/>
        <w:kinsoku/>
        <w:wordWrap/>
        <w:overflowPunct/>
        <w:topLinePunct w:val="0"/>
        <w:bidi w:val="0"/>
        <w:snapToGrid/>
        <w:spacing w:line="360" w:lineRule="auto"/>
        <w:ind w:left="0" w:leftChars="0" w:firstLine="398" w:firstLineChars="196"/>
        <w:textAlignment w:val="auto"/>
        <w:outlineLvl w:val="1"/>
        <w:rPr>
          <w:rFonts w:hAnsi="宋体" w:cs="宋体"/>
          <w:b/>
          <w:snapToGrid w:val="0"/>
          <w:sz w:val="21"/>
          <w:szCs w:val="21"/>
          <w:highlight w:val="none"/>
        </w:rPr>
      </w:pPr>
      <w:bookmarkStart w:id="79" w:name="_Toc14675"/>
      <w:bookmarkStart w:id="80" w:name="_Toc98160212"/>
      <w:bookmarkStart w:id="81" w:name="_Toc19322"/>
      <w:bookmarkStart w:id="82" w:name="_Toc4785"/>
      <w:r>
        <w:rPr>
          <w:rFonts w:hint="eastAsia" w:hAnsi="宋体" w:cs="宋体"/>
          <w:b/>
          <w:sz w:val="21"/>
          <w:szCs w:val="21"/>
          <w:highlight w:val="none"/>
        </w:rPr>
        <w:t>四、开标</w:t>
      </w:r>
      <w:bookmarkEnd w:id="79"/>
      <w:bookmarkEnd w:id="80"/>
      <w:bookmarkEnd w:id="81"/>
      <w:bookmarkEnd w:id="82"/>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1、电子招投标开标程序：</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（1）投标截止时间后，供应商登录政府采购云平台，用</w:t>
      </w:r>
      <w:r>
        <w:rPr>
          <w:rFonts w:ascii="宋体" w:hAnsi="宋体" w:cs="宋体"/>
          <w:bCs/>
          <w:highlight w:val="none"/>
        </w:rPr>
        <w:t>“</w:t>
      </w:r>
      <w:r>
        <w:rPr>
          <w:rFonts w:hint="eastAsia" w:ascii="宋体" w:hAnsi="宋体" w:cs="宋体"/>
          <w:bCs/>
          <w:highlight w:val="none"/>
        </w:rPr>
        <w:t>项目采购-开标评标</w:t>
      </w:r>
      <w:r>
        <w:rPr>
          <w:rFonts w:ascii="宋体" w:hAnsi="宋体" w:cs="宋体"/>
          <w:bCs/>
          <w:highlight w:val="none"/>
        </w:rPr>
        <w:t>”</w:t>
      </w:r>
      <w:r>
        <w:rPr>
          <w:rFonts w:hint="eastAsia" w:ascii="宋体" w:hAnsi="宋体" w:cs="宋体"/>
          <w:bCs/>
          <w:highlight w:val="none"/>
        </w:rPr>
        <w:t>功能对电子</w:t>
      </w:r>
      <w:r>
        <w:rPr>
          <w:rFonts w:hint="eastAsia" w:ascii="宋体" w:hAnsi="宋体" w:cs="宋体"/>
          <w:bCs/>
          <w:highlight w:val="none"/>
          <w:lang w:eastAsia="zh-CN"/>
        </w:rPr>
        <w:t>投标文件</w:t>
      </w:r>
      <w:r>
        <w:rPr>
          <w:rFonts w:hint="eastAsia" w:ascii="宋体" w:hAnsi="宋体" w:cs="宋体"/>
          <w:bCs/>
          <w:highlight w:val="none"/>
        </w:rPr>
        <w:t>进行在线解密，在线解密电子</w:t>
      </w:r>
      <w:r>
        <w:rPr>
          <w:rFonts w:hint="eastAsia" w:ascii="宋体" w:hAnsi="宋体" w:cs="宋体"/>
          <w:bCs/>
          <w:highlight w:val="none"/>
          <w:lang w:eastAsia="zh-CN"/>
        </w:rPr>
        <w:t>投标文件</w:t>
      </w:r>
      <w:r>
        <w:rPr>
          <w:rFonts w:hint="eastAsia" w:ascii="宋体" w:hAnsi="宋体" w:cs="宋体"/>
          <w:bCs/>
          <w:highlight w:val="none"/>
        </w:rPr>
        <w:t>时间为开标时间后30分钟内。</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（2）在政府采购云平台开启已解密供应商的</w:t>
      </w:r>
      <w:r>
        <w:rPr>
          <w:rFonts w:ascii="宋体" w:hAnsi="宋体" w:cs="宋体"/>
          <w:bCs/>
          <w:highlight w:val="none"/>
        </w:rPr>
        <w:t>“</w:t>
      </w:r>
      <w:r>
        <w:rPr>
          <w:rFonts w:hint="eastAsia" w:ascii="宋体" w:hAnsi="宋体" w:cs="宋体"/>
          <w:bCs/>
          <w:highlight w:val="none"/>
        </w:rPr>
        <w:t>资格证明文件、商务技术文件、报价文件</w:t>
      </w:r>
      <w:r>
        <w:rPr>
          <w:rFonts w:ascii="宋体" w:hAnsi="宋体" w:cs="宋体"/>
          <w:bCs/>
          <w:highlight w:val="none"/>
        </w:rPr>
        <w:t>”</w:t>
      </w:r>
      <w:r>
        <w:rPr>
          <w:rFonts w:hint="eastAsia" w:ascii="宋体" w:hAnsi="宋体" w:cs="宋体"/>
          <w:bCs/>
          <w:highlight w:val="none"/>
        </w:rPr>
        <w:t>，并做开标记录；</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（3）在政府采购云平台宣告评审无效供应商名单及理由；</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w:t>
      </w:r>
      <w:r>
        <w:rPr>
          <w:rFonts w:ascii="宋体" w:hAnsi="宋体" w:cs="宋体"/>
          <w:bCs/>
          <w:highlight w:val="none"/>
        </w:rPr>
        <w:t>4</w:t>
      </w:r>
      <w:r>
        <w:rPr>
          <w:rFonts w:hint="eastAsia" w:ascii="宋体" w:hAnsi="宋体" w:cs="宋体"/>
          <w:bCs/>
          <w:highlight w:val="none"/>
        </w:rPr>
        <w:t>）在政府采购云平台公布评审结果。</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（5）开标会议结束。</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2、特别说明：政府采购云平台如对电子化开标及评审程序有调整的，按调整后的程序操作。</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本项目原则上采用政采云电子招投标开标程序，但有以下情形之一的，按以下情况处理：</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w:t>
      </w:r>
      <w:r>
        <w:rPr>
          <w:rFonts w:ascii="宋体" w:hAnsi="宋体" w:cs="宋体"/>
          <w:bCs/>
          <w:highlight w:val="none"/>
        </w:rPr>
        <w:t>1</w:t>
      </w:r>
      <w:r>
        <w:rPr>
          <w:rFonts w:hint="eastAsia" w:ascii="宋体" w:hAnsi="宋体" w:cs="宋体"/>
          <w:bCs/>
          <w:highlight w:val="none"/>
        </w:rPr>
        <w:t>）若有供应商在规定时间内“电子加密</w:t>
      </w:r>
      <w:r>
        <w:rPr>
          <w:rFonts w:hint="eastAsia" w:ascii="宋体" w:hAnsi="宋体" w:cs="宋体"/>
          <w:bCs/>
          <w:highlight w:val="none"/>
          <w:lang w:eastAsia="zh-CN"/>
        </w:rPr>
        <w:t>投标文件</w:t>
      </w:r>
      <w:r>
        <w:rPr>
          <w:rFonts w:hint="eastAsia" w:ascii="宋体" w:hAnsi="宋体" w:cs="宋体"/>
          <w:bCs/>
          <w:highlight w:val="none"/>
        </w:rPr>
        <w:t>”无法解密或解密失败，代理机构将开启该供应商递交的以U盘存储的电子备份</w:t>
      </w:r>
      <w:r>
        <w:rPr>
          <w:rFonts w:hint="eastAsia" w:ascii="宋体" w:hAnsi="宋体" w:cs="宋体"/>
          <w:bCs/>
          <w:highlight w:val="none"/>
          <w:lang w:eastAsia="zh-CN"/>
        </w:rPr>
        <w:t>投标文件</w:t>
      </w:r>
      <w:r>
        <w:rPr>
          <w:rFonts w:hint="eastAsia" w:ascii="宋体" w:hAnsi="宋体" w:cs="宋体"/>
          <w:bCs/>
          <w:highlight w:val="none"/>
        </w:rPr>
        <w:t>，上传成功后，以“电子备份</w:t>
      </w:r>
      <w:r>
        <w:rPr>
          <w:rFonts w:hint="eastAsia" w:ascii="宋体" w:hAnsi="宋体" w:cs="宋体"/>
          <w:bCs/>
          <w:highlight w:val="none"/>
          <w:lang w:eastAsia="zh-CN"/>
        </w:rPr>
        <w:t>投标文件</w:t>
      </w:r>
      <w:r>
        <w:rPr>
          <w:rFonts w:hint="eastAsia" w:ascii="宋体" w:hAnsi="宋体" w:cs="宋体"/>
          <w:bCs/>
          <w:highlight w:val="none"/>
        </w:rPr>
        <w:t>”参与评标，“电子加密</w:t>
      </w:r>
      <w:r>
        <w:rPr>
          <w:rFonts w:hint="eastAsia" w:ascii="宋体" w:hAnsi="宋体" w:cs="宋体"/>
          <w:bCs/>
          <w:highlight w:val="none"/>
          <w:lang w:eastAsia="zh-CN"/>
        </w:rPr>
        <w:t>投标文件</w:t>
      </w:r>
      <w:r>
        <w:rPr>
          <w:rFonts w:hint="eastAsia" w:ascii="宋体" w:hAnsi="宋体" w:cs="宋体"/>
          <w:bCs/>
          <w:highlight w:val="none"/>
        </w:rPr>
        <w:t>”自动失效；在“政府采购云平台”正常运行情况下，“电子备份</w:t>
      </w:r>
      <w:r>
        <w:rPr>
          <w:rFonts w:hint="eastAsia" w:ascii="宋体" w:hAnsi="宋体" w:cs="宋体"/>
          <w:bCs/>
          <w:highlight w:val="none"/>
          <w:lang w:eastAsia="zh-CN"/>
        </w:rPr>
        <w:t>投标文件</w:t>
      </w:r>
      <w:r>
        <w:rPr>
          <w:rFonts w:hint="eastAsia" w:ascii="宋体" w:hAnsi="宋体" w:cs="宋体"/>
          <w:bCs/>
          <w:highlight w:val="none"/>
        </w:rPr>
        <w:t>”无法上传至“政府采购云平台”的，视为</w:t>
      </w:r>
      <w:r>
        <w:rPr>
          <w:rFonts w:hint="eastAsia" w:ascii="宋体" w:hAnsi="宋体" w:cs="宋体"/>
          <w:bCs/>
          <w:highlight w:val="none"/>
          <w:lang w:eastAsia="zh-CN"/>
        </w:rPr>
        <w:t>投标文件</w:t>
      </w:r>
      <w:r>
        <w:rPr>
          <w:rFonts w:hint="eastAsia" w:ascii="宋体" w:hAnsi="宋体" w:cs="宋体"/>
          <w:bCs/>
          <w:highlight w:val="none"/>
        </w:rPr>
        <w:t>撤回。如投标供应商未按规定递交“电子备份</w:t>
      </w:r>
      <w:r>
        <w:rPr>
          <w:rFonts w:hint="eastAsia" w:ascii="宋体" w:hAnsi="宋体" w:cs="宋体"/>
          <w:bCs/>
          <w:highlight w:val="none"/>
          <w:lang w:eastAsia="zh-CN"/>
        </w:rPr>
        <w:t>投标文件</w:t>
      </w:r>
      <w:r>
        <w:rPr>
          <w:rFonts w:hint="eastAsia" w:ascii="宋体" w:hAnsi="宋体" w:cs="宋体"/>
          <w:bCs/>
          <w:highlight w:val="none"/>
        </w:rPr>
        <w:t>”的，视为</w:t>
      </w:r>
      <w:r>
        <w:rPr>
          <w:rFonts w:hint="eastAsia" w:ascii="宋体" w:hAnsi="宋体" w:cs="宋体"/>
          <w:bCs/>
          <w:highlight w:val="none"/>
          <w:lang w:eastAsia="zh-CN"/>
        </w:rPr>
        <w:t>投标文件</w:t>
      </w:r>
      <w:r>
        <w:rPr>
          <w:rFonts w:hint="eastAsia" w:ascii="宋体" w:hAnsi="宋体" w:cs="宋体"/>
          <w:bCs/>
          <w:highlight w:val="none"/>
        </w:rPr>
        <w:t>撤回。</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（2）采购过程中出现以下情形，导致电子交易平台无法正常运行，或者无法保证电子交易的公平、公正和安全时，采购人（或代理机构）可中止电子交易活动：</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 xml:space="preserve">2.1电子交易平台发生故障而无法登录访问的； </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2.2电子交易平台应用或数据库出现错误，不能进行正常操作的；</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2.3电子交易平台发现严重安全漏洞，有潜在泄密危险的；</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 xml:space="preserve">2.4病毒发作导致不能进行正常操作的； </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2.5其他无法保证电子交易的公平、公正和安全的情况。</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出现前款规定情形，不影响采购公平、公正性的，采购人（或代理机构）可以待上述情形消除后继续组织电子交易活动，也可以决定某些环节以纸质形式进行。</w:t>
      </w:r>
    </w:p>
    <w:p>
      <w:pPr>
        <w:keepNext w:val="0"/>
        <w:keepLines w:val="0"/>
        <w:pageBreakBefore w:val="0"/>
        <w:kinsoku/>
        <w:wordWrap/>
        <w:overflowPunct/>
        <w:topLinePunct w:val="0"/>
        <w:bidi w:val="0"/>
        <w:snapToGrid/>
        <w:spacing w:line="360" w:lineRule="auto"/>
        <w:ind w:left="0" w:leftChars="0" w:firstLine="420"/>
        <w:jc w:val="left"/>
        <w:textAlignment w:val="auto"/>
        <w:rPr>
          <w:rFonts w:ascii="宋体" w:hAnsi="宋体" w:cs="宋体"/>
          <w:bCs/>
          <w:highlight w:val="none"/>
        </w:rPr>
      </w:pPr>
      <w:r>
        <w:rPr>
          <w:rFonts w:hint="eastAsia" w:ascii="宋体" w:hAnsi="宋体" w:cs="宋体"/>
          <w:bCs/>
          <w:highlight w:val="none"/>
        </w:rPr>
        <w:t>（3）未开启的备份</w:t>
      </w:r>
      <w:r>
        <w:rPr>
          <w:rFonts w:hint="eastAsia" w:ascii="宋体" w:hAnsi="宋体" w:cs="宋体"/>
          <w:bCs/>
          <w:highlight w:val="none"/>
          <w:lang w:eastAsia="zh-CN"/>
        </w:rPr>
        <w:t>投标文件</w:t>
      </w:r>
      <w:r>
        <w:rPr>
          <w:rFonts w:hint="eastAsia" w:ascii="宋体" w:hAnsi="宋体" w:cs="宋体"/>
          <w:bCs/>
          <w:highlight w:val="none"/>
        </w:rPr>
        <w:t>现场予以退还。</w:t>
      </w:r>
    </w:p>
    <w:p>
      <w:pPr>
        <w:pStyle w:val="26"/>
        <w:keepNext w:val="0"/>
        <w:keepLines w:val="0"/>
        <w:pageBreakBefore w:val="0"/>
        <w:kinsoku/>
        <w:wordWrap/>
        <w:overflowPunct/>
        <w:topLinePunct w:val="0"/>
        <w:bidi w:val="0"/>
        <w:snapToGrid/>
        <w:spacing w:before="0" w:beforeLines="0" w:after="0" w:afterLines="0" w:line="360" w:lineRule="auto"/>
        <w:ind w:left="211" w:leftChars="0" w:hanging="211" w:hangingChars="100"/>
        <w:textAlignment w:val="auto"/>
        <w:outlineLvl w:val="1"/>
        <w:rPr>
          <w:rFonts w:hAnsi="宋体" w:cs="宋体"/>
          <w:b/>
          <w:sz w:val="21"/>
          <w:highlight w:val="none"/>
        </w:rPr>
      </w:pPr>
      <w:bookmarkStart w:id="83" w:name="_Toc98160213"/>
      <w:bookmarkStart w:id="84" w:name="_Toc10041"/>
      <w:bookmarkStart w:id="85" w:name="_Toc23293"/>
      <w:bookmarkStart w:id="86" w:name="_Toc22696"/>
      <w:r>
        <w:rPr>
          <w:rFonts w:hint="eastAsia" w:hAnsi="宋体" w:cs="宋体"/>
          <w:b/>
          <w:sz w:val="21"/>
          <w:highlight w:val="none"/>
        </w:rPr>
        <w:t>五、评标</w:t>
      </w:r>
      <w:bookmarkEnd w:id="83"/>
      <w:bookmarkEnd w:id="84"/>
      <w:bookmarkEnd w:id="85"/>
      <w:bookmarkEnd w:id="86"/>
    </w:p>
    <w:p>
      <w:pPr>
        <w:pStyle w:val="26"/>
        <w:keepNext w:val="0"/>
        <w:keepLines w:val="0"/>
        <w:pageBreakBefore w:val="0"/>
        <w:kinsoku/>
        <w:wordWrap/>
        <w:overflowPunct/>
        <w:topLinePunct w:val="0"/>
        <w:bidi w:val="0"/>
        <w:snapToGrid/>
        <w:spacing w:before="0" w:beforeLines="0" w:after="0" w:afterLines="0" w:line="360" w:lineRule="auto"/>
        <w:ind w:left="211" w:leftChars="0" w:hanging="211" w:hangingChars="100"/>
        <w:textAlignment w:val="auto"/>
        <w:rPr>
          <w:rFonts w:hAnsi="宋体" w:cs="宋体"/>
          <w:b/>
          <w:sz w:val="21"/>
          <w:highlight w:val="none"/>
        </w:rPr>
      </w:pPr>
      <w:r>
        <w:rPr>
          <w:rFonts w:hint="eastAsia" w:hAnsi="宋体" w:cs="宋体"/>
          <w:b/>
          <w:sz w:val="21"/>
          <w:highlight w:val="none"/>
        </w:rPr>
        <w:t>（一）组建评标委员会</w:t>
      </w:r>
    </w:p>
    <w:p>
      <w:pPr>
        <w:pStyle w:val="26"/>
        <w:keepNext w:val="0"/>
        <w:keepLines w:val="0"/>
        <w:pageBreakBefore w:val="0"/>
        <w:kinsoku/>
        <w:wordWrap/>
        <w:overflowPunct/>
        <w:topLinePunct w:val="0"/>
        <w:bidi w:val="0"/>
        <w:snapToGrid/>
        <w:spacing w:before="0" w:beforeLines="0" w:after="0" w:afterLines="0" w:line="360" w:lineRule="auto"/>
        <w:ind w:left="0" w:leftChars="0" w:firstLine="420" w:firstLineChars="200"/>
        <w:textAlignment w:val="auto"/>
        <w:rPr>
          <w:rFonts w:hAnsi="宋体" w:cs="宋体"/>
          <w:sz w:val="21"/>
          <w:highlight w:val="none"/>
        </w:rPr>
      </w:pPr>
      <w:r>
        <w:rPr>
          <w:rFonts w:hint="eastAsia" w:hAnsi="宋体" w:cs="宋体"/>
          <w:sz w:val="21"/>
          <w:highlight w:val="none"/>
        </w:rPr>
        <w:t xml:space="preserve"> 本项目评标委员会依法组建。</w:t>
      </w:r>
    </w:p>
    <w:p>
      <w:pPr>
        <w:pStyle w:val="26"/>
        <w:keepNext w:val="0"/>
        <w:keepLines w:val="0"/>
        <w:pageBreakBefore w:val="0"/>
        <w:kinsoku/>
        <w:wordWrap/>
        <w:overflowPunct/>
        <w:topLinePunct w:val="0"/>
        <w:bidi w:val="0"/>
        <w:snapToGrid/>
        <w:spacing w:before="0" w:beforeLines="0" w:after="0" w:afterLines="0" w:line="360" w:lineRule="auto"/>
        <w:ind w:left="211" w:leftChars="0" w:hanging="211" w:hangingChars="100"/>
        <w:textAlignment w:val="auto"/>
        <w:rPr>
          <w:rFonts w:hAnsi="宋体" w:cs="宋体"/>
          <w:b/>
          <w:sz w:val="21"/>
          <w:highlight w:val="none"/>
        </w:rPr>
      </w:pPr>
      <w:r>
        <w:rPr>
          <w:rFonts w:hint="eastAsia" w:hAnsi="宋体" w:cs="宋体"/>
          <w:b/>
          <w:sz w:val="21"/>
          <w:highlight w:val="none"/>
        </w:rPr>
        <w:t>（二）评标的方式</w:t>
      </w:r>
    </w:p>
    <w:p>
      <w:pPr>
        <w:pStyle w:val="26"/>
        <w:keepNext w:val="0"/>
        <w:keepLines w:val="0"/>
        <w:pageBreakBefore w:val="0"/>
        <w:kinsoku/>
        <w:wordWrap/>
        <w:overflowPunct/>
        <w:topLinePunct w:val="0"/>
        <w:bidi w:val="0"/>
        <w:snapToGrid/>
        <w:spacing w:before="0" w:beforeLines="0" w:after="0" w:afterLines="0" w:line="360" w:lineRule="auto"/>
        <w:ind w:left="210" w:leftChars="0" w:hanging="210" w:hangingChars="100"/>
        <w:textAlignment w:val="auto"/>
        <w:rPr>
          <w:rFonts w:hAnsi="宋体" w:cs="宋体"/>
          <w:sz w:val="21"/>
          <w:highlight w:val="none"/>
        </w:rPr>
      </w:pPr>
      <w:r>
        <w:rPr>
          <w:rFonts w:hint="eastAsia" w:hAnsi="宋体" w:cs="宋体"/>
          <w:sz w:val="21"/>
          <w:highlight w:val="none"/>
        </w:rPr>
        <w:t>本项目采用不公开方式评标，评标的依据为招标文件和</w:t>
      </w:r>
      <w:r>
        <w:rPr>
          <w:rFonts w:hint="eastAsia" w:hAnsi="宋体" w:cs="宋体"/>
          <w:sz w:val="21"/>
          <w:highlight w:val="none"/>
          <w:lang w:eastAsia="zh-CN"/>
        </w:rPr>
        <w:t>投标文件</w:t>
      </w:r>
      <w:r>
        <w:rPr>
          <w:rFonts w:hint="eastAsia" w:hAnsi="宋体" w:cs="宋体"/>
          <w:sz w:val="21"/>
          <w:highlight w:val="none"/>
        </w:rPr>
        <w:t>。</w:t>
      </w:r>
    </w:p>
    <w:p>
      <w:pPr>
        <w:pStyle w:val="26"/>
        <w:keepNext w:val="0"/>
        <w:keepLines w:val="0"/>
        <w:pageBreakBefore w:val="0"/>
        <w:kinsoku/>
        <w:wordWrap/>
        <w:overflowPunct/>
        <w:topLinePunct w:val="0"/>
        <w:bidi w:val="0"/>
        <w:snapToGrid/>
        <w:spacing w:before="0" w:beforeLines="0" w:after="0" w:afterLines="0" w:line="360" w:lineRule="auto"/>
        <w:ind w:left="211" w:leftChars="0" w:hanging="211" w:hangingChars="100"/>
        <w:textAlignment w:val="auto"/>
        <w:rPr>
          <w:rFonts w:hAnsi="宋体" w:cs="宋体"/>
          <w:b/>
          <w:sz w:val="21"/>
          <w:highlight w:val="none"/>
        </w:rPr>
      </w:pPr>
      <w:r>
        <w:rPr>
          <w:rFonts w:hint="eastAsia" w:hAnsi="宋体" w:cs="宋体"/>
          <w:b/>
          <w:sz w:val="21"/>
          <w:highlight w:val="none"/>
        </w:rPr>
        <w:t>（三）</w:t>
      </w:r>
      <w:r>
        <w:rPr>
          <w:rFonts w:hint="eastAsia" w:hAnsi="宋体" w:cs="宋体"/>
          <w:b/>
          <w:bCs/>
          <w:sz w:val="21"/>
          <w:highlight w:val="none"/>
        </w:rPr>
        <w:t>评标程序</w:t>
      </w:r>
    </w:p>
    <w:p>
      <w:pPr>
        <w:keepNext w:val="0"/>
        <w:keepLines w:val="0"/>
        <w:pageBreakBefore w:val="0"/>
        <w:kinsoku/>
        <w:wordWrap/>
        <w:overflowPunct/>
        <w:topLinePunct w:val="0"/>
        <w:bidi w:val="0"/>
        <w:snapToGrid/>
        <w:spacing w:line="360" w:lineRule="auto"/>
        <w:ind w:left="0" w:leftChars="0" w:firstLine="413" w:firstLineChars="196"/>
        <w:textAlignment w:val="auto"/>
        <w:rPr>
          <w:rFonts w:ascii="宋体" w:hAnsi="宋体" w:cs="宋体"/>
          <w:b/>
          <w:bCs/>
          <w:highlight w:val="none"/>
        </w:rPr>
      </w:pPr>
      <w:r>
        <w:rPr>
          <w:rFonts w:hint="eastAsia" w:ascii="宋体" w:hAnsi="宋体" w:cs="宋体"/>
          <w:b/>
          <w:bCs/>
          <w:highlight w:val="none"/>
        </w:rPr>
        <w:t>1.资格审查</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采购人代表或代理机构工作人员对</w:t>
      </w:r>
      <w:r>
        <w:rPr>
          <w:rFonts w:hint="eastAsia" w:ascii="宋体" w:hAnsi="宋体" w:cs="宋体"/>
          <w:highlight w:val="none"/>
          <w:lang w:eastAsia="zh-CN"/>
        </w:rPr>
        <w:t>供应商</w:t>
      </w:r>
      <w:r>
        <w:rPr>
          <w:rFonts w:hint="eastAsia" w:ascii="宋体" w:hAnsi="宋体" w:cs="宋体"/>
          <w:highlight w:val="none"/>
        </w:rPr>
        <w:t>的资格进行审查。</w:t>
      </w:r>
    </w:p>
    <w:p>
      <w:pPr>
        <w:keepNext w:val="0"/>
        <w:keepLines w:val="0"/>
        <w:pageBreakBefore w:val="0"/>
        <w:kinsoku/>
        <w:wordWrap/>
        <w:overflowPunct/>
        <w:topLinePunct w:val="0"/>
        <w:bidi w:val="0"/>
        <w:snapToGrid/>
        <w:spacing w:line="360" w:lineRule="auto"/>
        <w:ind w:left="0" w:leftChars="0" w:firstLine="422" w:firstLineChars="200"/>
        <w:textAlignment w:val="auto"/>
        <w:rPr>
          <w:rFonts w:ascii="宋体" w:hAnsi="宋体" w:cs="宋体"/>
          <w:b/>
          <w:highlight w:val="none"/>
        </w:rPr>
      </w:pPr>
      <w:r>
        <w:rPr>
          <w:rFonts w:hint="eastAsia" w:ascii="宋体" w:hAnsi="宋体" w:cs="宋体"/>
          <w:b/>
          <w:highlight w:val="none"/>
        </w:rPr>
        <w:t>2.符合性检查</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b/>
          <w:highlight w:val="none"/>
        </w:rPr>
      </w:pPr>
      <w:r>
        <w:rPr>
          <w:rFonts w:hint="eastAsia" w:ascii="宋体" w:hAnsi="宋体" w:cs="宋体"/>
          <w:highlight w:val="none"/>
        </w:rPr>
        <w:t>评标委员会对通过资格审查的</w:t>
      </w:r>
      <w:r>
        <w:rPr>
          <w:rFonts w:hint="eastAsia" w:ascii="宋体" w:hAnsi="宋体" w:cs="宋体"/>
          <w:highlight w:val="none"/>
          <w:lang w:eastAsia="zh-CN"/>
        </w:rPr>
        <w:t>供应商</w:t>
      </w:r>
      <w:r>
        <w:rPr>
          <w:rFonts w:hint="eastAsia" w:ascii="宋体" w:hAnsi="宋体" w:cs="宋体"/>
          <w:highlight w:val="none"/>
        </w:rPr>
        <w:t>的</w:t>
      </w:r>
      <w:r>
        <w:rPr>
          <w:rFonts w:hint="eastAsia" w:ascii="宋体" w:hAnsi="宋体" w:cs="宋体"/>
          <w:highlight w:val="none"/>
          <w:lang w:eastAsia="zh-CN"/>
        </w:rPr>
        <w:t>投标文件</w:t>
      </w:r>
      <w:r>
        <w:rPr>
          <w:rFonts w:hint="eastAsia" w:ascii="宋体" w:hAnsi="宋体" w:cs="宋体"/>
          <w:highlight w:val="none"/>
        </w:rPr>
        <w:t>的完整性、合法性进行符合性检查。</w:t>
      </w:r>
    </w:p>
    <w:p>
      <w:pPr>
        <w:keepNext w:val="0"/>
        <w:keepLines w:val="0"/>
        <w:pageBreakBefore w:val="0"/>
        <w:kinsoku/>
        <w:wordWrap/>
        <w:overflowPunct/>
        <w:topLinePunct w:val="0"/>
        <w:bidi w:val="0"/>
        <w:snapToGrid/>
        <w:spacing w:line="360" w:lineRule="auto"/>
        <w:ind w:left="0" w:leftChars="0" w:firstLine="413" w:firstLineChars="196"/>
        <w:textAlignment w:val="auto"/>
        <w:rPr>
          <w:rFonts w:ascii="宋体" w:hAnsi="宋体" w:cs="宋体"/>
          <w:b/>
          <w:bCs/>
          <w:highlight w:val="none"/>
        </w:rPr>
      </w:pPr>
      <w:r>
        <w:rPr>
          <w:rFonts w:hint="eastAsia" w:ascii="宋体" w:hAnsi="宋体" w:cs="宋体"/>
          <w:b/>
          <w:bCs/>
          <w:highlight w:val="none"/>
        </w:rPr>
        <w:t>3.实质审查与比较</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（1）评标委员会审查</w:t>
      </w:r>
      <w:r>
        <w:rPr>
          <w:rFonts w:hint="eastAsia" w:ascii="宋体" w:hAnsi="宋体" w:cs="宋体"/>
          <w:highlight w:val="none"/>
          <w:lang w:eastAsia="zh-CN"/>
        </w:rPr>
        <w:t>投标文件</w:t>
      </w:r>
      <w:r>
        <w:rPr>
          <w:rFonts w:hint="eastAsia" w:ascii="宋体" w:hAnsi="宋体" w:cs="宋体"/>
          <w:highlight w:val="none"/>
        </w:rPr>
        <w:t>的实质性内容是否符合招标文件的实质性要求。</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（2）评标委员会将根据</w:t>
      </w:r>
      <w:r>
        <w:rPr>
          <w:rFonts w:hint="eastAsia" w:ascii="宋体" w:hAnsi="宋体" w:cs="宋体"/>
          <w:highlight w:val="none"/>
          <w:lang w:eastAsia="zh-CN"/>
        </w:rPr>
        <w:t>供应商</w:t>
      </w:r>
      <w:r>
        <w:rPr>
          <w:rFonts w:hint="eastAsia" w:ascii="宋体" w:hAnsi="宋体" w:cs="宋体"/>
          <w:highlight w:val="none"/>
        </w:rPr>
        <w:t>的</w:t>
      </w:r>
      <w:r>
        <w:rPr>
          <w:rFonts w:hint="eastAsia" w:ascii="宋体" w:hAnsi="宋体" w:cs="宋体"/>
          <w:highlight w:val="none"/>
          <w:lang w:eastAsia="zh-CN"/>
        </w:rPr>
        <w:t>投标文件</w:t>
      </w:r>
      <w:r>
        <w:rPr>
          <w:rFonts w:hint="eastAsia" w:ascii="宋体" w:hAnsi="宋体" w:cs="宋体"/>
          <w:highlight w:val="none"/>
        </w:rPr>
        <w:t>进行审查、核对,如有疑问,将对</w:t>
      </w:r>
      <w:r>
        <w:rPr>
          <w:rFonts w:hint="eastAsia" w:ascii="宋体" w:hAnsi="宋体" w:cs="宋体"/>
          <w:highlight w:val="none"/>
          <w:lang w:eastAsia="zh-CN"/>
        </w:rPr>
        <w:t>供应商</w:t>
      </w:r>
      <w:r>
        <w:rPr>
          <w:rFonts w:hint="eastAsia" w:ascii="宋体" w:hAnsi="宋体" w:cs="宋体"/>
          <w:highlight w:val="none"/>
        </w:rPr>
        <w:t>进行询标,</w:t>
      </w:r>
      <w:r>
        <w:rPr>
          <w:rFonts w:hint="eastAsia" w:ascii="宋体" w:hAnsi="宋体" w:cs="宋体"/>
          <w:highlight w:val="none"/>
          <w:lang w:eastAsia="zh-CN"/>
        </w:rPr>
        <w:t>供应商</w:t>
      </w:r>
      <w:r>
        <w:rPr>
          <w:rFonts w:hint="eastAsia" w:ascii="宋体" w:hAnsi="宋体" w:cs="宋体"/>
          <w:highlight w:val="none"/>
        </w:rPr>
        <w:t>要向评标委员会澄清有关问题,并最终以书面形式进行答复。</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lang w:eastAsia="zh-CN"/>
        </w:rPr>
        <w:t>供应商</w:t>
      </w:r>
      <w:r>
        <w:rPr>
          <w:rFonts w:hint="eastAsia" w:ascii="宋体" w:hAnsi="宋体" w:cs="宋体"/>
          <w:highlight w:val="none"/>
        </w:rPr>
        <w:t>代表未到场或者拒绝澄清或者澄清的内容改变了</w:t>
      </w:r>
      <w:r>
        <w:rPr>
          <w:rFonts w:hint="eastAsia" w:ascii="宋体" w:hAnsi="宋体" w:cs="宋体"/>
          <w:highlight w:val="none"/>
          <w:lang w:eastAsia="zh-CN"/>
        </w:rPr>
        <w:t>投标文件</w:t>
      </w:r>
      <w:r>
        <w:rPr>
          <w:rFonts w:hint="eastAsia" w:ascii="宋体" w:hAnsi="宋体" w:cs="宋体"/>
          <w:highlight w:val="none"/>
        </w:rPr>
        <w:t>的实质性内容的，评标委员会有权对该</w:t>
      </w:r>
      <w:r>
        <w:rPr>
          <w:rFonts w:hint="eastAsia" w:ascii="宋体" w:hAnsi="宋体" w:cs="宋体"/>
          <w:highlight w:val="none"/>
          <w:lang w:eastAsia="zh-CN"/>
        </w:rPr>
        <w:t>投标文件</w:t>
      </w:r>
      <w:r>
        <w:rPr>
          <w:rFonts w:hint="eastAsia" w:ascii="宋体" w:hAnsi="宋体" w:cs="宋体"/>
          <w:highlight w:val="none"/>
        </w:rPr>
        <w:t>作出不利于</w:t>
      </w:r>
      <w:r>
        <w:rPr>
          <w:rFonts w:hint="eastAsia" w:ascii="宋体" w:hAnsi="宋体" w:cs="宋体"/>
          <w:highlight w:val="none"/>
          <w:lang w:eastAsia="zh-CN"/>
        </w:rPr>
        <w:t>供应商</w:t>
      </w:r>
      <w:r>
        <w:rPr>
          <w:rFonts w:hint="eastAsia" w:ascii="宋体" w:hAnsi="宋体" w:cs="宋体"/>
          <w:highlight w:val="none"/>
        </w:rPr>
        <w:t>的评判。</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（3）各</w:t>
      </w:r>
      <w:r>
        <w:rPr>
          <w:rFonts w:hint="eastAsia" w:ascii="宋体" w:hAnsi="宋体" w:cs="宋体"/>
          <w:highlight w:val="none"/>
          <w:lang w:eastAsia="zh-CN"/>
        </w:rPr>
        <w:t>供应商</w:t>
      </w:r>
      <w:r>
        <w:rPr>
          <w:rFonts w:hint="eastAsia" w:ascii="宋体" w:hAnsi="宋体" w:cs="宋体"/>
          <w:highlight w:val="none"/>
        </w:rPr>
        <w:t>的技术得分为所有评委的有效评分的算术平均数，由指定专人进行计算复核。</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（4）代理机构工作人员协助评标委员会根据本项目的评分标准计算各</w:t>
      </w:r>
      <w:r>
        <w:rPr>
          <w:rFonts w:hint="eastAsia" w:ascii="宋体" w:hAnsi="宋体" w:cs="宋体"/>
          <w:highlight w:val="none"/>
          <w:lang w:eastAsia="zh-CN"/>
        </w:rPr>
        <w:t>供应商</w:t>
      </w:r>
      <w:r>
        <w:rPr>
          <w:rFonts w:hint="eastAsia" w:ascii="宋体" w:hAnsi="宋体" w:cs="宋体"/>
          <w:highlight w:val="none"/>
        </w:rPr>
        <w:t>的商务报价得分。</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（5）评标委员会完成评标后,评委或代理机构对各部分得分汇总,计算出本项目最终得分。评标委员会按评标原则推荐中标候选人同时起草评标报告。</w:t>
      </w:r>
    </w:p>
    <w:p>
      <w:pPr>
        <w:keepNext w:val="0"/>
        <w:keepLines w:val="0"/>
        <w:pageBreakBefore w:val="0"/>
        <w:kinsoku/>
        <w:wordWrap/>
        <w:overflowPunct/>
        <w:topLinePunct w:val="0"/>
        <w:bidi w:val="0"/>
        <w:snapToGrid/>
        <w:spacing w:line="360" w:lineRule="auto"/>
        <w:ind w:left="0" w:leftChars="0" w:firstLine="422" w:firstLineChars="200"/>
        <w:textAlignment w:val="auto"/>
        <w:rPr>
          <w:rFonts w:ascii="宋体" w:hAnsi="宋体" w:cs="宋体"/>
          <w:b/>
          <w:highlight w:val="none"/>
        </w:rPr>
      </w:pPr>
      <w:r>
        <w:rPr>
          <w:rFonts w:hint="eastAsia" w:ascii="宋体" w:hAnsi="宋体" w:cs="宋体"/>
          <w:b/>
          <w:bCs/>
          <w:highlight w:val="none"/>
        </w:rPr>
        <w:t>（四）</w:t>
      </w:r>
      <w:r>
        <w:rPr>
          <w:rFonts w:hint="eastAsia" w:ascii="宋体" w:hAnsi="宋体" w:cs="宋体"/>
          <w:b/>
          <w:highlight w:val="none"/>
        </w:rPr>
        <w:t>澄清问题的形式</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对</w:t>
      </w:r>
      <w:r>
        <w:rPr>
          <w:rFonts w:hint="eastAsia" w:ascii="宋体" w:hAnsi="宋体" w:cs="宋体"/>
          <w:highlight w:val="none"/>
          <w:lang w:eastAsia="zh-CN"/>
        </w:rPr>
        <w:t>投标文件</w:t>
      </w:r>
      <w:r>
        <w:rPr>
          <w:rFonts w:hint="eastAsia" w:ascii="宋体" w:hAnsi="宋体" w:cs="宋体"/>
          <w:highlight w:val="none"/>
        </w:rPr>
        <w:t>中含义不明确、同类问题表述不一致或者有明显文字和计算错误的内容，评标委员会可要求供应商作出必要的澄清、说明或者纠正。供应商的澄清、说明或者补正应当采用书面形式，由其授权代表签字或盖章确认，并不得超出</w:t>
      </w:r>
      <w:r>
        <w:rPr>
          <w:rFonts w:hint="eastAsia" w:ascii="宋体" w:hAnsi="宋体" w:cs="宋体"/>
          <w:highlight w:val="none"/>
          <w:lang w:eastAsia="zh-CN"/>
        </w:rPr>
        <w:t>投标文件</w:t>
      </w:r>
      <w:r>
        <w:rPr>
          <w:rFonts w:hint="eastAsia" w:ascii="宋体" w:hAnsi="宋体" w:cs="宋体"/>
          <w:highlight w:val="none"/>
        </w:rPr>
        <w:t>的范围或者改变</w:t>
      </w:r>
      <w:r>
        <w:rPr>
          <w:rFonts w:hint="eastAsia" w:ascii="宋体" w:hAnsi="宋体" w:cs="宋体"/>
          <w:highlight w:val="none"/>
          <w:lang w:eastAsia="zh-CN"/>
        </w:rPr>
        <w:t>投标文件</w:t>
      </w:r>
      <w:r>
        <w:rPr>
          <w:rFonts w:hint="eastAsia" w:ascii="宋体" w:hAnsi="宋体" w:cs="宋体"/>
          <w:highlight w:val="none"/>
        </w:rPr>
        <w:t>的实质性内容。</w:t>
      </w:r>
    </w:p>
    <w:p>
      <w:pPr>
        <w:pStyle w:val="26"/>
        <w:keepNext w:val="0"/>
        <w:keepLines w:val="0"/>
        <w:pageBreakBefore w:val="0"/>
        <w:kinsoku/>
        <w:wordWrap/>
        <w:overflowPunct/>
        <w:topLinePunct w:val="0"/>
        <w:bidi w:val="0"/>
        <w:snapToGrid/>
        <w:spacing w:before="0" w:beforeLines="0" w:after="0" w:afterLines="0" w:line="360" w:lineRule="auto"/>
        <w:ind w:left="211" w:leftChars="0" w:hanging="211" w:hangingChars="100"/>
        <w:textAlignment w:val="auto"/>
        <w:rPr>
          <w:rFonts w:hAnsi="宋体" w:cs="宋体"/>
          <w:b/>
          <w:sz w:val="21"/>
          <w:highlight w:val="none"/>
        </w:rPr>
      </w:pPr>
      <w:r>
        <w:rPr>
          <w:rFonts w:hint="eastAsia" w:hAnsi="宋体" w:cs="宋体"/>
          <w:b/>
          <w:bCs/>
          <w:sz w:val="21"/>
          <w:highlight w:val="none"/>
        </w:rPr>
        <w:t>（五）</w:t>
      </w:r>
      <w:r>
        <w:rPr>
          <w:rFonts w:hint="eastAsia" w:hAnsi="宋体" w:cs="宋体"/>
          <w:b/>
          <w:sz w:val="21"/>
          <w:highlight w:val="none"/>
        </w:rPr>
        <w:t>错误修正</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lang w:val="en-US" w:eastAsia="zh-CN"/>
        </w:rPr>
        <w:t>投标</w:t>
      </w:r>
      <w:r>
        <w:rPr>
          <w:rFonts w:hint="eastAsia" w:ascii="宋体" w:hAnsi="宋体" w:cs="宋体"/>
          <w:highlight w:val="none"/>
          <w:lang w:eastAsia="zh-CN"/>
        </w:rPr>
        <w:t>文件</w:t>
      </w:r>
      <w:r>
        <w:rPr>
          <w:rFonts w:hint="eastAsia" w:ascii="宋体" w:hAnsi="宋体" w:cs="宋体"/>
          <w:highlight w:val="none"/>
        </w:rPr>
        <w:t>如果出现计算或表达上的错误，修正错误的原则如下：</w:t>
      </w:r>
    </w:p>
    <w:p>
      <w:pPr>
        <w:keepNext w:val="0"/>
        <w:keepLines w:val="0"/>
        <w:pageBreakBefore w:val="0"/>
        <w:numPr>
          <w:ilvl w:val="0"/>
          <w:numId w:val="11"/>
        </w:numPr>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ascii="Times New Roman" w:hAnsi="Times New Roman"/>
          <w:b w:val="0"/>
          <w:bCs/>
          <w:color w:val="auto"/>
          <w:sz w:val="21"/>
          <w:szCs w:val="21"/>
          <w:highlight w:val="none"/>
        </w:rPr>
        <w:t>投标文件</w:t>
      </w:r>
      <w:r>
        <w:rPr>
          <w:rFonts w:hint="eastAsia" w:ascii="宋体" w:hAnsi="宋体" w:cs="宋体"/>
          <w:highlight w:val="none"/>
        </w:rPr>
        <w:t>中开标一览表（报价表）内容与</w:t>
      </w:r>
      <w:r>
        <w:rPr>
          <w:rFonts w:ascii="Times New Roman" w:hAnsi="Times New Roman"/>
          <w:b w:val="0"/>
          <w:bCs/>
          <w:color w:val="auto"/>
          <w:sz w:val="21"/>
          <w:szCs w:val="21"/>
          <w:highlight w:val="none"/>
        </w:rPr>
        <w:t>投标文件</w:t>
      </w:r>
      <w:r>
        <w:rPr>
          <w:rFonts w:hint="eastAsia" w:ascii="宋体" w:hAnsi="宋体" w:cs="宋体"/>
          <w:highlight w:val="none"/>
        </w:rPr>
        <w:t>中相应内容不一致的，以开标一览表（报价表）为准；</w:t>
      </w:r>
    </w:p>
    <w:p>
      <w:pPr>
        <w:keepNext w:val="0"/>
        <w:keepLines w:val="0"/>
        <w:pageBreakBefore w:val="0"/>
        <w:numPr>
          <w:ilvl w:val="0"/>
          <w:numId w:val="11"/>
        </w:numPr>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政采云平台填报的开标一览表中的价格与上传的报价文件中开标一览表的报价不一致的，以上传的报价文件为准；</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3、大写金额和小写金额不一致的，以大写金额为准；</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4、单价金额小数点或者百分比有明显错位的，以开标一览表的总价为准，并修改单价；</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5、总价金额与按单价汇总金额不一致的，以单价金额计算结果为准。</w:t>
      </w:r>
    </w:p>
    <w:p>
      <w:pPr>
        <w:pStyle w:val="26"/>
        <w:keepNext w:val="0"/>
        <w:keepLines w:val="0"/>
        <w:pageBreakBefore w:val="0"/>
        <w:kinsoku/>
        <w:wordWrap/>
        <w:overflowPunct/>
        <w:topLinePunct w:val="0"/>
        <w:bidi w:val="0"/>
        <w:snapToGrid/>
        <w:spacing w:before="0" w:beforeLines="0" w:after="0" w:afterLines="0" w:line="360" w:lineRule="auto"/>
        <w:ind w:left="0" w:leftChars="0" w:firstLine="422" w:firstLineChars="200"/>
        <w:textAlignment w:val="auto"/>
        <w:rPr>
          <w:rFonts w:hAnsi="宋体" w:cs="宋体"/>
          <w:b/>
          <w:bCs/>
          <w:sz w:val="21"/>
          <w:highlight w:val="none"/>
        </w:rPr>
      </w:pPr>
      <w:r>
        <w:rPr>
          <w:rFonts w:hint="eastAsia" w:hAnsi="宋体" w:cs="宋体"/>
          <w:b/>
          <w:bCs/>
          <w:sz w:val="21"/>
          <w:highlight w:val="none"/>
        </w:rPr>
        <w:t>同时出现两种以上不一致的，按照前款规定的顺序修正。修正后的报价按照</w:t>
      </w:r>
      <w:r>
        <w:rPr>
          <w:rFonts w:hint="eastAsia" w:hAnsi="宋体" w:cs="宋体"/>
          <w:b/>
          <w:bCs/>
          <w:sz w:val="21"/>
          <w:highlight w:val="none"/>
          <w:lang w:eastAsia="zh-CN"/>
        </w:rPr>
        <w:t>投标文件</w:t>
      </w:r>
      <w:r>
        <w:rPr>
          <w:rFonts w:hint="eastAsia" w:hAnsi="宋体" w:cs="宋体"/>
          <w:b/>
          <w:bCs/>
          <w:sz w:val="21"/>
          <w:highlight w:val="none"/>
        </w:rPr>
        <w:t>澄清的规定经</w:t>
      </w:r>
      <w:r>
        <w:rPr>
          <w:rFonts w:hint="eastAsia" w:hAnsi="宋体" w:cs="宋体"/>
          <w:b/>
          <w:bCs/>
          <w:sz w:val="21"/>
          <w:highlight w:val="none"/>
          <w:lang w:eastAsia="zh-CN"/>
        </w:rPr>
        <w:t>供应商</w:t>
      </w:r>
      <w:r>
        <w:rPr>
          <w:rFonts w:hint="eastAsia" w:hAnsi="宋体" w:cs="宋体"/>
          <w:b/>
          <w:bCs/>
          <w:sz w:val="21"/>
          <w:highlight w:val="none"/>
        </w:rPr>
        <w:t>确认后产生约束力，</w:t>
      </w:r>
      <w:r>
        <w:rPr>
          <w:rFonts w:hint="eastAsia" w:hAnsi="宋体" w:cs="宋体"/>
          <w:b/>
          <w:bCs/>
          <w:sz w:val="21"/>
          <w:highlight w:val="none"/>
          <w:lang w:eastAsia="zh-CN"/>
        </w:rPr>
        <w:t>供应商</w:t>
      </w:r>
      <w:r>
        <w:rPr>
          <w:rFonts w:hint="eastAsia" w:hAnsi="宋体" w:cs="宋体"/>
          <w:b/>
          <w:bCs/>
          <w:sz w:val="21"/>
          <w:highlight w:val="none"/>
        </w:rPr>
        <w:t>不确认的，其投标无效。</w:t>
      </w:r>
    </w:p>
    <w:p>
      <w:pPr>
        <w:pStyle w:val="26"/>
        <w:keepNext w:val="0"/>
        <w:keepLines w:val="0"/>
        <w:pageBreakBefore w:val="0"/>
        <w:tabs>
          <w:tab w:val="left" w:pos="630"/>
        </w:tabs>
        <w:kinsoku/>
        <w:wordWrap/>
        <w:overflowPunct/>
        <w:topLinePunct w:val="0"/>
        <w:bidi w:val="0"/>
        <w:snapToGrid/>
        <w:spacing w:before="0" w:beforeLines="0" w:after="0" w:afterLines="0" w:line="360" w:lineRule="auto"/>
        <w:ind w:left="0" w:leftChars="0" w:firstLine="413" w:firstLineChars="196"/>
        <w:textAlignment w:val="auto"/>
        <w:rPr>
          <w:rFonts w:hAnsi="宋体" w:cs="宋体"/>
          <w:b/>
          <w:sz w:val="21"/>
          <w:highlight w:val="none"/>
        </w:rPr>
      </w:pPr>
      <w:r>
        <w:rPr>
          <w:rFonts w:hint="eastAsia" w:hAnsi="宋体" w:cs="宋体"/>
          <w:b/>
          <w:sz w:val="21"/>
          <w:highlight w:val="none"/>
        </w:rPr>
        <w:t>（六）评标原则和评标办法</w:t>
      </w:r>
    </w:p>
    <w:p>
      <w:pPr>
        <w:pStyle w:val="26"/>
        <w:keepNext w:val="0"/>
        <w:keepLines w:val="0"/>
        <w:pageBreakBefore w:val="0"/>
        <w:kinsoku/>
        <w:wordWrap/>
        <w:overflowPunct/>
        <w:topLinePunct w:val="0"/>
        <w:bidi w:val="0"/>
        <w:snapToGrid/>
        <w:spacing w:before="0" w:beforeLines="0" w:after="0" w:afterLines="0" w:line="360" w:lineRule="auto"/>
        <w:ind w:left="0" w:leftChars="0" w:firstLine="420" w:firstLineChars="200"/>
        <w:textAlignment w:val="auto"/>
        <w:rPr>
          <w:rFonts w:hAnsi="宋体" w:cs="宋体"/>
          <w:sz w:val="21"/>
          <w:highlight w:val="none"/>
        </w:rPr>
      </w:pPr>
      <w:r>
        <w:rPr>
          <w:rFonts w:hint="eastAsia" w:hAnsi="宋体" w:cs="宋体"/>
          <w:sz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6"/>
        <w:keepNext w:val="0"/>
        <w:keepLines w:val="0"/>
        <w:pageBreakBefore w:val="0"/>
        <w:kinsoku/>
        <w:wordWrap/>
        <w:overflowPunct/>
        <w:topLinePunct w:val="0"/>
        <w:bidi w:val="0"/>
        <w:snapToGrid/>
        <w:spacing w:before="0" w:beforeLines="0" w:after="0" w:afterLines="0" w:line="360" w:lineRule="auto"/>
        <w:ind w:left="0" w:leftChars="0" w:firstLine="420" w:firstLineChars="200"/>
        <w:textAlignment w:val="auto"/>
        <w:rPr>
          <w:rFonts w:hAnsi="宋体" w:cs="宋体"/>
          <w:sz w:val="21"/>
          <w:highlight w:val="none"/>
        </w:rPr>
      </w:pPr>
      <w:r>
        <w:rPr>
          <w:rFonts w:hint="eastAsia" w:hAnsi="宋体" w:cs="宋体"/>
          <w:sz w:val="21"/>
          <w:highlight w:val="none"/>
        </w:rPr>
        <w:t>2.评标办法。本项目评标办法是</w:t>
      </w:r>
      <w:r>
        <w:rPr>
          <w:rFonts w:hint="eastAsia" w:hAnsi="宋体" w:cs="宋体"/>
          <w:sz w:val="21"/>
          <w:highlight w:val="none"/>
          <w:u w:val="single"/>
        </w:rPr>
        <w:t xml:space="preserve"> 综合评分法 </w:t>
      </w:r>
      <w:r>
        <w:rPr>
          <w:rFonts w:hint="eastAsia" w:hAnsi="宋体" w:cs="宋体"/>
          <w:sz w:val="21"/>
          <w:highlight w:val="none"/>
        </w:rPr>
        <w:t>，具体评标内容及评分标准等详见《第五章 评标办法及评分标准》。</w:t>
      </w:r>
    </w:p>
    <w:p>
      <w:pPr>
        <w:pStyle w:val="26"/>
        <w:keepNext w:val="0"/>
        <w:keepLines w:val="0"/>
        <w:pageBreakBefore w:val="0"/>
        <w:kinsoku/>
        <w:wordWrap/>
        <w:overflowPunct/>
        <w:topLinePunct w:val="0"/>
        <w:bidi w:val="0"/>
        <w:snapToGrid/>
        <w:spacing w:before="0" w:beforeLines="0" w:after="0" w:afterLines="0" w:line="360" w:lineRule="auto"/>
        <w:ind w:left="0" w:leftChars="0" w:firstLine="422" w:firstLineChars="200"/>
        <w:textAlignment w:val="auto"/>
        <w:rPr>
          <w:rFonts w:hAnsi="宋体" w:cs="宋体"/>
          <w:b/>
          <w:sz w:val="21"/>
          <w:highlight w:val="none"/>
        </w:rPr>
      </w:pPr>
      <w:r>
        <w:rPr>
          <w:rFonts w:hint="eastAsia" w:hAnsi="宋体" w:cs="宋体"/>
          <w:b/>
          <w:sz w:val="21"/>
          <w:highlight w:val="none"/>
        </w:rPr>
        <w:t>六、定标</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bCs/>
          <w:highlight w:val="none"/>
        </w:rPr>
      </w:pPr>
      <w:r>
        <w:rPr>
          <w:rFonts w:hint="eastAsia" w:ascii="宋体" w:hAnsi="宋体" w:cs="宋体"/>
          <w:bCs/>
          <w:highlight w:val="none"/>
        </w:rPr>
        <w:t>1.确定中标人。本项目由评标委员会推荐中标候选人，采购人不得在评标委员会推荐的中标候选人以外确定中标候选人。</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bCs/>
          <w:highlight w:val="none"/>
        </w:rPr>
      </w:pPr>
      <w:r>
        <w:rPr>
          <w:rFonts w:hint="eastAsia" w:ascii="宋体" w:hAnsi="宋体" w:cs="宋体"/>
          <w:bCs/>
          <w:highlight w:val="none"/>
        </w:rPr>
        <w:t>2.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bCs/>
          <w:highlight w:val="none"/>
        </w:rPr>
      </w:pPr>
      <w:r>
        <w:rPr>
          <w:rFonts w:hint="eastAsia" w:ascii="宋体" w:hAnsi="宋体" w:cs="宋体"/>
          <w:bCs/>
          <w:highlight w:val="none"/>
        </w:rPr>
        <w:t>3.代理机构自中标人确定之日起2个工作日内，在发布招标公告的网站上对中标结果进行公示，中标结果公告期限为1个工作日。</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bCs/>
          <w:highlight w:val="none"/>
        </w:rPr>
      </w:pPr>
      <w:r>
        <w:rPr>
          <w:rFonts w:hint="eastAsia" w:ascii="宋体" w:hAnsi="宋体" w:cs="宋体"/>
          <w:bCs/>
          <w:highlight w:val="none"/>
        </w:rPr>
        <w:t>4.凡发现中标人有下列行为之一的，将移交政府采购监督管理部门依法处理：</w:t>
      </w:r>
    </w:p>
    <w:p>
      <w:pPr>
        <w:keepNext w:val="0"/>
        <w:keepLines w:val="0"/>
        <w:pageBreakBefore w:val="0"/>
        <w:numPr>
          <w:ilvl w:val="0"/>
          <w:numId w:val="12"/>
        </w:numPr>
        <w:kinsoku/>
        <w:wordWrap/>
        <w:overflowPunct/>
        <w:topLinePunct w:val="0"/>
        <w:bidi w:val="0"/>
        <w:snapToGrid/>
        <w:spacing w:line="360" w:lineRule="auto"/>
        <w:ind w:left="0" w:leftChars="0" w:firstLine="420" w:firstLineChars="200"/>
        <w:textAlignment w:val="auto"/>
        <w:rPr>
          <w:rFonts w:ascii="宋体" w:hAnsi="宋体" w:cs="宋体"/>
          <w:bCs/>
          <w:highlight w:val="none"/>
        </w:rPr>
      </w:pPr>
      <w:r>
        <w:rPr>
          <w:rFonts w:hint="eastAsia" w:ascii="宋体" w:hAnsi="宋体" w:cs="宋体"/>
          <w:bCs/>
          <w:highlight w:val="none"/>
        </w:rPr>
        <w:t>提供虚假材料谋取中标的；</w:t>
      </w:r>
    </w:p>
    <w:p>
      <w:pPr>
        <w:keepNext w:val="0"/>
        <w:keepLines w:val="0"/>
        <w:pageBreakBefore w:val="0"/>
        <w:numPr>
          <w:ilvl w:val="0"/>
          <w:numId w:val="12"/>
        </w:numPr>
        <w:kinsoku/>
        <w:wordWrap/>
        <w:overflowPunct/>
        <w:topLinePunct w:val="0"/>
        <w:bidi w:val="0"/>
        <w:snapToGrid/>
        <w:spacing w:line="360" w:lineRule="auto"/>
        <w:ind w:left="0" w:leftChars="0" w:firstLine="420" w:firstLineChars="200"/>
        <w:textAlignment w:val="auto"/>
        <w:rPr>
          <w:rFonts w:ascii="宋体" w:hAnsi="宋体" w:cs="宋体"/>
          <w:bCs/>
          <w:highlight w:val="none"/>
        </w:rPr>
      </w:pPr>
      <w:r>
        <w:rPr>
          <w:rFonts w:hint="eastAsia" w:ascii="宋体" w:hAnsi="宋体" w:cs="宋体"/>
          <w:bCs/>
          <w:highlight w:val="none"/>
        </w:rPr>
        <w:t>采取不正当手段诋毁、排挤其他</w:t>
      </w:r>
      <w:r>
        <w:rPr>
          <w:rFonts w:hint="eastAsia" w:ascii="宋体" w:hAnsi="宋体" w:cs="宋体"/>
          <w:bCs/>
          <w:highlight w:val="none"/>
          <w:lang w:eastAsia="zh-CN"/>
        </w:rPr>
        <w:t>供应商</w:t>
      </w:r>
      <w:r>
        <w:rPr>
          <w:rFonts w:hint="eastAsia" w:ascii="宋体" w:hAnsi="宋体" w:cs="宋体"/>
          <w:bCs/>
          <w:highlight w:val="none"/>
        </w:rPr>
        <w:t>的；</w:t>
      </w:r>
    </w:p>
    <w:p>
      <w:pPr>
        <w:keepNext w:val="0"/>
        <w:keepLines w:val="0"/>
        <w:pageBreakBefore w:val="0"/>
        <w:numPr>
          <w:ilvl w:val="0"/>
          <w:numId w:val="12"/>
        </w:numPr>
        <w:kinsoku/>
        <w:wordWrap/>
        <w:overflowPunct/>
        <w:topLinePunct w:val="0"/>
        <w:bidi w:val="0"/>
        <w:snapToGrid/>
        <w:spacing w:line="360" w:lineRule="auto"/>
        <w:ind w:left="0" w:leftChars="0" w:firstLine="420" w:firstLineChars="200"/>
        <w:textAlignment w:val="auto"/>
        <w:rPr>
          <w:rFonts w:ascii="宋体" w:hAnsi="宋体" w:cs="宋体"/>
          <w:bCs/>
          <w:highlight w:val="none"/>
        </w:rPr>
      </w:pPr>
      <w:r>
        <w:rPr>
          <w:rFonts w:hint="eastAsia" w:ascii="宋体" w:hAnsi="宋体" w:cs="宋体"/>
          <w:bCs/>
          <w:highlight w:val="none"/>
        </w:rPr>
        <w:t>与采购人、其他</w:t>
      </w:r>
      <w:r>
        <w:rPr>
          <w:rFonts w:hint="eastAsia" w:ascii="宋体" w:hAnsi="宋体" w:cs="宋体"/>
          <w:bCs/>
          <w:highlight w:val="none"/>
          <w:lang w:eastAsia="zh-CN"/>
        </w:rPr>
        <w:t>供应商</w:t>
      </w:r>
      <w:r>
        <w:rPr>
          <w:rFonts w:hint="eastAsia" w:ascii="宋体" w:hAnsi="宋体" w:cs="宋体"/>
          <w:bCs/>
          <w:highlight w:val="none"/>
        </w:rPr>
        <w:t>或者采购代理机构工作人员恶意串通的；</w:t>
      </w:r>
    </w:p>
    <w:p>
      <w:pPr>
        <w:keepNext w:val="0"/>
        <w:keepLines w:val="0"/>
        <w:pageBreakBefore w:val="0"/>
        <w:numPr>
          <w:ilvl w:val="0"/>
          <w:numId w:val="12"/>
        </w:numPr>
        <w:kinsoku/>
        <w:wordWrap/>
        <w:overflowPunct/>
        <w:topLinePunct w:val="0"/>
        <w:bidi w:val="0"/>
        <w:snapToGrid/>
        <w:spacing w:line="360" w:lineRule="auto"/>
        <w:ind w:left="0" w:leftChars="0" w:firstLine="420" w:firstLineChars="200"/>
        <w:textAlignment w:val="auto"/>
        <w:rPr>
          <w:rFonts w:ascii="宋体" w:hAnsi="宋体" w:cs="宋体"/>
          <w:bCs/>
          <w:highlight w:val="none"/>
        </w:rPr>
      </w:pPr>
      <w:r>
        <w:rPr>
          <w:rFonts w:hint="eastAsia" w:ascii="宋体" w:hAnsi="宋体" w:cs="宋体"/>
          <w:bCs/>
          <w:highlight w:val="none"/>
        </w:rPr>
        <w:t>向采购人或采购代理机构人员行贿或者提供其他不正当利益的；</w:t>
      </w:r>
    </w:p>
    <w:p>
      <w:pPr>
        <w:keepNext w:val="0"/>
        <w:keepLines w:val="0"/>
        <w:pageBreakBefore w:val="0"/>
        <w:numPr>
          <w:ilvl w:val="0"/>
          <w:numId w:val="12"/>
        </w:numPr>
        <w:kinsoku/>
        <w:wordWrap/>
        <w:overflowPunct/>
        <w:topLinePunct w:val="0"/>
        <w:bidi w:val="0"/>
        <w:snapToGrid/>
        <w:spacing w:line="360" w:lineRule="auto"/>
        <w:ind w:left="0" w:leftChars="0" w:firstLine="420" w:firstLineChars="200"/>
        <w:textAlignment w:val="auto"/>
        <w:rPr>
          <w:rFonts w:ascii="宋体" w:hAnsi="宋体" w:cs="宋体"/>
          <w:bCs/>
          <w:highlight w:val="none"/>
        </w:rPr>
      </w:pPr>
      <w:r>
        <w:rPr>
          <w:rFonts w:hint="eastAsia" w:ascii="宋体" w:hAnsi="宋体" w:cs="宋体"/>
          <w:bCs/>
          <w:highlight w:val="none"/>
        </w:rPr>
        <w:t>拒绝有关部门监督检查或者提供虚假情况的；</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bCs/>
          <w:highlight w:val="none"/>
        </w:rPr>
        <w:t>有法律、法规规定的其他损害采购人利益和社会公共利益情形的。</w:t>
      </w:r>
    </w:p>
    <w:p>
      <w:pPr>
        <w:keepNext w:val="0"/>
        <w:keepLines w:val="0"/>
        <w:pageBreakBefore w:val="0"/>
        <w:kinsoku/>
        <w:wordWrap/>
        <w:overflowPunct/>
        <w:topLinePunct w:val="0"/>
        <w:bidi w:val="0"/>
        <w:snapToGrid/>
        <w:spacing w:line="360" w:lineRule="auto"/>
        <w:ind w:left="0" w:leftChars="0" w:firstLine="422" w:firstLineChars="200"/>
        <w:textAlignment w:val="auto"/>
        <w:rPr>
          <w:rFonts w:ascii="宋体" w:hAnsi="宋体" w:cs="宋体"/>
          <w:b/>
          <w:highlight w:val="none"/>
        </w:rPr>
      </w:pPr>
      <w:r>
        <w:rPr>
          <w:rFonts w:hint="eastAsia" w:ascii="宋体" w:hAnsi="宋体" w:cs="宋体"/>
          <w:b/>
          <w:highlight w:val="none"/>
        </w:rPr>
        <w:t>七、评标过程的监控与保密</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1.本项目评标过程实行全程录音、录像监控，</w:t>
      </w:r>
      <w:r>
        <w:rPr>
          <w:rFonts w:hint="eastAsia" w:ascii="宋体" w:hAnsi="宋体" w:cs="宋体"/>
          <w:highlight w:val="none"/>
          <w:lang w:eastAsia="zh-CN"/>
        </w:rPr>
        <w:t>供应商</w:t>
      </w:r>
      <w:r>
        <w:rPr>
          <w:rFonts w:hint="eastAsia" w:ascii="宋体" w:hAnsi="宋体" w:cs="宋体"/>
          <w:highlight w:val="none"/>
        </w:rPr>
        <w:t>在评标过程中所进行的试图影响评标结果的不公正活动，可能导致其投标被拒绝。</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2.开标后到中标通知书发出之前，所有涉及评标委员会名单以及对</w:t>
      </w:r>
      <w:r>
        <w:rPr>
          <w:rFonts w:hint="eastAsia" w:ascii="宋体" w:hAnsi="宋体" w:cs="宋体"/>
          <w:highlight w:val="none"/>
          <w:lang w:eastAsia="zh-CN"/>
        </w:rPr>
        <w:t>投标文件</w:t>
      </w:r>
      <w:r>
        <w:rPr>
          <w:rFonts w:hint="eastAsia" w:ascii="宋体" w:hAnsi="宋体" w:cs="宋体"/>
          <w:highlight w:val="none"/>
        </w:rPr>
        <w:t>的澄清、评价、比较等情况，评标委员会成员、采购人和采购代理机构的有关人员均不得向</w:t>
      </w:r>
      <w:r>
        <w:rPr>
          <w:rFonts w:hint="eastAsia" w:ascii="宋体" w:hAnsi="宋体" w:cs="宋体"/>
          <w:highlight w:val="none"/>
          <w:lang w:eastAsia="zh-CN"/>
        </w:rPr>
        <w:t>供应商</w:t>
      </w:r>
      <w:r>
        <w:rPr>
          <w:rFonts w:hint="eastAsia" w:ascii="宋体" w:hAnsi="宋体" w:cs="宋体"/>
          <w:highlight w:val="none"/>
        </w:rPr>
        <w:t>或其他无关人员透露。</w:t>
      </w:r>
    </w:p>
    <w:p>
      <w:pPr>
        <w:keepNext w:val="0"/>
        <w:keepLines w:val="0"/>
        <w:pageBreakBefore w:val="0"/>
        <w:widowControl/>
        <w:kinsoku/>
        <w:wordWrap/>
        <w:overflowPunct/>
        <w:topLinePunct w:val="0"/>
        <w:bidi w:val="0"/>
        <w:snapToGrid/>
        <w:spacing w:line="360" w:lineRule="auto"/>
        <w:ind w:left="0" w:leftChars="0" w:firstLine="422" w:firstLineChars="200"/>
        <w:jc w:val="left"/>
        <w:textAlignment w:val="auto"/>
        <w:rPr>
          <w:rFonts w:ascii="宋体" w:hAnsi="宋体" w:cs="宋体"/>
          <w:b/>
          <w:highlight w:val="none"/>
          <w:lang w:bidi="ar"/>
        </w:rPr>
      </w:pPr>
      <w:r>
        <w:rPr>
          <w:rFonts w:hint="eastAsia" w:ascii="宋体" w:hAnsi="宋体" w:cs="宋体"/>
          <w:b/>
          <w:highlight w:val="none"/>
          <w:lang w:bidi="ar"/>
        </w:rPr>
        <w:t>八、合同授予</w:t>
      </w:r>
    </w:p>
    <w:p>
      <w:pPr>
        <w:keepNext w:val="0"/>
        <w:keepLines w:val="0"/>
        <w:pageBreakBefore w:val="0"/>
        <w:widowControl/>
        <w:kinsoku/>
        <w:wordWrap/>
        <w:overflowPunct/>
        <w:topLinePunct w:val="0"/>
        <w:bidi w:val="0"/>
        <w:snapToGrid/>
        <w:spacing w:line="360" w:lineRule="auto"/>
        <w:ind w:left="0" w:leftChars="0" w:firstLine="420" w:firstLineChars="200"/>
        <w:jc w:val="left"/>
        <w:textAlignment w:val="auto"/>
        <w:rPr>
          <w:rFonts w:ascii="宋体" w:hAnsi="宋体" w:cs="宋体"/>
          <w:highlight w:val="none"/>
          <w:lang w:bidi="ar"/>
        </w:rPr>
      </w:pPr>
      <w:r>
        <w:rPr>
          <w:rFonts w:hint="eastAsia" w:ascii="宋体" w:hAnsi="宋体" w:cs="宋体"/>
          <w:highlight w:val="none"/>
          <w:lang w:bidi="ar"/>
        </w:rPr>
        <w:t>1.采购人与中标人应当在《中标通知书》发出之日起</w:t>
      </w:r>
      <w:r>
        <w:rPr>
          <w:rFonts w:hint="eastAsia" w:ascii="宋体" w:hAnsi="宋体" w:cs="宋体"/>
          <w:b/>
          <w:highlight w:val="none"/>
          <w:u w:val="single"/>
          <w:lang w:bidi="ar"/>
        </w:rPr>
        <w:t>30</w:t>
      </w:r>
      <w:r>
        <w:rPr>
          <w:rFonts w:hint="eastAsia" w:ascii="宋体" w:hAnsi="宋体" w:cs="宋体"/>
          <w:highlight w:val="none"/>
          <w:lang w:bidi="ar"/>
        </w:rPr>
        <w:t>日内签订政府采购合同。</w:t>
      </w:r>
    </w:p>
    <w:p>
      <w:pPr>
        <w:keepNext w:val="0"/>
        <w:keepLines w:val="0"/>
        <w:pageBreakBefore w:val="0"/>
        <w:widowControl/>
        <w:numPr>
          <w:ilvl w:val="0"/>
          <w:numId w:val="13"/>
        </w:numPr>
        <w:kinsoku/>
        <w:wordWrap/>
        <w:overflowPunct/>
        <w:topLinePunct w:val="0"/>
        <w:bidi w:val="0"/>
        <w:snapToGrid/>
        <w:spacing w:line="360" w:lineRule="auto"/>
        <w:ind w:left="0" w:leftChars="0" w:firstLine="420" w:firstLineChars="200"/>
        <w:jc w:val="left"/>
        <w:textAlignment w:val="auto"/>
        <w:rPr>
          <w:rFonts w:ascii="宋体" w:hAnsi="宋体" w:cs="宋体"/>
          <w:highlight w:val="none"/>
          <w:lang w:bidi="ar"/>
        </w:rPr>
      </w:pPr>
      <w:r>
        <w:rPr>
          <w:rFonts w:hint="eastAsia" w:ascii="宋体" w:hAnsi="宋体" w:cs="宋体"/>
          <w:highlight w:val="none"/>
          <w:lang w:bidi="ar"/>
        </w:rPr>
        <w:t>中标人拖延、拒签合同的，将被取消中标资格。</w:t>
      </w:r>
    </w:p>
    <w:p>
      <w:pPr>
        <w:pStyle w:val="26"/>
        <w:keepNext w:val="0"/>
        <w:keepLines w:val="0"/>
        <w:pageBreakBefore w:val="0"/>
        <w:kinsoku/>
        <w:wordWrap/>
        <w:overflowPunct/>
        <w:topLinePunct w:val="0"/>
        <w:bidi w:val="0"/>
        <w:snapToGrid/>
        <w:spacing w:before="0" w:beforeLines="0" w:after="0" w:afterLines="0" w:line="360" w:lineRule="auto"/>
        <w:ind w:left="0" w:leftChars="0" w:firstLine="422" w:firstLineChars="200"/>
        <w:textAlignment w:val="auto"/>
        <w:rPr>
          <w:rFonts w:hAnsi="宋体" w:cs="宋体"/>
          <w:b/>
          <w:bCs/>
          <w:sz w:val="21"/>
          <w:highlight w:val="none"/>
        </w:rPr>
      </w:pPr>
      <w:r>
        <w:rPr>
          <w:rFonts w:hint="eastAsia" w:hAnsi="宋体" w:cs="宋体"/>
          <w:b/>
          <w:bCs/>
          <w:sz w:val="21"/>
          <w:highlight w:val="none"/>
        </w:rPr>
        <w:t>九、特别说明</w:t>
      </w:r>
    </w:p>
    <w:p>
      <w:pPr>
        <w:pStyle w:val="20"/>
        <w:keepNext w:val="0"/>
        <w:keepLines w:val="0"/>
        <w:pageBreakBefore w:val="0"/>
        <w:kinsoku/>
        <w:wordWrap/>
        <w:overflowPunct/>
        <w:topLinePunct w:val="0"/>
        <w:bidi w:val="0"/>
        <w:snapToGrid/>
        <w:spacing w:line="360" w:lineRule="auto"/>
        <w:ind w:left="0" w:leftChars="0" w:firstLine="404" w:firstLineChars="200"/>
        <w:textAlignment w:val="auto"/>
        <w:rPr>
          <w:rFonts w:hAnsi="宋体" w:cs="宋体"/>
          <w:sz w:val="21"/>
          <w:szCs w:val="21"/>
          <w:highlight w:val="none"/>
        </w:rPr>
      </w:pPr>
      <w:r>
        <w:rPr>
          <w:rFonts w:hint="eastAsia" w:hAnsi="宋体" w:cs="宋体"/>
          <w:sz w:val="21"/>
          <w:szCs w:val="21"/>
          <w:highlight w:val="none"/>
        </w:rPr>
        <w:t>1.进口产品采购需符合“财政部关于印发《政府采购进口产品管理办法》的通知（财库[2007]119号）”第四、八、九、十、十一条的规定。</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2.本项目</w:t>
      </w:r>
      <w:r>
        <w:rPr>
          <w:rFonts w:hint="eastAsia" w:ascii="宋体" w:hAnsi="宋体" w:cs="宋体"/>
          <w:highlight w:val="none"/>
          <w:u w:val="single"/>
        </w:rPr>
        <w:t xml:space="preserve"> </w:t>
      </w:r>
      <w:r>
        <w:rPr>
          <w:rFonts w:hint="eastAsia" w:ascii="宋体" w:hAnsi="宋体" w:cs="宋体"/>
          <w:b/>
          <w:bCs/>
          <w:highlight w:val="none"/>
          <w:u w:val="single"/>
          <w:lang w:val="en-US" w:eastAsia="zh-CN"/>
        </w:rPr>
        <w:t>是</w:t>
      </w:r>
      <w:r>
        <w:rPr>
          <w:rFonts w:hint="eastAsia" w:ascii="宋体" w:hAnsi="宋体" w:cs="宋体"/>
          <w:highlight w:val="none"/>
          <w:u w:val="single"/>
        </w:rPr>
        <w:t xml:space="preserve"> </w:t>
      </w:r>
      <w:r>
        <w:rPr>
          <w:rFonts w:hint="eastAsia" w:ascii="宋体" w:hAnsi="宋体" w:cs="宋体"/>
          <w:highlight w:val="none"/>
        </w:rPr>
        <w:t>专门面向中小企业采购，本项目为</w:t>
      </w:r>
      <w:r>
        <w:rPr>
          <w:rFonts w:hint="eastAsia" w:ascii="宋体" w:hAnsi="宋体" w:cs="宋体"/>
          <w:highlight w:val="none"/>
          <w:lang w:val="en-US" w:eastAsia="zh-CN"/>
        </w:rPr>
        <w:t>货物</w:t>
      </w:r>
      <w:r>
        <w:rPr>
          <w:rFonts w:hint="eastAsia" w:ascii="宋体" w:hAnsi="宋体" w:cs="宋体"/>
          <w:highlight w:val="none"/>
        </w:rPr>
        <w:t>采购项目。</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3.本项目对应的中小企业划分标准</w:t>
      </w:r>
      <w:r>
        <w:rPr>
          <w:rFonts w:hint="eastAsia" w:ascii="宋体" w:hAnsi="宋体" w:cs="宋体"/>
          <w:color w:val="auto"/>
          <w:highlight w:val="none"/>
        </w:rPr>
        <w:t>所属行业：</w:t>
      </w:r>
      <w:r>
        <w:rPr>
          <w:rFonts w:hint="eastAsia" w:ascii="宋体" w:hAnsi="宋体" w:cs="宋体"/>
          <w:color w:val="auto"/>
          <w:highlight w:val="none"/>
          <w:u w:val="single"/>
        </w:rPr>
        <w:t>租赁和商务服务业</w:t>
      </w:r>
      <w:r>
        <w:rPr>
          <w:rFonts w:hint="eastAsia" w:ascii="宋体" w:hAnsi="宋体" w:cs="宋体"/>
          <w:color w:val="auto"/>
          <w:highlight w:val="none"/>
        </w:rPr>
        <w:t xml:space="preserve">。 </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4.</w:t>
      </w:r>
      <w:r>
        <w:rPr>
          <w:rFonts w:hint="eastAsia" w:ascii="宋体" w:hAnsi="宋体" w:cs="宋体"/>
          <w:bCs/>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ascii="宋体" w:hAnsi="宋体" w:cs="宋体"/>
          <w:highlight w:val="none"/>
        </w:rPr>
        <w:t>符合中小企业划分标准的个体工商户，在政府采购活动中视同中小企业。</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国务院批准的中小企业划分标准：具体见工信部联企业[2011]300号。</w:t>
      </w:r>
    </w:p>
    <w:p>
      <w:pPr>
        <w:pStyle w:val="18"/>
        <w:keepNext w:val="0"/>
        <w:keepLines w:val="0"/>
        <w:pageBreakBefore w:val="0"/>
        <w:kinsoku/>
        <w:wordWrap/>
        <w:overflowPunct/>
        <w:topLinePunct w:val="0"/>
        <w:bidi w:val="0"/>
        <w:snapToGrid/>
        <w:spacing w:line="360" w:lineRule="auto"/>
        <w:ind w:left="0" w:leftChars="0" w:firstLine="420" w:firstLineChars="200"/>
        <w:jc w:val="both"/>
        <w:textAlignment w:val="auto"/>
        <w:rPr>
          <w:rFonts w:ascii="宋体" w:hAnsi="宋体" w:cs="宋体"/>
          <w:highlight w:val="none"/>
        </w:rPr>
      </w:pPr>
      <w:r>
        <w:rPr>
          <w:rFonts w:hint="eastAsia" w:ascii="宋体" w:hAnsi="宋体" w:cs="宋体"/>
          <w:highlight w:val="none"/>
        </w:rPr>
        <w:t>5.在政府采购活动中，供应商提供的服务符合下列情形的，享受《政府采购促进中小企业发展管理办法》规定的中小企业扶持政策（</w:t>
      </w:r>
      <w:r>
        <w:rPr>
          <w:rFonts w:ascii="宋体" w:hAnsi="宋体"/>
          <w:highlight w:val="none"/>
        </w:rPr>
        <w:t>享受</w:t>
      </w:r>
      <w:r>
        <w:rPr>
          <w:rFonts w:hint="eastAsia" w:ascii="宋体" w:hAnsi="宋体"/>
          <w:highlight w:val="none"/>
        </w:rPr>
        <w:t>小型、微型</w:t>
      </w:r>
      <w:r>
        <w:rPr>
          <w:rFonts w:ascii="宋体" w:hAnsi="宋体"/>
          <w:highlight w:val="none"/>
        </w:rPr>
        <w:t>企业的价格</w:t>
      </w:r>
      <w:r>
        <w:rPr>
          <w:rFonts w:hint="eastAsia" w:ascii="宋体" w:hAnsi="宋体"/>
          <w:highlight w:val="none"/>
        </w:rPr>
        <w:t>扣除</w:t>
      </w:r>
      <w:r>
        <w:rPr>
          <w:rFonts w:hint="eastAsia" w:ascii="宋体" w:hAnsi="宋体" w:cs="宋体"/>
          <w:highlight w:val="none"/>
        </w:rPr>
        <w:t>）：</w:t>
      </w:r>
    </w:p>
    <w:p>
      <w:pPr>
        <w:pStyle w:val="18"/>
        <w:keepNext w:val="0"/>
        <w:keepLines w:val="0"/>
        <w:pageBreakBefore w:val="0"/>
        <w:numPr>
          <w:ilvl w:val="0"/>
          <w:numId w:val="14"/>
        </w:numPr>
        <w:kinsoku/>
        <w:wordWrap/>
        <w:overflowPunct/>
        <w:topLinePunct w:val="0"/>
        <w:bidi w:val="0"/>
        <w:snapToGrid/>
        <w:spacing w:line="360" w:lineRule="auto"/>
        <w:ind w:left="0" w:leftChars="0" w:firstLine="420"/>
        <w:jc w:val="both"/>
        <w:textAlignment w:val="auto"/>
        <w:rPr>
          <w:rFonts w:ascii="宋体" w:hAnsi="宋体" w:cs="宋体"/>
          <w:highlight w:val="none"/>
        </w:rPr>
      </w:pPr>
      <w:r>
        <w:rPr>
          <w:rFonts w:hint="eastAsia" w:ascii="宋体" w:hAnsi="宋体" w:cs="宋体"/>
          <w:highlight w:val="none"/>
        </w:rPr>
        <w:t>在服务采购项目中，服务由中小企业承接，即提供服务的人员为中小企业依照《中华人民共和国劳动合同法》订立劳动合同的从业人员。</w:t>
      </w:r>
    </w:p>
    <w:p>
      <w:pPr>
        <w:pStyle w:val="18"/>
        <w:keepNext w:val="0"/>
        <w:keepLines w:val="0"/>
        <w:pageBreakBefore w:val="0"/>
        <w:kinsoku/>
        <w:wordWrap/>
        <w:overflowPunct/>
        <w:topLinePunct w:val="0"/>
        <w:bidi w:val="0"/>
        <w:snapToGrid/>
        <w:spacing w:line="360" w:lineRule="auto"/>
        <w:ind w:left="0" w:leftChars="0" w:firstLine="420" w:firstLineChars="200"/>
        <w:jc w:val="both"/>
        <w:textAlignment w:val="auto"/>
        <w:rPr>
          <w:rFonts w:ascii="宋体" w:hAnsi="宋体" w:cs="宋体"/>
          <w:highlight w:val="none"/>
        </w:rPr>
      </w:pPr>
      <w:r>
        <w:rPr>
          <w:rFonts w:hint="eastAsia" w:ascii="宋体" w:hAnsi="宋体" w:cs="宋体"/>
          <w:highlight w:val="none"/>
        </w:rPr>
        <w:t>在货物采购项目中，供应商提供的货物既有中小企业制造货物，也有大型企业制造货物的，不享受本办法规定的中小企业扶持政策。</w:t>
      </w:r>
    </w:p>
    <w:p>
      <w:pPr>
        <w:pStyle w:val="18"/>
        <w:keepNext w:val="0"/>
        <w:keepLines w:val="0"/>
        <w:pageBreakBefore w:val="0"/>
        <w:kinsoku/>
        <w:wordWrap/>
        <w:overflowPunct/>
        <w:topLinePunct w:val="0"/>
        <w:bidi w:val="0"/>
        <w:snapToGrid/>
        <w:spacing w:line="360" w:lineRule="auto"/>
        <w:ind w:left="0" w:leftChars="0" w:firstLine="420" w:firstLineChars="200"/>
        <w:jc w:val="both"/>
        <w:textAlignment w:val="auto"/>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6.中小企业参加政府采购活动，应当出具《政府采购促进中小企业发展管理办法》规定的《中小企业声明函》（格式见附件），否则不得享受中小企业扶持政策。</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供应商提供声明函内容不实的，属于提供虚假材料谋取中标、成交，依照《中华人民共和国政府采购法》等国家有关规定追究相应责任。</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8.《中小企业声明函》由参加投标的供应商提交，如供应商为代理商，须自行采集制造商的中小企业划分类型信息填入相应栏目并对其真实性负责。</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rPr>
      </w:pPr>
      <w:r>
        <w:rPr>
          <w:rFonts w:hint="eastAsia" w:ascii="宋体" w:hAnsi="宋体" w:cs="宋体"/>
          <w:highlight w:val="none"/>
        </w:rPr>
        <w:t>10.执行《三部门联合发布关于促进残疾人就业政府采购政策的通知》,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pPr>
        <w:keepNext w:val="0"/>
        <w:keepLines w:val="0"/>
        <w:pageBreakBefore w:val="0"/>
        <w:kinsoku/>
        <w:wordWrap/>
        <w:overflowPunct/>
        <w:topLinePunct w:val="0"/>
        <w:bidi w:val="0"/>
        <w:snapToGrid/>
        <w:spacing w:line="360" w:lineRule="auto"/>
        <w:ind w:left="0" w:leftChars="0" w:firstLine="420" w:firstLineChars="200"/>
        <w:textAlignment w:val="auto"/>
        <w:rPr>
          <w:rFonts w:ascii="宋体" w:hAnsi="宋体" w:cs="宋体"/>
          <w:highlight w:val="none"/>
          <w:lang w:bidi="ar"/>
        </w:rPr>
      </w:pPr>
      <w:r>
        <w:rPr>
          <w:rFonts w:hint="eastAsia" w:ascii="宋体" w:hAnsi="宋体" w:cs="宋体"/>
          <w:highlight w:val="none"/>
        </w:rPr>
        <w:t>★</w:t>
      </w:r>
      <w:r>
        <w:rPr>
          <w:rFonts w:hint="eastAsia" w:ascii="宋体" w:hAnsi="宋体" w:cs="宋体"/>
          <w:highlight w:val="none"/>
          <w:lang w:bidi="ar"/>
        </w:rPr>
        <w:t xml:space="preserve">11、若在开标当天如遇信用中国”（www.creditchina.gov.cn)、中国政府采购网（www.ccgp.gov.cn）网络中断或受到攻击等突发性不可抗拒的事件，一时无法恢复的，可以只对中标候选人事后查询，如中标候选人为失信被执行人的，招标人将依法取消其中标候选人资格。     </w:t>
      </w:r>
    </w:p>
    <w:p>
      <w:pPr>
        <w:keepNext w:val="0"/>
        <w:keepLines w:val="0"/>
        <w:pageBreakBefore w:val="0"/>
        <w:widowControl/>
        <w:kinsoku/>
        <w:wordWrap/>
        <w:overflowPunct/>
        <w:topLinePunct w:val="0"/>
        <w:bidi w:val="0"/>
        <w:snapToGrid/>
        <w:spacing w:line="360" w:lineRule="auto"/>
        <w:ind w:left="0" w:leftChars="0" w:firstLine="420" w:firstLineChars="200"/>
        <w:jc w:val="left"/>
        <w:textAlignment w:val="auto"/>
        <w:rPr>
          <w:rFonts w:ascii="宋体" w:hAnsi="宋体" w:cs="宋体"/>
          <w:highlight w:val="none"/>
          <w:lang w:bidi="ar"/>
        </w:rPr>
      </w:pPr>
      <w:r>
        <w:rPr>
          <w:rFonts w:hint="eastAsia" w:ascii="宋体" w:hAnsi="宋体" w:cs="宋体"/>
          <w:highlight w:val="none"/>
        </w:rPr>
        <w:t>★</w:t>
      </w:r>
      <w:r>
        <w:rPr>
          <w:rFonts w:hint="eastAsia" w:ascii="宋体" w:hAnsi="宋体" w:cs="宋体"/>
          <w:highlight w:val="none"/>
          <w:lang w:bidi="ar"/>
        </w:rPr>
        <w:t>12、不同</w:t>
      </w:r>
      <w:r>
        <w:rPr>
          <w:rFonts w:hint="eastAsia" w:ascii="宋体" w:hAnsi="宋体" w:cs="宋体"/>
          <w:highlight w:val="none"/>
          <w:lang w:eastAsia="zh-CN" w:bidi="ar"/>
        </w:rPr>
        <w:t>供应商</w:t>
      </w:r>
      <w:r>
        <w:rPr>
          <w:rFonts w:hint="eastAsia" w:ascii="宋体" w:hAnsi="宋体" w:cs="宋体"/>
          <w:highlight w:val="none"/>
          <w:lang w:bidi="ar"/>
        </w:rPr>
        <w:t>的</w:t>
      </w:r>
      <w:r>
        <w:rPr>
          <w:rFonts w:hint="eastAsia" w:ascii="宋体" w:hAnsi="宋体" w:cs="宋体"/>
          <w:highlight w:val="none"/>
          <w:lang w:eastAsia="zh-CN" w:bidi="ar"/>
        </w:rPr>
        <w:t>投标文件</w:t>
      </w:r>
      <w:r>
        <w:rPr>
          <w:rFonts w:hint="eastAsia" w:ascii="宋体" w:hAnsi="宋体" w:cs="宋体"/>
          <w:highlight w:val="none"/>
          <w:lang w:bidi="ar"/>
        </w:rPr>
        <w:t>出自同一终端设备或在相同Internet主机分配地址（相同IP地址）网上报名投标的作无效标处理。</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宋体"/>
          <w:kern w:val="0"/>
          <w:highlight w:val="none"/>
        </w:rPr>
      </w:pPr>
      <w:r>
        <w:rPr>
          <w:rFonts w:hint="eastAsia" w:ascii="宋体" w:hAnsi="宋体" w:cs="宋体"/>
          <w:kern w:val="0"/>
          <w:highlight w:val="none"/>
          <w:lang w:bidi="ar"/>
        </w:rPr>
        <w:t>13、本文件未及事项，在签订合同时供需及使用方友好商定。</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textAlignment w:val="auto"/>
        <w:rPr>
          <w:rFonts w:ascii="宋体" w:hAnsi="宋体" w:cs="宋体"/>
          <w:kern w:val="0"/>
          <w:highlight w:val="none"/>
          <w:lang w:bidi="ar"/>
        </w:rPr>
      </w:pPr>
      <w:r>
        <w:rPr>
          <w:rFonts w:hint="eastAsia" w:ascii="宋体" w:hAnsi="宋体" w:cs="宋体"/>
          <w:kern w:val="0"/>
          <w:highlight w:val="none"/>
          <w:lang w:bidi="ar"/>
        </w:rPr>
        <w:t>14、本招标文件解释权归招标方。</w:t>
      </w:r>
    </w:p>
    <w:p>
      <w:pPr>
        <w:pStyle w:val="2"/>
        <w:rPr>
          <w:rFonts w:ascii="宋体" w:hAnsi="宋体" w:cs="宋体"/>
          <w:highlight w:val="none"/>
        </w:rPr>
      </w:pPr>
    </w:p>
    <w:p>
      <w:pPr>
        <w:pStyle w:val="45"/>
        <w:rPr>
          <w:rFonts w:hint="eastAsia" w:ascii="宋体" w:hAnsi="宋体" w:cs="宋体"/>
          <w:highlight w:val="none"/>
        </w:rPr>
      </w:pPr>
      <w:r>
        <w:rPr>
          <w:rFonts w:hint="eastAsia" w:ascii="宋体" w:hAnsi="宋体" w:cs="宋体"/>
          <w:highlight w:val="none"/>
          <w:lang w:bidi="ar"/>
        </w:rPr>
        <w:t xml:space="preserve">           </w:t>
      </w:r>
      <w:r>
        <w:rPr>
          <w:rFonts w:hint="eastAsia" w:ascii="宋体" w:hAnsi="宋体" w:cs="宋体"/>
          <w:highlight w:val="none"/>
        </w:rPr>
        <w:br w:type="page"/>
      </w:r>
      <w:bookmarkStart w:id="87" w:name="_Toc23761"/>
      <w:r>
        <w:rPr>
          <w:rFonts w:hint="eastAsia" w:ascii="宋体" w:hAnsi="宋体" w:cs="宋体"/>
          <w:highlight w:val="none"/>
        </w:rPr>
        <w:t>第四章 采购需求</w:t>
      </w:r>
      <w:bookmarkEnd w:id="87"/>
      <w:r>
        <w:rPr>
          <w:rFonts w:hint="eastAsia" w:ascii="宋体" w:hAnsi="宋体" w:cs="宋体"/>
          <w:highlight w:val="none"/>
        </w:rPr>
        <w:t xml:space="preserve"> </w:t>
      </w:r>
    </w:p>
    <w:p>
      <w:pPr>
        <w:pStyle w:val="26"/>
        <w:numPr>
          <w:ilvl w:val="0"/>
          <w:numId w:val="15"/>
        </w:numPr>
        <w:spacing w:before="0" w:beforeLines="0" w:after="0" w:afterLines="0" w:line="360" w:lineRule="auto"/>
        <w:jc w:val="center"/>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lang w:val="en-US" w:eastAsia="zh-CN"/>
        </w:rPr>
        <w:t>商务需求</w:t>
      </w:r>
    </w:p>
    <w:p>
      <w:pPr>
        <w:widowControl w:val="0"/>
        <w:numPr>
          <w:ilvl w:val="0"/>
          <w:numId w:val="0"/>
        </w:numPr>
        <w:jc w:val="both"/>
        <w:rPr>
          <w:rFonts w:hint="default"/>
          <w:highlight w:val="none"/>
          <w:lang w:val="en-US" w:eastAsia="zh-CN"/>
        </w:rPr>
      </w:pPr>
    </w:p>
    <w:tbl>
      <w:tblPr>
        <w:tblStyle w:val="48"/>
        <w:tblW w:w="9147" w:type="dxa"/>
        <w:jc w:val="center"/>
        <w:tblLayout w:type="fixed"/>
        <w:tblCellMar>
          <w:top w:w="0" w:type="dxa"/>
          <w:left w:w="0" w:type="dxa"/>
          <w:bottom w:w="0" w:type="dxa"/>
          <w:right w:w="0" w:type="dxa"/>
        </w:tblCellMar>
      </w:tblPr>
      <w:tblGrid>
        <w:gridCol w:w="2151"/>
        <w:gridCol w:w="6996"/>
      </w:tblGrid>
      <w:tr>
        <w:tblPrEx>
          <w:tblCellMar>
            <w:top w:w="0" w:type="dxa"/>
            <w:left w:w="0" w:type="dxa"/>
            <w:bottom w:w="0" w:type="dxa"/>
            <w:right w:w="0" w:type="dxa"/>
          </w:tblCellMar>
        </w:tblPrEx>
        <w:trPr>
          <w:trHeight w:val="567" w:hRule="atLeast"/>
          <w:jc w:val="center"/>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116"/>
              <w:keepNext w:val="0"/>
              <w:keepLines w:val="0"/>
              <w:pageBreakBefore w:val="0"/>
              <w:widowControl w:val="0"/>
              <w:kinsoku w:val="0"/>
              <w:wordWrap/>
              <w:overflowPunct w:val="0"/>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项目</w:t>
            </w:r>
          </w:p>
        </w:tc>
        <w:tc>
          <w:tcPr>
            <w:tcW w:w="6996" w:type="dxa"/>
            <w:tcBorders>
              <w:top w:val="single" w:color="000000" w:sz="4" w:space="0"/>
              <w:left w:val="single" w:color="000000" w:sz="4" w:space="0"/>
              <w:bottom w:val="single" w:color="000000" w:sz="4" w:space="0"/>
              <w:right w:val="single" w:color="000000" w:sz="4" w:space="0"/>
            </w:tcBorders>
            <w:noWrap w:val="0"/>
            <w:vAlign w:val="center"/>
          </w:tcPr>
          <w:p>
            <w:pPr>
              <w:pStyle w:val="116"/>
              <w:keepNext w:val="0"/>
              <w:keepLines w:val="0"/>
              <w:pageBreakBefore w:val="0"/>
              <w:widowControl w:val="0"/>
              <w:kinsoku w:val="0"/>
              <w:wordWrap/>
              <w:overflowPunct w:val="0"/>
              <w:topLinePunct w:val="0"/>
              <w:autoSpaceDE w:val="0"/>
              <w:autoSpaceDN w:val="0"/>
              <w:bidi w:val="0"/>
              <w:adjustRightInd w:val="0"/>
              <w:snapToGrid w:val="0"/>
              <w:spacing w:line="360" w:lineRule="auto"/>
              <w:ind w:left="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招标要求</w:t>
            </w:r>
          </w:p>
        </w:tc>
      </w:tr>
      <w:tr>
        <w:tblPrEx>
          <w:tblCellMar>
            <w:top w:w="0" w:type="dxa"/>
            <w:left w:w="0" w:type="dxa"/>
            <w:bottom w:w="0" w:type="dxa"/>
            <w:right w:w="0" w:type="dxa"/>
          </w:tblCellMar>
        </w:tblPrEx>
        <w:trPr>
          <w:trHeight w:val="910" w:hRule="atLeast"/>
          <w:jc w:val="center"/>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116"/>
              <w:keepNext w:val="0"/>
              <w:keepLines w:val="0"/>
              <w:pageBreakBefore w:val="0"/>
              <w:widowControl w:val="0"/>
              <w:kinsoku w:val="0"/>
              <w:wordWrap/>
              <w:overflowPunct w:val="0"/>
              <w:topLinePunct w:val="0"/>
              <w:bidi w:val="0"/>
              <w:adjustRightInd w:val="0"/>
              <w:snapToGrid w:val="0"/>
              <w:spacing w:line="360" w:lineRule="auto"/>
              <w:ind w:left="0" w:leftChars="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eastAsia="zh-CN"/>
              </w:rPr>
              <w:t>合同履约期限</w:t>
            </w:r>
          </w:p>
        </w:tc>
        <w:tc>
          <w:tcPr>
            <w:tcW w:w="6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0"/>
                <w:w w:val="100"/>
                <w:sz w:val="21"/>
                <w:szCs w:val="21"/>
                <w:highlight w:val="none"/>
                <w:lang w:val="en-US" w:eastAsia="zh-CN"/>
              </w:rPr>
              <w:t>自合同签订之日起至2023年12月31日止（具体每批次出行时间以采购人要求为准）</w:t>
            </w:r>
            <w:r>
              <w:rPr>
                <w:rFonts w:hint="eastAsia" w:asciiTheme="minorEastAsia" w:hAnsiTheme="minorEastAsia" w:eastAsiaTheme="minorEastAsia" w:cstheme="minorEastAsia"/>
                <w:i w:val="0"/>
                <w:caps w:val="0"/>
                <w:color w:val="auto"/>
                <w:spacing w:val="0"/>
                <w:sz w:val="21"/>
                <w:szCs w:val="21"/>
                <w:highlight w:val="none"/>
                <w:shd w:val="clear" w:color="auto" w:fill="FFFFFF"/>
                <w:lang w:val="en-US" w:eastAsia="zh-CN"/>
              </w:rPr>
              <w:t>。</w:t>
            </w:r>
          </w:p>
        </w:tc>
      </w:tr>
      <w:tr>
        <w:tblPrEx>
          <w:tblCellMar>
            <w:top w:w="0" w:type="dxa"/>
            <w:left w:w="0" w:type="dxa"/>
            <w:bottom w:w="0" w:type="dxa"/>
            <w:right w:w="0" w:type="dxa"/>
          </w:tblCellMar>
        </w:tblPrEx>
        <w:trPr>
          <w:trHeight w:val="2950" w:hRule="atLeast"/>
          <w:jc w:val="center"/>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★付款方式</w:t>
            </w:r>
          </w:p>
        </w:tc>
        <w:tc>
          <w:tcPr>
            <w:tcW w:w="6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36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合同</w:t>
            </w:r>
            <w:r>
              <w:rPr>
                <w:rFonts w:hint="eastAsia" w:asciiTheme="minorEastAsia" w:hAnsiTheme="minorEastAsia" w:eastAsiaTheme="minorEastAsia" w:cstheme="minorEastAsia"/>
                <w:color w:val="auto"/>
                <w:sz w:val="21"/>
                <w:szCs w:val="21"/>
                <w:highlight w:val="none"/>
                <w:lang w:eastAsia="zh-CN"/>
              </w:rPr>
              <w:t>签订且</w:t>
            </w:r>
            <w:r>
              <w:rPr>
                <w:rFonts w:hint="eastAsia" w:asciiTheme="minorEastAsia" w:hAnsiTheme="minorEastAsia" w:eastAsiaTheme="minorEastAsia" w:cstheme="minorEastAsia"/>
                <w:color w:val="auto"/>
                <w:sz w:val="21"/>
                <w:szCs w:val="21"/>
                <w:highlight w:val="none"/>
              </w:rPr>
              <w:t>具备实施条件后</w:t>
            </w:r>
            <w:r>
              <w:rPr>
                <w:rFonts w:hint="eastAsia" w:asciiTheme="minorEastAsia" w:hAnsiTheme="minorEastAsia" w:eastAsiaTheme="minorEastAsia" w:cstheme="minorEastAsia"/>
                <w:color w:val="auto"/>
                <w:sz w:val="21"/>
                <w:szCs w:val="21"/>
                <w:highlight w:val="none"/>
                <w:lang w:eastAsia="zh-CN"/>
              </w:rPr>
              <w:t>，采购人于</w:t>
            </w:r>
            <w:r>
              <w:rPr>
                <w:rFonts w:hint="eastAsia" w:asciiTheme="minorEastAsia" w:hAnsiTheme="minorEastAsia" w:eastAsiaTheme="minorEastAsia" w:cstheme="minorEastAsia"/>
                <w:color w:val="auto"/>
                <w:sz w:val="21"/>
                <w:szCs w:val="21"/>
                <w:highlight w:val="none"/>
              </w:rPr>
              <w:t>7个工作日内支付</w:t>
            </w:r>
            <w:r>
              <w:rPr>
                <w:rFonts w:hint="eastAsia" w:asciiTheme="minorEastAsia" w:hAnsiTheme="minorEastAsia" w:eastAsiaTheme="minorEastAsia" w:cstheme="minorEastAsia"/>
                <w:color w:val="auto"/>
                <w:sz w:val="21"/>
                <w:szCs w:val="21"/>
                <w:highlight w:val="none"/>
                <w:lang w:eastAsia="zh-CN"/>
              </w:rPr>
              <w:t>暂定合同总价的</w:t>
            </w:r>
            <w:r>
              <w:rPr>
                <w:rFonts w:hint="eastAsia" w:asciiTheme="minorEastAsia" w:hAnsiTheme="minorEastAsia" w:eastAsiaTheme="minorEastAsia" w:cstheme="minorEastAsia"/>
                <w:color w:val="auto"/>
                <w:sz w:val="21"/>
                <w:szCs w:val="21"/>
                <w:highlight w:val="none"/>
                <w:lang w:val="en-US" w:eastAsia="zh-CN"/>
              </w:rPr>
              <w:t>40%作为预付款</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（成交供应商于合同签订前书面承诺放弃预付款或降低预付款支付比例的，可不适用本条款）</w:t>
            </w:r>
          </w:p>
          <w:p>
            <w:pPr>
              <w:keepNext w:val="0"/>
              <w:keepLines w:val="0"/>
              <w:pageBreakBefore w:val="0"/>
              <w:widowControl w:val="0"/>
              <w:numPr>
                <w:ilvl w:val="0"/>
                <w:numId w:val="0"/>
              </w:numPr>
              <w:tabs>
                <w:tab w:val="left" w:pos="332"/>
              </w:tabs>
              <w:kinsoku/>
              <w:wordWrap/>
              <w:topLinePunct w:val="0"/>
              <w:autoSpaceDE/>
              <w:autoSpaceDN/>
              <w:bidi w:val="0"/>
              <w:adjustRightInd w:val="0"/>
              <w:snapToGrid w:val="0"/>
              <w:spacing w:beforeAutospacing="0" w:afterAutospacing="0" w:line="36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在完成</w:t>
            </w:r>
            <w:r>
              <w:rPr>
                <w:rFonts w:hint="eastAsia" w:asciiTheme="minorEastAsia" w:hAnsiTheme="minorEastAsia" w:eastAsiaTheme="minorEastAsia" w:cstheme="minorEastAsia"/>
                <w:color w:val="auto"/>
                <w:sz w:val="21"/>
                <w:szCs w:val="21"/>
                <w:highlight w:val="none"/>
                <w:lang w:eastAsia="zh-CN"/>
              </w:rPr>
              <w:t>全部</w:t>
            </w:r>
            <w:r>
              <w:rPr>
                <w:rFonts w:hint="eastAsia" w:asciiTheme="minorEastAsia" w:hAnsiTheme="minorEastAsia" w:eastAsiaTheme="minorEastAsia" w:cstheme="minorEastAsia"/>
                <w:color w:val="auto"/>
                <w:sz w:val="21"/>
                <w:szCs w:val="21"/>
                <w:highlight w:val="none"/>
              </w:rPr>
              <w:t>职工疗休养承办业务后，无有效投诉和质量问题，凭正规有效发票原件、旅游合同、名单、身份证及保险复印件，经</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审核后统一结算，</w:t>
            </w:r>
            <w:r>
              <w:rPr>
                <w:rFonts w:hint="eastAsia" w:asciiTheme="minorEastAsia" w:hAnsiTheme="minorEastAsia" w:eastAsiaTheme="minorEastAsia" w:cstheme="minorEastAsia"/>
                <w:color w:val="auto"/>
                <w:sz w:val="21"/>
                <w:szCs w:val="21"/>
                <w:highlight w:val="none"/>
                <w:lang w:eastAsia="zh-CN"/>
              </w:rPr>
              <w:t>采购人确认无误，</w:t>
            </w:r>
            <w:r>
              <w:rPr>
                <w:rFonts w:hint="eastAsia" w:asciiTheme="minorEastAsia" w:hAnsiTheme="minorEastAsia" w:eastAsiaTheme="minorEastAsia" w:cstheme="minorEastAsia"/>
                <w:color w:val="auto"/>
                <w:sz w:val="21"/>
                <w:szCs w:val="21"/>
                <w:highlight w:val="none"/>
                <w:lang w:val="en-US" w:eastAsia="zh-CN"/>
              </w:rPr>
              <w:t>7个工作日内</w:t>
            </w:r>
            <w:r>
              <w:rPr>
                <w:rFonts w:hint="eastAsia" w:asciiTheme="minorEastAsia" w:hAnsiTheme="minorEastAsia" w:eastAsiaTheme="minorEastAsia" w:cstheme="minorEastAsia"/>
                <w:color w:val="auto"/>
                <w:sz w:val="21"/>
                <w:szCs w:val="21"/>
                <w:highlight w:val="none"/>
              </w:rPr>
              <w:t>一次性</w:t>
            </w:r>
            <w:r>
              <w:rPr>
                <w:rFonts w:hint="eastAsia" w:asciiTheme="minorEastAsia" w:hAnsiTheme="minorEastAsia" w:eastAsiaTheme="minorEastAsia" w:cstheme="minorEastAsia"/>
                <w:color w:val="auto"/>
                <w:sz w:val="21"/>
                <w:szCs w:val="21"/>
                <w:highlight w:val="none"/>
                <w:lang w:eastAsia="zh-CN"/>
              </w:rPr>
              <w:t>支付剩余合同款项；</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结算价=出行</w:t>
            </w:r>
            <w:r>
              <w:rPr>
                <w:rFonts w:hint="eastAsia" w:asciiTheme="minorEastAsia" w:hAnsiTheme="minorEastAsia" w:eastAsiaTheme="minorEastAsia" w:cstheme="minorEastAsia"/>
                <w:color w:val="auto"/>
                <w:sz w:val="21"/>
                <w:szCs w:val="21"/>
                <w:highlight w:val="none"/>
                <w:lang w:val="en-US" w:eastAsia="zh-CN"/>
              </w:rPr>
              <w:t>线路单价</w:t>
            </w:r>
            <w:r>
              <w:rPr>
                <w:rFonts w:hint="eastAsia" w:asciiTheme="minorEastAsia" w:hAnsiTheme="minorEastAsia" w:eastAsiaTheme="minorEastAsia" w:cstheme="minorEastAsia"/>
                <w:color w:val="auto"/>
                <w:sz w:val="21"/>
                <w:szCs w:val="21"/>
                <w:highlight w:val="none"/>
                <w:lang w:eastAsia="zh-CN"/>
              </w:rPr>
              <w:t>×实际出行人数；疗休养费用按单位职工每人的定额执行，超定额标准支出部分由参加疗休养的职工个人承担。</w:t>
            </w:r>
          </w:p>
        </w:tc>
      </w:tr>
      <w:tr>
        <w:tblPrEx>
          <w:tblCellMar>
            <w:top w:w="0" w:type="dxa"/>
            <w:left w:w="0" w:type="dxa"/>
            <w:bottom w:w="0" w:type="dxa"/>
            <w:right w:w="0" w:type="dxa"/>
          </w:tblCellMar>
        </w:tblPrEx>
        <w:trPr>
          <w:trHeight w:val="3140" w:hRule="atLeast"/>
          <w:jc w:val="center"/>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★履约保证金</w:t>
            </w:r>
          </w:p>
        </w:tc>
        <w:tc>
          <w:tcPr>
            <w:tcW w:w="6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360" w:lineRule="auto"/>
              <w:ind w:left="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履约保证金金额（人民币）：</w:t>
            </w:r>
            <w:r>
              <w:rPr>
                <w:rFonts w:hint="eastAsia" w:asciiTheme="minorEastAsia" w:hAnsiTheme="minorEastAsia" w:eastAsiaTheme="minorEastAsia" w:cstheme="minorEastAsia"/>
                <w:b/>
                <w:bCs w:val="0"/>
                <w:color w:val="auto"/>
                <w:sz w:val="21"/>
                <w:szCs w:val="21"/>
                <w:highlight w:val="none"/>
                <w:lang w:val="en-US" w:eastAsia="zh-CN"/>
              </w:rPr>
              <w:t>合同金额的1%</w:t>
            </w:r>
            <w:r>
              <w:rPr>
                <w:rFonts w:hint="eastAsia" w:asciiTheme="minorEastAsia" w:hAnsiTheme="minorEastAsia" w:eastAsiaTheme="minorEastAsia" w:cstheme="minorEastAsia"/>
                <w:b w:val="0"/>
                <w:bCs/>
                <w:color w:val="auto"/>
                <w:sz w:val="21"/>
                <w:szCs w:val="21"/>
                <w:highlight w:val="none"/>
              </w:rPr>
              <w:t>；</w:t>
            </w:r>
          </w:p>
          <w:p>
            <w:pPr>
              <w:keepNext w:val="0"/>
              <w:keepLines w:val="0"/>
              <w:pageBreakBefore w:val="0"/>
              <w:widowControl w:val="0"/>
              <w:wordWrap/>
              <w:topLinePunct w:val="0"/>
              <w:bidi w:val="0"/>
              <w:adjustRightInd w:val="0"/>
              <w:snapToGrid w:val="0"/>
              <w:spacing w:line="360" w:lineRule="auto"/>
              <w:ind w:left="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履约保证金形式：银行汇票（电汇）、支票（仅限于使用宁波大市区范围内的银行开具的支票）、保函等采购人认可的形式；</w:t>
            </w:r>
          </w:p>
          <w:p>
            <w:pPr>
              <w:keepNext w:val="0"/>
              <w:keepLines w:val="0"/>
              <w:pageBreakBefore w:val="0"/>
              <w:widowControl w:val="0"/>
              <w:wordWrap/>
              <w:topLinePunct w:val="0"/>
              <w:bidi w:val="0"/>
              <w:adjustRightInd w:val="0"/>
              <w:snapToGrid w:val="0"/>
              <w:spacing w:line="360" w:lineRule="auto"/>
              <w:ind w:left="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提交时间：合同签订后10个工作日内；</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b w:val="0"/>
                <w:bCs w:val="0"/>
                <w:color w:val="auto"/>
                <w:w w:val="100"/>
                <w:sz w:val="21"/>
                <w:szCs w:val="21"/>
                <w:highlight w:val="none"/>
                <w:lang w:eastAsia="zh-CN"/>
              </w:rPr>
            </w:pPr>
            <w:r>
              <w:rPr>
                <w:rFonts w:hint="eastAsia" w:asciiTheme="minorEastAsia" w:hAnsiTheme="minorEastAsia" w:eastAsiaTheme="minorEastAsia" w:cstheme="minorEastAsia"/>
                <w:bCs/>
                <w:color w:val="auto"/>
                <w:sz w:val="21"/>
                <w:szCs w:val="21"/>
                <w:highlight w:val="none"/>
              </w:rPr>
              <w:t>履约保证金的退还：</w:t>
            </w:r>
            <w:r>
              <w:rPr>
                <w:rFonts w:hint="eastAsia" w:asciiTheme="minorEastAsia" w:hAnsiTheme="minorEastAsia" w:eastAsiaTheme="minorEastAsia" w:cstheme="minorEastAsia"/>
                <w:color w:val="auto"/>
                <w:sz w:val="21"/>
                <w:szCs w:val="21"/>
                <w:highlight w:val="none"/>
              </w:rPr>
              <w:t>完成</w:t>
            </w:r>
            <w:r>
              <w:rPr>
                <w:rFonts w:hint="eastAsia" w:asciiTheme="minorEastAsia" w:hAnsiTheme="minorEastAsia" w:eastAsiaTheme="minorEastAsia" w:cstheme="minorEastAsia"/>
                <w:color w:val="auto"/>
                <w:sz w:val="21"/>
                <w:szCs w:val="21"/>
                <w:highlight w:val="none"/>
                <w:lang w:eastAsia="zh-CN"/>
              </w:rPr>
              <w:t>全部</w:t>
            </w:r>
            <w:r>
              <w:rPr>
                <w:rFonts w:hint="eastAsia" w:asciiTheme="minorEastAsia" w:hAnsiTheme="minorEastAsia" w:eastAsiaTheme="minorEastAsia" w:cstheme="minorEastAsia"/>
                <w:color w:val="auto"/>
                <w:sz w:val="21"/>
                <w:szCs w:val="21"/>
                <w:highlight w:val="none"/>
              </w:rPr>
              <w:t>职工疗休养承办业务</w:t>
            </w:r>
            <w:r>
              <w:rPr>
                <w:rFonts w:hint="eastAsia" w:asciiTheme="minorEastAsia" w:hAnsiTheme="minorEastAsia" w:eastAsiaTheme="minorEastAsia" w:cstheme="minorEastAsia"/>
                <w:color w:val="auto"/>
                <w:sz w:val="21"/>
                <w:szCs w:val="21"/>
                <w:highlight w:val="none"/>
                <w:lang w:val="en-US" w:bidi="ar-SA"/>
              </w:rPr>
              <w:t>后十日内退还</w:t>
            </w:r>
            <w:r>
              <w:rPr>
                <w:rFonts w:hint="eastAsia" w:asciiTheme="minorEastAsia" w:hAnsiTheme="minorEastAsia" w:eastAsiaTheme="minorEastAsia" w:cstheme="minorEastAsia"/>
                <w:color w:val="auto"/>
                <w:sz w:val="21"/>
                <w:szCs w:val="21"/>
                <w:highlight w:val="none"/>
                <w:lang w:val="en-US"/>
              </w:rPr>
              <w:t>，但如</w:t>
            </w:r>
            <w:r>
              <w:rPr>
                <w:rFonts w:hint="eastAsia" w:asciiTheme="minorEastAsia" w:hAnsiTheme="minorEastAsia" w:eastAsiaTheme="minorEastAsia" w:cstheme="minorEastAsia"/>
                <w:b w:val="0"/>
                <w:bCs/>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lang w:val="en-US"/>
              </w:rPr>
              <w:t>未履行或未完全履行合同规定的任何义务，给</w:t>
            </w:r>
            <w:r>
              <w:rPr>
                <w:rFonts w:hint="eastAsia" w:asciiTheme="minorEastAsia" w:hAnsiTheme="minorEastAsia" w:eastAsiaTheme="minorEastAsia" w:cstheme="minorEastAsia"/>
                <w:b w:val="0"/>
                <w:bCs/>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val="en-US"/>
              </w:rPr>
              <w:t>造成损失的，</w:t>
            </w:r>
            <w:r>
              <w:rPr>
                <w:rFonts w:hint="eastAsia" w:asciiTheme="minorEastAsia" w:hAnsiTheme="minorEastAsia" w:eastAsiaTheme="minorEastAsia" w:cstheme="minorEastAsia"/>
                <w:b w:val="0"/>
                <w:bCs/>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val="en-US"/>
              </w:rPr>
              <w:t>有权在其提交的履约保证金中获得相应赔偿，不足部分</w:t>
            </w:r>
            <w:r>
              <w:rPr>
                <w:rFonts w:hint="eastAsia" w:asciiTheme="minorEastAsia" w:hAnsiTheme="minorEastAsia" w:eastAsiaTheme="minorEastAsia" w:cstheme="minorEastAsia"/>
                <w:b w:val="0"/>
                <w:bCs/>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val="en-US"/>
              </w:rPr>
              <w:t>有权继续向</w:t>
            </w:r>
            <w:r>
              <w:rPr>
                <w:rFonts w:hint="eastAsia" w:asciiTheme="minorEastAsia" w:hAnsiTheme="minorEastAsia" w:eastAsiaTheme="minorEastAsia" w:cstheme="minorEastAsia"/>
                <w:b w:val="0"/>
                <w:bCs/>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lang w:val="en-US"/>
              </w:rPr>
              <w:t>追偿。</w:t>
            </w:r>
          </w:p>
        </w:tc>
      </w:tr>
      <w:tr>
        <w:tblPrEx>
          <w:tblCellMar>
            <w:top w:w="0" w:type="dxa"/>
            <w:left w:w="0" w:type="dxa"/>
            <w:bottom w:w="0" w:type="dxa"/>
            <w:right w:w="0" w:type="dxa"/>
          </w:tblCellMar>
        </w:tblPrEx>
        <w:trPr>
          <w:trHeight w:val="722" w:hRule="atLeast"/>
          <w:jc w:val="center"/>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签订合同时间</w:t>
            </w:r>
          </w:p>
        </w:tc>
        <w:tc>
          <w:tcPr>
            <w:tcW w:w="6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360" w:lineRule="auto"/>
              <w:ind w:left="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中标通知书发出后30日内。</w:t>
            </w:r>
          </w:p>
        </w:tc>
      </w:tr>
      <w:tr>
        <w:trPr>
          <w:trHeight w:val="642" w:hRule="atLeast"/>
          <w:jc w:val="center"/>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投标</w:t>
            </w:r>
            <w:r>
              <w:rPr>
                <w:rFonts w:hint="eastAsia" w:asciiTheme="minorEastAsia" w:hAnsiTheme="minorEastAsia" w:eastAsiaTheme="minorEastAsia" w:cstheme="minorEastAsia"/>
                <w:b w:val="0"/>
                <w:bCs/>
                <w:color w:val="auto"/>
                <w:sz w:val="21"/>
                <w:szCs w:val="21"/>
                <w:highlight w:val="none"/>
                <w:lang w:eastAsia="zh-CN"/>
              </w:rPr>
              <w:t>文件</w:t>
            </w:r>
            <w:r>
              <w:rPr>
                <w:rFonts w:hint="eastAsia" w:asciiTheme="minorEastAsia" w:hAnsiTheme="minorEastAsia" w:eastAsiaTheme="minorEastAsia" w:cstheme="minorEastAsia"/>
                <w:b w:val="0"/>
                <w:bCs/>
                <w:color w:val="auto"/>
                <w:sz w:val="21"/>
                <w:szCs w:val="21"/>
                <w:highlight w:val="none"/>
              </w:rPr>
              <w:t>有效期</w:t>
            </w:r>
          </w:p>
        </w:tc>
        <w:tc>
          <w:tcPr>
            <w:tcW w:w="6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360" w:lineRule="auto"/>
              <w:ind w:left="0"/>
              <w:jc w:val="both"/>
              <w:textAlignment w:val="auto"/>
              <w:rPr>
                <w:rFonts w:hint="eastAsia" w:eastAsia="宋体" w:asciiTheme="minorEastAsia" w:hAnsiTheme="minorEastAsia" w:cstheme="minorEastAsia"/>
                <w:color w:val="auto"/>
                <w:sz w:val="21"/>
                <w:szCs w:val="21"/>
                <w:highlight w:val="none"/>
                <w:lang w:eastAsia="zh-CN"/>
              </w:rPr>
            </w:pPr>
            <w:r>
              <w:rPr>
                <w:rFonts w:hint="eastAsia"/>
                <w:color w:val="auto"/>
                <w:szCs w:val="21"/>
                <w:highlight w:val="none"/>
              </w:rPr>
              <w:t>开标之日起90日历天</w:t>
            </w:r>
            <w:r>
              <w:rPr>
                <w:rFonts w:hint="eastAsia"/>
                <w:color w:val="auto"/>
                <w:szCs w:val="21"/>
                <w:highlight w:val="none"/>
                <w:lang w:eastAsia="zh-CN"/>
              </w:rPr>
              <w:t>。</w:t>
            </w:r>
          </w:p>
        </w:tc>
      </w:tr>
    </w:tbl>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eastAsia" w:ascii="宋体" w:hAnsi="宋体" w:cs="宋体"/>
          <w:highlight w:val="none"/>
          <w:lang w:val="en-US" w:eastAsia="zh-CN"/>
        </w:rPr>
      </w:pPr>
      <w:r>
        <w:rPr>
          <w:rFonts w:hint="eastAsia" w:ascii="宋体" w:hAnsi="宋体" w:cs="宋体"/>
          <w:highlight w:val="none"/>
          <w:lang w:val="en-US" w:eastAsia="zh-CN"/>
        </w:rPr>
        <w:br w:type="page"/>
      </w:r>
    </w:p>
    <w:p>
      <w:pPr>
        <w:pStyle w:val="26"/>
        <w:spacing w:before="0" w:beforeLines="0" w:after="0" w:afterLines="0" w:line="360" w:lineRule="auto"/>
        <w:jc w:val="center"/>
        <w:rPr>
          <w:rFonts w:hint="eastAsia" w:ascii="宋体" w:hAnsi="宋体" w:eastAsia="宋体" w:cs="宋体"/>
          <w:b/>
          <w:bCs/>
          <w:sz w:val="24"/>
          <w:szCs w:val="32"/>
          <w:highlight w:val="none"/>
        </w:rPr>
      </w:pPr>
      <w:r>
        <w:rPr>
          <w:rFonts w:hint="eastAsia" w:ascii="宋体" w:hAnsi="宋体" w:eastAsia="宋体" w:cs="宋体"/>
          <w:b/>
          <w:bCs/>
          <w:sz w:val="28"/>
          <w:szCs w:val="36"/>
          <w:highlight w:val="none"/>
          <w:lang w:val="en-US" w:eastAsia="zh-CN"/>
        </w:rPr>
        <w:t>第二部分 技术需求</w:t>
      </w:r>
    </w:p>
    <w:p>
      <w:pPr>
        <w:rPr>
          <w:rFonts w:hint="eastAsia" w:ascii="宋体" w:hAnsi="宋体" w:cs="宋体"/>
          <w:color w:val="000000"/>
          <w:szCs w:val="21"/>
          <w:highlight w:val="none"/>
        </w:rPr>
      </w:pPr>
    </w:p>
    <w:p>
      <w:pPr>
        <w:keepNext w:val="0"/>
        <w:keepLines w:val="0"/>
        <w:pageBreakBefore w:val="0"/>
        <w:kinsoku/>
        <w:wordWrap/>
        <w:overflowPunct/>
        <w:topLinePunct w:val="0"/>
        <w:bidi w:val="0"/>
        <w:adjustRightInd/>
        <w:snapToGrid/>
        <w:spacing w:line="360" w:lineRule="auto"/>
        <w:jc w:val="both"/>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b/>
          <w:color w:val="auto"/>
          <w:sz w:val="21"/>
          <w:szCs w:val="21"/>
          <w:highlight w:val="none"/>
        </w:rPr>
        <w:t>项目</w:t>
      </w:r>
      <w:r>
        <w:rPr>
          <w:rFonts w:hint="eastAsia" w:asciiTheme="minorEastAsia" w:hAnsiTheme="minorEastAsia" w:eastAsiaTheme="minorEastAsia" w:cstheme="minorEastAsia"/>
          <w:b/>
          <w:color w:val="auto"/>
          <w:sz w:val="21"/>
          <w:szCs w:val="21"/>
          <w:highlight w:val="none"/>
          <w:lang w:val="en-US" w:eastAsia="zh-CN"/>
        </w:rPr>
        <w:t>背景及概况</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为进一步满足广大职工对美好生活的需求，维护职工基本权利，激发广大职工的工作热情，严格落实</w:t>
      </w:r>
      <w:r>
        <w:rPr>
          <w:rFonts w:hint="eastAsia" w:asciiTheme="minorEastAsia" w:hAnsiTheme="minorEastAsia" w:eastAsiaTheme="minorEastAsia" w:cstheme="minorEastAsia"/>
          <w:color w:val="auto"/>
          <w:sz w:val="21"/>
          <w:szCs w:val="21"/>
          <w:highlight w:val="none"/>
          <w:lang w:val="en-US" w:eastAsia="zh-CN"/>
        </w:rPr>
        <w:t>宁波市</w:t>
      </w:r>
      <w:r>
        <w:rPr>
          <w:rFonts w:hint="eastAsia" w:asciiTheme="minorEastAsia" w:hAnsiTheme="minorEastAsia" w:eastAsiaTheme="minorEastAsia" w:cstheme="minorEastAsia"/>
          <w:color w:val="auto"/>
          <w:sz w:val="21"/>
          <w:szCs w:val="21"/>
          <w:highlight w:val="none"/>
        </w:rPr>
        <w:t>总工会《关于</w:t>
      </w:r>
      <w:r>
        <w:rPr>
          <w:rFonts w:hint="eastAsia" w:asciiTheme="minorEastAsia" w:hAnsiTheme="minorEastAsia" w:eastAsiaTheme="minorEastAsia" w:cstheme="minorEastAsia"/>
          <w:color w:val="auto"/>
          <w:sz w:val="21"/>
          <w:szCs w:val="21"/>
          <w:highlight w:val="none"/>
          <w:lang w:val="en-US" w:eastAsia="zh-CN"/>
        </w:rPr>
        <w:t>调整宁波市职工疗休养政策的通知</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甬</w:t>
      </w:r>
      <w:r>
        <w:rPr>
          <w:rFonts w:hint="eastAsia" w:asciiTheme="minorEastAsia" w:hAnsiTheme="minorEastAsia" w:eastAsiaTheme="minorEastAsia" w:cstheme="minorEastAsia"/>
          <w:color w:val="auto"/>
          <w:sz w:val="21"/>
          <w:szCs w:val="21"/>
          <w:highlight w:val="none"/>
        </w:rPr>
        <w:t>总工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2021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33</w:t>
      </w:r>
      <w:r>
        <w:rPr>
          <w:rFonts w:hint="eastAsia" w:asciiTheme="minorEastAsia" w:hAnsiTheme="minorEastAsia" w:eastAsiaTheme="minorEastAsia" w:cstheme="minorEastAsia"/>
          <w:color w:val="auto"/>
          <w:sz w:val="21"/>
          <w:szCs w:val="21"/>
          <w:highlight w:val="none"/>
        </w:rPr>
        <w:t>号）文件规定。</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为进一步深化职工工作，依法保障和促进</w:t>
      </w:r>
      <w:r>
        <w:rPr>
          <w:rFonts w:hint="eastAsia" w:asciiTheme="minorEastAsia" w:hAnsiTheme="minorEastAsia" w:eastAsiaTheme="minorEastAsia" w:cstheme="minorEastAsia"/>
          <w:bCs/>
          <w:color w:val="auto"/>
          <w:sz w:val="21"/>
          <w:szCs w:val="21"/>
          <w:highlight w:val="none"/>
          <w:lang w:eastAsia="zh-CN"/>
        </w:rPr>
        <w:t>职工</w:t>
      </w:r>
      <w:r>
        <w:rPr>
          <w:rFonts w:hint="eastAsia" w:asciiTheme="minorEastAsia" w:hAnsiTheme="minorEastAsia" w:eastAsiaTheme="minorEastAsia" w:cstheme="minorEastAsia"/>
          <w:bCs/>
          <w:color w:val="auto"/>
          <w:sz w:val="21"/>
          <w:szCs w:val="21"/>
          <w:highlight w:val="none"/>
        </w:rPr>
        <w:t>人员身心健康发展，现决定开展</w:t>
      </w:r>
      <w:r>
        <w:rPr>
          <w:rFonts w:hint="eastAsia" w:asciiTheme="minorEastAsia" w:hAnsiTheme="minorEastAsia" w:eastAsiaTheme="minorEastAsia" w:cstheme="minorEastAsia"/>
          <w:bCs/>
          <w:color w:val="auto"/>
          <w:sz w:val="21"/>
          <w:szCs w:val="21"/>
          <w:highlight w:val="none"/>
          <w:lang w:eastAsia="zh-CN"/>
        </w:rPr>
        <w:t>职工</w:t>
      </w:r>
      <w:r>
        <w:rPr>
          <w:rFonts w:hint="eastAsia" w:asciiTheme="minorEastAsia" w:hAnsiTheme="minorEastAsia" w:eastAsiaTheme="minorEastAsia" w:cstheme="minorEastAsia"/>
          <w:bCs/>
          <w:color w:val="auto"/>
          <w:sz w:val="21"/>
          <w:szCs w:val="21"/>
          <w:highlight w:val="none"/>
        </w:rPr>
        <w:t>疗休养活动</w:t>
      </w:r>
      <w:r>
        <w:rPr>
          <w:rFonts w:hint="eastAsia" w:asciiTheme="minorEastAsia" w:hAnsiTheme="minorEastAsia" w:eastAsiaTheme="minorEastAsia" w:cstheme="minorEastAsia"/>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二、服务要求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2" w:firstLineChars="200"/>
        <w:jc w:val="both"/>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项目</w:t>
      </w:r>
      <w:r>
        <w:rPr>
          <w:rFonts w:hint="eastAsia" w:asciiTheme="minorEastAsia" w:hAnsiTheme="minorEastAsia" w:eastAsiaTheme="minorEastAsia" w:cstheme="minorEastAsia"/>
          <w:b/>
          <w:color w:val="auto"/>
          <w:sz w:val="21"/>
          <w:szCs w:val="21"/>
          <w:highlight w:val="none"/>
          <w:lang w:val="en-US" w:eastAsia="zh-CN"/>
        </w:rPr>
        <w:t>服务</w:t>
      </w:r>
      <w:r>
        <w:rPr>
          <w:rFonts w:hint="eastAsia" w:asciiTheme="minorEastAsia" w:hAnsiTheme="minorEastAsia" w:eastAsiaTheme="minorEastAsia" w:cstheme="minorEastAsia"/>
          <w:b/>
          <w:color w:val="auto"/>
          <w:sz w:val="21"/>
          <w:szCs w:val="21"/>
          <w:highlight w:val="none"/>
        </w:rPr>
        <w:t>对象及人数</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在职在岗员工参加</w:t>
      </w:r>
      <w:r>
        <w:rPr>
          <w:rFonts w:hint="eastAsia" w:asciiTheme="minorEastAsia" w:hAnsiTheme="minorEastAsia" w:eastAsiaTheme="minorEastAsia" w:cstheme="minorEastAsia"/>
          <w:color w:val="auto"/>
          <w:sz w:val="21"/>
          <w:szCs w:val="21"/>
          <w:highlight w:val="none"/>
        </w:rPr>
        <w:t>疗休养活动的人数约为</w:t>
      </w:r>
      <w:r>
        <w:rPr>
          <w:rFonts w:hint="eastAsia" w:asciiTheme="minorEastAsia" w:hAnsiTheme="minorEastAsia" w:eastAsiaTheme="minorEastAsia" w:cstheme="minorEastAsia"/>
          <w:color w:val="auto"/>
          <w:sz w:val="21"/>
          <w:szCs w:val="21"/>
          <w:highlight w:val="none"/>
          <w:lang w:val="en-US" w:eastAsia="zh-CN"/>
        </w:rPr>
        <w:t>150</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职工疗休养经费标准为3000元/人/年，经费超标准部分由职工个人承担。</w:t>
      </w:r>
      <w:r>
        <w:rPr>
          <w:rFonts w:hint="eastAsia" w:asciiTheme="minorEastAsia" w:hAnsiTheme="minorEastAsia" w:eastAsiaTheme="minorEastAsia" w:cstheme="minorEastAsia"/>
          <w:bCs/>
          <w:color w:val="auto"/>
          <w:sz w:val="21"/>
          <w:szCs w:val="21"/>
          <w:highlight w:val="none"/>
          <w:lang w:val="en-US" w:eastAsia="zh-CN"/>
        </w:rPr>
        <w:t>本项目费用标准固定不变，不因旅游旺季或淡季，出行人数的多少，或其他原因做调整。供应商须服从采购人的出行安排。</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2" w:firstLineChars="200"/>
        <w:jc w:val="both"/>
        <w:textAlignment w:val="baseline"/>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2、疗养路线</w:t>
      </w:r>
    </w:p>
    <w:tbl>
      <w:tblPr>
        <w:tblStyle w:val="48"/>
        <w:tblW w:w="55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977"/>
        <w:gridCol w:w="24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color w:val="auto"/>
                <w:szCs w:val="20"/>
                <w:highlight w:val="none"/>
                <w:lang w:eastAsia="zh-CN"/>
              </w:rPr>
              <w:t>疗养</w:t>
            </w:r>
            <w:r>
              <w:rPr>
                <w:rFonts w:hint="eastAsia" w:ascii="宋体" w:hAnsi="宋体" w:eastAsia="宋体" w:cs="宋体"/>
                <w:color w:val="auto"/>
                <w:szCs w:val="20"/>
                <w:highlight w:val="none"/>
                <w:lang w:val="en-US" w:eastAsia="zh-CN"/>
              </w:rPr>
              <w:t>路线</w:t>
            </w:r>
          </w:p>
        </w:tc>
        <w:tc>
          <w:tcPr>
            <w:tcW w:w="14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价格</w:t>
            </w:r>
          </w:p>
        </w:tc>
        <w:tc>
          <w:tcPr>
            <w:tcW w:w="12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zh-CN" w:eastAsia="zh-CN"/>
              </w:rPr>
              <w:t>行程天数</w:t>
            </w:r>
          </w:p>
        </w:tc>
        <w:tc>
          <w:tcPr>
            <w:tcW w:w="110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216" w:type="pct"/>
            <w:noWrap w:val="0"/>
            <w:vAlign w:val="center"/>
          </w:tcPr>
          <w:p>
            <w:pPr>
              <w:pStyle w:val="2"/>
              <w:keepNext w:val="0"/>
              <w:keepLines w:val="0"/>
              <w:pageBreakBefore w:val="0"/>
              <w:kinsoku/>
              <w:wordWrap/>
              <w:overflowPunct/>
              <w:topLinePunct w:val="0"/>
              <w:bidi w:val="0"/>
              <w:snapToGrid/>
              <w:spacing w:after="0"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泉州莆田（包括但不限于开元寺、轲壳厝、西街、清源山老君岩、湄洲岛、妈祖公园、崇武古城）</w:t>
            </w:r>
          </w:p>
        </w:tc>
        <w:tc>
          <w:tcPr>
            <w:tcW w:w="14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eastAsia="zh-CN"/>
              </w:rPr>
              <w:t>采用人民币3000元/人的固定报价；报价未按固定报价的其响应文件作无效处理</w:t>
            </w:r>
          </w:p>
        </w:tc>
        <w:tc>
          <w:tcPr>
            <w:tcW w:w="12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5天</w:t>
            </w:r>
          </w:p>
        </w:tc>
        <w:tc>
          <w:tcPr>
            <w:tcW w:w="110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提供详细方案供评审时打分，项目成交后，采购人可根据情况作适当调整。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216" w:type="pct"/>
            <w:noWrap w:val="0"/>
            <w:vAlign w:val="center"/>
          </w:tcPr>
          <w:p>
            <w:pPr>
              <w:pStyle w:val="2"/>
              <w:keepNext w:val="0"/>
              <w:keepLines w:val="0"/>
              <w:pageBreakBefore w:val="0"/>
              <w:kinsoku/>
              <w:wordWrap/>
              <w:overflowPunct/>
              <w:topLinePunct w:val="0"/>
              <w:bidi w:val="0"/>
              <w:snapToGrid/>
              <w:spacing w:after="0"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长春延边（包括但不限于长春伪皇宫长春、电影制片厂厂区、长白山北景区、图们口岸）</w:t>
            </w:r>
          </w:p>
        </w:tc>
        <w:tc>
          <w:tcPr>
            <w:tcW w:w="14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经费超标准部分由职工个人承担，超出部分根据成交供应商方案情况进行协商</w:t>
            </w:r>
          </w:p>
        </w:tc>
        <w:tc>
          <w:tcPr>
            <w:tcW w:w="12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5-9天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（不超过5个工作日）</w:t>
            </w:r>
          </w:p>
        </w:tc>
        <w:tc>
          <w:tcPr>
            <w:tcW w:w="110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16" w:type="pct"/>
            <w:noWrap w:val="0"/>
            <w:vAlign w:val="center"/>
          </w:tcPr>
          <w:p>
            <w:pPr>
              <w:pStyle w:val="2"/>
              <w:keepNext w:val="0"/>
              <w:keepLines w:val="0"/>
              <w:pageBreakBefore w:val="0"/>
              <w:kinsoku/>
              <w:wordWrap/>
              <w:overflowPunct/>
              <w:topLinePunct w:val="0"/>
              <w:bidi w:val="0"/>
              <w:snapToGrid/>
              <w:spacing w:after="0"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青海（包括但不限于塔尔寺、青海湖、茶卡盐湖、天峻石林）</w:t>
            </w:r>
          </w:p>
        </w:tc>
        <w:tc>
          <w:tcPr>
            <w:tcW w:w="14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经费超标准部分由职工个人承担，超出部分根据成交供应商方案情况进行协商</w:t>
            </w:r>
          </w:p>
        </w:tc>
        <w:tc>
          <w:tcPr>
            <w:tcW w:w="12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5-9天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（不超过5个工作日）</w:t>
            </w:r>
          </w:p>
        </w:tc>
        <w:tc>
          <w:tcPr>
            <w:tcW w:w="110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三、项目</w:t>
      </w:r>
      <w:r>
        <w:rPr>
          <w:rFonts w:hint="eastAsia" w:asciiTheme="minorEastAsia" w:hAnsiTheme="minorEastAsia" w:eastAsiaTheme="minorEastAsia" w:cstheme="minorEastAsia"/>
          <w:b/>
          <w:color w:val="auto"/>
          <w:sz w:val="21"/>
          <w:szCs w:val="21"/>
          <w:highlight w:val="none"/>
        </w:rPr>
        <w:t>要求</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3.1如果线路报名人数未达到最低组团标准（20人），供应商应及时进行调整或提出线路更改意见。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3.2职工参加疗休养必须按照政策规定旅游线路，凭身份证向供应商的指定联系人报名，由采购人会统一与供应商签订国家旅游局最新版旅游合同。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3.3遇上级政策变化，原定方案根据政策要求作及时调整，双方协商后实施。</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3.4每次组团后报请采购人同意后方可实施；遇上级政策变化，原定方案根据政策要求作及时调整，协商后实施。</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baseline"/>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四、服务承诺</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必须对本次职工疗休养的有关服务内容做出服务承诺，包括：</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经营质量方面的承诺：</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供应商向职工提供的旅游服务信息必须真实可靠，不得作虚假宣传。因供应商原因不能成行，未经职工同意擅自转团、拼团，一经核实，承诺支付该批次疗休养费用总额的50%比例违约金，情节严重的采购人有权终止合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②未经职工同意，供应商不得在旅游合同约定之外提供其他有偿服务。一经核实，承诺支付该批次疗休养费用总额的50%比例违约金，情节严重的采购人有权终止合同。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③疗休养线路不得安排购物点或强制购物。一经核实，承诺支付该批次疗休养费用总额的50%比例违约金，情节严重的采购人有权终止合同。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rPr>
        <w:t>因</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原因造成</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疗休养人员或第三方人员人身损害或财产损失的，</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应承担全部责任。因</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疗休养人员自身原因造成的人身损害或财产损失，</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应尽一切努力协助</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进行处置，以协助减少损害、损失。</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⑤供应商必须严格兑现响应文件中承诺的所有服务标准和内容，若发现为职工提供的服务与标书不符，一经查实，供应商承诺按该批次疗休养费用总额的50%支付违约金，情节严重的采购人有权终止合同。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⑥供应商为职工安排或者介绍的旅游活动不得含有违反有关法律、法规规定的内容。一经核实，承诺支付该批次疗休养费用总额的50%比例违约金，情节严重的采购人有权终止合同。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⑦供应商应当按照合同约定履行义务，完成</w:t>
      </w:r>
      <w:r>
        <w:rPr>
          <w:rFonts w:hint="eastAsia" w:asciiTheme="minorEastAsia" w:hAnsiTheme="minorEastAsia" w:eastAsiaTheme="minorEastAsia" w:cstheme="minorEastAsia"/>
          <w:b w:val="0"/>
          <w:bCs w:val="0"/>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val="en-US" w:eastAsia="zh-CN"/>
        </w:rPr>
        <w:t>项目，不得将</w:t>
      </w:r>
      <w:r>
        <w:rPr>
          <w:rFonts w:hint="eastAsia" w:asciiTheme="minorEastAsia" w:hAnsiTheme="minorEastAsia" w:eastAsiaTheme="minorEastAsia" w:cstheme="minorEastAsia"/>
          <w:b w:val="0"/>
          <w:bCs w:val="0"/>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val="en-US" w:eastAsia="zh-CN"/>
        </w:rPr>
        <w:t>项目转让（转包）给其他供应商，一经查实，供应商承诺赔偿由此带来的全部损失，同时采购人终止合同。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4.2经营服务方面的承诺：</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供应商为职工提供服务，应当与职工签订国家旅游局新版旅游合同（最新版）并载明下列事项：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①供应商的名称及其经营范围、地址、联系电话和旅行社业务经营许可证编号；</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②供应商经办人的姓名、联系电话；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③签约地点和日期；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④旅游行程的出发地、途经地和目的地；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⑤旅游行程中交通、住宿、餐饮服务安排及其标准；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⑥职工另行付费的游览项目及价格；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⑦解除或者变更合同的条件和提前通知的期限；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⑧违反合同的纠纷解决机制及应当承担的责任；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⑨旅游服务监督、投诉电话；</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both"/>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⑩双方协商一致的其他内容。</w:t>
      </w:r>
    </w:p>
    <w:p>
      <w:pPr>
        <w:keepNext w:val="0"/>
        <w:keepLines w:val="0"/>
        <w:pageBreakBefore w:val="0"/>
        <w:widowControl/>
        <w:kinsoku/>
        <w:wordWrap/>
        <w:overflowPunct/>
        <w:topLinePunct w:val="0"/>
        <w:bidi w:val="0"/>
        <w:adjustRightInd w:val="0"/>
        <w:snapToGrid/>
        <w:spacing w:line="360" w:lineRule="auto"/>
        <w:jc w:val="both"/>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rPr>
        <w:t>保险</w:t>
      </w:r>
    </w:p>
    <w:p>
      <w:pPr>
        <w:keepNext w:val="0"/>
        <w:keepLines w:val="0"/>
        <w:pageBreakBefore w:val="0"/>
        <w:kinsoku/>
        <w:wordWrap/>
        <w:overflowPunct/>
        <w:topLinePunct w:val="0"/>
        <w:bidi w:val="0"/>
        <w:adjustRightInd w:val="0"/>
        <w:snapToGrid/>
        <w:spacing w:line="360" w:lineRule="auto"/>
        <w:ind w:left="0" w:leftChars="0" w:firstLine="42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5.1供应商</w:t>
      </w:r>
      <w:r>
        <w:rPr>
          <w:rFonts w:hint="eastAsia" w:asciiTheme="minorEastAsia" w:hAnsiTheme="minorEastAsia" w:eastAsiaTheme="minorEastAsia" w:cstheme="minorEastAsia"/>
          <w:color w:val="auto"/>
          <w:sz w:val="21"/>
          <w:szCs w:val="21"/>
          <w:highlight w:val="none"/>
        </w:rPr>
        <w:t>必须为参加疗休养的职工购买旅行社责任险和人身意外保险（</w:t>
      </w:r>
      <w:r>
        <w:rPr>
          <w:rFonts w:hint="eastAsia" w:asciiTheme="minorEastAsia" w:hAnsiTheme="minorEastAsia" w:eastAsiaTheme="minorEastAsia" w:cstheme="minorEastAsia"/>
          <w:color w:val="auto"/>
          <w:sz w:val="21"/>
          <w:szCs w:val="21"/>
          <w:highlight w:val="none"/>
          <w:lang w:val="en-US" w:eastAsia="zh-CN"/>
        </w:rPr>
        <w:t>额度不少于100万元，其中医疗部分不少于10万元，</w:t>
      </w:r>
      <w:r>
        <w:rPr>
          <w:rFonts w:hint="eastAsia" w:asciiTheme="minorEastAsia" w:hAnsiTheme="minorEastAsia" w:eastAsiaTheme="minorEastAsia" w:cstheme="minorEastAsia"/>
          <w:color w:val="auto"/>
          <w:sz w:val="21"/>
          <w:szCs w:val="21"/>
          <w:highlight w:val="none"/>
        </w:rPr>
        <w:t>费用含在报价中）。</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5.2供应商</w:t>
      </w:r>
      <w:r>
        <w:rPr>
          <w:rFonts w:hint="eastAsia" w:asciiTheme="minorEastAsia" w:hAnsiTheme="minorEastAsia" w:eastAsiaTheme="minorEastAsia" w:cstheme="minorEastAsia"/>
          <w:color w:val="auto"/>
          <w:sz w:val="21"/>
          <w:szCs w:val="21"/>
          <w:highlight w:val="none"/>
        </w:rPr>
        <w:t>在结帐时应提供职工旅游合同复印件一份、投保人身意外保险复印件一份。</w:t>
      </w:r>
    </w:p>
    <w:p>
      <w:pPr>
        <w:keepNext w:val="0"/>
        <w:keepLines w:val="0"/>
        <w:pageBreakBefore w:val="0"/>
        <w:kinsoku/>
        <w:wordWrap/>
        <w:overflowPunct/>
        <w:topLinePunct w:val="0"/>
        <w:autoSpaceDE w:val="0"/>
        <w:autoSpaceDN w:val="0"/>
        <w:bidi w:val="0"/>
        <w:adjustRightInd w:val="0"/>
        <w:snapToGrid/>
        <w:spacing w:line="360" w:lineRule="auto"/>
        <w:jc w:val="both"/>
        <w:textAlignment w:val="baseline"/>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六、</w:t>
      </w:r>
      <w:r>
        <w:rPr>
          <w:rFonts w:hint="eastAsia" w:asciiTheme="minorEastAsia" w:hAnsiTheme="minorEastAsia" w:eastAsiaTheme="minorEastAsia" w:cstheme="minorEastAsia"/>
          <w:b/>
          <w:bCs/>
          <w:color w:val="auto"/>
          <w:sz w:val="21"/>
          <w:szCs w:val="21"/>
          <w:highlight w:val="none"/>
          <w:lang w:eastAsia="zh-CN"/>
        </w:rPr>
        <w:t>合同签订及执行</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6.1供应商</w:t>
      </w: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原则及本</w:t>
      </w:r>
      <w:r>
        <w:rPr>
          <w:rFonts w:hint="eastAsia" w:asciiTheme="minorEastAsia" w:hAnsiTheme="minorEastAsia" w:eastAsiaTheme="minorEastAsia" w:cstheme="minorEastAsia"/>
          <w:color w:val="auto"/>
          <w:sz w:val="21"/>
          <w:szCs w:val="21"/>
          <w:highlight w:val="none"/>
          <w:lang w:val="en-US" w:eastAsia="zh-CN"/>
        </w:rPr>
        <w:t>采购文件</w:t>
      </w:r>
      <w:r>
        <w:rPr>
          <w:rFonts w:hint="eastAsia" w:asciiTheme="minorEastAsia" w:hAnsiTheme="minorEastAsia" w:eastAsiaTheme="minorEastAsia" w:cstheme="minorEastAsia"/>
          <w:color w:val="auto"/>
          <w:sz w:val="21"/>
          <w:szCs w:val="21"/>
          <w:highlight w:val="none"/>
        </w:rPr>
        <w:t>要求的有关条款，与采购人签订合同，由双方共同严格遵守执行。</w:t>
      </w:r>
    </w:p>
    <w:p>
      <w:pPr>
        <w:keepNext w:val="0"/>
        <w:keepLines w:val="0"/>
        <w:pageBreakBefore w:val="0"/>
        <w:kinsoku/>
        <w:wordWrap/>
        <w:overflowPunct/>
        <w:topLinePunct w:val="0"/>
        <w:bidi w:val="0"/>
        <w:adjustRightInd w:val="0"/>
        <w:snapToGrid/>
        <w:spacing w:line="360" w:lineRule="auto"/>
        <w:ind w:left="0" w:leftChars="0" w:firstLine="42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6.2</w:t>
      </w:r>
      <w:r>
        <w:rPr>
          <w:rFonts w:hint="eastAsia" w:asciiTheme="minorEastAsia" w:hAnsiTheme="minorEastAsia" w:eastAsiaTheme="minorEastAsia" w:cstheme="minorEastAsia"/>
          <w:color w:val="auto"/>
          <w:sz w:val="21"/>
          <w:szCs w:val="21"/>
          <w:highlight w:val="none"/>
        </w:rPr>
        <w:t>签订合同后项目不得转包。</w:t>
      </w:r>
    </w:p>
    <w:p>
      <w:pPr>
        <w:keepNext w:val="0"/>
        <w:keepLines w:val="0"/>
        <w:pageBreakBefore w:val="0"/>
        <w:kinsoku/>
        <w:wordWrap/>
        <w:overflowPunct/>
        <w:topLinePunct w:val="0"/>
        <w:bidi w:val="0"/>
        <w:adjustRightInd w:val="0"/>
        <w:snapToGrid/>
        <w:spacing w:line="360" w:lineRule="auto"/>
        <w:ind w:left="0" w:leftChars="0" w:firstLine="42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6.3</w:t>
      </w:r>
      <w:r>
        <w:rPr>
          <w:rFonts w:hint="eastAsia" w:asciiTheme="minorEastAsia" w:hAnsiTheme="minorEastAsia" w:eastAsiaTheme="minorEastAsia" w:cstheme="minorEastAsia"/>
          <w:color w:val="auto"/>
          <w:sz w:val="21"/>
          <w:szCs w:val="21"/>
          <w:highlight w:val="none"/>
        </w:rPr>
        <w:t>签订合同后，任何一方违约均应赔偿给对方造成的经济损失，并支付对方违约金2万元。任何一方未经协商或通知对方而擅自单方终止合同的，应赔偿对方违约金5万元，以补偿对方的损失。</w:t>
      </w:r>
    </w:p>
    <w:p>
      <w:pPr>
        <w:keepNext w:val="0"/>
        <w:keepLines w:val="0"/>
        <w:pageBreakBefore w:val="0"/>
        <w:kinsoku/>
        <w:wordWrap/>
        <w:overflowPunct/>
        <w:topLinePunct w:val="0"/>
        <w:bidi w:val="0"/>
        <w:adjustRightInd w:val="0"/>
        <w:snapToGrid/>
        <w:spacing w:line="360" w:lineRule="auto"/>
        <w:ind w:left="0" w:leftChars="0" w:firstLine="42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6.4</w:t>
      </w:r>
      <w:r>
        <w:rPr>
          <w:rFonts w:hint="eastAsia" w:asciiTheme="minorEastAsia" w:hAnsiTheme="minorEastAsia" w:eastAsiaTheme="minorEastAsia" w:cstheme="minorEastAsia"/>
          <w:color w:val="auto"/>
          <w:sz w:val="21"/>
          <w:szCs w:val="21"/>
          <w:highlight w:val="none"/>
        </w:rPr>
        <w:t>采购人会对职工疗休养相关内容（包括线路设定、旅游社导游、住宿餐饮安排以及交通工具质量等）进行满意度测评，如满意度偏低，采购人有权终止合同。</w:t>
      </w:r>
    </w:p>
    <w:p>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6.5</w:t>
      </w:r>
      <w:r>
        <w:rPr>
          <w:rFonts w:hint="eastAsia" w:asciiTheme="minorEastAsia" w:hAnsiTheme="minorEastAsia" w:eastAsiaTheme="minorEastAsia" w:cstheme="minorEastAsia"/>
          <w:color w:val="auto"/>
          <w:sz w:val="21"/>
          <w:szCs w:val="21"/>
          <w:highlight w:val="none"/>
        </w:rPr>
        <w:t>遇有双方不能协商解决的问题时，任何一方都有权向需方所在地人民法院提起诉讼，由所在地人民法院依法裁决。</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hint="eastAsia" w:ascii="宋体" w:hAnsi="宋体" w:eastAsia="宋体" w:cs="宋体"/>
          <w:b/>
          <w:color w:val="auto"/>
          <w:szCs w:val="20"/>
          <w:highlight w:val="none"/>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Cs w:val="21"/>
          <w:highlight w:val="none"/>
          <w:lang w:eastAsia="zh-CN"/>
        </w:rPr>
      </w:pPr>
    </w:p>
    <w:p>
      <w:pPr>
        <w:rPr>
          <w:rFonts w:hint="eastAsia" w:hAnsi="宋体" w:cs="宋体"/>
          <w:b/>
          <w:color w:val="000000"/>
          <w:sz w:val="28"/>
          <w:szCs w:val="28"/>
          <w:highlight w:val="none"/>
        </w:rPr>
      </w:pPr>
      <w:r>
        <w:rPr>
          <w:rFonts w:hint="eastAsia" w:hAnsi="宋体" w:cs="宋体"/>
          <w:b/>
          <w:color w:val="000000"/>
          <w:sz w:val="28"/>
          <w:szCs w:val="28"/>
          <w:highlight w:val="none"/>
        </w:rPr>
        <w:br w:type="page"/>
      </w:r>
    </w:p>
    <w:p>
      <w:pPr>
        <w:pStyle w:val="45"/>
        <w:rPr>
          <w:rFonts w:ascii="宋体" w:hAnsi="宋体" w:cs="宋体"/>
          <w:highlight w:val="none"/>
        </w:rPr>
      </w:pPr>
      <w:bookmarkStart w:id="88" w:name="_Toc4253"/>
      <w:r>
        <w:rPr>
          <w:rFonts w:hint="eastAsia" w:ascii="宋体" w:hAnsi="宋体" w:eastAsia="宋体" w:cs="宋体"/>
          <w:highlight w:val="none"/>
          <w:lang w:val="en-US" w:eastAsia="zh-CN"/>
        </w:rPr>
        <w:t>第五章  评标办法及评分标准</w:t>
      </w:r>
      <w:bookmarkEnd w:id="88"/>
    </w:p>
    <w:p>
      <w:pPr>
        <w:wordWrap w:val="0"/>
        <w:spacing w:line="400" w:lineRule="exact"/>
        <w:jc w:val="left"/>
        <w:rPr>
          <w:b/>
          <w:szCs w:val="21"/>
          <w:highlight w:val="none"/>
        </w:rPr>
      </w:pPr>
      <w:r>
        <w:rPr>
          <w:b/>
          <w:szCs w:val="21"/>
          <w:highlight w:val="none"/>
        </w:rPr>
        <w:t>一、评标办法</w:t>
      </w:r>
    </w:p>
    <w:p>
      <w:pPr>
        <w:wordWrap w:val="0"/>
        <w:spacing w:line="400" w:lineRule="exact"/>
        <w:ind w:firstLine="420" w:firstLineChars="200"/>
        <w:jc w:val="left"/>
        <w:rPr>
          <w:szCs w:val="21"/>
          <w:highlight w:val="none"/>
        </w:rPr>
      </w:pPr>
      <w:r>
        <w:rPr>
          <w:rFonts w:hint="eastAsia"/>
          <w:szCs w:val="21"/>
          <w:highlight w:val="none"/>
        </w:rPr>
        <w:t>1.</w:t>
      </w:r>
      <w:r>
        <w:rPr>
          <w:szCs w:val="21"/>
          <w:highlight w:val="none"/>
        </w:rPr>
        <w:t>本项目采用综合评分法。</w:t>
      </w:r>
    </w:p>
    <w:p>
      <w:pPr>
        <w:wordWrap w:val="0"/>
        <w:spacing w:line="400" w:lineRule="exact"/>
        <w:ind w:firstLine="420" w:firstLineChars="200"/>
        <w:jc w:val="left"/>
        <w:rPr>
          <w:szCs w:val="21"/>
          <w:highlight w:val="none"/>
        </w:rPr>
      </w:pPr>
      <w:r>
        <w:rPr>
          <w:rFonts w:hint="eastAsia"/>
          <w:szCs w:val="21"/>
          <w:highlight w:val="none"/>
        </w:rPr>
        <w:t>2.</w:t>
      </w:r>
      <w:r>
        <w:rPr>
          <w:szCs w:val="21"/>
          <w:highlight w:val="none"/>
        </w:rPr>
        <w:t>综合评分法：采用百分制，总分100分。供应商的综合得分为商务技术得分与报价得分之和。按综合得分由高到低的排序，推荐中标候选人。</w:t>
      </w:r>
    </w:p>
    <w:p>
      <w:pPr>
        <w:wordWrap w:val="0"/>
        <w:spacing w:line="400" w:lineRule="exact"/>
        <w:ind w:firstLine="420" w:firstLineChars="200"/>
        <w:jc w:val="left"/>
        <w:rPr>
          <w:szCs w:val="21"/>
          <w:highlight w:val="none"/>
        </w:rPr>
      </w:pPr>
      <w:r>
        <w:rPr>
          <w:rFonts w:hint="eastAsia"/>
          <w:szCs w:val="21"/>
          <w:highlight w:val="none"/>
        </w:rPr>
        <w:t>3.</w:t>
      </w:r>
      <w:r>
        <w:rPr>
          <w:szCs w:val="21"/>
          <w:highlight w:val="none"/>
        </w:rPr>
        <w:t>评标委员会成员对需要共同认定的事项存在争议的，应当按照少数服从多数的原则作出结论。</w:t>
      </w:r>
    </w:p>
    <w:p>
      <w:pPr>
        <w:wordWrap w:val="0"/>
        <w:spacing w:line="400" w:lineRule="exact"/>
        <w:jc w:val="left"/>
        <w:rPr>
          <w:b/>
          <w:bCs/>
          <w:szCs w:val="21"/>
          <w:highlight w:val="none"/>
        </w:rPr>
      </w:pPr>
      <w:r>
        <w:rPr>
          <w:szCs w:val="21"/>
          <w:highlight w:val="none"/>
        </w:rPr>
        <w:t>二、</w:t>
      </w:r>
      <w:r>
        <w:rPr>
          <w:b/>
          <w:bCs/>
          <w:szCs w:val="21"/>
          <w:highlight w:val="none"/>
        </w:rPr>
        <w:t>评标程序</w:t>
      </w:r>
    </w:p>
    <w:p>
      <w:pPr>
        <w:wordWrap w:val="0"/>
        <w:spacing w:line="400" w:lineRule="exact"/>
        <w:ind w:firstLine="420" w:firstLineChars="200"/>
        <w:rPr>
          <w:b/>
          <w:szCs w:val="21"/>
          <w:highlight w:val="none"/>
        </w:rPr>
      </w:pPr>
      <w:r>
        <w:rPr>
          <w:rFonts w:hint="eastAsia"/>
          <w:szCs w:val="21"/>
          <w:highlight w:val="none"/>
        </w:rPr>
        <w:t>1.</w:t>
      </w:r>
      <w:r>
        <w:rPr>
          <w:szCs w:val="21"/>
          <w:highlight w:val="none"/>
        </w:rPr>
        <w:t>初步审查：包含资格性审查和符合性审查。资格性审查是指采购人或代理机构根据“附表1资格性审查表”的要求对</w:t>
      </w:r>
      <w:r>
        <w:rPr>
          <w:rFonts w:hint="eastAsia"/>
          <w:szCs w:val="21"/>
          <w:highlight w:val="none"/>
          <w:lang w:eastAsia="zh-CN"/>
        </w:rPr>
        <w:t>投标文件</w:t>
      </w:r>
      <w:r>
        <w:rPr>
          <w:szCs w:val="21"/>
          <w:highlight w:val="none"/>
        </w:rPr>
        <w:t>逐一进行评审。符合性审查是指评标委员会根据“附表2符合性审查表”的要求对</w:t>
      </w:r>
      <w:r>
        <w:rPr>
          <w:rFonts w:hint="eastAsia"/>
          <w:szCs w:val="21"/>
          <w:highlight w:val="none"/>
          <w:lang w:eastAsia="zh-CN"/>
        </w:rPr>
        <w:t>投标文件</w:t>
      </w:r>
      <w:r>
        <w:rPr>
          <w:szCs w:val="21"/>
          <w:highlight w:val="none"/>
        </w:rPr>
        <w:t>逐一进行评审。</w:t>
      </w:r>
      <w:r>
        <w:rPr>
          <w:b/>
          <w:szCs w:val="21"/>
          <w:highlight w:val="none"/>
        </w:rPr>
        <w:t>资格性审查和符合性审查中，有任意一项审查结论不合格的，作无效标处理。</w:t>
      </w:r>
    </w:p>
    <w:p>
      <w:pPr>
        <w:wordWrap w:val="0"/>
        <w:spacing w:line="400" w:lineRule="exact"/>
        <w:ind w:firstLine="420" w:firstLineChars="200"/>
        <w:jc w:val="left"/>
        <w:rPr>
          <w:szCs w:val="21"/>
          <w:highlight w:val="none"/>
        </w:rPr>
      </w:pPr>
      <w:r>
        <w:rPr>
          <w:rFonts w:hint="eastAsia"/>
          <w:szCs w:val="21"/>
          <w:highlight w:val="none"/>
        </w:rPr>
        <w:t>2.</w:t>
      </w:r>
      <w:r>
        <w:rPr>
          <w:szCs w:val="21"/>
          <w:highlight w:val="none"/>
          <w:lang w:val="zh-CN"/>
        </w:rPr>
        <w:t>比较与评价：</w:t>
      </w:r>
      <w:r>
        <w:rPr>
          <w:szCs w:val="21"/>
          <w:highlight w:val="none"/>
        </w:rPr>
        <w:t>评标委员会根据“附表3评分</w:t>
      </w:r>
      <w:r>
        <w:rPr>
          <w:rFonts w:hint="eastAsia"/>
          <w:szCs w:val="21"/>
          <w:highlight w:val="none"/>
        </w:rPr>
        <w:t>标准</w:t>
      </w:r>
      <w:r>
        <w:rPr>
          <w:szCs w:val="21"/>
          <w:highlight w:val="none"/>
        </w:rPr>
        <w:t>”的要求，</w:t>
      </w:r>
      <w:r>
        <w:rPr>
          <w:szCs w:val="21"/>
          <w:highlight w:val="none"/>
          <w:lang w:val="zh-CN"/>
        </w:rPr>
        <w:t>对照</w:t>
      </w:r>
      <w:r>
        <w:rPr>
          <w:rFonts w:hint="eastAsia"/>
          <w:szCs w:val="21"/>
          <w:highlight w:val="none"/>
          <w:lang w:val="zh-CN"/>
        </w:rPr>
        <w:t>投标文件</w:t>
      </w:r>
      <w:r>
        <w:rPr>
          <w:szCs w:val="21"/>
          <w:highlight w:val="none"/>
          <w:lang w:val="zh-CN"/>
        </w:rPr>
        <w:t>的应答进行比较，判定其偏差性质和程度，</w:t>
      </w:r>
      <w:r>
        <w:rPr>
          <w:szCs w:val="21"/>
          <w:highlight w:val="none"/>
        </w:rPr>
        <w:t>由评标委员会成员在分值范围内自行评分。供应商商务技术得分为各评标委员会成员有效评分的算术平均值（小数点后保留二位数）。</w:t>
      </w:r>
    </w:p>
    <w:p>
      <w:pPr>
        <w:wordWrap w:val="0"/>
        <w:spacing w:line="400" w:lineRule="exact"/>
        <w:ind w:firstLine="420" w:firstLineChars="200"/>
        <w:jc w:val="left"/>
        <w:rPr>
          <w:szCs w:val="21"/>
          <w:highlight w:val="none"/>
        </w:rPr>
      </w:pPr>
      <w:r>
        <w:rPr>
          <w:rFonts w:hint="eastAsia"/>
          <w:szCs w:val="21"/>
          <w:highlight w:val="none"/>
        </w:rPr>
        <w:t>3.</w:t>
      </w:r>
      <w:r>
        <w:rPr>
          <w:szCs w:val="21"/>
          <w:highlight w:val="none"/>
        </w:rPr>
        <w:t>在评标过程中，发现的价格计算错误按下述原则修正：</w:t>
      </w:r>
    </w:p>
    <w:p>
      <w:pPr>
        <w:wordWrap w:val="0"/>
        <w:spacing w:line="400" w:lineRule="exact"/>
        <w:ind w:firstLine="420" w:firstLineChars="200"/>
        <w:jc w:val="left"/>
        <w:rPr>
          <w:rFonts w:hint="eastAsia"/>
          <w:szCs w:val="21"/>
          <w:highlight w:val="none"/>
        </w:rPr>
      </w:pPr>
      <w:r>
        <w:rPr>
          <w:rFonts w:hint="eastAsia"/>
          <w:szCs w:val="21"/>
          <w:highlight w:val="none"/>
          <w:lang w:eastAsia="zh-CN"/>
        </w:rPr>
        <w:t>（</w:t>
      </w:r>
      <w:r>
        <w:rPr>
          <w:rFonts w:hint="eastAsia"/>
          <w:szCs w:val="21"/>
          <w:highlight w:val="none"/>
          <w:lang w:val="en-US" w:eastAsia="zh-CN"/>
        </w:rPr>
        <w:t>1</w:t>
      </w:r>
      <w:r>
        <w:rPr>
          <w:rFonts w:hint="eastAsia"/>
          <w:szCs w:val="21"/>
          <w:highlight w:val="none"/>
          <w:lang w:eastAsia="zh-CN"/>
        </w:rPr>
        <w:t>）</w:t>
      </w:r>
      <w:r>
        <w:rPr>
          <w:rFonts w:hint="eastAsia"/>
          <w:szCs w:val="21"/>
          <w:highlight w:val="none"/>
        </w:rPr>
        <w:t>投标文件中开标一览表（报价表）内容与投标文件中相应内容不一致的，以开标一览表（报价表）为准；</w:t>
      </w:r>
    </w:p>
    <w:p>
      <w:pPr>
        <w:wordWrap w:val="0"/>
        <w:spacing w:line="400" w:lineRule="exact"/>
        <w:ind w:firstLine="420" w:firstLineChars="200"/>
        <w:jc w:val="left"/>
        <w:rPr>
          <w:rFonts w:hint="eastAsia"/>
          <w:szCs w:val="21"/>
          <w:highlight w:val="none"/>
        </w:rPr>
      </w:pPr>
      <w:r>
        <w:rPr>
          <w:rFonts w:hint="eastAsia"/>
          <w:szCs w:val="21"/>
          <w:highlight w:val="none"/>
          <w:lang w:eastAsia="zh-CN"/>
        </w:rPr>
        <w:t>（</w:t>
      </w:r>
      <w:r>
        <w:rPr>
          <w:rFonts w:hint="eastAsia"/>
          <w:szCs w:val="21"/>
          <w:highlight w:val="none"/>
          <w:lang w:val="en-US" w:eastAsia="zh-CN"/>
        </w:rPr>
        <w:t>2</w:t>
      </w:r>
      <w:r>
        <w:rPr>
          <w:rFonts w:hint="eastAsia"/>
          <w:szCs w:val="21"/>
          <w:highlight w:val="none"/>
          <w:lang w:eastAsia="zh-CN"/>
        </w:rPr>
        <w:t>）</w:t>
      </w:r>
      <w:r>
        <w:rPr>
          <w:rFonts w:hint="eastAsia"/>
          <w:szCs w:val="21"/>
          <w:highlight w:val="none"/>
        </w:rPr>
        <w:t>政采云平台填报的开标一览表中的价格与上传的报价文件中开标一览表的报价不一致的，以上传的报价文件为准；</w:t>
      </w:r>
    </w:p>
    <w:p>
      <w:pPr>
        <w:wordWrap w:val="0"/>
        <w:spacing w:line="400" w:lineRule="exact"/>
        <w:ind w:firstLine="420" w:firstLineChars="200"/>
        <w:jc w:val="left"/>
        <w:rPr>
          <w:rFonts w:hint="eastAsia"/>
          <w:szCs w:val="21"/>
          <w:highlight w:val="none"/>
        </w:rPr>
      </w:pPr>
      <w:r>
        <w:rPr>
          <w:rFonts w:hint="eastAsia"/>
          <w:szCs w:val="21"/>
          <w:highlight w:val="none"/>
          <w:lang w:eastAsia="zh-CN"/>
        </w:rPr>
        <w:t>（</w:t>
      </w:r>
      <w:r>
        <w:rPr>
          <w:rFonts w:hint="eastAsia"/>
          <w:szCs w:val="21"/>
          <w:highlight w:val="none"/>
          <w:lang w:val="en-US" w:eastAsia="zh-CN"/>
        </w:rPr>
        <w:t>3</w:t>
      </w:r>
      <w:r>
        <w:rPr>
          <w:rFonts w:hint="eastAsia"/>
          <w:szCs w:val="21"/>
          <w:highlight w:val="none"/>
          <w:lang w:eastAsia="zh-CN"/>
        </w:rPr>
        <w:t>）</w:t>
      </w:r>
      <w:r>
        <w:rPr>
          <w:rFonts w:hint="eastAsia"/>
          <w:szCs w:val="21"/>
          <w:highlight w:val="none"/>
        </w:rPr>
        <w:t>大写金额和小写金额不一致的，以大写金额为准；</w:t>
      </w:r>
    </w:p>
    <w:p>
      <w:pPr>
        <w:wordWrap w:val="0"/>
        <w:spacing w:line="400" w:lineRule="exact"/>
        <w:ind w:firstLine="420" w:firstLineChars="200"/>
        <w:jc w:val="left"/>
        <w:rPr>
          <w:rFonts w:hint="eastAsia"/>
          <w:szCs w:val="21"/>
          <w:highlight w:val="none"/>
        </w:rPr>
      </w:pPr>
      <w:r>
        <w:rPr>
          <w:rFonts w:hint="eastAsia"/>
          <w:szCs w:val="21"/>
          <w:highlight w:val="none"/>
          <w:lang w:eastAsia="zh-CN"/>
        </w:rPr>
        <w:t>（</w:t>
      </w:r>
      <w:r>
        <w:rPr>
          <w:rFonts w:hint="eastAsia"/>
          <w:szCs w:val="21"/>
          <w:highlight w:val="none"/>
          <w:lang w:val="en-US" w:eastAsia="zh-CN"/>
        </w:rPr>
        <w:t>4</w:t>
      </w:r>
      <w:r>
        <w:rPr>
          <w:rFonts w:hint="eastAsia"/>
          <w:szCs w:val="21"/>
          <w:highlight w:val="none"/>
          <w:lang w:eastAsia="zh-CN"/>
        </w:rPr>
        <w:t>）</w:t>
      </w:r>
      <w:r>
        <w:rPr>
          <w:rFonts w:hint="eastAsia"/>
          <w:szCs w:val="21"/>
          <w:highlight w:val="none"/>
        </w:rPr>
        <w:t>单价金额小数点或者百分比有明显错位的，以开标一览表的总价为准，并修改单价；</w:t>
      </w:r>
    </w:p>
    <w:p>
      <w:pPr>
        <w:wordWrap w:val="0"/>
        <w:spacing w:line="400" w:lineRule="exact"/>
        <w:ind w:firstLine="420" w:firstLineChars="200"/>
        <w:jc w:val="left"/>
        <w:rPr>
          <w:szCs w:val="21"/>
          <w:highlight w:val="none"/>
        </w:rPr>
      </w:pPr>
      <w:r>
        <w:rPr>
          <w:rFonts w:hint="eastAsia"/>
          <w:szCs w:val="21"/>
          <w:highlight w:val="none"/>
          <w:lang w:eastAsia="zh-CN"/>
        </w:rPr>
        <w:t>（</w:t>
      </w:r>
      <w:r>
        <w:rPr>
          <w:rFonts w:hint="eastAsia"/>
          <w:szCs w:val="21"/>
          <w:highlight w:val="none"/>
          <w:lang w:val="en-US" w:eastAsia="zh-CN"/>
        </w:rPr>
        <w:t>5</w:t>
      </w:r>
      <w:r>
        <w:rPr>
          <w:rFonts w:hint="eastAsia"/>
          <w:szCs w:val="21"/>
          <w:highlight w:val="none"/>
          <w:lang w:eastAsia="zh-CN"/>
        </w:rPr>
        <w:t>）</w:t>
      </w:r>
      <w:r>
        <w:rPr>
          <w:rFonts w:hint="eastAsia"/>
          <w:szCs w:val="21"/>
          <w:highlight w:val="none"/>
        </w:rPr>
        <w:t>总价金额与按单价汇总金额不一致的，以单价金额计算结果为准。</w:t>
      </w:r>
    </w:p>
    <w:p>
      <w:pPr>
        <w:wordWrap w:val="0"/>
        <w:spacing w:line="400" w:lineRule="exact"/>
        <w:ind w:firstLine="420" w:firstLineChars="200"/>
        <w:jc w:val="left"/>
        <w:rPr>
          <w:szCs w:val="21"/>
          <w:highlight w:val="none"/>
        </w:rPr>
      </w:pPr>
      <w:r>
        <w:rPr>
          <w:szCs w:val="21"/>
          <w:highlight w:val="none"/>
        </w:rPr>
        <w:t>同时出现两种以上不一致的，按照前款规定的顺序修正。修正后的报价经</w:t>
      </w:r>
      <w:r>
        <w:rPr>
          <w:rFonts w:hint="eastAsia"/>
          <w:szCs w:val="21"/>
          <w:highlight w:val="none"/>
        </w:rPr>
        <w:t>供应商</w:t>
      </w:r>
      <w:r>
        <w:rPr>
          <w:szCs w:val="21"/>
          <w:highlight w:val="none"/>
        </w:rPr>
        <w:t>确认后具有约束力，若</w:t>
      </w:r>
      <w:r>
        <w:rPr>
          <w:rFonts w:hint="eastAsia"/>
          <w:szCs w:val="21"/>
          <w:highlight w:val="none"/>
        </w:rPr>
        <w:t>供应商</w:t>
      </w:r>
      <w:r>
        <w:rPr>
          <w:szCs w:val="21"/>
          <w:highlight w:val="none"/>
        </w:rPr>
        <w:t>不确认的，则其投标无效。</w:t>
      </w:r>
    </w:p>
    <w:p>
      <w:pPr>
        <w:wordWrap w:val="0"/>
        <w:spacing w:line="400" w:lineRule="exact"/>
        <w:ind w:firstLine="420" w:firstLineChars="200"/>
        <w:rPr>
          <w:szCs w:val="21"/>
          <w:highlight w:val="none"/>
        </w:rPr>
      </w:pPr>
      <w:r>
        <w:rPr>
          <w:rFonts w:hint="eastAsia"/>
          <w:szCs w:val="21"/>
          <w:highlight w:val="none"/>
        </w:rPr>
        <w:t>4.</w:t>
      </w:r>
      <w:r>
        <w:rPr>
          <w:szCs w:val="21"/>
          <w:highlight w:val="none"/>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wordWrap w:val="0"/>
        <w:spacing w:line="400" w:lineRule="exact"/>
        <w:ind w:firstLine="420" w:firstLineChars="200"/>
        <w:rPr>
          <w:szCs w:val="21"/>
          <w:highlight w:val="none"/>
        </w:rPr>
      </w:pPr>
      <w:r>
        <w:rPr>
          <w:rFonts w:hint="eastAsia"/>
          <w:szCs w:val="21"/>
          <w:highlight w:val="none"/>
        </w:rPr>
        <w:t>5.</w:t>
      </w:r>
      <w:r>
        <w:rPr>
          <w:szCs w:val="21"/>
          <w:highlight w:val="none"/>
        </w:rPr>
        <w:t>综合评估：供应商的综合得分为</w:t>
      </w:r>
      <w:r>
        <w:rPr>
          <w:rFonts w:hint="eastAsia"/>
          <w:szCs w:val="21"/>
          <w:highlight w:val="none"/>
        </w:rPr>
        <w:t>商务技术</w:t>
      </w:r>
      <w:r>
        <w:rPr>
          <w:szCs w:val="21"/>
          <w:highlight w:val="none"/>
        </w:rPr>
        <w:t>得分与</w:t>
      </w:r>
      <w:r>
        <w:rPr>
          <w:rFonts w:hint="eastAsia"/>
          <w:szCs w:val="21"/>
          <w:highlight w:val="none"/>
        </w:rPr>
        <w:t>报价</w:t>
      </w:r>
      <w:r>
        <w:rPr>
          <w:szCs w:val="21"/>
          <w:highlight w:val="none"/>
        </w:rPr>
        <w:t>得分之和。</w:t>
      </w:r>
    </w:p>
    <w:p>
      <w:pPr>
        <w:wordWrap w:val="0"/>
        <w:spacing w:line="400" w:lineRule="exact"/>
        <w:ind w:firstLine="422" w:firstLineChars="200"/>
        <w:jc w:val="left"/>
        <w:rPr>
          <w:b/>
          <w:szCs w:val="21"/>
          <w:highlight w:val="none"/>
        </w:rPr>
      </w:pPr>
      <w:r>
        <w:rPr>
          <w:rFonts w:hint="eastAsia"/>
          <w:b/>
          <w:szCs w:val="21"/>
          <w:highlight w:val="none"/>
        </w:rPr>
        <w:t>6.</w:t>
      </w:r>
      <w:r>
        <w:rPr>
          <w:b/>
          <w:szCs w:val="21"/>
          <w:highlight w:val="none"/>
        </w:rPr>
        <w:t>推荐中标候选人：根据供应商综合得分由高到低进行排序，推荐综合得分排序第一名的供应商为中标候选人。若供应商的综合得分相等，</w:t>
      </w:r>
      <w:r>
        <w:rPr>
          <w:rFonts w:hint="eastAsia"/>
          <w:b/>
          <w:szCs w:val="21"/>
          <w:highlight w:val="none"/>
        </w:rPr>
        <w:t>则商务技术得分高者列前。若商务技术分相同，</w:t>
      </w:r>
      <w:r>
        <w:rPr>
          <w:b/>
          <w:szCs w:val="21"/>
          <w:highlight w:val="none"/>
        </w:rPr>
        <w:t>则投标报价低者列前。若投标报价也相同时，则采取随机抽签的方式确定排序。</w:t>
      </w:r>
    </w:p>
    <w:p>
      <w:pPr>
        <w:wordWrap w:val="0"/>
        <w:spacing w:line="400" w:lineRule="exact"/>
        <w:ind w:firstLine="422" w:firstLineChars="200"/>
        <w:jc w:val="left"/>
        <w:rPr>
          <w:b/>
          <w:szCs w:val="21"/>
          <w:highlight w:val="none"/>
        </w:rPr>
      </w:pPr>
      <w:r>
        <w:rPr>
          <w:rFonts w:hint="eastAsia"/>
          <w:b/>
          <w:szCs w:val="21"/>
          <w:highlight w:val="none"/>
        </w:rPr>
        <w:t>7.</w:t>
      </w:r>
      <w:r>
        <w:rPr>
          <w:b/>
          <w:szCs w:val="21"/>
          <w:highlight w:val="none"/>
        </w:rPr>
        <w:t>确定中标供应商</w:t>
      </w:r>
    </w:p>
    <w:p>
      <w:pPr>
        <w:wordWrap w:val="0"/>
        <w:spacing w:line="400" w:lineRule="exact"/>
        <w:ind w:firstLine="420" w:firstLineChars="200"/>
        <w:jc w:val="left"/>
        <w:rPr>
          <w:szCs w:val="21"/>
          <w:highlight w:val="none"/>
        </w:rPr>
      </w:pPr>
      <w:r>
        <w:rPr>
          <w:szCs w:val="21"/>
          <w:highlight w:val="none"/>
        </w:rPr>
        <w:t>评标委员会按综合得分由高到低的排序，向采购人推荐排序第一名的供应商为中标候选人。中标供应商因不可抗力或者自身原因不能履行采购合同的，采购人可以按照</w:t>
      </w:r>
      <w:r>
        <w:rPr>
          <w:bCs/>
          <w:kern w:val="0"/>
          <w:szCs w:val="21"/>
          <w:highlight w:val="none"/>
        </w:rPr>
        <w:t>评审结果排名先后替补，确定</w:t>
      </w:r>
      <w:r>
        <w:rPr>
          <w:szCs w:val="21"/>
          <w:highlight w:val="none"/>
        </w:rPr>
        <w:t>下一个供应商为中标供应商或重新招标。</w:t>
      </w:r>
    </w:p>
    <w:p>
      <w:pPr>
        <w:wordWrap w:val="0"/>
        <w:spacing w:line="400" w:lineRule="exact"/>
        <w:jc w:val="left"/>
        <w:rPr>
          <w:szCs w:val="21"/>
          <w:highlight w:val="none"/>
        </w:rPr>
      </w:pPr>
      <w:r>
        <w:rPr>
          <w:rFonts w:hint="eastAsia"/>
          <w:b/>
          <w:szCs w:val="21"/>
          <w:highlight w:val="none"/>
        </w:rPr>
        <w:t>三</w:t>
      </w:r>
      <w:r>
        <w:rPr>
          <w:b/>
          <w:szCs w:val="21"/>
          <w:highlight w:val="none"/>
        </w:rPr>
        <w:t>、特别声明：价格是评标的重要因素之一，但最低价不是中标的唯一依据。</w:t>
      </w:r>
    </w:p>
    <w:p>
      <w:pPr>
        <w:wordWrap w:val="0"/>
        <w:spacing w:line="400" w:lineRule="exact"/>
        <w:jc w:val="left"/>
        <w:rPr>
          <w:b/>
          <w:szCs w:val="21"/>
          <w:highlight w:val="none"/>
        </w:rPr>
      </w:pPr>
      <w:r>
        <w:rPr>
          <w:rFonts w:hint="eastAsia"/>
          <w:b/>
          <w:szCs w:val="21"/>
          <w:highlight w:val="none"/>
        </w:rPr>
        <w:t>四</w:t>
      </w:r>
      <w:r>
        <w:rPr>
          <w:b/>
          <w:szCs w:val="21"/>
          <w:highlight w:val="none"/>
        </w:rPr>
        <w:t>、重新招标</w:t>
      </w:r>
    </w:p>
    <w:p>
      <w:pPr>
        <w:wordWrap w:val="0"/>
        <w:spacing w:line="400" w:lineRule="exact"/>
        <w:ind w:firstLine="420" w:firstLineChars="200"/>
        <w:rPr>
          <w:szCs w:val="21"/>
          <w:highlight w:val="none"/>
        </w:rPr>
      </w:pPr>
      <w:r>
        <w:rPr>
          <w:szCs w:val="21"/>
          <w:highlight w:val="none"/>
        </w:rPr>
        <w:t>有下列情形之一的，采购人将重新招标：</w:t>
      </w:r>
    </w:p>
    <w:p>
      <w:pPr>
        <w:wordWrap w:val="0"/>
        <w:spacing w:line="400" w:lineRule="exact"/>
        <w:ind w:firstLine="420" w:firstLineChars="200"/>
        <w:rPr>
          <w:szCs w:val="21"/>
          <w:highlight w:val="none"/>
        </w:rPr>
      </w:pPr>
      <w:r>
        <w:rPr>
          <w:rFonts w:hint="eastAsia"/>
          <w:szCs w:val="21"/>
          <w:highlight w:val="none"/>
        </w:rPr>
        <w:t>4</w:t>
      </w:r>
      <w:r>
        <w:rPr>
          <w:szCs w:val="21"/>
          <w:highlight w:val="none"/>
        </w:rPr>
        <w:t>.1投标截止时间止，供应商少于3个的；</w:t>
      </w:r>
    </w:p>
    <w:p>
      <w:pPr>
        <w:wordWrap w:val="0"/>
        <w:spacing w:line="400" w:lineRule="exact"/>
        <w:ind w:firstLine="420" w:firstLineChars="200"/>
        <w:rPr>
          <w:szCs w:val="21"/>
          <w:highlight w:val="none"/>
        </w:rPr>
      </w:pPr>
      <w:r>
        <w:rPr>
          <w:rFonts w:hint="eastAsia"/>
          <w:szCs w:val="21"/>
          <w:highlight w:val="none"/>
        </w:rPr>
        <w:t>4</w:t>
      </w:r>
      <w:r>
        <w:rPr>
          <w:szCs w:val="21"/>
          <w:highlight w:val="none"/>
        </w:rPr>
        <w:t>.2评标委员会评标过程中，有效供应商少于3个的；</w:t>
      </w:r>
    </w:p>
    <w:p>
      <w:pPr>
        <w:widowControl/>
        <w:wordWrap w:val="0"/>
        <w:spacing w:line="400" w:lineRule="exact"/>
        <w:ind w:firstLine="420" w:firstLineChars="200"/>
        <w:jc w:val="left"/>
        <w:rPr>
          <w:szCs w:val="21"/>
          <w:highlight w:val="none"/>
        </w:rPr>
      </w:pPr>
      <w:r>
        <w:rPr>
          <w:rFonts w:hint="eastAsia"/>
          <w:szCs w:val="21"/>
          <w:highlight w:val="none"/>
        </w:rPr>
        <w:t>4</w:t>
      </w:r>
      <w:r>
        <w:rPr>
          <w:szCs w:val="21"/>
          <w:highlight w:val="none"/>
        </w:rPr>
        <w:t>.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pPr>
        <w:spacing w:before="60" w:after="60" w:line="360" w:lineRule="auto"/>
        <w:ind w:firstLine="420" w:firstLineChars="200"/>
        <w:rPr>
          <w:rFonts w:hint="eastAsia" w:ascii="宋体" w:hAnsi="宋体"/>
          <w:szCs w:val="21"/>
          <w:highlight w:val="none"/>
        </w:rPr>
      </w:pPr>
    </w:p>
    <w:p>
      <w:pPr>
        <w:spacing w:before="60" w:after="60" w:line="360" w:lineRule="auto"/>
        <w:rPr>
          <w:rFonts w:hint="eastAsia" w:ascii="宋体" w:hAnsi="宋体"/>
          <w:szCs w:val="21"/>
          <w:highlight w:val="none"/>
        </w:rPr>
      </w:pPr>
    </w:p>
    <w:p>
      <w:pPr>
        <w:spacing w:before="60" w:after="60" w:line="360" w:lineRule="auto"/>
        <w:rPr>
          <w:rFonts w:hint="eastAsia"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附表1                              资格性审查表</w:t>
      </w:r>
    </w:p>
    <w:tbl>
      <w:tblPr>
        <w:tblStyle w:val="48"/>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0" w:type="dxa"/>
            <w:noWrap/>
            <w:vAlign w:val="center"/>
          </w:tcPr>
          <w:p>
            <w:pPr>
              <w:spacing w:line="360" w:lineRule="auto"/>
              <w:jc w:val="center"/>
              <w:rPr>
                <w:rFonts w:ascii="宋体"/>
                <w:highlight w:val="none"/>
              </w:rPr>
            </w:pPr>
            <w:r>
              <w:rPr>
                <w:rFonts w:hint="eastAsia" w:ascii="宋体" w:hAnsi="宋体" w:cs="宋体"/>
                <w:highlight w:val="none"/>
              </w:rPr>
              <w:t>审查类别</w:t>
            </w:r>
          </w:p>
        </w:tc>
        <w:tc>
          <w:tcPr>
            <w:tcW w:w="8221" w:type="dxa"/>
            <w:noWrap/>
            <w:vAlign w:val="center"/>
          </w:tcPr>
          <w:p>
            <w:pPr>
              <w:spacing w:line="360" w:lineRule="auto"/>
              <w:jc w:val="center"/>
              <w:rPr>
                <w:rFonts w:ascii="宋体"/>
                <w:highlight w:val="none"/>
              </w:rPr>
            </w:pPr>
            <w:r>
              <w:rPr>
                <w:rFonts w:hint="eastAsia" w:ascii="宋体" w:hAnsi="宋体" w:cs="宋体"/>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180" w:type="dxa"/>
            <w:vMerge w:val="restart"/>
            <w:noWrap/>
            <w:vAlign w:val="center"/>
          </w:tcPr>
          <w:p>
            <w:pPr>
              <w:spacing w:line="360" w:lineRule="auto"/>
              <w:jc w:val="center"/>
              <w:rPr>
                <w:rFonts w:ascii="宋体"/>
                <w:highlight w:val="none"/>
              </w:rPr>
            </w:pPr>
            <w:r>
              <w:rPr>
                <w:rFonts w:hint="eastAsia" w:ascii="宋体" w:hAnsi="宋体" w:cs="宋体"/>
                <w:highlight w:val="none"/>
              </w:rPr>
              <w:t>资格条件</w:t>
            </w:r>
          </w:p>
          <w:p>
            <w:pPr>
              <w:spacing w:line="360" w:lineRule="auto"/>
              <w:jc w:val="center"/>
              <w:rPr>
                <w:rFonts w:ascii="宋体"/>
                <w:highlight w:val="none"/>
              </w:rPr>
            </w:pPr>
            <w:r>
              <w:rPr>
                <w:rFonts w:hint="eastAsia" w:ascii="宋体" w:hAnsi="宋体" w:cs="宋体"/>
                <w:highlight w:val="none"/>
              </w:rPr>
              <w:t>审查</w:t>
            </w:r>
          </w:p>
        </w:tc>
        <w:tc>
          <w:tcPr>
            <w:tcW w:w="8221" w:type="dxa"/>
            <w:noWrap/>
            <w:vAlign w:val="center"/>
          </w:tcPr>
          <w:p>
            <w:pPr>
              <w:spacing w:line="360" w:lineRule="auto"/>
              <w:rPr>
                <w:rFonts w:ascii="宋体"/>
                <w:highlight w:val="none"/>
              </w:rPr>
            </w:pPr>
            <w:r>
              <w:rPr>
                <w:rFonts w:ascii="宋体" w:hAnsi="宋体" w:cs="宋体"/>
                <w:highlight w:val="none"/>
              </w:rPr>
              <w:t>1.</w:t>
            </w:r>
            <w:r>
              <w:rPr>
                <w:rFonts w:hint="eastAsia" w:ascii="宋体" w:hAnsi="宋体" w:cs="宋体"/>
                <w:highlight w:val="none"/>
              </w:rPr>
              <w:t>满足《中华人民共和国政府采购法》第二十二条规定；未被“信用中国”（</w:t>
            </w:r>
            <w:r>
              <w:rPr>
                <w:rFonts w:ascii="宋体" w:hAnsi="宋体" w:cs="宋体"/>
                <w:highlight w:val="none"/>
              </w:rPr>
              <w:t>www.creditchina.gov.cn)</w:t>
            </w:r>
            <w:r>
              <w:rPr>
                <w:rFonts w:hint="eastAsia" w:ascii="宋体" w:hAnsi="宋体" w:cs="宋体"/>
                <w:highlight w:val="none"/>
              </w:rPr>
              <w:t>、中国政府采购网（</w:t>
            </w:r>
            <w:r>
              <w:rPr>
                <w:rFonts w:ascii="宋体" w:hAnsi="宋体" w:cs="宋体"/>
                <w:highlight w:val="none"/>
              </w:rPr>
              <w:t>www.ccgp.gov.cn</w:t>
            </w:r>
            <w:r>
              <w:rPr>
                <w:rFonts w:hint="eastAsia" w:ascii="宋体" w:hAnsi="宋体" w:cs="宋体"/>
                <w:highlight w:val="none"/>
              </w:rPr>
              <w:t>）列入失信被执行人、重大税收违法案件当事人名单、政府采购严重违法失信行为记录名单。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0" w:type="dxa"/>
            <w:vMerge w:val="continue"/>
            <w:noWrap/>
            <w:vAlign w:val="center"/>
          </w:tcPr>
          <w:p>
            <w:pPr>
              <w:spacing w:line="360" w:lineRule="auto"/>
              <w:rPr>
                <w:rFonts w:ascii="宋体"/>
                <w:highlight w:val="none"/>
              </w:rPr>
            </w:pPr>
          </w:p>
        </w:tc>
        <w:tc>
          <w:tcPr>
            <w:tcW w:w="8221" w:type="dxa"/>
            <w:noWrap/>
            <w:vAlign w:val="center"/>
          </w:tcPr>
          <w:p>
            <w:pPr>
              <w:spacing w:line="360" w:lineRule="auto"/>
              <w:rPr>
                <w:rFonts w:hint="eastAsia" w:ascii="宋体" w:eastAsia="宋体"/>
                <w:highlight w:val="none"/>
                <w:lang w:eastAsia="zh-CN"/>
              </w:rPr>
            </w:pPr>
            <w:r>
              <w:rPr>
                <w:rFonts w:ascii="宋体" w:hAnsi="宋体" w:cs="宋体"/>
                <w:highlight w:val="none"/>
              </w:rPr>
              <w:t>2</w:t>
            </w:r>
            <w:r>
              <w:rPr>
                <w:rFonts w:hint="eastAsia" w:ascii="宋体" w:hAnsi="宋体" w:cs="宋体"/>
                <w:highlight w:val="none"/>
              </w:rPr>
              <w:t>、提供供应商资格声明函</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0" w:type="dxa"/>
            <w:vMerge w:val="continue"/>
            <w:noWrap/>
            <w:vAlign w:val="center"/>
          </w:tcPr>
          <w:p>
            <w:pPr>
              <w:spacing w:line="360" w:lineRule="auto"/>
              <w:rPr>
                <w:rFonts w:ascii="宋体"/>
                <w:highlight w:val="none"/>
              </w:rPr>
            </w:pPr>
          </w:p>
        </w:tc>
        <w:tc>
          <w:tcPr>
            <w:tcW w:w="8221" w:type="dxa"/>
            <w:noWrap/>
            <w:vAlign w:val="center"/>
          </w:tcPr>
          <w:p>
            <w:pPr>
              <w:spacing w:line="360" w:lineRule="auto"/>
              <w:rPr>
                <w:rFonts w:hint="eastAsia" w:ascii="宋体" w:eastAsia="宋体"/>
                <w:highlight w:val="none"/>
                <w:lang w:eastAsia="zh-CN"/>
              </w:rPr>
            </w:pPr>
            <w:r>
              <w:rPr>
                <w:rFonts w:ascii="宋体" w:hAnsi="宋体" w:cs="宋体"/>
                <w:highlight w:val="none"/>
              </w:rPr>
              <w:t>3</w:t>
            </w:r>
            <w:r>
              <w:rPr>
                <w:rFonts w:hint="eastAsia" w:ascii="宋体" w:hAnsi="宋体" w:cs="宋体"/>
                <w:highlight w:val="none"/>
              </w:rPr>
              <w:t>、落实政府采购政策需满足的资格要求：详见“第一章 公开招标采购公告 二、申请人的资格要求：2.落实政府采购政策需满足的资格要求”</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80" w:type="dxa"/>
            <w:vMerge w:val="continue"/>
            <w:noWrap/>
            <w:vAlign w:val="center"/>
          </w:tcPr>
          <w:p>
            <w:pPr>
              <w:spacing w:line="360" w:lineRule="auto"/>
              <w:rPr>
                <w:rFonts w:ascii="宋体"/>
                <w:highlight w:val="none"/>
              </w:rPr>
            </w:pPr>
          </w:p>
        </w:tc>
        <w:tc>
          <w:tcPr>
            <w:tcW w:w="8221" w:type="dxa"/>
            <w:tcBorders>
              <w:bottom w:val="single" w:color="auto" w:sz="8" w:space="0"/>
            </w:tcBorders>
            <w:noWrap/>
            <w:vAlign w:val="center"/>
          </w:tcPr>
          <w:p>
            <w:pPr>
              <w:spacing w:line="360" w:lineRule="auto"/>
              <w:rPr>
                <w:rFonts w:ascii="宋体"/>
                <w:highlight w:val="none"/>
              </w:rPr>
            </w:pPr>
            <w:r>
              <w:rPr>
                <w:rFonts w:ascii="宋体" w:hAnsi="宋体" w:cs="宋体"/>
                <w:highlight w:val="none"/>
              </w:rPr>
              <w:t>4.</w:t>
            </w:r>
            <w:r>
              <w:rPr>
                <w:rFonts w:hint="eastAsia" w:ascii="宋体" w:hAnsi="宋体" w:cs="宋体"/>
                <w:highlight w:val="none"/>
              </w:rPr>
              <w:t>本项目的特定资格要求：</w:t>
            </w:r>
            <w:r>
              <w:rPr>
                <w:rFonts w:hint="eastAsia" w:ascii="宋体" w:hAnsi="宋体" w:cs="宋体"/>
                <w:highlight w:val="none"/>
                <w:lang w:val="en-US" w:eastAsia="zh-CN"/>
              </w:rPr>
              <w:t>供应商具有《旅行社业务经营许可证》，许可经营业务范围须包含国内旅游业务/境内旅游业务</w:t>
            </w:r>
            <w:r>
              <w:rPr>
                <w:rFonts w:hint="eastAsia" w:ascii="宋体" w:hAnsi="宋体" w:cs="宋体"/>
                <w:highlight w:val="none"/>
              </w:rPr>
              <w:t>。</w:t>
            </w:r>
          </w:p>
        </w:tc>
      </w:tr>
    </w:tbl>
    <w:p>
      <w:pPr>
        <w:wordWrap w:val="0"/>
        <w:spacing w:line="320" w:lineRule="exact"/>
        <w:rPr>
          <w:b/>
          <w:highlight w:val="none"/>
        </w:rPr>
      </w:pPr>
    </w:p>
    <w:p>
      <w:pPr>
        <w:wordWrap w:val="0"/>
        <w:spacing w:line="320" w:lineRule="exact"/>
        <w:rPr>
          <w:b/>
          <w:highlight w:val="none"/>
        </w:rPr>
      </w:pPr>
      <w:r>
        <w:rPr>
          <w:b/>
          <w:highlight w:val="none"/>
        </w:rPr>
        <w:t>注：1、上述资格证明文件未按采购文件要求附入</w:t>
      </w:r>
      <w:r>
        <w:rPr>
          <w:rFonts w:hint="eastAsia"/>
          <w:b/>
          <w:highlight w:val="none"/>
          <w:lang w:eastAsia="zh-CN"/>
        </w:rPr>
        <w:t>投标文件</w:t>
      </w:r>
      <w:r>
        <w:rPr>
          <w:b/>
          <w:highlight w:val="none"/>
        </w:rPr>
        <w:t>中的，资格性审查不合格。</w:t>
      </w:r>
    </w:p>
    <w:p>
      <w:pPr>
        <w:wordWrap w:val="0"/>
        <w:spacing w:line="320" w:lineRule="exact"/>
        <w:ind w:firstLine="517" w:firstLineChars="245"/>
        <w:rPr>
          <w:b/>
          <w:highlight w:val="none"/>
        </w:rPr>
      </w:pPr>
      <w:r>
        <w:rPr>
          <w:b/>
          <w:highlight w:val="none"/>
        </w:rPr>
        <w:t>2、上述审查项目中，任意一项不符合的，资格性审查不合格。</w:t>
      </w:r>
    </w:p>
    <w:p>
      <w:pPr>
        <w:spacing w:line="360" w:lineRule="auto"/>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附表2：                             符合性审查表</w:t>
      </w:r>
    </w:p>
    <w:tbl>
      <w:tblPr>
        <w:tblStyle w:val="48"/>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05" w:type="dxa"/>
            <w:noWrap w:val="0"/>
            <w:vAlign w:val="top"/>
          </w:tcPr>
          <w:p>
            <w:pPr>
              <w:spacing w:line="360" w:lineRule="auto"/>
              <w:jc w:val="center"/>
              <w:rPr>
                <w:rFonts w:ascii="宋体" w:hAnsi="宋体"/>
                <w:sz w:val="21"/>
                <w:szCs w:val="21"/>
                <w:highlight w:val="none"/>
              </w:rPr>
            </w:pPr>
            <w:r>
              <w:rPr>
                <w:rFonts w:hint="eastAsia" w:ascii="宋体" w:hAnsi="宋体"/>
                <w:sz w:val="21"/>
                <w:szCs w:val="21"/>
                <w:highlight w:val="none"/>
              </w:rPr>
              <w:t>审查类别</w:t>
            </w:r>
          </w:p>
        </w:tc>
        <w:tc>
          <w:tcPr>
            <w:tcW w:w="7928" w:type="dxa"/>
            <w:noWrap w:val="0"/>
            <w:vAlign w:val="top"/>
          </w:tcPr>
          <w:p>
            <w:pPr>
              <w:spacing w:line="360" w:lineRule="auto"/>
              <w:jc w:val="center"/>
              <w:rPr>
                <w:rFonts w:ascii="宋体" w:hAnsi="宋体"/>
                <w:sz w:val="21"/>
                <w:szCs w:val="21"/>
                <w:highlight w:val="none"/>
              </w:rPr>
            </w:pPr>
            <w:r>
              <w:rPr>
                <w:rFonts w:hint="eastAsia" w:ascii="宋体" w:hAnsi="宋体"/>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05" w:type="dxa"/>
            <w:vMerge w:val="restart"/>
            <w:noWrap w:val="0"/>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符合性审查</w:t>
            </w:r>
          </w:p>
        </w:tc>
        <w:tc>
          <w:tcPr>
            <w:tcW w:w="7928" w:type="dxa"/>
            <w:noWrap w:val="0"/>
            <w:vAlign w:val="center"/>
          </w:tcPr>
          <w:p>
            <w:pPr>
              <w:tabs>
                <w:tab w:val="left" w:pos="612"/>
              </w:tabs>
              <w:spacing w:before="143" w:beforeLines="50" w:after="143" w:afterLines="50" w:line="360" w:lineRule="auto"/>
              <w:rPr>
                <w:rFonts w:ascii="宋体" w:hAnsi="宋体" w:cs="宋体"/>
                <w:sz w:val="21"/>
                <w:szCs w:val="21"/>
                <w:highlight w:val="none"/>
              </w:rPr>
            </w:pPr>
            <w:r>
              <w:rPr>
                <w:rFonts w:hint="eastAsia" w:ascii="宋体" w:hAnsi="宋体" w:cs="宋体"/>
                <w:kern w:val="0"/>
                <w:sz w:val="21"/>
                <w:szCs w:val="21"/>
                <w:highlight w:val="none"/>
                <w:lang w:eastAsia="zh-CN"/>
              </w:rPr>
              <w:t>投标</w:t>
            </w:r>
            <w:r>
              <w:rPr>
                <w:rFonts w:hint="eastAsia" w:ascii="宋体" w:hAnsi="宋体" w:cs="宋体"/>
                <w:kern w:val="0"/>
                <w:sz w:val="21"/>
                <w:szCs w:val="21"/>
                <w:highlight w:val="none"/>
              </w:rPr>
              <w:t>文件的组成是否符合</w:t>
            </w:r>
            <w:r>
              <w:rPr>
                <w:rFonts w:hint="eastAsia" w:ascii="宋体" w:hAnsi="宋体" w:cs="宋体"/>
                <w:kern w:val="0"/>
                <w:sz w:val="21"/>
                <w:szCs w:val="21"/>
                <w:highlight w:val="none"/>
                <w:lang w:val="en-US" w:eastAsia="zh-CN"/>
              </w:rPr>
              <w:t>采购</w:t>
            </w:r>
            <w:r>
              <w:rPr>
                <w:rFonts w:hint="eastAsia" w:ascii="宋体" w:hAnsi="宋体" w:cs="宋体"/>
                <w:kern w:val="0"/>
                <w:sz w:val="21"/>
                <w:szCs w:val="21"/>
                <w:highlight w:val="none"/>
              </w:rPr>
              <w:t>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005" w:type="dxa"/>
            <w:vMerge w:val="continue"/>
            <w:noWrap w:val="0"/>
            <w:vAlign w:val="top"/>
          </w:tcPr>
          <w:p>
            <w:pPr>
              <w:spacing w:line="360" w:lineRule="auto"/>
              <w:rPr>
                <w:rFonts w:ascii="宋体" w:hAnsi="宋体"/>
                <w:sz w:val="21"/>
                <w:szCs w:val="21"/>
                <w:highlight w:val="none"/>
              </w:rPr>
            </w:pPr>
          </w:p>
        </w:tc>
        <w:tc>
          <w:tcPr>
            <w:tcW w:w="7928" w:type="dxa"/>
            <w:noWrap w:val="0"/>
            <w:vAlign w:val="center"/>
          </w:tcPr>
          <w:p>
            <w:pPr>
              <w:tabs>
                <w:tab w:val="left" w:pos="612"/>
              </w:tabs>
              <w:spacing w:before="143" w:beforeLines="50" w:after="143" w:afterLines="50" w:line="360" w:lineRule="auto"/>
              <w:rPr>
                <w:rFonts w:ascii="宋体" w:hAnsi="宋体" w:cs="宋体"/>
                <w:sz w:val="21"/>
                <w:szCs w:val="21"/>
                <w:highlight w:val="none"/>
              </w:rPr>
            </w:pPr>
            <w:r>
              <w:rPr>
                <w:rFonts w:hint="eastAsia" w:ascii="宋体" w:hAnsi="宋体" w:cs="宋体"/>
                <w:kern w:val="0"/>
                <w:sz w:val="21"/>
                <w:szCs w:val="21"/>
                <w:highlight w:val="none"/>
                <w:lang w:val="en-US" w:eastAsia="zh-CN"/>
              </w:rPr>
              <w:t>投标</w:t>
            </w:r>
            <w:r>
              <w:rPr>
                <w:rFonts w:hint="eastAsia" w:ascii="宋体" w:hAnsi="宋体" w:cs="宋体"/>
                <w:kern w:val="0"/>
                <w:sz w:val="21"/>
                <w:szCs w:val="21"/>
                <w:highlight w:val="none"/>
              </w:rPr>
              <w:t>有效期是否符合</w:t>
            </w:r>
            <w:r>
              <w:rPr>
                <w:rFonts w:hint="eastAsia" w:ascii="宋体" w:hAnsi="宋体" w:cs="宋体"/>
                <w:kern w:val="0"/>
                <w:sz w:val="21"/>
                <w:szCs w:val="21"/>
                <w:highlight w:val="none"/>
                <w:lang w:val="en-US" w:eastAsia="zh-CN"/>
              </w:rPr>
              <w:t>采购</w:t>
            </w:r>
            <w:r>
              <w:rPr>
                <w:rFonts w:hint="eastAsia" w:ascii="宋体" w:hAnsi="宋体" w:cs="宋体"/>
                <w:kern w:val="0"/>
                <w:sz w:val="21"/>
                <w:szCs w:val="21"/>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vMerge w:val="continue"/>
            <w:noWrap w:val="0"/>
            <w:vAlign w:val="top"/>
          </w:tcPr>
          <w:p>
            <w:pPr>
              <w:spacing w:line="360" w:lineRule="auto"/>
              <w:rPr>
                <w:rFonts w:ascii="宋体" w:hAnsi="宋体"/>
                <w:sz w:val="21"/>
                <w:szCs w:val="21"/>
                <w:highlight w:val="none"/>
              </w:rPr>
            </w:pPr>
          </w:p>
        </w:tc>
        <w:tc>
          <w:tcPr>
            <w:tcW w:w="7928" w:type="dxa"/>
            <w:noWrap w:val="0"/>
            <w:vAlign w:val="center"/>
          </w:tcPr>
          <w:p>
            <w:pPr>
              <w:tabs>
                <w:tab w:val="left" w:pos="612"/>
              </w:tabs>
              <w:spacing w:before="143" w:beforeLines="50" w:after="143" w:afterLines="50"/>
              <w:rPr>
                <w:rFonts w:ascii="宋体" w:hAnsi="宋体" w:cs="宋体"/>
                <w:sz w:val="21"/>
                <w:szCs w:val="21"/>
                <w:highlight w:val="none"/>
              </w:rPr>
            </w:pPr>
            <w:r>
              <w:rPr>
                <w:rFonts w:hint="eastAsia" w:ascii="宋体" w:hAnsi="宋体" w:cs="宋体"/>
                <w:sz w:val="21"/>
                <w:szCs w:val="21"/>
                <w:highlight w:val="none"/>
                <w:lang w:eastAsia="zh-CN"/>
              </w:rPr>
              <w:t>投标</w:t>
            </w:r>
            <w:r>
              <w:rPr>
                <w:rFonts w:hint="eastAsia" w:ascii="宋体" w:hAnsi="宋体" w:cs="宋体"/>
                <w:sz w:val="21"/>
                <w:szCs w:val="21"/>
                <w:highlight w:val="none"/>
              </w:rPr>
              <w:t>文件是否按照</w:t>
            </w:r>
            <w:r>
              <w:rPr>
                <w:rFonts w:hint="eastAsia" w:ascii="宋体" w:hAnsi="宋体" w:cs="宋体"/>
                <w:sz w:val="21"/>
                <w:szCs w:val="21"/>
                <w:highlight w:val="none"/>
                <w:lang w:val="en-US" w:eastAsia="zh-CN"/>
              </w:rPr>
              <w:t>采购</w:t>
            </w:r>
            <w:r>
              <w:rPr>
                <w:rFonts w:hint="eastAsia" w:ascii="宋体" w:hAnsi="宋体" w:cs="宋体"/>
                <w:sz w:val="21"/>
                <w:szCs w:val="21"/>
                <w:highlight w:val="none"/>
              </w:rPr>
              <w:t>文件规定要求签署、盖章且</w:t>
            </w:r>
            <w:r>
              <w:rPr>
                <w:rFonts w:hint="eastAsia" w:ascii="宋体" w:hAnsi="宋体" w:cs="宋体"/>
                <w:sz w:val="21"/>
                <w:szCs w:val="21"/>
                <w:highlight w:val="none"/>
                <w:lang w:eastAsia="zh-CN"/>
              </w:rPr>
              <w:t>投标</w:t>
            </w:r>
            <w:r>
              <w:rPr>
                <w:rFonts w:hint="eastAsia" w:ascii="宋体" w:hAnsi="宋体" w:cs="宋体"/>
                <w:sz w:val="21"/>
                <w:szCs w:val="21"/>
                <w:highlight w:val="none"/>
              </w:rPr>
              <w:t>文件是否有法定代表人</w:t>
            </w:r>
            <w:r>
              <w:rPr>
                <w:rFonts w:hint="eastAsia" w:ascii="宋体" w:hAnsi="宋体" w:cs="宋体"/>
                <w:sz w:val="21"/>
                <w:szCs w:val="21"/>
                <w:highlight w:val="none"/>
                <w:lang w:eastAsia="zh-TW"/>
              </w:rPr>
              <w:t>签署本人姓名（或印盖本人姓名章）</w:t>
            </w:r>
            <w:r>
              <w:rPr>
                <w:rFonts w:hint="eastAsia" w:ascii="宋体" w:hAnsi="宋体" w:cs="宋体"/>
                <w:sz w:val="21"/>
                <w:szCs w:val="21"/>
                <w:highlight w:val="none"/>
              </w:rPr>
              <w:t>，或</w:t>
            </w:r>
            <w:r>
              <w:rPr>
                <w:rFonts w:hint="eastAsia" w:ascii="宋体" w:hAnsi="宋体" w:cs="宋体"/>
                <w:sz w:val="21"/>
                <w:szCs w:val="21"/>
                <w:highlight w:val="none"/>
                <w:lang w:eastAsia="zh-TW"/>
              </w:rPr>
              <w:t>签署</w:t>
            </w:r>
            <w:r>
              <w:rPr>
                <w:rFonts w:hint="eastAsia" w:ascii="宋体" w:hAnsi="宋体" w:cs="宋体"/>
                <w:sz w:val="21"/>
                <w:szCs w:val="21"/>
                <w:highlight w:val="none"/>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vMerge w:val="continue"/>
            <w:noWrap w:val="0"/>
            <w:vAlign w:val="top"/>
          </w:tcPr>
          <w:p>
            <w:pPr>
              <w:spacing w:line="360" w:lineRule="auto"/>
              <w:rPr>
                <w:rFonts w:ascii="宋体" w:hAnsi="宋体"/>
                <w:sz w:val="21"/>
                <w:szCs w:val="21"/>
                <w:highlight w:val="none"/>
              </w:rPr>
            </w:pPr>
          </w:p>
        </w:tc>
        <w:tc>
          <w:tcPr>
            <w:tcW w:w="7928" w:type="dxa"/>
            <w:noWrap w:val="0"/>
            <w:vAlign w:val="center"/>
          </w:tcPr>
          <w:p>
            <w:pPr>
              <w:tabs>
                <w:tab w:val="left" w:pos="612"/>
              </w:tabs>
              <w:spacing w:before="143" w:beforeLines="50" w:after="143" w:afterLines="50" w:line="360" w:lineRule="auto"/>
              <w:rPr>
                <w:rFonts w:ascii="宋体" w:hAnsi="宋体" w:cs="宋体"/>
                <w:kern w:val="0"/>
                <w:sz w:val="21"/>
                <w:szCs w:val="21"/>
                <w:highlight w:val="none"/>
              </w:rPr>
            </w:pPr>
            <w:r>
              <w:rPr>
                <w:rFonts w:hint="eastAsia" w:ascii="宋体" w:hAnsi="宋体" w:cs="宋体"/>
                <w:sz w:val="21"/>
                <w:szCs w:val="21"/>
                <w:highlight w:val="none"/>
                <w:lang w:eastAsia="zh-CN"/>
              </w:rPr>
              <w:t>投标</w:t>
            </w:r>
            <w:r>
              <w:rPr>
                <w:rFonts w:hint="eastAsia" w:ascii="宋体" w:hAnsi="宋体" w:cs="宋体"/>
                <w:sz w:val="21"/>
                <w:szCs w:val="21"/>
                <w:highlight w:val="none"/>
              </w:rPr>
              <w:t>文件是否满足</w:t>
            </w:r>
            <w:r>
              <w:rPr>
                <w:rFonts w:hint="eastAsia" w:ascii="宋体" w:hAnsi="宋体" w:cs="宋体"/>
                <w:sz w:val="21"/>
                <w:szCs w:val="21"/>
                <w:highlight w:val="none"/>
                <w:lang w:eastAsia="zh-CN"/>
              </w:rPr>
              <w:t>采购</w:t>
            </w:r>
            <w:r>
              <w:rPr>
                <w:rFonts w:hint="eastAsia" w:ascii="宋体" w:hAnsi="宋体" w:cs="宋体"/>
                <w:sz w:val="21"/>
                <w:szCs w:val="21"/>
                <w:highlight w:val="none"/>
              </w:rPr>
              <w:t>文件的实质性条款无负偏离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vMerge w:val="continue"/>
            <w:noWrap w:val="0"/>
            <w:vAlign w:val="top"/>
          </w:tcPr>
          <w:p>
            <w:pPr>
              <w:spacing w:line="360" w:lineRule="auto"/>
              <w:rPr>
                <w:rFonts w:ascii="宋体" w:hAnsi="宋体"/>
                <w:sz w:val="21"/>
                <w:szCs w:val="21"/>
                <w:highlight w:val="none"/>
              </w:rPr>
            </w:pPr>
          </w:p>
        </w:tc>
        <w:tc>
          <w:tcPr>
            <w:tcW w:w="7928" w:type="dxa"/>
            <w:noWrap w:val="0"/>
            <w:vAlign w:val="center"/>
          </w:tcPr>
          <w:p>
            <w:pPr>
              <w:tabs>
                <w:tab w:val="left" w:pos="612"/>
              </w:tabs>
              <w:spacing w:before="143" w:beforeLines="50" w:after="143" w:afterLines="50" w:line="360" w:lineRule="auto"/>
              <w:rPr>
                <w:rFonts w:ascii="宋体" w:hAnsi="宋体" w:cs="宋体"/>
                <w:sz w:val="21"/>
                <w:szCs w:val="21"/>
                <w:highlight w:val="none"/>
              </w:rPr>
            </w:pPr>
            <w:r>
              <w:rPr>
                <w:rFonts w:hint="eastAsia" w:ascii="宋体" w:hAnsi="宋体" w:cs="宋体"/>
                <w:sz w:val="21"/>
                <w:szCs w:val="21"/>
                <w:highlight w:val="none"/>
              </w:rPr>
              <w:t>最终报价是否超过</w:t>
            </w:r>
            <w:r>
              <w:rPr>
                <w:rFonts w:hint="eastAsia" w:ascii="宋体" w:hAnsi="宋体" w:cs="宋体"/>
                <w:sz w:val="21"/>
                <w:szCs w:val="21"/>
                <w:highlight w:val="none"/>
                <w:lang w:eastAsia="zh-CN"/>
              </w:rPr>
              <w:t>采购</w:t>
            </w:r>
            <w:r>
              <w:rPr>
                <w:rFonts w:hint="eastAsia" w:ascii="宋体" w:hAnsi="宋体" w:cs="宋体"/>
                <w:sz w:val="21"/>
                <w:szCs w:val="21"/>
                <w:highlight w:val="none"/>
              </w:rPr>
              <w:t>文件中规定的采购预算金额或者最高限价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2005" w:type="dxa"/>
            <w:vMerge w:val="continue"/>
            <w:noWrap w:val="0"/>
            <w:vAlign w:val="top"/>
          </w:tcPr>
          <w:p>
            <w:pPr>
              <w:spacing w:line="360" w:lineRule="auto"/>
              <w:rPr>
                <w:rFonts w:ascii="宋体" w:hAnsi="宋体"/>
                <w:sz w:val="21"/>
                <w:szCs w:val="21"/>
                <w:highlight w:val="none"/>
              </w:rPr>
            </w:pPr>
          </w:p>
        </w:tc>
        <w:tc>
          <w:tcPr>
            <w:tcW w:w="7928" w:type="dxa"/>
            <w:noWrap w:val="0"/>
            <w:vAlign w:val="center"/>
          </w:tcPr>
          <w:p>
            <w:pPr>
              <w:tabs>
                <w:tab w:val="left" w:pos="612"/>
              </w:tabs>
              <w:spacing w:before="143" w:beforeLines="50" w:after="143" w:afterLines="50"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评标</w:t>
            </w:r>
            <w:r>
              <w:rPr>
                <w:rFonts w:hint="eastAsia" w:ascii="宋体" w:hAnsi="宋体" w:cs="宋体"/>
                <w:sz w:val="21"/>
                <w:szCs w:val="21"/>
                <w:highlight w:val="none"/>
              </w:rPr>
              <w:t>小组认为供应商的报价明显低于其他供应商的报价，有可能影响产品质量或者不能诚信履约的，应当要求其在评审现场合理的时间内提供书面说明，必要时递交相关证明材料；供应商不能证明其报价合理性的，</w:t>
            </w:r>
            <w:r>
              <w:rPr>
                <w:rFonts w:hint="eastAsia" w:ascii="宋体" w:hAnsi="宋体" w:cs="宋体"/>
                <w:sz w:val="21"/>
                <w:szCs w:val="21"/>
                <w:highlight w:val="none"/>
                <w:lang w:val="en-US" w:eastAsia="zh-CN"/>
              </w:rPr>
              <w:t>评标</w:t>
            </w:r>
            <w:r>
              <w:rPr>
                <w:rFonts w:hint="eastAsia" w:ascii="宋体" w:hAnsi="宋体" w:cs="宋体"/>
                <w:sz w:val="21"/>
                <w:szCs w:val="21"/>
                <w:highlight w:val="none"/>
              </w:rPr>
              <w:t>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vMerge w:val="continue"/>
            <w:noWrap w:val="0"/>
            <w:vAlign w:val="top"/>
          </w:tcPr>
          <w:p>
            <w:pPr>
              <w:spacing w:line="360" w:lineRule="auto"/>
              <w:rPr>
                <w:rFonts w:ascii="宋体" w:hAnsi="宋体"/>
                <w:sz w:val="21"/>
                <w:szCs w:val="21"/>
                <w:highlight w:val="none"/>
              </w:rPr>
            </w:pPr>
          </w:p>
        </w:tc>
        <w:tc>
          <w:tcPr>
            <w:tcW w:w="7928" w:type="dxa"/>
            <w:noWrap w:val="0"/>
            <w:vAlign w:val="center"/>
          </w:tcPr>
          <w:p>
            <w:pPr>
              <w:spacing w:before="143" w:beforeLines="50" w:after="143" w:afterLines="50" w:line="360" w:lineRule="auto"/>
              <w:rPr>
                <w:rFonts w:ascii="宋体" w:hAnsi="宋体" w:cs="宋体"/>
                <w:sz w:val="21"/>
                <w:szCs w:val="21"/>
                <w:highlight w:val="none"/>
              </w:rPr>
            </w:pPr>
            <w:r>
              <w:rPr>
                <w:rFonts w:hint="eastAsia" w:ascii="宋体" w:hAnsi="宋体" w:cs="宋体"/>
                <w:sz w:val="21"/>
                <w:szCs w:val="21"/>
                <w:highlight w:val="none"/>
                <w:lang w:eastAsia="zh-CN"/>
              </w:rPr>
              <w:t>投标</w:t>
            </w:r>
            <w:r>
              <w:rPr>
                <w:rFonts w:hint="eastAsia" w:ascii="宋体" w:hAnsi="宋体" w:cs="宋体"/>
                <w:sz w:val="21"/>
                <w:szCs w:val="21"/>
                <w:highlight w:val="none"/>
              </w:rPr>
              <w:t>文件是否有</w:t>
            </w:r>
            <w:r>
              <w:rPr>
                <w:rFonts w:hint="eastAsia" w:ascii="宋体" w:hAnsi="宋体" w:cs="宋体"/>
                <w:sz w:val="21"/>
                <w:szCs w:val="21"/>
                <w:highlight w:val="none"/>
                <w:lang w:val="en-US" w:eastAsia="zh-CN"/>
              </w:rPr>
              <w:t>采购</w:t>
            </w:r>
            <w:r>
              <w:rPr>
                <w:rFonts w:hint="eastAsia" w:ascii="宋体" w:hAnsi="宋体" w:cs="宋体"/>
                <w:sz w:val="21"/>
                <w:szCs w:val="21"/>
                <w:highlight w:val="none"/>
              </w:rPr>
              <w:t>文件中规定的</w:t>
            </w:r>
            <w:r>
              <w:rPr>
                <w:rFonts w:hint="eastAsia" w:ascii="宋体" w:hAnsi="宋体" w:cs="宋体"/>
                <w:sz w:val="21"/>
                <w:szCs w:val="21"/>
                <w:highlight w:val="none"/>
                <w:lang w:eastAsia="zh-CN"/>
              </w:rPr>
              <w:t>其他无效</w:t>
            </w:r>
            <w:r>
              <w:rPr>
                <w:rFonts w:hint="eastAsia" w:ascii="宋体" w:hAnsi="宋体" w:cs="宋体"/>
                <w:sz w:val="21"/>
                <w:szCs w:val="21"/>
                <w:highlight w:val="none"/>
              </w:rPr>
              <w:t>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vMerge w:val="continue"/>
            <w:noWrap w:val="0"/>
            <w:vAlign w:val="top"/>
          </w:tcPr>
          <w:p>
            <w:pPr>
              <w:spacing w:line="360" w:lineRule="auto"/>
              <w:rPr>
                <w:rFonts w:ascii="宋体" w:hAnsi="宋体"/>
                <w:sz w:val="21"/>
                <w:szCs w:val="21"/>
                <w:highlight w:val="none"/>
              </w:rPr>
            </w:pPr>
          </w:p>
        </w:tc>
        <w:tc>
          <w:tcPr>
            <w:tcW w:w="7928" w:type="dxa"/>
            <w:noWrap w:val="0"/>
            <w:vAlign w:val="center"/>
          </w:tcPr>
          <w:p>
            <w:pPr>
              <w:spacing w:before="143" w:beforeLines="50" w:after="143" w:afterLines="50" w:line="360" w:lineRule="auto"/>
              <w:rPr>
                <w:rFonts w:ascii="宋体" w:hAnsi="宋体" w:cs="宋体"/>
                <w:sz w:val="21"/>
                <w:szCs w:val="21"/>
                <w:highlight w:val="none"/>
              </w:rPr>
            </w:pPr>
            <w:r>
              <w:rPr>
                <w:rFonts w:hint="eastAsia" w:ascii="宋体" w:hAnsi="宋体" w:cs="宋体"/>
                <w:sz w:val="21"/>
                <w:szCs w:val="21"/>
                <w:highlight w:val="none"/>
              </w:rPr>
              <w:t>按有关法律、法规、规章是否属于响应无效的</w:t>
            </w:r>
          </w:p>
        </w:tc>
      </w:tr>
    </w:tbl>
    <w:p>
      <w:pPr>
        <w:spacing w:line="360" w:lineRule="auto"/>
        <w:rPr>
          <w:rFonts w:hint="eastAsia" w:ascii="宋体" w:hAnsi="宋体"/>
          <w:szCs w:val="21"/>
          <w:highlight w:val="none"/>
        </w:rPr>
      </w:pPr>
    </w:p>
    <w:p>
      <w:pPr>
        <w:spacing w:line="360" w:lineRule="auto"/>
        <w:ind w:firstLine="422" w:firstLineChars="200"/>
        <w:rPr>
          <w:rFonts w:ascii="宋体" w:hAnsi="宋体" w:cs="宋体"/>
          <w:highlight w:val="none"/>
        </w:rPr>
      </w:pPr>
      <w:r>
        <w:rPr>
          <w:rFonts w:hint="eastAsia" w:ascii="宋体" w:hAnsi="宋体"/>
          <w:b/>
          <w:highlight w:val="none"/>
        </w:rPr>
        <w:t>注：上述审查项目中，任意一项不符合的，符合性审查不合格。</w:t>
      </w:r>
    </w:p>
    <w:p>
      <w:pPr>
        <w:rPr>
          <w:rFonts w:hint="eastAsia" w:ascii="宋体" w:hAnsi="宋体"/>
          <w:szCs w:val="21"/>
          <w:highlight w:val="none"/>
        </w:rPr>
      </w:pPr>
      <w:r>
        <w:rPr>
          <w:rFonts w:hint="eastAsia" w:ascii="宋体" w:hAnsi="宋体"/>
          <w:szCs w:val="21"/>
          <w:highlight w:val="none"/>
        </w:rPr>
        <w:br w:type="page"/>
      </w:r>
    </w:p>
    <w:p>
      <w:pPr>
        <w:spacing w:line="360" w:lineRule="auto"/>
        <w:rPr>
          <w:rFonts w:hint="eastAsia" w:ascii="宋体" w:hAnsi="宋体"/>
          <w:szCs w:val="21"/>
          <w:highlight w:val="none"/>
        </w:rPr>
      </w:pPr>
      <w:r>
        <w:rPr>
          <w:rFonts w:hint="eastAsia" w:ascii="宋体" w:hAnsi="宋体"/>
          <w:szCs w:val="21"/>
          <w:highlight w:val="none"/>
        </w:rPr>
        <w:t>附表3</w:t>
      </w:r>
    </w:p>
    <w:p>
      <w:pPr>
        <w:spacing w:line="360" w:lineRule="auto"/>
        <w:jc w:val="center"/>
        <w:rPr>
          <w:rFonts w:hint="eastAsia" w:ascii="宋体" w:hAnsi="宋体"/>
          <w:b/>
          <w:sz w:val="24"/>
          <w:szCs w:val="24"/>
          <w:highlight w:val="none"/>
        </w:rPr>
      </w:pPr>
      <w:r>
        <w:rPr>
          <w:rFonts w:hint="eastAsia" w:ascii="宋体" w:hAnsi="宋体"/>
          <w:b/>
          <w:sz w:val="24"/>
          <w:szCs w:val="24"/>
          <w:highlight w:val="none"/>
        </w:rPr>
        <w:t>评分标准（兼评委打分表）</w:t>
      </w:r>
    </w:p>
    <w:tbl>
      <w:tblPr>
        <w:tblStyle w:val="4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25"/>
        <w:gridCol w:w="666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666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评分内容</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lang w:val="en-US" w:eastAsia="zh-CN"/>
              </w:rPr>
            </w:pPr>
          </w:p>
        </w:tc>
        <w:tc>
          <w:tcPr>
            <w:tcW w:w="142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项目分析</w:t>
            </w:r>
            <w:r>
              <w:rPr>
                <w:rFonts w:hint="eastAsia" w:ascii="宋体" w:hAnsi="宋体" w:eastAsia="宋体" w:cs="宋体"/>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w:t>
            </w:r>
            <w:r>
              <w:rPr>
                <w:rFonts w:hint="eastAsia" w:ascii="宋体" w:hAnsi="宋体" w:cs="宋体"/>
                <w:highlight w:val="none"/>
                <w:lang w:val="en-US" w:eastAsia="zh-CN"/>
              </w:rPr>
              <w:t>8</w:t>
            </w:r>
            <w:r>
              <w:rPr>
                <w:rFonts w:hint="eastAsia" w:ascii="宋体" w:hAnsi="宋体" w:eastAsia="宋体" w:cs="宋体"/>
                <w:highlight w:val="none"/>
                <w:lang w:val="en-US" w:eastAsia="zh-CN"/>
              </w:rPr>
              <w:t>分</w:t>
            </w:r>
            <w:r>
              <w:rPr>
                <w:rFonts w:hint="eastAsia" w:ascii="宋体" w:hAnsi="宋体" w:eastAsia="宋体" w:cs="宋体"/>
                <w:highlight w:val="none"/>
                <w:lang w:eastAsia="zh-CN"/>
              </w:rPr>
              <w:t>）</w:t>
            </w:r>
          </w:p>
        </w:tc>
        <w:tc>
          <w:tcPr>
            <w:tcW w:w="6660" w:type="dxa"/>
            <w:noWrap w:val="0"/>
            <w:tcMar>
              <w:left w:w="28" w:type="dxa"/>
              <w:right w:w="28" w:type="dxa"/>
            </w:tcMar>
            <w:vAlign w:val="center"/>
          </w:tcPr>
          <w:p>
            <w:pPr>
              <w:keepNext w:val="0"/>
              <w:keepLines w:val="0"/>
              <w:pageBreakBefore w:val="0"/>
              <w:kinsoku/>
              <w:wordWrap/>
              <w:overflowPunct/>
              <w:bidi w:val="0"/>
              <w:adjustRightInd w:val="0"/>
              <w:snapToGrid w:val="0"/>
              <w:spacing w:line="38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kern w:val="0"/>
                <w:highlight w:val="none"/>
              </w:rPr>
              <w:t>对本次疗休养实施</w:t>
            </w:r>
            <w:r>
              <w:rPr>
                <w:rFonts w:hint="eastAsia" w:ascii="宋体" w:hAnsi="宋体" w:eastAsia="宋体" w:cs="宋体"/>
                <w:color w:val="auto"/>
                <w:highlight w:val="none"/>
                <w:lang w:val="zh-CN"/>
              </w:rPr>
              <w:t>工作程序和步骤、管理和协调方法以及关键步骤和要点等情况分析</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bidi w:val="0"/>
              <w:adjustRightInd w:val="0"/>
              <w:snapToGrid w:val="0"/>
              <w:spacing w:line="38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①符合实际情况、工作程序和步骤</w:t>
            </w:r>
            <w:r>
              <w:rPr>
                <w:rFonts w:hint="eastAsia" w:ascii="宋体" w:hAnsi="宋体" w:eastAsia="宋体" w:cs="宋体"/>
                <w:color w:val="auto"/>
                <w:szCs w:val="21"/>
                <w:highlight w:val="none"/>
                <w:lang w:val="en-US" w:eastAsia="zh-CN"/>
              </w:rPr>
              <w:t>严谨有序、</w:t>
            </w:r>
            <w:r>
              <w:rPr>
                <w:rFonts w:hint="eastAsia" w:ascii="宋体" w:hAnsi="宋体" w:eastAsia="宋体" w:cs="宋体"/>
                <w:bCs/>
                <w:color w:val="auto"/>
                <w:kern w:val="0"/>
                <w:highlight w:val="none"/>
                <w:lang w:val="en-US" w:eastAsia="zh-CN"/>
              </w:rPr>
              <w:t>对</w:t>
            </w:r>
            <w:r>
              <w:rPr>
                <w:rFonts w:hint="eastAsia" w:ascii="宋体" w:hAnsi="宋体" w:eastAsia="宋体" w:cs="宋体"/>
                <w:color w:val="auto"/>
                <w:highlight w:val="none"/>
                <w:lang w:val="zh-CN"/>
              </w:rPr>
              <w:t>关键步骤和要点分析</w:t>
            </w:r>
            <w:r>
              <w:rPr>
                <w:rFonts w:hint="eastAsia" w:ascii="宋体" w:hAnsi="宋体" w:eastAsia="宋体" w:cs="宋体"/>
                <w:bCs/>
                <w:color w:val="auto"/>
                <w:kern w:val="0"/>
                <w:highlight w:val="none"/>
                <w:lang w:val="en-US" w:eastAsia="zh-CN"/>
              </w:rPr>
              <w:t>精准、</w:t>
            </w:r>
            <w:r>
              <w:rPr>
                <w:rFonts w:hint="eastAsia" w:ascii="宋体" w:hAnsi="宋体" w:eastAsia="宋体" w:cs="宋体"/>
                <w:color w:val="auto"/>
                <w:highlight w:val="none"/>
                <w:lang w:val="zh-CN"/>
              </w:rPr>
              <w:t>管理和协调方法</w:t>
            </w:r>
            <w:r>
              <w:rPr>
                <w:rFonts w:hint="eastAsia" w:ascii="宋体" w:hAnsi="宋体" w:eastAsia="宋体" w:cs="宋体"/>
                <w:bCs/>
                <w:color w:val="auto"/>
                <w:sz w:val="21"/>
                <w:szCs w:val="21"/>
                <w:highlight w:val="none"/>
                <w:lang w:eastAsia="zh-CN"/>
              </w:rPr>
              <w:t>具体详尽、针对性强的得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w:t>
            </w:r>
          </w:p>
          <w:p>
            <w:pPr>
              <w:keepNext w:val="0"/>
              <w:keepLines w:val="0"/>
              <w:pageBreakBefore w:val="0"/>
              <w:kinsoku/>
              <w:wordWrap/>
              <w:overflowPunct/>
              <w:bidi w:val="0"/>
              <w:adjustRightInd w:val="0"/>
              <w:snapToGrid w:val="0"/>
              <w:spacing w:line="38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②</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lang w:eastAsia="zh-CN"/>
              </w:rPr>
              <w:t>细节上略有欠缺、但能</w:t>
            </w:r>
            <w:r>
              <w:rPr>
                <w:rFonts w:hint="eastAsia" w:ascii="宋体" w:hAnsi="宋体" w:eastAsia="宋体" w:cs="宋体"/>
                <w:bCs/>
                <w:color w:val="auto"/>
                <w:sz w:val="21"/>
                <w:szCs w:val="21"/>
                <w:highlight w:val="none"/>
                <w:lang w:val="en-US" w:eastAsia="zh-CN"/>
              </w:rPr>
              <w:t>满足本项目需求</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③了解片面、</w:t>
            </w:r>
            <w:r>
              <w:rPr>
                <w:rFonts w:hint="eastAsia" w:ascii="宋体" w:hAnsi="宋体" w:eastAsia="宋体" w:cs="宋体"/>
                <w:bCs/>
                <w:color w:val="auto"/>
                <w:sz w:val="21"/>
                <w:szCs w:val="21"/>
                <w:highlight w:val="none"/>
              </w:rPr>
              <w:t>与</w:t>
            </w:r>
            <w:r>
              <w:rPr>
                <w:rFonts w:hint="eastAsia" w:ascii="宋体" w:hAnsi="宋体" w:eastAsia="宋体" w:cs="宋体"/>
                <w:bCs/>
                <w:color w:val="auto"/>
                <w:sz w:val="21"/>
                <w:szCs w:val="21"/>
                <w:highlight w:val="none"/>
                <w:lang w:eastAsia="zh-CN"/>
              </w:rPr>
              <w:t>实际情况</w:t>
            </w:r>
            <w:r>
              <w:rPr>
                <w:rFonts w:hint="eastAsia" w:ascii="宋体" w:hAnsi="宋体" w:eastAsia="宋体" w:cs="宋体"/>
                <w:bCs/>
                <w:color w:val="auto"/>
                <w:sz w:val="21"/>
                <w:szCs w:val="21"/>
                <w:highlight w:val="none"/>
              </w:rPr>
              <w:t>存在一定偏差的得1分</w:t>
            </w:r>
            <w:r>
              <w:rPr>
                <w:rFonts w:hint="eastAsia" w:ascii="宋体" w:hAnsi="宋体" w:eastAsia="宋体" w:cs="宋体"/>
                <w:bCs/>
                <w:color w:val="auto"/>
                <w:sz w:val="21"/>
                <w:szCs w:val="21"/>
                <w:highlight w:val="none"/>
                <w:lang w:eastAsia="zh-CN"/>
              </w:rPr>
              <w:t>；缺项不得分。</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1425"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highlight w:val="none"/>
                <w:lang w:eastAsia="zh-CN"/>
              </w:rPr>
            </w:pPr>
            <w:r>
              <w:rPr>
                <w:rFonts w:hint="eastAsia" w:ascii="宋体" w:hAnsi="宋体" w:eastAsia="宋体" w:cs="宋体"/>
                <w:highlight w:val="none"/>
              </w:rPr>
              <w:t>线路</w:t>
            </w:r>
            <w:r>
              <w:rPr>
                <w:rFonts w:hint="eastAsia" w:ascii="宋体" w:hAnsi="宋体" w:eastAsia="宋体" w:cs="宋体"/>
                <w:highlight w:val="none"/>
                <w:lang w:eastAsia="zh-CN"/>
              </w:rPr>
              <w:t>规划方案</w:t>
            </w:r>
          </w:p>
          <w:p>
            <w:pPr>
              <w:pStyle w:val="47"/>
              <w:keepNext w:val="0"/>
              <w:keepLines w:val="0"/>
              <w:pageBreakBefore w:val="0"/>
              <w:widowControl w:val="0"/>
              <w:kinsoku/>
              <w:wordWrap/>
              <w:overflowPunct/>
              <w:topLinePunct w:val="0"/>
              <w:bidi w:val="0"/>
              <w:spacing w:line="360" w:lineRule="exact"/>
              <w:ind w:left="0" w:leftChars="0" w:firstLine="210" w:firstLineChars="100"/>
              <w:jc w:val="both"/>
              <w:rPr>
                <w:rFonts w:hint="eastAsia" w:ascii="宋体" w:hAnsi="宋体" w:eastAsia="宋体" w:cs="宋体"/>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660" w:type="dxa"/>
            <w:noWrap w:val="0"/>
            <w:tcMar>
              <w:left w:w="28" w:type="dxa"/>
              <w:right w:w="28" w:type="dxa"/>
            </w:tcMar>
            <w:vAlign w:val="center"/>
          </w:tcPr>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根据本项目要求，提供每条线路详细的行程单，标明各景点特色、文化背景等，根据详尽程度</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①提供的线路行程详细，景点有特色，</w:t>
            </w:r>
            <w:r>
              <w:rPr>
                <w:rFonts w:hint="eastAsia" w:ascii="宋体" w:hAnsi="宋体" w:eastAsia="宋体" w:cs="宋体"/>
                <w:b w:val="0"/>
                <w:bCs w:val="0"/>
                <w:color w:val="auto"/>
                <w:w w:val="100"/>
                <w:sz w:val="21"/>
                <w:szCs w:val="21"/>
                <w:highlight w:val="none"/>
                <w:lang w:val="en-US" w:eastAsia="zh-CN"/>
              </w:rPr>
              <w:t>可以满足项目实施要求的得</w:t>
            </w:r>
            <w:r>
              <w:rPr>
                <w:rFonts w:hint="eastAsia" w:cs="宋体"/>
                <w:b w:val="0"/>
                <w:bCs w:val="0"/>
                <w:color w:val="auto"/>
                <w:sz w:val="21"/>
                <w:szCs w:val="21"/>
                <w:highlight w:val="none"/>
                <w:lang w:val="en-US" w:eastAsia="zh-CN"/>
              </w:rPr>
              <w:t>8</w:t>
            </w:r>
            <w:r>
              <w:rPr>
                <w:rFonts w:hint="eastAsia" w:ascii="宋体" w:hAnsi="宋体" w:eastAsia="宋体" w:cs="宋体"/>
                <w:b w:val="0"/>
                <w:bCs w:val="0"/>
                <w:color w:val="auto"/>
                <w:w w:val="100"/>
                <w:sz w:val="21"/>
                <w:szCs w:val="21"/>
                <w:highlight w:val="none"/>
                <w:lang w:val="en-US" w:eastAsia="zh-CN"/>
              </w:rPr>
              <w:t>分；</w:t>
            </w:r>
            <w:r>
              <w:rPr>
                <w:rFonts w:hint="eastAsia" w:ascii="宋体" w:hAnsi="宋体" w:eastAsia="宋体" w:cs="宋体"/>
                <w:color w:val="auto"/>
                <w:sz w:val="21"/>
                <w:szCs w:val="21"/>
                <w:highlight w:val="none"/>
                <w:lang w:val="en-US" w:eastAsia="zh-CN"/>
              </w:rPr>
              <w:t>②线路安排合理，</w:t>
            </w:r>
            <w:r>
              <w:rPr>
                <w:rFonts w:hint="eastAsia" w:ascii="宋体" w:hAnsi="宋体" w:eastAsia="宋体" w:cs="宋体"/>
                <w:b w:val="0"/>
                <w:bCs w:val="0"/>
                <w:color w:val="auto"/>
                <w:w w:val="100"/>
                <w:sz w:val="21"/>
                <w:szCs w:val="21"/>
                <w:highlight w:val="none"/>
                <w:lang w:val="en-US" w:eastAsia="zh-CN"/>
              </w:rPr>
              <w:t>基本能够满足项目实施要求的</w:t>
            </w:r>
            <w:r>
              <w:rPr>
                <w:rFonts w:hint="eastAsia" w:ascii="宋体" w:hAnsi="宋体" w:eastAsia="宋体" w:cs="宋体"/>
                <w:color w:val="auto"/>
                <w:sz w:val="21"/>
                <w:szCs w:val="21"/>
                <w:highlight w:val="none"/>
                <w:lang w:val="en-US" w:eastAsia="zh-CN"/>
              </w:rPr>
              <w:t>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③内容比较简单，虽然存在一些不足但无明显重大缺陷的得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④内容简单、笼统，存在较多的不足，可行性差的得2分；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⑤提交的内容严重不符合项目实际且明显缺乏可行性的得1分；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⑥未提供方案的不得分。</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6660" w:type="dxa"/>
            <w:noWrap w:val="0"/>
            <w:tcMar>
              <w:left w:w="28" w:type="dxa"/>
              <w:right w:w="28" w:type="dxa"/>
            </w:tcMar>
            <w:vAlign w:val="center"/>
          </w:tcPr>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根据本项目要求，提供景点与酒店之间的车程时间安排及游玩时间安排，根据合理性情况</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sz w:val="21"/>
                <w:szCs w:val="21"/>
                <w:highlight w:val="none"/>
                <w:lang w:eastAsia="zh-CN"/>
              </w:rPr>
              <w:t>①提供的各项时间安排严谨合理，</w:t>
            </w:r>
            <w:r>
              <w:rPr>
                <w:rFonts w:hint="eastAsia" w:ascii="宋体" w:hAnsi="宋体" w:eastAsia="宋体" w:cs="宋体"/>
                <w:b w:val="0"/>
                <w:bCs w:val="0"/>
                <w:color w:val="auto"/>
                <w:w w:val="100"/>
                <w:sz w:val="21"/>
                <w:szCs w:val="21"/>
                <w:highlight w:val="none"/>
                <w:lang w:val="en-US" w:eastAsia="zh-CN"/>
              </w:rPr>
              <w:t>可以满足项目实施要求的得</w:t>
            </w:r>
            <w:r>
              <w:rPr>
                <w:rFonts w:hint="eastAsia" w:cs="宋体"/>
                <w:b w:val="0"/>
                <w:bCs w:val="0"/>
                <w:color w:val="auto"/>
                <w:sz w:val="21"/>
                <w:szCs w:val="21"/>
                <w:highlight w:val="none"/>
                <w:lang w:val="en-US" w:eastAsia="zh-CN"/>
              </w:rPr>
              <w:t>8</w:t>
            </w:r>
            <w:r>
              <w:rPr>
                <w:rFonts w:hint="eastAsia" w:ascii="宋体" w:hAnsi="宋体" w:eastAsia="宋体" w:cs="宋体"/>
                <w:b w:val="0"/>
                <w:bCs w:val="0"/>
                <w:color w:val="auto"/>
                <w:w w:val="100"/>
                <w:sz w:val="21"/>
                <w:szCs w:val="21"/>
                <w:highlight w:val="none"/>
                <w:lang w:val="en-US" w:eastAsia="zh-CN"/>
              </w:rPr>
              <w:t>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b w:val="0"/>
                <w:bCs w:val="0"/>
                <w:color w:val="auto"/>
                <w:sz w:val="21"/>
                <w:szCs w:val="21"/>
                <w:highlight w:val="none"/>
                <w:lang w:eastAsia="zh-CN"/>
              </w:rPr>
              <w:t>时间</w:t>
            </w:r>
            <w:r>
              <w:rPr>
                <w:rFonts w:hint="eastAsia" w:ascii="宋体" w:hAnsi="宋体" w:eastAsia="宋体" w:cs="宋体"/>
                <w:color w:val="auto"/>
                <w:sz w:val="21"/>
                <w:szCs w:val="21"/>
                <w:highlight w:val="none"/>
                <w:lang w:val="en-US" w:eastAsia="zh-CN"/>
              </w:rPr>
              <w:t>安排合理，</w:t>
            </w:r>
            <w:r>
              <w:rPr>
                <w:rFonts w:hint="eastAsia" w:ascii="宋体" w:hAnsi="宋体" w:eastAsia="宋体" w:cs="宋体"/>
                <w:b w:val="0"/>
                <w:bCs w:val="0"/>
                <w:color w:val="auto"/>
                <w:w w:val="100"/>
                <w:sz w:val="21"/>
                <w:szCs w:val="21"/>
                <w:highlight w:val="none"/>
                <w:lang w:val="en-US" w:eastAsia="zh-CN"/>
              </w:rPr>
              <w:t>基本能够满足项目实施要求的</w:t>
            </w:r>
            <w:r>
              <w:rPr>
                <w:rFonts w:hint="eastAsia" w:ascii="宋体" w:hAnsi="宋体" w:eastAsia="宋体" w:cs="宋体"/>
                <w:color w:val="auto"/>
                <w:sz w:val="21"/>
                <w:szCs w:val="21"/>
                <w:highlight w:val="none"/>
                <w:lang w:val="en-US" w:eastAsia="zh-CN"/>
              </w:rPr>
              <w:t>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③内容比较简单，虽然存在一些不足但无明显重大缺陷的得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④内容简单、笼统，存在较多的不足，可行性差的得2分；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⑤提交的内容严重不符合项目实际且明显缺乏可行性的得1分；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⑥未提供方案的不得分。</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行程方案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cs="宋体"/>
                <w:highlight w:val="none"/>
                <w:lang w:val="en-US" w:eastAsia="zh-CN"/>
              </w:rPr>
              <w:t>32</w:t>
            </w:r>
            <w:r>
              <w:rPr>
                <w:rFonts w:hint="eastAsia" w:ascii="宋体" w:hAnsi="宋体" w:eastAsia="宋体" w:cs="宋体"/>
                <w:highlight w:val="none"/>
                <w:lang w:val="en-US" w:eastAsia="zh-CN"/>
              </w:rPr>
              <w:t>分</w:t>
            </w:r>
            <w:r>
              <w:rPr>
                <w:rFonts w:hint="eastAsia" w:ascii="宋体" w:hAnsi="宋体" w:eastAsia="宋体" w:cs="宋体"/>
                <w:highlight w:val="none"/>
                <w:lang w:eastAsia="zh-CN"/>
              </w:rPr>
              <w:t>）</w:t>
            </w:r>
          </w:p>
        </w:tc>
        <w:tc>
          <w:tcPr>
            <w:tcW w:w="6660" w:type="dxa"/>
            <w:noWrap w:val="0"/>
            <w:tcMar>
              <w:left w:w="28" w:type="dxa"/>
              <w:right w:w="28" w:type="dxa"/>
            </w:tcMar>
            <w:vAlign w:val="center"/>
          </w:tcPr>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根据本项目要求，对</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提供的住宿酒店星级及住宿环境情况</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sz w:val="21"/>
                <w:szCs w:val="21"/>
                <w:highlight w:val="none"/>
                <w:lang w:eastAsia="zh-CN"/>
              </w:rPr>
              <w:t>①住宿酒店星级优于本项目要求，住宿环境整洁、设施齐全的得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w w:val="100"/>
                <w:sz w:val="21"/>
                <w:szCs w:val="21"/>
                <w:highlight w:val="none"/>
                <w:lang w:val="en-US" w:eastAsia="zh-CN"/>
              </w:rPr>
              <w:t>分；</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②存在缺陷，但基本能够满足项目实施要求的得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w w:val="100"/>
                <w:sz w:val="21"/>
                <w:szCs w:val="21"/>
                <w:highlight w:val="none"/>
                <w:lang w:val="en-US" w:eastAsia="zh-CN"/>
              </w:rPr>
              <w:t>分；</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③星级低于本项目要求，环境差，无法满足项目实施要求的得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w w:val="100"/>
                <w:sz w:val="21"/>
                <w:szCs w:val="21"/>
                <w:highlight w:val="none"/>
                <w:lang w:val="en-US" w:eastAsia="zh-CN"/>
              </w:rPr>
              <w:t>分；</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color w:val="auto"/>
                <w:spacing w:val="0"/>
                <w:sz w:val="21"/>
                <w:szCs w:val="21"/>
                <w:highlight w:val="none"/>
              </w:rPr>
            </w:pPr>
            <w:r>
              <w:rPr>
                <w:rFonts w:hint="eastAsia" w:ascii="宋体" w:hAnsi="宋体" w:eastAsia="宋体" w:cs="宋体"/>
                <w:b w:val="0"/>
                <w:bCs w:val="0"/>
                <w:color w:val="auto"/>
                <w:w w:val="100"/>
                <w:sz w:val="21"/>
                <w:szCs w:val="21"/>
                <w:highlight w:val="none"/>
                <w:lang w:val="en-US" w:eastAsia="zh-CN"/>
              </w:rPr>
              <w:t>④</w:t>
            </w:r>
            <w:r>
              <w:rPr>
                <w:rFonts w:hint="eastAsia" w:ascii="宋体" w:hAnsi="宋体" w:eastAsia="宋体" w:cs="宋体"/>
                <w:b w:val="0"/>
                <w:bCs w:val="0"/>
                <w:color w:val="auto"/>
                <w:sz w:val="21"/>
                <w:szCs w:val="21"/>
                <w:highlight w:val="none"/>
                <w:lang w:eastAsia="zh-CN"/>
              </w:rPr>
              <w:t>未提供的不得分。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注：提供各入住酒店大堂、客房真实彩照、地理位置情况说明，未按要求提供上述材料的，酌情扣分。</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cs="宋体"/>
                <w:b w:val="0"/>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6660" w:type="dxa"/>
            <w:noWrap w:val="0"/>
            <w:tcMar>
              <w:left w:w="28" w:type="dxa"/>
              <w:right w:w="28" w:type="dxa"/>
            </w:tcMar>
            <w:vAlign w:val="center"/>
          </w:tcPr>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根据本项目要求，对</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提供的</w:t>
            </w:r>
            <w:r>
              <w:rPr>
                <w:rFonts w:hint="eastAsia" w:ascii="宋体" w:hAnsi="宋体" w:eastAsia="宋体" w:cs="宋体"/>
                <w:color w:val="auto"/>
                <w:highlight w:val="none"/>
                <w:lang w:val="en-US" w:eastAsia="zh-CN"/>
              </w:rPr>
              <w:t>餐标（</w:t>
            </w:r>
            <w:r>
              <w:rPr>
                <w:rFonts w:hint="eastAsia" w:ascii="宋体" w:hAnsi="宋体" w:eastAsia="宋体" w:cs="宋体"/>
                <w:sz w:val="21"/>
                <w:szCs w:val="21"/>
                <w:highlight w:val="none"/>
                <w:lang w:val="zh-CN"/>
              </w:rPr>
              <w:t>菜品荤素搭配、</w:t>
            </w:r>
            <w:r>
              <w:rPr>
                <w:rFonts w:hint="eastAsia" w:ascii="宋体" w:hAnsi="宋体" w:eastAsia="宋体" w:cs="宋体"/>
                <w:sz w:val="21"/>
                <w:szCs w:val="21"/>
                <w:highlight w:val="none"/>
                <w:lang w:val="en-US" w:eastAsia="zh-CN"/>
              </w:rPr>
              <w:t>菜肴数量、</w:t>
            </w:r>
            <w:r>
              <w:rPr>
                <w:rFonts w:hint="eastAsia" w:ascii="宋体" w:hAnsi="宋体" w:eastAsia="宋体" w:cs="宋体"/>
                <w:sz w:val="21"/>
                <w:szCs w:val="21"/>
                <w:highlight w:val="none"/>
                <w:lang w:val="zh-CN"/>
              </w:rPr>
              <w:t>就餐标准</w:t>
            </w:r>
            <w:r>
              <w:rPr>
                <w:rFonts w:hint="eastAsia" w:ascii="宋体" w:hAnsi="宋体" w:eastAsia="宋体" w:cs="宋体"/>
                <w:color w:val="auto"/>
                <w:highlight w:val="none"/>
                <w:lang w:val="en-US" w:eastAsia="zh-CN"/>
              </w:rPr>
              <w:t>）</w:t>
            </w:r>
            <w:r>
              <w:rPr>
                <w:rFonts w:hint="eastAsia" w:ascii="宋体" w:hAnsi="宋体" w:eastAsia="宋体" w:cs="宋体"/>
                <w:color w:val="auto"/>
                <w:spacing w:val="0"/>
                <w:sz w:val="21"/>
                <w:szCs w:val="21"/>
                <w:highlight w:val="none"/>
              </w:rPr>
              <w:t>及</w:t>
            </w:r>
            <w:r>
              <w:rPr>
                <w:rFonts w:hint="eastAsia" w:ascii="宋体" w:hAnsi="宋体" w:eastAsia="宋体" w:cs="宋体"/>
                <w:color w:val="auto"/>
                <w:spacing w:val="0"/>
                <w:sz w:val="21"/>
                <w:szCs w:val="21"/>
                <w:highlight w:val="none"/>
                <w:lang w:eastAsia="zh-CN"/>
              </w:rPr>
              <w:t>就餐</w:t>
            </w:r>
            <w:r>
              <w:rPr>
                <w:rFonts w:hint="eastAsia" w:ascii="宋体" w:hAnsi="宋体" w:eastAsia="宋体" w:cs="宋体"/>
                <w:sz w:val="21"/>
                <w:szCs w:val="21"/>
                <w:highlight w:val="none"/>
                <w:lang w:val="en-US" w:eastAsia="zh-CN"/>
              </w:rPr>
              <w:t>地点、</w:t>
            </w:r>
            <w:r>
              <w:rPr>
                <w:rFonts w:hint="eastAsia" w:ascii="宋体" w:hAnsi="宋体" w:eastAsia="宋体" w:cs="宋体"/>
                <w:color w:val="auto"/>
                <w:spacing w:val="0"/>
                <w:sz w:val="21"/>
                <w:szCs w:val="21"/>
                <w:highlight w:val="none"/>
              </w:rPr>
              <w:t>环境情况</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sz w:val="21"/>
                <w:szCs w:val="21"/>
                <w:highlight w:val="none"/>
                <w:lang w:eastAsia="zh-CN"/>
              </w:rPr>
              <w:t>①餐标优于本项目要求、就餐环境高档整洁的得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w w:val="100"/>
                <w:sz w:val="21"/>
                <w:szCs w:val="21"/>
                <w:highlight w:val="none"/>
                <w:lang w:val="en-US" w:eastAsia="zh-CN"/>
              </w:rPr>
              <w:t>分；</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②存在缺陷，但基本能够满足项目实施要求的得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w w:val="100"/>
                <w:sz w:val="21"/>
                <w:szCs w:val="21"/>
                <w:highlight w:val="none"/>
                <w:lang w:val="en-US" w:eastAsia="zh-CN"/>
              </w:rPr>
              <w:t>分；</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③低于本项目要求，环境差，无法满足项目实施要求的得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w w:val="100"/>
                <w:sz w:val="21"/>
                <w:szCs w:val="21"/>
                <w:highlight w:val="none"/>
                <w:lang w:val="en-US" w:eastAsia="zh-CN"/>
              </w:rPr>
              <w:t>分；</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color w:val="auto"/>
                <w:spacing w:val="0"/>
                <w:sz w:val="21"/>
                <w:szCs w:val="21"/>
                <w:highlight w:val="none"/>
              </w:rPr>
            </w:pPr>
            <w:r>
              <w:rPr>
                <w:rFonts w:hint="eastAsia" w:ascii="宋体" w:hAnsi="宋体" w:eastAsia="宋体" w:cs="宋体"/>
                <w:b w:val="0"/>
                <w:bCs w:val="0"/>
                <w:color w:val="auto"/>
                <w:w w:val="100"/>
                <w:sz w:val="21"/>
                <w:szCs w:val="21"/>
                <w:highlight w:val="none"/>
                <w:lang w:val="en-US" w:eastAsia="zh-CN"/>
              </w:rPr>
              <w:t>④</w:t>
            </w:r>
            <w:r>
              <w:rPr>
                <w:rFonts w:hint="eastAsia" w:ascii="宋体" w:hAnsi="宋体" w:eastAsia="宋体" w:cs="宋体"/>
                <w:b w:val="0"/>
                <w:bCs w:val="0"/>
                <w:color w:val="auto"/>
                <w:sz w:val="21"/>
                <w:szCs w:val="21"/>
                <w:highlight w:val="none"/>
                <w:lang w:eastAsia="zh-CN"/>
              </w:rPr>
              <w:t>未提供的不得分。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注：提供各就餐餐厅大堂、菜品真实彩照、地理位置情况说明，未按要求提供上述材料的，酌情扣分。</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cs="宋体"/>
                <w:b w:val="0"/>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6660" w:type="dxa"/>
            <w:noWrap w:val="0"/>
            <w:tcMar>
              <w:left w:w="28" w:type="dxa"/>
              <w:right w:w="28" w:type="dxa"/>
            </w:tcMar>
            <w:vAlign w:val="center"/>
          </w:tcPr>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pacing w:val="0"/>
                <w:sz w:val="21"/>
                <w:szCs w:val="21"/>
                <w:highlight w:val="none"/>
              </w:rPr>
              <w:t>根据本项目要求，对</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提供的地面交通车辆（包括车型、当地用车情况、座位比、司机驾龄、车队地化服务能力等）等情况</w:t>
            </w:r>
            <w:r>
              <w:rPr>
                <w:rFonts w:hint="eastAsia" w:ascii="宋体" w:hAnsi="宋体" w:eastAsia="宋体" w:cs="宋体"/>
                <w:color w:val="auto"/>
                <w:sz w:val="21"/>
                <w:szCs w:val="21"/>
                <w:highlight w:val="none"/>
              </w:rPr>
              <w:t>进行评审</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sz w:val="21"/>
                <w:szCs w:val="21"/>
                <w:highlight w:val="none"/>
                <w:lang w:eastAsia="zh-CN"/>
              </w:rPr>
              <w:t>①提供的车辆完全符合项目要求的得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w w:val="100"/>
                <w:sz w:val="21"/>
                <w:szCs w:val="21"/>
                <w:highlight w:val="none"/>
                <w:lang w:val="en-US" w:eastAsia="zh-CN"/>
              </w:rPr>
              <w:t>分；</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②存在缺陷，但基本能够满足项目要求的得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w w:val="100"/>
                <w:sz w:val="21"/>
                <w:szCs w:val="21"/>
                <w:highlight w:val="none"/>
                <w:lang w:val="en-US" w:eastAsia="zh-CN"/>
              </w:rPr>
              <w:t>分；</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③无法满足项目要求的得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w w:val="100"/>
                <w:sz w:val="21"/>
                <w:szCs w:val="21"/>
                <w:highlight w:val="none"/>
                <w:lang w:val="en-US" w:eastAsia="zh-CN"/>
              </w:rPr>
              <w:t>分；</w:t>
            </w:r>
          </w:p>
          <w:p>
            <w:pPr>
              <w:keepNext w:val="0"/>
              <w:keepLines w:val="0"/>
              <w:pageBreakBefore w:val="0"/>
              <w:kinsoku/>
              <w:wordWrap/>
              <w:overflowPunct/>
              <w:topLinePunct w:val="0"/>
              <w:autoSpaceDN w:val="0"/>
              <w:bidi w:val="0"/>
              <w:adjustRightInd w:val="0"/>
              <w:snapToGrid w:val="0"/>
              <w:spacing w:beforeAutospacing="0" w:afterAutospacing="0" w:line="380" w:lineRule="exact"/>
              <w:textAlignment w:val="center"/>
              <w:rPr>
                <w:rFonts w:hint="eastAsia" w:ascii="宋体" w:hAnsi="宋体" w:eastAsia="宋体" w:cs="宋体"/>
                <w:color w:val="auto"/>
                <w:spacing w:val="0"/>
                <w:sz w:val="21"/>
                <w:szCs w:val="21"/>
                <w:highlight w:val="none"/>
              </w:rPr>
            </w:pPr>
            <w:r>
              <w:rPr>
                <w:rFonts w:hint="eastAsia" w:ascii="宋体" w:hAnsi="宋体" w:eastAsia="宋体" w:cs="宋体"/>
                <w:b w:val="0"/>
                <w:bCs w:val="0"/>
                <w:color w:val="auto"/>
                <w:w w:val="100"/>
                <w:sz w:val="21"/>
                <w:szCs w:val="21"/>
                <w:highlight w:val="none"/>
                <w:lang w:val="en-US" w:eastAsia="zh-CN"/>
              </w:rPr>
              <w:t>④</w:t>
            </w:r>
            <w:r>
              <w:rPr>
                <w:rFonts w:hint="eastAsia" w:ascii="宋体" w:hAnsi="宋体" w:eastAsia="宋体" w:cs="宋体"/>
                <w:b w:val="0"/>
                <w:bCs w:val="0"/>
                <w:color w:val="auto"/>
                <w:sz w:val="21"/>
                <w:szCs w:val="21"/>
                <w:highlight w:val="none"/>
                <w:lang w:eastAsia="zh-CN"/>
              </w:rPr>
              <w:t>未提供的不得分。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注：提供车辆行驶证复印件加盖单位公章、车辆内部真实彩照，未按要求提供上述材料的，酌情扣分。</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cs="宋体"/>
                <w:b w:val="0"/>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p>
        </w:tc>
        <w:tc>
          <w:tcPr>
            <w:tcW w:w="6660" w:type="dxa"/>
            <w:noWrap w:val="0"/>
            <w:tcMar>
              <w:left w:w="28" w:type="dxa"/>
              <w:right w:w="28" w:type="dxa"/>
            </w:tcMar>
            <w:vAlign w:val="center"/>
          </w:tcPr>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pacing w:val="0"/>
                <w:sz w:val="21"/>
                <w:szCs w:val="21"/>
                <w:highlight w:val="none"/>
              </w:rPr>
              <w:t>根据本项目要求，对</w:t>
            </w:r>
            <w:r>
              <w:rPr>
                <w:rFonts w:hint="eastAsia" w:ascii="宋体" w:hAnsi="宋体" w:eastAsia="宋体" w:cs="宋体"/>
                <w:color w:val="auto"/>
                <w:spacing w:val="0"/>
                <w:sz w:val="21"/>
                <w:szCs w:val="21"/>
                <w:highlight w:val="none"/>
                <w:lang w:eastAsia="zh-CN"/>
              </w:rPr>
              <w:t>供应商</w:t>
            </w:r>
            <w:r>
              <w:rPr>
                <w:rFonts w:hint="eastAsia" w:ascii="宋体" w:hAnsi="宋体" w:eastAsia="宋体" w:cs="宋体"/>
                <w:color w:val="auto"/>
                <w:spacing w:val="0"/>
                <w:sz w:val="21"/>
                <w:szCs w:val="21"/>
                <w:highlight w:val="none"/>
              </w:rPr>
              <w:t>提供的</w:t>
            </w:r>
            <w:r>
              <w:rPr>
                <w:rFonts w:hint="eastAsia" w:ascii="宋体" w:hAnsi="宋体" w:eastAsia="宋体" w:cs="宋体"/>
                <w:sz w:val="21"/>
                <w:szCs w:val="21"/>
                <w:highlight w:val="none"/>
                <w:lang w:val="en-US" w:eastAsia="zh-CN"/>
              </w:rPr>
              <w:t>不同线路航班情况【航班时间、航线（直飞或经停）、机型（大航空公司或廉价航空）】</w:t>
            </w:r>
            <w:r>
              <w:rPr>
                <w:rFonts w:hint="eastAsia" w:ascii="宋体" w:hAnsi="宋体" w:eastAsia="宋体" w:cs="宋体"/>
                <w:color w:val="auto"/>
                <w:sz w:val="21"/>
                <w:szCs w:val="21"/>
                <w:highlight w:val="none"/>
              </w:rPr>
              <w:t>进行评审</w:t>
            </w:r>
            <w:r>
              <w:rPr>
                <w:rFonts w:hint="eastAsia" w:ascii="宋体" w:hAnsi="宋体" w:eastAsia="宋体" w:cs="宋体"/>
                <w:b w:val="0"/>
                <w:bCs w:val="0"/>
                <w:color w:val="auto"/>
                <w:sz w:val="21"/>
                <w:szCs w:val="21"/>
                <w:highlight w:val="none"/>
                <w:lang w:eastAsia="zh-CN"/>
              </w:rPr>
              <w:t>：</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sz w:val="21"/>
                <w:szCs w:val="21"/>
                <w:highlight w:val="none"/>
                <w:lang w:eastAsia="zh-CN"/>
              </w:rPr>
              <w:t>①提供的</w:t>
            </w:r>
            <w:r>
              <w:rPr>
                <w:rFonts w:hint="eastAsia" w:ascii="宋体" w:hAnsi="宋体" w:eastAsia="宋体" w:cs="宋体"/>
                <w:sz w:val="21"/>
                <w:szCs w:val="21"/>
                <w:highlight w:val="none"/>
                <w:lang w:val="en-US" w:eastAsia="zh-CN"/>
              </w:rPr>
              <w:t>航班时间非深夜（凌晨），航线直飞，大航空公司的航班</w:t>
            </w:r>
            <w:r>
              <w:rPr>
                <w:rFonts w:hint="eastAsia" w:ascii="宋体" w:hAnsi="宋体" w:eastAsia="宋体" w:cs="宋体"/>
                <w:b w:val="0"/>
                <w:bCs w:val="0"/>
                <w:color w:val="auto"/>
                <w:sz w:val="21"/>
                <w:szCs w:val="21"/>
                <w:highlight w:val="none"/>
                <w:lang w:eastAsia="zh-CN"/>
              </w:rPr>
              <w:t>的得</w:t>
            </w:r>
            <w:r>
              <w:rPr>
                <w:rFonts w:hint="eastAsia" w:cs="宋体"/>
                <w:b w:val="0"/>
                <w:bCs w:val="0"/>
                <w:color w:val="auto"/>
                <w:sz w:val="21"/>
                <w:szCs w:val="21"/>
                <w:highlight w:val="none"/>
                <w:lang w:val="en-US" w:eastAsia="zh-CN"/>
              </w:rPr>
              <w:t>8</w:t>
            </w:r>
            <w:r>
              <w:rPr>
                <w:rFonts w:hint="eastAsia" w:ascii="宋体" w:hAnsi="宋体" w:eastAsia="宋体" w:cs="宋体"/>
                <w:b w:val="0"/>
                <w:bCs w:val="0"/>
                <w:color w:val="auto"/>
                <w:w w:val="100"/>
                <w:sz w:val="21"/>
                <w:szCs w:val="21"/>
                <w:highlight w:val="none"/>
                <w:lang w:val="en-US" w:eastAsia="zh-CN"/>
              </w:rPr>
              <w:t>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②存在缺陷，但基本能够满足项目要求的得</w:t>
            </w:r>
            <w:r>
              <w:rPr>
                <w:rFonts w:hint="eastAsia" w:cs="宋体"/>
                <w:b w:val="0"/>
                <w:bCs w:val="0"/>
                <w:color w:val="auto"/>
                <w:sz w:val="21"/>
                <w:szCs w:val="21"/>
                <w:highlight w:val="none"/>
                <w:lang w:val="en-US" w:eastAsia="zh-CN"/>
              </w:rPr>
              <w:t>4</w:t>
            </w:r>
            <w:r>
              <w:rPr>
                <w:rFonts w:hint="eastAsia" w:ascii="宋体" w:hAnsi="宋体" w:eastAsia="宋体" w:cs="宋体"/>
                <w:b w:val="0"/>
                <w:bCs w:val="0"/>
                <w:color w:val="auto"/>
                <w:w w:val="100"/>
                <w:sz w:val="21"/>
                <w:szCs w:val="21"/>
                <w:highlight w:val="none"/>
                <w:lang w:val="en-US" w:eastAsia="zh-CN"/>
              </w:rPr>
              <w:t>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③无法满足上述要求的得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w w:val="100"/>
                <w:sz w:val="21"/>
                <w:szCs w:val="21"/>
                <w:highlight w:val="none"/>
                <w:lang w:val="en-US" w:eastAsia="zh-CN"/>
              </w:rPr>
              <w:t>分；</w:t>
            </w:r>
          </w:p>
          <w:p>
            <w:pPr>
              <w:pStyle w:val="42"/>
              <w:keepNext w:val="0"/>
              <w:keepLines w:val="0"/>
              <w:pageBreakBefore w:val="0"/>
              <w:kinsoku/>
              <w:wordWrap/>
              <w:overflowPunct/>
              <w:topLinePunct w:val="0"/>
              <w:bidi w:val="0"/>
              <w:adjustRightInd w:val="0"/>
              <w:snapToGrid w:val="0"/>
              <w:spacing w:before="0" w:beforeAutospacing="0" w:after="0" w:afterLines="0" w:afterAutospacing="0" w:line="380" w:lineRule="exact"/>
              <w:rPr>
                <w:rFonts w:hint="eastAsia" w:ascii="宋体" w:hAnsi="宋体" w:eastAsia="宋体" w:cs="宋体"/>
                <w:color w:val="auto"/>
                <w:spacing w:val="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④</w:t>
            </w:r>
            <w:r>
              <w:rPr>
                <w:rFonts w:hint="eastAsia" w:ascii="宋体" w:hAnsi="宋体" w:eastAsia="宋体" w:cs="宋体"/>
                <w:b w:val="0"/>
                <w:bCs w:val="0"/>
                <w:color w:val="auto"/>
                <w:sz w:val="21"/>
                <w:szCs w:val="21"/>
                <w:highlight w:val="none"/>
                <w:lang w:eastAsia="zh-CN"/>
              </w:rPr>
              <w:t>未提供的不得分。</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人员安排（</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660" w:type="dxa"/>
            <w:noWrap w:val="0"/>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80" w:lineRule="exact"/>
              <w:ind w:left="0" w:leftChars="0" w:right="0"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4"/>
                <w:highlight w:val="none"/>
                <w:lang w:val="zh-CN" w:eastAsia="zh-CN" w:bidi="ar-SA"/>
              </w:rPr>
              <w:t>拟派本项目的</w:t>
            </w:r>
            <w:r>
              <w:rPr>
                <w:rFonts w:hint="eastAsia" w:ascii="宋体" w:hAnsi="宋体" w:cs="宋体"/>
                <w:b w:val="0"/>
                <w:bCs w:val="0"/>
                <w:color w:val="auto"/>
                <w:kern w:val="2"/>
                <w:sz w:val="21"/>
                <w:szCs w:val="24"/>
                <w:highlight w:val="none"/>
                <w:lang w:val="en-US" w:eastAsia="zh-CN" w:bidi="ar-SA"/>
              </w:rPr>
              <w:t>团队人员</w:t>
            </w:r>
            <w:r>
              <w:rPr>
                <w:rFonts w:hint="eastAsia" w:ascii="宋体" w:hAnsi="宋体" w:eastAsia="宋体" w:cs="宋体"/>
                <w:b w:val="0"/>
                <w:bCs w:val="0"/>
                <w:color w:val="auto"/>
                <w:kern w:val="2"/>
                <w:sz w:val="21"/>
                <w:szCs w:val="24"/>
                <w:highlight w:val="none"/>
                <w:lang w:val="zh-CN" w:eastAsia="zh-CN" w:bidi="ar-SA"/>
              </w:rPr>
              <w:t>的专业素质、技术能力、经验以及调动各项资源的能力、</w:t>
            </w:r>
            <w:r>
              <w:rPr>
                <w:rFonts w:hint="eastAsia" w:ascii="宋体" w:hAnsi="宋体" w:cs="宋体"/>
                <w:b w:val="0"/>
                <w:bCs w:val="0"/>
                <w:color w:val="auto"/>
                <w:kern w:val="2"/>
                <w:sz w:val="21"/>
                <w:szCs w:val="24"/>
                <w:highlight w:val="none"/>
                <w:lang w:val="en-US" w:eastAsia="zh-CN" w:bidi="ar-SA"/>
              </w:rPr>
              <w:t>配备人员的数量</w:t>
            </w:r>
            <w:r>
              <w:rPr>
                <w:rFonts w:hint="eastAsia" w:ascii="宋体" w:hAnsi="宋体" w:eastAsia="宋体" w:cs="宋体"/>
                <w:b w:val="0"/>
                <w:bCs w:val="0"/>
                <w:color w:val="auto"/>
                <w:kern w:val="2"/>
                <w:sz w:val="21"/>
                <w:szCs w:val="24"/>
                <w:highlight w:val="none"/>
                <w:lang w:val="zh-CN" w:eastAsia="zh-CN" w:bidi="ar-SA"/>
              </w:rPr>
              <w:t>（</w:t>
            </w:r>
            <w:r>
              <w:rPr>
                <w:rFonts w:hint="eastAsia" w:ascii="宋体" w:hAnsi="宋体" w:eastAsia="宋体" w:cs="宋体"/>
                <w:b w:val="0"/>
                <w:bCs w:val="0"/>
                <w:color w:val="auto"/>
                <w:kern w:val="2"/>
                <w:sz w:val="21"/>
                <w:szCs w:val="24"/>
                <w:highlight w:val="none"/>
                <w:lang w:val="en-US" w:eastAsia="zh-CN" w:bidi="ar-SA"/>
              </w:rPr>
              <w:t>提供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为其缴纳的</w:t>
            </w:r>
            <w:r>
              <w:rPr>
                <w:rFonts w:hint="eastAsia" w:ascii="宋体" w:hAnsi="宋体" w:eastAsia="宋体" w:cs="宋体"/>
                <w:b w:val="0"/>
                <w:bCs w:val="0"/>
                <w:color w:val="auto"/>
                <w:kern w:val="2"/>
                <w:sz w:val="21"/>
                <w:szCs w:val="24"/>
                <w:highlight w:val="none"/>
                <w:lang w:val="en-US" w:eastAsia="zh-CN" w:bidi="ar-SA"/>
              </w:rPr>
              <w:t>2023年2月、2023年3月、2023年4月的</w:t>
            </w:r>
            <w:r>
              <w:rPr>
                <w:rFonts w:hint="eastAsia" w:ascii="宋体" w:hAnsi="宋体" w:eastAsia="宋体" w:cs="宋体"/>
                <w:color w:val="auto"/>
                <w:sz w:val="21"/>
                <w:szCs w:val="21"/>
                <w:highlight w:val="none"/>
              </w:rPr>
              <w:t>社保证明复印件</w:t>
            </w:r>
            <w:r>
              <w:rPr>
                <w:rFonts w:hint="eastAsia" w:ascii="宋体" w:hAnsi="宋体" w:eastAsia="宋体" w:cs="宋体"/>
                <w:b w:val="0"/>
                <w:bCs w:val="0"/>
                <w:color w:val="auto"/>
                <w:kern w:val="2"/>
                <w:sz w:val="21"/>
                <w:szCs w:val="24"/>
                <w:highlight w:val="none"/>
                <w:lang w:val="en-US" w:eastAsia="zh-CN" w:bidi="ar-SA"/>
              </w:rPr>
              <w:t>、相关证书复印件并加盖单位公章</w:t>
            </w:r>
            <w:r>
              <w:rPr>
                <w:rFonts w:hint="eastAsia" w:ascii="宋体" w:hAnsi="宋体" w:eastAsia="宋体" w:cs="宋体"/>
                <w:b w:val="0"/>
                <w:bCs w:val="0"/>
                <w:color w:val="auto"/>
                <w:kern w:val="2"/>
                <w:sz w:val="21"/>
                <w:szCs w:val="24"/>
                <w:highlight w:val="none"/>
                <w:lang w:val="zh-CN" w:eastAsia="zh-CN" w:bidi="ar-SA"/>
              </w:rPr>
              <w:t>）等</w:t>
            </w:r>
            <w:r>
              <w:rPr>
                <w:rFonts w:hint="eastAsia" w:ascii="宋体" w:hAnsi="宋体" w:eastAsia="宋体" w:cs="宋体"/>
                <w:b w:val="0"/>
                <w:bCs w:val="0"/>
                <w:color w:val="auto"/>
                <w:sz w:val="21"/>
                <w:szCs w:val="21"/>
                <w:highlight w:val="none"/>
              </w:rPr>
              <w:t>进行评审</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beforeAutospacing="0" w:afterAutospacing="0" w:line="380" w:lineRule="exact"/>
              <w:ind w:left="0" w:leftChars="0" w:right="0" w:right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eastAsia="zh-CN"/>
              </w:rPr>
              <w:t>①</w:t>
            </w:r>
            <w:r>
              <w:rPr>
                <w:rFonts w:hint="eastAsia" w:ascii="宋体" w:hAnsi="宋体" w:eastAsia="宋体" w:cs="宋体"/>
                <w:b w:val="0"/>
                <w:bCs w:val="0"/>
                <w:color w:val="auto"/>
                <w:kern w:val="0"/>
                <w:sz w:val="21"/>
                <w:szCs w:val="21"/>
                <w:highlight w:val="none"/>
              </w:rPr>
              <w:t>拟派项目</w:t>
            </w:r>
            <w:r>
              <w:rPr>
                <w:rFonts w:hint="eastAsia" w:ascii="宋体" w:hAnsi="宋体" w:cs="宋体"/>
                <w:b w:val="0"/>
                <w:bCs w:val="0"/>
                <w:color w:val="auto"/>
                <w:kern w:val="0"/>
                <w:sz w:val="21"/>
                <w:szCs w:val="21"/>
                <w:highlight w:val="none"/>
                <w:lang w:val="en-US" w:eastAsia="zh-CN"/>
              </w:rPr>
              <w:t>团队人员</w:t>
            </w:r>
            <w:r>
              <w:rPr>
                <w:rFonts w:hint="eastAsia" w:ascii="宋体" w:hAnsi="宋体" w:eastAsia="宋体" w:cs="宋体"/>
                <w:b w:val="0"/>
                <w:bCs w:val="0"/>
                <w:color w:val="auto"/>
                <w:kern w:val="0"/>
                <w:sz w:val="21"/>
                <w:szCs w:val="21"/>
                <w:highlight w:val="none"/>
              </w:rPr>
              <w:t>的专业素质</w:t>
            </w:r>
            <w:r>
              <w:rPr>
                <w:rFonts w:hint="eastAsia" w:ascii="宋体" w:hAnsi="宋体" w:eastAsia="宋体" w:cs="宋体"/>
                <w:b w:val="0"/>
                <w:bCs w:val="0"/>
                <w:color w:val="auto"/>
                <w:kern w:val="0"/>
                <w:sz w:val="21"/>
                <w:szCs w:val="21"/>
                <w:highlight w:val="none"/>
                <w:lang w:eastAsia="zh-CN"/>
              </w:rPr>
              <w:t>高</w:t>
            </w:r>
            <w:r>
              <w:rPr>
                <w:rFonts w:hint="eastAsia" w:ascii="宋体" w:hAnsi="宋体" w:eastAsia="宋体" w:cs="宋体"/>
                <w:b w:val="0"/>
                <w:bCs w:val="0"/>
                <w:color w:val="auto"/>
                <w:kern w:val="0"/>
                <w:sz w:val="21"/>
                <w:szCs w:val="21"/>
                <w:highlight w:val="none"/>
              </w:rPr>
              <w:t>、技术能力</w:t>
            </w:r>
            <w:r>
              <w:rPr>
                <w:rFonts w:hint="eastAsia" w:ascii="宋体" w:hAnsi="宋体" w:eastAsia="宋体" w:cs="宋体"/>
                <w:b w:val="0"/>
                <w:bCs w:val="0"/>
                <w:color w:val="auto"/>
                <w:kern w:val="0"/>
                <w:sz w:val="21"/>
                <w:szCs w:val="21"/>
                <w:highlight w:val="none"/>
                <w:lang w:eastAsia="zh-CN"/>
              </w:rPr>
              <w:t>强</w:t>
            </w:r>
            <w:r>
              <w:rPr>
                <w:rFonts w:hint="eastAsia" w:ascii="宋体" w:hAnsi="宋体" w:eastAsia="宋体" w:cs="宋体"/>
                <w:b w:val="0"/>
                <w:bCs w:val="0"/>
                <w:color w:val="auto"/>
                <w:kern w:val="0"/>
                <w:sz w:val="21"/>
                <w:szCs w:val="21"/>
                <w:highlight w:val="none"/>
              </w:rPr>
              <w:t>、经验</w:t>
            </w:r>
            <w:r>
              <w:rPr>
                <w:rFonts w:hint="eastAsia" w:ascii="宋体" w:hAnsi="宋体" w:eastAsia="宋体" w:cs="宋体"/>
                <w:b w:val="0"/>
                <w:bCs w:val="0"/>
                <w:color w:val="auto"/>
                <w:kern w:val="0"/>
                <w:sz w:val="21"/>
                <w:szCs w:val="21"/>
                <w:highlight w:val="none"/>
                <w:lang w:eastAsia="zh-CN"/>
              </w:rPr>
              <w:t>丰富，具有</w:t>
            </w:r>
            <w:r>
              <w:rPr>
                <w:rFonts w:hint="eastAsia" w:ascii="宋体" w:hAnsi="宋体" w:eastAsia="宋体" w:cs="宋体"/>
                <w:b w:val="0"/>
                <w:bCs w:val="0"/>
                <w:color w:val="auto"/>
                <w:kern w:val="0"/>
                <w:sz w:val="21"/>
                <w:szCs w:val="21"/>
                <w:highlight w:val="none"/>
              </w:rPr>
              <w:t>调动各项资源的能力</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完全符合项目需求</w:t>
            </w:r>
            <w:r>
              <w:rPr>
                <w:rFonts w:hint="eastAsia" w:ascii="宋体" w:hAnsi="宋体" w:eastAsia="宋体" w:cs="宋体"/>
                <w:b w:val="0"/>
                <w:bCs w:val="0"/>
                <w:color w:val="auto"/>
                <w:kern w:val="0"/>
                <w:sz w:val="21"/>
                <w:szCs w:val="21"/>
                <w:highlight w:val="none"/>
              </w:rPr>
              <w:t>的得</w:t>
            </w: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分；</w:t>
            </w:r>
          </w:p>
          <w:p>
            <w:pPr>
              <w:keepNext w:val="0"/>
              <w:keepLines w:val="0"/>
              <w:pageBreakBefore w:val="0"/>
              <w:kinsoku/>
              <w:wordWrap/>
              <w:overflowPunct/>
              <w:topLinePunct w:val="0"/>
              <w:autoSpaceDE w:val="0"/>
              <w:autoSpaceDN w:val="0"/>
              <w:bidi w:val="0"/>
              <w:adjustRightInd w:val="0"/>
              <w:snapToGrid w:val="0"/>
              <w:spacing w:beforeAutospacing="0" w:afterAutospacing="0" w:line="380" w:lineRule="exact"/>
              <w:ind w:left="0" w:leftChars="0" w:right="0" w:right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②</w:t>
            </w:r>
            <w:r>
              <w:rPr>
                <w:rFonts w:hint="eastAsia" w:ascii="宋体" w:hAnsi="宋体" w:eastAsia="宋体" w:cs="宋体"/>
                <w:b w:val="0"/>
                <w:bCs w:val="0"/>
                <w:color w:val="auto"/>
                <w:kern w:val="0"/>
                <w:sz w:val="21"/>
                <w:szCs w:val="21"/>
                <w:highlight w:val="none"/>
              </w:rPr>
              <w:t>拟派项目</w:t>
            </w:r>
            <w:r>
              <w:rPr>
                <w:rFonts w:hint="eastAsia" w:ascii="宋体" w:hAnsi="宋体" w:cs="宋体"/>
                <w:b w:val="0"/>
                <w:bCs w:val="0"/>
                <w:color w:val="auto"/>
                <w:kern w:val="0"/>
                <w:sz w:val="21"/>
                <w:szCs w:val="21"/>
                <w:highlight w:val="none"/>
                <w:lang w:val="en-US" w:eastAsia="zh-CN"/>
              </w:rPr>
              <w:t>团队人员</w:t>
            </w:r>
            <w:r>
              <w:rPr>
                <w:rFonts w:hint="eastAsia" w:ascii="宋体" w:hAnsi="宋体" w:eastAsia="宋体" w:cs="宋体"/>
                <w:b w:val="0"/>
                <w:bCs w:val="0"/>
                <w:color w:val="auto"/>
                <w:kern w:val="0"/>
                <w:sz w:val="21"/>
                <w:szCs w:val="21"/>
                <w:highlight w:val="none"/>
              </w:rPr>
              <w:t>的专业素质</w:t>
            </w:r>
            <w:r>
              <w:rPr>
                <w:rFonts w:hint="eastAsia" w:ascii="宋体" w:hAnsi="宋体" w:cs="宋体"/>
                <w:b w:val="0"/>
                <w:bCs w:val="0"/>
                <w:color w:val="auto"/>
                <w:kern w:val="0"/>
                <w:sz w:val="21"/>
                <w:szCs w:val="21"/>
                <w:highlight w:val="none"/>
                <w:lang w:val="en-US" w:eastAsia="zh-CN"/>
              </w:rPr>
              <w:t>一般，工作经验较少，</w:t>
            </w:r>
            <w:r>
              <w:rPr>
                <w:rFonts w:hint="eastAsia" w:ascii="宋体" w:hAnsi="宋体" w:eastAsia="宋体" w:cs="宋体"/>
                <w:b w:val="0"/>
                <w:bCs w:val="0"/>
                <w:color w:val="auto"/>
                <w:kern w:val="0"/>
                <w:sz w:val="21"/>
                <w:szCs w:val="21"/>
                <w:highlight w:val="none"/>
              </w:rPr>
              <w:t>存在缺陷但基本能够满足</w:t>
            </w:r>
            <w:r>
              <w:rPr>
                <w:rFonts w:hint="eastAsia" w:ascii="宋体" w:hAnsi="宋体" w:eastAsia="宋体" w:cs="宋体"/>
                <w:b w:val="0"/>
                <w:bCs w:val="0"/>
                <w:color w:val="auto"/>
                <w:kern w:val="0"/>
                <w:sz w:val="21"/>
                <w:szCs w:val="21"/>
                <w:highlight w:val="none"/>
                <w:lang w:eastAsia="zh-CN"/>
              </w:rPr>
              <w:t>上述</w:t>
            </w:r>
            <w:r>
              <w:rPr>
                <w:rFonts w:hint="eastAsia" w:ascii="宋体" w:hAnsi="宋体" w:eastAsia="宋体" w:cs="宋体"/>
                <w:b w:val="0"/>
                <w:bCs w:val="0"/>
                <w:color w:val="auto"/>
                <w:kern w:val="0"/>
                <w:sz w:val="21"/>
                <w:szCs w:val="21"/>
                <w:highlight w:val="none"/>
              </w:rPr>
              <w:t>要求的得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分；</w:t>
            </w:r>
          </w:p>
          <w:p>
            <w:pPr>
              <w:keepNext w:val="0"/>
              <w:keepLines w:val="0"/>
              <w:pageBreakBefore w:val="0"/>
              <w:kinsoku/>
              <w:wordWrap/>
              <w:overflowPunct/>
              <w:topLinePunct w:val="0"/>
              <w:autoSpaceDE w:val="0"/>
              <w:autoSpaceDN w:val="0"/>
              <w:bidi w:val="0"/>
              <w:adjustRightInd w:val="0"/>
              <w:snapToGrid w:val="0"/>
              <w:spacing w:beforeAutospacing="0" w:afterAutospacing="0" w:line="380" w:lineRule="exact"/>
              <w:ind w:left="0" w:leftChars="0" w:right="0" w:rightChars="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③</w:t>
            </w:r>
            <w:r>
              <w:rPr>
                <w:rFonts w:hint="eastAsia" w:ascii="宋体" w:hAnsi="宋体" w:eastAsia="宋体" w:cs="宋体"/>
                <w:b w:val="0"/>
                <w:bCs w:val="0"/>
                <w:color w:val="auto"/>
                <w:kern w:val="0"/>
                <w:sz w:val="21"/>
                <w:szCs w:val="21"/>
                <w:highlight w:val="none"/>
              </w:rPr>
              <w:t>拟派项目</w:t>
            </w:r>
            <w:r>
              <w:rPr>
                <w:rFonts w:hint="eastAsia" w:ascii="宋体" w:hAnsi="宋体" w:cs="宋体"/>
                <w:b w:val="0"/>
                <w:bCs w:val="0"/>
                <w:color w:val="auto"/>
                <w:kern w:val="0"/>
                <w:sz w:val="21"/>
                <w:szCs w:val="21"/>
                <w:highlight w:val="none"/>
                <w:lang w:val="en-US" w:eastAsia="zh-CN"/>
              </w:rPr>
              <w:t>团队人员</w:t>
            </w:r>
            <w:r>
              <w:rPr>
                <w:rFonts w:hint="eastAsia" w:ascii="宋体" w:hAnsi="宋体" w:eastAsia="宋体" w:cs="宋体"/>
                <w:b w:val="0"/>
                <w:bCs w:val="0"/>
                <w:color w:val="auto"/>
                <w:kern w:val="0"/>
                <w:sz w:val="21"/>
                <w:szCs w:val="21"/>
                <w:highlight w:val="none"/>
              </w:rPr>
              <w:t>的</w:t>
            </w:r>
            <w:r>
              <w:rPr>
                <w:rFonts w:hint="eastAsia" w:ascii="宋体" w:hAnsi="宋体" w:eastAsia="宋体" w:cs="宋体"/>
                <w:b w:val="0"/>
                <w:bCs w:val="0"/>
                <w:color w:val="auto"/>
                <w:kern w:val="0"/>
                <w:sz w:val="21"/>
                <w:szCs w:val="21"/>
                <w:highlight w:val="none"/>
                <w:lang w:eastAsia="zh-CN"/>
              </w:rPr>
              <w:t>能力不足或经验浅、调动资源能力弱</w:t>
            </w: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与项目需求存在偏差</w:t>
            </w:r>
            <w:r>
              <w:rPr>
                <w:rFonts w:hint="eastAsia" w:ascii="宋体" w:hAnsi="宋体" w:eastAsia="宋体" w:cs="宋体"/>
                <w:b w:val="0"/>
                <w:bCs w:val="0"/>
                <w:color w:val="auto"/>
                <w:kern w:val="0"/>
                <w:sz w:val="21"/>
                <w:szCs w:val="21"/>
                <w:highlight w:val="none"/>
              </w:rPr>
              <w:t>的得</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exact"/>
              <w:ind w:left="0" w:leftChars="0" w:right="0" w:rightChars="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④</w:t>
            </w:r>
            <w:r>
              <w:rPr>
                <w:rFonts w:hint="eastAsia" w:ascii="宋体" w:hAnsi="宋体" w:eastAsia="宋体" w:cs="宋体"/>
                <w:b w:val="0"/>
                <w:bCs w:val="0"/>
                <w:color w:val="auto"/>
                <w:kern w:val="0"/>
                <w:sz w:val="21"/>
                <w:szCs w:val="21"/>
                <w:highlight w:val="none"/>
              </w:rPr>
              <w:t>未提供</w:t>
            </w:r>
            <w:r>
              <w:rPr>
                <w:rFonts w:hint="eastAsia" w:ascii="宋体" w:hAnsi="宋体" w:eastAsia="宋体" w:cs="宋体"/>
                <w:b w:val="0"/>
                <w:bCs w:val="0"/>
                <w:color w:val="auto"/>
                <w:kern w:val="0"/>
                <w:sz w:val="21"/>
                <w:szCs w:val="21"/>
                <w:highlight w:val="none"/>
                <w:lang w:eastAsia="zh-CN"/>
              </w:rPr>
              <w:t>的</w:t>
            </w:r>
            <w:r>
              <w:rPr>
                <w:rFonts w:hint="eastAsia" w:ascii="宋体" w:hAnsi="宋体" w:eastAsia="宋体" w:cs="宋体"/>
                <w:b w:val="0"/>
                <w:bCs w:val="0"/>
                <w:color w:val="auto"/>
                <w:kern w:val="0"/>
                <w:sz w:val="21"/>
                <w:szCs w:val="21"/>
                <w:highlight w:val="none"/>
              </w:rPr>
              <w:t>不得分。</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s="宋体"/>
                <w:b w:val="0"/>
                <w:bCs/>
                <w:color w:val="auto"/>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highlight w:val="none"/>
              </w:rPr>
            </w:pPr>
            <w:r>
              <w:rPr>
                <w:rFonts w:hint="eastAsia" w:ascii="宋体" w:hAnsi="宋体" w:eastAsia="宋体" w:cs="宋体"/>
                <w:color w:val="auto"/>
                <w:spacing w:val="0"/>
                <w:highlight w:val="none"/>
              </w:rPr>
              <w:t>安全保障及应急方案</w:t>
            </w:r>
            <w:r>
              <w:rPr>
                <w:rFonts w:hint="eastAsia" w:ascii="宋体" w:hAnsi="宋体" w:eastAsia="宋体" w:cs="宋体"/>
                <w:highlight w:val="none"/>
                <w:lang w:eastAsia="zh-CN"/>
              </w:rPr>
              <w:t>（</w:t>
            </w:r>
            <w:r>
              <w:rPr>
                <w:rFonts w:hint="eastAsia" w:ascii="宋体" w:hAnsi="宋体" w:cs="宋体"/>
                <w:highlight w:val="none"/>
                <w:lang w:val="en-US" w:eastAsia="zh-CN"/>
              </w:rPr>
              <w:t>6</w:t>
            </w:r>
            <w:r>
              <w:rPr>
                <w:rFonts w:hint="eastAsia" w:ascii="宋体" w:hAnsi="宋体" w:eastAsia="宋体" w:cs="宋体"/>
                <w:highlight w:val="none"/>
                <w:lang w:val="en-US" w:eastAsia="zh-CN"/>
              </w:rPr>
              <w:t>分</w:t>
            </w:r>
            <w:r>
              <w:rPr>
                <w:rFonts w:hint="eastAsia" w:ascii="宋体" w:hAnsi="宋体" w:eastAsia="宋体" w:cs="宋体"/>
                <w:highlight w:val="none"/>
                <w:lang w:eastAsia="zh-CN"/>
              </w:rPr>
              <w:t>）</w:t>
            </w:r>
          </w:p>
        </w:tc>
        <w:tc>
          <w:tcPr>
            <w:tcW w:w="6660" w:type="dxa"/>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beforeAutospacing="0" w:afterAutospacing="0"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Cs w:val="21"/>
                <w:highlight w:val="none"/>
              </w:rPr>
              <w:t>根据</w:t>
            </w:r>
            <w:r>
              <w:rPr>
                <w:rFonts w:hint="eastAsia" w:ascii="宋体" w:hAnsi="宋体" w:eastAsia="宋体" w:cs="宋体"/>
                <w:color w:val="auto"/>
                <w:spacing w:val="0"/>
                <w:szCs w:val="21"/>
                <w:highlight w:val="none"/>
                <w:lang w:eastAsia="zh-CN"/>
              </w:rPr>
              <w:t>供应商</w:t>
            </w:r>
            <w:r>
              <w:rPr>
                <w:rFonts w:hint="eastAsia" w:ascii="宋体" w:hAnsi="宋体" w:eastAsia="宋体" w:cs="宋体"/>
                <w:color w:val="auto"/>
                <w:spacing w:val="0"/>
                <w:szCs w:val="21"/>
                <w:highlight w:val="none"/>
              </w:rPr>
              <w:t>针对本项目的出游途中安全控制措施以及发生故障、突发事件应对</w:t>
            </w:r>
            <w:r>
              <w:rPr>
                <w:rFonts w:hint="eastAsia" w:ascii="宋体" w:hAnsi="宋体" w:eastAsia="宋体" w:cs="宋体"/>
                <w:color w:val="auto"/>
                <w:spacing w:val="0"/>
                <w:szCs w:val="21"/>
                <w:highlight w:val="none"/>
                <w:lang w:eastAsia="zh-CN"/>
              </w:rPr>
              <w:t>措施</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beforeAutospacing="0" w:afterAutospacing="0"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lang w:eastAsia="zh-CN"/>
              </w:rPr>
              <w:t>①</w:t>
            </w:r>
            <w:r>
              <w:rPr>
                <w:rFonts w:hint="eastAsia" w:ascii="Times New Roman" w:hAnsi="Times New Roman"/>
                <w:color w:val="auto"/>
                <w:szCs w:val="21"/>
                <w:highlight w:val="none"/>
                <w:lang w:val="en-US" w:eastAsia="zh-CN"/>
              </w:rPr>
              <w:t>保障措施</w:t>
            </w:r>
            <w:r>
              <w:rPr>
                <w:rFonts w:hint="default" w:ascii="Times New Roman" w:hAnsi="宋体" w:eastAsia="宋体" w:cs="Times New Roman"/>
                <w:b w:val="0"/>
                <w:bCs w:val="0"/>
                <w:color w:val="auto"/>
                <w:sz w:val="21"/>
                <w:szCs w:val="21"/>
                <w:highlight w:val="none"/>
                <w:lang w:val="en-US" w:eastAsia="zh-CN"/>
              </w:rPr>
              <w:t>可行有效、详细</w:t>
            </w:r>
            <w:r>
              <w:rPr>
                <w:rFonts w:hint="default" w:ascii="Times New Roman" w:hAnsi="宋体" w:eastAsia="宋体" w:cs="Times New Roman"/>
                <w:b w:val="0"/>
                <w:bCs w:val="0"/>
                <w:color w:val="auto"/>
                <w:sz w:val="21"/>
                <w:szCs w:val="21"/>
                <w:highlight w:val="none"/>
                <w:lang w:val="zh-CN" w:eastAsia="zh-CN"/>
              </w:rPr>
              <w:t>细致</w:t>
            </w:r>
            <w:r>
              <w:rPr>
                <w:rFonts w:hint="default" w:ascii="Times New Roman" w:hAnsi="宋体" w:eastAsia="宋体" w:cs="Times New Roman"/>
                <w:b w:val="0"/>
                <w:bCs w:val="0"/>
                <w:color w:val="auto"/>
                <w:sz w:val="21"/>
                <w:szCs w:val="21"/>
                <w:highlight w:val="none"/>
                <w:lang w:val="en-US" w:eastAsia="zh-CN"/>
              </w:rPr>
              <w:t>，严谨合</w:t>
            </w:r>
            <w:r>
              <w:rPr>
                <w:rFonts w:hint="eastAsia" w:ascii="宋体" w:hAnsi="宋体" w:eastAsia="宋体" w:cs="宋体"/>
                <w:b w:val="0"/>
                <w:bCs w:val="0"/>
                <w:color w:val="auto"/>
                <w:sz w:val="21"/>
                <w:szCs w:val="21"/>
                <w:highlight w:val="none"/>
                <w:lang w:val="en-US" w:eastAsia="zh-CN"/>
              </w:rPr>
              <w:t>理的得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pPr>
              <w:keepNext w:val="0"/>
              <w:keepLines w:val="0"/>
              <w:pageBreakBefore w:val="0"/>
              <w:widowControl w:val="0"/>
              <w:kinsoku/>
              <w:wordWrap/>
              <w:overflowPunct/>
              <w:topLinePunct w:val="0"/>
              <w:bidi w:val="0"/>
              <w:adjustRightInd w:val="0"/>
              <w:snapToGrid w:val="0"/>
              <w:spacing w:beforeAutospacing="0" w:afterAutospacing="0" w:line="360" w:lineRule="exac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②</w:t>
            </w:r>
            <w:r>
              <w:rPr>
                <w:rFonts w:hint="eastAsia" w:ascii="Times New Roman" w:hAnsi="Times New Roman"/>
                <w:color w:val="auto"/>
                <w:szCs w:val="21"/>
                <w:highlight w:val="none"/>
                <w:lang w:val="en-US" w:eastAsia="zh-CN"/>
              </w:rPr>
              <w:t>保障措施</w:t>
            </w:r>
            <w:r>
              <w:rPr>
                <w:rFonts w:hint="eastAsia" w:ascii="宋体" w:hAnsi="宋体" w:eastAsia="宋体" w:cs="宋体"/>
                <w:b w:val="0"/>
                <w:bCs w:val="0"/>
                <w:color w:val="auto"/>
                <w:sz w:val="21"/>
                <w:szCs w:val="21"/>
                <w:highlight w:val="none"/>
                <w:lang w:val="en-US" w:eastAsia="zh-CN"/>
              </w:rPr>
              <w:t>相对</w:t>
            </w:r>
            <w:r>
              <w:rPr>
                <w:rFonts w:hint="eastAsia" w:ascii="宋体" w:hAnsi="宋体" w:eastAsia="宋体" w:cs="宋体"/>
                <w:b w:val="0"/>
                <w:bCs w:val="0"/>
                <w:color w:val="auto"/>
                <w:sz w:val="21"/>
                <w:szCs w:val="21"/>
                <w:highlight w:val="none"/>
                <w:lang w:val="zh-CN" w:eastAsia="zh-CN"/>
              </w:rPr>
              <w:t>可行有效、合理的得</w:t>
            </w:r>
            <w:r>
              <w:rPr>
                <w:rFonts w:hint="eastAsia" w:ascii="宋体" w:hAnsi="宋体" w:eastAsia="宋体" w:cs="宋体"/>
                <w:b w:val="0"/>
                <w:bCs w:val="0"/>
                <w:color w:val="auto"/>
                <w:sz w:val="21"/>
                <w:szCs w:val="21"/>
                <w:highlight w:val="none"/>
                <w:lang w:val="en-US" w:eastAsia="zh-CN"/>
              </w:rPr>
              <w:t>4分</w:t>
            </w:r>
            <w:r>
              <w:rPr>
                <w:rFonts w:hint="eastAsia" w:ascii="宋体" w:hAnsi="宋体" w:eastAsia="宋体" w:cs="宋体"/>
                <w:b w:val="0"/>
                <w:bCs w:val="0"/>
                <w:color w:val="auto"/>
                <w:sz w:val="21"/>
                <w:szCs w:val="21"/>
                <w:highlight w:val="none"/>
                <w:lang w:val="zh-CN" w:eastAsia="zh-CN"/>
              </w:rPr>
              <w:t>；</w:t>
            </w:r>
          </w:p>
          <w:p>
            <w:pPr>
              <w:keepNext w:val="0"/>
              <w:keepLines w:val="0"/>
              <w:pageBreakBefore w:val="0"/>
              <w:widowControl w:val="0"/>
              <w:kinsoku/>
              <w:wordWrap/>
              <w:overflowPunct/>
              <w:topLinePunct w:val="0"/>
              <w:bidi w:val="0"/>
              <w:adjustRightInd w:val="0"/>
              <w:snapToGrid w:val="0"/>
              <w:spacing w:beforeAutospacing="0" w:afterAutospacing="0"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③</w:t>
            </w:r>
            <w:r>
              <w:rPr>
                <w:rFonts w:hint="eastAsia" w:ascii="Times New Roman" w:hAnsi="Times New Roman"/>
                <w:color w:val="auto"/>
                <w:szCs w:val="21"/>
                <w:highlight w:val="none"/>
                <w:lang w:val="en-US" w:eastAsia="zh-CN"/>
              </w:rPr>
              <w:t>保障措施</w:t>
            </w:r>
            <w:r>
              <w:rPr>
                <w:rFonts w:hint="eastAsia" w:ascii="宋体" w:hAnsi="宋体" w:eastAsia="宋体" w:cs="宋体"/>
                <w:b w:val="0"/>
                <w:bCs w:val="0"/>
                <w:color w:val="auto"/>
                <w:sz w:val="21"/>
                <w:szCs w:val="21"/>
                <w:highlight w:val="none"/>
                <w:lang w:val="zh-CN" w:eastAsia="zh-CN"/>
              </w:rPr>
              <w:t>可行性、合理性一般的得</w:t>
            </w:r>
            <w:r>
              <w:rPr>
                <w:rFonts w:hint="eastAsia" w:ascii="宋体" w:hAnsi="宋体" w:eastAsia="宋体" w:cs="宋体"/>
                <w:b w:val="0"/>
                <w:bCs w:val="0"/>
                <w:color w:val="auto"/>
                <w:sz w:val="21"/>
                <w:szCs w:val="21"/>
                <w:highlight w:val="none"/>
                <w:lang w:val="en-US" w:eastAsia="zh-CN"/>
              </w:rPr>
              <w:t>3分；</w:t>
            </w:r>
          </w:p>
          <w:p>
            <w:pPr>
              <w:keepNext w:val="0"/>
              <w:keepLines w:val="0"/>
              <w:pageBreakBefore w:val="0"/>
              <w:widowControl w:val="0"/>
              <w:kinsoku/>
              <w:wordWrap/>
              <w:overflowPunct/>
              <w:topLinePunct w:val="0"/>
              <w:bidi w:val="0"/>
              <w:adjustRightInd w:val="0"/>
              <w:snapToGrid w:val="0"/>
              <w:spacing w:beforeAutospacing="0" w:afterAutospacing="0" w:line="360" w:lineRule="exac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④</w:t>
            </w:r>
            <w:r>
              <w:rPr>
                <w:rFonts w:hint="eastAsia" w:ascii="Times New Roman" w:hAnsi="Times New Roman"/>
                <w:color w:val="auto"/>
                <w:szCs w:val="21"/>
                <w:highlight w:val="none"/>
                <w:lang w:val="en-US" w:eastAsia="zh-CN"/>
              </w:rPr>
              <w:t>保障措施</w:t>
            </w:r>
            <w:r>
              <w:rPr>
                <w:rFonts w:hint="eastAsia" w:ascii="宋体" w:hAnsi="宋体" w:eastAsia="宋体" w:cs="宋体"/>
                <w:b w:val="0"/>
                <w:bCs w:val="0"/>
                <w:color w:val="auto"/>
                <w:sz w:val="21"/>
                <w:szCs w:val="21"/>
                <w:highlight w:val="none"/>
                <w:lang w:val="zh-CN" w:eastAsia="zh-CN"/>
              </w:rPr>
              <w:t>可行性、合理性略有欠缺的得</w:t>
            </w:r>
            <w:r>
              <w:rPr>
                <w:rFonts w:hint="eastAsia" w:ascii="宋体" w:hAnsi="宋体" w:eastAsia="宋体" w:cs="宋体"/>
                <w:b w:val="0"/>
                <w:bCs w:val="0"/>
                <w:color w:val="auto"/>
                <w:sz w:val="21"/>
                <w:szCs w:val="21"/>
                <w:highlight w:val="none"/>
                <w:lang w:val="en-US" w:eastAsia="zh-CN"/>
              </w:rPr>
              <w:t>2分</w:t>
            </w:r>
            <w:r>
              <w:rPr>
                <w:rFonts w:hint="eastAsia" w:ascii="宋体" w:hAnsi="宋体" w:eastAsia="宋体" w:cs="宋体"/>
                <w:b w:val="0"/>
                <w:bCs w:val="0"/>
                <w:color w:val="auto"/>
                <w:sz w:val="21"/>
                <w:szCs w:val="21"/>
                <w:highlight w:val="none"/>
                <w:lang w:val="zh-CN" w:eastAsia="zh-CN"/>
              </w:rPr>
              <w:t>；</w:t>
            </w:r>
          </w:p>
          <w:p>
            <w:pPr>
              <w:keepNext w:val="0"/>
              <w:keepLines w:val="0"/>
              <w:pageBreakBefore w:val="0"/>
              <w:widowControl w:val="0"/>
              <w:kinsoku/>
              <w:wordWrap/>
              <w:overflowPunct/>
              <w:topLinePunct w:val="0"/>
              <w:bidi w:val="0"/>
              <w:adjustRightInd w:val="0"/>
              <w:snapToGrid w:val="0"/>
              <w:spacing w:beforeAutospacing="0" w:afterAutospacing="0" w:line="360" w:lineRule="exac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zh-CN" w:eastAsia="zh-CN"/>
              </w:rPr>
              <w:t>⑤</w:t>
            </w:r>
            <w:r>
              <w:rPr>
                <w:rFonts w:hint="eastAsia" w:ascii="Times New Roman" w:hAnsi="Times New Roman"/>
                <w:color w:val="auto"/>
                <w:szCs w:val="21"/>
                <w:highlight w:val="none"/>
                <w:lang w:val="en-US" w:eastAsia="zh-CN"/>
              </w:rPr>
              <w:t>保障措施</w:t>
            </w:r>
            <w:r>
              <w:rPr>
                <w:rFonts w:hint="eastAsia" w:ascii="宋体" w:hAnsi="宋体" w:eastAsia="宋体" w:cs="宋体"/>
                <w:b w:val="0"/>
                <w:bCs w:val="0"/>
                <w:color w:val="auto"/>
                <w:sz w:val="21"/>
                <w:szCs w:val="21"/>
                <w:highlight w:val="none"/>
                <w:lang w:val="en-US" w:eastAsia="zh-CN"/>
              </w:rPr>
              <w:t>可行性较差</w:t>
            </w:r>
            <w:r>
              <w:rPr>
                <w:rFonts w:hint="eastAsia" w:ascii="宋体" w:hAnsi="宋体" w:eastAsia="宋体" w:cs="宋体"/>
                <w:b w:val="0"/>
                <w:bCs w:val="0"/>
                <w:color w:val="auto"/>
                <w:sz w:val="21"/>
                <w:szCs w:val="21"/>
                <w:highlight w:val="none"/>
                <w:lang w:val="zh-CN" w:eastAsia="zh-CN"/>
              </w:rPr>
              <w:t>，内容不全的得1分；</w:t>
            </w:r>
            <w:r>
              <w:rPr>
                <w:rFonts w:hint="eastAsia" w:ascii="宋体" w:hAnsi="宋体" w:eastAsia="宋体" w:cs="宋体"/>
                <w:bCs/>
                <w:color w:val="auto"/>
                <w:kern w:val="0"/>
                <w:sz w:val="21"/>
                <w:szCs w:val="24"/>
                <w:highlight w:val="none"/>
                <w:lang w:eastAsia="zh-CN"/>
              </w:rPr>
              <w:t>缺项不得分</w:t>
            </w:r>
            <w:r>
              <w:rPr>
                <w:rFonts w:hint="eastAsia" w:ascii="宋体" w:hAnsi="宋体" w:eastAsia="宋体" w:cs="宋体"/>
                <w:b w:val="0"/>
                <w:bCs w:val="0"/>
                <w:color w:val="auto"/>
                <w:sz w:val="21"/>
                <w:szCs w:val="21"/>
                <w:highlight w:val="none"/>
                <w:lang w:val="zh-CN" w:eastAsia="zh-CN"/>
              </w:rPr>
              <w:t>。</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增值（特色）服务</w:t>
            </w:r>
            <w:r>
              <w:rPr>
                <w:rFonts w:hint="eastAsia" w:ascii="宋体" w:hAnsi="宋体" w:eastAsia="宋体" w:cs="宋体"/>
                <w:color w:val="auto"/>
                <w:sz w:val="21"/>
                <w:szCs w:val="21"/>
                <w:highlight w:val="none"/>
                <w:lang w:val="zh-CN"/>
              </w:rPr>
              <w:t>承诺或优惠措施</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6660" w:type="dxa"/>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beforeAutospacing="0" w:afterAutospacing="0"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根据供应商针对本项目提供的</w:t>
            </w:r>
            <w:r>
              <w:rPr>
                <w:rFonts w:hint="eastAsia" w:ascii="宋体" w:hAnsi="宋体" w:eastAsia="宋体" w:cs="宋体"/>
                <w:color w:val="auto"/>
                <w:sz w:val="21"/>
                <w:szCs w:val="21"/>
                <w:highlight w:val="none"/>
              </w:rPr>
              <w:t>增值（特色）服务</w:t>
            </w:r>
            <w:r>
              <w:rPr>
                <w:rFonts w:hint="eastAsia" w:ascii="宋体" w:hAnsi="宋体" w:eastAsia="宋体" w:cs="宋体"/>
                <w:color w:val="auto"/>
                <w:sz w:val="21"/>
                <w:szCs w:val="21"/>
                <w:highlight w:val="none"/>
                <w:lang w:eastAsia="zh-CN"/>
              </w:rPr>
              <w:t>承诺</w:t>
            </w:r>
            <w:r>
              <w:rPr>
                <w:rFonts w:hint="eastAsia" w:ascii="宋体" w:hAnsi="宋体" w:eastAsia="宋体" w:cs="宋体"/>
                <w:color w:val="auto"/>
                <w:sz w:val="21"/>
                <w:szCs w:val="21"/>
                <w:highlight w:val="none"/>
                <w:lang w:val="zh-CN"/>
              </w:rPr>
              <w:t>或优惠措施</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：每增加一项</w:t>
            </w:r>
            <w:r>
              <w:rPr>
                <w:rFonts w:hint="eastAsia" w:ascii="宋体" w:hAnsi="宋体" w:eastAsia="宋体" w:cs="宋体"/>
                <w:color w:val="auto"/>
                <w:sz w:val="21"/>
                <w:szCs w:val="21"/>
                <w:highlight w:val="none"/>
              </w:rPr>
              <w:t>增值（特色）服务</w:t>
            </w:r>
            <w:r>
              <w:rPr>
                <w:rFonts w:hint="eastAsia" w:ascii="宋体" w:hAnsi="宋体" w:eastAsia="宋体" w:cs="宋体"/>
                <w:color w:val="auto"/>
                <w:sz w:val="21"/>
                <w:szCs w:val="21"/>
                <w:highlight w:val="none"/>
                <w:lang w:eastAsia="zh-CN"/>
              </w:rPr>
              <w:t>承诺</w:t>
            </w:r>
            <w:r>
              <w:rPr>
                <w:rFonts w:hint="eastAsia" w:ascii="宋体" w:hAnsi="宋体" w:eastAsia="宋体" w:cs="宋体"/>
                <w:color w:val="auto"/>
                <w:sz w:val="21"/>
                <w:szCs w:val="21"/>
                <w:highlight w:val="none"/>
                <w:lang w:val="zh-CN"/>
              </w:rPr>
              <w:t>或优惠措施得</w:t>
            </w:r>
            <w:r>
              <w:rPr>
                <w:rFonts w:hint="eastAsia" w:ascii="宋体" w:hAnsi="宋体" w:eastAsia="宋体" w:cs="宋体"/>
                <w:color w:val="auto"/>
                <w:sz w:val="21"/>
                <w:szCs w:val="21"/>
                <w:highlight w:val="none"/>
                <w:lang w:val="en-US" w:eastAsia="zh-CN"/>
              </w:rPr>
              <w:t>1分，最高得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kinsoku/>
              <w:wordWrap/>
              <w:overflowPunct/>
              <w:topLinePunct w:val="0"/>
              <w:bidi w:val="0"/>
              <w:adjustRightInd w:val="0"/>
              <w:snapToGrid w:val="0"/>
              <w:spacing w:beforeAutospacing="0" w:afterAutospacing="0" w:line="360" w:lineRule="exac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注：投标</w:t>
            </w:r>
            <w:r>
              <w:rPr>
                <w:rFonts w:hint="eastAsia" w:ascii="宋体" w:hAnsi="宋体" w:eastAsia="宋体" w:cs="宋体"/>
                <w:b/>
                <w:bCs/>
                <w:snapToGrid w:val="0"/>
                <w:color w:val="auto"/>
                <w:kern w:val="0"/>
                <w:sz w:val="21"/>
                <w:szCs w:val="21"/>
                <w:highlight w:val="none"/>
                <w:lang w:val="en-US" w:eastAsia="zh-CN"/>
              </w:rPr>
              <w:t>文件中提供增值（特色）服务承诺或优惠措施承诺函（格式自拟），相关承诺作为履行合同的依据。</w:t>
            </w:r>
          </w:p>
        </w:tc>
        <w:tc>
          <w:tcPr>
            <w:tcW w:w="10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cs="宋体"/>
                <w:b w:val="0"/>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服务承诺</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eastAsia="zh-CN"/>
              </w:rPr>
              <w:t>）</w:t>
            </w:r>
          </w:p>
        </w:tc>
        <w:tc>
          <w:tcPr>
            <w:tcW w:w="6660" w:type="dxa"/>
            <w:noWrap w:val="0"/>
            <w:tcMar>
              <w:left w:w="28" w:type="dxa"/>
              <w:right w:w="28" w:type="dxa"/>
            </w:tcMar>
            <w:vAlign w:val="center"/>
          </w:tcPr>
          <w:p>
            <w:pPr>
              <w:keepNext w:val="0"/>
              <w:keepLines w:val="0"/>
              <w:pageBreakBefore w:val="0"/>
              <w:kinsoku/>
              <w:wordWrap/>
              <w:overflowPunct/>
              <w:topLinePunct w:val="0"/>
              <w:bidi w:val="0"/>
              <w:adjustRightInd w:val="0"/>
              <w:snapToGrid w:val="0"/>
              <w:spacing w:beforeAutospacing="0" w:afterAutospacing="0" w:line="380" w:lineRule="exac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Cs w:val="24"/>
                <w:highlight w:val="none"/>
                <w:lang w:val="zh-CN"/>
              </w:rPr>
              <w:t>后续服务计划及供应商提供方便快捷优质服务能力</w:t>
            </w:r>
            <w:r>
              <w:rPr>
                <w:rFonts w:hint="eastAsia" w:ascii="宋体" w:hAnsi="宋体" w:eastAsia="宋体" w:cs="宋体"/>
                <w:b w:val="0"/>
                <w:bCs/>
                <w:color w:val="auto"/>
                <w:sz w:val="21"/>
                <w:szCs w:val="21"/>
                <w:highlight w:val="none"/>
              </w:rPr>
              <w:t>进行评审</w:t>
            </w:r>
            <w:r>
              <w:rPr>
                <w:rFonts w:hint="eastAsia" w:ascii="宋体" w:hAnsi="宋体" w:eastAsia="宋体" w:cs="宋体"/>
                <w:b w:val="0"/>
                <w:bCs/>
                <w:color w:val="auto"/>
                <w:sz w:val="21"/>
                <w:szCs w:val="21"/>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380" w:lineRule="exact"/>
              <w:rPr>
                <w:rFonts w:hint="eastAsia" w:ascii="宋体" w:hAnsi="宋体" w:eastAsia="宋体" w:cs="宋体"/>
                <w:b w:val="0"/>
                <w:bCs/>
                <w:w w:val="100"/>
                <w:sz w:val="21"/>
                <w:szCs w:val="21"/>
                <w:highlight w:val="none"/>
                <w:lang w:val="en-US" w:eastAsia="zh-CN"/>
              </w:rPr>
            </w:pPr>
            <w:r>
              <w:rPr>
                <w:rFonts w:hint="eastAsia" w:ascii="宋体" w:hAnsi="宋体" w:eastAsia="宋体" w:cs="宋体"/>
                <w:b w:val="0"/>
                <w:bCs/>
                <w:color w:val="auto"/>
                <w:w w:val="100"/>
                <w:sz w:val="21"/>
                <w:szCs w:val="21"/>
                <w:highlight w:val="none"/>
                <w:lang w:eastAsia="zh-CN"/>
              </w:rPr>
              <w:t>①</w:t>
            </w:r>
            <w:r>
              <w:rPr>
                <w:rFonts w:hint="eastAsia" w:ascii="宋体" w:hAnsi="宋体" w:eastAsia="宋体" w:cs="宋体"/>
                <w:b w:val="0"/>
                <w:bCs/>
                <w:color w:val="auto"/>
                <w:w w:val="100"/>
                <w:sz w:val="21"/>
                <w:szCs w:val="21"/>
                <w:highlight w:val="none"/>
              </w:rPr>
              <w:t>服务机构</w:t>
            </w:r>
            <w:r>
              <w:rPr>
                <w:rFonts w:hint="eastAsia" w:ascii="宋体" w:hAnsi="宋体" w:eastAsia="宋体" w:cs="宋体"/>
                <w:b w:val="0"/>
                <w:bCs/>
                <w:w w:val="100"/>
                <w:sz w:val="21"/>
                <w:szCs w:val="21"/>
                <w:highlight w:val="none"/>
                <w:lang w:val="en-US" w:eastAsia="zh-CN"/>
              </w:rPr>
              <w:t>稳定性好、</w:t>
            </w:r>
            <w:r>
              <w:rPr>
                <w:rFonts w:hint="eastAsia" w:ascii="宋体" w:hAnsi="宋体" w:eastAsia="宋体" w:cs="宋体"/>
                <w:b w:val="0"/>
                <w:bCs/>
                <w:color w:val="auto"/>
                <w:w w:val="100"/>
                <w:sz w:val="21"/>
                <w:szCs w:val="21"/>
                <w:highlight w:val="none"/>
              </w:rPr>
              <w:t>便捷程度</w:t>
            </w:r>
            <w:r>
              <w:rPr>
                <w:rFonts w:hint="eastAsia" w:ascii="宋体" w:hAnsi="宋体" w:eastAsia="宋体" w:cs="宋体"/>
                <w:b w:val="0"/>
                <w:bCs/>
                <w:color w:val="auto"/>
                <w:w w:val="100"/>
                <w:sz w:val="21"/>
                <w:szCs w:val="21"/>
                <w:highlight w:val="none"/>
                <w:lang w:val="en-US" w:eastAsia="zh-CN"/>
              </w:rPr>
              <w:t>高、</w:t>
            </w:r>
            <w:r>
              <w:rPr>
                <w:rFonts w:hint="eastAsia" w:ascii="宋体" w:hAnsi="宋体" w:eastAsia="宋体" w:cs="宋体"/>
                <w:b w:val="0"/>
                <w:bCs/>
                <w:color w:val="auto"/>
                <w:sz w:val="21"/>
                <w:szCs w:val="21"/>
                <w:highlight w:val="none"/>
                <w:lang w:eastAsia="zh-CN"/>
              </w:rPr>
              <w:t>服务计划优质合理</w:t>
            </w:r>
            <w:r>
              <w:rPr>
                <w:rFonts w:hint="eastAsia" w:ascii="宋体" w:hAnsi="宋体" w:eastAsia="宋体" w:cs="宋体"/>
                <w:b w:val="0"/>
                <w:bCs/>
                <w:w w:val="100"/>
                <w:sz w:val="21"/>
                <w:szCs w:val="21"/>
                <w:highlight w:val="none"/>
                <w:lang w:val="en-US" w:eastAsia="zh-CN"/>
              </w:rPr>
              <w:t>的得</w:t>
            </w:r>
            <w:r>
              <w:rPr>
                <w:rFonts w:hint="eastAsia" w:ascii="宋体" w:hAnsi="宋体" w:cs="宋体"/>
                <w:b w:val="0"/>
                <w:bCs/>
                <w:w w:val="100"/>
                <w:sz w:val="21"/>
                <w:szCs w:val="21"/>
                <w:highlight w:val="none"/>
                <w:lang w:val="en-US" w:eastAsia="zh-CN"/>
              </w:rPr>
              <w:t>5</w:t>
            </w:r>
            <w:r>
              <w:rPr>
                <w:rFonts w:hint="eastAsia" w:ascii="宋体" w:hAnsi="宋体" w:eastAsia="宋体" w:cs="宋体"/>
                <w:b w:val="0"/>
                <w:bCs/>
                <w:w w:val="100"/>
                <w:sz w:val="21"/>
                <w:szCs w:val="21"/>
                <w:highlight w:val="none"/>
                <w:lang w:val="en-US" w:eastAsia="zh-CN"/>
              </w:rPr>
              <w:t>分；</w:t>
            </w:r>
          </w:p>
          <w:p>
            <w:pPr>
              <w:keepNext w:val="0"/>
              <w:keepLines w:val="0"/>
              <w:pageBreakBefore w:val="0"/>
              <w:kinsoku/>
              <w:wordWrap/>
              <w:overflowPunct/>
              <w:topLinePunct w:val="0"/>
              <w:bidi w:val="0"/>
              <w:adjustRightInd w:val="0"/>
              <w:snapToGrid w:val="0"/>
              <w:spacing w:beforeAutospacing="0" w:afterAutospacing="0" w:line="380" w:lineRule="exact"/>
              <w:rPr>
                <w:rFonts w:hint="eastAsia" w:ascii="宋体" w:hAnsi="宋体" w:eastAsia="宋体" w:cs="宋体"/>
                <w:b w:val="0"/>
                <w:bCs/>
                <w:color w:val="auto"/>
                <w:w w:val="100"/>
                <w:sz w:val="21"/>
                <w:szCs w:val="21"/>
                <w:highlight w:val="none"/>
                <w:lang w:val="en-US" w:eastAsia="zh-CN"/>
              </w:rPr>
            </w:pPr>
            <w:r>
              <w:rPr>
                <w:rFonts w:hint="eastAsia" w:ascii="宋体" w:hAnsi="宋体" w:eastAsia="宋体" w:cs="宋体"/>
                <w:b w:val="0"/>
                <w:bCs/>
                <w:color w:val="auto"/>
                <w:w w:val="100"/>
                <w:sz w:val="21"/>
                <w:szCs w:val="21"/>
                <w:highlight w:val="none"/>
                <w:lang w:val="en-US" w:eastAsia="zh-CN"/>
              </w:rPr>
              <w:t>②存在缺陷，但基本能够满足项目要求的得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w w:val="100"/>
                <w:sz w:val="21"/>
                <w:szCs w:val="21"/>
                <w:highlight w:val="none"/>
                <w:lang w:val="en-US" w:eastAsia="zh-CN"/>
              </w:rPr>
              <w:t>分；</w:t>
            </w:r>
          </w:p>
          <w:p>
            <w:pPr>
              <w:keepNext w:val="0"/>
              <w:keepLines w:val="0"/>
              <w:pageBreakBefore w:val="0"/>
              <w:kinsoku/>
              <w:wordWrap/>
              <w:overflowPunct/>
              <w:topLinePunct w:val="0"/>
              <w:bidi w:val="0"/>
              <w:adjustRightInd w:val="0"/>
              <w:snapToGrid w:val="0"/>
              <w:spacing w:beforeAutospacing="0" w:afterAutospacing="0" w:line="380" w:lineRule="exact"/>
              <w:rPr>
                <w:rFonts w:hint="eastAsia" w:ascii="宋体" w:hAnsi="宋体" w:cs="宋体"/>
                <w:b w:val="0"/>
                <w:bCs/>
                <w:szCs w:val="21"/>
                <w:highlight w:val="none"/>
                <w:lang w:eastAsia="zh-CN"/>
              </w:rPr>
            </w:pPr>
            <w:r>
              <w:rPr>
                <w:rFonts w:hint="eastAsia" w:ascii="宋体" w:hAnsi="宋体" w:eastAsia="宋体" w:cs="宋体"/>
                <w:b w:val="0"/>
                <w:bCs/>
                <w:color w:val="auto"/>
                <w:szCs w:val="21"/>
                <w:highlight w:val="none"/>
                <w:lang w:val="en-US" w:eastAsia="zh-CN"/>
              </w:rPr>
              <w:t>③</w:t>
            </w:r>
            <w:r>
              <w:rPr>
                <w:rFonts w:hint="eastAsia" w:ascii="宋体" w:hAnsi="宋体" w:cs="宋体"/>
                <w:b w:val="0"/>
                <w:bCs/>
                <w:szCs w:val="21"/>
                <w:highlight w:val="none"/>
                <w:lang w:val="en-US" w:eastAsia="zh-CN"/>
              </w:rPr>
              <w:t>服务便捷性低、机构设置不稳定</w:t>
            </w:r>
            <w:r>
              <w:rPr>
                <w:rFonts w:hint="eastAsia" w:ascii="宋体" w:hAnsi="宋体" w:cs="宋体"/>
                <w:b w:val="0"/>
                <w:bCs/>
                <w:szCs w:val="21"/>
                <w:highlight w:val="none"/>
                <w:lang w:eastAsia="zh-CN"/>
              </w:rPr>
              <w:t>的得</w:t>
            </w:r>
            <w:r>
              <w:rPr>
                <w:rFonts w:hint="eastAsia" w:ascii="宋体" w:hAnsi="宋体" w:cs="宋体"/>
                <w:b w:val="0"/>
                <w:bCs/>
                <w:szCs w:val="21"/>
                <w:highlight w:val="none"/>
                <w:lang w:val="en-US" w:eastAsia="zh-CN"/>
              </w:rPr>
              <w:t>1</w:t>
            </w:r>
            <w:r>
              <w:rPr>
                <w:rFonts w:hint="eastAsia" w:ascii="宋体" w:hAnsi="宋体" w:cs="宋体"/>
                <w:b w:val="0"/>
                <w:bCs/>
                <w:szCs w:val="21"/>
                <w:highlight w:val="none"/>
                <w:lang w:eastAsia="zh-CN"/>
              </w:rPr>
              <w:t>分；</w:t>
            </w:r>
          </w:p>
          <w:p>
            <w:pPr>
              <w:keepNext w:val="0"/>
              <w:keepLines w:val="0"/>
              <w:pageBreakBefore w:val="0"/>
              <w:kinsoku/>
              <w:wordWrap/>
              <w:overflowPunct/>
              <w:topLinePunct w:val="0"/>
              <w:bidi w:val="0"/>
              <w:adjustRightInd w:val="0"/>
              <w:snapToGrid w:val="0"/>
              <w:spacing w:beforeAutospacing="0" w:afterAutospacing="0" w:line="380" w:lineRule="exac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szCs w:val="21"/>
                <w:highlight w:val="none"/>
                <w:lang w:eastAsia="zh-CN"/>
              </w:rPr>
              <w:t>④</w:t>
            </w:r>
            <w:r>
              <w:rPr>
                <w:rFonts w:hint="eastAsia" w:ascii="宋体" w:hAnsi="宋体" w:eastAsia="宋体" w:cs="宋体"/>
                <w:b w:val="0"/>
                <w:bCs w:val="0"/>
                <w:color w:val="auto"/>
                <w:kern w:val="0"/>
                <w:sz w:val="21"/>
                <w:szCs w:val="21"/>
                <w:highlight w:val="none"/>
              </w:rPr>
              <w:t>未提供</w:t>
            </w:r>
            <w:r>
              <w:rPr>
                <w:rFonts w:hint="eastAsia" w:ascii="宋体" w:hAnsi="宋体" w:eastAsia="宋体" w:cs="宋体"/>
                <w:b w:val="0"/>
                <w:bCs w:val="0"/>
                <w:color w:val="auto"/>
                <w:kern w:val="0"/>
                <w:sz w:val="21"/>
                <w:szCs w:val="21"/>
                <w:highlight w:val="none"/>
                <w:lang w:eastAsia="zh-CN"/>
              </w:rPr>
              <w:t>的</w:t>
            </w:r>
            <w:r>
              <w:rPr>
                <w:rFonts w:hint="eastAsia" w:ascii="宋体" w:hAnsi="宋体" w:eastAsia="宋体" w:cs="宋体"/>
                <w:b w:val="0"/>
                <w:bCs w:val="0"/>
                <w:color w:val="auto"/>
                <w:kern w:val="0"/>
                <w:sz w:val="21"/>
                <w:szCs w:val="21"/>
                <w:highlight w:val="none"/>
              </w:rPr>
              <w:t>不得分。</w:t>
            </w:r>
          </w:p>
        </w:tc>
        <w:tc>
          <w:tcPr>
            <w:tcW w:w="1076" w:type="dxa"/>
            <w:noWrap w:val="0"/>
            <w:tcMar>
              <w:left w:w="28" w:type="dxa"/>
              <w:right w:w="28" w:type="dxa"/>
            </w:tcMar>
            <w:vAlign w:val="center"/>
          </w:tcPr>
          <w:p>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ind w:left="0" w:leftChars="0" w:right="0" w:rightChars="0"/>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lang w:val="en-US" w:eastAsia="zh-CN"/>
              </w:rPr>
            </w:pPr>
          </w:p>
        </w:tc>
        <w:tc>
          <w:tcPr>
            <w:tcW w:w="6660" w:type="dxa"/>
            <w:noWrap w:val="0"/>
            <w:tcMar>
              <w:left w:w="28" w:type="dxa"/>
              <w:right w:w="28" w:type="dxa"/>
            </w:tcMar>
            <w:vAlign w:val="center"/>
          </w:tcPr>
          <w:p>
            <w:pPr>
              <w:keepNext w:val="0"/>
              <w:keepLines w:val="0"/>
              <w:pageBreakBefore w:val="0"/>
              <w:kinsoku/>
              <w:wordWrap/>
              <w:overflowPunct/>
              <w:topLinePunct w:val="0"/>
              <w:bidi w:val="0"/>
              <w:adjustRightInd w:val="0"/>
              <w:snapToGrid w:val="0"/>
              <w:spacing w:beforeAutospacing="0" w:afterAutospacing="0"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4"/>
                <w:highlight w:val="none"/>
              </w:rPr>
              <w:t>响应方式方法</w:t>
            </w:r>
            <w:r>
              <w:rPr>
                <w:rFonts w:hint="eastAsia" w:ascii="宋体" w:hAnsi="宋体" w:eastAsia="宋体" w:cs="宋体"/>
                <w:color w:val="auto"/>
                <w:szCs w:val="24"/>
                <w:highlight w:val="none"/>
                <w:lang w:val="zh-CN"/>
              </w:rPr>
              <w:t>（</w:t>
            </w:r>
            <w:r>
              <w:rPr>
                <w:rFonts w:hint="eastAsia" w:ascii="宋体" w:hAnsi="宋体" w:eastAsia="宋体" w:cs="宋体"/>
                <w:color w:val="auto"/>
                <w:sz w:val="21"/>
                <w:szCs w:val="21"/>
                <w:highlight w:val="none"/>
                <w:lang w:val="en-US" w:eastAsia="zh-CN"/>
              </w:rPr>
              <w:t>投诉通道设立</w:t>
            </w:r>
            <w:r>
              <w:rPr>
                <w:rFonts w:hint="eastAsia" w:ascii="宋体" w:hAnsi="宋体" w:eastAsia="宋体" w:cs="宋体"/>
                <w:color w:val="auto"/>
                <w:szCs w:val="24"/>
                <w:highlight w:val="none"/>
                <w:lang w:val="zh-CN"/>
              </w:rPr>
              <w:t>）等情况</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380" w:lineRule="exact"/>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 w:val="21"/>
                <w:szCs w:val="21"/>
                <w:highlight w:val="none"/>
                <w:lang w:eastAsia="zh-CN"/>
              </w:rPr>
              <w:t>①</w:t>
            </w:r>
            <w:r>
              <w:rPr>
                <w:rFonts w:hint="eastAsia" w:ascii="宋体" w:hAnsi="宋体" w:eastAsia="宋体" w:cs="宋体"/>
                <w:b w:val="0"/>
                <w:bCs w:val="0"/>
                <w:color w:val="auto"/>
                <w:szCs w:val="24"/>
                <w:highlight w:val="none"/>
              </w:rPr>
              <w:t>响应</w:t>
            </w:r>
            <w:r>
              <w:rPr>
                <w:rFonts w:hint="eastAsia" w:ascii="宋体" w:hAnsi="宋体" w:eastAsia="宋体" w:cs="宋体"/>
                <w:b w:val="0"/>
                <w:bCs w:val="0"/>
                <w:color w:val="auto"/>
                <w:szCs w:val="24"/>
                <w:highlight w:val="none"/>
                <w:lang w:eastAsia="zh-CN"/>
              </w:rPr>
              <w:t>方式方法合理、具有方便快捷的投诉通道的得</w:t>
            </w:r>
            <w:r>
              <w:rPr>
                <w:rFonts w:hint="eastAsia" w:ascii="宋体" w:hAnsi="宋体" w:cs="宋体"/>
                <w:b w:val="0"/>
                <w:bCs w:val="0"/>
                <w:color w:val="auto"/>
                <w:szCs w:val="24"/>
                <w:highlight w:val="none"/>
                <w:lang w:val="en-US" w:eastAsia="zh-CN"/>
              </w:rPr>
              <w:t>5</w:t>
            </w:r>
            <w:r>
              <w:rPr>
                <w:rFonts w:hint="eastAsia" w:ascii="宋体" w:hAnsi="宋体" w:eastAsia="宋体" w:cs="宋体"/>
                <w:b w:val="0"/>
                <w:bCs w:val="0"/>
                <w:color w:val="auto"/>
                <w:szCs w:val="24"/>
                <w:highlight w:val="none"/>
                <w:lang w:val="en-US" w:eastAsia="zh-CN"/>
              </w:rPr>
              <w:t>分；</w:t>
            </w:r>
          </w:p>
          <w:p>
            <w:pPr>
              <w:keepNext w:val="0"/>
              <w:keepLines w:val="0"/>
              <w:pageBreakBefore w:val="0"/>
              <w:kinsoku/>
              <w:wordWrap/>
              <w:overflowPunct/>
              <w:topLinePunct w:val="0"/>
              <w:bidi w:val="0"/>
              <w:adjustRightInd w:val="0"/>
              <w:snapToGrid w:val="0"/>
              <w:spacing w:beforeAutospacing="0" w:afterAutospacing="0" w:line="380" w:lineRule="exact"/>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②存在缺陷，但基本能够满足项目要求的得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w w:val="100"/>
                <w:sz w:val="21"/>
                <w:szCs w:val="21"/>
                <w:highlight w:val="none"/>
                <w:lang w:val="en-US" w:eastAsia="zh-CN"/>
              </w:rPr>
              <w:t>分；</w:t>
            </w:r>
          </w:p>
          <w:p>
            <w:pPr>
              <w:keepNext w:val="0"/>
              <w:keepLines w:val="0"/>
              <w:pageBreakBefore w:val="0"/>
              <w:kinsoku/>
              <w:wordWrap/>
              <w:overflowPunct/>
              <w:topLinePunct w:val="0"/>
              <w:bidi w:val="0"/>
              <w:adjustRightInd w:val="0"/>
              <w:snapToGrid w:val="0"/>
              <w:spacing w:beforeAutospacing="0" w:afterAutospacing="0" w:line="380" w:lineRule="exact"/>
              <w:rPr>
                <w:rFonts w:hint="eastAsia" w:ascii="宋体" w:hAnsi="宋体" w:cs="宋体"/>
                <w:b w:val="0"/>
                <w:bCs w:val="0"/>
                <w:szCs w:val="21"/>
                <w:highlight w:val="none"/>
                <w:lang w:eastAsia="zh-CN"/>
              </w:rPr>
            </w:pPr>
            <w:r>
              <w:rPr>
                <w:rFonts w:hint="eastAsia" w:ascii="宋体" w:hAnsi="宋体" w:eastAsia="宋体" w:cs="宋体"/>
                <w:b w:val="0"/>
                <w:bCs w:val="0"/>
                <w:color w:val="auto"/>
                <w:szCs w:val="21"/>
                <w:highlight w:val="none"/>
                <w:lang w:val="en-US" w:eastAsia="zh-CN"/>
              </w:rPr>
              <w:t>③</w:t>
            </w:r>
            <w:r>
              <w:rPr>
                <w:rFonts w:hint="eastAsia" w:ascii="宋体" w:hAnsi="宋体" w:eastAsia="宋体" w:cs="宋体"/>
                <w:b w:val="0"/>
                <w:bCs w:val="0"/>
                <w:color w:val="auto"/>
                <w:szCs w:val="24"/>
                <w:highlight w:val="none"/>
              </w:rPr>
              <w:t>响应</w:t>
            </w:r>
            <w:r>
              <w:rPr>
                <w:rFonts w:hint="eastAsia" w:ascii="宋体" w:hAnsi="宋体" w:eastAsia="宋体" w:cs="宋体"/>
                <w:b w:val="0"/>
                <w:bCs w:val="0"/>
                <w:color w:val="auto"/>
                <w:szCs w:val="24"/>
                <w:highlight w:val="none"/>
                <w:lang w:eastAsia="zh-CN"/>
              </w:rPr>
              <w:t>方式方法不合理、没有设立方便快捷的投诉通道</w:t>
            </w:r>
            <w:r>
              <w:rPr>
                <w:rFonts w:hint="eastAsia" w:ascii="宋体" w:hAnsi="宋体" w:cs="宋体"/>
                <w:b w:val="0"/>
                <w:bCs w:val="0"/>
                <w:szCs w:val="21"/>
                <w:highlight w:val="none"/>
                <w:lang w:eastAsia="zh-CN"/>
              </w:rPr>
              <w:t>的得</w:t>
            </w:r>
            <w:r>
              <w:rPr>
                <w:rFonts w:hint="eastAsia" w:ascii="宋体" w:hAnsi="宋体" w:cs="宋体"/>
                <w:b w:val="0"/>
                <w:bCs w:val="0"/>
                <w:szCs w:val="21"/>
                <w:highlight w:val="none"/>
                <w:lang w:val="en-US" w:eastAsia="zh-CN"/>
              </w:rPr>
              <w:t>1</w:t>
            </w:r>
            <w:r>
              <w:rPr>
                <w:rFonts w:hint="eastAsia" w:ascii="宋体" w:hAnsi="宋体" w:cs="宋体"/>
                <w:b w:val="0"/>
                <w:bCs w:val="0"/>
                <w:szCs w:val="21"/>
                <w:highlight w:val="none"/>
                <w:lang w:eastAsia="zh-CN"/>
              </w:rPr>
              <w:t>分；</w:t>
            </w:r>
          </w:p>
          <w:p>
            <w:pPr>
              <w:keepNext w:val="0"/>
              <w:keepLines w:val="0"/>
              <w:pageBreakBefore w:val="0"/>
              <w:kinsoku/>
              <w:wordWrap/>
              <w:overflowPunct/>
              <w:topLinePunct w:val="0"/>
              <w:bidi w:val="0"/>
              <w:adjustRightInd w:val="0"/>
              <w:snapToGrid w:val="0"/>
              <w:spacing w:beforeAutospacing="0" w:afterAutospacing="0" w:line="380" w:lineRule="exac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szCs w:val="21"/>
                <w:highlight w:val="none"/>
                <w:lang w:eastAsia="zh-CN"/>
              </w:rPr>
              <w:t>④</w:t>
            </w:r>
            <w:r>
              <w:rPr>
                <w:rFonts w:hint="eastAsia" w:ascii="宋体" w:hAnsi="宋体" w:eastAsia="宋体" w:cs="宋体"/>
                <w:b w:val="0"/>
                <w:bCs w:val="0"/>
                <w:color w:val="auto"/>
                <w:kern w:val="0"/>
                <w:sz w:val="21"/>
                <w:szCs w:val="21"/>
                <w:highlight w:val="none"/>
              </w:rPr>
              <w:t>未提供</w:t>
            </w:r>
            <w:r>
              <w:rPr>
                <w:rFonts w:hint="eastAsia" w:ascii="宋体" w:hAnsi="宋体" w:eastAsia="宋体" w:cs="宋体"/>
                <w:b w:val="0"/>
                <w:bCs w:val="0"/>
                <w:color w:val="auto"/>
                <w:kern w:val="0"/>
                <w:sz w:val="21"/>
                <w:szCs w:val="21"/>
                <w:highlight w:val="none"/>
                <w:lang w:eastAsia="zh-CN"/>
              </w:rPr>
              <w:t>的</w:t>
            </w:r>
            <w:r>
              <w:rPr>
                <w:rFonts w:hint="eastAsia" w:ascii="宋体" w:hAnsi="宋体" w:eastAsia="宋体" w:cs="宋体"/>
                <w:b w:val="0"/>
                <w:bCs w:val="0"/>
                <w:color w:val="auto"/>
                <w:kern w:val="0"/>
                <w:sz w:val="21"/>
                <w:szCs w:val="21"/>
                <w:highlight w:val="none"/>
              </w:rPr>
              <w:t>不得分。</w:t>
            </w:r>
          </w:p>
        </w:tc>
        <w:tc>
          <w:tcPr>
            <w:tcW w:w="1076" w:type="dxa"/>
            <w:noWrap w:val="0"/>
            <w:tcMar>
              <w:left w:w="28" w:type="dxa"/>
              <w:right w:w="28" w:type="dxa"/>
            </w:tcMar>
            <w:vAlign w:val="center"/>
          </w:tcPr>
          <w:p>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ind w:left="0" w:leftChars="0" w:right="0" w:rightChars="0"/>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5"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管理制度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highlight w:val="none"/>
                <w:lang w:val="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val="zh-CN"/>
              </w:rPr>
              <w:t>）</w:t>
            </w:r>
          </w:p>
        </w:tc>
        <w:tc>
          <w:tcPr>
            <w:tcW w:w="666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①</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的制度完善情况、建立健全各项岗位职责</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0-</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②</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经营管理制度，日常管理制度完善情况</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0-</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bidi w:val="0"/>
              <w:adjustRightInd w:val="0"/>
              <w:snapToGrid w:val="0"/>
              <w:spacing w:beforeAutospacing="0" w:afterAutospacing="0" w:line="360" w:lineRule="exact"/>
              <w:rPr>
                <w:rFonts w:hint="eastAsia" w:ascii="宋体" w:hAnsi="宋体" w:eastAsia="宋体" w:cs="宋体"/>
                <w:sz w:val="21"/>
                <w:szCs w:val="21"/>
                <w:highlight w:val="none"/>
                <w:lang w:val="en-US" w:eastAsia="zh-CN"/>
              </w:rPr>
            </w:pPr>
            <w:r>
              <w:rPr>
                <w:rFonts w:hint="eastAsia" w:ascii="宋体" w:hAnsi="宋体" w:eastAsia="宋体" w:cs="宋体"/>
                <w:color w:val="auto"/>
                <w:highlight w:val="none"/>
                <w:lang w:eastAsia="zh-CN"/>
              </w:rPr>
              <w:t>③</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的投诉管理机制是否完善，</w:t>
            </w:r>
            <w:r>
              <w:rPr>
                <w:rFonts w:hint="eastAsia" w:ascii="宋体" w:hAnsi="宋体" w:cs="宋体"/>
                <w:color w:val="auto"/>
                <w:highlight w:val="none"/>
                <w:lang w:eastAsia="zh-CN"/>
              </w:rPr>
              <w:t>台账</w:t>
            </w:r>
            <w:r>
              <w:rPr>
                <w:rFonts w:hint="eastAsia" w:ascii="宋体" w:hAnsi="宋体" w:eastAsia="宋体" w:cs="宋体"/>
                <w:color w:val="auto"/>
                <w:highlight w:val="none"/>
              </w:rPr>
              <w:t>建立齐全</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0-</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c>
          <w:tcPr>
            <w:tcW w:w="1076" w:type="dxa"/>
            <w:noWrap w:val="0"/>
            <w:tcMar>
              <w:left w:w="28" w:type="dxa"/>
              <w:right w:w="28" w:type="dxa"/>
            </w:tcMar>
            <w:vAlign w:val="center"/>
          </w:tcPr>
          <w:p>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ind w:left="0" w:leftChars="0" w:right="0" w:right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bCs/>
                <w:color w:val="auto"/>
                <w:sz w:val="21"/>
                <w:szCs w:val="21"/>
                <w:highlight w:val="none"/>
              </w:rPr>
            </w:pPr>
          </w:p>
        </w:tc>
        <w:tc>
          <w:tcPr>
            <w:tcW w:w="142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企业业绩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（1分）</w:t>
            </w:r>
          </w:p>
        </w:tc>
        <w:tc>
          <w:tcPr>
            <w:tcW w:w="666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自2020年1月1日至今（以合同签订日期为准），供应商承办过的同类疗休养服务项目案例，每提供一个案例得0.5分，最高得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keepNext w:val="0"/>
              <w:keepLines w:val="0"/>
              <w:pageBreakBefore w:val="0"/>
              <w:widowControl w:val="0"/>
              <w:kinsoku/>
              <w:wordWrap/>
              <w:overflowPunct/>
              <w:topLinePunct w:val="0"/>
              <w:bidi w:val="0"/>
              <w:adjustRightInd w:val="0"/>
              <w:snapToGrid w:val="0"/>
              <w:spacing w:beforeAutospacing="0" w:afterAutospacing="0"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文件中须同时提供合同复印件和对应项目完成验收证明材料（提供中标通知书、合同复印件及客户满意度评价复印件并加盖公章）。</w:t>
            </w:r>
          </w:p>
        </w:tc>
        <w:tc>
          <w:tcPr>
            <w:tcW w:w="1076" w:type="dxa"/>
            <w:noWrap w:val="0"/>
            <w:tcMar>
              <w:left w:w="28" w:type="dxa"/>
              <w:right w:w="28" w:type="dxa"/>
            </w:tcMar>
            <w:vAlign w:val="center"/>
          </w:tcPr>
          <w:p>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645" w:type="dxa"/>
            <w:noWrap w:val="0"/>
            <w:tcMar>
              <w:left w:w="28" w:type="dxa"/>
              <w:right w:w="28" w:type="dxa"/>
            </w:tcMar>
            <w:vAlign w:val="center"/>
          </w:tcPr>
          <w:p>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ind w:left="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w:t>
            </w:r>
          </w:p>
          <w:p>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ind w:left="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格</w:t>
            </w:r>
          </w:p>
          <w:p>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ind w:left="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val="en-US" w:eastAsia="zh-CN"/>
              </w:rPr>
              <w:t xml:space="preserve"> </w:t>
            </w:r>
          </w:p>
          <w:p>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ind w:left="0" w:right="0" w:rightChars="0"/>
              <w:jc w:val="center"/>
              <w:textAlignment w:val="auto"/>
              <w:rPr>
                <w:rFonts w:hint="eastAsia" w:ascii="宋体" w:hAnsi="宋体" w:eastAsia="宋体" w:cs="宋体"/>
                <w:b w:val="0"/>
                <w:bCs w:val="0"/>
                <w:color w:val="auto"/>
                <w:w w:val="100"/>
                <w:kern w:val="2"/>
                <w:sz w:val="21"/>
                <w:szCs w:val="21"/>
                <w:highlight w:val="none"/>
                <w:lang w:val="en-US" w:eastAsia="zh-CN" w:bidi="ar-SA"/>
              </w:rPr>
            </w:pPr>
            <w:r>
              <w:rPr>
                <w:rFonts w:hint="eastAsia" w:ascii="宋体" w:hAnsi="宋体" w:eastAsia="宋体" w:cs="宋体"/>
                <w:b/>
                <w:bCs/>
                <w:color w:val="auto"/>
                <w:w w:val="100"/>
                <w:sz w:val="21"/>
                <w:szCs w:val="21"/>
                <w:highlight w:val="none"/>
                <w:lang w:val="en-US" w:eastAsia="zh-CN"/>
              </w:rPr>
              <w:t>10分</w:t>
            </w:r>
          </w:p>
        </w:tc>
        <w:tc>
          <w:tcPr>
            <w:tcW w:w="8085" w:type="dxa"/>
            <w:gridSpan w:val="2"/>
            <w:noWrap w:val="0"/>
            <w:tcMar>
              <w:left w:w="28" w:type="dxa"/>
              <w:right w:w="28" w:type="dxa"/>
            </w:tcMar>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highlight w:val="none"/>
                <w:lang w:val="en-US" w:eastAsia="zh-CN"/>
              </w:rPr>
            </w:pPr>
            <w:r>
              <w:rPr>
                <w:rFonts w:hint="eastAsia"/>
                <w:highlight w:val="none"/>
                <w:lang w:val="en-US" w:eastAsia="zh-CN"/>
              </w:rPr>
              <w:t>参与评审的价格=最终报价</w:t>
            </w:r>
          </w:p>
          <w:p>
            <w:pPr>
              <w:keepNext w:val="0"/>
              <w:keepLines w:val="0"/>
              <w:pageBreakBefore w:val="0"/>
              <w:kinsoku/>
              <w:wordWrap/>
              <w:overflowPunct/>
              <w:topLinePunct w:val="0"/>
              <w:autoSpaceDE/>
              <w:autoSpaceDN/>
              <w:bidi w:val="0"/>
              <w:adjustRightInd/>
              <w:spacing w:line="360" w:lineRule="exact"/>
              <w:textAlignment w:val="auto"/>
              <w:rPr>
                <w:rFonts w:hint="eastAsia" w:ascii="Times New Roman" w:hAnsi="Times New Roman" w:eastAsia="宋体" w:cs="Times New Roman"/>
                <w:highlight w:val="none"/>
                <w:lang w:val="en-US" w:eastAsia="zh-CN"/>
              </w:rPr>
            </w:pPr>
            <w:r>
              <w:rPr>
                <w:rFonts w:hint="eastAsia"/>
                <w:highlight w:val="none"/>
                <w:lang w:val="en-US" w:eastAsia="zh-CN"/>
              </w:rPr>
              <w:t>满足招</w:t>
            </w:r>
            <w:r>
              <w:rPr>
                <w:rFonts w:hint="eastAsia" w:ascii="Times New Roman" w:hAnsi="Times New Roman" w:eastAsia="宋体" w:cs="Times New Roman"/>
                <w:highlight w:val="none"/>
                <w:lang w:val="en-US" w:eastAsia="zh-CN"/>
              </w:rPr>
              <w:t>标文件要求且最低的参与评审的价格为评标基准价，其价格分为满分10分。其他供应商的价格分统一按照下列公式计算：</w:t>
            </w:r>
          </w:p>
          <w:p>
            <w:pPr>
              <w:keepNext w:val="0"/>
              <w:keepLines w:val="0"/>
              <w:pageBreakBefore w:val="0"/>
              <w:kinsoku/>
              <w:wordWrap/>
              <w:overflowPunct/>
              <w:topLinePunct w:val="0"/>
              <w:autoSpaceDE/>
              <w:autoSpaceDN/>
              <w:bidi w:val="0"/>
              <w:adjustRightInd/>
              <w:spacing w:line="36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价格分=(评标基准价／参与评审的价格)×10%×100</w:t>
            </w:r>
          </w:p>
          <w:p>
            <w:pPr>
              <w:keepNext w:val="0"/>
              <w:keepLines w:val="0"/>
              <w:pageBreakBefore w:val="0"/>
              <w:kinsoku/>
              <w:wordWrap/>
              <w:overflowPunct/>
              <w:topLinePunct w:val="0"/>
              <w:autoSpaceDE/>
              <w:autoSpaceDN/>
              <w:bidi w:val="0"/>
              <w:adjustRightInd/>
              <w:spacing w:line="360" w:lineRule="exact"/>
              <w:textAlignment w:val="auto"/>
              <w:rPr>
                <w:rFonts w:hint="eastAsia"/>
                <w:highlight w:val="none"/>
                <w:lang w:val="en-US" w:eastAsia="zh-CN"/>
              </w:rPr>
            </w:pPr>
            <w:r>
              <w:rPr>
                <w:rFonts w:hint="eastAsia" w:ascii="Times New Roman" w:hAnsi="Times New Roman" w:eastAsia="宋体" w:cs="Times New Roman"/>
                <w:highlight w:val="none"/>
                <w:lang w:val="en-US" w:eastAsia="zh-CN"/>
              </w:rPr>
              <w:t>(价格分以四舍五入方法整合到小数点后两位)</w:t>
            </w:r>
          </w:p>
        </w:tc>
        <w:tc>
          <w:tcPr>
            <w:tcW w:w="1076" w:type="dxa"/>
            <w:noWrap w:val="0"/>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p>
        </w:tc>
      </w:tr>
    </w:tbl>
    <w:p>
      <w:pPr>
        <w:jc w:val="center"/>
        <w:rPr>
          <w:rFonts w:hint="eastAsia" w:ascii="宋体" w:hAnsi="宋体" w:eastAsia="宋体" w:cs="宋体"/>
          <w:b/>
          <w:bCs/>
          <w:kern w:val="2"/>
          <w:sz w:val="32"/>
          <w:szCs w:val="32"/>
          <w:highlight w:val="none"/>
          <w:lang w:val="en-US" w:eastAsia="zh-CN" w:bidi="ar-SA"/>
        </w:rPr>
      </w:pPr>
      <w:r>
        <w:rPr>
          <w:rFonts w:hint="eastAsia" w:ascii="宋体" w:hAnsi="宋体" w:cs="宋体"/>
          <w:highlight w:val="none"/>
        </w:rPr>
        <w:br w:type="page"/>
      </w:r>
    </w:p>
    <w:p>
      <w:pPr>
        <w:pStyle w:val="45"/>
        <w:rPr>
          <w:rFonts w:hint="eastAsia" w:ascii="宋体" w:hAnsi="宋体" w:eastAsia="宋体" w:cs="宋体"/>
          <w:highlight w:val="none"/>
          <w:lang w:val="en-US" w:eastAsia="zh-CN"/>
        </w:rPr>
      </w:pPr>
      <w:bookmarkStart w:id="89" w:name="_Toc11540"/>
      <w:r>
        <w:rPr>
          <w:rFonts w:hint="eastAsia" w:ascii="宋体" w:hAnsi="宋体" w:eastAsia="宋体" w:cs="宋体"/>
          <w:highlight w:val="none"/>
          <w:lang w:val="en-US" w:eastAsia="zh-CN"/>
        </w:rPr>
        <w:t>第六章  政府采购合同主要条款</w:t>
      </w:r>
      <w:bookmarkEnd w:id="89"/>
    </w:p>
    <w:p>
      <w:pPr>
        <w:ind w:firstLine="2699" w:firstLineChars="896"/>
        <w:rPr>
          <w:rFonts w:ascii="宋体" w:hAnsi="宋体" w:cs="宋体"/>
          <w:b/>
          <w:sz w:val="30"/>
          <w:szCs w:val="30"/>
          <w:highlight w:val="none"/>
        </w:rPr>
      </w:pPr>
    </w:p>
    <w:p>
      <w:pPr>
        <w:spacing w:line="360" w:lineRule="auto"/>
        <w:jc w:val="center"/>
        <w:rPr>
          <w:rFonts w:hint="eastAsia" w:ascii="宋体" w:hAnsi="宋体" w:eastAsia="宋体" w:cs="宋体"/>
          <w:i/>
          <w:color w:val="auto"/>
          <w:sz w:val="24"/>
          <w:szCs w:val="20"/>
          <w:highlight w:val="none"/>
        </w:rPr>
      </w:pPr>
      <w:r>
        <w:rPr>
          <w:rFonts w:hint="eastAsia" w:ascii="宋体" w:hAnsi="宋体" w:eastAsia="宋体" w:cs="宋体"/>
          <w:i/>
          <w:color w:val="auto"/>
          <w:sz w:val="24"/>
          <w:szCs w:val="20"/>
          <w:highlight w:val="none"/>
        </w:rPr>
        <w:t>（供签约时参考）</w:t>
      </w:r>
    </w:p>
    <w:p>
      <w:pPr>
        <w:widowControl w:val="0"/>
        <w:snapToGrid w:val="0"/>
        <w:spacing w:line="360" w:lineRule="auto"/>
        <w:contextualSpacing/>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甲方：</w:t>
      </w:r>
      <w:r>
        <w:rPr>
          <w:rFonts w:hint="eastAsia" w:ascii="宋体" w:hAnsi="宋体" w:eastAsia="宋体" w:cs="宋体"/>
          <w:color w:val="auto"/>
          <w:kern w:val="2"/>
          <w:sz w:val="21"/>
          <w:highlight w:val="none"/>
          <w:u w:val="single"/>
          <w:lang w:val="en-US" w:eastAsia="zh-CN" w:bidi="ar-SA"/>
        </w:rPr>
        <w:t xml:space="preserve">                      （甲方）</w:t>
      </w:r>
    </w:p>
    <w:p>
      <w:pPr>
        <w:widowControl w:val="0"/>
        <w:snapToGrid w:val="0"/>
        <w:spacing w:line="360" w:lineRule="auto"/>
        <w:contextualSpacing/>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乙方：</w:t>
      </w:r>
      <w:r>
        <w:rPr>
          <w:rFonts w:hint="eastAsia" w:ascii="宋体" w:hAnsi="宋体" w:eastAsia="宋体" w:cs="宋体"/>
          <w:color w:val="auto"/>
          <w:kern w:val="2"/>
          <w:sz w:val="21"/>
          <w:highlight w:val="none"/>
          <w:u w:val="single"/>
          <w:lang w:val="en-US" w:eastAsia="zh-CN" w:bidi="ar-SA"/>
        </w:rPr>
        <w:t xml:space="preserve">                      （乙方）</w:t>
      </w:r>
    </w:p>
    <w:p>
      <w:pPr>
        <w:widowControl w:val="0"/>
        <w:snapToGrid w:val="0"/>
        <w:spacing w:line="360" w:lineRule="auto"/>
        <w:ind w:firstLine="420" w:firstLineChars="200"/>
        <w:contextualSpacing/>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 xml:space="preserve">    甲、乙双方根据</w:t>
      </w:r>
      <w:r>
        <w:rPr>
          <w:rFonts w:hint="eastAsia" w:ascii="宋体" w:hAnsi="宋体" w:eastAsia="宋体" w:cs="宋体"/>
          <w:color w:val="auto"/>
          <w:kern w:val="2"/>
          <w:sz w:val="21"/>
          <w:highlight w:val="none"/>
          <w:u w:val="single"/>
          <w:lang w:val="en-US" w:eastAsia="zh-CN" w:bidi="ar-SA"/>
        </w:rPr>
        <w:t xml:space="preserve">                </w:t>
      </w:r>
      <w:r>
        <w:rPr>
          <w:rFonts w:hint="eastAsia" w:ascii="宋体" w:hAnsi="宋体" w:eastAsia="宋体" w:cs="宋体"/>
          <w:color w:val="auto"/>
          <w:kern w:val="2"/>
          <w:sz w:val="21"/>
          <w:highlight w:val="none"/>
          <w:lang w:val="en-US" w:eastAsia="zh-CN" w:bidi="ar-SA"/>
        </w:rPr>
        <w:t>公开招标的结果，签署本合同。</w:t>
      </w:r>
    </w:p>
    <w:p>
      <w:pPr>
        <w:numPr>
          <w:ilvl w:val="0"/>
          <w:numId w:val="16"/>
        </w:numPr>
        <w:adjustRightInd w:val="0"/>
        <w:snapToGrid w:val="0"/>
        <w:spacing w:line="360" w:lineRule="auto"/>
        <w:contextualSpacing/>
        <w:textAlignment w:val="baseline"/>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采购内容</w:t>
      </w:r>
    </w:p>
    <w:p>
      <w:pPr>
        <w:adjustRightInd w:val="0"/>
        <w:snapToGrid w:val="0"/>
        <w:spacing w:line="360" w:lineRule="auto"/>
        <w:ind w:firstLine="525" w:firstLineChars="250"/>
        <w:contextualSpacing/>
        <w:textAlignment w:val="baseline"/>
        <w:rPr>
          <w:rFonts w:hint="eastAsia" w:ascii="宋体" w:hAnsi="宋体" w:eastAsia="宋体" w:cs="宋体"/>
          <w:color w:val="auto"/>
          <w:szCs w:val="20"/>
          <w:highlight w:val="none"/>
        </w:rPr>
      </w:pPr>
      <w:r>
        <w:rPr>
          <w:rFonts w:hint="eastAsia" w:ascii="宋体" w:hAnsi="宋体" w:eastAsia="宋体" w:cs="宋体"/>
          <w:color w:val="auto"/>
          <w:szCs w:val="20"/>
          <w:highlight w:val="none"/>
        </w:rPr>
        <w:t>负责</w:t>
      </w:r>
      <w:r>
        <w:rPr>
          <w:rFonts w:hint="eastAsia" w:ascii="宋体" w:hAnsi="宋体" w:eastAsia="宋体" w:cs="宋体"/>
          <w:color w:val="auto"/>
          <w:szCs w:val="20"/>
          <w:highlight w:val="none"/>
          <w:lang w:eastAsia="zh-CN"/>
        </w:rPr>
        <w:t>聚贤街道2023年度职工疗休养服务</w:t>
      </w:r>
      <w:r>
        <w:rPr>
          <w:rFonts w:hint="eastAsia" w:ascii="宋体" w:hAnsi="宋体" w:eastAsia="宋体" w:cs="宋体"/>
          <w:color w:val="auto"/>
          <w:szCs w:val="20"/>
          <w:highlight w:val="none"/>
        </w:rPr>
        <w:t>（详见</w:t>
      </w:r>
      <w:r>
        <w:rPr>
          <w:rFonts w:hint="eastAsia" w:ascii="宋体" w:hAnsi="宋体" w:eastAsia="宋体" w:cs="宋体"/>
          <w:color w:val="auto"/>
          <w:szCs w:val="20"/>
          <w:highlight w:val="none"/>
          <w:lang w:val="en-US" w:eastAsia="zh-CN"/>
        </w:rPr>
        <w:t>采购</w:t>
      </w:r>
      <w:r>
        <w:rPr>
          <w:rFonts w:hint="eastAsia" w:ascii="宋体" w:hAnsi="宋体" w:eastAsia="宋体" w:cs="宋体"/>
          <w:color w:val="auto"/>
          <w:szCs w:val="20"/>
          <w:highlight w:val="none"/>
        </w:rPr>
        <w:t>文件），</w:t>
      </w:r>
      <w:r>
        <w:rPr>
          <w:rFonts w:hint="eastAsia" w:ascii="宋体" w:hAnsi="宋体" w:eastAsia="宋体" w:cs="宋体"/>
          <w:color w:val="auto"/>
          <w:szCs w:val="20"/>
          <w:highlight w:val="none"/>
          <w:lang w:eastAsia="zh-CN"/>
        </w:rPr>
        <w:t>疗养</w:t>
      </w:r>
      <w:r>
        <w:rPr>
          <w:rFonts w:hint="eastAsia" w:ascii="宋体" w:hAnsi="宋体" w:eastAsia="宋体" w:cs="宋体"/>
          <w:color w:val="auto"/>
          <w:szCs w:val="20"/>
          <w:highlight w:val="none"/>
          <w:lang w:val="en-US" w:eastAsia="zh-CN"/>
        </w:rPr>
        <w:t>路线</w:t>
      </w:r>
      <w:r>
        <w:rPr>
          <w:rFonts w:hint="eastAsia" w:ascii="宋体" w:hAnsi="宋体" w:eastAsia="宋体" w:cs="宋体"/>
          <w:color w:val="auto"/>
          <w:szCs w:val="20"/>
          <w:highlight w:val="none"/>
        </w:rPr>
        <w:t>、各行程价格、</w:t>
      </w:r>
      <w:r>
        <w:rPr>
          <w:rFonts w:hint="eastAsia" w:asciiTheme="minorEastAsia" w:hAnsiTheme="minorEastAsia" w:eastAsiaTheme="minorEastAsia" w:cstheme="minorEastAsia"/>
          <w:b w:val="0"/>
          <w:bCs w:val="0"/>
          <w:color w:val="auto"/>
          <w:sz w:val="21"/>
          <w:szCs w:val="21"/>
          <w:highlight w:val="none"/>
          <w:lang w:val="zh-CN" w:eastAsia="zh-CN"/>
        </w:rPr>
        <w:t>行程天数</w:t>
      </w:r>
      <w:r>
        <w:rPr>
          <w:rFonts w:hint="eastAsia" w:ascii="宋体" w:hAnsi="宋体" w:eastAsia="宋体" w:cs="宋体"/>
          <w:color w:val="auto"/>
          <w:szCs w:val="20"/>
          <w:highlight w:val="none"/>
        </w:rPr>
        <w:t>说明如下：</w:t>
      </w:r>
    </w:p>
    <w:tbl>
      <w:tblPr>
        <w:tblStyle w:val="48"/>
        <w:tblW w:w="56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2"/>
        <w:gridCol w:w="3886"/>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color w:val="auto"/>
                <w:szCs w:val="20"/>
                <w:highlight w:val="none"/>
                <w:lang w:eastAsia="zh-CN"/>
              </w:rPr>
              <w:t>疗养</w:t>
            </w:r>
            <w:r>
              <w:rPr>
                <w:rFonts w:hint="eastAsia" w:ascii="宋体" w:hAnsi="宋体" w:eastAsia="宋体" w:cs="宋体"/>
                <w:color w:val="auto"/>
                <w:szCs w:val="20"/>
                <w:highlight w:val="none"/>
                <w:lang w:val="en-US" w:eastAsia="zh-CN"/>
              </w:rPr>
              <w:t>路线</w:t>
            </w:r>
          </w:p>
        </w:tc>
        <w:tc>
          <w:tcPr>
            <w:tcW w:w="189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价格</w:t>
            </w:r>
          </w:p>
        </w:tc>
        <w:tc>
          <w:tcPr>
            <w:tcW w:w="15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zh-CN" w:eastAsia="zh-CN"/>
              </w:rPr>
              <w:t>行程天数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562" w:type="pct"/>
            <w:noWrap w:val="0"/>
            <w:vAlign w:val="center"/>
          </w:tcPr>
          <w:p>
            <w:pPr>
              <w:pStyle w:val="2"/>
              <w:keepNext w:val="0"/>
              <w:keepLines w:val="0"/>
              <w:pageBreakBefore w:val="0"/>
              <w:kinsoku/>
              <w:wordWrap/>
              <w:overflowPunct/>
              <w:topLinePunct w:val="0"/>
              <w:bidi w:val="0"/>
              <w:snapToGrid/>
              <w:spacing w:after="0"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泉州莆田（包括但不限于开元寺、轲壳厝、西街、清源山老君岩、湄洲岛、妈祖公园、崇武古城）</w:t>
            </w:r>
          </w:p>
        </w:tc>
        <w:tc>
          <w:tcPr>
            <w:tcW w:w="189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5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62" w:type="pct"/>
            <w:noWrap w:val="0"/>
            <w:vAlign w:val="center"/>
          </w:tcPr>
          <w:p>
            <w:pPr>
              <w:pStyle w:val="2"/>
              <w:keepNext w:val="0"/>
              <w:keepLines w:val="0"/>
              <w:pageBreakBefore w:val="0"/>
              <w:kinsoku/>
              <w:wordWrap/>
              <w:overflowPunct/>
              <w:topLinePunct w:val="0"/>
              <w:bidi w:val="0"/>
              <w:snapToGrid/>
              <w:spacing w:after="0"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长春延边（包括但不限于长春伪皇宫长春、电影制片厂厂区、长白山北景区、图们口岸）</w:t>
            </w:r>
          </w:p>
        </w:tc>
        <w:tc>
          <w:tcPr>
            <w:tcW w:w="189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5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62" w:type="pct"/>
            <w:noWrap w:val="0"/>
            <w:vAlign w:val="center"/>
          </w:tcPr>
          <w:p>
            <w:pPr>
              <w:pStyle w:val="2"/>
              <w:keepNext w:val="0"/>
              <w:keepLines w:val="0"/>
              <w:pageBreakBefore w:val="0"/>
              <w:kinsoku/>
              <w:wordWrap/>
              <w:overflowPunct/>
              <w:topLinePunct w:val="0"/>
              <w:bidi w:val="0"/>
              <w:snapToGrid/>
              <w:spacing w:after="0"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青海（包括但不限于塔尔寺、青海湖、茶卡盐湖、天峻石林）</w:t>
            </w:r>
          </w:p>
        </w:tc>
        <w:tc>
          <w:tcPr>
            <w:tcW w:w="189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5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bl>
    <w:p>
      <w:pPr>
        <w:snapToGrid w:val="0"/>
        <w:spacing w:line="360" w:lineRule="auto"/>
        <w:ind w:firstLine="420" w:firstLineChars="200"/>
        <w:contextualSpacing/>
        <w:rPr>
          <w:rFonts w:hint="eastAsia" w:ascii="宋体" w:hAnsi="宋体" w:eastAsia="宋体" w:cs="宋体"/>
          <w:color w:val="auto"/>
          <w:szCs w:val="21"/>
          <w:highlight w:val="none"/>
        </w:rPr>
      </w:pP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1"/>
          <w:highlight w:val="none"/>
        </w:rPr>
        <w:t>注：每批人数以实际报名人数为准。</w:t>
      </w:r>
    </w:p>
    <w:p>
      <w:pPr>
        <w:snapToGrid w:val="0"/>
        <w:spacing w:line="360" w:lineRule="auto"/>
        <w:contextualSpacing/>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二、合同金额</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cs="宋体"/>
          <w:color w:val="auto"/>
          <w:szCs w:val="20"/>
          <w:highlight w:val="none"/>
          <w:lang w:val="en-US" w:eastAsia="zh-CN"/>
        </w:rPr>
        <w:t>1</w:t>
      </w:r>
      <w:r>
        <w:rPr>
          <w:rFonts w:hint="eastAsia" w:ascii="宋体" w:hAnsi="宋体" w:eastAsia="宋体" w:cs="宋体"/>
          <w:color w:val="auto"/>
          <w:szCs w:val="20"/>
          <w:highlight w:val="none"/>
        </w:rPr>
        <w:t>、</w:t>
      </w:r>
      <w:r>
        <w:rPr>
          <w:rFonts w:hint="default" w:ascii="Times New Roman" w:hAnsi="Times New Roman" w:eastAsia="宋体" w:cs="Times New Roman"/>
          <w:b w:val="0"/>
          <w:bCs w:val="0"/>
          <w:color w:val="000000"/>
          <w:sz w:val="21"/>
          <w:szCs w:val="21"/>
          <w:highlight w:val="none"/>
        </w:rPr>
        <w:t>本合同金额为（大写）：_______元（￥_______元）人民币</w:t>
      </w:r>
      <w:r>
        <w:rPr>
          <w:rFonts w:hint="eastAsia" w:ascii="Times New Roman" w:hAnsi="Times New Roman" w:eastAsia="宋体" w:cs="Times New Roman"/>
          <w:b w:val="0"/>
          <w:bCs w:val="0"/>
          <w:color w:val="000000"/>
          <w:kern w:val="0"/>
          <w:sz w:val="21"/>
          <w:szCs w:val="21"/>
          <w:highlight w:val="none"/>
          <w:u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疗休养</w:t>
      </w:r>
      <w:r>
        <w:rPr>
          <w:rFonts w:hint="default" w:ascii="Times New Roman" w:hAnsi="Times New Roman" w:eastAsia="宋体" w:cs="Times New Roman"/>
          <w:b w:val="0"/>
          <w:bCs w:val="0"/>
          <w:color w:val="auto"/>
          <w:sz w:val="21"/>
          <w:szCs w:val="21"/>
          <w:highlight w:val="none"/>
        </w:rPr>
        <w:t>人数约为</w:t>
      </w:r>
      <w:r>
        <w:rPr>
          <w:rFonts w:hint="eastAsia" w:ascii="Times New Roman" w:hAnsi="Times New Roman" w:eastAsia="宋体" w:cs="Times New Roman"/>
          <w:b w:val="0"/>
          <w:bCs w:val="0"/>
          <w:color w:val="auto"/>
          <w:sz w:val="21"/>
          <w:szCs w:val="21"/>
          <w:highlight w:val="none"/>
          <w:lang w:val="en-US" w:eastAsia="zh-CN"/>
        </w:rPr>
        <w:t>150</w:t>
      </w:r>
      <w:r>
        <w:rPr>
          <w:rFonts w:hint="default" w:ascii="Times New Roman" w:hAnsi="Times New Roman" w:eastAsia="宋体" w:cs="Times New Roman"/>
          <w:b w:val="0"/>
          <w:bCs w:val="0"/>
          <w:color w:val="auto"/>
          <w:sz w:val="21"/>
          <w:szCs w:val="21"/>
          <w:highlight w:val="none"/>
        </w:rPr>
        <w:t>人</w:t>
      </w:r>
      <w:r>
        <w:rPr>
          <w:rFonts w:hint="default" w:ascii="Times New Roman" w:hAnsi="Times New Roman" w:eastAsia="宋体" w:cs="Times New Roman"/>
          <w:b w:val="0"/>
          <w:bCs w:val="0"/>
          <w:color w:val="000000"/>
          <w:kern w:val="0"/>
          <w:sz w:val="21"/>
          <w:szCs w:val="21"/>
          <w:highlight w:val="none"/>
          <w:lang w:val="en-US" w:eastAsia="zh-CN" w:bidi="ar"/>
        </w:rPr>
        <w:t>，疗休养费用按实际出行人数结算，每人费用按</w:t>
      </w:r>
      <w:r>
        <w:rPr>
          <w:rFonts w:hint="eastAsia" w:ascii="Times New Roman" w:hAnsi="Times New Roman" w:eastAsia="宋体" w:cs="Times New Roman"/>
          <w:b w:val="0"/>
          <w:bCs w:val="0"/>
          <w:color w:val="000000"/>
          <w:kern w:val="0"/>
          <w:sz w:val="21"/>
          <w:szCs w:val="21"/>
          <w:highlight w:val="none"/>
          <w:lang w:val="en-US" w:eastAsia="zh-CN" w:bidi="ar"/>
        </w:rPr>
        <w:t>中标</w:t>
      </w:r>
      <w:r>
        <w:rPr>
          <w:rFonts w:hint="default" w:ascii="Times New Roman" w:hAnsi="Times New Roman" w:eastAsia="宋体" w:cs="Times New Roman"/>
          <w:b w:val="0"/>
          <w:bCs w:val="0"/>
          <w:color w:val="000000"/>
          <w:kern w:val="0"/>
          <w:sz w:val="21"/>
          <w:szCs w:val="21"/>
          <w:highlight w:val="none"/>
          <w:lang w:val="en-US" w:eastAsia="zh-CN" w:bidi="ar"/>
        </w:rPr>
        <w:t>价</w:t>
      </w:r>
      <w:r>
        <w:rPr>
          <w:rFonts w:hint="eastAsia" w:ascii="Times New Roman" w:hAnsi="Times New Roman" w:eastAsia="宋体" w:cs="Times New Roman"/>
          <w:b w:val="0"/>
          <w:bCs w:val="0"/>
          <w:color w:val="auto"/>
          <w:kern w:val="2"/>
          <w:sz w:val="21"/>
          <w:szCs w:val="21"/>
          <w:highlight w:val="none"/>
          <w:u w:val="single"/>
          <w:lang w:val="en-US" w:eastAsia="zh-CN"/>
        </w:rPr>
        <w:t xml:space="preserve">      </w:t>
      </w:r>
      <w:r>
        <w:rPr>
          <w:rFonts w:hint="default" w:ascii="Times New Roman" w:hAnsi="Times New Roman" w:eastAsia="宋体" w:cs="Times New Roman"/>
          <w:b w:val="0"/>
          <w:bCs w:val="0"/>
          <w:color w:val="auto"/>
          <w:kern w:val="2"/>
          <w:sz w:val="21"/>
          <w:szCs w:val="21"/>
          <w:highlight w:val="none"/>
          <w:lang w:eastAsia="zh-CN"/>
        </w:rPr>
        <w:t>元/人/年</w:t>
      </w:r>
      <w:r>
        <w:rPr>
          <w:rFonts w:hint="default" w:ascii="Times New Roman" w:hAnsi="Times New Roman" w:eastAsia="宋体" w:cs="Times New Roman"/>
          <w:b w:val="0"/>
          <w:bCs w:val="0"/>
          <w:color w:val="000000"/>
          <w:kern w:val="0"/>
          <w:sz w:val="21"/>
          <w:szCs w:val="21"/>
          <w:highlight w:val="none"/>
          <w:lang w:val="en-US" w:eastAsia="zh-CN" w:bidi="ar"/>
        </w:rPr>
        <w:t>结算，</w:t>
      </w:r>
      <w:r>
        <w:rPr>
          <w:rFonts w:hint="default" w:ascii="Times New Roman" w:hAnsi="Times New Roman" w:eastAsia="宋体" w:cs="Times New Roman"/>
          <w:color w:val="auto"/>
          <w:sz w:val="21"/>
          <w:szCs w:val="21"/>
          <w:highlight w:val="none"/>
          <w:lang w:val="en-US" w:eastAsia="zh-CN"/>
        </w:rPr>
        <w:t>经费超标准部分由职工个人承担。</w:t>
      </w:r>
      <w:r>
        <w:rPr>
          <w:rFonts w:hint="default" w:ascii="Times New Roman" w:hAnsi="Times New Roman" w:eastAsia="宋体" w:cs="Times New Roman"/>
          <w:b w:val="0"/>
          <w:bCs w:val="0"/>
          <w:color w:val="auto"/>
          <w:sz w:val="21"/>
          <w:szCs w:val="21"/>
          <w:highlight w:val="none"/>
          <w:lang w:val="en-US" w:eastAsia="zh-CN"/>
        </w:rPr>
        <w:t>本项目费用标准固定不变，不因旅游旺季或淡季，出行人数的多少，或其他原因做调整。</w:t>
      </w:r>
      <w:r>
        <w:rPr>
          <w:rFonts w:hint="eastAsia" w:ascii="Times New Roman" w:hAnsi="Times New Roman" w:eastAsia="宋体" w:cs="Times New Roman"/>
          <w:b w:val="0"/>
          <w:bCs w:val="0"/>
          <w:color w:val="auto"/>
          <w:sz w:val="21"/>
          <w:szCs w:val="21"/>
          <w:highlight w:val="none"/>
          <w:lang w:val="en-US" w:eastAsia="zh-CN"/>
        </w:rPr>
        <w:t>乙方</w:t>
      </w:r>
      <w:r>
        <w:rPr>
          <w:rFonts w:hint="default" w:ascii="Times New Roman" w:hAnsi="Times New Roman" w:eastAsia="宋体" w:cs="Times New Roman"/>
          <w:b w:val="0"/>
          <w:bCs w:val="0"/>
          <w:color w:val="auto"/>
          <w:sz w:val="21"/>
          <w:szCs w:val="21"/>
          <w:highlight w:val="none"/>
          <w:lang w:val="en-US" w:eastAsia="zh-CN"/>
        </w:rPr>
        <w:t>须服从</w:t>
      </w:r>
      <w:r>
        <w:rPr>
          <w:rFonts w:hint="default" w:ascii="Times New Roman" w:hAnsi="Times New Roman" w:eastAsia="宋体" w:cs="Times New Roman"/>
          <w:b w:val="0"/>
          <w:bCs w:val="0"/>
          <w:sz w:val="21"/>
          <w:szCs w:val="21"/>
          <w:highlight w:val="none"/>
        </w:rPr>
        <w:t>甲方</w:t>
      </w:r>
      <w:r>
        <w:rPr>
          <w:rFonts w:hint="default" w:ascii="Times New Roman" w:hAnsi="Times New Roman" w:eastAsia="宋体" w:cs="Times New Roman"/>
          <w:b w:val="0"/>
          <w:bCs w:val="0"/>
          <w:color w:val="auto"/>
          <w:sz w:val="21"/>
          <w:szCs w:val="21"/>
          <w:highlight w:val="none"/>
          <w:lang w:val="en-US" w:eastAsia="zh-CN"/>
        </w:rPr>
        <w:t>的出行安排</w:t>
      </w:r>
      <w:r>
        <w:rPr>
          <w:rFonts w:hint="eastAsia" w:ascii="Times New Roman" w:hAnsi="Times New Roman" w:eastAsia="宋体" w:cs="Times New Roman"/>
          <w:b w:val="0"/>
          <w:bCs w:val="0"/>
          <w:color w:val="auto"/>
          <w:sz w:val="21"/>
          <w:szCs w:val="21"/>
          <w:highlight w:val="none"/>
          <w:lang w:val="en-US" w:eastAsia="zh-CN"/>
        </w:rPr>
        <w:t>。</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cs="宋体"/>
          <w:color w:val="auto"/>
          <w:szCs w:val="20"/>
          <w:highlight w:val="none"/>
          <w:lang w:val="en-US" w:eastAsia="zh-CN"/>
        </w:rPr>
        <w:t>2、</w:t>
      </w:r>
      <w:r>
        <w:rPr>
          <w:rFonts w:hint="eastAsia" w:ascii="宋体" w:hAnsi="宋体" w:eastAsia="宋体" w:cs="宋体"/>
          <w:color w:val="auto"/>
          <w:szCs w:val="20"/>
          <w:highlight w:val="none"/>
        </w:rPr>
        <w:t>本合同金额包括完成服务期限内</w:t>
      </w:r>
      <w:r>
        <w:rPr>
          <w:rFonts w:hint="eastAsia" w:ascii="宋体" w:hAnsi="宋体" w:eastAsia="宋体" w:cs="宋体"/>
          <w:color w:val="auto"/>
          <w:szCs w:val="20"/>
          <w:highlight w:val="none"/>
          <w:lang w:eastAsia="zh-CN"/>
        </w:rPr>
        <w:t>疗养</w:t>
      </w:r>
      <w:r>
        <w:rPr>
          <w:rFonts w:hint="eastAsia" w:ascii="宋体" w:hAnsi="宋体" w:eastAsia="宋体" w:cs="宋体"/>
          <w:color w:val="auto"/>
          <w:szCs w:val="20"/>
          <w:highlight w:val="none"/>
        </w:rPr>
        <w:t>的交通费、住宿费、餐费，各旅游景点的所有门票、导游、司机的费用、服务费、责任险和意外险费、管理费、税金、规费以及履行合同所需的所有风险、责任等其他一切隐含及不可预见的费用。</w:t>
      </w:r>
    </w:p>
    <w:p>
      <w:pPr>
        <w:snapToGrid w:val="0"/>
        <w:spacing w:line="360" w:lineRule="auto"/>
        <w:ind w:firstLine="420" w:firstLineChars="200"/>
        <w:contextualSpacing/>
        <w:rPr>
          <w:rFonts w:hint="eastAsia" w:ascii="宋体" w:hAnsi="宋体" w:eastAsia="宋体" w:cs="宋体"/>
          <w:color w:val="auto"/>
          <w:szCs w:val="20"/>
          <w:highlight w:val="none"/>
          <w:lang w:val="en-US" w:eastAsia="zh-CN"/>
        </w:rPr>
      </w:pPr>
      <w:r>
        <w:rPr>
          <w:rFonts w:hint="eastAsia" w:ascii="宋体" w:hAnsi="宋体" w:cs="宋体"/>
          <w:color w:val="auto"/>
          <w:szCs w:val="20"/>
          <w:highlight w:val="none"/>
          <w:lang w:val="en-US" w:eastAsia="zh-CN"/>
        </w:rPr>
        <w:t>3</w:t>
      </w:r>
      <w:r>
        <w:rPr>
          <w:rFonts w:hint="eastAsia" w:ascii="宋体" w:hAnsi="宋体" w:eastAsia="宋体" w:cs="宋体"/>
          <w:color w:val="auto"/>
          <w:szCs w:val="20"/>
          <w:highlight w:val="none"/>
          <w:lang w:val="en-US" w:eastAsia="zh-CN"/>
        </w:rPr>
        <w:t>、如实际</w:t>
      </w:r>
      <w:r>
        <w:rPr>
          <w:rFonts w:hint="eastAsia" w:ascii="宋体" w:hAnsi="宋体" w:eastAsia="宋体" w:cs="宋体"/>
          <w:color w:val="auto"/>
          <w:szCs w:val="20"/>
          <w:highlight w:val="none"/>
        </w:rPr>
        <w:t>疗养服务</w:t>
      </w:r>
      <w:r>
        <w:rPr>
          <w:rFonts w:hint="eastAsia" w:ascii="宋体" w:hAnsi="宋体" w:eastAsia="宋体" w:cs="宋体"/>
          <w:color w:val="auto"/>
          <w:szCs w:val="20"/>
          <w:highlight w:val="none"/>
          <w:lang w:val="en-US" w:eastAsia="zh-CN"/>
        </w:rPr>
        <w:t>期间遇疫情政策调整变化，导致无法出行的，甲方有权要求乙方根据国家政策等确定新路线或延期等并提供新的服务方案，乙方提供不低于投标响应承诺的标准服务，甲方不承担违约责任。</w:t>
      </w:r>
    </w:p>
    <w:p>
      <w:pPr>
        <w:snapToGrid w:val="0"/>
        <w:spacing w:line="360" w:lineRule="auto"/>
        <w:ind w:firstLine="420" w:firstLineChars="200"/>
        <w:contextualSpacing/>
        <w:rPr>
          <w:rFonts w:hint="eastAsia" w:ascii="宋体" w:hAnsi="宋体" w:eastAsia="宋体" w:cs="宋体"/>
          <w:color w:val="auto"/>
          <w:szCs w:val="20"/>
          <w:highlight w:val="none"/>
          <w:lang w:eastAsia="zh-CN"/>
        </w:rPr>
      </w:pPr>
      <w:r>
        <w:rPr>
          <w:rFonts w:hint="eastAsia" w:ascii="宋体" w:hAnsi="宋体" w:cs="宋体"/>
          <w:color w:val="auto"/>
          <w:szCs w:val="20"/>
          <w:highlight w:val="none"/>
          <w:lang w:val="en-US" w:eastAsia="zh-CN"/>
        </w:rPr>
        <w:t>4</w:t>
      </w:r>
      <w:r>
        <w:rPr>
          <w:rFonts w:hint="eastAsia" w:ascii="宋体" w:hAnsi="宋体" w:eastAsia="宋体" w:cs="宋体"/>
          <w:color w:val="auto"/>
          <w:szCs w:val="20"/>
          <w:highlight w:val="none"/>
        </w:rPr>
        <w:t>、除非因特殊原因并经双方协商同意，否则乙方不得再要求追加任何费用。同时，除非合同条款中另有规定，否则，乙方所报价格在合同实施期间不因市场变化和政策因素而变动</w:t>
      </w:r>
      <w:r>
        <w:rPr>
          <w:rFonts w:hint="eastAsia" w:ascii="宋体" w:hAnsi="宋体" w:eastAsia="宋体" w:cs="宋体"/>
          <w:color w:val="auto"/>
          <w:szCs w:val="20"/>
          <w:highlight w:val="none"/>
          <w:lang w:eastAsia="zh-CN"/>
        </w:rPr>
        <w:t>。</w:t>
      </w:r>
    </w:p>
    <w:p>
      <w:pPr>
        <w:snapToGrid w:val="0"/>
        <w:spacing w:line="360" w:lineRule="auto"/>
        <w:contextualSpacing/>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三、技术资料</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1、乙方应按采购文件规定的时间向甲方提供使用的有关技术资料。</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2、没有甲方事先书面同意，乙方不得将由甲方提供的有关合同或任何合同条文、规格、计划、图纸或资料提供</w:t>
      </w:r>
      <w:r>
        <w:rPr>
          <w:rFonts w:hint="eastAsia" w:ascii="宋体" w:hAnsi="宋体" w:eastAsia="宋体" w:cs="宋体"/>
          <w:color w:val="auto"/>
          <w:szCs w:val="20"/>
          <w:highlight w:val="none"/>
          <w:lang w:eastAsia="zh-CN"/>
        </w:rPr>
        <w:t>给予</w:t>
      </w:r>
      <w:r>
        <w:rPr>
          <w:rFonts w:hint="eastAsia" w:ascii="宋体" w:hAnsi="宋体" w:eastAsia="宋体" w:cs="宋体"/>
          <w:color w:val="auto"/>
          <w:szCs w:val="20"/>
          <w:highlight w:val="none"/>
        </w:rPr>
        <w:t>履行本合同无关的任何其他人。即使向履行本合同有关的人员提供，也应注意保密并限于履行合同的必需范围。</w:t>
      </w:r>
    </w:p>
    <w:p>
      <w:pPr>
        <w:snapToGrid w:val="0"/>
        <w:spacing w:line="360" w:lineRule="auto"/>
        <w:contextualSpacing/>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四、知识产权</w:t>
      </w:r>
    </w:p>
    <w:p>
      <w:pPr>
        <w:snapToGrid w:val="0"/>
        <w:spacing w:line="360" w:lineRule="auto"/>
        <w:ind w:firstLine="420" w:firstLineChars="200"/>
        <w:contextualSpacing/>
        <w:rPr>
          <w:rFonts w:hint="eastAsia" w:ascii="宋体" w:hAnsi="宋体" w:eastAsia="宋体" w:cs="宋体"/>
          <w:b/>
          <w:bCs/>
          <w:color w:val="auto"/>
          <w:szCs w:val="20"/>
          <w:highlight w:val="none"/>
        </w:rPr>
      </w:pPr>
      <w:r>
        <w:rPr>
          <w:rFonts w:hint="eastAsia" w:ascii="宋体" w:hAnsi="宋体" w:eastAsia="宋体" w:cs="宋体"/>
          <w:color w:val="auto"/>
          <w:szCs w:val="20"/>
          <w:highlight w:val="none"/>
        </w:rPr>
        <w:t>乙方应保证提供服务过程中不会侵犯任何第三方的知识产权</w:t>
      </w:r>
      <w:r>
        <w:rPr>
          <w:rFonts w:hint="eastAsia" w:ascii="宋体" w:hAnsi="宋体" w:eastAsia="宋体" w:cs="宋体"/>
          <w:bCs/>
          <w:color w:val="auto"/>
          <w:szCs w:val="20"/>
          <w:highlight w:val="none"/>
        </w:rPr>
        <w:t>。</w:t>
      </w:r>
    </w:p>
    <w:p>
      <w:pPr>
        <w:snapToGrid w:val="0"/>
        <w:spacing w:line="360" w:lineRule="auto"/>
        <w:contextualSpacing/>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五、转包或分包</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5.1 本合同范围的服务，应由乙方直接供应，不得转让他人供应，不得分包；</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5.2 如有转让和分包行为，甲方有权给予终止合同。</w:t>
      </w:r>
    </w:p>
    <w:p>
      <w:pPr>
        <w:snapToGrid w:val="0"/>
        <w:spacing w:line="360" w:lineRule="auto"/>
        <w:contextualSpacing/>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六、服务期限</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自</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年</w:t>
      </w:r>
      <w:r>
        <w:rPr>
          <w:rFonts w:hint="eastAsia" w:ascii="宋体" w:hAnsi="宋体" w:eastAsia="宋体" w:cs="宋体"/>
          <w:color w:val="auto"/>
          <w:szCs w:val="20"/>
          <w:highlight w:val="none"/>
          <w:u w:val="single"/>
        </w:rPr>
        <w:t xml:space="preserve">    </w:t>
      </w:r>
      <w:bookmarkStart w:id="118" w:name="_GoBack"/>
      <w:r>
        <w:rPr>
          <w:rFonts w:hint="eastAsia" w:ascii="宋体" w:hAnsi="宋体" w:eastAsia="宋体" w:cs="宋体"/>
          <w:color w:val="auto"/>
          <w:szCs w:val="20"/>
          <w:highlight w:val="none"/>
        </w:rPr>
        <w:t>月</w:t>
      </w:r>
      <w:bookmarkEnd w:id="118"/>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日起至</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年</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月</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日止。</w:t>
      </w:r>
    </w:p>
    <w:p>
      <w:pPr>
        <w:snapToGrid w:val="0"/>
        <w:spacing w:line="360" w:lineRule="auto"/>
        <w:contextualSpacing/>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七、款项结算及支付</w:t>
      </w:r>
    </w:p>
    <w:p>
      <w:pPr>
        <w:widowControl w:val="0"/>
        <w:spacing w:after="0" w:line="360" w:lineRule="auto"/>
        <w:ind w:left="0" w:leftChars="0" w:firstLine="420" w:firstLineChars="200"/>
        <w:jc w:val="both"/>
        <w:rPr>
          <w:rFonts w:hint="eastAsia" w:ascii="宋体" w:hAnsi="宋体" w:eastAsia="宋体" w:cs="宋体"/>
          <w:color w:val="auto"/>
          <w:kern w:val="2"/>
          <w:sz w:val="21"/>
          <w:highlight w:val="none"/>
          <w:lang w:val="zh-CN" w:eastAsia="zh-CN" w:bidi="ar-SA"/>
        </w:rPr>
      </w:pPr>
      <w:r>
        <w:rPr>
          <w:rFonts w:hint="eastAsia" w:ascii="宋体" w:hAnsi="宋体" w:eastAsia="宋体" w:cs="宋体"/>
          <w:color w:val="auto"/>
          <w:kern w:val="2"/>
          <w:sz w:val="21"/>
          <w:highlight w:val="none"/>
          <w:lang w:val="zh-CN" w:eastAsia="zh-CN" w:bidi="ar-SA"/>
        </w:rPr>
        <w:t>结算方式：结算价=</w:t>
      </w:r>
      <w:r>
        <w:rPr>
          <w:rFonts w:hint="eastAsia" w:ascii="宋体" w:hAnsi="宋体" w:eastAsia="宋体" w:cs="宋体"/>
          <w:color w:val="auto"/>
          <w:kern w:val="2"/>
          <w:sz w:val="21"/>
          <w:highlight w:val="none"/>
          <w:u w:val="single"/>
          <w:lang w:val="en-US" w:eastAsia="zh-CN" w:bidi="ar-SA"/>
        </w:rPr>
        <w:t xml:space="preserve">       </w:t>
      </w:r>
      <w:r>
        <w:rPr>
          <w:rFonts w:hint="eastAsia" w:ascii="宋体" w:hAnsi="宋体" w:eastAsia="宋体" w:cs="宋体"/>
          <w:color w:val="auto"/>
          <w:kern w:val="2"/>
          <w:sz w:val="21"/>
          <w:highlight w:val="none"/>
          <w:lang w:val="zh-CN" w:eastAsia="zh-CN" w:bidi="ar-SA"/>
        </w:rPr>
        <w:t>元/人×实际</w:t>
      </w:r>
      <w:r>
        <w:rPr>
          <w:rFonts w:hint="eastAsia" w:ascii="宋体" w:hAnsi="宋体" w:eastAsia="宋体" w:cs="宋体"/>
          <w:color w:val="auto"/>
          <w:kern w:val="2"/>
          <w:sz w:val="21"/>
          <w:highlight w:val="none"/>
          <w:lang w:val="en-US" w:eastAsia="zh-CN" w:bidi="ar-SA"/>
        </w:rPr>
        <w:t>出行</w:t>
      </w:r>
      <w:r>
        <w:rPr>
          <w:rFonts w:hint="eastAsia" w:ascii="宋体" w:hAnsi="宋体" w:eastAsia="宋体" w:cs="宋体"/>
          <w:color w:val="auto"/>
          <w:kern w:val="2"/>
          <w:sz w:val="21"/>
          <w:highlight w:val="none"/>
          <w:lang w:val="zh-CN" w:eastAsia="zh-CN" w:bidi="ar-SA"/>
        </w:rPr>
        <w:t>人数。</w:t>
      </w:r>
    </w:p>
    <w:p>
      <w:pPr>
        <w:widowControl w:val="0"/>
        <w:spacing w:after="0" w:line="360" w:lineRule="auto"/>
        <w:ind w:left="0" w:leftChars="0" w:firstLine="420" w:firstLineChars="200"/>
        <w:jc w:val="both"/>
        <w:rPr>
          <w:rFonts w:hint="eastAsia" w:ascii="宋体" w:hAnsi="宋体" w:eastAsia="宋体" w:cs="宋体"/>
          <w:color w:val="auto"/>
          <w:kern w:val="2"/>
          <w:sz w:val="21"/>
          <w:highlight w:val="none"/>
          <w:lang w:val="zh-CN" w:eastAsia="zh-CN" w:bidi="ar-SA"/>
        </w:rPr>
      </w:pPr>
      <w:r>
        <w:rPr>
          <w:rFonts w:hint="eastAsia" w:ascii="宋体" w:hAnsi="宋体" w:eastAsia="宋体" w:cs="宋体"/>
          <w:color w:val="auto"/>
          <w:kern w:val="2"/>
          <w:sz w:val="21"/>
          <w:highlight w:val="none"/>
          <w:lang w:val="zh-CN" w:eastAsia="zh-CN" w:bidi="ar-SA"/>
        </w:rPr>
        <w:t>付款方式：①合同签订且具备实施条件后，</w:t>
      </w:r>
      <w:r>
        <w:rPr>
          <w:rFonts w:hint="eastAsia" w:ascii="宋体" w:hAnsi="宋体" w:eastAsia="宋体" w:cs="宋体"/>
          <w:color w:val="auto"/>
          <w:kern w:val="2"/>
          <w:sz w:val="21"/>
          <w:highlight w:val="none"/>
          <w:lang w:val="en-US" w:eastAsia="zh-CN" w:bidi="ar-SA"/>
        </w:rPr>
        <w:t>甲方</w:t>
      </w:r>
      <w:r>
        <w:rPr>
          <w:rFonts w:hint="eastAsia" w:ascii="宋体" w:hAnsi="宋体" w:eastAsia="宋体" w:cs="宋体"/>
          <w:color w:val="auto"/>
          <w:kern w:val="2"/>
          <w:sz w:val="21"/>
          <w:highlight w:val="none"/>
          <w:lang w:val="zh-CN" w:eastAsia="zh-CN" w:bidi="ar-SA"/>
        </w:rPr>
        <w:t>于7个工作日内支付暂定合同总价的40%作为预付款。</w:t>
      </w:r>
    </w:p>
    <w:p>
      <w:pPr>
        <w:widowControl w:val="0"/>
        <w:spacing w:after="0" w:line="360" w:lineRule="auto"/>
        <w:ind w:left="0" w:leftChars="0" w:firstLine="420" w:firstLineChars="200"/>
        <w:jc w:val="both"/>
        <w:rPr>
          <w:rFonts w:hint="eastAsia" w:ascii="宋体" w:hAnsi="宋体" w:eastAsia="宋体" w:cs="宋体"/>
          <w:color w:val="auto"/>
          <w:kern w:val="2"/>
          <w:sz w:val="21"/>
          <w:highlight w:val="none"/>
          <w:lang w:val="zh-CN" w:eastAsia="zh-CN" w:bidi="ar-SA"/>
        </w:rPr>
      </w:pPr>
      <w:r>
        <w:rPr>
          <w:rFonts w:hint="eastAsia" w:ascii="宋体" w:hAnsi="宋体" w:eastAsia="宋体" w:cs="宋体"/>
          <w:color w:val="auto"/>
          <w:kern w:val="2"/>
          <w:sz w:val="21"/>
          <w:highlight w:val="none"/>
          <w:lang w:val="zh-CN" w:eastAsia="zh-CN" w:bidi="ar-SA"/>
        </w:rPr>
        <w:t>②</w:t>
      </w:r>
      <w:r>
        <w:rPr>
          <w:rFonts w:hint="eastAsia" w:ascii="宋体" w:hAnsi="宋体" w:eastAsia="宋体" w:cs="宋体"/>
          <w:color w:val="auto"/>
          <w:kern w:val="2"/>
          <w:sz w:val="21"/>
          <w:highlight w:val="none"/>
          <w:lang w:val="en-US" w:eastAsia="zh-CN" w:bidi="ar-SA"/>
        </w:rPr>
        <w:t>乙方</w:t>
      </w:r>
      <w:r>
        <w:rPr>
          <w:rFonts w:hint="eastAsia" w:ascii="宋体" w:hAnsi="宋体" w:eastAsia="宋体" w:cs="宋体"/>
          <w:color w:val="auto"/>
          <w:kern w:val="2"/>
          <w:sz w:val="21"/>
          <w:highlight w:val="none"/>
          <w:lang w:val="zh-CN" w:eastAsia="zh-CN" w:bidi="ar-SA"/>
        </w:rPr>
        <w:t>在完成全部职工疗休养承办业务后，无有效投诉和质量问题，凭正规有效发票原件、旅游合同、名单、身份证及保险复印件，经</w:t>
      </w:r>
      <w:r>
        <w:rPr>
          <w:rFonts w:hint="eastAsia" w:ascii="宋体" w:hAnsi="宋体" w:eastAsia="宋体" w:cs="宋体"/>
          <w:color w:val="auto"/>
          <w:kern w:val="2"/>
          <w:sz w:val="21"/>
          <w:highlight w:val="none"/>
          <w:lang w:val="en-US" w:eastAsia="zh-CN" w:bidi="ar-SA"/>
        </w:rPr>
        <w:t>甲方</w:t>
      </w:r>
      <w:r>
        <w:rPr>
          <w:rFonts w:hint="eastAsia" w:ascii="宋体" w:hAnsi="宋体" w:eastAsia="宋体" w:cs="宋体"/>
          <w:color w:val="auto"/>
          <w:kern w:val="2"/>
          <w:sz w:val="21"/>
          <w:highlight w:val="none"/>
          <w:lang w:val="zh-CN" w:eastAsia="zh-CN" w:bidi="ar-SA"/>
        </w:rPr>
        <w:t>审核后统一结算，</w:t>
      </w:r>
      <w:r>
        <w:rPr>
          <w:rFonts w:hint="eastAsia" w:ascii="宋体" w:hAnsi="宋体" w:eastAsia="宋体" w:cs="宋体"/>
          <w:color w:val="auto"/>
          <w:kern w:val="2"/>
          <w:sz w:val="21"/>
          <w:highlight w:val="none"/>
          <w:lang w:val="en-US" w:eastAsia="zh-CN" w:bidi="ar-SA"/>
        </w:rPr>
        <w:t>甲方</w:t>
      </w:r>
      <w:r>
        <w:rPr>
          <w:rFonts w:hint="eastAsia" w:ascii="宋体" w:hAnsi="宋体" w:eastAsia="宋体" w:cs="宋体"/>
          <w:color w:val="auto"/>
          <w:kern w:val="2"/>
          <w:sz w:val="21"/>
          <w:highlight w:val="none"/>
          <w:lang w:val="zh-CN" w:eastAsia="zh-CN" w:bidi="ar-SA"/>
        </w:rPr>
        <w:t>确认无误，7个工作日内一次性支付剩余合同款项。</w:t>
      </w:r>
    </w:p>
    <w:p>
      <w:pPr>
        <w:widowControl w:val="0"/>
        <w:spacing w:after="0" w:line="360" w:lineRule="auto"/>
        <w:ind w:left="0" w:leftChars="0" w:firstLine="422"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zh-CN" w:eastAsia="zh-CN" w:bidi="ar-SA"/>
        </w:rPr>
        <w:t>注：采购人支付前，供应商须提供正规税务发票，否则采购人有权不予支付。</w:t>
      </w:r>
    </w:p>
    <w:p>
      <w:pPr>
        <w:adjustRightInd w:val="0"/>
        <w:snapToGrid w:val="0"/>
        <w:spacing w:line="360" w:lineRule="auto"/>
        <w:contextualSpacing/>
        <w:textAlignment w:val="baseline"/>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八、履约保证金：</w:t>
      </w:r>
    </w:p>
    <w:p>
      <w:pPr>
        <w:snapToGrid w:val="0"/>
        <w:spacing w:line="360" w:lineRule="auto"/>
        <w:ind w:firstLine="420" w:firstLineChars="200"/>
        <w:contextualSpacing/>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履约保证金金额：合同金额的</w:t>
      </w:r>
      <w:r>
        <w:rPr>
          <w:rFonts w:hint="eastAsia" w:ascii="宋体" w:hAnsi="宋体" w:eastAsia="宋体" w:cs="宋体"/>
          <w:bCs/>
          <w:color w:val="auto"/>
          <w:szCs w:val="20"/>
          <w:highlight w:val="none"/>
          <w:lang w:val="en-US" w:eastAsia="zh-CN"/>
        </w:rPr>
        <w:t>1</w:t>
      </w:r>
      <w:r>
        <w:rPr>
          <w:rFonts w:hint="eastAsia" w:ascii="宋体" w:hAnsi="宋体" w:eastAsia="宋体" w:cs="宋体"/>
          <w:bCs/>
          <w:color w:val="auto"/>
          <w:szCs w:val="20"/>
          <w:highlight w:val="none"/>
        </w:rPr>
        <w:t>%，计人民币</w:t>
      </w:r>
      <w:r>
        <w:rPr>
          <w:rFonts w:hint="eastAsia" w:ascii="宋体" w:hAnsi="宋体" w:eastAsia="宋体" w:cs="宋体"/>
          <w:bCs/>
          <w:color w:val="auto"/>
          <w:szCs w:val="20"/>
          <w:highlight w:val="none"/>
          <w:u w:val="single"/>
        </w:rPr>
        <w:t xml:space="preserve">              元整</w:t>
      </w:r>
      <w:r>
        <w:rPr>
          <w:rFonts w:hint="eastAsia" w:ascii="宋体" w:hAnsi="宋体" w:eastAsia="宋体" w:cs="宋体"/>
          <w:bCs/>
          <w:color w:val="auto"/>
          <w:szCs w:val="20"/>
          <w:highlight w:val="none"/>
        </w:rPr>
        <w:t>。</w:t>
      </w:r>
    </w:p>
    <w:p>
      <w:pPr>
        <w:keepNext w:val="0"/>
        <w:keepLines w:val="0"/>
        <w:pageBreakBefore w:val="0"/>
        <w:widowControl w:val="0"/>
        <w:wordWrap/>
        <w:topLinePunct w:val="0"/>
        <w:bidi w:val="0"/>
        <w:adjustRightInd w:val="0"/>
        <w:snapToGrid w:val="0"/>
        <w:spacing w:line="360" w:lineRule="auto"/>
        <w:ind w:left="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履约保证金形式：银行汇票（电汇）、支票（仅限于使用宁波大市区范围内的银行开具的支票）、保函等采购人认可的形式；</w:t>
      </w:r>
    </w:p>
    <w:p>
      <w:pPr>
        <w:keepNext w:val="0"/>
        <w:keepLines w:val="0"/>
        <w:pageBreakBefore w:val="0"/>
        <w:widowControl w:val="0"/>
        <w:wordWrap/>
        <w:topLinePunct w:val="0"/>
        <w:bidi w:val="0"/>
        <w:adjustRightInd w:val="0"/>
        <w:snapToGrid w:val="0"/>
        <w:spacing w:line="360" w:lineRule="auto"/>
        <w:ind w:left="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提交时间：合同签订后10个工作日内；</w:t>
      </w:r>
    </w:p>
    <w:p>
      <w:pPr>
        <w:snapToGrid w:val="0"/>
        <w:spacing w:line="360" w:lineRule="auto"/>
        <w:ind w:firstLine="420" w:firstLineChars="200"/>
        <w:contextualSpacing/>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履约保证金的退还：</w:t>
      </w:r>
      <w:r>
        <w:rPr>
          <w:rFonts w:hint="eastAsia" w:asciiTheme="minorEastAsia" w:hAnsiTheme="minorEastAsia" w:eastAsiaTheme="minorEastAsia" w:cstheme="minorEastAsia"/>
          <w:color w:val="auto"/>
          <w:sz w:val="21"/>
          <w:szCs w:val="21"/>
          <w:highlight w:val="none"/>
        </w:rPr>
        <w:t>完成</w:t>
      </w:r>
      <w:r>
        <w:rPr>
          <w:rFonts w:hint="eastAsia" w:asciiTheme="minorEastAsia" w:hAnsiTheme="minorEastAsia" w:eastAsiaTheme="minorEastAsia" w:cstheme="minorEastAsia"/>
          <w:color w:val="auto"/>
          <w:sz w:val="21"/>
          <w:szCs w:val="21"/>
          <w:highlight w:val="none"/>
          <w:lang w:eastAsia="zh-CN"/>
        </w:rPr>
        <w:t>全部</w:t>
      </w:r>
      <w:r>
        <w:rPr>
          <w:rFonts w:hint="eastAsia" w:asciiTheme="minorEastAsia" w:hAnsiTheme="minorEastAsia" w:eastAsiaTheme="minorEastAsia" w:cstheme="minorEastAsia"/>
          <w:color w:val="auto"/>
          <w:sz w:val="21"/>
          <w:szCs w:val="21"/>
          <w:highlight w:val="none"/>
        </w:rPr>
        <w:t>职工疗休养承办业务</w:t>
      </w:r>
      <w:r>
        <w:rPr>
          <w:rFonts w:hint="eastAsia" w:asciiTheme="minorEastAsia" w:hAnsiTheme="minorEastAsia" w:eastAsiaTheme="minorEastAsia" w:cstheme="minorEastAsia"/>
          <w:color w:val="auto"/>
          <w:sz w:val="21"/>
          <w:szCs w:val="21"/>
          <w:highlight w:val="none"/>
          <w:lang w:val="en-US" w:bidi="ar-SA"/>
        </w:rPr>
        <w:t>后十日内退还</w:t>
      </w:r>
      <w:r>
        <w:rPr>
          <w:rFonts w:hint="eastAsia" w:asciiTheme="minorEastAsia" w:hAnsiTheme="minorEastAsia" w:eastAsiaTheme="minorEastAsia" w:cstheme="minorEastAsia"/>
          <w:color w:val="auto"/>
          <w:sz w:val="21"/>
          <w:szCs w:val="21"/>
          <w:highlight w:val="none"/>
          <w:lang w:val="en-US"/>
        </w:rPr>
        <w:t>，但如</w:t>
      </w:r>
      <w:r>
        <w:rPr>
          <w:rFonts w:hint="eastAsia" w:asciiTheme="minorEastAsia" w:hAnsiTheme="minorEastAsia" w:eastAsiaTheme="minorEastAsia" w:cstheme="minorEastAsia"/>
          <w:b w:val="0"/>
          <w:bCs/>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lang w:val="en-US"/>
        </w:rPr>
        <w:t>未履行或未完全履行合同规定的任何义务，给</w:t>
      </w:r>
      <w:r>
        <w:rPr>
          <w:rFonts w:hint="eastAsia" w:asciiTheme="minorEastAsia" w:hAnsiTheme="minorEastAsia" w:eastAsiaTheme="minorEastAsia" w:cstheme="minorEastAsia"/>
          <w:b w:val="0"/>
          <w:bCs/>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val="en-US"/>
        </w:rPr>
        <w:t>造成损失的，</w:t>
      </w:r>
      <w:r>
        <w:rPr>
          <w:rFonts w:hint="eastAsia" w:asciiTheme="minorEastAsia" w:hAnsiTheme="minorEastAsia" w:eastAsiaTheme="minorEastAsia" w:cstheme="minorEastAsia"/>
          <w:b w:val="0"/>
          <w:bCs/>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val="en-US"/>
        </w:rPr>
        <w:t>有权在其提交的履约保证金中获得相应赔偿，不足部分</w:t>
      </w:r>
      <w:r>
        <w:rPr>
          <w:rFonts w:hint="eastAsia" w:asciiTheme="minorEastAsia" w:hAnsiTheme="minorEastAsia" w:eastAsiaTheme="minorEastAsia" w:cstheme="minorEastAsia"/>
          <w:b w:val="0"/>
          <w:bCs/>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val="en-US"/>
        </w:rPr>
        <w:t>有权继续向</w:t>
      </w:r>
      <w:r>
        <w:rPr>
          <w:rFonts w:hint="eastAsia" w:asciiTheme="minorEastAsia" w:hAnsiTheme="minorEastAsia" w:eastAsiaTheme="minorEastAsia" w:cstheme="minorEastAsia"/>
          <w:b w:val="0"/>
          <w:bCs/>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lang w:val="en-US"/>
        </w:rPr>
        <w:t>追偿。</w:t>
      </w:r>
    </w:p>
    <w:p>
      <w:pPr>
        <w:snapToGrid w:val="0"/>
        <w:spacing w:line="360" w:lineRule="auto"/>
        <w:contextualSpacing/>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九、税</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本合同执行中相关的一切税费均由乙方负担。</w:t>
      </w:r>
    </w:p>
    <w:p>
      <w:pPr>
        <w:snapToGrid w:val="0"/>
        <w:spacing w:line="360" w:lineRule="auto"/>
        <w:contextualSpacing/>
        <w:rPr>
          <w:rFonts w:hint="eastAsia" w:ascii="宋体" w:hAnsi="宋体" w:eastAsia="宋体" w:cs="宋体"/>
          <w:color w:val="auto"/>
          <w:szCs w:val="20"/>
          <w:highlight w:val="none"/>
        </w:rPr>
      </w:pPr>
      <w:r>
        <w:rPr>
          <w:rFonts w:hint="eastAsia" w:ascii="宋体" w:hAnsi="宋体" w:eastAsia="宋体" w:cs="宋体"/>
          <w:b/>
          <w:color w:val="auto"/>
          <w:szCs w:val="20"/>
          <w:highlight w:val="none"/>
        </w:rPr>
        <w:t>十、质量保证及后续服务</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10.1 乙方应按采购文件规定向甲方提供服务。</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10.2 乙方提供的服务成果如须更改，乙方应负责免费提供更改服务。对达不到要求者，根据实际情况，经双方协商，可按以下办法处理：</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（1）重做：由乙方承担所发生的全部费用。</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（2）贬值处理：由甲乙双方合议定价。</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（3）解除合同。</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10.3 如在成果使用过程中发生问题，乙方在接到甲方通知后在</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小时内到达甲方现场。</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10.4 乙方应对其提交的成果出现的问题负责处理解决并承担一切费用。</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10.5乙方应积极且无条件配合甲方完成后续的相关工作。</w:t>
      </w:r>
    </w:p>
    <w:p>
      <w:pPr>
        <w:snapToGrid w:val="0"/>
        <w:spacing w:line="360" w:lineRule="auto"/>
        <w:contextualSpacing/>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十一、验收</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甲方对乙方提交的成果依据采购文件上的技术规格要求进行验收。</w:t>
      </w:r>
    </w:p>
    <w:p>
      <w:pPr>
        <w:snapToGrid w:val="0"/>
        <w:spacing w:line="360" w:lineRule="auto"/>
        <w:contextualSpacing/>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十二、违约责任</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1、乙方根据采购文件要求、</w:t>
      </w:r>
      <w:r>
        <w:rPr>
          <w:rFonts w:hint="eastAsia" w:ascii="宋体" w:hAnsi="宋体" w:eastAsia="宋体" w:cs="宋体"/>
          <w:color w:val="auto"/>
          <w:szCs w:val="20"/>
          <w:highlight w:val="none"/>
          <w:lang w:val="en-US" w:eastAsia="zh-CN"/>
        </w:rPr>
        <w:t>投标</w:t>
      </w:r>
      <w:r>
        <w:rPr>
          <w:rFonts w:hint="eastAsia" w:ascii="宋体" w:hAnsi="宋体" w:eastAsia="宋体" w:cs="宋体"/>
          <w:color w:val="auto"/>
          <w:szCs w:val="20"/>
          <w:highlight w:val="none"/>
        </w:rPr>
        <w:t>文件响应有关条款及</w:t>
      </w:r>
      <w:r>
        <w:rPr>
          <w:rFonts w:hint="eastAsia" w:ascii="宋体" w:hAnsi="宋体" w:eastAsia="宋体" w:cs="宋体"/>
          <w:color w:val="auto"/>
          <w:szCs w:val="20"/>
          <w:highlight w:val="none"/>
          <w:lang w:val="en-US" w:eastAsia="zh-CN"/>
        </w:rPr>
        <w:t>采购</w:t>
      </w:r>
      <w:r>
        <w:rPr>
          <w:rFonts w:hint="eastAsia" w:ascii="宋体" w:hAnsi="宋体" w:eastAsia="宋体" w:cs="宋体"/>
          <w:color w:val="auto"/>
          <w:szCs w:val="20"/>
          <w:highlight w:val="none"/>
        </w:rPr>
        <w:t>内容，与医院签订合同，由双方共同严格遵守执行。</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2、合同书应由供需双方代表亲自签字。</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3、签订合同后项目不得转包，如发现转包，视为违反约定罚款5万元并终止合同。</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4、签订合同后，任何一方违约均应赔偿给对方造成的经济损失，并支付对方违约2万元。任何一方未经协商或通知对方而擅自单方终止合同的，应赔偿对方违约金5万元，以补偿对方的损失。</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5、院工会有权定期或不定期对职工</w:t>
      </w:r>
      <w:r>
        <w:rPr>
          <w:rFonts w:hint="eastAsia" w:ascii="宋体" w:hAnsi="宋体" w:eastAsia="宋体" w:cs="宋体"/>
          <w:color w:val="auto"/>
          <w:szCs w:val="20"/>
          <w:highlight w:val="none"/>
          <w:lang w:eastAsia="zh-CN"/>
        </w:rPr>
        <w:t>疗养</w:t>
      </w:r>
      <w:r>
        <w:rPr>
          <w:rFonts w:hint="eastAsia" w:ascii="宋体" w:hAnsi="宋体" w:eastAsia="宋体" w:cs="宋体"/>
          <w:color w:val="auto"/>
          <w:szCs w:val="20"/>
          <w:highlight w:val="none"/>
        </w:rPr>
        <w:t>相关内容（包括线路设定、</w:t>
      </w:r>
      <w:r>
        <w:rPr>
          <w:rFonts w:hint="eastAsia" w:ascii="宋体" w:hAnsi="宋体" w:eastAsia="宋体" w:cs="宋体"/>
          <w:color w:val="auto"/>
          <w:szCs w:val="20"/>
          <w:highlight w:val="none"/>
          <w:lang w:eastAsia="zh-CN"/>
        </w:rPr>
        <w:t>旅行社</w:t>
      </w:r>
      <w:r>
        <w:rPr>
          <w:rFonts w:hint="eastAsia" w:ascii="宋体" w:hAnsi="宋体" w:eastAsia="宋体" w:cs="宋体"/>
          <w:color w:val="auto"/>
          <w:szCs w:val="20"/>
          <w:highlight w:val="none"/>
        </w:rPr>
        <w:t xml:space="preserve">导游、住宿餐饮安排以及交通工具质量等）进行满意度测评，如平均满意度在80分（含）以下（满分100分），经院领导及院工会商议决定，医院有权终止合同。 </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6、遇有双方不能协商解决的问题时，任何一方都有权向需方所在地人民法院提起诉讼，由所在地人民法院依法裁决。</w:t>
      </w:r>
    </w:p>
    <w:p>
      <w:pPr>
        <w:snapToGrid w:val="0"/>
        <w:spacing w:line="360" w:lineRule="auto"/>
        <w:contextualSpacing/>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十三、不可抗力事件处理</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13.1 在合同有效期内，任何一方因不可抗力事件导致不能履行合同，则合同履行期可延长，其延长期与不可抗力影响期相同。</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13.2 不可抗力事件发生后，应立即通知对方，并寄送有关权威机构出具的证明。</w:t>
      </w:r>
    </w:p>
    <w:p>
      <w:pPr>
        <w:snapToGrid w:val="0"/>
        <w:spacing w:line="360" w:lineRule="auto"/>
        <w:ind w:firstLine="420" w:firstLineChars="200"/>
        <w:contextualSpacing/>
        <w:rPr>
          <w:rFonts w:hint="eastAsia" w:ascii="宋体" w:hAnsi="宋体" w:eastAsia="宋体" w:cs="宋体"/>
          <w:color w:val="auto"/>
          <w:szCs w:val="20"/>
          <w:highlight w:val="none"/>
        </w:rPr>
      </w:pPr>
      <w:r>
        <w:rPr>
          <w:rFonts w:hint="eastAsia" w:ascii="宋体" w:hAnsi="宋体" w:eastAsia="宋体" w:cs="宋体"/>
          <w:color w:val="auto"/>
          <w:szCs w:val="20"/>
          <w:highlight w:val="none"/>
        </w:rPr>
        <w:t>13.3 不可抗力事件延续120天以上，双方应通过友好协商，确定是否继续履行合同。</w:t>
      </w:r>
    </w:p>
    <w:p>
      <w:pPr>
        <w:snapToGrid w:val="0"/>
        <w:spacing w:line="360" w:lineRule="auto"/>
        <w:contextualSpacing/>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十四、诉讼</w:t>
      </w:r>
    </w:p>
    <w:p>
      <w:pPr>
        <w:widowControl w:val="0"/>
        <w:snapToGrid w:val="0"/>
        <w:spacing w:line="360" w:lineRule="auto"/>
        <w:ind w:firstLine="420" w:firstLineChars="200"/>
        <w:contextualSpacing/>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双方在执行合同中所发生的一切争议，应通过协商解决。如协商不成，可向合同签订地法院起诉。</w:t>
      </w:r>
    </w:p>
    <w:p>
      <w:pPr>
        <w:widowControl w:val="0"/>
        <w:snapToGrid w:val="0"/>
        <w:spacing w:line="360" w:lineRule="auto"/>
        <w:contextualSpacing/>
        <w:jc w:val="both"/>
        <w:rPr>
          <w:rFonts w:hint="eastAsia" w:ascii="宋体" w:hAnsi="宋体" w:eastAsia="宋体" w:cs="宋体"/>
          <w:b/>
          <w:color w:val="auto"/>
          <w:kern w:val="2"/>
          <w:sz w:val="21"/>
          <w:highlight w:val="none"/>
          <w:lang w:val="en-US" w:eastAsia="zh-CN" w:bidi="ar-SA"/>
        </w:rPr>
      </w:pPr>
      <w:r>
        <w:rPr>
          <w:rFonts w:hint="eastAsia" w:ascii="宋体" w:hAnsi="宋体" w:eastAsia="宋体" w:cs="宋体"/>
          <w:b/>
          <w:color w:val="auto"/>
          <w:kern w:val="2"/>
          <w:sz w:val="21"/>
          <w:highlight w:val="none"/>
          <w:lang w:val="en-US" w:eastAsia="zh-CN" w:bidi="ar-SA"/>
        </w:rPr>
        <w:t>十五、合同生效及其它</w:t>
      </w:r>
    </w:p>
    <w:p>
      <w:pPr>
        <w:widowControl w:val="0"/>
        <w:snapToGrid w:val="0"/>
        <w:spacing w:line="360" w:lineRule="auto"/>
        <w:ind w:firstLine="420" w:firstLineChars="200"/>
        <w:contextualSpacing/>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15.1 合同经双方法定代表人或授权委托代理人签字并加盖单位公章后生效。</w:t>
      </w:r>
    </w:p>
    <w:p>
      <w:pPr>
        <w:widowControl w:val="0"/>
        <w:snapToGrid w:val="0"/>
        <w:spacing w:line="360" w:lineRule="auto"/>
        <w:ind w:firstLine="420" w:firstLineChars="200"/>
        <w:contextualSpacing/>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15.2 合同执行中涉及采购资金和采购内容修改或补充的，须经鄞州区财政部门审批，并签订书面补充协议报政府采购监督管理部门备案，方可作为主合同不可分割的一部分。</w:t>
      </w:r>
    </w:p>
    <w:p>
      <w:pPr>
        <w:widowControl w:val="0"/>
        <w:snapToGrid w:val="0"/>
        <w:spacing w:line="360" w:lineRule="auto"/>
        <w:ind w:firstLine="420" w:firstLineChars="200"/>
        <w:contextualSpacing/>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15.3 本合同未尽事宜，遵照《中华人民共和国民法典》有关条文、补充协议、采购承诺、最终报价、投标文件、采购文件及补充执行。</w:t>
      </w:r>
    </w:p>
    <w:p>
      <w:pPr>
        <w:widowControl w:val="0"/>
        <w:snapToGrid w:val="0"/>
        <w:spacing w:line="360" w:lineRule="auto"/>
        <w:ind w:firstLine="420" w:firstLineChars="200"/>
        <w:contextualSpacing/>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15.4 本合同正本一式</w:t>
      </w:r>
      <w:r>
        <w:rPr>
          <w:rFonts w:hint="eastAsia" w:ascii="宋体" w:hAnsi="宋体" w:eastAsia="宋体" w:cs="宋体"/>
          <w:color w:val="auto"/>
          <w:kern w:val="2"/>
          <w:sz w:val="21"/>
          <w:highlight w:val="none"/>
          <w:u w:val="single"/>
          <w:lang w:val="en-US" w:eastAsia="zh-CN" w:bidi="ar-SA"/>
        </w:rPr>
        <w:t xml:space="preserve">    </w:t>
      </w:r>
      <w:r>
        <w:rPr>
          <w:rFonts w:hint="eastAsia" w:ascii="宋体" w:hAnsi="宋体" w:eastAsia="宋体" w:cs="宋体"/>
          <w:color w:val="auto"/>
          <w:kern w:val="2"/>
          <w:sz w:val="21"/>
          <w:highlight w:val="none"/>
          <w:lang w:val="en-US" w:eastAsia="zh-CN" w:bidi="ar-SA"/>
        </w:rPr>
        <w:t>份，甲乙双方各执一份；副本</w:t>
      </w:r>
      <w:r>
        <w:rPr>
          <w:rFonts w:hint="eastAsia" w:ascii="宋体" w:hAnsi="宋体" w:eastAsia="宋体" w:cs="宋体"/>
          <w:b/>
          <w:color w:val="auto"/>
          <w:kern w:val="2"/>
          <w:sz w:val="21"/>
          <w:highlight w:val="none"/>
          <w:u w:val="single"/>
          <w:lang w:val="en-US" w:eastAsia="zh-CN" w:bidi="ar-SA"/>
        </w:rPr>
        <w:t xml:space="preserve">   </w:t>
      </w:r>
      <w:r>
        <w:rPr>
          <w:rFonts w:hint="eastAsia" w:ascii="宋体" w:hAnsi="宋体" w:eastAsia="宋体" w:cs="宋体"/>
          <w:color w:val="auto"/>
          <w:kern w:val="2"/>
          <w:sz w:val="21"/>
          <w:highlight w:val="none"/>
          <w:lang w:val="en-US" w:eastAsia="zh-CN" w:bidi="ar-SA"/>
        </w:rPr>
        <w:t>份，其中一份提供给鄞州区政府采购管理办公室备案用。合同正副本具有同等法律效力。</w:t>
      </w:r>
    </w:p>
    <w:p>
      <w:pPr>
        <w:widowControl w:val="0"/>
        <w:adjustRightInd w:val="0"/>
        <w:snapToGrid w:val="0"/>
        <w:spacing w:line="360" w:lineRule="auto"/>
        <w:contextualSpacing/>
        <w:jc w:val="both"/>
        <w:textAlignment w:val="baseline"/>
        <w:rPr>
          <w:rFonts w:hint="eastAsia" w:ascii="宋体" w:hAnsi="宋体" w:eastAsia="宋体" w:cs="宋体"/>
          <w:color w:val="auto"/>
          <w:kern w:val="2"/>
          <w:sz w:val="21"/>
          <w:szCs w:val="21"/>
          <w:highlight w:val="none"/>
          <w:lang w:val="en-US" w:eastAsia="zh-CN" w:bidi="ar-SA"/>
        </w:rPr>
      </w:pPr>
    </w:p>
    <w:p>
      <w:pPr>
        <w:widowControl w:val="0"/>
        <w:overflowPunct w:val="0"/>
        <w:autoSpaceDE w:val="0"/>
        <w:autoSpaceDN w:val="0"/>
        <w:adjustRightInd w:val="0"/>
        <w:snapToGrid w:val="0"/>
        <w:spacing w:line="480" w:lineRule="auto"/>
        <w:ind w:firstLine="420" w:firstLineChars="200"/>
        <w:contextualSpacing/>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甲方（盖章）：                                    乙方（盖章）： </w:t>
      </w:r>
    </w:p>
    <w:p>
      <w:pPr>
        <w:widowControl w:val="0"/>
        <w:overflowPunct w:val="0"/>
        <w:autoSpaceDE w:val="0"/>
        <w:autoSpaceDN w:val="0"/>
        <w:adjustRightInd w:val="0"/>
        <w:snapToGrid w:val="0"/>
        <w:spacing w:line="480" w:lineRule="auto"/>
        <w:ind w:firstLine="420" w:firstLineChars="200"/>
        <w:contextualSpacing/>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地址：                                            地址： </w:t>
      </w:r>
    </w:p>
    <w:p>
      <w:pPr>
        <w:widowControl w:val="0"/>
        <w:overflowPunct w:val="0"/>
        <w:autoSpaceDE w:val="0"/>
        <w:autoSpaceDN w:val="0"/>
        <w:adjustRightInd w:val="0"/>
        <w:snapToGrid w:val="0"/>
        <w:spacing w:line="480" w:lineRule="auto"/>
        <w:ind w:firstLine="420" w:firstLineChars="200"/>
        <w:contextualSpacing/>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法定代表人（签字或盖章）：                        法定代表人（签字或盖章）：</w:t>
      </w:r>
    </w:p>
    <w:p>
      <w:pPr>
        <w:widowControl w:val="0"/>
        <w:overflowPunct w:val="0"/>
        <w:autoSpaceDE w:val="0"/>
        <w:autoSpaceDN w:val="0"/>
        <w:adjustRightInd w:val="0"/>
        <w:snapToGrid w:val="0"/>
        <w:spacing w:line="480" w:lineRule="auto"/>
        <w:ind w:firstLine="420" w:firstLineChars="200"/>
        <w:contextualSpacing/>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签订地点：                                        签订地点：                    </w:t>
      </w:r>
    </w:p>
    <w:p>
      <w:pPr>
        <w:pStyle w:val="26"/>
        <w:tabs>
          <w:tab w:val="left" w:pos="2472"/>
        </w:tabs>
        <w:snapToGrid w:val="0"/>
        <w:spacing w:before="0" w:beforeLines="0" w:after="0" w:afterLines="0" w:line="360" w:lineRule="auto"/>
        <w:ind w:firstLine="420" w:firstLineChars="200"/>
        <w:rPr>
          <w:rFonts w:hAnsi="宋体" w:cs="宋体"/>
          <w:sz w:val="21"/>
          <w:szCs w:val="21"/>
          <w:highlight w:val="none"/>
        </w:rPr>
      </w:pPr>
      <w:r>
        <w:rPr>
          <w:rFonts w:hint="eastAsia" w:ascii="宋体" w:hAnsi="宋体" w:eastAsia="宋体" w:cs="宋体"/>
          <w:color w:val="auto"/>
          <w:kern w:val="2"/>
          <w:sz w:val="21"/>
          <w:szCs w:val="21"/>
          <w:highlight w:val="none"/>
          <w:lang w:val="en-US" w:eastAsia="zh-CN" w:bidi="ar-SA"/>
        </w:rPr>
        <w:t>签订日期：      年  月  日                        签订日期：      年  月  日</w:t>
      </w:r>
      <w:r>
        <w:rPr>
          <w:rFonts w:hint="eastAsia" w:hAnsi="宋体" w:cs="宋体"/>
          <w:sz w:val="21"/>
          <w:szCs w:val="21"/>
          <w:highlight w:val="none"/>
        </w:rPr>
        <w:br w:type="page"/>
      </w:r>
    </w:p>
    <w:p>
      <w:pPr>
        <w:pStyle w:val="45"/>
        <w:rPr>
          <w:rFonts w:ascii="宋体" w:hAnsi="宋体" w:cs="宋体"/>
          <w:highlight w:val="none"/>
        </w:rPr>
      </w:pPr>
      <w:bookmarkStart w:id="90" w:name="_Toc1544"/>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章　</w:t>
      </w:r>
      <w:r>
        <w:rPr>
          <w:rFonts w:hint="eastAsia" w:ascii="宋体" w:hAnsi="宋体" w:cs="宋体"/>
          <w:highlight w:val="none"/>
          <w:lang w:eastAsia="zh-CN"/>
        </w:rPr>
        <w:t>投标文件</w:t>
      </w:r>
      <w:r>
        <w:rPr>
          <w:rFonts w:hint="eastAsia" w:ascii="宋体" w:hAnsi="宋体" w:cs="宋体"/>
          <w:highlight w:val="none"/>
        </w:rPr>
        <w:t>格式</w:t>
      </w:r>
      <w:bookmarkEnd w:id="90"/>
    </w:p>
    <w:p>
      <w:pPr>
        <w:pStyle w:val="26"/>
        <w:tabs>
          <w:tab w:val="left" w:pos="2472"/>
        </w:tabs>
        <w:snapToGrid w:val="0"/>
        <w:spacing w:before="0" w:beforeLines="0" w:after="0" w:afterLines="0" w:line="240" w:lineRule="auto"/>
        <w:jc w:val="center"/>
        <w:rPr>
          <w:rFonts w:hAnsi="宋体" w:cs="宋体"/>
          <w:b/>
          <w:highlight w:val="none"/>
        </w:rPr>
      </w:pPr>
    </w:p>
    <w:p>
      <w:pPr>
        <w:widowControl/>
        <w:spacing w:line="360" w:lineRule="auto"/>
        <w:jc w:val="left"/>
        <w:rPr>
          <w:rFonts w:hint="eastAsia" w:ascii="宋体" w:hAnsi="宋体" w:cs="宋体"/>
          <w:color w:val="auto"/>
          <w:kern w:val="0"/>
          <w:sz w:val="24"/>
          <w:highlight w:val="none"/>
        </w:rPr>
      </w:pPr>
      <w:r>
        <w:rPr>
          <w:rFonts w:hint="eastAsia" w:ascii="宋体" w:hAnsi="宋体" w:cs="宋体"/>
          <w:b/>
          <w:bCs/>
          <w:color w:val="auto"/>
          <w:kern w:val="0"/>
          <w:szCs w:val="21"/>
          <w:highlight w:val="none"/>
        </w:rPr>
        <w:t xml:space="preserve">1、投标文件的外包装封面 </w:t>
      </w:r>
    </w:p>
    <w:p>
      <w:pPr>
        <w:widowControl/>
        <w:spacing w:before="286" w:beforeLines="100" w:line="360" w:lineRule="auto"/>
        <w:jc w:val="center"/>
        <w:rPr>
          <w:rFonts w:hint="eastAsia" w:ascii="宋体" w:hAnsi="宋体" w:cs="宋体"/>
          <w:color w:val="auto"/>
          <w:kern w:val="0"/>
          <w:sz w:val="24"/>
          <w:highlight w:val="none"/>
        </w:rPr>
      </w:pPr>
      <w:r>
        <w:rPr>
          <w:rFonts w:hint="eastAsia" w:ascii="宋体" w:hAnsi="宋体" w:cs="宋体"/>
          <w:b/>
          <w:bCs/>
          <w:color w:val="auto"/>
          <w:kern w:val="0"/>
          <w:szCs w:val="21"/>
          <w:highlight w:val="none"/>
        </w:rPr>
        <w:t>电子备份投标文件</w:t>
      </w:r>
    </w:p>
    <w:p>
      <w:pPr>
        <w:widowControl/>
        <w:spacing w:line="360" w:lineRule="auto"/>
        <w:jc w:val="left"/>
        <w:rPr>
          <w:rFonts w:hint="eastAsia" w:ascii="宋体" w:hAnsi="宋体" w:cs="宋体"/>
          <w:color w:val="auto"/>
          <w:kern w:val="0"/>
          <w:szCs w:val="21"/>
          <w:highlight w:val="none"/>
        </w:rPr>
      </w:pP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Cs w:val="21"/>
          <w:highlight w:val="none"/>
        </w:rPr>
        <w:t xml:space="preserve">项目编号： </w:t>
      </w: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Cs w:val="21"/>
          <w:highlight w:val="none"/>
        </w:rPr>
        <w:t xml:space="preserve">项目名称： </w:t>
      </w: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Cs w:val="21"/>
          <w:highlight w:val="none"/>
        </w:rPr>
        <w:t xml:space="preserve">供应商名称（加盖公章）： </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供应商地址： </w:t>
      </w: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p>
      <w:pPr>
        <w:widowControl/>
        <w:spacing w:line="360" w:lineRule="auto"/>
        <w:jc w:val="left"/>
        <w:rPr>
          <w:rFonts w:hint="eastAsia" w:ascii="宋体" w:hAnsi="宋体" w:cs="宋体"/>
          <w:color w:val="auto"/>
          <w:kern w:val="0"/>
          <w:szCs w:val="21"/>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r>
        <w:rPr>
          <w:rFonts w:hint="eastAsia" w:ascii="宋体" w:hAnsi="宋体" w:cs="宋体"/>
          <w:b/>
          <w:bCs/>
          <w:color w:val="auto"/>
          <w:kern w:val="0"/>
          <w:szCs w:val="21"/>
          <w:highlight w:val="none"/>
        </w:rPr>
        <w:t xml:space="preserve">2、投标文件封面格式 </w:t>
      </w:r>
    </w:p>
    <w:p>
      <w:pPr>
        <w:widowControl/>
        <w:spacing w:before="286" w:beforeLines="100" w:line="360" w:lineRule="auto"/>
        <w:jc w:val="center"/>
        <w:rPr>
          <w:rFonts w:hint="eastAsia" w:ascii="宋体" w:hAnsi="宋体" w:cs="宋体"/>
          <w:color w:val="auto"/>
          <w:kern w:val="0"/>
          <w:sz w:val="24"/>
          <w:highlight w:val="none"/>
        </w:rPr>
      </w:pPr>
      <w:r>
        <w:rPr>
          <w:rFonts w:hint="eastAsia" w:ascii="宋体" w:hAnsi="宋体" w:cs="宋体"/>
          <w:b/>
          <w:bCs/>
          <w:color w:val="auto"/>
          <w:kern w:val="0"/>
          <w:szCs w:val="21"/>
          <w:highlight w:val="none"/>
        </w:rPr>
        <w:t>资格文件/商务技术文件/报价文件</w:t>
      </w:r>
    </w:p>
    <w:p>
      <w:pPr>
        <w:widowControl/>
        <w:spacing w:line="360" w:lineRule="auto"/>
        <w:jc w:val="left"/>
        <w:rPr>
          <w:rFonts w:hint="eastAsia" w:ascii="宋体" w:hAnsi="宋体" w:cs="宋体"/>
          <w:color w:val="auto"/>
          <w:kern w:val="0"/>
          <w:szCs w:val="21"/>
          <w:highlight w:val="none"/>
        </w:rPr>
      </w:pP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Cs w:val="21"/>
          <w:highlight w:val="none"/>
        </w:rPr>
        <w:t xml:space="preserve">项目编号： </w:t>
      </w: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Cs w:val="21"/>
          <w:highlight w:val="none"/>
        </w:rPr>
        <w:t xml:space="preserve">项目名称： </w:t>
      </w: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Cs w:val="21"/>
          <w:highlight w:val="none"/>
        </w:rPr>
        <w:t xml:space="preserve">供应商名称（加盖公章）： </w:t>
      </w: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Cs w:val="21"/>
          <w:highlight w:val="none"/>
        </w:rPr>
        <w:t xml:space="preserve">供应商地址： </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pPr>
        <w:spacing w:line="700" w:lineRule="exact"/>
        <w:ind w:firstLine="420" w:firstLineChars="200"/>
        <w:rPr>
          <w:rFonts w:hint="eastAsia" w:ascii="宋体" w:hAnsi="宋体" w:cs="宋体"/>
          <w:color w:val="auto"/>
          <w:sz w:val="24"/>
          <w:highlight w:val="none"/>
        </w:rPr>
      </w:pPr>
      <w:r>
        <w:rPr>
          <w:rFonts w:hint="eastAsia" w:ascii="宋体" w:hAnsi="宋体" w:cs="宋体"/>
          <w:color w:val="auto"/>
          <w:kern w:val="0"/>
          <w:szCs w:val="21"/>
          <w:highlight w:val="none"/>
        </w:rPr>
        <w:t xml:space="preserve">                                                       年 月 日</w:t>
      </w:r>
    </w:p>
    <w:p>
      <w:pPr>
        <w:rPr>
          <w:rFonts w:ascii="宋体" w:hAnsi="宋体" w:cs="宋体"/>
          <w:highlight w:val="none"/>
        </w:rPr>
      </w:pPr>
      <w:r>
        <w:rPr>
          <w:rFonts w:ascii="宋体" w:hAnsi="宋体" w:cs="宋体"/>
          <w:highlight w:val="none"/>
        </w:rPr>
        <w:br w:type="page"/>
      </w:r>
    </w:p>
    <w:p>
      <w:pPr>
        <w:widowControl/>
        <w:spacing w:line="360" w:lineRule="auto"/>
        <w:jc w:val="left"/>
        <w:rPr>
          <w:rFonts w:ascii="宋体" w:hAnsi="宋体" w:cs="宋体"/>
          <w:color w:val="auto"/>
          <w:kern w:val="0"/>
          <w:sz w:val="24"/>
          <w:highlight w:val="none"/>
        </w:rPr>
      </w:pPr>
      <w:r>
        <w:rPr>
          <w:rFonts w:hint="eastAsia" w:ascii="宋体" w:hAnsi="宋体" w:cs="宋体"/>
          <w:b/>
          <w:bCs/>
          <w:color w:val="auto"/>
          <w:kern w:val="0"/>
          <w:szCs w:val="21"/>
          <w:highlight w:val="none"/>
        </w:rPr>
        <w:t>资格文件组成：</w:t>
      </w:r>
    </w:p>
    <w:p>
      <w:pPr>
        <w:widowControl/>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（1）营业执照复印件。供应商如果有名称变更的，应提供由行政主管部门出具的变更证明文件；</w:t>
      </w:r>
    </w:p>
    <w:p>
      <w:pPr>
        <w:widowControl/>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（2）关于资格的承诺函；</w:t>
      </w:r>
    </w:p>
    <w:p>
      <w:pPr>
        <w:widowControl/>
        <w:spacing w:line="360" w:lineRule="auto"/>
        <w:ind w:firstLine="420" w:firstLineChars="200"/>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（3）中小企业声明函</w:t>
      </w:r>
      <w:r>
        <w:rPr>
          <w:rFonts w:hint="eastAsia" w:ascii="宋体" w:hAnsi="宋体" w:eastAsia="宋体" w:cs="宋体"/>
          <w:kern w:val="0"/>
          <w:sz w:val="21"/>
          <w:szCs w:val="21"/>
          <w:highlight w:val="none"/>
          <w:lang w:eastAsia="zh-CN"/>
        </w:rPr>
        <w:t>；</w:t>
      </w:r>
    </w:p>
    <w:p>
      <w:pPr>
        <w:widowControl/>
        <w:spacing w:line="360" w:lineRule="auto"/>
        <w:ind w:firstLine="420" w:firstLineChars="200"/>
        <w:jc w:val="left"/>
        <w:rPr>
          <w:rFonts w:hint="eastAsia" w:ascii="宋体" w:hAnsi="宋体" w:eastAsia="宋体" w:cs="宋体"/>
          <w:b w:val="0"/>
          <w:bCs w:val="0"/>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）残疾人福利性单位声明函，</w:t>
      </w:r>
      <w:r>
        <w:rPr>
          <w:rFonts w:hint="eastAsia" w:ascii="宋体" w:hAnsi="宋体" w:eastAsia="宋体" w:cs="宋体"/>
          <w:b/>
          <w:bCs/>
          <w:kern w:val="0"/>
          <w:sz w:val="21"/>
          <w:szCs w:val="21"/>
          <w:highlight w:val="none"/>
          <w:lang w:eastAsia="zh-CN"/>
        </w:rPr>
        <w:t>供应商如为非残疾人福利性单位的，可不提供本声明函</w:t>
      </w:r>
      <w:r>
        <w:rPr>
          <w:rFonts w:hint="eastAsia" w:ascii="宋体" w:hAnsi="宋体" w:eastAsia="宋体" w:cs="宋体"/>
          <w:b w:val="0"/>
          <w:bCs w:val="0"/>
          <w:kern w:val="0"/>
          <w:sz w:val="21"/>
          <w:szCs w:val="21"/>
          <w:highlight w:val="none"/>
          <w:lang w:eastAsia="zh-CN"/>
        </w:rPr>
        <w:t>；</w:t>
      </w:r>
    </w:p>
    <w:p>
      <w:pPr>
        <w:widowControl/>
        <w:spacing w:line="360" w:lineRule="auto"/>
        <w:ind w:firstLine="420" w:firstLineChars="200"/>
        <w:jc w:val="left"/>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lang w:val="en-US" w:eastAsia="zh-CN"/>
        </w:rPr>
        <w:t>5</w:t>
      </w:r>
      <w:r>
        <w:rPr>
          <w:rFonts w:hint="eastAsia" w:ascii="宋体" w:hAnsi="宋体" w:eastAsia="宋体" w:cs="宋体"/>
          <w:b w:val="0"/>
          <w:bCs w:val="0"/>
          <w:kern w:val="0"/>
          <w:sz w:val="21"/>
          <w:szCs w:val="21"/>
          <w:highlight w:val="none"/>
          <w:lang w:eastAsia="zh-CN"/>
        </w:rPr>
        <w:t>）监狱企业参加政府采购活动时，应当提供由省级以上监狱管理局、戒毒管理局（含新疆生产建设兵团）出具的属于监狱企业的证明文件，</w:t>
      </w:r>
      <w:r>
        <w:rPr>
          <w:rFonts w:hint="eastAsia" w:ascii="宋体" w:hAnsi="宋体" w:eastAsia="宋体" w:cs="宋体"/>
          <w:b/>
          <w:bCs/>
          <w:kern w:val="0"/>
          <w:sz w:val="21"/>
          <w:szCs w:val="21"/>
          <w:highlight w:val="none"/>
          <w:lang w:eastAsia="zh-CN"/>
        </w:rPr>
        <w:t>供应商如为非监狱企业的，可不提供本内容</w:t>
      </w:r>
      <w:r>
        <w:rPr>
          <w:rFonts w:hint="eastAsia" w:ascii="宋体" w:hAnsi="宋体" w:eastAsia="宋体" w:cs="宋体"/>
          <w:b w:val="0"/>
          <w:bCs w:val="0"/>
          <w:kern w:val="0"/>
          <w:sz w:val="21"/>
          <w:szCs w:val="21"/>
          <w:highlight w:val="none"/>
          <w:lang w:eastAsia="zh-CN"/>
        </w:rPr>
        <w:t>；</w:t>
      </w:r>
    </w:p>
    <w:p>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供应商的特定条件的证明文件。</w:t>
      </w:r>
    </w:p>
    <w:p>
      <w:pPr>
        <w:pStyle w:val="7"/>
        <w:rPr>
          <w:rFonts w:hint="eastAsia" w:ascii="Cambria" w:hAnsi="Cambria"/>
          <w:color w:val="auto"/>
          <w:sz w:val="24"/>
          <w:szCs w:val="24"/>
          <w:highlight w:val="none"/>
        </w:rPr>
      </w:pPr>
      <w:r>
        <w:rPr>
          <w:rFonts w:ascii="宋体" w:hAnsi="宋体"/>
          <w:b w:val="0"/>
          <w:bCs w:val="0"/>
          <w:color w:val="auto"/>
          <w:sz w:val="28"/>
          <w:szCs w:val="28"/>
          <w:highlight w:val="none"/>
        </w:rPr>
        <w:br w:type="page"/>
      </w:r>
      <w:bookmarkStart w:id="91" w:name="_Toc11855"/>
      <w:bookmarkStart w:id="92" w:name="_Toc23104"/>
      <w:r>
        <w:rPr>
          <w:rFonts w:hint="eastAsia" w:ascii="Cambria" w:hAnsi="Cambria"/>
          <w:color w:val="auto"/>
          <w:sz w:val="24"/>
          <w:szCs w:val="24"/>
          <w:highlight w:val="none"/>
        </w:rPr>
        <w:t>（一）营业执照复印件。供应商如果有名称变更的，应提供由行政主管部门出具的变更证明文件</w:t>
      </w:r>
      <w:bookmarkEnd w:id="91"/>
      <w:bookmarkEnd w:id="92"/>
    </w:p>
    <w:p>
      <w:pPr>
        <w:topLinePunct/>
        <w:autoSpaceDE w:val="0"/>
        <w:autoSpaceDN w:val="0"/>
        <w:adjustRightInd w:val="0"/>
        <w:spacing w:line="360" w:lineRule="auto"/>
        <w:ind w:firstLine="630" w:firstLineChars="300"/>
        <w:jc w:val="center"/>
        <w:rPr>
          <w:rFonts w:hint="eastAsia" w:ascii="宋体" w:hAnsi="宋体" w:eastAsia="宋体"/>
          <w:color w:val="auto"/>
          <w:szCs w:val="21"/>
          <w:highlight w:val="none"/>
          <w:lang w:eastAsia="zh-CN"/>
        </w:rPr>
      </w:pPr>
    </w:p>
    <w:p>
      <w:pPr>
        <w:jc w:val="center"/>
        <w:rPr>
          <w:rFonts w:hint="eastAsia" w:ascii="宋体" w:hAnsi="宋体"/>
          <w:b/>
          <w:color w:val="auto"/>
          <w:w w:val="80"/>
          <w:sz w:val="30"/>
          <w:szCs w:val="30"/>
          <w:highlight w:val="none"/>
        </w:rPr>
      </w:pPr>
    </w:p>
    <w:p>
      <w:pPr>
        <w:pStyle w:val="20"/>
        <w:spacing w:before="60" w:after="60" w:line="400" w:lineRule="exact"/>
        <w:ind w:firstLine="0"/>
        <w:jc w:val="center"/>
        <w:rPr>
          <w:rFonts w:hint="eastAsia" w:ascii="宋体" w:hAnsi="宋体"/>
          <w:color w:val="auto"/>
          <w:sz w:val="28"/>
          <w:szCs w:val="28"/>
          <w:highlight w:val="none"/>
        </w:rPr>
      </w:pPr>
    </w:p>
    <w:p>
      <w:pPr>
        <w:pStyle w:val="20"/>
        <w:spacing w:before="60" w:after="60" w:line="400" w:lineRule="exact"/>
        <w:ind w:firstLine="0"/>
        <w:jc w:val="center"/>
        <w:rPr>
          <w:rFonts w:hint="eastAsia" w:ascii="宋体" w:hAnsi="宋体"/>
          <w:color w:val="auto"/>
          <w:sz w:val="28"/>
          <w:szCs w:val="28"/>
          <w:highlight w:val="none"/>
        </w:rPr>
      </w:pPr>
    </w:p>
    <w:p>
      <w:pPr>
        <w:pStyle w:val="20"/>
        <w:widowControl/>
        <w:spacing w:line="360" w:lineRule="auto"/>
        <w:ind w:firstLine="0"/>
        <w:jc w:val="center"/>
        <w:rPr>
          <w:rFonts w:hint="eastAsia" w:ascii="仿宋" w:hAnsi="仿宋" w:eastAsia="仿宋" w:cs="仿宋"/>
          <w:b/>
          <w:sz w:val="24"/>
          <w:szCs w:val="24"/>
          <w:highlight w:val="none"/>
        </w:rPr>
      </w:pPr>
      <w:r>
        <w:rPr>
          <w:rFonts w:hint="eastAsia" w:hAnsi="宋体"/>
          <w:b/>
          <w:bCs/>
          <w:sz w:val="24"/>
          <w:szCs w:val="24"/>
          <w:highlight w:val="none"/>
          <w:lang w:eastAsia="zh-CN"/>
        </w:rPr>
        <w:br w:type="page"/>
      </w:r>
      <w:r>
        <w:rPr>
          <w:rFonts w:hint="eastAsia" w:hAnsi="宋体"/>
          <w:b/>
          <w:bCs/>
          <w:sz w:val="24"/>
          <w:szCs w:val="24"/>
          <w:highlight w:val="none"/>
          <w:lang w:eastAsia="zh-CN"/>
        </w:rPr>
        <w:t>（</w:t>
      </w:r>
      <w:r>
        <w:rPr>
          <w:rFonts w:hint="eastAsia" w:hAnsi="宋体"/>
          <w:b/>
          <w:bCs/>
          <w:sz w:val="24"/>
          <w:szCs w:val="24"/>
          <w:highlight w:val="none"/>
          <w:lang w:val="en-US" w:eastAsia="zh-CN"/>
        </w:rPr>
        <w:t>二</w:t>
      </w:r>
      <w:r>
        <w:rPr>
          <w:rFonts w:hint="eastAsia" w:hAnsi="宋体"/>
          <w:b/>
          <w:bCs/>
          <w:sz w:val="24"/>
          <w:szCs w:val="24"/>
          <w:highlight w:val="none"/>
          <w:lang w:eastAsia="zh-CN"/>
        </w:rPr>
        <w:t>）</w:t>
      </w:r>
      <w:r>
        <w:rPr>
          <w:rFonts w:hint="eastAsia" w:hAnsi="宋体"/>
          <w:b/>
          <w:bCs/>
          <w:sz w:val="24"/>
          <w:szCs w:val="24"/>
          <w:highlight w:val="none"/>
        </w:rPr>
        <w:t>关于资格的承诺函</w:t>
      </w:r>
    </w:p>
    <w:p>
      <w:pPr>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致：</w:t>
      </w:r>
      <w:r>
        <w:rPr>
          <w:rFonts w:hint="eastAsia" w:ascii="宋体" w:hAnsi="宋体" w:cs="宋体"/>
          <w:sz w:val="21"/>
          <w:szCs w:val="21"/>
          <w:highlight w:val="none"/>
          <w:u w:val="single"/>
        </w:rPr>
        <w:t>（采购人名称）</w:t>
      </w:r>
      <w:r>
        <w:rPr>
          <w:rFonts w:hint="eastAsia" w:ascii="宋体" w:hAnsi="宋体" w:cs="宋体"/>
          <w:sz w:val="21"/>
          <w:szCs w:val="21"/>
          <w:highlight w:val="none"/>
        </w:rPr>
        <w:t>：</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u w:val="single"/>
        </w:rPr>
        <w:t>（供应商名称）</w:t>
      </w:r>
      <w:r>
        <w:rPr>
          <w:rFonts w:hint="eastAsia" w:ascii="宋体" w:hAnsi="宋体" w:cs="宋体"/>
          <w:sz w:val="21"/>
          <w:szCs w:val="21"/>
          <w:highlight w:val="none"/>
        </w:rPr>
        <w:t>_自愿参加采购编号为</w:t>
      </w:r>
      <w:r>
        <w:rPr>
          <w:rFonts w:hint="eastAsia" w:ascii="宋体" w:hAnsi="宋体" w:cs="宋体"/>
          <w:sz w:val="21"/>
          <w:szCs w:val="21"/>
          <w:highlight w:val="none"/>
          <w:u w:val="single"/>
        </w:rPr>
        <w:t xml:space="preserve">      </w:t>
      </w:r>
      <w:r>
        <w:rPr>
          <w:rFonts w:hint="eastAsia" w:ascii="宋体" w:hAnsi="宋体" w:cs="宋体"/>
          <w:sz w:val="21"/>
          <w:szCs w:val="21"/>
          <w:highlight w:val="none"/>
        </w:rPr>
        <w:t>的</w:t>
      </w:r>
      <w:r>
        <w:rPr>
          <w:rFonts w:hint="eastAsia" w:ascii="宋体" w:hAnsi="宋体" w:cs="宋体"/>
          <w:sz w:val="21"/>
          <w:szCs w:val="21"/>
          <w:highlight w:val="none"/>
          <w:u w:val="single"/>
        </w:rPr>
        <w:t xml:space="preserve">   项目名称    </w:t>
      </w:r>
      <w:r>
        <w:rPr>
          <w:rFonts w:hint="eastAsia" w:ascii="宋体" w:hAnsi="宋体" w:cs="宋体"/>
          <w:sz w:val="21"/>
          <w:szCs w:val="21"/>
          <w:highlight w:val="none"/>
        </w:rPr>
        <w:t>的投标，现就供应商资格承诺如下：</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1、我单位符合《中华人民共和国政府采购法》第二十二条的一般资格条件的规定：</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w:t>
      </w:r>
      <w:r>
        <w:rPr>
          <w:rFonts w:hint="eastAsia" w:ascii="宋体" w:hAnsi="宋体" w:cs="宋体"/>
          <w:sz w:val="21"/>
          <w:szCs w:val="21"/>
          <w:highlight w:val="none"/>
        </w:rPr>
        <w:t>具有独立承担民事责任的能力；</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eastAsia="zh-CN"/>
        </w:rPr>
        <w:t>）</w:t>
      </w:r>
      <w:r>
        <w:rPr>
          <w:rFonts w:hint="eastAsia" w:ascii="宋体" w:hAnsi="宋体" w:cs="宋体"/>
          <w:sz w:val="21"/>
          <w:szCs w:val="21"/>
          <w:highlight w:val="none"/>
        </w:rPr>
        <w:t>具有良好的商业信誉和健全的财务会计制度；</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w:t>
      </w:r>
      <w:r>
        <w:rPr>
          <w:rFonts w:hint="eastAsia" w:ascii="宋体" w:hAnsi="宋体" w:cs="宋体"/>
          <w:sz w:val="21"/>
          <w:szCs w:val="21"/>
          <w:highlight w:val="none"/>
          <w:lang w:eastAsia="zh-CN"/>
        </w:rPr>
        <w:t>）</w:t>
      </w:r>
      <w:r>
        <w:rPr>
          <w:rFonts w:hint="eastAsia" w:ascii="宋体" w:hAnsi="宋体" w:cs="宋体"/>
          <w:sz w:val="21"/>
          <w:szCs w:val="21"/>
          <w:highlight w:val="none"/>
        </w:rPr>
        <w:t>具有履行合同所必需的设备和专业技术能力；</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w:t>
      </w:r>
      <w:r>
        <w:rPr>
          <w:rFonts w:hint="eastAsia" w:ascii="宋体" w:hAnsi="宋体" w:cs="宋体"/>
          <w:sz w:val="21"/>
          <w:szCs w:val="21"/>
          <w:highlight w:val="none"/>
          <w:lang w:eastAsia="zh-CN"/>
        </w:rPr>
        <w:t>）</w:t>
      </w:r>
      <w:r>
        <w:rPr>
          <w:rFonts w:hint="eastAsia" w:ascii="宋体" w:hAnsi="宋体" w:cs="宋体"/>
          <w:sz w:val="21"/>
          <w:szCs w:val="21"/>
          <w:highlight w:val="none"/>
        </w:rPr>
        <w:t>有依法缴纳税收和社会保障资金的良好记录；</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w:t>
      </w:r>
      <w:r>
        <w:rPr>
          <w:rFonts w:hint="eastAsia" w:ascii="宋体" w:hAnsi="宋体" w:cs="宋体"/>
          <w:sz w:val="21"/>
          <w:szCs w:val="21"/>
          <w:highlight w:val="none"/>
          <w:lang w:eastAsia="zh-CN"/>
        </w:rPr>
        <w:t>）</w:t>
      </w:r>
      <w:r>
        <w:rPr>
          <w:rFonts w:hint="eastAsia" w:ascii="宋体" w:hAnsi="宋体" w:cs="宋体"/>
          <w:sz w:val="21"/>
          <w:szCs w:val="21"/>
          <w:highlight w:val="none"/>
        </w:rPr>
        <w:t>参加政府采购活动前三年内，在经营活动中没有重大违法记录；</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(6</w:t>
      </w:r>
      <w:r>
        <w:rPr>
          <w:rFonts w:hint="eastAsia" w:ascii="宋体" w:hAnsi="宋体" w:cs="宋体"/>
          <w:sz w:val="21"/>
          <w:szCs w:val="21"/>
          <w:highlight w:val="none"/>
          <w:lang w:eastAsia="zh-CN"/>
        </w:rPr>
        <w:t>）</w:t>
      </w:r>
      <w:r>
        <w:rPr>
          <w:rFonts w:hint="eastAsia" w:ascii="宋体" w:hAnsi="宋体" w:cs="宋体"/>
          <w:sz w:val="21"/>
          <w:szCs w:val="21"/>
          <w:highlight w:val="none"/>
        </w:rPr>
        <w:t>法律、行政法规规定的其他条件。</w:t>
      </w:r>
    </w:p>
    <w:p>
      <w:pPr>
        <w:widowControl/>
        <w:snapToGrid w:val="0"/>
        <w:spacing w:line="360" w:lineRule="auto"/>
        <w:ind w:firstLine="424" w:firstLineChars="202"/>
        <w:rPr>
          <w:rFonts w:hint="eastAsia" w:ascii="宋体" w:hAnsi="宋体" w:cs="宋体"/>
          <w:kern w:val="0"/>
          <w:sz w:val="21"/>
          <w:szCs w:val="21"/>
          <w:highlight w:val="none"/>
        </w:rPr>
      </w:pPr>
      <w:r>
        <w:rPr>
          <w:rFonts w:hint="eastAsia" w:ascii="宋体" w:hAnsi="宋体" w:cs="宋体"/>
          <w:sz w:val="21"/>
          <w:szCs w:val="21"/>
          <w:highlight w:val="none"/>
        </w:rPr>
        <w:t>2、</w:t>
      </w:r>
      <w:r>
        <w:rPr>
          <w:rFonts w:hint="eastAsia" w:ascii="宋体" w:hAnsi="宋体" w:cs="宋体"/>
          <w:kern w:val="0"/>
          <w:sz w:val="21"/>
          <w:szCs w:val="21"/>
          <w:highlight w:val="none"/>
        </w:rPr>
        <w:t>本公司（企业）的法定代表人或单位负责人与所参投的本采购项目的其他供应商的法定代表人或单位负责人不为同一人且与其他供应商之间不存在直接控股、管理关系。</w:t>
      </w:r>
    </w:p>
    <w:p>
      <w:pPr>
        <w:widowControl/>
        <w:snapToGrid w:val="0"/>
        <w:spacing w:line="360" w:lineRule="auto"/>
        <w:ind w:firstLine="424" w:firstLineChars="202"/>
        <w:rPr>
          <w:rFonts w:hint="eastAsia" w:ascii="宋体" w:hAnsi="宋体" w:cs="宋体"/>
          <w:kern w:val="0"/>
          <w:sz w:val="21"/>
          <w:szCs w:val="21"/>
          <w:highlight w:val="none"/>
        </w:rPr>
      </w:pPr>
      <w:r>
        <w:rPr>
          <w:rFonts w:hint="eastAsia" w:ascii="宋体" w:hAnsi="宋体" w:cs="宋体"/>
          <w:kern w:val="0"/>
          <w:sz w:val="21"/>
          <w:szCs w:val="21"/>
          <w:highlight w:val="none"/>
        </w:rPr>
        <w:t>3、本公司（企业）如为本采购项目提供整体设计、规范编制或者项目管理、监理、检测等服务的供应商，不得再参加该采购项目的其他采购活动。否则，由此所造成的损失、不良后果及法律责任，一律由我公司（企业）承担。</w:t>
      </w:r>
    </w:p>
    <w:p>
      <w:pPr>
        <w:spacing w:line="360" w:lineRule="auto"/>
        <w:ind w:firstLine="420" w:firstLineChars="200"/>
        <w:rPr>
          <w:rFonts w:hint="eastAsia" w:ascii="宋体" w:hAnsi="宋体" w:cs="宋体"/>
          <w:b/>
          <w:bCs/>
          <w:sz w:val="21"/>
          <w:szCs w:val="21"/>
          <w:highlight w:val="none"/>
        </w:rPr>
      </w:pPr>
      <w:r>
        <w:rPr>
          <w:rFonts w:hint="eastAsia" w:ascii="宋体" w:hAnsi="宋体" w:cs="宋体"/>
          <w:sz w:val="21"/>
          <w:szCs w:val="21"/>
          <w:highlight w:val="none"/>
        </w:rPr>
        <w:t>4、我方符合本项目的特定资格要求。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5、我方未被“信用中国”（www.creditchina.gov.cn)、中国政府采购网（www.ccgp.gov.cn）列入失信被执行人、重大税收违法案件当事人名单、政府采购严重违法失信行为记录名单。</w:t>
      </w:r>
    </w:p>
    <w:p>
      <w:pPr>
        <w:spacing w:line="360" w:lineRule="auto"/>
        <w:ind w:firstLine="420"/>
        <w:rPr>
          <w:rFonts w:hint="eastAsia" w:ascii="宋体" w:hAnsi="宋体" w:cs="宋体"/>
          <w:sz w:val="21"/>
          <w:szCs w:val="21"/>
          <w:highlight w:val="none"/>
        </w:rPr>
      </w:pPr>
      <w:r>
        <w:rPr>
          <w:rFonts w:hint="eastAsia" w:ascii="宋体" w:hAnsi="宋体" w:cs="宋体"/>
          <w:sz w:val="21"/>
          <w:szCs w:val="21"/>
          <w:highlight w:val="none"/>
        </w:rPr>
        <w:t>6、本投标文件自开标之日起</w:t>
      </w:r>
      <w:r>
        <w:rPr>
          <w:rFonts w:hint="eastAsia" w:ascii="宋体" w:hAnsi="宋体" w:cs="宋体"/>
          <w:sz w:val="21"/>
          <w:szCs w:val="21"/>
          <w:highlight w:val="none"/>
          <w:u w:val="single"/>
        </w:rPr>
        <w:t>90</w:t>
      </w:r>
      <w:r>
        <w:rPr>
          <w:rFonts w:hint="eastAsia" w:ascii="宋体" w:hAnsi="宋体" w:cs="宋体"/>
          <w:sz w:val="21"/>
          <w:szCs w:val="21"/>
          <w:highlight w:val="none"/>
        </w:rPr>
        <w:t>天内有效。</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7、我公司将按时配备满足招标文件要求的项目人员，否则采购人有权利解除合同。</w:t>
      </w:r>
    </w:p>
    <w:p>
      <w:pPr>
        <w:widowControl/>
        <w:snapToGrid w:val="0"/>
        <w:spacing w:line="360" w:lineRule="auto"/>
        <w:ind w:firstLine="424" w:firstLineChars="202"/>
        <w:rPr>
          <w:rFonts w:hint="eastAsia" w:ascii="宋体" w:hAnsi="宋体" w:cs="宋体"/>
          <w:kern w:val="0"/>
          <w:sz w:val="21"/>
          <w:szCs w:val="21"/>
          <w:highlight w:val="none"/>
        </w:rPr>
      </w:pPr>
      <w:r>
        <w:rPr>
          <w:rFonts w:hint="eastAsia" w:ascii="宋体" w:hAnsi="宋体" w:cs="宋体"/>
          <w:sz w:val="21"/>
          <w:szCs w:val="21"/>
          <w:highlight w:val="none"/>
        </w:rPr>
        <w:t>我公司已清楚招标文件的要求及有关文件规定。</w:t>
      </w:r>
      <w:r>
        <w:rPr>
          <w:rFonts w:hint="eastAsia" w:ascii="宋体" w:hAnsi="宋体" w:cs="宋体"/>
          <w:kern w:val="0"/>
          <w:sz w:val="21"/>
          <w:szCs w:val="21"/>
          <w:highlight w:val="none"/>
        </w:rPr>
        <w:t>本次招标采购活动中，如有违法、违规、弄虚作假行为，所造成的损失、不良后果及法律责任，一律由我公司（企业）承担。</w:t>
      </w:r>
    </w:p>
    <w:p>
      <w:pPr>
        <w:widowControl/>
        <w:spacing w:line="360" w:lineRule="auto"/>
        <w:ind w:firstLine="420"/>
        <w:jc w:val="left"/>
        <w:rPr>
          <w:rFonts w:hint="eastAsia" w:ascii="宋体" w:hAnsi="宋体" w:cs="宋体"/>
          <w:b/>
          <w:kern w:val="0"/>
          <w:sz w:val="21"/>
          <w:szCs w:val="21"/>
          <w:highlight w:val="none"/>
        </w:rPr>
      </w:pPr>
      <w:r>
        <w:rPr>
          <w:rFonts w:hint="eastAsia" w:ascii="宋体" w:hAnsi="宋体" w:cs="宋体"/>
          <w:b/>
          <w:kern w:val="0"/>
          <w:sz w:val="21"/>
          <w:szCs w:val="21"/>
          <w:highlight w:val="none"/>
        </w:rPr>
        <w:t>特此声明！</w:t>
      </w:r>
    </w:p>
    <w:p>
      <w:pPr>
        <w:spacing w:line="360" w:lineRule="auto"/>
        <w:ind w:firstLine="420" w:firstLineChars="200"/>
        <w:rPr>
          <w:rFonts w:hint="eastAsia" w:ascii="宋体" w:hAnsi="宋体" w:cs="宋体"/>
          <w:sz w:val="21"/>
          <w:szCs w:val="21"/>
          <w:highlight w:val="none"/>
        </w:rPr>
      </w:pPr>
    </w:p>
    <w:p>
      <w:pPr>
        <w:spacing w:line="400" w:lineRule="exact"/>
        <w:ind w:firstLine="420" w:firstLineChars="200"/>
        <w:rPr>
          <w:rFonts w:hint="eastAsia" w:ascii="宋体" w:hAnsi="宋体" w:cs="宋体"/>
          <w:sz w:val="21"/>
          <w:szCs w:val="21"/>
          <w:highlight w:val="none"/>
        </w:rPr>
      </w:pPr>
    </w:p>
    <w:p>
      <w:pPr>
        <w:wordWrap w:val="0"/>
        <w:snapToGrid w:val="0"/>
        <w:spacing w:line="360" w:lineRule="auto"/>
        <w:rPr>
          <w:rFonts w:hint="eastAsia" w:ascii="宋体" w:hAnsi="宋体"/>
          <w:snapToGrid w:val="0"/>
          <w:kern w:val="0"/>
          <w:sz w:val="21"/>
          <w:szCs w:val="21"/>
          <w:highlight w:val="none"/>
        </w:rPr>
      </w:pPr>
      <w:r>
        <w:rPr>
          <w:rFonts w:hint="eastAsia" w:ascii="宋体" w:hAnsi="宋体"/>
          <w:snapToGrid w:val="0"/>
          <w:kern w:val="0"/>
          <w:sz w:val="21"/>
          <w:szCs w:val="21"/>
          <w:highlight w:val="none"/>
        </w:rPr>
        <w:t xml:space="preserve">供应商名称（盖章）：                                   </w:t>
      </w:r>
    </w:p>
    <w:p>
      <w:pPr>
        <w:wordWrap w:val="0"/>
        <w:snapToGrid w:val="0"/>
        <w:spacing w:line="360" w:lineRule="auto"/>
        <w:rPr>
          <w:rFonts w:hint="eastAsia" w:ascii="宋体" w:hAnsi="宋体"/>
          <w:snapToGrid w:val="0"/>
          <w:kern w:val="0"/>
          <w:sz w:val="21"/>
          <w:szCs w:val="21"/>
          <w:highlight w:val="none"/>
        </w:rPr>
      </w:pPr>
    </w:p>
    <w:p>
      <w:pPr>
        <w:wordWrap w:val="0"/>
        <w:snapToGrid w:val="0"/>
        <w:spacing w:line="360" w:lineRule="auto"/>
        <w:rPr>
          <w:rFonts w:hint="eastAsia" w:ascii="宋体" w:hAnsi="宋体"/>
          <w:snapToGrid w:val="0"/>
          <w:kern w:val="0"/>
          <w:sz w:val="21"/>
          <w:szCs w:val="21"/>
          <w:highlight w:val="none"/>
        </w:rPr>
      </w:pPr>
      <w:r>
        <w:rPr>
          <w:rFonts w:hint="eastAsia" w:ascii="宋体" w:hAnsi="宋体"/>
          <w:snapToGrid w:val="0"/>
          <w:kern w:val="0"/>
          <w:sz w:val="21"/>
          <w:szCs w:val="21"/>
          <w:highlight w:val="none"/>
        </w:rPr>
        <w:t xml:space="preserve">法定代表人或其委托代理人（签字或盖章）：               </w:t>
      </w:r>
    </w:p>
    <w:p>
      <w:pPr>
        <w:wordWrap w:val="0"/>
        <w:snapToGrid w:val="0"/>
        <w:spacing w:line="360" w:lineRule="auto"/>
        <w:rPr>
          <w:rFonts w:hint="eastAsia" w:ascii="宋体" w:hAnsi="宋体"/>
          <w:snapToGrid w:val="0"/>
          <w:kern w:val="0"/>
          <w:sz w:val="21"/>
          <w:szCs w:val="21"/>
          <w:highlight w:val="none"/>
        </w:rPr>
      </w:pPr>
    </w:p>
    <w:p>
      <w:pPr>
        <w:wordWrap w:val="0"/>
        <w:snapToGrid w:val="0"/>
        <w:spacing w:line="360" w:lineRule="auto"/>
        <w:rPr>
          <w:rFonts w:hint="eastAsia" w:ascii="宋体" w:hAnsi="宋体"/>
          <w:snapToGrid w:val="0"/>
          <w:kern w:val="0"/>
          <w:sz w:val="21"/>
          <w:szCs w:val="21"/>
          <w:highlight w:val="none"/>
        </w:rPr>
      </w:pPr>
      <w:r>
        <w:rPr>
          <w:rFonts w:hint="eastAsia" w:ascii="宋体" w:hAnsi="宋体"/>
          <w:snapToGrid w:val="0"/>
          <w:kern w:val="0"/>
          <w:sz w:val="21"/>
          <w:szCs w:val="21"/>
          <w:highlight w:val="none"/>
        </w:rPr>
        <w:t>日期：</w:t>
      </w:r>
    </w:p>
    <w:p>
      <w:pPr>
        <w:jc w:val="left"/>
        <w:rPr>
          <w:rFonts w:hint="eastAsia"/>
          <w:color w:val="auto"/>
          <w:sz w:val="32"/>
          <w:szCs w:val="32"/>
          <w:highlight w:val="none"/>
        </w:rPr>
      </w:pPr>
    </w:p>
    <w:p>
      <w:pPr>
        <w:spacing w:line="360" w:lineRule="auto"/>
        <w:rPr>
          <w:rFonts w:hint="eastAsia" w:ascii="宋体" w:hAnsi="宋体"/>
          <w:color w:val="auto"/>
          <w:sz w:val="24"/>
          <w:szCs w:val="24"/>
          <w:highlight w:val="none"/>
        </w:rPr>
      </w:pPr>
    </w:p>
    <w:p>
      <w:pPr>
        <w:jc w:val="center"/>
        <w:rPr>
          <w:b/>
          <w:sz w:val="28"/>
          <w:szCs w:val="28"/>
          <w:highlight w:val="none"/>
        </w:rPr>
      </w:pPr>
      <w:r>
        <w:rPr>
          <w:rFonts w:hint="eastAsia" w:ascii="宋体" w:hAnsi="宋体"/>
          <w:color w:val="auto"/>
          <w:sz w:val="24"/>
          <w:szCs w:val="24"/>
          <w:highlight w:val="none"/>
        </w:rPr>
        <w:br w:type="page"/>
      </w:r>
      <w:r>
        <w:rPr>
          <w:rFonts w:hint="eastAsia"/>
          <w:b/>
          <w:sz w:val="28"/>
          <w:szCs w:val="28"/>
          <w:highlight w:val="none"/>
        </w:rPr>
        <w:t>（三）中小企业声明函</w:t>
      </w:r>
    </w:p>
    <w:p>
      <w:pPr>
        <w:spacing w:line="316" w:lineRule="auto"/>
        <w:rPr>
          <w:sz w:val="21"/>
          <w:szCs w:val="21"/>
          <w:highlight w:val="none"/>
        </w:rPr>
      </w:pP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right="0" w:firstLine="402" w:firstLineChars="200"/>
        <w:textAlignment w:val="auto"/>
        <w:rPr>
          <w:rFonts w:hint="eastAsia" w:asciiTheme="minorEastAsia" w:hAnsiTheme="minorEastAsia" w:eastAsiaTheme="minorEastAsia" w:cstheme="minorEastAsia"/>
          <w:i w:val="0"/>
          <w:iCs/>
          <w:color w:val="auto"/>
          <w:sz w:val="21"/>
          <w:szCs w:val="21"/>
          <w:highlight w:val="none"/>
        </w:rPr>
      </w:pPr>
      <w:r>
        <w:rPr>
          <w:rFonts w:hint="eastAsia" w:asciiTheme="minorEastAsia" w:hAnsiTheme="minorEastAsia" w:eastAsiaTheme="minorEastAsia" w:cstheme="minorEastAsia"/>
          <w:i w:val="0"/>
          <w:iCs/>
          <w:color w:val="auto"/>
          <w:w w:val="96"/>
          <w:kern w:val="2"/>
          <w:sz w:val="21"/>
          <w:szCs w:val="21"/>
          <w:highlight w:val="none"/>
          <w:u w:val="single"/>
          <w:lang w:val="en-US" w:eastAsia="zh-CN" w:bidi="ar-SA"/>
        </w:rPr>
        <w:t xml:space="preserve">本公司（或联合体）名称 </w:t>
      </w:r>
      <w:r>
        <w:rPr>
          <w:rFonts w:hint="eastAsia" w:asciiTheme="minorEastAsia" w:hAnsiTheme="minorEastAsia" w:eastAsiaTheme="minorEastAsia" w:cstheme="minorEastAsia"/>
          <w:i w:val="0"/>
          <w:iCs/>
          <w:color w:val="auto"/>
          <w:sz w:val="21"/>
          <w:szCs w:val="21"/>
          <w:highlight w:val="none"/>
        </w:rPr>
        <w:t>郑重声明，根据《政府采购促进中小企业发展管理办法》（财库﹝2020﹞46号）的规定，</w:t>
      </w:r>
      <w:r>
        <w:rPr>
          <w:rFonts w:hint="eastAsia" w:asciiTheme="minorEastAsia" w:hAnsiTheme="minorEastAsia" w:eastAsiaTheme="minorEastAsia" w:cstheme="minorEastAsia"/>
          <w:i w:val="0"/>
          <w:iCs/>
          <w:color w:val="auto"/>
          <w:w w:val="96"/>
          <w:kern w:val="2"/>
          <w:sz w:val="21"/>
          <w:szCs w:val="21"/>
          <w:highlight w:val="none"/>
          <w:u w:val="single"/>
          <w:lang w:val="en-US" w:eastAsia="zh-CN" w:bidi="ar-SA"/>
        </w:rPr>
        <w:t>本公司（或联合体）</w:t>
      </w:r>
      <w:r>
        <w:rPr>
          <w:rFonts w:hint="eastAsia" w:asciiTheme="minorEastAsia" w:hAnsiTheme="minorEastAsia" w:eastAsiaTheme="minorEastAsia" w:cstheme="minorEastAsia"/>
          <w:i w:val="0"/>
          <w:iCs/>
          <w:color w:val="auto"/>
          <w:sz w:val="21"/>
          <w:szCs w:val="21"/>
          <w:highlight w:val="none"/>
        </w:rPr>
        <w:t>参加</w:t>
      </w:r>
      <w:r>
        <w:rPr>
          <w:rFonts w:hint="eastAsia" w:asciiTheme="minorEastAsia" w:hAnsiTheme="minorEastAsia" w:eastAsiaTheme="minorEastAsia" w:cstheme="minorEastAsia"/>
          <w:i w:val="0"/>
          <w:iCs/>
          <w:color w:val="auto"/>
          <w:w w:val="96"/>
          <w:kern w:val="2"/>
          <w:sz w:val="21"/>
          <w:szCs w:val="21"/>
          <w:highlight w:val="none"/>
          <w:u w:val="single"/>
          <w:lang w:val="en-US" w:eastAsia="zh-CN" w:bidi="ar-SA"/>
        </w:rPr>
        <w:t>（单位名称）</w:t>
      </w:r>
      <w:r>
        <w:rPr>
          <w:rFonts w:hint="eastAsia" w:asciiTheme="minorEastAsia" w:hAnsiTheme="minorEastAsia" w:eastAsiaTheme="minorEastAsia" w:cstheme="minorEastAsia"/>
          <w:i w:val="0"/>
          <w:iCs/>
          <w:color w:val="auto"/>
          <w:sz w:val="21"/>
          <w:szCs w:val="21"/>
          <w:highlight w:val="none"/>
        </w:rPr>
        <w:t>的</w:t>
      </w:r>
      <w:r>
        <w:rPr>
          <w:rFonts w:hint="eastAsia" w:asciiTheme="minorEastAsia" w:hAnsiTheme="minorEastAsia" w:eastAsiaTheme="minorEastAsia" w:cstheme="minorEastAsia"/>
          <w:i w:val="0"/>
          <w:iCs/>
          <w:color w:val="auto"/>
          <w:w w:val="96"/>
          <w:kern w:val="2"/>
          <w:sz w:val="21"/>
          <w:szCs w:val="21"/>
          <w:highlight w:val="none"/>
          <w:u w:val="single"/>
          <w:lang w:val="en-US" w:eastAsia="zh-CN" w:bidi="ar-SA"/>
        </w:rPr>
        <w:t>（项目名称）</w:t>
      </w:r>
      <w:r>
        <w:rPr>
          <w:rFonts w:hint="eastAsia" w:asciiTheme="minorEastAsia" w:hAnsiTheme="minorEastAsia" w:eastAsiaTheme="minorEastAsia" w:cstheme="minorEastAsia"/>
          <w:i w:val="0"/>
          <w:iCs/>
          <w:color w:val="auto"/>
          <w:sz w:val="21"/>
          <w:szCs w:val="21"/>
          <w:highlight w:val="none"/>
        </w:rPr>
        <w:t>采购活动，</w:t>
      </w:r>
      <w:r>
        <w:rPr>
          <w:rFonts w:hint="eastAsia" w:asciiTheme="minorEastAsia" w:hAnsiTheme="minorEastAsia" w:eastAsiaTheme="minorEastAsia" w:cstheme="minorEastAsia"/>
          <w:b/>
          <w:bCs/>
          <w:i w:val="0"/>
          <w:iCs/>
          <w:color w:val="auto"/>
          <w:sz w:val="21"/>
          <w:szCs w:val="21"/>
          <w:highlight w:val="none"/>
          <w:lang w:eastAsia="zh-CN"/>
        </w:rPr>
        <w:t>工程的施工单位全部为符合政策要求的中小企业</w:t>
      </w:r>
      <w:r>
        <w:rPr>
          <w:rFonts w:hint="eastAsia" w:asciiTheme="minorEastAsia" w:hAnsiTheme="minorEastAsia" w:eastAsiaTheme="minorEastAsia" w:cstheme="minorEastAsia"/>
          <w:b/>
          <w:bCs/>
          <w:i w:val="0"/>
          <w:iCs/>
          <w:color w:val="auto"/>
          <w:sz w:val="21"/>
          <w:szCs w:val="21"/>
          <w:highlight w:val="none"/>
        </w:rPr>
        <w:t>。</w:t>
      </w:r>
      <w:r>
        <w:rPr>
          <w:rFonts w:hint="eastAsia" w:asciiTheme="minorEastAsia" w:hAnsiTheme="minorEastAsia" w:eastAsiaTheme="minorEastAsia" w:cstheme="minorEastAsia"/>
          <w:i w:val="0"/>
          <w:iCs/>
          <w:color w:val="auto"/>
          <w:sz w:val="21"/>
          <w:szCs w:val="21"/>
          <w:highlight w:val="none"/>
        </w:rPr>
        <w:t>相关企业</w:t>
      </w:r>
      <w:r>
        <w:rPr>
          <w:rFonts w:hint="eastAsia" w:asciiTheme="minorEastAsia" w:hAnsiTheme="minorEastAsia" w:eastAsiaTheme="minorEastAsia" w:cstheme="minorEastAsia"/>
          <w:i w:val="0"/>
          <w:iCs/>
          <w:color w:val="auto"/>
          <w:w w:val="95"/>
          <w:sz w:val="21"/>
          <w:szCs w:val="21"/>
          <w:highlight w:val="none"/>
        </w:rPr>
        <w:t>（含联合</w:t>
      </w:r>
      <w:r>
        <w:rPr>
          <w:rFonts w:hint="eastAsia" w:asciiTheme="minorEastAsia" w:hAnsiTheme="minorEastAsia" w:eastAsiaTheme="minorEastAsia" w:cstheme="minorEastAsia"/>
          <w:i w:val="0"/>
          <w:iCs/>
          <w:color w:val="auto"/>
          <w:sz w:val="21"/>
          <w:szCs w:val="21"/>
          <w:highlight w:val="none"/>
        </w:rPr>
        <w:t>体中的中小企业、签订分包意向协议的中小企业）的具体情况如下：</w:t>
      </w:r>
    </w:p>
    <w:p>
      <w:pPr>
        <w:pStyle w:val="62"/>
        <w:keepNext w:val="0"/>
        <w:keepLines w:val="0"/>
        <w:pageBreakBefore w:val="0"/>
        <w:widowControl w:val="0"/>
        <w:tabs>
          <w:tab w:val="left" w:pos="1243"/>
        </w:tabs>
        <w:kinsoku/>
        <w:wordWrap/>
        <w:overflowPunct/>
        <w:topLinePunct w:val="0"/>
        <w:autoSpaceDE w:val="0"/>
        <w:autoSpaceDN w:val="0"/>
        <w:bidi w:val="0"/>
        <w:adjustRightInd w:val="0"/>
        <w:snapToGrid w:val="0"/>
        <w:spacing w:line="480" w:lineRule="exact"/>
        <w:ind w:left="19" w:right="0" w:firstLine="480" w:firstLineChars="239"/>
        <w:textAlignment w:val="auto"/>
        <w:rPr>
          <w:rFonts w:hint="eastAsia" w:asciiTheme="minorEastAsia" w:hAnsiTheme="minorEastAsia" w:eastAsiaTheme="minorEastAsia" w:cstheme="minorEastAsia"/>
          <w:i w:val="0"/>
          <w:iCs/>
          <w:color w:val="auto"/>
          <w:sz w:val="21"/>
          <w:szCs w:val="21"/>
          <w:highlight w:val="none"/>
        </w:rPr>
      </w:pPr>
      <w:r>
        <w:rPr>
          <w:rFonts w:hint="eastAsia" w:asciiTheme="minorEastAsia" w:hAnsiTheme="minorEastAsia" w:eastAsiaTheme="minorEastAsia" w:cstheme="minorEastAsia"/>
          <w:i w:val="0"/>
          <w:iCs/>
          <w:color w:val="auto"/>
          <w:w w:val="96"/>
          <w:sz w:val="21"/>
          <w:szCs w:val="21"/>
          <w:highlight w:val="none"/>
        </w:rPr>
        <w:t>1.</w:t>
      </w:r>
      <w:r>
        <w:rPr>
          <w:rFonts w:hint="eastAsia" w:asciiTheme="minorEastAsia" w:hAnsiTheme="minorEastAsia" w:eastAsiaTheme="minorEastAsia" w:cstheme="minorEastAsia"/>
          <w:i w:val="0"/>
          <w:iCs/>
          <w:color w:val="auto"/>
          <w:w w:val="96"/>
          <w:sz w:val="21"/>
          <w:szCs w:val="21"/>
          <w:highlight w:val="none"/>
          <w:u w:val="single"/>
        </w:rPr>
        <w:t>（标的名称）</w:t>
      </w:r>
      <w:r>
        <w:rPr>
          <w:rFonts w:hint="eastAsia" w:asciiTheme="minorEastAsia" w:hAnsiTheme="minorEastAsia" w:eastAsiaTheme="minorEastAsia" w:cstheme="minorEastAsia"/>
          <w:i w:val="0"/>
          <w:iCs/>
          <w:color w:val="auto"/>
          <w:w w:val="99"/>
          <w:sz w:val="21"/>
          <w:szCs w:val="21"/>
          <w:highlight w:val="none"/>
        </w:rPr>
        <w:t>，属于</w:t>
      </w:r>
      <w:r>
        <w:rPr>
          <w:rFonts w:hint="eastAsia" w:asciiTheme="minorEastAsia" w:hAnsiTheme="minorEastAsia" w:eastAsiaTheme="minorEastAsia" w:cstheme="minorEastAsia"/>
          <w:b/>
          <w:bCs/>
          <w:i w:val="0"/>
          <w:iCs/>
          <w:color w:val="auto"/>
          <w:w w:val="96"/>
          <w:sz w:val="21"/>
          <w:szCs w:val="21"/>
          <w:highlight w:val="none"/>
          <w:u w:val="single"/>
          <w:lang w:eastAsia="zh-CN"/>
        </w:rPr>
        <w:t>租赁和商务服务业</w:t>
      </w:r>
      <w:r>
        <w:rPr>
          <w:rFonts w:hint="eastAsia" w:asciiTheme="minorEastAsia" w:hAnsiTheme="minorEastAsia" w:eastAsiaTheme="minorEastAsia" w:cstheme="minorEastAsia"/>
          <w:i w:val="0"/>
          <w:iCs/>
          <w:color w:val="auto"/>
          <w:w w:val="99"/>
          <w:sz w:val="21"/>
          <w:szCs w:val="21"/>
          <w:highlight w:val="none"/>
        </w:rPr>
        <w:t>；承建（承接）企业为</w:t>
      </w:r>
      <w:r>
        <w:rPr>
          <w:rFonts w:hint="eastAsia" w:asciiTheme="minorEastAsia" w:hAnsiTheme="minorEastAsia" w:eastAsiaTheme="minorEastAsia" w:cstheme="minorEastAsia"/>
          <w:i w:val="0"/>
          <w:iCs/>
          <w:color w:val="auto"/>
          <w:w w:val="96"/>
          <w:sz w:val="21"/>
          <w:szCs w:val="21"/>
          <w:highlight w:val="none"/>
          <w:u w:val="single"/>
        </w:rPr>
        <w:t>（企业名称）</w:t>
      </w:r>
      <w:r>
        <w:rPr>
          <w:rFonts w:hint="eastAsia" w:asciiTheme="minorEastAsia" w:hAnsiTheme="minorEastAsia" w:eastAsiaTheme="minorEastAsia" w:cstheme="minorEastAsia"/>
          <w:i w:val="0"/>
          <w:iCs/>
          <w:color w:val="auto"/>
          <w:w w:val="99"/>
          <w:sz w:val="21"/>
          <w:szCs w:val="21"/>
          <w:highlight w:val="none"/>
        </w:rPr>
        <w:t>，从业人员</w:t>
      </w:r>
      <w:r>
        <w:rPr>
          <w:rFonts w:hint="eastAsia" w:asciiTheme="minorEastAsia" w:hAnsiTheme="minorEastAsia" w:eastAsiaTheme="minorEastAsia" w:cstheme="minorEastAsia"/>
          <w:i w:val="0"/>
          <w:iCs/>
          <w:color w:val="auto"/>
          <w:w w:val="99"/>
          <w:sz w:val="21"/>
          <w:szCs w:val="21"/>
          <w:highlight w:val="none"/>
          <w:u w:val="single"/>
        </w:rPr>
        <w:t xml:space="preserve"> </w:t>
      </w:r>
      <w:r>
        <w:rPr>
          <w:rFonts w:hint="eastAsia" w:asciiTheme="minorEastAsia" w:hAnsiTheme="minorEastAsia" w:eastAsiaTheme="minorEastAsia" w:cstheme="minorEastAsia"/>
          <w:i w:val="0"/>
          <w:iCs/>
          <w:color w:val="auto"/>
          <w:sz w:val="21"/>
          <w:szCs w:val="21"/>
          <w:highlight w:val="none"/>
          <w:u w:val="single"/>
        </w:rPr>
        <w:tab/>
      </w:r>
      <w:r>
        <w:rPr>
          <w:rFonts w:hint="eastAsia" w:asciiTheme="minorEastAsia" w:hAnsiTheme="minorEastAsia" w:eastAsiaTheme="minorEastAsia" w:cstheme="minorEastAsia"/>
          <w:i w:val="0"/>
          <w:iCs/>
          <w:color w:val="auto"/>
          <w:sz w:val="21"/>
          <w:szCs w:val="21"/>
          <w:highlight w:val="none"/>
          <w:u w:val="single"/>
        </w:rPr>
        <w:t xml:space="preserve"> </w:t>
      </w:r>
      <w:r>
        <w:rPr>
          <w:rFonts w:hint="eastAsia" w:asciiTheme="minorEastAsia" w:hAnsiTheme="minorEastAsia" w:eastAsiaTheme="minorEastAsia" w:cstheme="minorEastAsia"/>
          <w:i w:val="0"/>
          <w:iCs/>
          <w:color w:val="auto"/>
          <w:w w:val="99"/>
          <w:sz w:val="21"/>
          <w:szCs w:val="21"/>
          <w:highlight w:val="none"/>
        </w:rPr>
        <w:t>人，营业</w:t>
      </w:r>
      <w:r>
        <w:rPr>
          <w:rFonts w:hint="eastAsia" w:asciiTheme="minorEastAsia" w:hAnsiTheme="minorEastAsia" w:eastAsiaTheme="minorEastAsia" w:cstheme="minorEastAsia"/>
          <w:i w:val="0"/>
          <w:iCs/>
          <w:color w:val="auto"/>
          <w:sz w:val="21"/>
          <w:szCs w:val="21"/>
          <w:highlight w:val="none"/>
        </w:rPr>
        <w:t>收入为</w:t>
      </w:r>
      <w:r>
        <w:rPr>
          <w:rFonts w:hint="eastAsia" w:asciiTheme="minorEastAsia" w:hAnsiTheme="minorEastAsia" w:eastAsiaTheme="minorEastAsia" w:cstheme="minorEastAsia"/>
          <w:i w:val="0"/>
          <w:iCs/>
          <w:color w:val="auto"/>
          <w:sz w:val="21"/>
          <w:szCs w:val="21"/>
          <w:highlight w:val="none"/>
          <w:u w:val="single"/>
        </w:rPr>
        <w:t xml:space="preserve"> </w:t>
      </w:r>
      <w:r>
        <w:rPr>
          <w:rFonts w:hint="eastAsia" w:asciiTheme="minorEastAsia" w:hAnsiTheme="minorEastAsia" w:eastAsiaTheme="minorEastAsia" w:cstheme="minorEastAsia"/>
          <w:i w:val="0"/>
          <w:iCs/>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color w:val="auto"/>
          <w:sz w:val="21"/>
          <w:szCs w:val="21"/>
          <w:highlight w:val="none"/>
          <w:u w:val="single"/>
        </w:rPr>
        <w:tab/>
      </w:r>
      <w:r>
        <w:rPr>
          <w:rFonts w:hint="eastAsia" w:asciiTheme="minorEastAsia" w:hAnsiTheme="minorEastAsia" w:eastAsiaTheme="minorEastAsia" w:cstheme="minorEastAsia"/>
          <w:i w:val="0"/>
          <w:iCs/>
          <w:color w:val="auto"/>
          <w:sz w:val="21"/>
          <w:szCs w:val="21"/>
          <w:highlight w:val="none"/>
          <w:u w:val="single"/>
        </w:rPr>
        <w:t xml:space="preserve"> </w:t>
      </w:r>
      <w:r>
        <w:rPr>
          <w:rFonts w:hint="eastAsia" w:asciiTheme="minorEastAsia" w:hAnsiTheme="minorEastAsia" w:eastAsiaTheme="minorEastAsia" w:cstheme="minorEastAsia"/>
          <w:i w:val="0"/>
          <w:iCs/>
          <w:color w:val="auto"/>
          <w:sz w:val="21"/>
          <w:szCs w:val="21"/>
          <w:highlight w:val="none"/>
        </w:rPr>
        <w:t>万元，资产总额为</w:t>
      </w:r>
      <w:r>
        <w:rPr>
          <w:rFonts w:hint="eastAsia" w:asciiTheme="minorEastAsia" w:hAnsiTheme="minorEastAsia" w:eastAsiaTheme="minorEastAsia" w:cstheme="minorEastAsia"/>
          <w:i w:val="0"/>
          <w:iCs/>
          <w:color w:val="auto"/>
          <w:sz w:val="21"/>
          <w:szCs w:val="21"/>
          <w:highlight w:val="none"/>
          <w:u w:val="single"/>
        </w:rPr>
        <w:t xml:space="preserve"> </w:t>
      </w:r>
      <w:r>
        <w:rPr>
          <w:rFonts w:hint="eastAsia" w:asciiTheme="minorEastAsia" w:hAnsiTheme="minorEastAsia" w:eastAsiaTheme="minorEastAsia" w:cstheme="minorEastAsia"/>
          <w:i w:val="0"/>
          <w:iCs/>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color w:val="auto"/>
          <w:sz w:val="21"/>
          <w:szCs w:val="21"/>
          <w:highlight w:val="none"/>
          <w:u w:val="single"/>
        </w:rPr>
        <w:tab/>
      </w:r>
      <w:r>
        <w:rPr>
          <w:rFonts w:hint="eastAsia" w:asciiTheme="minorEastAsia" w:hAnsiTheme="minorEastAsia" w:eastAsiaTheme="minorEastAsia" w:cstheme="minorEastAsia"/>
          <w:i w:val="0"/>
          <w:iCs/>
          <w:color w:val="auto"/>
          <w:sz w:val="21"/>
          <w:szCs w:val="21"/>
          <w:highlight w:val="none"/>
        </w:rPr>
        <w:t>万元</w:t>
      </w:r>
      <w:r>
        <w:rPr>
          <w:rFonts w:hint="eastAsia" w:asciiTheme="minorEastAsia" w:hAnsiTheme="minorEastAsia" w:eastAsiaTheme="minorEastAsia" w:cstheme="minorEastAsia"/>
          <w:i w:val="0"/>
          <w:iCs/>
          <w:color w:val="auto"/>
          <w:sz w:val="21"/>
          <w:szCs w:val="21"/>
          <w:highlight w:val="none"/>
          <w:vertAlign w:val="superscript"/>
        </w:rPr>
        <w:fldChar w:fldCharType="begin"/>
      </w:r>
      <w:r>
        <w:rPr>
          <w:rFonts w:hint="eastAsia" w:asciiTheme="minorEastAsia" w:hAnsiTheme="minorEastAsia" w:eastAsiaTheme="minorEastAsia" w:cstheme="minorEastAsia"/>
          <w:i w:val="0"/>
          <w:iCs/>
          <w:color w:val="auto"/>
          <w:sz w:val="21"/>
          <w:szCs w:val="21"/>
          <w:highlight w:val="none"/>
          <w:vertAlign w:val="superscript"/>
        </w:rPr>
        <w:instrText xml:space="preserve"> HYPERLINK \l "_bookmark1" </w:instrText>
      </w:r>
      <w:r>
        <w:rPr>
          <w:rFonts w:hint="eastAsia" w:asciiTheme="minorEastAsia" w:hAnsiTheme="minorEastAsia" w:eastAsiaTheme="minorEastAsia" w:cstheme="minorEastAsia"/>
          <w:i w:val="0"/>
          <w:iCs/>
          <w:color w:val="auto"/>
          <w:sz w:val="21"/>
          <w:szCs w:val="21"/>
          <w:highlight w:val="none"/>
          <w:vertAlign w:val="superscript"/>
        </w:rPr>
        <w:fldChar w:fldCharType="separate"/>
      </w:r>
      <w:r>
        <w:rPr>
          <w:rFonts w:hint="eastAsia" w:asciiTheme="minorEastAsia" w:hAnsiTheme="minorEastAsia" w:eastAsiaTheme="minorEastAsia" w:cstheme="minorEastAsia"/>
          <w:i w:val="0"/>
          <w:iCs/>
          <w:color w:val="auto"/>
          <w:sz w:val="21"/>
          <w:szCs w:val="21"/>
          <w:highlight w:val="none"/>
          <w:vertAlign w:val="superscript"/>
        </w:rPr>
        <w:t>1</w:t>
      </w:r>
      <w:r>
        <w:rPr>
          <w:rFonts w:hint="eastAsia" w:asciiTheme="minorEastAsia" w:hAnsiTheme="minorEastAsia" w:eastAsiaTheme="minorEastAsia" w:cstheme="minorEastAsia"/>
          <w:i w:val="0"/>
          <w:iCs/>
          <w:color w:val="auto"/>
          <w:sz w:val="21"/>
          <w:szCs w:val="21"/>
          <w:highlight w:val="none"/>
          <w:vertAlign w:val="superscript"/>
        </w:rPr>
        <w:fldChar w:fldCharType="end"/>
      </w:r>
      <w:r>
        <w:rPr>
          <w:rFonts w:hint="eastAsia" w:asciiTheme="minorEastAsia" w:hAnsiTheme="minorEastAsia" w:eastAsiaTheme="minorEastAsia" w:cstheme="minorEastAsia"/>
          <w:i w:val="0"/>
          <w:iCs/>
          <w:color w:val="auto"/>
          <w:sz w:val="21"/>
          <w:szCs w:val="21"/>
          <w:highlight w:val="none"/>
        </w:rPr>
        <w:t>，属于</w:t>
      </w:r>
      <w:r>
        <w:rPr>
          <w:rFonts w:hint="eastAsia" w:asciiTheme="minorEastAsia" w:hAnsiTheme="minorEastAsia" w:eastAsiaTheme="minorEastAsia" w:cstheme="minorEastAsia"/>
          <w:i w:val="0"/>
          <w:iCs/>
          <w:color w:val="auto"/>
          <w:w w:val="96"/>
          <w:sz w:val="21"/>
          <w:szCs w:val="21"/>
          <w:highlight w:val="none"/>
          <w:u w:val="single"/>
        </w:rPr>
        <w:t>（中型企业、小型企业、微型企业）</w:t>
      </w:r>
      <w:r>
        <w:rPr>
          <w:rFonts w:hint="eastAsia" w:asciiTheme="minorEastAsia" w:hAnsiTheme="minorEastAsia" w:eastAsiaTheme="minorEastAsia" w:cstheme="minorEastAsia"/>
          <w:i w:val="0"/>
          <w:iCs/>
          <w:color w:val="auto"/>
          <w:w w:val="99"/>
          <w:sz w:val="21"/>
          <w:szCs w:val="21"/>
          <w:highlight w:val="none"/>
        </w:rPr>
        <w:t>；</w:t>
      </w:r>
    </w:p>
    <w:p>
      <w:pPr>
        <w:pStyle w:val="62"/>
        <w:keepNext w:val="0"/>
        <w:keepLines w:val="0"/>
        <w:pageBreakBefore w:val="0"/>
        <w:widowControl w:val="0"/>
        <w:tabs>
          <w:tab w:val="left" w:pos="1243"/>
          <w:tab w:val="left" w:pos="1806"/>
          <w:tab w:val="left" w:pos="5005"/>
          <w:tab w:val="left" w:pos="7213"/>
        </w:tabs>
        <w:kinsoku/>
        <w:wordWrap/>
        <w:overflowPunct/>
        <w:topLinePunct w:val="0"/>
        <w:autoSpaceDE w:val="0"/>
        <w:autoSpaceDN w:val="0"/>
        <w:bidi w:val="0"/>
        <w:adjustRightInd w:val="0"/>
        <w:snapToGrid w:val="0"/>
        <w:spacing w:line="480" w:lineRule="exact"/>
        <w:ind w:left="15" w:right="0" w:firstLine="478" w:firstLineChars="238"/>
        <w:jc w:val="left"/>
        <w:textAlignment w:val="auto"/>
        <w:rPr>
          <w:rFonts w:hint="eastAsia" w:asciiTheme="minorEastAsia" w:hAnsiTheme="minorEastAsia" w:eastAsiaTheme="minorEastAsia" w:cstheme="minorEastAsia"/>
          <w:i w:val="0"/>
          <w:iCs/>
          <w:color w:val="auto"/>
          <w:sz w:val="21"/>
          <w:szCs w:val="21"/>
          <w:highlight w:val="none"/>
        </w:rPr>
      </w:pPr>
      <w:r>
        <w:rPr>
          <w:rFonts w:hint="eastAsia" w:asciiTheme="minorEastAsia" w:hAnsiTheme="minorEastAsia" w:eastAsiaTheme="minorEastAsia" w:cstheme="minorEastAsia"/>
          <w:i w:val="0"/>
          <w:iCs/>
          <w:color w:val="auto"/>
          <w:w w:val="96"/>
          <w:sz w:val="21"/>
          <w:szCs w:val="21"/>
          <w:highlight w:val="none"/>
        </w:rPr>
        <w:t>2.</w:t>
      </w:r>
      <w:r>
        <w:rPr>
          <w:rFonts w:hint="eastAsia" w:asciiTheme="minorEastAsia" w:hAnsiTheme="minorEastAsia" w:eastAsiaTheme="minorEastAsia" w:cstheme="minorEastAsia"/>
          <w:i w:val="0"/>
          <w:iCs/>
          <w:color w:val="auto"/>
          <w:w w:val="96"/>
          <w:sz w:val="21"/>
          <w:szCs w:val="21"/>
          <w:highlight w:val="none"/>
          <w:u w:val="single"/>
        </w:rPr>
        <w:t>（标的名称）</w:t>
      </w:r>
      <w:r>
        <w:rPr>
          <w:rFonts w:hint="eastAsia" w:asciiTheme="minorEastAsia" w:hAnsiTheme="minorEastAsia" w:eastAsiaTheme="minorEastAsia" w:cstheme="minorEastAsia"/>
          <w:i w:val="0"/>
          <w:iCs/>
          <w:color w:val="auto"/>
          <w:w w:val="99"/>
          <w:sz w:val="21"/>
          <w:szCs w:val="21"/>
          <w:highlight w:val="none"/>
        </w:rPr>
        <w:t>，属于</w:t>
      </w:r>
      <w:r>
        <w:rPr>
          <w:rFonts w:hint="eastAsia" w:asciiTheme="minorEastAsia" w:hAnsiTheme="minorEastAsia" w:eastAsiaTheme="minorEastAsia" w:cstheme="minorEastAsia"/>
          <w:i w:val="0"/>
          <w:iCs/>
          <w:color w:val="auto"/>
          <w:w w:val="96"/>
          <w:sz w:val="21"/>
          <w:szCs w:val="21"/>
          <w:highlight w:val="none"/>
        </w:rPr>
        <w:t>（</w:t>
      </w:r>
      <w:r>
        <w:rPr>
          <w:rFonts w:hint="eastAsia" w:asciiTheme="minorEastAsia" w:hAnsiTheme="minorEastAsia" w:eastAsiaTheme="minorEastAsia" w:cstheme="minorEastAsia"/>
          <w:i w:val="0"/>
          <w:iCs/>
          <w:color w:val="auto"/>
          <w:w w:val="96"/>
          <w:sz w:val="21"/>
          <w:szCs w:val="21"/>
          <w:highlight w:val="none"/>
          <w:u w:val="single"/>
        </w:rPr>
        <w:t>采购文件中明确的所属行业）</w:t>
      </w:r>
      <w:r>
        <w:rPr>
          <w:rFonts w:hint="eastAsia" w:asciiTheme="minorEastAsia" w:hAnsiTheme="minorEastAsia" w:eastAsiaTheme="minorEastAsia" w:cstheme="minorEastAsia"/>
          <w:i w:val="0"/>
          <w:iCs/>
          <w:color w:val="auto"/>
          <w:w w:val="99"/>
          <w:sz w:val="21"/>
          <w:szCs w:val="21"/>
          <w:highlight w:val="none"/>
        </w:rPr>
        <w:t>；承建（承接）企业为</w:t>
      </w:r>
      <w:r>
        <w:rPr>
          <w:rFonts w:hint="eastAsia" w:asciiTheme="minorEastAsia" w:hAnsiTheme="minorEastAsia" w:eastAsiaTheme="minorEastAsia" w:cstheme="minorEastAsia"/>
          <w:i w:val="0"/>
          <w:iCs/>
          <w:color w:val="auto"/>
          <w:w w:val="96"/>
          <w:sz w:val="21"/>
          <w:szCs w:val="21"/>
          <w:highlight w:val="none"/>
          <w:u w:val="single"/>
        </w:rPr>
        <w:t>（企业名称）</w:t>
      </w:r>
      <w:r>
        <w:rPr>
          <w:rFonts w:hint="eastAsia" w:asciiTheme="minorEastAsia" w:hAnsiTheme="minorEastAsia" w:eastAsiaTheme="minorEastAsia" w:cstheme="minorEastAsia"/>
          <w:i w:val="0"/>
          <w:iCs/>
          <w:color w:val="auto"/>
          <w:w w:val="99"/>
          <w:sz w:val="21"/>
          <w:szCs w:val="21"/>
          <w:highlight w:val="none"/>
        </w:rPr>
        <w:t>，</w:t>
      </w:r>
      <w:r>
        <w:rPr>
          <w:rFonts w:hint="eastAsia" w:asciiTheme="minorEastAsia" w:hAnsiTheme="minorEastAsia" w:eastAsiaTheme="minorEastAsia" w:cstheme="minorEastAsia"/>
          <w:i w:val="0"/>
          <w:iCs/>
          <w:color w:val="auto"/>
          <w:sz w:val="21"/>
          <w:szCs w:val="21"/>
          <w:highlight w:val="none"/>
        </w:rPr>
        <w:t>从业人员</w:t>
      </w:r>
      <w:r>
        <w:rPr>
          <w:rFonts w:hint="eastAsia" w:asciiTheme="minorEastAsia" w:hAnsiTheme="minorEastAsia" w:eastAsiaTheme="minorEastAsia" w:cstheme="minorEastAsia"/>
          <w:i w:val="0"/>
          <w:iCs/>
          <w:color w:val="auto"/>
          <w:w w:val="99"/>
          <w:sz w:val="21"/>
          <w:szCs w:val="21"/>
          <w:highlight w:val="none"/>
          <w:u w:val="single"/>
        </w:rPr>
        <w:t xml:space="preserve"> </w:t>
      </w:r>
      <w:r>
        <w:rPr>
          <w:rFonts w:hint="eastAsia" w:asciiTheme="minorEastAsia" w:hAnsiTheme="minorEastAsia" w:eastAsiaTheme="minorEastAsia" w:cstheme="minorEastAsia"/>
          <w:i w:val="0"/>
          <w:iCs/>
          <w:color w:val="auto"/>
          <w:sz w:val="21"/>
          <w:szCs w:val="21"/>
          <w:highlight w:val="none"/>
          <w:u w:val="single"/>
        </w:rPr>
        <w:tab/>
      </w:r>
      <w:r>
        <w:rPr>
          <w:rFonts w:hint="eastAsia" w:asciiTheme="minorEastAsia" w:hAnsiTheme="minorEastAsia" w:eastAsiaTheme="minorEastAsia" w:cstheme="minorEastAsia"/>
          <w:i w:val="0"/>
          <w:iCs/>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color w:val="auto"/>
          <w:sz w:val="21"/>
          <w:szCs w:val="21"/>
          <w:highlight w:val="none"/>
        </w:rPr>
        <w:t>人</w:t>
      </w:r>
      <w:r>
        <w:rPr>
          <w:rFonts w:hint="eastAsia" w:asciiTheme="minorEastAsia" w:hAnsiTheme="minorEastAsia" w:eastAsiaTheme="minorEastAsia" w:cstheme="minorEastAsia"/>
          <w:i w:val="0"/>
          <w:iCs/>
          <w:color w:val="auto"/>
          <w:w w:val="99"/>
          <w:sz w:val="21"/>
          <w:szCs w:val="21"/>
          <w:highlight w:val="none"/>
        </w:rPr>
        <w:t>，</w:t>
      </w:r>
      <w:r>
        <w:rPr>
          <w:rFonts w:hint="eastAsia" w:asciiTheme="minorEastAsia" w:hAnsiTheme="minorEastAsia" w:eastAsiaTheme="minorEastAsia" w:cstheme="minorEastAsia"/>
          <w:i w:val="0"/>
          <w:iCs/>
          <w:color w:val="auto"/>
          <w:sz w:val="21"/>
          <w:szCs w:val="21"/>
          <w:highlight w:val="none"/>
        </w:rPr>
        <w:t>营业收入为</w:t>
      </w:r>
      <w:r>
        <w:rPr>
          <w:rFonts w:hint="eastAsia" w:asciiTheme="minorEastAsia" w:hAnsiTheme="minorEastAsia" w:eastAsiaTheme="minorEastAsia" w:cstheme="minorEastAsia"/>
          <w:i w:val="0"/>
          <w:iCs/>
          <w:color w:val="auto"/>
          <w:sz w:val="21"/>
          <w:szCs w:val="21"/>
          <w:highlight w:val="none"/>
          <w:u w:val="single"/>
        </w:rPr>
        <w:t xml:space="preserve">  </w:t>
      </w:r>
      <w:r>
        <w:rPr>
          <w:rFonts w:hint="eastAsia" w:asciiTheme="minorEastAsia" w:hAnsiTheme="minorEastAsia" w:eastAsiaTheme="minorEastAsia" w:cstheme="minorEastAsia"/>
          <w:i w:val="0"/>
          <w:iCs/>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color w:val="auto"/>
          <w:sz w:val="21"/>
          <w:szCs w:val="21"/>
          <w:highlight w:val="none"/>
        </w:rPr>
        <w:t>万元，资产总额为</w:t>
      </w:r>
      <w:r>
        <w:rPr>
          <w:rFonts w:hint="eastAsia" w:asciiTheme="minorEastAsia" w:hAnsiTheme="minorEastAsia" w:eastAsiaTheme="minorEastAsia" w:cstheme="minorEastAsia"/>
          <w:i w:val="0"/>
          <w:iCs/>
          <w:color w:val="auto"/>
          <w:sz w:val="21"/>
          <w:szCs w:val="21"/>
          <w:highlight w:val="none"/>
          <w:u w:val="single"/>
        </w:rPr>
        <w:t xml:space="preserve">   </w:t>
      </w:r>
      <w:r>
        <w:rPr>
          <w:rFonts w:hint="eastAsia" w:asciiTheme="minorEastAsia" w:hAnsiTheme="minorEastAsia" w:eastAsiaTheme="minorEastAsia" w:cstheme="minorEastAsia"/>
          <w:i w:val="0"/>
          <w:iCs/>
          <w:color w:val="auto"/>
          <w:sz w:val="21"/>
          <w:szCs w:val="21"/>
          <w:highlight w:val="none"/>
        </w:rPr>
        <w:t>万元，属于</w:t>
      </w:r>
      <w:r>
        <w:rPr>
          <w:rFonts w:hint="eastAsia" w:asciiTheme="minorEastAsia" w:hAnsiTheme="minorEastAsia" w:eastAsiaTheme="minorEastAsia" w:cstheme="minorEastAsia"/>
          <w:i w:val="0"/>
          <w:iCs/>
          <w:color w:val="auto"/>
          <w:w w:val="96"/>
          <w:sz w:val="21"/>
          <w:szCs w:val="21"/>
          <w:highlight w:val="none"/>
          <w:u w:val="single"/>
        </w:rPr>
        <w:t>（中型</w:t>
      </w:r>
      <w:r>
        <w:rPr>
          <w:rFonts w:hint="eastAsia" w:asciiTheme="minorEastAsia" w:hAnsiTheme="minorEastAsia" w:eastAsiaTheme="minorEastAsia" w:cstheme="minorEastAsia"/>
          <w:i w:val="0"/>
          <w:iCs/>
          <w:color w:val="auto"/>
          <w:sz w:val="21"/>
          <w:szCs w:val="21"/>
          <w:highlight w:val="none"/>
          <w:u w:val="single"/>
        </w:rPr>
        <w:t>企业、</w:t>
      </w:r>
      <w:r>
        <w:rPr>
          <w:rFonts w:hint="eastAsia" w:asciiTheme="minorEastAsia" w:hAnsiTheme="minorEastAsia" w:eastAsiaTheme="minorEastAsia" w:cstheme="minorEastAsia"/>
          <w:i w:val="0"/>
          <w:iCs/>
          <w:color w:val="auto"/>
          <w:w w:val="96"/>
          <w:sz w:val="21"/>
          <w:szCs w:val="21"/>
          <w:highlight w:val="none"/>
          <w:u w:val="single"/>
        </w:rPr>
        <w:t>小型企业、微型企业）</w:t>
      </w:r>
      <w:r>
        <w:rPr>
          <w:rFonts w:hint="eastAsia" w:asciiTheme="minorEastAsia" w:hAnsiTheme="minorEastAsia" w:eastAsiaTheme="minorEastAsia" w:cstheme="minorEastAsia"/>
          <w:i w:val="0"/>
          <w:iCs/>
          <w:color w:val="auto"/>
          <w:w w:val="99"/>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left="860" w:right="0"/>
        <w:textAlignment w:val="auto"/>
        <w:rPr>
          <w:rFonts w:hint="eastAsia" w:asciiTheme="minorEastAsia" w:hAnsiTheme="minorEastAsia" w:eastAsiaTheme="minorEastAsia" w:cstheme="minorEastAsia"/>
          <w:i w:val="0"/>
          <w:iCs/>
          <w:color w:val="auto"/>
          <w:sz w:val="21"/>
          <w:szCs w:val="21"/>
          <w:highlight w:val="none"/>
        </w:rPr>
      </w:pPr>
      <w:r>
        <w:rPr>
          <w:rFonts w:hint="eastAsia" w:asciiTheme="minorEastAsia" w:hAnsiTheme="minorEastAsia" w:eastAsiaTheme="minorEastAsia" w:cstheme="minorEastAsia"/>
          <w:i w:val="0"/>
          <w:iCs/>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right="0" w:firstLine="645"/>
        <w:textAlignment w:val="auto"/>
        <w:rPr>
          <w:rFonts w:hint="eastAsia" w:asciiTheme="minorEastAsia" w:hAnsiTheme="minorEastAsia" w:eastAsiaTheme="minorEastAsia" w:cstheme="minorEastAsia"/>
          <w:i w:val="0"/>
          <w:iCs/>
          <w:color w:val="auto"/>
          <w:sz w:val="21"/>
          <w:szCs w:val="21"/>
          <w:highlight w:val="none"/>
        </w:rPr>
      </w:pPr>
      <w:r>
        <w:rPr>
          <w:rFonts w:hint="eastAsia" w:asciiTheme="minorEastAsia" w:hAnsiTheme="minorEastAsia" w:eastAsiaTheme="minorEastAsia" w:cstheme="minorEastAsia"/>
          <w:i w:val="0"/>
          <w:iCs/>
          <w:color w:val="auto"/>
          <w:sz w:val="21"/>
          <w:szCs w:val="21"/>
          <w:highlight w:val="none"/>
        </w:rPr>
        <w:t>以上企业，不属于大企业的分支机构，不存在控股股东为大企业的情形，也不存在与大企业的负责人为同一人的情形。</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right="0" w:firstLine="640"/>
        <w:textAlignment w:val="auto"/>
        <w:rPr>
          <w:rFonts w:hint="eastAsia" w:asciiTheme="minorEastAsia" w:hAnsiTheme="minorEastAsia" w:eastAsiaTheme="minorEastAsia" w:cstheme="minorEastAsia"/>
          <w:i w:val="0"/>
          <w:iCs/>
          <w:color w:val="auto"/>
          <w:sz w:val="21"/>
          <w:szCs w:val="21"/>
          <w:highlight w:val="none"/>
        </w:rPr>
      </w:pPr>
      <w:r>
        <w:rPr>
          <w:rFonts w:hint="eastAsia" w:asciiTheme="minorEastAsia" w:hAnsiTheme="minorEastAsia" w:eastAsiaTheme="minorEastAsia" w:cstheme="minorEastAsia"/>
          <w:i w:val="0"/>
          <w:iCs/>
          <w:color w:val="auto"/>
          <w:sz w:val="21"/>
          <w:szCs w:val="21"/>
          <w:highlight w:val="none"/>
        </w:rPr>
        <w:t>本企业对上述声明内容的真实性负责。如有虚假，将依法承担相应责任。</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left="4060" w:right="0"/>
        <w:textAlignment w:val="auto"/>
        <w:rPr>
          <w:rFonts w:hint="eastAsia" w:asciiTheme="minorEastAsia" w:hAnsiTheme="minorEastAsia" w:eastAsiaTheme="minorEastAsia" w:cstheme="minorEastAsia"/>
          <w:i w:val="0"/>
          <w:iCs/>
          <w:color w:val="auto"/>
          <w:w w:val="99"/>
          <w:sz w:val="21"/>
          <w:szCs w:val="21"/>
          <w:highlight w:val="none"/>
        </w:rPr>
      </w:pP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left="4060" w:right="0"/>
        <w:textAlignment w:val="auto"/>
        <w:rPr>
          <w:rFonts w:hint="eastAsia" w:asciiTheme="minorEastAsia" w:hAnsiTheme="minorEastAsia" w:eastAsiaTheme="minorEastAsia" w:cstheme="minorEastAsia"/>
          <w:i w:val="0"/>
          <w:iCs/>
          <w:color w:val="auto"/>
          <w:w w:val="99"/>
          <w:sz w:val="21"/>
          <w:szCs w:val="21"/>
          <w:highlight w:val="none"/>
        </w:rPr>
      </w:pP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left="4060" w:right="0"/>
        <w:textAlignment w:val="auto"/>
        <w:rPr>
          <w:rFonts w:hint="eastAsia" w:asciiTheme="minorEastAsia" w:hAnsiTheme="minorEastAsia" w:eastAsiaTheme="minorEastAsia" w:cstheme="minorEastAsia"/>
          <w:i w:val="0"/>
          <w:iCs/>
          <w:color w:val="auto"/>
          <w:sz w:val="21"/>
          <w:szCs w:val="21"/>
          <w:highlight w:val="none"/>
        </w:rPr>
      </w:pPr>
      <w:r>
        <w:rPr>
          <w:rFonts w:hint="eastAsia" w:asciiTheme="minorEastAsia" w:hAnsiTheme="minorEastAsia" w:eastAsiaTheme="minorEastAsia" w:cstheme="minorEastAsia"/>
          <w:i w:val="0"/>
          <w:iCs/>
          <w:color w:val="auto"/>
          <w:sz w:val="21"/>
          <w:szCs w:val="21"/>
          <w:highlight w:val="none"/>
        </w:rPr>
        <w:t>企业名称（盖章）：</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left="4060" w:right="0"/>
        <w:textAlignment w:val="auto"/>
        <w:rPr>
          <w:rFonts w:hint="eastAsia" w:asciiTheme="minorEastAsia" w:hAnsiTheme="minorEastAsia" w:eastAsiaTheme="minorEastAsia" w:cstheme="minorEastAsia"/>
          <w:i w:val="0"/>
          <w:iCs/>
          <w:color w:val="auto"/>
          <w:sz w:val="21"/>
          <w:szCs w:val="21"/>
          <w:highlight w:val="none"/>
        </w:rPr>
      </w:pPr>
      <w:r>
        <w:rPr>
          <w:rFonts w:hint="eastAsia" w:asciiTheme="minorEastAsia" w:hAnsiTheme="minorEastAsia" w:eastAsiaTheme="minorEastAsia" w:cstheme="minorEastAsia"/>
          <w:i w:val="0"/>
          <w:iCs/>
          <w:color w:val="auto"/>
          <w:sz w:val="21"/>
          <w:szCs w:val="21"/>
          <w:highlight w:val="none"/>
        </w:rPr>
        <w:t>日期：</w:t>
      </w:r>
    </w:p>
    <w:p>
      <w:pPr>
        <w:pStyle w:val="2"/>
        <w:keepNext w:val="0"/>
        <w:keepLines w:val="0"/>
        <w:pageBreakBefore w:val="0"/>
        <w:widowControl w:val="0"/>
        <w:kinsoku/>
        <w:wordWrap/>
        <w:overflowPunct/>
        <w:topLinePunct w:val="0"/>
        <w:autoSpaceDE w:val="0"/>
        <w:autoSpaceDN w:val="0"/>
        <w:bidi w:val="0"/>
        <w:spacing w:after="0" w:afterLines="0" w:line="360" w:lineRule="auto"/>
        <w:ind w:left="4060" w:right="-54"/>
        <w:textAlignment w:val="auto"/>
        <w:rPr>
          <w:rFonts w:hint="eastAsia" w:asciiTheme="minorEastAsia" w:hAnsiTheme="minorEastAsia" w:eastAsiaTheme="minorEastAsia" w:cstheme="minorEastAsia"/>
          <w:i w:val="0"/>
          <w:iCs/>
          <w:color w:val="auto"/>
          <w:sz w:val="21"/>
          <w:szCs w:val="21"/>
          <w:highlight w:val="none"/>
        </w:rPr>
      </w:pP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Theme="minorEastAsia" w:hAnsiTheme="minorEastAsia" w:eastAsiaTheme="minorEastAsia" w:cstheme="minorEastAsia"/>
          <w:i w:val="0"/>
          <w:iCs/>
          <w:color w:val="auto"/>
          <w:sz w:val="21"/>
          <w:szCs w:val="21"/>
          <w:highlight w:val="none"/>
          <w:lang w:val="zh-CN"/>
        </w:rPr>
      </w:pPr>
    </w:p>
    <w:p>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b/>
          <w:i w:val="0"/>
          <w:i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hint="eastAsia" w:asciiTheme="minorEastAsia" w:hAnsiTheme="minorEastAsia" w:eastAsiaTheme="minorEastAsia" w:cstheme="minorEastAsia"/>
          <w:i w:val="0"/>
          <w:iCs/>
          <w:color w:val="auto"/>
          <w:sz w:val="21"/>
          <w:szCs w:val="21"/>
          <w:highlight w:val="none"/>
        </w:rPr>
      </w:pPr>
      <w:r>
        <w:rPr>
          <w:rFonts w:hint="eastAsia" w:asciiTheme="minorEastAsia" w:hAnsiTheme="minorEastAsia" w:eastAsiaTheme="minorEastAsia" w:cstheme="minorEastAsia"/>
          <w:i w:val="0"/>
          <w:iCs/>
          <w:color w:val="auto"/>
          <w:sz w:val="21"/>
          <w:szCs w:val="21"/>
          <w:highlight w:val="none"/>
          <w:lang w:val="en-US" w:eastAsia="zh-CN"/>
        </w:rPr>
        <w:t>1、</w:t>
      </w:r>
      <w:r>
        <w:rPr>
          <w:rFonts w:hint="eastAsia" w:asciiTheme="minorEastAsia" w:hAnsiTheme="minorEastAsia" w:eastAsiaTheme="minorEastAsia" w:cstheme="minorEastAsia"/>
          <w:i w:val="0"/>
          <w:iCs/>
          <w:color w:val="auto"/>
          <w:sz w:val="21"/>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hint="eastAsia" w:asciiTheme="minorEastAsia" w:hAnsiTheme="minorEastAsia" w:eastAsiaTheme="minorEastAsia" w:cstheme="minorEastAsia"/>
          <w:i w:val="0"/>
          <w:iCs/>
          <w:color w:val="auto"/>
          <w:sz w:val="21"/>
          <w:szCs w:val="21"/>
          <w:highlight w:val="none"/>
        </w:rPr>
      </w:pPr>
      <w:r>
        <w:rPr>
          <w:rFonts w:hint="eastAsia" w:asciiTheme="minorEastAsia" w:hAnsiTheme="minorEastAsia" w:eastAsiaTheme="minorEastAsia" w:cstheme="minorEastAsia"/>
          <w:i w:val="0"/>
          <w:iCs/>
          <w:color w:val="auto"/>
          <w:sz w:val="21"/>
          <w:szCs w:val="21"/>
          <w:highlight w:val="none"/>
          <w:lang w:val="en-US" w:eastAsia="zh-CN"/>
        </w:rPr>
        <w:t>2、</w:t>
      </w:r>
      <w:r>
        <w:rPr>
          <w:rFonts w:hint="eastAsia" w:asciiTheme="minorEastAsia" w:hAnsiTheme="minorEastAsia" w:eastAsiaTheme="minorEastAsia" w:cstheme="minorEastAsia"/>
          <w:i w:val="0"/>
          <w:iCs/>
          <w:color w:val="auto"/>
          <w:sz w:val="21"/>
          <w:szCs w:val="21"/>
          <w:highlight w:val="none"/>
        </w:rPr>
        <w:t>本项目</w:t>
      </w:r>
      <w:r>
        <w:rPr>
          <w:rFonts w:hint="eastAsia" w:asciiTheme="minorEastAsia" w:hAnsiTheme="minorEastAsia" w:eastAsiaTheme="minorEastAsia" w:cstheme="minorEastAsia"/>
          <w:i w:val="0"/>
          <w:iCs/>
          <w:color w:val="auto"/>
          <w:sz w:val="21"/>
          <w:szCs w:val="21"/>
          <w:highlight w:val="none"/>
          <w:lang w:val="en-US" w:eastAsia="zh-CN"/>
        </w:rPr>
        <w:t>采购标的</w:t>
      </w:r>
      <w:r>
        <w:rPr>
          <w:rFonts w:hint="eastAsia" w:asciiTheme="minorEastAsia" w:hAnsiTheme="minorEastAsia" w:eastAsiaTheme="minorEastAsia" w:cstheme="minorEastAsia"/>
          <w:i w:val="0"/>
          <w:iCs/>
          <w:color w:val="auto"/>
          <w:sz w:val="21"/>
          <w:szCs w:val="21"/>
          <w:highlight w:val="none"/>
        </w:rPr>
        <w:t>所属行业见前附表。</w:t>
      </w:r>
    </w:p>
    <w:p>
      <w:pPr>
        <w:pStyle w:val="2"/>
        <w:spacing w:line="360" w:lineRule="auto"/>
        <w:ind w:right="415"/>
        <w:jc w:val="both"/>
        <w:rPr>
          <w:rFonts w:hint="eastAsia" w:asciiTheme="minorEastAsia" w:hAnsiTheme="minorEastAsia" w:eastAsiaTheme="minorEastAsia" w:cstheme="minorEastAsia"/>
          <w:i w:val="0"/>
          <w:iCs/>
          <w:spacing w:val="-2"/>
          <w:sz w:val="21"/>
          <w:szCs w:val="21"/>
          <w:highlight w:val="none"/>
        </w:rPr>
      </w:pPr>
      <w:r>
        <w:rPr>
          <w:rFonts w:hint="eastAsia" w:asciiTheme="minorEastAsia" w:hAnsiTheme="minorEastAsia" w:eastAsiaTheme="minorEastAsia" w:cstheme="minorEastAsia"/>
          <w:b/>
          <w:bCs/>
          <w:i w:val="0"/>
          <w:iCs/>
          <w:color w:val="auto"/>
          <w:sz w:val="21"/>
          <w:szCs w:val="21"/>
          <w:highlight w:val="none"/>
          <w:lang w:val="en-US" w:eastAsia="zh-CN"/>
        </w:rPr>
        <w:t>3、</w:t>
      </w:r>
      <w:r>
        <w:rPr>
          <w:rFonts w:hint="eastAsia" w:asciiTheme="minorEastAsia" w:hAnsiTheme="minorEastAsia" w:eastAsiaTheme="minorEastAsia" w:cstheme="minorEastAsia"/>
          <w:b/>
          <w:bCs/>
          <w:i w:val="0"/>
          <w:iCs/>
          <w:color w:val="auto"/>
          <w:sz w:val="21"/>
          <w:szCs w:val="21"/>
          <w:highlight w:val="none"/>
        </w:rPr>
        <w:t>中小企业划型标准规定（工信部联企业[2011]300号）附后。</w:t>
      </w:r>
    </w:p>
    <w:p>
      <w:pPr>
        <w:pStyle w:val="2"/>
        <w:spacing w:line="360" w:lineRule="auto"/>
        <w:ind w:right="415" w:firstLine="640"/>
        <w:rPr>
          <w:rFonts w:hint="eastAsia" w:asciiTheme="minorEastAsia" w:hAnsiTheme="minorEastAsia" w:eastAsiaTheme="minorEastAsia" w:cstheme="minorEastAsia"/>
          <w:spacing w:val="-2"/>
          <w:sz w:val="24"/>
          <w:szCs w:val="24"/>
          <w:highlight w:val="none"/>
        </w:rPr>
        <w:sectPr>
          <w:footerReference r:id="rId4" w:type="default"/>
          <w:pgSz w:w="11910" w:h="16840"/>
          <w:pgMar w:top="1440" w:right="1380" w:bottom="1780" w:left="1580" w:header="1077" w:footer="1595" w:gutter="0"/>
          <w:pgNumType w:fmt="decimal" w:start="1"/>
          <w:cols w:space="720" w:num="1"/>
        </w:sectPr>
      </w:pPr>
    </w:p>
    <w:p>
      <w:pPr>
        <w:pStyle w:val="7"/>
        <w:tabs>
          <w:tab w:val="left" w:pos="720"/>
        </w:tabs>
        <w:spacing w:line="380" w:lineRule="exact"/>
        <w:jc w:val="center"/>
        <w:rPr>
          <w:rStyle w:val="183"/>
          <w:rFonts w:hint="default"/>
          <w:b/>
          <w:color w:val="auto"/>
          <w:sz w:val="28"/>
          <w:szCs w:val="28"/>
          <w:highlight w:val="none"/>
        </w:rPr>
      </w:pPr>
      <w:bookmarkStart w:id="93" w:name="_Toc8578"/>
      <w:r>
        <w:rPr>
          <w:rStyle w:val="183"/>
          <w:rFonts w:hint="default"/>
          <w:b/>
          <w:color w:val="auto"/>
          <w:sz w:val="28"/>
          <w:szCs w:val="28"/>
          <w:highlight w:val="none"/>
        </w:rPr>
        <w:t>中小微行业划型标准规定（根据工信部联企业〔2011〕300号制定）</w:t>
      </w:r>
      <w:bookmarkEnd w:id="93"/>
    </w:p>
    <w:tbl>
      <w:tblPr>
        <w:tblStyle w:val="48"/>
        <w:tblW w:w="0" w:type="auto"/>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b/>
                <w:sz w:val="18"/>
                <w:szCs w:val="18"/>
                <w:highlight w:val="none"/>
              </w:rPr>
            </w:pPr>
            <w:r>
              <w:rPr>
                <w:rFonts w:hint="eastAsia" w:ascii="宋体" w:hAnsi="宋体" w:cs="宋体"/>
                <w:b/>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noWrap w:val="0"/>
            <w:vAlign w:val="bottom"/>
          </w:tcPr>
          <w:p>
            <w:pPr>
              <w:widowControl/>
              <w:jc w:val="center"/>
              <w:textAlignment w:val="bottom"/>
              <w:rPr>
                <w:rFonts w:ascii="宋体" w:hAnsi="宋体" w:cs="宋体"/>
                <w:b/>
                <w:sz w:val="18"/>
                <w:szCs w:val="18"/>
                <w:highlight w:val="none"/>
              </w:rPr>
            </w:pPr>
            <w:r>
              <w:rPr>
                <w:rFonts w:hint="eastAsia" w:ascii="宋体" w:hAnsi="宋体" w:cs="宋体"/>
                <w:b/>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noWrap w:val="0"/>
            <w:vAlign w:val="bottom"/>
          </w:tcPr>
          <w:p>
            <w:pPr>
              <w:widowControl/>
              <w:jc w:val="center"/>
              <w:textAlignment w:val="bottom"/>
              <w:rPr>
                <w:rFonts w:ascii="宋体" w:hAnsi="宋体" w:cs="宋体"/>
                <w:b/>
                <w:sz w:val="18"/>
                <w:szCs w:val="18"/>
                <w:highlight w:val="none"/>
              </w:rPr>
            </w:pPr>
            <w:r>
              <w:rPr>
                <w:rFonts w:hint="eastAsia" w:ascii="宋体" w:hAnsi="宋体" w:cs="宋体"/>
                <w:b/>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noWrap w:val="0"/>
            <w:vAlign w:val="bottom"/>
          </w:tcPr>
          <w:p>
            <w:pPr>
              <w:widowControl/>
              <w:jc w:val="center"/>
              <w:textAlignment w:val="bottom"/>
              <w:rPr>
                <w:rFonts w:ascii="宋体" w:hAnsi="宋体" w:cs="宋体"/>
                <w:b/>
                <w:sz w:val="18"/>
                <w:szCs w:val="18"/>
                <w:highlight w:val="none"/>
              </w:rPr>
            </w:pPr>
            <w:r>
              <w:rPr>
                <w:rFonts w:hint="eastAsia" w:ascii="宋体" w:hAnsi="宋体" w:cs="宋体"/>
                <w:b/>
                <w:kern w:val="0"/>
                <w:sz w:val="18"/>
                <w:szCs w:val="18"/>
                <w:highlight w:val="none"/>
              </w:rPr>
              <w:t>微型企业</w:t>
            </w:r>
          </w:p>
        </w:tc>
      </w:tr>
      <w:tr>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noWrap w:val="0"/>
            <w:vAlign w:val="center"/>
          </w:tcPr>
          <w:p>
            <w:pPr>
              <w:jc w:val="center"/>
              <w:rPr>
                <w:rFonts w:ascii="宋体" w:hAnsi="宋体" w:cs="宋体"/>
                <w:b/>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noWrap w:val="0"/>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noWrap w:val="0"/>
            <w:vAlign w:val="bottom"/>
          </w:tcPr>
          <w:p>
            <w:pPr>
              <w:rPr>
                <w:rFonts w:ascii="宋体" w:hAnsi="宋体" w:cs="宋体"/>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noWrap w:val="0"/>
            <w:vAlign w:val="bottom"/>
          </w:tcPr>
          <w:p>
            <w:pPr>
              <w:rPr>
                <w:rFonts w:ascii="宋体" w:hAnsi="宋体" w:cs="宋体"/>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noWrap w:val="0"/>
            <w:vAlign w:val="bottom"/>
          </w:tcPr>
          <w:p>
            <w:pPr>
              <w:rPr>
                <w:rFonts w:ascii="宋体" w:hAnsi="宋体" w:cs="宋体"/>
                <w:sz w:val="18"/>
                <w:szCs w:val="18"/>
                <w:highlight w:val="none"/>
              </w:rPr>
            </w:pPr>
          </w:p>
        </w:tc>
      </w:tr>
    </w:tbl>
    <w:p>
      <w:pPr>
        <w:rPr>
          <w:rFonts w:ascii="Cambria" w:hAnsi="Cambria"/>
          <w:sz w:val="28"/>
          <w:szCs w:val="28"/>
          <w:highlight w:val="none"/>
        </w:rPr>
      </w:pPr>
      <w:r>
        <w:rPr>
          <w:rFonts w:hint="eastAsia" w:ascii="宋体" w:hAnsi="宋体" w:cs="宋体"/>
          <w:kern w:val="0"/>
          <w:sz w:val="18"/>
          <w:szCs w:val="18"/>
          <w:highlight w:val="none"/>
        </w:rPr>
        <w:t>说明　1、企业类型的划分以统计部门的统计数据为依据。2、个体工商户和本规定以外的行业，参照本规定进行划型。3、本规定的中型企业标准上限即为大型企业标准的下限。</w:t>
      </w:r>
    </w:p>
    <w:p>
      <w:pPr>
        <w:pStyle w:val="7"/>
        <w:spacing w:line="380" w:lineRule="exact"/>
        <w:rPr>
          <w:rFonts w:ascii="Cambria" w:hAnsi="Cambria"/>
          <w:sz w:val="28"/>
          <w:szCs w:val="28"/>
          <w:highlight w:val="none"/>
        </w:rPr>
        <w:sectPr>
          <w:headerReference r:id="rId5" w:type="default"/>
          <w:footerReference r:id="rId6" w:type="default"/>
          <w:type w:val="continuous"/>
          <w:pgSz w:w="16840" w:h="11907" w:orient="landscape"/>
          <w:pgMar w:top="1279" w:right="1304" w:bottom="1588" w:left="1304" w:header="964" w:footer="720" w:gutter="0"/>
          <w:pgNumType w:fmt="decimal"/>
          <w:cols w:space="720" w:num="1"/>
          <w:docGrid w:linePitch="285" w:charSpace="0"/>
        </w:sectPr>
      </w:pPr>
    </w:p>
    <w:p>
      <w:pPr>
        <w:pStyle w:val="7"/>
        <w:tabs>
          <w:tab w:val="left" w:pos="720"/>
        </w:tabs>
        <w:spacing w:line="380" w:lineRule="exact"/>
        <w:jc w:val="center"/>
        <w:rPr>
          <w:rFonts w:hint="eastAsia" w:ascii="宋体" w:hAnsi="宋体"/>
          <w:sz w:val="28"/>
          <w:szCs w:val="28"/>
          <w:highlight w:val="none"/>
        </w:rPr>
      </w:pPr>
    </w:p>
    <w:p>
      <w:pPr>
        <w:jc w:val="center"/>
        <w:rPr>
          <w:rFonts w:hint="eastAsia" w:ascii="宋体" w:hAnsi="宋体" w:cs="宋体"/>
          <w:b/>
          <w:bCs/>
          <w:sz w:val="28"/>
          <w:szCs w:val="28"/>
          <w:highlight w:val="none"/>
        </w:rPr>
      </w:pPr>
      <w:r>
        <w:rPr>
          <w:rFonts w:hint="eastAsia" w:ascii="宋体" w:hAnsi="宋体" w:cs="宋体"/>
          <w:b/>
          <w:bCs/>
          <w:sz w:val="28"/>
          <w:szCs w:val="28"/>
          <w:highlight w:val="none"/>
        </w:rPr>
        <w:t>（四）监狱企业声明函</w:t>
      </w:r>
    </w:p>
    <w:p>
      <w:pPr>
        <w:jc w:val="center"/>
        <w:rPr>
          <w:rFonts w:hint="eastAsia" w:ascii="宋体" w:hAnsi="宋体" w:cs="宋体"/>
          <w:szCs w:val="21"/>
          <w:highlight w:val="none"/>
        </w:rPr>
      </w:pPr>
      <w:r>
        <w:rPr>
          <w:rFonts w:hint="eastAsia" w:ascii="宋体" w:hAnsi="宋体" w:cs="宋体"/>
          <w:szCs w:val="21"/>
          <w:highlight w:val="none"/>
        </w:rPr>
        <w:t>【非监狱企业不用提供】</w:t>
      </w:r>
    </w:p>
    <w:p>
      <w:pPr>
        <w:spacing w:line="360" w:lineRule="auto"/>
        <w:ind w:firstLine="525" w:firstLineChars="250"/>
        <w:rPr>
          <w:rFonts w:hint="eastAsia" w:ascii="宋体" w:hAnsi="宋体" w:cs="宋体"/>
          <w:szCs w:val="21"/>
          <w:highlight w:val="none"/>
        </w:rPr>
      </w:pP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监狱企业参加政府采购活动时，本企业郑重声明，根据《关于政府采购支持监狱企业发展有关问题的通知》（财库[2014]68号）的规定，本企业为监狱企业。</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根据上述标准，我企业属于监狱企业的理由为：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本企业为参加（项目名称：</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）（项目编号： </w:t>
      </w:r>
      <w:r>
        <w:rPr>
          <w:rFonts w:hint="eastAsia" w:ascii="宋体" w:hAnsi="宋体" w:cs="宋体"/>
          <w:szCs w:val="21"/>
          <w:highlight w:val="none"/>
          <w:lang w:val="en-US" w:eastAsia="zh-CN"/>
        </w:rPr>
        <w:t xml:space="preserve">    </w:t>
      </w:r>
      <w:r>
        <w:rPr>
          <w:rFonts w:hint="eastAsia" w:ascii="宋体" w:hAnsi="宋体" w:cs="宋体"/>
          <w:szCs w:val="21"/>
          <w:highlight w:val="none"/>
        </w:rPr>
        <w:t>）采购活动提供本企业的产品。</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本企业对上述声明的真实性负责。如有虚假，将依法承担相应责任。</w:t>
      </w:r>
    </w:p>
    <w:p>
      <w:pPr>
        <w:spacing w:line="360" w:lineRule="auto"/>
        <w:ind w:firstLine="480"/>
        <w:rPr>
          <w:rFonts w:hint="eastAsia" w:ascii="宋体" w:hAnsi="宋体" w:cs="宋体"/>
          <w:szCs w:val="21"/>
          <w:highlight w:val="none"/>
        </w:rPr>
      </w:pPr>
    </w:p>
    <w:p>
      <w:pPr>
        <w:spacing w:line="360" w:lineRule="auto"/>
        <w:ind w:firstLine="480"/>
        <w:rPr>
          <w:rFonts w:hint="eastAsia" w:ascii="宋体" w:hAnsi="宋体" w:cs="宋体"/>
          <w:szCs w:val="21"/>
          <w:highlight w:val="none"/>
        </w:rPr>
      </w:pPr>
      <w:r>
        <w:rPr>
          <w:rFonts w:hint="eastAsia" w:ascii="宋体" w:hAnsi="宋体" w:cs="宋体"/>
          <w:szCs w:val="21"/>
          <w:highlight w:val="none"/>
        </w:rPr>
        <w:t>供应商名称（盖公章）：</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日期： 年 月 日</w:t>
      </w:r>
    </w:p>
    <w:p>
      <w:pPr>
        <w:spacing w:line="360" w:lineRule="auto"/>
        <w:ind w:firstLine="480"/>
        <w:rPr>
          <w:rFonts w:hint="eastAsia" w:ascii="宋体" w:hAnsi="宋体" w:cs="宋体"/>
          <w:szCs w:val="21"/>
          <w:highlight w:val="none"/>
        </w:rPr>
      </w:pPr>
    </w:p>
    <w:p>
      <w:pPr>
        <w:spacing w:line="360" w:lineRule="auto"/>
        <w:ind w:firstLine="480"/>
        <w:rPr>
          <w:rFonts w:hint="eastAsia" w:ascii="宋体" w:hAnsi="宋体" w:cs="宋体"/>
          <w:szCs w:val="21"/>
          <w:highlight w:val="none"/>
        </w:rPr>
      </w:pPr>
    </w:p>
    <w:p>
      <w:pPr>
        <w:spacing w:line="360" w:lineRule="auto"/>
        <w:ind w:firstLine="480"/>
        <w:rPr>
          <w:rFonts w:hint="eastAsia" w:ascii="宋体" w:hAnsi="宋体" w:cs="宋体"/>
          <w:szCs w:val="21"/>
          <w:highlight w:val="none"/>
        </w:rPr>
      </w:pPr>
      <w:r>
        <w:rPr>
          <w:rFonts w:hint="eastAsia" w:ascii="宋体" w:hAnsi="宋体" w:cs="宋体"/>
          <w:szCs w:val="21"/>
          <w:highlight w:val="none"/>
        </w:rPr>
        <w:t>供应商为监狱企业的提供此函。</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应当提供由省级以上监狱管理局、戒毒管理局（含新疆生产建设兵团）出具的属于监狱企业的证明文件。</w:t>
      </w:r>
    </w:p>
    <w:p>
      <w:pPr>
        <w:pStyle w:val="7"/>
        <w:tabs>
          <w:tab w:val="left" w:pos="720"/>
        </w:tabs>
        <w:spacing w:line="380" w:lineRule="exact"/>
        <w:jc w:val="center"/>
        <w:rPr>
          <w:rFonts w:hint="eastAsia" w:ascii="宋体" w:hAnsi="宋体"/>
          <w:sz w:val="28"/>
          <w:szCs w:val="28"/>
          <w:highlight w:val="none"/>
        </w:rPr>
        <w:sectPr>
          <w:headerReference r:id="rId9" w:type="first"/>
          <w:footerReference r:id="rId11" w:type="first"/>
          <w:headerReference r:id="rId7" w:type="default"/>
          <w:headerReference r:id="rId8" w:type="even"/>
          <w:footerReference r:id="rId10" w:type="even"/>
          <w:type w:val="continuous"/>
          <w:pgSz w:w="11907" w:h="16840"/>
          <w:pgMar w:top="1304" w:right="1588" w:bottom="1304" w:left="1588" w:header="964" w:footer="720" w:gutter="0"/>
          <w:pgNumType w:fmt="decimal"/>
          <w:cols w:space="720" w:num="1"/>
        </w:sectPr>
      </w:pPr>
    </w:p>
    <w:p>
      <w:pPr>
        <w:pStyle w:val="7"/>
        <w:tabs>
          <w:tab w:val="left" w:pos="720"/>
        </w:tabs>
        <w:spacing w:line="380" w:lineRule="exact"/>
        <w:jc w:val="center"/>
        <w:rPr>
          <w:rFonts w:ascii="宋体" w:hAnsi="宋体"/>
          <w:sz w:val="28"/>
          <w:szCs w:val="28"/>
          <w:highlight w:val="none"/>
        </w:rPr>
      </w:pPr>
      <w:bookmarkStart w:id="94" w:name="_Toc13185"/>
      <w:r>
        <w:rPr>
          <w:rFonts w:hint="eastAsia" w:ascii="宋体" w:hAnsi="宋体"/>
          <w:sz w:val="28"/>
          <w:szCs w:val="28"/>
          <w:highlight w:val="none"/>
        </w:rPr>
        <w:t>（五）残疾人福利性单位声明函（如有需提供）</w:t>
      </w:r>
      <w:bookmarkEnd w:id="94"/>
    </w:p>
    <w:p>
      <w:pPr>
        <w:ind w:firstLine="420" w:firstLineChars="200"/>
        <w:rPr>
          <w:rFonts w:hint="eastAsia" w:ascii="宋体" w:hAnsi="宋体"/>
          <w:szCs w:val="21"/>
          <w:highlight w:val="none"/>
        </w:rPr>
      </w:pPr>
    </w:p>
    <w:p>
      <w:pPr>
        <w:spacing w:line="588" w:lineRule="exact"/>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tabs>
          <w:tab w:val="left" w:pos="4860"/>
        </w:tabs>
        <w:spacing w:line="588" w:lineRule="exact"/>
        <w:ind w:right="1560" w:firstLine="420" w:firstLineChars="200"/>
        <w:jc w:val="center"/>
        <w:rPr>
          <w:rFonts w:ascii="宋体" w:hAnsi="宋体"/>
          <w:szCs w:val="21"/>
          <w:highlight w:val="none"/>
        </w:rPr>
      </w:pPr>
    </w:p>
    <w:p>
      <w:pPr>
        <w:tabs>
          <w:tab w:val="left" w:pos="4860"/>
        </w:tabs>
        <w:spacing w:line="588" w:lineRule="exact"/>
        <w:ind w:right="1560" w:firstLine="420" w:firstLineChars="200"/>
        <w:jc w:val="center"/>
        <w:rPr>
          <w:rFonts w:ascii="宋体" w:hAnsi="宋体"/>
          <w:szCs w:val="21"/>
          <w:highlight w:val="none"/>
        </w:rPr>
      </w:pPr>
    </w:p>
    <w:p>
      <w:pPr>
        <w:tabs>
          <w:tab w:val="left" w:pos="4860"/>
        </w:tabs>
        <w:spacing w:line="588" w:lineRule="exact"/>
        <w:ind w:right="1560" w:firstLine="420" w:firstLineChars="200"/>
        <w:jc w:val="center"/>
        <w:rPr>
          <w:rFonts w:ascii="宋体" w:hAnsi="宋体"/>
          <w:szCs w:val="21"/>
          <w:highlight w:val="none"/>
        </w:rPr>
      </w:pPr>
      <w:r>
        <w:rPr>
          <w:rFonts w:hint="eastAsia" w:ascii="宋体" w:hAnsi="宋体"/>
          <w:szCs w:val="21"/>
          <w:highlight w:val="none"/>
        </w:rPr>
        <w:t xml:space="preserve">               单位名称（盖章）：</w:t>
      </w:r>
    </w:p>
    <w:p>
      <w:pPr>
        <w:pStyle w:val="20"/>
        <w:spacing w:line="520" w:lineRule="exact"/>
        <w:ind w:firstLine="0"/>
        <w:rPr>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日  期：</w:t>
      </w:r>
    </w:p>
    <w:p>
      <w:pPr>
        <w:pStyle w:val="20"/>
        <w:spacing w:line="520" w:lineRule="exact"/>
        <w:ind w:firstLine="0"/>
        <w:rPr>
          <w:sz w:val="22"/>
          <w:szCs w:val="22"/>
          <w:highlight w:val="none"/>
        </w:rPr>
      </w:pPr>
    </w:p>
    <w:p>
      <w:pPr>
        <w:spacing w:line="400" w:lineRule="exact"/>
        <w:ind w:firstLine="422" w:firstLineChars="200"/>
        <w:rPr>
          <w:rFonts w:ascii="宋体" w:hAnsi="宋体"/>
          <w:b/>
          <w:szCs w:val="21"/>
          <w:highlight w:val="none"/>
        </w:rPr>
      </w:pPr>
      <w:r>
        <w:rPr>
          <w:rFonts w:hint="eastAsia" w:ascii="宋体" w:hAnsi="宋体"/>
          <w:b/>
          <w:szCs w:val="21"/>
          <w:highlight w:val="none"/>
        </w:rPr>
        <w:t>注：</w:t>
      </w:r>
    </w:p>
    <w:p>
      <w:pPr>
        <w:spacing w:line="400" w:lineRule="exact"/>
        <w:ind w:firstLine="422" w:firstLineChars="200"/>
        <w:rPr>
          <w:rFonts w:ascii="宋体" w:hAnsi="宋体"/>
          <w:b/>
          <w:szCs w:val="21"/>
          <w:highlight w:val="none"/>
        </w:rPr>
      </w:pPr>
      <w:r>
        <w:rPr>
          <w:rFonts w:hint="eastAsia" w:ascii="宋体" w:hAnsi="宋体"/>
          <w:b/>
          <w:szCs w:val="21"/>
          <w:highlight w:val="none"/>
        </w:rPr>
        <w:t>享受政府采购支持政策的残疾人福利性单位应当同时满足以下条件：</w:t>
      </w:r>
    </w:p>
    <w:p>
      <w:pPr>
        <w:spacing w:line="400" w:lineRule="exact"/>
        <w:ind w:firstLine="422" w:firstLineChars="200"/>
        <w:rPr>
          <w:rFonts w:ascii="宋体" w:hAnsi="宋体"/>
          <w:b/>
          <w:szCs w:val="21"/>
          <w:highlight w:val="none"/>
        </w:rPr>
      </w:pPr>
      <w:r>
        <w:rPr>
          <w:rFonts w:hint="eastAsia" w:ascii="宋体" w:hAnsi="宋体"/>
          <w:b/>
          <w:szCs w:val="21"/>
          <w:highlight w:val="none"/>
        </w:rPr>
        <w:t>（一）安置的残疾人占本单位在职职工人数的比例不低于</w:t>
      </w:r>
      <w:r>
        <w:rPr>
          <w:rFonts w:ascii="宋体" w:hAnsi="宋体"/>
          <w:b/>
          <w:szCs w:val="21"/>
          <w:highlight w:val="none"/>
        </w:rPr>
        <w:t>25%</w:t>
      </w:r>
      <w:r>
        <w:rPr>
          <w:rFonts w:hint="eastAsia" w:ascii="宋体" w:hAnsi="宋体"/>
          <w:b/>
          <w:szCs w:val="21"/>
          <w:highlight w:val="none"/>
        </w:rPr>
        <w:t>（含</w:t>
      </w:r>
      <w:r>
        <w:rPr>
          <w:rFonts w:ascii="宋体" w:hAnsi="宋体"/>
          <w:b/>
          <w:szCs w:val="21"/>
          <w:highlight w:val="none"/>
        </w:rPr>
        <w:t>25%</w:t>
      </w:r>
      <w:r>
        <w:rPr>
          <w:rFonts w:hint="eastAsia" w:ascii="宋体" w:hAnsi="宋体"/>
          <w:b/>
          <w:szCs w:val="21"/>
          <w:highlight w:val="none"/>
        </w:rPr>
        <w:t>），并且安置的残疾人人数不少于</w:t>
      </w:r>
      <w:r>
        <w:rPr>
          <w:rFonts w:ascii="宋体" w:hAnsi="宋体"/>
          <w:b/>
          <w:szCs w:val="21"/>
          <w:highlight w:val="none"/>
        </w:rPr>
        <w:t>10</w:t>
      </w:r>
      <w:r>
        <w:rPr>
          <w:rFonts w:hint="eastAsia" w:ascii="宋体" w:hAnsi="宋体"/>
          <w:b/>
          <w:szCs w:val="21"/>
          <w:highlight w:val="none"/>
        </w:rPr>
        <w:t>人（含</w:t>
      </w:r>
      <w:r>
        <w:rPr>
          <w:rFonts w:ascii="宋体" w:hAnsi="宋体"/>
          <w:b/>
          <w:szCs w:val="21"/>
          <w:highlight w:val="none"/>
        </w:rPr>
        <w:t>10</w:t>
      </w:r>
      <w:r>
        <w:rPr>
          <w:rFonts w:hint="eastAsia" w:ascii="宋体" w:hAnsi="宋体"/>
          <w:b/>
          <w:szCs w:val="21"/>
          <w:highlight w:val="none"/>
        </w:rPr>
        <w:t>人）；</w:t>
      </w:r>
    </w:p>
    <w:p>
      <w:pPr>
        <w:spacing w:line="400" w:lineRule="exact"/>
        <w:ind w:firstLine="422" w:firstLineChars="200"/>
        <w:rPr>
          <w:rFonts w:ascii="宋体" w:hAnsi="宋体"/>
          <w:b/>
          <w:szCs w:val="21"/>
          <w:highlight w:val="none"/>
        </w:rPr>
      </w:pPr>
      <w:r>
        <w:rPr>
          <w:rFonts w:hint="eastAsia" w:ascii="宋体" w:hAnsi="宋体"/>
          <w:b/>
          <w:szCs w:val="21"/>
          <w:highlight w:val="none"/>
        </w:rPr>
        <w:t>（二）依法与安置的每位残疾人签订了一年以上（含一年）的劳动合同或服务协议；</w:t>
      </w:r>
    </w:p>
    <w:p>
      <w:pPr>
        <w:spacing w:line="400" w:lineRule="exact"/>
        <w:ind w:firstLine="422" w:firstLineChars="200"/>
        <w:rPr>
          <w:rFonts w:ascii="宋体" w:hAnsi="宋体"/>
          <w:b/>
          <w:szCs w:val="21"/>
          <w:highlight w:val="none"/>
        </w:rPr>
      </w:pPr>
      <w:r>
        <w:rPr>
          <w:rFonts w:hint="eastAsia" w:ascii="宋体" w:hAnsi="宋体"/>
          <w:b/>
          <w:szCs w:val="21"/>
          <w:highlight w:val="none"/>
        </w:rPr>
        <w:t>（三）为安置的每位残疾人按月足额缴纳了基本养老保险、基本医疗保险、失业保险、工伤保险和生育保险等社会保险费；</w:t>
      </w:r>
    </w:p>
    <w:p>
      <w:pPr>
        <w:spacing w:line="400" w:lineRule="exact"/>
        <w:ind w:firstLine="422" w:firstLineChars="200"/>
        <w:rPr>
          <w:rFonts w:ascii="宋体" w:hAnsi="宋体"/>
          <w:b/>
          <w:szCs w:val="21"/>
          <w:highlight w:val="none"/>
        </w:rPr>
      </w:pPr>
      <w:r>
        <w:rPr>
          <w:rFonts w:hint="eastAsia" w:ascii="宋体" w:hAnsi="宋体"/>
          <w:b/>
          <w:szCs w:val="21"/>
          <w:highlight w:val="none"/>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宋体" w:hAnsi="宋体"/>
          <w:b/>
          <w:szCs w:val="21"/>
          <w:highlight w:val="none"/>
        </w:rPr>
      </w:pPr>
      <w:r>
        <w:rPr>
          <w:rFonts w:hint="eastAsia" w:ascii="宋体" w:hAnsi="宋体"/>
          <w:b/>
          <w:szCs w:val="21"/>
          <w:highlight w:val="none"/>
        </w:rPr>
        <w:t>（五）提供本单位制造的货物、承担的工程或者服务（以下简称产品），或者提供其他残疾人福利性单位制造的货物（不包括使用非残疾人福利性单位注册商标的货物）。</w:t>
      </w:r>
    </w:p>
    <w:p>
      <w:pPr>
        <w:pStyle w:val="20"/>
        <w:spacing w:line="520" w:lineRule="exact"/>
        <w:ind w:firstLine="0"/>
        <w:rPr>
          <w:rFonts w:hint="eastAsia"/>
          <w:sz w:val="22"/>
          <w:szCs w:val="22"/>
          <w:highlight w:val="none"/>
        </w:rPr>
      </w:pPr>
      <w:r>
        <w:rPr>
          <w:rFonts w:hint="eastAsia" w:ascii="宋体" w:hAnsi="宋体"/>
          <w:b/>
          <w:szCs w:val="21"/>
          <w:highlight w:val="none"/>
        </w:rPr>
        <w:t>前款所称残疾人是指法定劳动年龄内，持有《中华人民共和国残疾人证》或者《中华人民共和国残疾军人证（</w:t>
      </w:r>
      <w:r>
        <w:rPr>
          <w:rFonts w:ascii="宋体" w:hAnsi="宋体"/>
          <w:b/>
          <w:szCs w:val="21"/>
          <w:highlight w:val="none"/>
        </w:rPr>
        <w:t>1</w:t>
      </w:r>
      <w:r>
        <w:rPr>
          <w:rFonts w:hint="eastAsia" w:ascii="宋体" w:hAnsi="宋体"/>
          <w:b/>
          <w:szCs w:val="21"/>
          <w:highlight w:val="none"/>
        </w:rPr>
        <w:t>至</w:t>
      </w:r>
      <w:r>
        <w:rPr>
          <w:rFonts w:ascii="宋体" w:hAnsi="宋体"/>
          <w:b/>
          <w:szCs w:val="21"/>
          <w:highlight w:val="none"/>
        </w:rPr>
        <w:t>8</w:t>
      </w:r>
      <w:r>
        <w:rPr>
          <w:rFonts w:hint="eastAsia" w:ascii="宋体" w:hAnsi="宋体"/>
          <w:b/>
          <w:szCs w:val="21"/>
          <w:highlight w:val="none"/>
        </w:rPr>
        <w:t>级）》的自然人，包括具有劳动条件和劳动意愿的精神残疾人。在职职工人数是指与残疾人福利性单位建立劳动关系并依法签订劳动合同或者服务协议的雇员人数。</w:t>
      </w:r>
    </w:p>
    <w:p>
      <w:pPr>
        <w:pStyle w:val="20"/>
        <w:spacing w:line="520" w:lineRule="exact"/>
        <w:ind w:firstLine="0"/>
        <w:rPr>
          <w:rFonts w:hint="eastAsia"/>
          <w:sz w:val="22"/>
          <w:szCs w:val="22"/>
          <w:highlight w:val="none"/>
        </w:rPr>
      </w:pPr>
    </w:p>
    <w:p>
      <w:pPr>
        <w:pStyle w:val="7"/>
        <w:tabs>
          <w:tab w:val="left" w:pos="720"/>
        </w:tabs>
        <w:spacing w:line="380" w:lineRule="exact"/>
        <w:jc w:val="center"/>
        <w:rPr>
          <w:rFonts w:hint="eastAsia" w:ascii="宋体" w:hAnsi="宋体" w:eastAsia="宋体" w:cs="Times New Roman"/>
          <w:b/>
          <w:bCs/>
          <w:sz w:val="28"/>
          <w:szCs w:val="28"/>
          <w:highlight w:val="none"/>
        </w:rPr>
      </w:pPr>
      <w:bookmarkStart w:id="95" w:name="_Toc27564"/>
      <w:r>
        <w:rPr>
          <w:rFonts w:hint="eastAsia" w:ascii="宋体" w:hAnsi="宋体" w:eastAsia="宋体" w:cs="Times New Roman"/>
          <w:b/>
          <w:bCs/>
          <w:sz w:val="28"/>
          <w:szCs w:val="28"/>
          <w:highlight w:val="none"/>
        </w:rPr>
        <w:t>（</w:t>
      </w:r>
      <w:r>
        <w:rPr>
          <w:rFonts w:hint="eastAsia" w:ascii="宋体" w:hAnsi="宋体" w:eastAsia="宋体" w:cs="Times New Roman"/>
          <w:b/>
          <w:bCs/>
          <w:sz w:val="28"/>
          <w:szCs w:val="28"/>
          <w:highlight w:val="none"/>
          <w:lang w:val="en-US" w:eastAsia="zh-CN"/>
        </w:rPr>
        <w:t>六</w:t>
      </w:r>
      <w:r>
        <w:rPr>
          <w:rFonts w:hint="eastAsia" w:ascii="宋体" w:hAnsi="宋体" w:eastAsia="宋体" w:cs="Times New Roman"/>
          <w:b/>
          <w:bCs/>
          <w:sz w:val="28"/>
          <w:szCs w:val="28"/>
          <w:highlight w:val="none"/>
        </w:rPr>
        <w:t>）供应商的特定条件的证明文件</w:t>
      </w:r>
      <w:bookmarkEnd w:id="95"/>
    </w:p>
    <w:p>
      <w:pPr>
        <w:jc w:val="center"/>
        <w:rPr>
          <w:sz w:val="32"/>
          <w:szCs w:val="32"/>
          <w:highlight w:val="none"/>
        </w:rPr>
      </w:pPr>
      <w:r>
        <w:rPr>
          <w:rFonts w:hint="eastAsia" w:ascii="Cambria" w:hAnsi="Cambria" w:cs="宋体"/>
          <w:kern w:val="0"/>
          <w:sz w:val="24"/>
          <w:szCs w:val="24"/>
          <w:highlight w:val="none"/>
        </w:rPr>
        <w:t>（根据采购文件第一章“公开招标采购公告”中的供应商特定资格要求提供）</w:t>
      </w:r>
    </w:p>
    <w:p>
      <w:pPr>
        <w:widowControl/>
        <w:spacing w:line="360" w:lineRule="auto"/>
        <w:ind w:firstLine="480" w:firstLineChars="200"/>
        <w:jc w:val="center"/>
        <w:rPr>
          <w:rFonts w:hint="eastAsia" w:ascii="宋体" w:hAnsi="宋体" w:cs="宋体"/>
          <w:sz w:val="24"/>
          <w:szCs w:val="24"/>
          <w:highlight w:val="none"/>
        </w:rPr>
      </w:pPr>
    </w:p>
    <w:p>
      <w:pPr>
        <w:spacing w:line="360" w:lineRule="auto"/>
        <w:rPr>
          <w:rFonts w:ascii="宋体" w:hAnsi="宋体" w:cs="宋体"/>
          <w:color w:val="auto"/>
          <w:kern w:val="0"/>
          <w:sz w:val="24"/>
          <w:highlight w:val="none"/>
        </w:rPr>
      </w:pPr>
      <w:r>
        <w:rPr>
          <w:rFonts w:hint="eastAsia" w:ascii="宋体" w:hAnsi="宋体"/>
          <w:color w:val="auto"/>
          <w:sz w:val="24"/>
          <w:szCs w:val="24"/>
          <w:highlight w:val="none"/>
        </w:rPr>
        <w:br w:type="page"/>
      </w:r>
      <w:r>
        <w:rPr>
          <w:rFonts w:hint="eastAsia" w:ascii="宋体" w:hAnsi="宋体" w:cs="宋体"/>
          <w:b/>
          <w:bCs/>
          <w:color w:val="auto"/>
          <w:kern w:val="0"/>
          <w:szCs w:val="21"/>
          <w:highlight w:val="none"/>
        </w:rPr>
        <w:t xml:space="preserve">商务技术文件组成： </w:t>
      </w:r>
    </w:p>
    <w:p>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（1）委托代理人的身份证、法定代表人身份证明及法定代表人授权委托书（或法定代表人身份证及法定代表人身份证明）；</w:t>
      </w:r>
    </w:p>
    <w:p>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（2）供应商基本情况表； </w:t>
      </w:r>
    </w:p>
    <w:p>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（3）技术、商务条款偏离表</w:t>
      </w:r>
      <w:r>
        <w:rPr>
          <w:rFonts w:hint="eastAsia" w:ascii="宋体" w:hAnsi="宋体" w:eastAsia="宋体" w:cs="宋体"/>
          <w:color w:val="auto"/>
          <w:kern w:val="0"/>
          <w:szCs w:val="21"/>
          <w:highlight w:val="none"/>
        </w:rPr>
        <w:t>；</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根据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第五章  评标办法及评分标准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中“评分标准”要求提供的资料（如有需提供）</w:t>
      </w:r>
      <w:r>
        <w:rPr>
          <w:rFonts w:hint="eastAsia" w:ascii="宋体" w:hAnsi="宋体" w:eastAsia="宋体" w:cs="宋体"/>
          <w:color w:val="auto"/>
          <w:kern w:val="0"/>
          <w:szCs w:val="21"/>
          <w:highlight w:val="none"/>
        </w:rPr>
        <w:t>；</w:t>
      </w:r>
    </w:p>
    <w:p>
      <w:pPr>
        <w:widowControl/>
        <w:spacing w:line="360" w:lineRule="auto"/>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kern w:val="0"/>
          <w:szCs w:val="21"/>
          <w:highlight w:val="none"/>
        </w:rPr>
        <w:t>（5）供应商认为需要提供的其他技术商务材料。</w:t>
      </w: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after="120" w:line="352" w:lineRule="auto"/>
        <w:ind w:left="420" w:leftChars="200"/>
        <w:jc w:val="center"/>
        <w:rPr>
          <w:rFonts w:hint="eastAsia" w:ascii="宋体" w:hAnsi="宋体" w:eastAsia="宋体" w:cs="宋体"/>
          <w:b/>
          <w:color w:val="auto"/>
          <w:spacing w:val="8"/>
          <w:kern w:val="44"/>
          <w:sz w:val="28"/>
          <w:szCs w:val="28"/>
          <w:highlight w:val="none"/>
        </w:rPr>
      </w:pPr>
      <w:r>
        <w:rPr>
          <w:rFonts w:hint="eastAsia" w:ascii="宋体" w:hAnsi="宋体"/>
          <w:color w:val="auto"/>
          <w:sz w:val="24"/>
          <w:szCs w:val="24"/>
          <w:highlight w:val="none"/>
        </w:rPr>
        <w:br w:type="page"/>
      </w:r>
      <w:r>
        <w:rPr>
          <w:rFonts w:hint="eastAsia" w:ascii="宋体" w:hAnsi="宋体" w:eastAsia="宋体" w:cs="宋体"/>
          <w:b/>
          <w:color w:val="auto"/>
          <w:kern w:val="0"/>
          <w:sz w:val="28"/>
          <w:szCs w:val="28"/>
          <w:highlight w:val="none"/>
        </w:rPr>
        <w:t>（一）</w:t>
      </w:r>
      <w:r>
        <w:rPr>
          <w:rFonts w:hint="eastAsia" w:ascii="宋体" w:hAnsi="宋体" w:eastAsia="宋体" w:cs="宋体"/>
          <w:b/>
          <w:color w:val="auto"/>
          <w:spacing w:val="8"/>
          <w:kern w:val="44"/>
          <w:sz w:val="28"/>
          <w:szCs w:val="28"/>
          <w:highlight w:val="none"/>
        </w:rPr>
        <w:t>法定代表人授权委托书</w:t>
      </w:r>
    </w:p>
    <w:p>
      <w:pPr>
        <w:spacing w:after="120" w:line="352" w:lineRule="auto"/>
        <w:ind w:left="420" w:leftChars="200"/>
        <w:jc w:val="center"/>
        <w:rPr>
          <w:rFonts w:hint="eastAsia" w:ascii="宋体" w:hAnsi="宋体" w:eastAsia="宋体" w:cs="宋体"/>
          <w:color w:val="auto"/>
          <w:kern w:val="0"/>
          <w:sz w:val="24"/>
          <w:highlight w:val="none"/>
        </w:rPr>
      </w:pPr>
    </w:p>
    <w:p>
      <w:pPr>
        <w:spacing w:after="120" w:line="352"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spacing w:after="120" w:line="352" w:lineRule="auto"/>
        <w:ind w:left="420" w:leftChars="200"/>
        <w:rPr>
          <w:rFonts w:hint="eastAsia" w:ascii="宋体" w:hAnsi="宋体" w:eastAsia="宋体" w:cs="宋体"/>
          <w:color w:val="auto"/>
          <w:kern w:val="0"/>
          <w:szCs w:val="21"/>
          <w:highlight w:val="none"/>
        </w:rPr>
      </w:pPr>
    </w:p>
    <w:p>
      <w:pPr>
        <w:spacing w:after="120" w:line="360" w:lineRule="auto"/>
        <w:ind w:firstLine="420" w:firstLineChars="200"/>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u w:val="single"/>
        </w:rPr>
        <w:t xml:space="preserve">              （供应商全称）      </w:t>
      </w:r>
      <w:r>
        <w:rPr>
          <w:rFonts w:hint="eastAsia" w:ascii="宋体" w:hAnsi="宋体" w:eastAsia="宋体" w:cs="宋体"/>
          <w:i w:val="0"/>
          <w:iCs w:val="0"/>
          <w:color w:val="auto"/>
          <w:kern w:val="0"/>
          <w:szCs w:val="21"/>
          <w:highlight w:val="none"/>
        </w:rPr>
        <w:t>法定代表人</w:t>
      </w:r>
      <w:r>
        <w:rPr>
          <w:rFonts w:hint="eastAsia" w:ascii="宋体" w:hAnsi="宋体" w:eastAsia="宋体" w:cs="宋体"/>
          <w:i w:val="0"/>
          <w:iCs w:val="0"/>
          <w:color w:val="auto"/>
          <w:kern w:val="0"/>
          <w:szCs w:val="21"/>
          <w:highlight w:val="none"/>
          <w:u w:val="single"/>
        </w:rPr>
        <w:t xml:space="preserve">  （姓名、职务）              </w:t>
      </w:r>
      <w:r>
        <w:rPr>
          <w:rFonts w:hint="eastAsia" w:ascii="宋体" w:hAnsi="宋体" w:eastAsia="宋体" w:cs="宋体"/>
          <w:i w:val="0"/>
          <w:iCs w:val="0"/>
          <w:color w:val="auto"/>
          <w:kern w:val="0"/>
          <w:szCs w:val="21"/>
          <w:highlight w:val="none"/>
        </w:rPr>
        <w:t>授权</w:t>
      </w:r>
      <w:r>
        <w:rPr>
          <w:rFonts w:hint="eastAsia" w:ascii="宋体" w:hAnsi="宋体" w:eastAsia="宋体" w:cs="宋体"/>
          <w:i w:val="0"/>
          <w:iCs w:val="0"/>
          <w:color w:val="auto"/>
          <w:kern w:val="0"/>
          <w:szCs w:val="21"/>
          <w:highlight w:val="none"/>
          <w:u w:val="single"/>
        </w:rPr>
        <w:t xml:space="preserve">   （被授权代表姓名、职务）              </w:t>
      </w:r>
      <w:r>
        <w:rPr>
          <w:rFonts w:hint="eastAsia" w:ascii="宋体" w:hAnsi="宋体" w:eastAsia="宋体" w:cs="宋体"/>
          <w:i w:val="0"/>
          <w:iCs w:val="0"/>
          <w:color w:val="auto"/>
          <w:kern w:val="0"/>
          <w:szCs w:val="21"/>
          <w:highlight w:val="none"/>
        </w:rPr>
        <w:t>为本公司合法代理人，参加贵招标代理公司组织的</w:t>
      </w:r>
      <w:r>
        <w:rPr>
          <w:rFonts w:hint="eastAsia" w:ascii="宋体" w:hAnsi="宋体" w:eastAsia="宋体" w:cs="宋体"/>
          <w:i w:val="0"/>
          <w:iCs w:val="0"/>
          <w:color w:val="auto"/>
          <w:kern w:val="0"/>
          <w:szCs w:val="21"/>
          <w:highlight w:val="none"/>
          <w:u w:val="single"/>
        </w:rPr>
        <w:t xml:space="preserve">   （项目编号） </w:t>
      </w:r>
      <w:r>
        <w:rPr>
          <w:rFonts w:hint="eastAsia" w:ascii="宋体" w:hAnsi="宋体" w:eastAsia="宋体" w:cs="宋体"/>
          <w:i w:val="0"/>
          <w:iCs w:val="0"/>
          <w:color w:val="auto"/>
          <w:kern w:val="0"/>
          <w:szCs w:val="21"/>
          <w:highlight w:val="none"/>
          <w:u w:val="single"/>
          <w:lang w:eastAsia="zh-CN"/>
        </w:rPr>
        <w:t>（</w:t>
      </w:r>
      <w:r>
        <w:rPr>
          <w:rFonts w:hint="eastAsia" w:ascii="宋体" w:hAnsi="宋体" w:eastAsia="宋体" w:cs="宋体"/>
          <w:i w:val="0"/>
          <w:iCs w:val="0"/>
          <w:color w:val="auto"/>
          <w:kern w:val="0"/>
          <w:szCs w:val="21"/>
          <w:highlight w:val="none"/>
          <w:u w:val="single"/>
        </w:rPr>
        <w:t>项目名称</w:t>
      </w:r>
      <w:r>
        <w:rPr>
          <w:rFonts w:hint="eastAsia" w:ascii="宋体" w:hAnsi="宋体" w:eastAsia="宋体" w:cs="宋体"/>
          <w:i w:val="0"/>
          <w:iCs w:val="0"/>
          <w:color w:val="auto"/>
          <w:kern w:val="0"/>
          <w:szCs w:val="21"/>
          <w:highlight w:val="none"/>
          <w:u w:val="single"/>
          <w:lang w:eastAsia="zh-CN"/>
        </w:rPr>
        <w:t>）</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项目的</w:t>
      </w:r>
      <w:r>
        <w:rPr>
          <w:rFonts w:hint="eastAsia" w:ascii="宋体" w:hAnsi="宋体" w:eastAsia="宋体" w:cs="宋体"/>
          <w:i w:val="0"/>
          <w:iCs w:val="0"/>
          <w:color w:val="auto"/>
          <w:kern w:val="0"/>
          <w:szCs w:val="21"/>
          <w:highlight w:val="none"/>
          <w:lang w:val="en-US" w:eastAsia="zh-CN"/>
        </w:rPr>
        <w:t>公开招标</w:t>
      </w:r>
      <w:r>
        <w:rPr>
          <w:rFonts w:hint="eastAsia" w:ascii="宋体" w:hAnsi="宋体" w:eastAsia="宋体" w:cs="宋体"/>
          <w:i w:val="0"/>
          <w:iCs w:val="0"/>
          <w:color w:val="auto"/>
          <w:kern w:val="0"/>
          <w:szCs w:val="21"/>
          <w:highlight w:val="none"/>
        </w:rPr>
        <w:t>活动，代表本公司处理</w:t>
      </w:r>
      <w:r>
        <w:rPr>
          <w:rFonts w:hint="eastAsia" w:ascii="宋体" w:hAnsi="宋体" w:eastAsia="宋体" w:cs="宋体"/>
          <w:i w:val="0"/>
          <w:iCs w:val="0"/>
          <w:color w:val="auto"/>
          <w:kern w:val="0"/>
          <w:szCs w:val="21"/>
          <w:highlight w:val="none"/>
          <w:lang w:val="en-US" w:eastAsia="zh-CN"/>
        </w:rPr>
        <w:t>招标</w:t>
      </w:r>
      <w:r>
        <w:rPr>
          <w:rFonts w:hint="eastAsia" w:ascii="宋体" w:hAnsi="宋体" w:eastAsia="宋体" w:cs="宋体"/>
          <w:i w:val="0"/>
          <w:iCs w:val="0"/>
          <w:color w:val="auto"/>
          <w:kern w:val="0"/>
          <w:szCs w:val="21"/>
          <w:highlight w:val="none"/>
        </w:rPr>
        <w:t>活动中的一切事宜。</w:t>
      </w:r>
    </w:p>
    <w:p>
      <w:pPr>
        <w:spacing w:after="120" w:line="360" w:lineRule="auto"/>
        <w:ind w:firstLine="420" w:firstLineChars="200"/>
        <w:rPr>
          <w:rFonts w:hint="eastAsia" w:ascii="宋体" w:hAnsi="宋体" w:eastAsia="宋体" w:cs="宋体"/>
          <w:i w:val="0"/>
          <w:iCs w:val="0"/>
          <w:color w:val="auto"/>
          <w:kern w:val="0"/>
          <w:szCs w:val="21"/>
          <w:highlight w:val="none"/>
          <w:u w:val="single"/>
        </w:rPr>
      </w:pPr>
      <w:r>
        <w:rPr>
          <w:rFonts w:hint="eastAsia" w:ascii="宋体" w:hAnsi="宋体" w:eastAsia="宋体" w:cs="宋体"/>
          <w:i w:val="0"/>
          <w:iCs w:val="0"/>
          <w:color w:val="auto"/>
          <w:kern w:val="0"/>
          <w:szCs w:val="21"/>
          <w:highlight w:val="none"/>
        </w:rPr>
        <w:t>本授权书于</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年</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月</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日签字生效，特此声明。</w:t>
      </w:r>
    </w:p>
    <w:p>
      <w:pPr>
        <w:spacing w:after="120" w:line="400" w:lineRule="exact"/>
        <w:ind w:left="420" w:leftChars="200"/>
        <w:rPr>
          <w:rFonts w:hint="eastAsia" w:ascii="宋体" w:hAnsi="宋体" w:eastAsia="宋体" w:cs="宋体"/>
          <w:color w:val="auto"/>
          <w:kern w:val="0"/>
          <w:szCs w:val="21"/>
          <w:highlight w:val="none"/>
        </w:rPr>
      </w:pP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供应商（公章）：</w:t>
      </w:r>
    </w:p>
    <w:p>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Cs w:val="21"/>
          <w:highlight w:val="none"/>
        </w:rPr>
        <w:t>法定代表人或授权代表人（签字或盖章）</w:t>
      </w:r>
      <w:r>
        <w:rPr>
          <w:rFonts w:hint="eastAsia" w:ascii="宋体" w:hAnsi="宋体" w:eastAsia="宋体" w:cs="宋体"/>
          <w:color w:val="auto"/>
          <w:sz w:val="22"/>
          <w:szCs w:val="22"/>
          <w:highlight w:val="none"/>
        </w:rPr>
        <w:t>：</w:t>
      </w:r>
    </w:p>
    <w:p>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p>
    <w:p>
      <w:pPr>
        <w:spacing w:after="120" w:line="400" w:lineRule="exact"/>
        <w:ind w:left="420" w:leftChars="200"/>
        <w:rPr>
          <w:rFonts w:hint="eastAsia" w:ascii="宋体" w:hAnsi="宋体" w:eastAsia="宋体" w:cs="宋体"/>
          <w:color w:val="auto"/>
          <w:kern w:val="0"/>
          <w:szCs w:val="21"/>
          <w:highlight w:val="none"/>
        </w:rPr>
      </w:pPr>
    </w:p>
    <w:p>
      <w:pPr>
        <w:spacing w:after="120" w:line="400" w:lineRule="exact"/>
        <w:ind w:left="420" w:left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p>
    <w:p>
      <w:pPr>
        <w:spacing w:after="120" w:line="400" w:lineRule="exact"/>
        <w:ind w:left="420" w:left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被授权代表姓名：（印刷体）</w:t>
      </w:r>
    </w:p>
    <w:p>
      <w:pPr>
        <w:spacing w:after="120" w:line="400" w:lineRule="exact"/>
        <w:ind w:left="420" w:left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职          务：</w:t>
      </w:r>
    </w:p>
    <w:p>
      <w:pPr>
        <w:spacing w:after="120" w:line="400" w:lineRule="exact"/>
        <w:ind w:left="420" w:leftChars="200" w:firstLine="2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被授权代表签字：</w:t>
      </w:r>
    </w:p>
    <w:p>
      <w:pPr>
        <w:spacing w:after="120" w:line="400" w:lineRule="exact"/>
        <w:ind w:left="420" w:left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详细通讯地址：</w:t>
      </w:r>
    </w:p>
    <w:p>
      <w:pPr>
        <w:spacing w:after="120" w:line="400" w:lineRule="exact"/>
        <w:ind w:left="420" w:left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邮 政 编  码：</w:t>
      </w:r>
    </w:p>
    <w:p>
      <w:pPr>
        <w:spacing w:after="120" w:line="400" w:lineRule="exact"/>
        <w:ind w:left="420" w:left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传        真：</w:t>
      </w:r>
    </w:p>
    <w:p>
      <w:pPr>
        <w:spacing w:after="120" w:line="400" w:lineRule="exact"/>
        <w:ind w:left="420" w:left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电        话：</w:t>
      </w:r>
    </w:p>
    <w:p>
      <w:pPr>
        <w:spacing w:after="120" w:line="352" w:lineRule="auto"/>
        <w:ind w:firstLine="620" w:firstLineChars="294"/>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附：法定代表人或授权代表人身份证正反面复印件</w:t>
      </w:r>
    </w:p>
    <w:p>
      <w:pPr>
        <w:spacing w:after="120" w:line="352" w:lineRule="auto"/>
        <w:rPr>
          <w:rFonts w:hint="eastAsia" w:ascii="宋体" w:hAnsi="宋体" w:eastAsia="宋体" w:cs="宋体"/>
          <w:b/>
          <w:color w:val="auto"/>
          <w:kern w:val="0"/>
          <w:szCs w:val="21"/>
          <w:highlight w:val="none"/>
        </w:rPr>
      </w:pPr>
    </w:p>
    <w:p>
      <w:pPr>
        <w:spacing w:after="120" w:line="352" w:lineRule="auto"/>
        <w:rPr>
          <w:rFonts w:hint="eastAsia" w:ascii="宋体" w:hAnsi="宋体" w:eastAsia="宋体" w:cs="宋体"/>
          <w:b/>
          <w:color w:val="auto"/>
          <w:kern w:val="0"/>
          <w:szCs w:val="21"/>
          <w:highlight w:val="none"/>
        </w:rPr>
      </w:pPr>
    </w:p>
    <w:p>
      <w:pPr>
        <w:spacing w:after="120" w:line="352" w:lineRule="auto"/>
        <w:rPr>
          <w:rFonts w:hint="eastAsia" w:ascii="宋体" w:hAnsi="宋体" w:eastAsia="宋体" w:cs="宋体"/>
          <w:b/>
          <w:color w:val="auto"/>
          <w:kern w:val="0"/>
          <w:szCs w:val="21"/>
          <w:highlight w:val="none"/>
        </w:rPr>
      </w:pPr>
    </w:p>
    <w:p>
      <w:pPr>
        <w:pStyle w:val="4"/>
        <w:spacing w:line="360" w:lineRule="auto"/>
        <w:jc w:val="center"/>
        <w:rPr>
          <w:rFonts w:hint="eastAsia" w:ascii="宋体" w:hAnsi="宋体" w:eastAsia="宋体" w:cs="宋体"/>
          <w:b/>
          <w:bCs w:val="0"/>
          <w:color w:val="auto"/>
          <w:spacing w:val="8"/>
          <w:kern w:val="44"/>
          <w:sz w:val="28"/>
          <w:szCs w:val="28"/>
          <w:highlight w:val="none"/>
          <w:lang w:val="en-US" w:eastAsia="zh-CN" w:bidi="ar-SA"/>
        </w:rPr>
      </w:pPr>
      <w:bookmarkStart w:id="96" w:name="_Toc9695"/>
      <w:r>
        <w:rPr>
          <w:rFonts w:hint="eastAsia" w:ascii="宋体" w:hAnsi="宋体" w:eastAsia="宋体" w:cs="宋体"/>
          <w:b/>
          <w:bCs w:val="0"/>
          <w:color w:val="auto"/>
          <w:spacing w:val="8"/>
          <w:kern w:val="44"/>
          <w:sz w:val="28"/>
          <w:szCs w:val="28"/>
          <w:highlight w:val="none"/>
          <w:lang w:val="en-US" w:eastAsia="zh-CN" w:bidi="ar-SA"/>
        </w:rPr>
        <w:t>法定代表人身份证明</w:t>
      </w:r>
      <w:bookmarkEnd w:id="96"/>
    </w:p>
    <w:p>
      <w:pPr>
        <w:spacing w:line="480" w:lineRule="auto"/>
        <w:ind w:firstLine="420" w:firstLineChars="200"/>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pPr>
        <w:spacing w:line="48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wordWrap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360" w:lineRule="auto"/>
        <w:ind w:firstLine="4515" w:firstLineChars="2150"/>
        <w:rPr>
          <w:rFonts w:hint="eastAsia" w:ascii="宋体" w:hAnsi="宋体" w:eastAsia="宋体" w:cs="宋体"/>
          <w:color w:val="auto"/>
          <w:szCs w:val="21"/>
          <w:highlight w:val="none"/>
          <w:u w:val="single"/>
        </w:rPr>
      </w:pPr>
    </w:p>
    <w:p>
      <w:pPr>
        <w:spacing w:line="360" w:lineRule="auto"/>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附法定代表人身份证复印件（正反面）：</w:t>
      </w:r>
    </w:p>
    <w:p>
      <w:pPr>
        <w:rPr>
          <w:rFonts w:hint="eastAsia" w:ascii="宋体" w:hAnsi="宋体" w:eastAsia="宋体" w:cs="宋体"/>
          <w:color w:val="auto"/>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ind w:firstLine="205" w:firstLineChars="98"/>
        <w:rPr>
          <w:rFonts w:hint="eastAsia" w:ascii="宋体" w:hAnsi="宋体" w:eastAsia="宋体" w:cs="宋体"/>
          <w:color w:val="auto"/>
          <w:highlight w:val="none"/>
        </w:rPr>
      </w:pPr>
    </w:p>
    <w:p>
      <w:pPr>
        <w:pStyle w:val="4"/>
        <w:spacing w:line="360" w:lineRule="auto"/>
        <w:jc w:val="center"/>
        <w:rPr>
          <w:rFonts w:hint="eastAsia" w:ascii="宋体" w:hAnsi="宋体" w:eastAsia="宋体" w:cs="宋体"/>
          <w:color w:val="auto"/>
          <w:szCs w:val="28"/>
          <w:highlight w:val="none"/>
        </w:rPr>
      </w:pPr>
      <w:bookmarkStart w:id="97" w:name="_Toc516480377"/>
      <w:bookmarkStart w:id="98" w:name="_Toc513799090"/>
      <w:bookmarkStart w:id="99" w:name="_Toc53670321"/>
      <w:r>
        <w:rPr>
          <w:rFonts w:hint="eastAsia" w:ascii="宋体" w:hAnsi="宋体" w:eastAsia="宋体" w:cs="宋体"/>
          <w:color w:val="auto"/>
          <w:szCs w:val="28"/>
          <w:highlight w:val="none"/>
        </w:rPr>
        <w:br w:type="page"/>
      </w:r>
      <w:bookmarkStart w:id="100" w:name="_Toc1950"/>
      <w:r>
        <w:rPr>
          <w:rFonts w:hint="eastAsia" w:ascii="宋体" w:hAnsi="宋体" w:eastAsia="宋体" w:cs="宋体"/>
          <w:b/>
          <w:bCs w:val="0"/>
          <w:color w:val="auto"/>
          <w:kern w:val="0"/>
          <w:sz w:val="28"/>
          <w:szCs w:val="28"/>
          <w:highlight w:val="none"/>
          <w:lang w:val="en-US" w:eastAsia="zh-CN" w:bidi="ar-SA"/>
        </w:rPr>
        <w:t>（二）供应商基本情况表</w:t>
      </w:r>
      <w:bookmarkEnd w:id="97"/>
      <w:bookmarkEnd w:id="98"/>
      <w:bookmarkEnd w:id="99"/>
      <w:bookmarkEnd w:id="100"/>
    </w:p>
    <w:tbl>
      <w:tblPr>
        <w:tblStyle w:val="4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850"/>
        <w:gridCol w:w="1274"/>
        <w:gridCol w:w="1219"/>
        <w:gridCol w:w="1266"/>
        <w:gridCol w:w="793"/>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7140" w:type="dxa"/>
            <w:gridSpan w:val="6"/>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343" w:type="dxa"/>
            <w:gridSpan w:val="3"/>
            <w:noWrap w:val="0"/>
            <w:vAlign w:val="center"/>
          </w:tcPr>
          <w:p>
            <w:pPr>
              <w:spacing w:line="320" w:lineRule="exact"/>
              <w:jc w:val="center"/>
              <w:rPr>
                <w:rFonts w:hint="eastAsia" w:ascii="宋体" w:hAnsi="宋体" w:eastAsia="宋体" w:cs="宋体"/>
                <w:color w:val="auto"/>
                <w:szCs w:val="21"/>
                <w:highlight w:val="none"/>
              </w:rPr>
            </w:pPr>
          </w:p>
        </w:tc>
        <w:tc>
          <w:tcPr>
            <w:tcW w:w="126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531" w:type="dxa"/>
            <w:gridSpan w:val="2"/>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058" w:type="dxa"/>
            <w:vMerge w:val="restart"/>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50"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493" w:type="dxa"/>
            <w:gridSpan w:val="2"/>
            <w:noWrap w:val="0"/>
            <w:vAlign w:val="center"/>
          </w:tcPr>
          <w:p>
            <w:pPr>
              <w:spacing w:line="320" w:lineRule="exact"/>
              <w:jc w:val="center"/>
              <w:rPr>
                <w:rFonts w:hint="eastAsia" w:ascii="宋体" w:hAnsi="宋体" w:eastAsia="宋体" w:cs="宋体"/>
                <w:color w:val="auto"/>
                <w:szCs w:val="21"/>
                <w:highlight w:val="none"/>
              </w:rPr>
            </w:pPr>
          </w:p>
        </w:tc>
        <w:tc>
          <w:tcPr>
            <w:tcW w:w="126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2531" w:type="dxa"/>
            <w:gridSpan w:val="2"/>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058"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850"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493" w:type="dxa"/>
            <w:gridSpan w:val="2"/>
            <w:noWrap w:val="0"/>
            <w:vAlign w:val="center"/>
          </w:tcPr>
          <w:p>
            <w:pPr>
              <w:spacing w:line="320" w:lineRule="exact"/>
              <w:jc w:val="center"/>
              <w:rPr>
                <w:rFonts w:hint="eastAsia" w:ascii="宋体" w:hAnsi="宋体" w:eastAsia="宋体" w:cs="宋体"/>
                <w:color w:val="auto"/>
                <w:szCs w:val="21"/>
                <w:highlight w:val="none"/>
              </w:rPr>
            </w:pPr>
          </w:p>
        </w:tc>
        <w:tc>
          <w:tcPr>
            <w:tcW w:w="126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电子邮址</w:t>
            </w:r>
          </w:p>
        </w:tc>
        <w:tc>
          <w:tcPr>
            <w:tcW w:w="2531" w:type="dxa"/>
            <w:gridSpan w:val="2"/>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850"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274" w:type="dxa"/>
            <w:noWrap w:val="0"/>
            <w:vAlign w:val="center"/>
          </w:tcPr>
          <w:p>
            <w:pPr>
              <w:spacing w:line="320" w:lineRule="exact"/>
              <w:jc w:val="center"/>
              <w:rPr>
                <w:rFonts w:hint="eastAsia" w:ascii="宋体" w:hAnsi="宋体" w:eastAsia="宋体" w:cs="宋体"/>
                <w:color w:val="auto"/>
                <w:szCs w:val="21"/>
                <w:highlight w:val="none"/>
              </w:rPr>
            </w:pPr>
          </w:p>
        </w:tc>
        <w:tc>
          <w:tcPr>
            <w:tcW w:w="1219"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66" w:type="dxa"/>
            <w:noWrap w:val="0"/>
            <w:vAlign w:val="center"/>
          </w:tcPr>
          <w:p>
            <w:pPr>
              <w:spacing w:line="320" w:lineRule="exact"/>
              <w:jc w:val="center"/>
              <w:rPr>
                <w:rFonts w:hint="eastAsia" w:ascii="宋体" w:hAnsi="宋体" w:eastAsia="宋体" w:cs="宋体"/>
                <w:color w:val="auto"/>
                <w:szCs w:val="21"/>
                <w:highlight w:val="none"/>
              </w:rPr>
            </w:pPr>
          </w:p>
        </w:tc>
        <w:tc>
          <w:tcPr>
            <w:tcW w:w="793"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38"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850"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274" w:type="dxa"/>
            <w:noWrap w:val="0"/>
            <w:vAlign w:val="center"/>
          </w:tcPr>
          <w:p>
            <w:pPr>
              <w:spacing w:line="320" w:lineRule="exact"/>
              <w:jc w:val="center"/>
              <w:rPr>
                <w:rFonts w:hint="eastAsia" w:ascii="宋体" w:hAnsi="宋体" w:eastAsia="宋体" w:cs="宋体"/>
                <w:color w:val="auto"/>
                <w:szCs w:val="21"/>
                <w:highlight w:val="none"/>
              </w:rPr>
            </w:pPr>
          </w:p>
        </w:tc>
        <w:tc>
          <w:tcPr>
            <w:tcW w:w="1219"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66" w:type="dxa"/>
            <w:noWrap w:val="0"/>
            <w:vAlign w:val="center"/>
          </w:tcPr>
          <w:p>
            <w:pPr>
              <w:spacing w:line="320" w:lineRule="exact"/>
              <w:jc w:val="center"/>
              <w:rPr>
                <w:rFonts w:hint="eastAsia" w:ascii="宋体" w:hAnsi="宋体" w:eastAsia="宋体" w:cs="宋体"/>
                <w:color w:val="auto"/>
                <w:szCs w:val="21"/>
                <w:highlight w:val="none"/>
              </w:rPr>
            </w:pPr>
          </w:p>
        </w:tc>
        <w:tc>
          <w:tcPr>
            <w:tcW w:w="793"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38"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3343" w:type="dxa"/>
            <w:gridSpan w:val="3"/>
            <w:noWrap w:val="0"/>
            <w:vAlign w:val="center"/>
          </w:tcPr>
          <w:p>
            <w:pPr>
              <w:spacing w:line="320" w:lineRule="exact"/>
              <w:jc w:val="center"/>
              <w:rPr>
                <w:rFonts w:hint="eastAsia" w:ascii="宋体" w:hAnsi="宋体" w:eastAsia="宋体" w:cs="宋体"/>
                <w:color w:val="auto"/>
                <w:szCs w:val="21"/>
                <w:highlight w:val="none"/>
              </w:rPr>
            </w:pPr>
          </w:p>
        </w:tc>
        <w:tc>
          <w:tcPr>
            <w:tcW w:w="3797" w:type="dxa"/>
            <w:gridSpan w:val="3"/>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7140" w:type="dxa"/>
            <w:gridSpan w:val="6"/>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7140" w:type="dxa"/>
            <w:gridSpan w:val="6"/>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7140" w:type="dxa"/>
            <w:gridSpan w:val="6"/>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基本账户账号</w:t>
            </w:r>
          </w:p>
        </w:tc>
        <w:tc>
          <w:tcPr>
            <w:tcW w:w="7140" w:type="dxa"/>
            <w:gridSpan w:val="6"/>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140" w:type="dxa"/>
            <w:gridSpan w:val="6"/>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05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140" w:type="dxa"/>
            <w:gridSpan w:val="6"/>
            <w:noWrap w:val="0"/>
            <w:vAlign w:val="center"/>
          </w:tcPr>
          <w:p>
            <w:pPr>
              <w:spacing w:line="320" w:lineRule="exact"/>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供应商（公章）：</w:t>
      </w:r>
    </w:p>
    <w:p>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Cs w:val="21"/>
          <w:highlight w:val="none"/>
        </w:rPr>
        <w:t>法定代表人或授权代表人（签字或盖章）</w:t>
      </w:r>
      <w:r>
        <w:rPr>
          <w:rFonts w:hint="eastAsia" w:ascii="宋体" w:hAnsi="宋体" w:eastAsia="宋体" w:cs="宋体"/>
          <w:color w:val="auto"/>
          <w:sz w:val="22"/>
          <w:szCs w:val="22"/>
          <w:highlight w:val="none"/>
        </w:rPr>
        <w:t>：</w:t>
      </w:r>
    </w:p>
    <w:p>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p>
    <w:p>
      <w:pPr>
        <w:spacing w:line="38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w:t>
      </w:r>
    </w:p>
    <w:p>
      <w:pPr>
        <w:rPr>
          <w:rFonts w:hint="eastAsia" w:ascii="宋体" w:hAnsi="宋体" w:eastAsia="宋体" w:cs="宋体"/>
          <w:color w:val="auto"/>
          <w:highlight w:val="none"/>
        </w:rPr>
      </w:pPr>
    </w:p>
    <w:p>
      <w:pPr>
        <w:jc w:val="center"/>
        <w:rPr>
          <w:rFonts w:hint="eastAsia" w:ascii="宋体" w:hAnsi="宋体" w:eastAsia="宋体" w:cs="宋体"/>
          <w:color w:val="auto"/>
          <w:sz w:val="24"/>
          <w:szCs w:val="24"/>
          <w:highlight w:val="none"/>
        </w:rPr>
        <w:sectPr>
          <w:headerReference r:id="rId12" w:type="default"/>
          <w:pgSz w:w="11907" w:h="16840"/>
          <w:pgMar w:top="1440" w:right="1800" w:bottom="1440" w:left="1800" w:header="720" w:footer="720" w:gutter="0"/>
          <w:pgBorders>
            <w:top w:val="none" w:sz="0" w:space="0"/>
            <w:left w:val="none" w:sz="0" w:space="0"/>
            <w:bottom w:val="none" w:sz="0" w:space="0"/>
            <w:right w:val="none" w:sz="0" w:space="0"/>
          </w:pgBorders>
          <w:pgNumType w:fmt="decimal"/>
          <w:cols w:space="720" w:num="1"/>
          <w:docGrid w:type="lines" w:linePitch="286" w:charSpace="0"/>
        </w:sectPr>
      </w:pPr>
    </w:p>
    <w:p>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（三）技术、商务条款偏离表</w:t>
      </w:r>
    </w:p>
    <w:p>
      <w:pPr>
        <w:rPr>
          <w:rFonts w:hint="eastAsia" w:ascii="宋体" w:hAnsi="宋体" w:eastAsia="宋体" w:cs="宋体"/>
          <w:color w:val="auto"/>
          <w:highlight w:val="none"/>
        </w:rPr>
      </w:pPr>
    </w:p>
    <w:p>
      <w:pPr>
        <w:pStyle w:val="5"/>
        <w:spacing w:after="120" w:afterLines="50" w:line="360" w:lineRule="exact"/>
        <w:jc w:val="center"/>
        <w:rPr>
          <w:rFonts w:hint="eastAsia" w:ascii="宋体" w:hAnsi="宋体" w:eastAsia="宋体" w:cs="宋体"/>
          <w:color w:val="auto"/>
          <w:highlight w:val="none"/>
        </w:rPr>
      </w:pPr>
      <w:bookmarkStart w:id="101" w:name="_Toc521939368"/>
      <w:bookmarkStart w:id="102" w:name="_Toc522018463"/>
      <w:bookmarkStart w:id="103" w:name="_Toc514758500"/>
      <w:bookmarkStart w:id="104" w:name="_Toc18448"/>
      <w:bookmarkStart w:id="105" w:name="_Toc496003220"/>
      <w:bookmarkStart w:id="106" w:name="_Toc498429653"/>
      <w:bookmarkStart w:id="107" w:name="_Toc10725300"/>
      <w:r>
        <w:rPr>
          <w:rFonts w:hint="eastAsia" w:ascii="宋体" w:hAnsi="宋体" w:eastAsia="宋体" w:cs="宋体"/>
          <w:color w:val="auto"/>
          <w:highlight w:val="none"/>
        </w:rPr>
        <w:t>技术、商务条款偏离表</w:t>
      </w:r>
      <w:bookmarkEnd w:id="101"/>
      <w:bookmarkEnd w:id="102"/>
      <w:bookmarkEnd w:id="103"/>
      <w:bookmarkEnd w:id="104"/>
      <w:bookmarkEnd w:id="105"/>
      <w:bookmarkEnd w:id="106"/>
      <w:bookmarkEnd w:id="107"/>
    </w:p>
    <w:p>
      <w:pPr>
        <w:rPr>
          <w:rFonts w:hint="eastAsia" w:ascii="宋体" w:hAnsi="宋体" w:eastAsia="宋体" w:cs="宋体"/>
          <w:color w:val="auto"/>
          <w:highlight w:val="none"/>
        </w:rPr>
      </w:pPr>
    </w:p>
    <w:p>
      <w:pPr>
        <w:pStyle w:val="20"/>
        <w:tabs>
          <w:tab w:val="right" w:pos="8847"/>
        </w:tabs>
        <w:ind w:firstLine="0"/>
        <w:rPr>
          <w:rFonts w:hint="eastAsia" w:ascii="宋体" w:hAnsi="宋体" w:eastAsia="宋体" w:cs="宋体"/>
          <w:color w:val="auto"/>
          <w:szCs w:val="24"/>
          <w:highlight w:val="none"/>
          <w:u w:val="single"/>
        </w:rPr>
      </w:pPr>
      <w:r>
        <w:rPr>
          <w:rFonts w:hint="eastAsia" w:ascii="宋体" w:hAnsi="宋体" w:eastAsia="宋体" w:cs="宋体"/>
          <w:color w:val="auto"/>
          <w:szCs w:val="21"/>
          <w:highlight w:val="none"/>
        </w:rPr>
        <w:t>项目编号：                        项目名称：</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154"/>
        <w:gridCol w:w="2977"/>
        <w:gridCol w:w="137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4" w:space="0"/>
              <w:bottom w:val="single" w:color="auto" w:sz="4" w:space="0"/>
            </w:tcBorders>
            <w:noWrap w:val="0"/>
            <w:tcMar>
              <w:left w:w="0" w:type="dxa"/>
              <w:right w:w="0" w:type="dxa"/>
            </w:tcMar>
            <w:vAlign w:val="center"/>
          </w:tcPr>
          <w:p>
            <w:pPr>
              <w:pStyle w:val="20"/>
              <w:spacing w:line="340" w:lineRule="exact"/>
              <w:ind w:firstLine="0"/>
              <w:contextualSpacing/>
              <w:jc w:val="center"/>
              <w:rPr>
                <w:rFonts w:hint="eastAsia" w:ascii="宋体" w:hAnsi="宋体" w:eastAsia="宋体" w:cs="宋体"/>
                <w:bCs/>
                <w:color w:val="auto"/>
                <w:spacing w:val="-4"/>
                <w:kern w:val="0"/>
                <w:sz w:val="21"/>
                <w:szCs w:val="21"/>
                <w:highlight w:val="none"/>
                <w:lang w:val="en-US" w:eastAsia="zh-CN"/>
              </w:rPr>
            </w:pPr>
            <w:r>
              <w:rPr>
                <w:rFonts w:hint="eastAsia" w:ascii="宋体" w:hAnsi="宋体" w:eastAsia="宋体" w:cs="宋体"/>
                <w:bCs/>
                <w:color w:val="auto"/>
                <w:spacing w:val="-4"/>
                <w:kern w:val="0"/>
                <w:sz w:val="21"/>
                <w:szCs w:val="21"/>
                <w:highlight w:val="none"/>
                <w:lang w:val="en-US" w:eastAsia="zh-CN"/>
              </w:rPr>
              <w:t>序号</w:t>
            </w:r>
          </w:p>
        </w:tc>
        <w:tc>
          <w:tcPr>
            <w:tcW w:w="4154" w:type="dxa"/>
            <w:tcBorders>
              <w:top w:val="single" w:color="auto" w:sz="4" w:space="0"/>
              <w:bottom w:val="single" w:color="auto" w:sz="4" w:space="0"/>
            </w:tcBorders>
            <w:noWrap w:val="0"/>
            <w:tcMar>
              <w:left w:w="0" w:type="dxa"/>
              <w:right w:w="0" w:type="dxa"/>
            </w:tcMar>
            <w:vAlign w:val="center"/>
          </w:tcPr>
          <w:p>
            <w:pPr>
              <w:pStyle w:val="20"/>
              <w:spacing w:line="340" w:lineRule="exact"/>
              <w:ind w:firstLine="0"/>
              <w:contextualSpacing/>
              <w:jc w:val="center"/>
              <w:rPr>
                <w:rFonts w:hint="eastAsia" w:ascii="宋体" w:hAnsi="宋体" w:eastAsia="宋体" w:cs="宋体"/>
                <w:bCs/>
                <w:color w:val="auto"/>
                <w:spacing w:val="-4"/>
                <w:kern w:val="0"/>
                <w:sz w:val="21"/>
                <w:szCs w:val="21"/>
                <w:highlight w:val="none"/>
                <w:lang w:val="en-US" w:eastAsia="zh-CN"/>
              </w:rPr>
            </w:pPr>
            <w:r>
              <w:rPr>
                <w:rFonts w:hint="eastAsia" w:ascii="宋体" w:hAnsi="宋体" w:eastAsia="宋体" w:cs="宋体"/>
                <w:bCs/>
                <w:color w:val="auto"/>
                <w:spacing w:val="-4"/>
                <w:kern w:val="0"/>
                <w:sz w:val="21"/>
                <w:szCs w:val="21"/>
                <w:highlight w:val="none"/>
                <w:lang w:val="en-US" w:eastAsia="zh-CN"/>
              </w:rPr>
              <w:t>《采购文件》服务要求</w:t>
            </w:r>
          </w:p>
        </w:tc>
        <w:tc>
          <w:tcPr>
            <w:tcW w:w="2977" w:type="dxa"/>
            <w:tcBorders>
              <w:top w:val="single" w:color="auto" w:sz="4" w:space="0"/>
              <w:bottom w:val="single" w:color="auto" w:sz="4" w:space="0"/>
            </w:tcBorders>
            <w:noWrap w:val="0"/>
            <w:tcMar>
              <w:left w:w="0" w:type="dxa"/>
              <w:right w:w="0" w:type="dxa"/>
            </w:tcMar>
            <w:vAlign w:val="center"/>
          </w:tcPr>
          <w:p>
            <w:pPr>
              <w:pStyle w:val="20"/>
              <w:spacing w:line="340" w:lineRule="exact"/>
              <w:ind w:firstLine="0"/>
              <w:contextualSpacing/>
              <w:jc w:val="center"/>
              <w:rPr>
                <w:rFonts w:hint="eastAsia" w:ascii="宋体" w:hAnsi="宋体" w:eastAsia="宋体" w:cs="宋体"/>
                <w:bCs/>
                <w:color w:val="auto"/>
                <w:spacing w:val="-4"/>
                <w:kern w:val="0"/>
                <w:sz w:val="21"/>
                <w:szCs w:val="21"/>
                <w:highlight w:val="none"/>
                <w:lang w:val="en-US" w:eastAsia="zh-CN"/>
              </w:rPr>
            </w:pPr>
            <w:r>
              <w:rPr>
                <w:rFonts w:hint="eastAsia" w:ascii="宋体" w:hAnsi="宋体" w:eastAsia="宋体" w:cs="宋体"/>
                <w:bCs/>
                <w:color w:val="auto"/>
                <w:spacing w:val="-4"/>
                <w:kern w:val="0"/>
                <w:sz w:val="21"/>
                <w:szCs w:val="21"/>
                <w:highlight w:val="none"/>
                <w:lang w:val="en-US" w:eastAsia="zh-CN"/>
              </w:rPr>
              <w:t>《投标文件》服务响应</w:t>
            </w:r>
          </w:p>
        </w:tc>
        <w:tc>
          <w:tcPr>
            <w:tcW w:w="1374" w:type="dxa"/>
            <w:tcBorders>
              <w:top w:val="single" w:color="auto" w:sz="4" w:space="0"/>
              <w:bottom w:val="single" w:color="auto" w:sz="4" w:space="0"/>
            </w:tcBorders>
            <w:noWrap w:val="0"/>
            <w:tcMar>
              <w:left w:w="0" w:type="dxa"/>
              <w:right w:w="0" w:type="dxa"/>
            </w:tcMar>
            <w:vAlign w:val="center"/>
          </w:tcPr>
          <w:p>
            <w:pPr>
              <w:pStyle w:val="20"/>
              <w:spacing w:line="340" w:lineRule="exact"/>
              <w:ind w:firstLine="0"/>
              <w:contextualSpacing/>
              <w:jc w:val="center"/>
              <w:rPr>
                <w:rFonts w:hint="eastAsia" w:ascii="宋体" w:hAnsi="宋体" w:eastAsia="宋体" w:cs="宋体"/>
                <w:bCs/>
                <w:color w:val="auto"/>
                <w:spacing w:val="-4"/>
                <w:kern w:val="0"/>
                <w:sz w:val="21"/>
                <w:szCs w:val="21"/>
                <w:highlight w:val="none"/>
                <w:lang w:val="en-US" w:eastAsia="zh-CN"/>
              </w:rPr>
            </w:pPr>
            <w:r>
              <w:rPr>
                <w:rFonts w:hint="eastAsia" w:ascii="宋体" w:hAnsi="宋体" w:eastAsia="宋体" w:cs="宋体"/>
                <w:bCs/>
                <w:color w:val="auto"/>
                <w:spacing w:val="-4"/>
                <w:kern w:val="0"/>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4" w:space="0"/>
            </w:tcBorders>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r>
              <w:rPr>
                <w:rFonts w:hint="eastAsia" w:ascii="宋体" w:hAnsi="宋体" w:eastAsia="宋体" w:cs="宋体"/>
                <w:bCs/>
                <w:color w:val="auto"/>
                <w:spacing w:val="-4"/>
                <w:kern w:val="0"/>
                <w:sz w:val="21"/>
                <w:szCs w:val="21"/>
                <w:highlight w:val="none"/>
              </w:rPr>
              <w:t>1</w:t>
            </w:r>
          </w:p>
        </w:tc>
        <w:tc>
          <w:tcPr>
            <w:tcW w:w="4154" w:type="dxa"/>
            <w:tcBorders>
              <w:top w:val="single" w:color="auto" w:sz="4" w:space="0"/>
            </w:tcBorders>
            <w:noWrap w:val="0"/>
            <w:tcMar>
              <w:left w:w="0" w:type="dxa"/>
              <w:right w:w="0" w:type="dxa"/>
            </w:tcMar>
            <w:vAlign w:val="center"/>
          </w:tcPr>
          <w:p>
            <w:pPr>
              <w:spacing w:line="340" w:lineRule="exact"/>
              <w:contextualSpacing/>
              <w:rPr>
                <w:rFonts w:hint="eastAsia" w:ascii="宋体" w:hAnsi="宋体" w:eastAsia="宋体" w:cs="宋体"/>
                <w:bCs/>
                <w:color w:val="auto"/>
                <w:spacing w:val="-4"/>
                <w:kern w:val="0"/>
                <w:sz w:val="21"/>
                <w:szCs w:val="21"/>
                <w:highlight w:val="none"/>
              </w:rPr>
            </w:pPr>
          </w:p>
        </w:tc>
        <w:tc>
          <w:tcPr>
            <w:tcW w:w="2977" w:type="dxa"/>
            <w:tcBorders>
              <w:top w:val="single" w:color="auto" w:sz="4" w:space="0"/>
            </w:tcBorders>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c>
          <w:tcPr>
            <w:tcW w:w="1374" w:type="dxa"/>
            <w:tcBorders>
              <w:top w:val="single" w:color="auto" w:sz="4" w:space="0"/>
            </w:tcBorders>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r>
              <w:rPr>
                <w:rFonts w:hint="eastAsia" w:ascii="宋体" w:hAnsi="宋体" w:eastAsia="宋体" w:cs="宋体"/>
                <w:bCs/>
                <w:color w:val="auto"/>
                <w:spacing w:val="-4"/>
                <w:kern w:val="0"/>
                <w:sz w:val="21"/>
                <w:szCs w:val="21"/>
                <w:highlight w:val="none"/>
              </w:rPr>
              <w:t>2</w:t>
            </w:r>
          </w:p>
        </w:tc>
        <w:tc>
          <w:tcPr>
            <w:tcW w:w="4154" w:type="dxa"/>
            <w:noWrap w:val="0"/>
            <w:tcMar>
              <w:left w:w="0" w:type="dxa"/>
              <w:right w:w="0" w:type="dxa"/>
            </w:tcMar>
            <w:vAlign w:val="center"/>
          </w:tcPr>
          <w:p>
            <w:pPr>
              <w:spacing w:line="340" w:lineRule="exact"/>
              <w:contextualSpacing/>
              <w:rPr>
                <w:rFonts w:hint="eastAsia" w:ascii="宋体" w:hAnsi="宋体" w:eastAsia="宋体" w:cs="宋体"/>
                <w:bCs/>
                <w:color w:val="auto"/>
                <w:spacing w:val="-4"/>
                <w:kern w:val="0"/>
                <w:sz w:val="21"/>
                <w:szCs w:val="21"/>
                <w:highlight w:val="none"/>
              </w:rPr>
            </w:pPr>
          </w:p>
        </w:tc>
        <w:tc>
          <w:tcPr>
            <w:tcW w:w="2977"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r>
              <w:rPr>
                <w:rFonts w:hint="eastAsia" w:ascii="宋体" w:hAnsi="宋体" w:eastAsia="宋体" w:cs="宋体"/>
                <w:bCs/>
                <w:color w:val="auto"/>
                <w:spacing w:val="-4"/>
                <w:kern w:val="0"/>
                <w:sz w:val="21"/>
                <w:szCs w:val="21"/>
                <w:highlight w:val="none"/>
              </w:rPr>
              <w:t>3</w:t>
            </w:r>
          </w:p>
        </w:tc>
        <w:tc>
          <w:tcPr>
            <w:tcW w:w="4154" w:type="dxa"/>
            <w:noWrap w:val="0"/>
            <w:tcMar>
              <w:left w:w="0" w:type="dxa"/>
              <w:right w:w="0" w:type="dxa"/>
            </w:tcMar>
            <w:vAlign w:val="center"/>
          </w:tcPr>
          <w:p>
            <w:pPr>
              <w:spacing w:line="340" w:lineRule="exact"/>
              <w:contextualSpacing/>
              <w:rPr>
                <w:rFonts w:hint="eastAsia" w:ascii="宋体" w:hAnsi="宋体" w:eastAsia="宋体" w:cs="宋体"/>
                <w:bCs/>
                <w:color w:val="auto"/>
                <w:spacing w:val="-4"/>
                <w:kern w:val="0"/>
                <w:sz w:val="21"/>
                <w:szCs w:val="21"/>
                <w:highlight w:val="none"/>
              </w:rPr>
            </w:pPr>
          </w:p>
        </w:tc>
        <w:tc>
          <w:tcPr>
            <w:tcW w:w="2977"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r>
              <w:rPr>
                <w:rFonts w:hint="eastAsia" w:ascii="宋体" w:hAnsi="宋体" w:eastAsia="宋体" w:cs="宋体"/>
                <w:bCs/>
                <w:color w:val="auto"/>
                <w:spacing w:val="-4"/>
                <w:kern w:val="0"/>
                <w:sz w:val="21"/>
                <w:szCs w:val="21"/>
                <w:highlight w:val="none"/>
              </w:rPr>
              <w:t>4</w:t>
            </w:r>
          </w:p>
        </w:tc>
        <w:tc>
          <w:tcPr>
            <w:tcW w:w="4154" w:type="dxa"/>
            <w:noWrap w:val="0"/>
            <w:tcMar>
              <w:left w:w="0" w:type="dxa"/>
              <w:right w:w="0" w:type="dxa"/>
            </w:tcMar>
            <w:vAlign w:val="center"/>
          </w:tcPr>
          <w:p>
            <w:pPr>
              <w:tabs>
                <w:tab w:val="left" w:pos="851"/>
              </w:tabs>
              <w:spacing w:line="340" w:lineRule="exact"/>
              <w:contextualSpacing/>
              <w:rPr>
                <w:rFonts w:hint="eastAsia" w:ascii="宋体" w:hAnsi="宋体" w:eastAsia="宋体" w:cs="宋体"/>
                <w:bCs/>
                <w:color w:val="auto"/>
                <w:spacing w:val="-4"/>
                <w:kern w:val="0"/>
                <w:sz w:val="21"/>
                <w:szCs w:val="21"/>
                <w:highlight w:val="none"/>
              </w:rPr>
            </w:pPr>
          </w:p>
        </w:tc>
        <w:tc>
          <w:tcPr>
            <w:tcW w:w="2977"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r>
              <w:rPr>
                <w:rFonts w:hint="eastAsia" w:ascii="宋体" w:hAnsi="宋体" w:eastAsia="宋体" w:cs="宋体"/>
                <w:bCs/>
                <w:color w:val="auto"/>
                <w:spacing w:val="-4"/>
                <w:kern w:val="0"/>
                <w:sz w:val="21"/>
                <w:szCs w:val="21"/>
                <w:highlight w:val="none"/>
              </w:rPr>
              <w:t>5</w:t>
            </w:r>
          </w:p>
        </w:tc>
        <w:tc>
          <w:tcPr>
            <w:tcW w:w="4154" w:type="dxa"/>
            <w:noWrap w:val="0"/>
            <w:tcMar>
              <w:left w:w="0" w:type="dxa"/>
              <w:right w:w="0" w:type="dxa"/>
            </w:tcMar>
            <w:vAlign w:val="center"/>
          </w:tcPr>
          <w:p>
            <w:pPr>
              <w:spacing w:line="340" w:lineRule="exact"/>
              <w:contextualSpacing/>
              <w:rPr>
                <w:rFonts w:hint="eastAsia" w:ascii="宋体" w:hAnsi="宋体" w:eastAsia="宋体" w:cs="宋体"/>
                <w:bCs/>
                <w:color w:val="auto"/>
                <w:spacing w:val="-4"/>
                <w:kern w:val="0"/>
                <w:sz w:val="21"/>
                <w:szCs w:val="21"/>
                <w:highlight w:val="none"/>
              </w:rPr>
            </w:pPr>
          </w:p>
        </w:tc>
        <w:tc>
          <w:tcPr>
            <w:tcW w:w="2977"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r>
              <w:rPr>
                <w:rFonts w:hint="eastAsia" w:ascii="宋体" w:hAnsi="宋体" w:eastAsia="宋体" w:cs="宋体"/>
                <w:bCs/>
                <w:color w:val="auto"/>
                <w:spacing w:val="-4"/>
                <w:kern w:val="0"/>
                <w:sz w:val="21"/>
                <w:szCs w:val="21"/>
                <w:highlight w:val="none"/>
              </w:rPr>
              <w:t>6</w:t>
            </w:r>
          </w:p>
        </w:tc>
        <w:tc>
          <w:tcPr>
            <w:tcW w:w="4154" w:type="dxa"/>
            <w:noWrap w:val="0"/>
            <w:tcMar>
              <w:left w:w="0" w:type="dxa"/>
              <w:right w:w="0" w:type="dxa"/>
            </w:tcMar>
            <w:vAlign w:val="center"/>
          </w:tcPr>
          <w:p>
            <w:pPr>
              <w:spacing w:line="340" w:lineRule="exact"/>
              <w:contextualSpacing/>
              <w:rPr>
                <w:rFonts w:hint="eastAsia" w:ascii="宋体" w:hAnsi="宋体" w:eastAsia="宋体" w:cs="宋体"/>
                <w:bCs/>
                <w:color w:val="auto"/>
                <w:spacing w:val="-4"/>
                <w:kern w:val="0"/>
                <w:sz w:val="21"/>
                <w:szCs w:val="21"/>
                <w:highlight w:val="none"/>
              </w:rPr>
            </w:pPr>
          </w:p>
        </w:tc>
        <w:tc>
          <w:tcPr>
            <w:tcW w:w="2977"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r>
              <w:rPr>
                <w:rFonts w:hint="eastAsia" w:ascii="宋体" w:hAnsi="宋体" w:eastAsia="宋体" w:cs="宋体"/>
                <w:bCs/>
                <w:color w:val="auto"/>
                <w:spacing w:val="-4"/>
                <w:kern w:val="0"/>
                <w:sz w:val="21"/>
                <w:szCs w:val="21"/>
                <w:highlight w:val="none"/>
              </w:rPr>
              <w:t>7</w:t>
            </w:r>
          </w:p>
        </w:tc>
        <w:tc>
          <w:tcPr>
            <w:tcW w:w="4154" w:type="dxa"/>
            <w:noWrap w:val="0"/>
            <w:tcMar>
              <w:left w:w="0" w:type="dxa"/>
              <w:right w:w="0" w:type="dxa"/>
            </w:tcMar>
            <w:vAlign w:val="center"/>
          </w:tcPr>
          <w:p>
            <w:pPr>
              <w:spacing w:line="340" w:lineRule="exact"/>
              <w:contextualSpacing/>
              <w:rPr>
                <w:rFonts w:hint="eastAsia" w:ascii="宋体" w:hAnsi="宋体" w:eastAsia="宋体" w:cs="宋体"/>
                <w:bCs/>
                <w:color w:val="auto"/>
                <w:spacing w:val="-4"/>
                <w:kern w:val="0"/>
                <w:sz w:val="21"/>
                <w:szCs w:val="21"/>
                <w:highlight w:val="none"/>
              </w:rPr>
            </w:pPr>
          </w:p>
        </w:tc>
        <w:tc>
          <w:tcPr>
            <w:tcW w:w="2977"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r>
              <w:rPr>
                <w:rFonts w:hint="eastAsia" w:ascii="宋体" w:hAnsi="宋体" w:eastAsia="宋体" w:cs="宋体"/>
                <w:bCs/>
                <w:color w:val="auto"/>
                <w:spacing w:val="-4"/>
                <w:kern w:val="0"/>
                <w:sz w:val="21"/>
                <w:szCs w:val="21"/>
                <w:highlight w:val="none"/>
              </w:rPr>
              <w:t>……</w:t>
            </w:r>
          </w:p>
        </w:tc>
        <w:tc>
          <w:tcPr>
            <w:tcW w:w="4154" w:type="dxa"/>
            <w:noWrap w:val="0"/>
            <w:tcMar>
              <w:left w:w="0" w:type="dxa"/>
              <w:right w:w="0" w:type="dxa"/>
            </w:tcMar>
            <w:vAlign w:val="center"/>
          </w:tcPr>
          <w:p>
            <w:pPr>
              <w:spacing w:line="340" w:lineRule="exact"/>
              <w:contextualSpacing/>
              <w:rPr>
                <w:rFonts w:hint="eastAsia" w:ascii="宋体" w:hAnsi="宋体" w:eastAsia="宋体" w:cs="宋体"/>
                <w:bCs/>
                <w:color w:val="auto"/>
                <w:spacing w:val="-4"/>
                <w:kern w:val="0"/>
                <w:sz w:val="21"/>
                <w:szCs w:val="21"/>
                <w:highlight w:val="none"/>
              </w:rPr>
            </w:pPr>
          </w:p>
        </w:tc>
        <w:tc>
          <w:tcPr>
            <w:tcW w:w="2977"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eastAsia="宋体" w:cs="宋体"/>
                <w:bCs/>
                <w:color w:val="auto"/>
                <w:spacing w:val="-4"/>
                <w:kern w:val="0"/>
                <w:sz w:val="21"/>
                <w:szCs w:val="21"/>
                <w:highlight w:val="none"/>
              </w:rPr>
            </w:pPr>
          </w:p>
        </w:tc>
      </w:tr>
    </w:tbl>
    <w:p>
      <w:pPr>
        <w:pStyle w:val="20"/>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pacing w:val="-4"/>
          <w:kern w:val="0"/>
          <w:sz w:val="21"/>
          <w:szCs w:val="21"/>
          <w:highlight w:val="none"/>
          <w:lang w:val="en-US" w:eastAsia="zh-CN"/>
        </w:rPr>
        <w:t>备注：1、供应商可按采购文件第二章《投标资料表》、第五章《采购需求》及采购文件规定的条款进行对应响应，并说明偏离状况；2、完全响应无偏离应在本表空白处醒目地注明“无偏离”的字样。3、本表格供参考，供应商可根据项目实际情况自拟（增减）表格。</w:t>
      </w:r>
    </w:p>
    <w:p>
      <w:pPr>
        <w:rPr>
          <w:rFonts w:hint="eastAsia" w:ascii="宋体" w:hAnsi="宋体" w:eastAsia="宋体" w:cs="宋体"/>
          <w:b/>
          <w:color w:val="auto"/>
          <w:szCs w:val="21"/>
          <w:highlight w:val="none"/>
        </w:rPr>
      </w:pPr>
    </w:p>
    <w:p>
      <w:pPr>
        <w:spacing w:after="120" w:line="352" w:lineRule="auto"/>
        <w:rPr>
          <w:rFonts w:hint="eastAsia" w:ascii="宋体" w:hAnsi="宋体" w:eastAsia="宋体" w:cs="宋体"/>
          <w:color w:val="auto"/>
          <w:kern w:val="0"/>
          <w:sz w:val="24"/>
          <w:szCs w:val="21"/>
          <w:highlight w:val="none"/>
          <w:u w:val="single"/>
        </w:rPr>
      </w:pPr>
    </w:p>
    <w:p>
      <w:pPr>
        <w:ind w:right="420"/>
        <w:rPr>
          <w:rFonts w:hint="eastAsia" w:ascii="宋体" w:hAnsi="宋体" w:eastAsia="宋体" w:cs="宋体"/>
          <w:color w:val="auto"/>
          <w:szCs w:val="21"/>
          <w:highlight w:val="none"/>
        </w:rPr>
      </w:pPr>
      <w:bookmarkStart w:id="108" w:name="_Toc18321086"/>
      <w:bookmarkStart w:id="109" w:name="_Toc53670322"/>
      <w:bookmarkStart w:id="110" w:name="_Toc520902416"/>
      <w:r>
        <w:rPr>
          <w:rFonts w:hint="eastAsia" w:ascii="宋体" w:hAnsi="宋体" w:eastAsia="宋体" w:cs="宋体"/>
          <w:color w:val="auto"/>
          <w:szCs w:val="21"/>
          <w:highlight w:val="none"/>
        </w:rPr>
        <w:t>供应商（盖章）：</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法定代表人或授权代表人（签字或盖章）：</w:t>
      </w:r>
    </w:p>
    <w:p>
      <w:pPr>
        <w:rPr>
          <w:rFonts w:hint="eastAsia" w:ascii="宋体" w:hAnsi="宋体" w:eastAsia="宋体" w:cs="宋体"/>
          <w:color w:val="auto"/>
          <w:szCs w:val="21"/>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日期：</w:t>
      </w:r>
    </w:p>
    <w:p>
      <w:pPr>
        <w:pStyle w:val="4"/>
        <w:spacing w:line="360" w:lineRule="auto"/>
        <w:rPr>
          <w:rFonts w:hint="eastAsia" w:ascii="宋体" w:hAnsi="宋体" w:eastAsia="宋体" w:cs="宋体"/>
          <w:color w:val="auto"/>
          <w:szCs w:val="28"/>
          <w:highlight w:val="none"/>
        </w:rPr>
        <w:sectPr>
          <w:footerReference r:id="rId13" w:type="default"/>
          <w:type w:val="continuous"/>
          <w:pgSz w:w="11910" w:h="16840"/>
          <w:pgMar w:top="1500" w:right="1380" w:bottom="1780" w:left="1580" w:header="1077" w:footer="1595" w:gutter="0"/>
          <w:pgBorders>
            <w:top w:val="none" w:sz="0" w:space="0"/>
            <w:left w:val="none" w:sz="0" w:space="0"/>
            <w:bottom w:val="none" w:sz="0" w:space="0"/>
            <w:right w:val="none" w:sz="0" w:space="0"/>
          </w:pgBorders>
          <w:pgNumType w:fmt="decimal"/>
          <w:cols w:space="720" w:num="1"/>
        </w:sectPr>
      </w:pPr>
    </w:p>
    <w:p>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（四）根据</w:t>
      </w:r>
      <w:r>
        <w:rPr>
          <w:rFonts w:hint="eastAsia" w:ascii="宋体" w:hAnsi="宋体" w:cs="宋体"/>
          <w:b/>
          <w:color w:val="auto"/>
          <w:kern w:val="0"/>
          <w:sz w:val="28"/>
          <w:szCs w:val="28"/>
          <w:highlight w:val="none"/>
          <w:lang w:eastAsia="zh-CN"/>
        </w:rPr>
        <w:t>“</w:t>
      </w:r>
      <w:r>
        <w:rPr>
          <w:rFonts w:hint="eastAsia" w:ascii="宋体" w:hAnsi="宋体" w:eastAsia="宋体" w:cs="宋体"/>
          <w:b/>
          <w:color w:val="auto"/>
          <w:kern w:val="0"/>
          <w:sz w:val="28"/>
          <w:szCs w:val="28"/>
          <w:highlight w:val="none"/>
        </w:rPr>
        <w:t>第五章  评标办法及评分标准</w:t>
      </w:r>
      <w:r>
        <w:rPr>
          <w:rFonts w:hint="eastAsia" w:ascii="宋体" w:hAnsi="宋体" w:cs="宋体"/>
          <w:b/>
          <w:color w:val="auto"/>
          <w:kern w:val="0"/>
          <w:sz w:val="28"/>
          <w:szCs w:val="28"/>
          <w:highlight w:val="none"/>
          <w:lang w:eastAsia="zh-CN"/>
        </w:rPr>
        <w:t>”</w:t>
      </w:r>
      <w:r>
        <w:rPr>
          <w:rFonts w:hint="eastAsia" w:ascii="宋体" w:hAnsi="宋体" w:eastAsia="宋体" w:cs="宋体"/>
          <w:b/>
          <w:color w:val="auto"/>
          <w:kern w:val="0"/>
          <w:sz w:val="28"/>
          <w:szCs w:val="28"/>
          <w:highlight w:val="none"/>
        </w:rPr>
        <w:t>中“评分标准”要求提供的资料（如未提供格式的，供应商自拟格式）</w:t>
      </w:r>
      <w:bookmarkEnd w:id="108"/>
      <w:bookmarkEnd w:id="109"/>
      <w:bookmarkEnd w:id="110"/>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类似项目汇总表</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913"/>
        <w:gridCol w:w="3366"/>
        <w:gridCol w:w="140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88" w:type="pct"/>
            <w:tcBorders>
              <w:top w:val="single" w:color="auto" w:sz="4" w:space="0"/>
              <w:left w:val="single" w:color="auto" w:sz="4" w:space="0"/>
              <w:bottom w:val="single" w:color="auto" w:sz="4" w:space="0"/>
              <w:right w:val="single" w:color="auto" w:sz="4" w:space="0"/>
            </w:tcBorders>
            <w:noWrap w:val="0"/>
            <w:vAlign w:val="center"/>
          </w:tcPr>
          <w:p>
            <w:pPr>
              <w:pStyle w:val="60"/>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60"/>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p>
        </w:tc>
        <w:tc>
          <w:tcPr>
            <w:tcW w:w="1974" w:type="pct"/>
            <w:tcBorders>
              <w:top w:val="single" w:color="auto" w:sz="4" w:space="0"/>
              <w:left w:val="single" w:color="auto" w:sz="4" w:space="0"/>
              <w:bottom w:val="single" w:color="auto" w:sz="4" w:space="0"/>
              <w:right w:val="single" w:color="auto" w:sz="4" w:space="0"/>
            </w:tcBorders>
            <w:noWrap w:val="0"/>
            <w:vAlign w:val="center"/>
          </w:tcPr>
          <w:p>
            <w:pPr>
              <w:pStyle w:val="60"/>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合同金额（万元）</w:t>
            </w:r>
          </w:p>
        </w:tc>
        <w:tc>
          <w:tcPr>
            <w:tcW w:w="824" w:type="pct"/>
            <w:tcBorders>
              <w:top w:val="single" w:color="auto" w:sz="4" w:space="0"/>
              <w:left w:val="single" w:color="auto" w:sz="4" w:space="0"/>
              <w:bottom w:val="single" w:color="auto" w:sz="4" w:space="0"/>
              <w:right w:val="single" w:color="auto" w:sz="4" w:space="0"/>
            </w:tcBorders>
            <w:noWrap w:val="0"/>
            <w:vAlign w:val="center"/>
          </w:tcPr>
          <w:p>
            <w:pPr>
              <w:pStyle w:val="60"/>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开始日期</w:t>
            </w: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60"/>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88"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97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82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88"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97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82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88"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97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82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88"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97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82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88"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97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82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88"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97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82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88"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97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82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88"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97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82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88"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197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824"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60"/>
              <w:jc w:val="center"/>
              <w:rPr>
                <w:rFonts w:hint="eastAsia" w:ascii="宋体" w:hAnsi="宋体" w:eastAsia="宋体" w:cs="宋体"/>
                <w:color w:val="auto"/>
                <w:sz w:val="21"/>
                <w:szCs w:val="21"/>
                <w:highlight w:val="none"/>
                <w:lang w:val="en-US" w:eastAsia="zh-CN"/>
              </w:rPr>
            </w:pPr>
          </w:p>
        </w:tc>
      </w:tr>
    </w:tbl>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w:t>
      </w:r>
    </w:p>
    <w:p>
      <w:pPr>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法定代表人或授权代表人（签字或盖章）：</w:t>
      </w:r>
    </w:p>
    <w:p>
      <w:pPr>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pP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项目人员配置表</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699"/>
        <w:gridCol w:w="1574"/>
        <w:gridCol w:w="1017"/>
        <w:gridCol w:w="1122"/>
        <w:gridCol w:w="2174"/>
        <w:gridCol w:w="177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418" w:type="pct"/>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1" w:type="pct"/>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08" w:type="pct"/>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1" w:type="pct"/>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300" w:type="pct"/>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061" w:type="pct"/>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tcBorders>
              <w:top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1" w:type="pct"/>
            <w:tcBorders>
              <w:top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08" w:type="pct"/>
            <w:tcBorders>
              <w:top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71" w:type="pct"/>
            <w:tcBorders>
              <w:top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300" w:type="pct"/>
            <w:tcBorders>
              <w:top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061" w:type="pct"/>
            <w:tcBorders>
              <w:top w:val="single" w:color="auto" w:sz="4" w:space="0"/>
            </w:tcBorders>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0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7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300"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06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0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7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300"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06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0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7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300"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06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4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0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7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300"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06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0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7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300"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06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4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0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7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300"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06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4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0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7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300"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06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94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0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7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300"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06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94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08"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67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300"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c>
          <w:tcPr>
            <w:tcW w:w="1061" w:type="pct"/>
            <w:noWrap w:val="0"/>
            <w:tcMar>
              <w:left w:w="28" w:type="dxa"/>
              <w:right w:w="28" w:type="dxa"/>
            </w:tcMar>
            <w:vAlign w:val="center"/>
          </w:tcPr>
          <w:p>
            <w:pPr>
              <w:spacing w:line="500" w:lineRule="exact"/>
              <w:ind w:right="25" w:rightChars="12"/>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94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608"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67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1300"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106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94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608"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67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1300"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106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94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608"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67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1300"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106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18"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94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608"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67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1300"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c>
          <w:tcPr>
            <w:tcW w:w="1061" w:type="pct"/>
            <w:noWrap w:val="0"/>
            <w:tcMar>
              <w:left w:w="28" w:type="dxa"/>
              <w:right w:w="28" w:type="dxa"/>
            </w:tcMar>
            <w:vAlign w:val="center"/>
          </w:tcPr>
          <w:p>
            <w:pPr>
              <w:jc w:val="center"/>
              <w:rPr>
                <w:rFonts w:hint="eastAsia" w:ascii="宋体" w:hAnsi="宋体" w:eastAsia="宋体" w:cs="宋体"/>
                <w:color w:val="auto"/>
                <w:w w:val="80"/>
                <w:sz w:val="21"/>
                <w:szCs w:val="21"/>
                <w:highlight w:val="none"/>
              </w:rPr>
            </w:pPr>
          </w:p>
        </w:tc>
      </w:tr>
    </w:tbl>
    <w:p>
      <w:pPr>
        <w:spacing w:line="360" w:lineRule="auto"/>
        <w:ind w:firstLine="406" w:firstLineChars="200"/>
        <w:rPr>
          <w:rFonts w:hint="eastAsia" w:ascii="宋体" w:hAnsi="宋体" w:eastAsia="宋体" w:cs="宋体"/>
          <w:b/>
          <w:bCs/>
          <w:color w:val="auto"/>
          <w:spacing w:val="-4"/>
          <w:kern w:val="0"/>
          <w:highlight w:val="none"/>
          <w:lang w:val="zh-CN"/>
        </w:rPr>
      </w:pPr>
    </w:p>
    <w:p>
      <w:pPr>
        <w:spacing w:line="360" w:lineRule="auto"/>
        <w:rPr>
          <w:rFonts w:hint="default" w:ascii="宋体" w:hAnsi="宋体" w:eastAsia="宋体" w:cs="宋体"/>
          <w:b/>
          <w:bCs/>
          <w:color w:val="auto"/>
          <w:spacing w:val="-4"/>
          <w:kern w:val="0"/>
          <w:highlight w:val="none"/>
          <w:lang w:val="en-US" w:eastAsia="zh-CN"/>
        </w:rPr>
      </w:pPr>
      <w:r>
        <w:rPr>
          <w:rFonts w:hint="eastAsia" w:ascii="宋体" w:hAnsi="宋体" w:eastAsia="宋体" w:cs="宋体"/>
          <w:b/>
          <w:bCs/>
          <w:color w:val="auto"/>
          <w:spacing w:val="-4"/>
          <w:kern w:val="0"/>
          <w:highlight w:val="none"/>
          <w:lang w:val="zh-CN"/>
        </w:rPr>
        <w:t>注：</w:t>
      </w:r>
      <w:r>
        <w:rPr>
          <w:rFonts w:hint="eastAsia" w:ascii="宋体" w:hAnsi="宋体" w:eastAsia="宋体" w:cs="宋体"/>
          <w:b/>
          <w:bCs/>
          <w:color w:val="auto"/>
          <w:spacing w:val="-4"/>
          <w:kern w:val="0"/>
          <w:highlight w:val="none"/>
          <w:lang w:val="en-US" w:eastAsia="zh-CN"/>
        </w:rPr>
        <w:t>提供2023年2月、2023年3月、2023年4月的社保证明复印件、相关证书复印件并加盖单位公章。</w:t>
      </w:r>
    </w:p>
    <w:p>
      <w:pPr>
        <w:pStyle w:val="6"/>
        <w:spacing w:line="360" w:lineRule="auto"/>
        <w:ind w:firstLine="420"/>
        <w:rPr>
          <w:rFonts w:hint="eastAsia" w:ascii="宋体" w:hAnsi="宋体" w:eastAsia="宋体" w:cs="宋体"/>
          <w:color w:val="auto"/>
          <w:kern w:val="2"/>
          <w:sz w:val="21"/>
          <w:szCs w:val="21"/>
          <w:highlight w:val="none"/>
        </w:rPr>
      </w:pPr>
    </w:p>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w:t>
      </w:r>
    </w:p>
    <w:p>
      <w:pPr>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法定代表人或授权代表人（签字或盖章）：</w:t>
      </w:r>
    </w:p>
    <w:p>
      <w:pPr>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pPr>
        <w:pStyle w:val="6"/>
        <w:spacing w:line="360" w:lineRule="auto"/>
        <w:ind w:firstLine="420"/>
        <w:rPr>
          <w:rFonts w:hint="eastAsia" w:ascii="宋体" w:hAnsi="宋体" w:eastAsia="宋体" w:cs="宋体"/>
          <w:color w:val="auto"/>
          <w:kern w:val="2"/>
          <w:sz w:val="21"/>
          <w:szCs w:val="21"/>
          <w:highlight w:val="none"/>
        </w:rPr>
      </w:pPr>
    </w:p>
    <w:p>
      <w:pPr>
        <w:jc w:val="center"/>
        <w:rPr>
          <w:rFonts w:hint="eastAsia" w:ascii="宋体" w:hAnsi="宋体" w:eastAsia="宋体" w:cs="宋体"/>
          <w:b/>
          <w:color w:val="auto"/>
          <w:kern w:val="0"/>
          <w:sz w:val="28"/>
          <w:szCs w:val="28"/>
          <w:highlight w:val="none"/>
        </w:rPr>
      </w:pPr>
    </w:p>
    <w:p>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（五）供应商认为需要提供的其他商务技术材料</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color w:val="auto"/>
          <w:sz w:val="32"/>
          <w:szCs w:val="32"/>
          <w:highlight w:val="none"/>
        </w:rPr>
      </w:pPr>
    </w:p>
    <w:p>
      <w:pPr>
        <w:spacing w:line="360" w:lineRule="auto"/>
        <w:rPr>
          <w:rFonts w:ascii="宋体" w:hAnsi="宋体" w:cs="宋体"/>
          <w:color w:val="auto"/>
          <w:kern w:val="0"/>
          <w:sz w:val="24"/>
          <w:highlight w:val="none"/>
        </w:rPr>
      </w:pPr>
      <w:r>
        <w:rPr>
          <w:rFonts w:hint="eastAsia"/>
          <w:sz w:val="32"/>
          <w:szCs w:val="32"/>
          <w:highlight w:val="none"/>
        </w:rPr>
        <w:br w:type="page"/>
      </w:r>
      <w:r>
        <w:rPr>
          <w:rFonts w:hint="eastAsia" w:ascii="宋体" w:hAnsi="宋体" w:cs="宋体"/>
          <w:b/>
          <w:bCs/>
          <w:color w:val="auto"/>
          <w:kern w:val="0"/>
          <w:szCs w:val="21"/>
          <w:highlight w:val="none"/>
        </w:rPr>
        <w:t>报价文件组成：</w:t>
      </w:r>
    </w:p>
    <w:p>
      <w:pPr>
        <w:tabs>
          <w:tab w:val="left" w:pos="1418"/>
        </w:tabs>
        <w:spacing w:line="360" w:lineRule="auto"/>
        <w:ind w:firstLine="420" w:firstLineChars="200"/>
        <w:contextualSpacing/>
        <w:rPr>
          <w:rFonts w:ascii="宋体" w:hAnsi="宋体"/>
          <w:color w:val="auto"/>
          <w:szCs w:val="21"/>
          <w:highlight w:val="none"/>
        </w:rPr>
      </w:pPr>
      <w:r>
        <w:rPr>
          <w:rFonts w:hint="eastAsia" w:ascii="宋体" w:hAnsi="宋体" w:cs="宋体"/>
          <w:color w:val="auto"/>
          <w:kern w:val="0"/>
          <w:szCs w:val="21"/>
          <w:highlight w:val="none"/>
        </w:rPr>
        <w:t>（1）</w:t>
      </w:r>
      <w:r>
        <w:rPr>
          <w:rFonts w:hint="eastAsia" w:ascii="宋体" w:hAnsi="宋体"/>
          <w:color w:val="auto"/>
          <w:szCs w:val="21"/>
          <w:highlight w:val="none"/>
        </w:rPr>
        <w:t>投标函；</w:t>
      </w:r>
    </w:p>
    <w:p>
      <w:pPr>
        <w:tabs>
          <w:tab w:val="left" w:pos="1418"/>
        </w:tabs>
        <w:spacing w:line="360" w:lineRule="auto"/>
        <w:ind w:firstLine="420" w:firstLineChars="200"/>
        <w:contextualSpacing/>
        <w:rPr>
          <w:rFonts w:hint="eastAsia" w:ascii="宋体" w:hAnsi="宋体"/>
          <w:color w:val="auto"/>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lang w:val="en-US" w:eastAsia="zh-CN"/>
        </w:rPr>
        <w:t>开标一览</w:t>
      </w:r>
      <w:r>
        <w:rPr>
          <w:rFonts w:hint="eastAsia" w:ascii="宋体" w:hAnsi="宋体"/>
          <w:color w:val="auto"/>
          <w:szCs w:val="21"/>
          <w:highlight w:val="none"/>
        </w:rPr>
        <w:t>表；</w:t>
      </w:r>
    </w:p>
    <w:p>
      <w:pPr>
        <w:spacing w:line="360" w:lineRule="auto"/>
        <w:ind w:firstLine="420" w:firstLineChars="200"/>
        <w:rPr>
          <w:rFonts w:hint="eastAsia" w:ascii="宋体" w:hAnsi="宋体" w:cs="宋体"/>
          <w:b/>
          <w:bCs/>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olor w:val="auto"/>
          <w:szCs w:val="21"/>
          <w:highlight w:val="none"/>
        </w:rPr>
        <w:t>供应商认为需提交的其他文件资料。</w:t>
      </w:r>
    </w:p>
    <w:p>
      <w:pPr>
        <w:spacing w:line="360" w:lineRule="auto"/>
        <w:rPr>
          <w:rFonts w:ascii="宋体" w:hAnsi="宋体"/>
          <w:szCs w:val="21"/>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b/>
          <w:color w:val="auto"/>
          <w:sz w:val="24"/>
          <w:szCs w:val="24"/>
          <w:highlight w:val="none"/>
        </w:rPr>
      </w:pPr>
      <w:r>
        <w:rPr>
          <w:b/>
          <w:sz w:val="24"/>
          <w:szCs w:val="24"/>
          <w:highlight w:val="none"/>
        </w:rPr>
        <w:br w:type="page"/>
      </w:r>
      <w:r>
        <w:rPr>
          <w:rFonts w:hint="eastAsia"/>
          <w:b/>
          <w:color w:val="auto"/>
          <w:sz w:val="28"/>
          <w:szCs w:val="28"/>
          <w:highlight w:val="none"/>
        </w:rPr>
        <w:t>（</w:t>
      </w:r>
      <w:r>
        <w:rPr>
          <w:b/>
          <w:color w:val="auto"/>
          <w:sz w:val="28"/>
          <w:szCs w:val="28"/>
          <w:highlight w:val="none"/>
        </w:rPr>
        <w:t>一</w:t>
      </w:r>
      <w:r>
        <w:rPr>
          <w:rFonts w:hint="eastAsia"/>
          <w:b/>
          <w:color w:val="auto"/>
          <w:sz w:val="28"/>
          <w:szCs w:val="28"/>
          <w:highlight w:val="none"/>
        </w:rPr>
        <w:t>）投 标 函</w:t>
      </w:r>
    </w:p>
    <w:p>
      <w:pPr>
        <w:spacing w:line="360" w:lineRule="auto"/>
        <w:rPr>
          <w:color w:val="auto"/>
          <w:highlight w:val="none"/>
        </w:rPr>
      </w:pP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致：（采购</w:t>
      </w:r>
      <w:r>
        <w:rPr>
          <w:rFonts w:hint="eastAsia" w:ascii="宋体" w:hAnsi="宋体" w:cs="宋体"/>
          <w:color w:val="auto"/>
          <w:kern w:val="0"/>
          <w:szCs w:val="21"/>
          <w:highlight w:val="none"/>
          <w:lang w:val="en-US" w:eastAsia="zh-CN"/>
        </w:rPr>
        <w:t>人</w:t>
      </w:r>
      <w:r>
        <w:rPr>
          <w:rFonts w:hint="eastAsia" w:ascii="宋体" w:hAnsi="宋体" w:cs="宋体"/>
          <w:color w:val="auto"/>
          <w:kern w:val="0"/>
          <w:szCs w:val="21"/>
          <w:highlight w:val="none"/>
        </w:rPr>
        <w:t>名称）：</w:t>
      </w:r>
    </w:p>
    <w:p>
      <w:pPr>
        <w:keepNext w:val="0"/>
        <w:keepLines w:val="0"/>
        <w:pageBreakBefore w:val="0"/>
        <w:widowControl/>
        <w:kinsoku/>
        <w:wordWrap/>
        <w:overflowPunct/>
        <w:topLinePunct w:val="0"/>
        <w:autoSpaceDE/>
        <w:autoSpaceDN/>
        <w:bidi w:val="0"/>
        <w:adjustRightInd/>
        <w:snapToGrid w:val="0"/>
        <w:spacing w:line="360" w:lineRule="auto"/>
        <w:ind w:firstLine="48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根据贵方为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项目的公开招标公告（项目编号：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（全名）经正式授权并代表供应商</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（供应商名称）提交投标文件。</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1.供应商已详细审查全部“招标文件”，包括修改文件（如有的话）以及全部参考资料，已经了解我方对于招标文件、采购过程、采购结果有依法进行询问、质疑、投诉的权利及相关渠道和要求。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3.本投标有效期自开标日起_____天。</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地址：邮编：__________   电话：______________</w:t>
      </w: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职务：_____________</w:t>
      </w: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:___________________</w:t>
      </w: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ascii="宋体" w:hAnsi="宋体" w:cs="宋体"/>
          <w:color w:val="auto"/>
          <w:kern w:val="0"/>
          <w:szCs w:val="21"/>
          <w:highlight w:val="none"/>
          <w:u w:val="singl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银行</w:t>
      </w:r>
      <w:r>
        <w:rPr>
          <w:rFonts w:hint="eastAsia" w:ascii="宋体" w:hAnsi="宋体" w:cs="宋体"/>
          <w:color w:val="auto"/>
          <w:kern w:val="0"/>
          <w:szCs w:val="21"/>
          <w:highlight w:val="none"/>
          <w:lang w:val="en-US" w:eastAsia="zh-CN"/>
        </w:rPr>
        <w:t>账</w:t>
      </w:r>
      <w:r>
        <w:rPr>
          <w:rFonts w:hint="eastAsia" w:ascii="宋体" w:hAnsi="宋体" w:cs="宋体"/>
          <w:color w:val="auto"/>
          <w:kern w:val="0"/>
          <w:szCs w:val="21"/>
          <w:highlight w:val="none"/>
        </w:rPr>
        <w:t>号：</w:t>
      </w:r>
      <w:r>
        <w:rPr>
          <w:rFonts w:hint="eastAsia" w:ascii="宋体" w:hAnsi="宋体" w:cs="宋体"/>
          <w:color w:val="auto"/>
          <w:kern w:val="0"/>
          <w:szCs w:val="21"/>
          <w:highlight w:val="none"/>
          <w:u w:val="single"/>
        </w:rPr>
        <w:t xml:space="preserve">         </w:t>
      </w:r>
    </w:p>
    <w:p>
      <w:pPr>
        <w:keepNext w:val="0"/>
        <w:keepLines w:val="0"/>
        <w:pageBreakBefore w:val="0"/>
        <w:kinsoku/>
        <w:wordWrap/>
        <w:overflowPunct/>
        <w:topLinePunct w:val="0"/>
        <w:autoSpaceDE/>
        <w:autoSpaceDN/>
        <w:bidi w:val="0"/>
        <w:adjustRightInd/>
        <w:spacing w:line="360" w:lineRule="auto"/>
        <w:jc w:val="both"/>
        <w:textAlignment w:val="auto"/>
        <w:rPr>
          <w:color w:val="auto"/>
          <w:highlight w:val="none"/>
        </w:rPr>
        <w:sectPr>
          <w:headerReference r:id="rId14" w:type="default"/>
          <w:footerReference r:id="rId15" w:type="default"/>
          <w:pgSz w:w="11907" w:h="16840"/>
          <w:pgMar w:top="1440" w:right="1800" w:bottom="1440" w:left="1800" w:header="720" w:footer="720" w:gutter="0"/>
          <w:pgNumType w:fmt="decimal"/>
          <w:cols w:space="720" w:num="1"/>
          <w:docGrid w:type="lines" w:linePitch="286" w:charSpace="0"/>
        </w:sectPr>
      </w:pPr>
      <w:r>
        <w:rPr>
          <w:rFonts w:hint="eastAsia" w:ascii="宋体" w:hAnsi="宋体" w:cs="宋体"/>
          <w:color w:val="auto"/>
          <w:kern w:val="0"/>
          <w:szCs w:val="21"/>
          <w:highlight w:val="none"/>
        </w:rPr>
        <w:t>法定代表人或授权代表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:___________          日期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_____年___月___日</w:t>
      </w:r>
    </w:p>
    <w:p>
      <w:pPr>
        <w:rPr>
          <w:rFonts w:hint="eastAsia"/>
          <w:color w:val="auto"/>
          <w:highlight w:val="none"/>
        </w:rPr>
      </w:pPr>
      <w:bookmarkStart w:id="111" w:name="_Toc513799105"/>
      <w:bookmarkStart w:id="112" w:name="_Toc516480392"/>
    </w:p>
    <w:p>
      <w:pPr>
        <w:jc w:val="center"/>
        <w:rPr>
          <w:rFonts w:hint="eastAsia"/>
          <w:b/>
          <w:color w:val="auto"/>
          <w:sz w:val="28"/>
          <w:szCs w:val="28"/>
          <w:highlight w:val="none"/>
        </w:rPr>
      </w:pPr>
      <w:r>
        <w:rPr>
          <w:rFonts w:hint="eastAsia"/>
          <w:b/>
          <w:color w:val="auto"/>
          <w:sz w:val="28"/>
          <w:szCs w:val="28"/>
          <w:highlight w:val="none"/>
        </w:rPr>
        <w:t>（二）</w:t>
      </w:r>
      <w:bookmarkEnd w:id="111"/>
      <w:bookmarkEnd w:id="112"/>
      <w:r>
        <w:rPr>
          <w:rFonts w:hint="eastAsia"/>
          <w:b/>
          <w:color w:val="auto"/>
          <w:sz w:val="28"/>
          <w:szCs w:val="28"/>
          <w:highlight w:val="none"/>
        </w:rPr>
        <w:t>开标一览表</w:t>
      </w:r>
    </w:p>
    <w:p>
      <w:pPr>
        <w:rPr>
          <w:rFonts w:ascii="宋体" w:hAnsi="宋体"/>
          <w:color w:val="auto"/>
          <w:szCs w:val="21"/>
          <w:highlight w:val="none"/>
        </w:rPr>
      </w:pPr>
    </w:p>
    <w:p>
      <w:pPr>
        <w:spacing w:line="360" w:lineRule="auto"/>
        <w:jc w:val="center"/>
        <w:rPr>
          <w:b/>
          <w:color w:val="000000"/>
          <w:sz w:val="21"/>
          <w:szCs w:val="21"/>
          <w:highlight w:val="none"/>
        </w:rPr>
      </w:pPr>
      <w:r>
        <w:rPr>
          <w:b/>
          <w:color w:val="000000"/>
          <w:sz w:val="21"/>
          <w:szCs w:val="21"/>
          <w:highlight w:val="none"/>
        </w:rPr>
        <w:t xml:space="preserve"> </w:t>
      </w:r>
    </w:p>
    <w:p>
      <w:pPr>
        <w:pStyle w:val="20"/>
        <w:tabs>
          <w:tab w:val="right" w:pos="8847"/>
        </w:tabs>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                        项目名称：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baseline"/>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p>
    <w:tbl>
      <w:tblPr>
        <w:tblStyle w:val="48"/>
        <w:tblpPr w:leftFromText="180" w:rightFromText="180" w:vertAnchor="text" w:tblpXSpec="center" w:tblpY="1"/>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7"/>
        <w:gridCol w:w="2303"/>
        <w:gridCol w:w="1098"/>
        <w:gridCol w:w="1852"/>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75" w:type="dxa"/>
            <w:vAlign w:val="center"/>
          </w:tcPr>
          <w:p>
            <w:pPr>
              <w:pStyle w:val="20"/>
              <w:widowControl/>
              <w:snapToGrid w:val="0"/>
              <w:spacing w:after="0" w:line="360" w:lineRule="auto"/>
              <w:ind w:left="0" w:leftChars="0" w:firstLine="0" w:firstLineChars="0"/>
              <w:contextualSpacing/>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1417" w:type="dxa"/>
            <w:vAlign w:val="center"/>
          </w:tcPr>
          <w:p>
            <w:pPr>
              <w:pStyle w:val="20"/>
              <w:widowControl/>
              <w:snapToGrid w:val="0"/>
              <w:spacing w:after="0" w:line="360" w:lineRule="auto"/>
              <w:ind w:left="0" w:leftChars="0" w:firstLine="0" w:firstLineChars="0"/>
              <w:contextualSpacing/>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采购</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内容</w:t>
            </w:r>
          </w:p>
        </w:tc>
        <w:tc>
          <w:tcPr>
            <w:tcW w:w="2303" w:type="dxa"/>
            <w:vAlign w:val="center"/>
          </w:tcPr>
          <w:p>
            <w:pPr>
              <w:pStyle w:val="20"/>
              <w:widowControl/>
              <w:snapToGrid w:val="0"/>
              <w:spacing w:after="0" w:line="360" w:lineRule="auto"/>
              <w:ind w:left="0" w:leftChars="0" w:firstLine="0" w:firstLineChars="0"/>
              <w:contextualSpacing/>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合同履约期限</w:t>
            </w:r>
          </w:p>
        </w:tc>
        <w:tc>
          <w:tcPr>
            <w:tcW w:w="1098" w:type="dxa"/>
            <w:vAlign w:val="center"/>
          </w:tcPr>
          <w:p>
            <w:pPr>
              <w:pStyle w:val="20"/>
              <w:widowControl/>
              <w:snapToGrid w:val="0"/>
              <w:spacing w:after="0" w:line="360" w:lineRule="auto"/>
              <w:ind w:left="0" w:leftChars="0" w:firstLine="0" w:firstLineChars="0"/>
              <w:contextualSpacing/>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暂定</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人数</w:t>
            </w:r>
          </w:p>
        </w:tc>
        <w:tc>
          <w:tcPr>
            <w:tcW w:w="1852" w:type="dxa"/>
            <w:vAlign w:val="center"/>
          </w:tcPr>
          <w:p>
            <w:pPr>
              <w:pStyle w:val="20"/>
              <w:widowControl/>
              <w:snapToGrid w:val="0"/>
              <w:spacing w:after="0" w:line="360" w:lineRule="auto"/>
              <w:ind w:left="0" w:leftChars="0" w:firstLine="0" w:firstLineChars="0"/>
              <w:contextualSpacing/>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综合单价报价</w:t>
            </w:r>
          </w:p>
          <w:p>
            <w:pPr>
              <w:pStyle w:val="20"/>
              <w:widowControl/>
              <w:snapToGrid w:val="0"/>
              <w:spacing w:after="0" w:line="360" w:lineRule="auto"/>
              <w:ind w:left="0" w:leftChars="0" w:firstLine="0" w:firstLineChars="0"/>
              <w:contextualSpacing/>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（人民币元/人/年）</w:t>
            </w:r>
          </w:p>
        </w:tc>
        <w:tc>
          <w:tcPr>
            <w:tcW w:w="2113" w:type="dxa"/>
            <w:vAlign w:val="center"/>
          </w:tcPr>
          <w:p>
            <w:pPr>
              <w:pStyle w:val="20"/>
              <w:widowControl/>
              <w:snapToGrid w:val="0"/>
              <w:spacing w:after="0" w:line="360" w:lineRule="auto"/>
              <w:ind w:left="0" w:leftChars="0" w:firstLine="0" w:firstLineChars="0"/>
              <w:contextualSpacing/>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响应总报价</w:t>
            </w:r>
          </w:p>
          <w:p>
            <w:pPr>
              <w:pStyle w:val="20"/>
              <w:widowControl/>
              <w:snapToGrid w:val="0"/>
              <w:spacing w:after="0" w:line="360" w:lineRule="auto"/>
              <w:ind w:left="0" w:leftChars="0" w:firstLine="0" w:firstLineChars="0"/>
              <w:contextualSpacing/>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675" w:type="dxa"/>
            <w:vAlign w:val="center"/>
          </w:tcPr>
          <w:p>
            <w:pPr>
              <w:snapToGrid w:val="0"/>
              <w:spacing w:line="360" w:lineRule="auto"/>
              <w:contextualSpacing/>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417" w:type="dxa"/>
            <w:vAlign w:val="center"/>
          </w:tcPr>
          <w:p>
            <w:pPr>
              <w:autoSpaceDE w:val="0"/>
              <w:autoSpaceDN w:val="0"/>
              <w:adjustRightInd w:val="0"/>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3" w:type="dxa"/>
            <w:vAlign w:val="center"/>
          </w:tcPr>
          <w:p>
            <w:pPr>
              <w:pStyle w:val="20"/>
              <w:keepNext w:val="0"/>
              <w:keepLines w:val="0"/>
              <w:pageBreakBefore w:val="0"/>
              <w:widowControl/>
              <w:kinsoku/>
              <w:wordWrap/>
              <w:overflowPunct/>
              <w:topLinePunct w:val="0"/>
              <w:autoSpaceDE/>
              <w:autoSpaceDN/>
              <w:bidi w:val="0"/>
              <w:adjustRightInd w:val="0"/>
              <w:snapToGrid w:val="0"/>
              <w:spacing w:after="0" w:line="360" w:lineRule="auto"/>
              <w:ind w:left="0" w:leftChars="0"/>
              <w:contextualSpacing/>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98" w:type="dxa"/>
            <w:vAlign w:val="center"/>
          </w:tcPr>
          <w:p>
            <w:pPr>
              <w:pStyle w:val="20"/>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contextualSpacing/>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150人</w:t>
            </w:r>
          </w:p>
        </w:tc>
        <w:tc>
          <w:tcPr>
            <w:tcW w:w="1852" w:type="dxa"/>
            <w:vAlign w:val="center"/>
          </w:tcPr>
          <w:p>
            <w:pPr>
              <w:pStyle w:val="20"/>
              <w:keepNext w:val="0"/>
              <w:keepLines w:val="0"/>
              <w:pageBreakBefore w:val="0"/>
              <w:widowControl/>
              <w:kinsoku/>
              <w:wordWrap/>
              <w:overflowPunct/>
              <w:topLinePunct w:val="0"/>
              <w:autoSpaceDE/>
              <w:autoSpaceDN/>
              <w:bidi w:val="0"/>
              <w:adjustRightInd w:val="0"/>
              <w:snapToGrid w:val="0"/>
              <w:spacing w:after="0" w:line="360" w:lineRule="auto"/>
              <w:ind w:left="0" w:leftChars="0"/>
              <w:contextualSpacing/>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113" w:type="dxa"/>
            <w:vAlign w:val="center"/>
          </w:tcPr>
          <w:p>
            <w:pPr>
              <w:pStyle w:val="20"/>
              <w:widowControl/>
              <w:snapToGrid w:val="0"/>
              <w:spacing w:after="0" w:line="360" w:lineRule="auto"/>
              <w:ind w:left="0" w:leftChars="0" w:firstLine="0" w:firstLineChars="0"/>
              <w:contextualSpacing/>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小写：</w:t>
            </w:r>
          </w:p>
          <w:p>
            <w:pPr>
              <w:pStyle w:val="20"/>
              <w:widowControl/>
              <w:snapToGrid w:val="0"/>
              <w:spacing w:after="0" w:line="360" w:lineRule="auto"/>
              <w:ind w:left="0" w:leftChars="0"/>
              <w:contextualSpacing/>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pStyle w:val="20"/>
              <w:widowControl/>
              <w:snapToGrid w:val="0"/>
              <w:spacing w:after="0" w:line="360" w:lineRule="auto"/>
              <w:ind w:left="0" w:leftChars="0" w:firstLine="0" w:firstLineChars="0"/>
              <w:contextualSpacing/>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75" w:type="dxa"/>
            <w:vAlign w:val="center"/>
          </w:tcPr>
          <w:p>
            <w:pPr>
              <w:snapToGrid w:val="0"/>
              <w:spacing w:line="360" w:lineRule="auto"/>
              <w:contextualSpacing/>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14:textFill>
                  <w14:solidFill>
                    <w14:schemeClr w14:val="tx1"/>
                  </w14:solidFill>
                </w14:textFill>
              </w:rPr>
              <w:t>声明</w:t>
            </w:r>
          </w:p>
        </w:tc>
        <w:tc>
          <w:tcPr>
            <w:tcW w:w="8783" w:type="dxa"/>
            <w:gridSpan w:val="5"/>
            <w:vAlign w:val="center"/>
          </w:tcPr>
          <w:p>
            <w:pPr>
              <w:pStyle w:val="20"/>
              <w:widowControl/>
              <w:snapToGrid w:val="0"/>
              <w:spacing w:after="0" w:line="360" w:lineRule="auto"/>
              <w:ind w:left="0" w:leftChars="0"/>
              <w:contextualSpacing/>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pPr>
        <w:spacing w:line="360" w:lineRule="auto"/>
        <w:rPr>
          <w:rFonts w:hint="default" w:ascii="Times New Roman" w:eastAsia="宋体" w:cs="Times New Roman"/>
          <w:b/>
          <w:bCs/>
          <w:color w:val="auto"/>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注：</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报价一经涂改，应在涂改处加盖单位公章或者由法定代表人或授权代表或自然人签字或盖章，否则其报价作无效处理。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eastAsia="宋体" w:cs="Times New Roman"/>
          <w:b/>
          <w:bCs/>
          <w:color w:val="auto"/>
          <w:sz w:val="21"/>
          <w:szCs w:val="21"/>
          <w:highlight w:val="none"/>
          <w:lang w:val="en-US" w:eastAsia="zh-CN"/>
        </w:rPr>
        <w:t>上述综合单价报价采用人民币3000元/人</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/年</w:t>
      </w:r>
      <w:r>
        <w:rPr>
          <w:rFonts w:hint="eastAsia" w:ascii="Times New Roman" w:eastAsia="宋体" w:cs="Times New Roman"/>
          <w:b/>
          <w:bCs/>
          <w:color w:val="auto"/>
          <w:sz w:val="21"/>
          <w:szCs w:val="21"/>
          <w:highlight w:val="none"/>
          <w:lang w:val="en-US" w:eastAsia="zh-CN"/>
        </w:rPr>
        <w:t>的固定报价；报价未按固定报价的其响应文件作无效处理。</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pStyle w:val="2"/>
        <w:spacing w:line="360" w:lineRule="auto"/>
        <w:rPr>
          <w:rFonts w:hint="eastAsia"/>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法定代表人或授权代表人（签字或盖章）：</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pPr>
        <w:spacing w:line="360" w:lineRule="auto"/>
        <w:rPr>
          <w:rFonts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color w:val="auto"/>
          <w:sz w:val="22"/>
          <w:szCs w:val="22"/>
          <w:highlight w:val="none"/>
          <w:u w:val="single"/>
        </w:rPr>
      </w:pPr>
      <w:bookmarkStart w:id="113" w:name="_Toc53670323"/>
      <w:bookmarkStart w:id="114" w:name="_Toc513799092"/>
      <w:bookmarkStart w:id="115" w:name="_Toc516480379"/>
      <w:bookmarkStart w:id="116" w:name="_Toc516479239"/>
    </w:p>
    <w:p>
      <w:pPr>
        <w:pStyle w:val="7"/>
        <w:tabs>
          <w:tab w:val="left" w:pos="720"/>
        </w:tabs>
        <w:spacing w:line="380" w:lineRule="exact"/>
        <w:jc w:val="center"/>
        <w:rPr>
          <w:rFonts w:hint="eastAsia" w:ascii="宋体" w:hAnsi="宋体"/>
          <w:color w:val="auto"/>
          <w:sz w:val="28"/>
          <w:szCs w:val="28"/>
          <w:highlight w:val="none"/>
        </w:rPr>
      </w:pPr>
      <w:r>
        <w:rPr>
          <w:color w:val="auto"/>
          <w:highlight w:val="none"/>
        </w:rPr>
        <w:br w:type="page"/>
      </w:r>
      <w:bookmarkEnd w:id="113"/>
      <w:bookmarkEnd w:id="114"/>
      <w:bookmarkEnd w:id="115"/>
      <w:bookmarkEnd w:id="116"/>
      <w:bookmarkStart w:id="117" w:name="_Toc20895"/>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）供应商认为需提交的其他文件资料。</w:t>
      </w:r>
      <w:bookmarkEnd w:id="117"/>
    </w:p>
    <w:p>
      <w:pPr>
        <w:pStyle w:val="7"/>
        <w:tabs>
          <w:tab w:val="left" w:pos="720"/>
        </w:tabs>
        <w:spacing w:line="380" w:lineRule="exact"/>
        <w:jc w:val="center"/>
        <w:rPr>
          <w:rFonts w:hint="eastAsia" w:ascii="宋体" w:hAnsi="宋体"/>
          <w:color w:val="auto"/>
          <w:sz w:val="28"/>
          <w:szCs w:val="28"/>
          <w:highlight w:val="none"/>
        </w:rPr>
      </w:pPr>
    </w:p>
    <w:p>
      <w:pPr>
        <w:pStyle w:val="60"/>
        <w:spacing w:line="360" w:lineRule="auto"/>
        <w:jc w:val="center"/>
        <w:rPr>
          <w:rFonts w:hint="eastAsia" w:ascii="宋体" w:hAnsi="Courier New" w:eastAsia="宋体" w:cs="Times New Roman"/>
          <w:b/>
          <w:bCs w:val="0"/>
          <w:spacing w:val="0"/>
          <w:kern w:val="2"/>
          <w:sz w:val="28"/>
          <w:szCs w:val="28"/>
          <w:highlight w:val="none"/>
          <w:lang w:val="en-US" w:eastAsia="zh-CN" w:bidi="ar-SA"/>
        </w:rPr>
      </w:pPr>
    </w:p>
    <w:sectPr>
      <w:headerReference r:id="rId16" w:type="default"/>
      <w:footerReference r:id="rId17" w:type="default"/>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B0604020202020204"/>
    <w:charset w:val="00"/>
    <w:family w:val="auto"/>
    <w:pitch w:val="default"/>
    <w:sig w:usb0="00000000" w:usb1="00000000" w:usb2="00000000" w:usb3="00000000" w:csb0="00000000" w:csb1="00000000"/>
  </w:font>
  <w:font w:name="楷体_GB2312">
    <w:altName w:val="楷体"/>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Thorndale">
    <w:altName w:val="Times New Roman"/>
    <w:panose1 w:val="020B0604020202020204"/>
    <w:charset w:val="00"/>
    <w:family w:val="roman"/>
    <w:pitch w:val="default"/>
    <w:sig w:usb0="00000000" w:usb1="00000000" w:usb2="00000000" w:usb3="00000000" w:csb0="00040001" w:csb1="00000000"/>
  </w:font>
  <w:font w:name="HG Mincho Light J">
    <w:altName w:val="Times New Roman"/>
    <w:panose1 w:val="020B0604020202020204"/>
    <w:charset w:val="00"/>
    <w:family w:val="auto"/>
    <w:pitch w:val="default"/>
    <w:sig w:usb0="00000000" w:usb1="00000000" w:usb2="00000000" w:usb3="00000000" w:csb0="00040001" w:csb1="00000000"/>
  </w:font>
  <w:font w:name="Helvetica">
    <w:panose1 w:val="020B0604020202020204"/>
    <w:charset w:val="00"/>
    <w:family w:val="auto"/>
    <w:pitch w:val="default"/>
    <w:sig w:usb0="00000000" w:usb1="00000000" w:usb2="00000000" w:usb3="00000000" w:csb0="00000000" w:csb1="00000000"/>
  </w:font>
  <w:font w:name="ヒラギノ角ゴ Pro W3">
    <w:altName w:val="Times New Roman"/>
    <w:panose1 w:val="020B0300000000000000"/>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62230" cy="106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wps:spPr>
                    <wps:txbx>
                      <w:txbxContent>
                        <w:p>
                          <w:pPr>
                            <w:spacing w:before="19"/>
                            <w:ind w:left="20"/>
                            <w:jc w:val="left"/>
                            <w:rPr>
                              <w:sz w:val="11"/>
                            </w:rPr>
                          </w:pPr>
                          <w:r>
                            <w:rPr>
                              <w:w w:val="104"/>
                              <w:sz w:val="11"/>
                            </w:rPr>
                            <w:t>1</w:t>
                          </w:r>
                        </w:p>
                      </w:txbxContent>
                    </wps:txbx>
                    <wps:bodyPr lIns="0" tIns="0" rIns="0" bIns="0" upright="1"/>
                  </wps:wsp>
                </a:graphicData>
              </a:graphic>
            </wp:anchor>
          </w:drawing>
        </mc:Choice>
        <mc:Fallback>
          <w:pict>
            <v:shape id="_x0000_s1026" o:spid="_x0000_s1026" o:spt="202" type="#_x0000_t202" style="position:absolute;left:0pt;margin-left:89pt;margin-top:758.05pt;height:8.4pt;width:4.9pt;mso-position-horizontal-relative:page;mso-position-vertical-relative:page;z-index:-251657216;mso-width-relative:page;mso-height-relative:page;" filled="f" stroked="f" coordsize="21600,21600" o:gfxdata="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odeEfaAAAADQEAAA8AAAAAAAAAAQAgAAAAIgAAAGRycy9kb3ducmV2LnhtbFBLAQIU&#10;ABQAAAAIAIdO4kAhaD+guAEAAHADAAAOAAAAAAAAAAEAIAAAACkBAABkcnMvZTJvRG9jLnhtbFBL&#10;BQYAAAAABgAGAFkBAABTBQAAAAA=&#10;">
              <v:fill on="f" focussize="0,0"/>
              <v:stroke on="f"/>
              <v:imagedata o:title=""/>
              <o:lock v:ext="edit" aspectratio="f"/>
              <v:textbox inset="0mm,0mm,0mm,0mm">
                <w:txbxContent>
                  <w:p>
                    <w:pPr>
                      <w:spacing w:before="19"/>
                      <w:ind w:left="20"/>
                      <w:jc w:val="left"/>
                      <w:rPr>
                        <w:sz w:val="11"/>
                      </w:rPr>
                    </w:pPr>
                    <w:r>
                      <w:rPr>
                        <w:w w:val="104"/>
                        <w:sz w:val="11"/>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rPr>
        <w:rFonts w:hint="eastAsia"/>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rPr>
        <w:rFonts w:hint="eastAsia"/>
        <w:sz w:val="15"/>
        <w:szCs w:val="15"/>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rPr>
        <w:rFonts w:hint="eastAsia"/>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rPr>
        <w:rFonts w:hint="eastAsia"/>
        <w:sz w:val="15"/>
        <w:szCs w:val="15"/>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rPr>
        <w:rFonts w:hint="eastAsia"/>
        <w:sz w:val="15"/>
        <w:szCs w:val="15"/>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8991B"/>
    <w:multiLevelType w:val="singleLevel"/>
    <w:tmpl w:val="8578991B"/>
    <w:lvl w:ilvl="0" w:tentative="0">
      <w:start w:val="1"/>
      <w:numFmt w:val="chineseCounting"/>
      <w:suff w:val="space"/>
      <w:lvlText w:val="第%1部分"/>
      <w:lvlJc w:val="left"/>
      <w:rPr>
        <w:rFonts w:hint="eastAsia"/>
      </w:rPr>
    </w:lvl>
  </w:abstractNum>
  <w:abstractNum w:abstractNumId="1">
    <w:nsid w:val="C1050140"/>
    <w:multiLevelType w:val="singleLevel"/>
    <w:tmpl w:val="C1050140"/>
    <w:lvl w:ilvl="0" w:tentative="0">
      <w:start w:val="1"/>
      <w:numFmt w:val="decimal"/>
      <w:suff w:val="nothing"/>
      <w:lvlText w:val="%1、"/>
      <w:lvlJc w:val="left"/>
    </w:lvl>
  </w:abstractNum>
  <w:abstractNum w:abstractNumId="2">
    <w:nsid w:val="EA99D1B9"/>
    <w:multiLevelType w:val="singleLevel"/>
    <w:tmpl w:val="EA99D1B9"/>
    <w:lvl w:ilvl="0" w:tentative="0">
      <w:start w:val="1"/>
      <w:numFmt w:val="decimal"/>
      <w:suff w:val="nothing"/>
      <w:lvlText w:val="（%1）"/>
      <w:lvlJc w:val="left"/>
      <w:pPr>
        <w:ind w:left="0"/>
      </w:pPr>
    </w:lvl>
  </w:abstractNum>
  <w:abstractNum w:abstractNumId="3">
    <w:nsid w:val="00000001"/>
    <w:multiLevelType w:val="multilevel"/>
    <w:tmpl w:val="0000000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1145" w:hanging="720"/>
      </w:pPr>
      <w:rPr>
        <w:lang w:val="en-US"/>
      </w:rPr>
    </w:lvl>
    <w:lvl w:ilvl="3" w:tentative="0">
      <w:start w:val="1"/>
      <w:numFmt w:val="decimal"/>
      <w:lvlText w:val="%1.%2.%3.%4"/>
      <w:lvlJc w:val="left"/>
      <w:pPr>
        <w:ind w:left="864" w:hanging="864"/>
      </w:pPr>
    </w:lvl>
    <w:lvl w:ilvl="4" w:tentative="0">
      <w:start w:val="1"/>
      <w:numFmt w:val="decimal"/>
      <w:pStyle w:val="9"/>
      <w:lvlText w:val="%1.%2.%3.%4.%5"/>
      <w:lvlJc w:val="left"/>
      <w:pPr>
        <w:ind w:left="1008" w:hanging="1008"/>
      </w:pPr>
    </w:lvl>
    <w:lvl w:ilvl="5" w:tentative="0">
      <w:start w:val="1"/>
      <w:numFmt w:val="decimal"/>
      <w:pStyle w:val="10"/>
      <w:lvlText w:val="%1.%2.%3.%4.%5.%6"/>
      <w:lvlJc w:val="left"/>
      <w:pPr>
        <w:ind w:left="1152" w:hanging="1152"/>
      </w:pPr>
    </w:lvl>
    <w:lvl w:ilvl="6" w:tentative="0">
      <w:start w:val="1"/>
      <w:numFmt w:val="decimal"/>
      <w:pStyle w:val="11"/>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00000005"/>
    <w:multiLevelType w:val="singleLevel"/>
    <w:tmpl w:val="00000005"/>
    <w:lvl w:ilvl="0" w:tentative="0">
      <w:start w:val="1"/>
      <w:numFmt w:val="decimal"/>
      <w:pStyle w:val="21"/>
      <w:lvlText w:val="%1."/>
      <w:lvlJc w:val="left"/>
      <w:pPr>
        <w:tabs>
          <w:tab w:val="left" w:pos="1200"/>
        </w:tabs>
        <w:ind w:left="1200" w:hanging="360"/>
      </w:pPr>
    </w:lvl>
  </w:abstractNum>
  <w:abstractNum w:abstractNumId="5">
    <w:nsid w:val="00000006"/>
    <w:multiLevelType w:val="singleLevel"/>
    <w:tmpl w:val="00000006"/>
    <w:lvl w:ilvl="0" w:tentative="0">
      <w:start w:val="1"/>
      <w:numFmt w:val="chineseCounting"/>
      <w:suff w:val="nothing"/>
      <w:lvlText w:val="%1、"/>
      <w:lvlJc w:val="left"/>
    </w:lvl>
  </w:abstractNum>
  <w:abstractNum w:abstractNumId="6">
    <w:nsid w:val="00000007"/>
    <w:multiLevelType w:val="singleLevel"/>
    <w:tmpl w:val="00000007"/>
    <w:lvl w:ilvl="0" w:tentative="0">
      <w:start w:val="2"/>
      <w:numFmt w:val="decimal"/>
      <w:suff w:val="nothing"/>
      <w:lvlText w:val="%1."/>
      <w:lvlJc w:val="left"/>
    </w:lvl>
  </w:abstractNum>
  <w:abstractNum w:abstractNumId="7">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8">
    <w:nsid w:val="25025953"/>
    <w:multiLevelType w:val="singleLevel"/>
    <w:tmpl w:val="25025953"/>
    <w:lvl w:ilvl="0" w:tentative="0">
      <w:start w:val="1"/>
      <w:numFmt w:val="decimalEnclosedCircleChinese"/>
      <w:suff w:val="nothing"/>
      <w:lvlText w:val="%1　"/>
      <w:lvlJc w:val="left"/>
      <w:pPr>
        <w:ind w:left="0" w:firstLine="400"/>
      </w:pPr>
      <w:rPr>
        <w:rFonts w:hint="eastAsia"/>
      </w:rPr>
    </w:lvl>
  </w:abstractNum>
  <w:abstractNum w:abstractNumId="9">
    <w:nsid w:val="2E39799B"/>
    <w:multiLevelType w:val="multilevel"/>
    <w:tmpl w:val="2E39799B"/>
    <w:lvl w:ilvl="0" w:tentative="0">
      <w:start w:val="1"/>
      <w:numFmt w:val="decimal"/>
      <w:pStyle w:val="127"/>
      <w:lvlText w:val="%1、"/>
      <w:lvlJc w:val="left"/>
      <w:pPr>
        <w:ind w:left="810" w:hanging="360"/>
      </w:pPr>
      <w:rPr>
        <w:rFonts w:hint="default"/>
        <w:b/>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0">
    <w:nsid w:val="31EA1726"/>
    <w:multiLevelType w:val="multilevel"/>
    <w:tmpl w:val="31EA17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6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FFAECA7"/>
    <w:multiLevelType w:val="singleLevel"/>
    <w:tmpl w:val="4FFAECA7"/>
    <w:lvl w:ilvl="0" w:tentative="0">
      <w:start w:val="1"/>
      <w:numFmt w:val="decimalEnclosedCircleChinese"/>
      <w:suff w:val="nothing"/>
      <w:lvlText w:val="%1　"/>
      <w:lvlJc w:val="left"/>
      <w:pPr>
        <w:ind w:left="0" w:firstLine="400"/>
      </w:pPr>
      <w:rPr>
        <w:rFonts w:hint="eastAsia"/>
      </w:rPr>
    </w:lvl>
  </w:abstractNum>
  <w:abstractNum w:abstractNumId="12">
    <w:nsid w:val="54FD274A"/>
    <w:multiLevelType w:val="singleLevel"/>
    <w:tmpl w:val="54FD274A"/>
    <w:lvl w:ilvl="0" w:tentative="0">
      <w:start w:val="1"/>
      <w:numFmt w:val="decimal"/>
      <w:pStyle w:val="123"/>
      <w:suff w:val="nothing"/>
      <w:lvlText w:val="%1、"/>
      <w:lvlJc w:val="left"/>
      <w:pPr>
        <w:tabs>
          <w:tab w:val="left" w:pos="0"/>
        </w:tabs>
        <w:ind w:left="0" w:firstLine="0"/>
      </w:pPr>
    </w:lvl>
  </w:abstractNum>
  <w:abstractNum w:abstractNumId="13">
    <w:nsid w:val="57FD41AA"/>
    <w:multiLevelType w:val="multilevel"/>
    <w:tmpl w:val="57FD41AA"/>
    <w:lvl w:ilvl="0" w:tentative="0">
      <w:start w:val="1"/>
      <w:numFmt w:val="decimal"/>
      <w:pStyle w:val="12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47FD4BD"/>
    <w:multiLevelType w:val="singleLevel"/>
    <w:tmpl w:val="647FD4BD"/>
    <w:lvl w:ilvl="0" w:tentative="0">
      <w:start w:val="1"/>
      <w:numFmt w:val="decimalEnclosedCircleChinese"/>
      <w:suff w:val="nothing"/>
      <w:lvlText w:val="%1　"/>
      <w:lvlJc w:val="left"/>
      <w:pPr>
        <w:ind w:left="0" w:firstLine="400"/>
      </w:pPr>
      <w:rPr>
        <w:rFonts w:hint="eastAsia"/>
      </w:rPr>
    </w:lvl>
  </w:abstractNum>
  <w:abstractNum w:abstractNumId="15">
    <w:nsid w:val="7755585C"/>
    <w:multiLevelType w:val="multilevel"/>
    <w:tmpl w:val="7755585C"/>
    <w:lvl w:ilvl="0" w:tentative="0">
      <w:start w:val="1"/>
      <w:numFmt w:val="bullet"/>
      <w:pStyle w:val="118"/>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4"/>
  </w:num>
  <w:num w:numId="3">
    <w:abstractNumId w:val="10"/>
  </w:num>
  <w:num w:numId="4">
    <w:abstractNumId w:val="15"/>
  </w:num>
  <w:num w:numId="5">
    <w:abstractNumId w:val="12"/>
  </w:num>
  <w:num w:numId="6">
    <w:abstractNumId w:val="13"/>
  </w:num>
  <w:num w:numId="7">
    <w:abstractNumId w:val="9"/>
  </w:num>
  <w:num w:numId="8">
    <w:abstractNumId w:val="11"/>
  </w:num>
  <w:num w:numId="9">
    <w:abstractNumId w:val="14"/>
  </w:num>
  <w:num w:numId="10">
    <w:abstractNumId w:val="8"/>
  </w:num>
  <w:num w:numId="11">
    <w:abstractNumId w:val="1"/>
  </w:num>
  <w:num w:numId="12">
    <w:abstractNumId w:val="7"/>
  </w:num>
  <w:num w:numId="13">
    <w:abstractNumId w:val="6"/>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NjJiMTA0Mjg2MTdmMjNhZmYyMjljMTU3NzBjNDllMWQ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0764"/>
    <w:rsid w:val="000015A8"/>
    <w:rsid w:val="000019E6"/>
    <w:rsid w:val="00002C3A"/>
    <w:rsid w:val="00003595"/>
    <w:rsid w:val="00003A23"/>
    <w:rsid w:val="00004ECC"/>
    <w:rsid w:val="000066CD"/>
    <w:rsid w:val="00006B87"/>
    <w:rsid w:val="00011168"/>
    <w:rsid w:val="00016E85"/>
    <w:rsid w:val="00020724"/>
    <w:rsid w:val="00021119"/>
    <w:rsid w:val="0002171A"/>
    <w:rsid w:val="0002390A"/>
    <w:rsid w:val="0002573D"/>
    <w:rsid w:val="000363C2"/>
    <w:rsid w:val="00041050"/>
    <w:rsid w:val="000456B8"/>
    <w:rsid w:val="000468B5"/>
    <w:rsid w:val="00046F87"/>
    <w:rsid w:val="000511FD"/>
    <w:rsid w:val="00052952"/>
    <w:rsid w:val="000537C8"/>
    <w:rsid w:val="00056DF7"/>
    <w:rsid w:val="00057BF6"/>
    <w:rsid w:val="00057E6D"/>
    <w:rsid w:val="00062D85"/>
    <w:rsid w:val="00063346"/>
    <w:rsid w:val="00065EE8"/>
    <w:rsid w:val="000664F3"/>
    <w:rsid w:val="0007082C"/>
    <w:rsid w:val="0007121E"/>
    <w:rsid w:val="0007246E"/>
    <w:rsid w:val="00073C4B"/>
    <w:rsid w:val="00074B3E"/>
    <w:rsid w:val="00074C7E"/>
    <w:rsid w:val="00075862"/>
    <w:rsid w:val="000817B2"/>
    <w:rsid w:val="00083E4F"/>
    <w:rsid w:val="000907E4"/>
    <w:rsid w:val="00091627"/>
    <w:rsid w:val="000940A4"/>
    <w:rsid w:val="00094201"/>
    <w:rsid w:val="000962E1"/>
    <w:rsid w:val="000964EC"/>
    <w:rsid w:val="000A15BA"/>
    <w:rsid w:val="000A1B28"/>
    <w:rsid w:val="000A3449"/>
    <w:rsid w:val="000A5C18"/>
    <w:rsid w:val="000A77C0"/>
    <w:rsid w:val="000B0834"/>
    <w:rsid w:val="000B15A7"/>
    <w:rsid w:val="000B2B27"/>
    <w:rsid w:val="000B4E12"/>
    <w:rsid w:val="000B569E"/>
    <w:rsid w:val="000C0587"/>
    <w:rsid w:val="000C4962"/>
    <w:rsid w:val="000C5E28"/>
    <w:rsid w:val="000C6733"/>
    <w:rsid w:val="000D3557"/>
    <w:rsid w:val="000D76E0"/>
    <w:rsid w:val="000D7905"/>
    <w:rsid w:val="000D7EDE"/>
    <w:rsid w:val="000E0FA5"/>
    <w:rsid w:val="000E162A"/>
    <w:rsid w:val="000E33EA"/>
    <w:rsid w:val="000E38C6"/>
    <w:rsid w:val="000F13AC"/>
    <w:rsid w:val="000F4942"/>
    <w:rsid w:val="000F7062"/>
    <w:rsid w:val="000F7B2D"/>
    <w:rsid w:val="001020B9"/>
    <w:rsid w:val="00102AF6"/>
    <w:rsid w:val="00104BAE"/>
    <w:rsid w:val="00112815"/>
    <w:rsid w:val="00114260"/>
    <w:rsid w:val="001148BB"/>
    <w:rsid w:val="00114CB7"/>
    <w:rsid w:val="00117E3F"/>
    <w:rsid w:val="00124062"/>
    <w:rsid w:val="00126108"/>
    <w:rsid w:val="0012690F"/>
    <w:rsid w:val="00131683"/>
    <w:rsid w:val="0013173F"/>
    <w:rsid w:val="00133629"/>
    <w:rsid w:val="001346F3"/>
    <w:rsid w:val="00134F56"/>
    <w:rsid w:val="00140262"/>
    <w:rsid w:val="001424F6"/>
    <w:rsid w:val="00142679"/>
    <w:rsid w:val="0014697D"/>
    <w:rsid w:val="001509DC"/>
    <w:rsid w:val="001517DD"/>
    <w:rsid w:val="00153025"/>
    <w:rsid w:val="001552BE"/>
    <w:rsid w:val="00156665"/>
    <w:rsid w:val="00156C86"/>
    <w:rsid w:val="00156FF2"/>
    <w:rsid w:val="00157195"/>
    <w:rsid w:val="00157361"/>
    <w:rsid w:val="0016182D"/>
    <w:rsid w:val="001619A2"/>
    <w:rsid w:val="0016336B"/>
    <w:rsid w:val="00163792"/>
    <w:rsid w:val="00166FB2"/>
    <w:rsid w:val="001707B7"/>
    <w:rsid w:val="00172A27"/>
    <w:rsid w:val="00175C57"/>
    <w:rsid w:val="00177A6A"/>
    <w:rsid w:val="00183FD3"/>
    <w:rsid w:val="001900EE"/>
    <w:rsid w:val="00190811"/>
    <w:rsid w:val="00191D53"/>
    <w:rsid w:val="001939FB"/>
    <w:rsid w:val="0019491F"/>
    <w:rsid w:val="00195114"/>
    <w:rsid w:val="00195591"/>
    <w:rsid w:val="001A0284"/>
    <w:rsid w:val="001A26CE"/>
    <w:rsid w:val="001A3DE1"/>
    <w:rsid w:val="001A6C3B"/>
    <w:rsid w:val="001B3D85"/>
    <w:rsid w:val="001B5E01"/>
    <w:rsid w:val="001B6322"/>
    <w:rsid w:val="001B7684"/>
    <w:rsid w:val="001C49F6"/>
    <w:rsid w:val="001D04D8"/>
    <w:rsid w:val="001D2F7A"/>
    <w:rsid w:val="001D4A56"/>
    <w:rsid w:val="001E0B98"/>
    <w:rsid w:val="001E3F86"/>
    <w:rsid w:val="001E7ADD"/>
    <w:rsid w:val="001F09A4"/>
    <w:rsid w:val="001F0FD0"/>
    <w:rsid w:val="001F4390"/>
    <w:rsid w:val="001F4654"/>
    <w:rsid w:val="001F4B90"/>
    <w:rsid w:val="001F5113"/>
    <w:rsid w:val="001F5435"/>
    <w:rsid w:val="002031E9"/>
    <w:rsid w:val="002049D0"/>
    <w:rsid w:val="0020543F"/>
    <w:rsid w:val="002056C7"/>
    <w:rsid w:val="002058EF"/>
    <w:rsid w:val="002154AF"/>
    <w:rsid w:val="00215FAE"/>
    <w:rsid w:val="002239B1"/>
    <w:rsid w:val="0022452C"/>
    <w:rsid w:val="00225D83"/>
    <w:rsid w:val="002266C5"/>
    <w:rsid w:val="00232259"/>
    <w:rsid w:val="00234861"/>
    <w:rsid w:val="002363C3"/>
    <w:rsid w:val="0023722A"/>
    <w:rsid w:val="0024097E"/>
    <w:rsid w:val="00241281"/>
    <w:rsid w:val="0024303F"/>
    <w:rsid w:val="002456BD"/>
    <w:rsid w:val="00250A19"/>
    <w:rsid w:val="00262781"/>
    <w:rsid w:val="00264789"/>
    <w:rsid w:val="00265D96"/>
    <w:rsid w:val="002660AE"/>
    <w:rsid w:val="0027243F"/>
    <w:rsid w:val="00272CC7"/>
    <w:rsid w:val="00275359"/>
    <w:rsid w:val="00276D57"/>
    <w:rsid w:val="00283E08"/>
    <w:rsid w:val="00287A6C"/>
    <w:rsid w:val="0029045D"/>
    <w:rsid w:val="002906B9"/>
    <w:rsid w:val="0029153D"/>
    <w:rsid w:val="0029385F"/>
    <w:rsid w:val="00295CA8"/>
    <w:rsid w:val="002964F1"/>
    <w:rsid w:val="00297BAA"/>
    <w:rsid w:val="00297DA6"/>
    <w:rsid w:val="002A6F91"/>
    <w:rsid w:val="002B0547"/>
    <w:rsid w:val="002B3310"/>
    <w:rsid w:val="002B4BA3"/>
    <w:rsid w:val="002B590D"/>
    <w:rsid w:val="002C0207"/>
    <w:rsid w:val="002C799F"/>
    <w:rsid w:val="002D1A9B"/>
    <w:rsid w:val="002D1DC4"/>
    <w:rsid w:val="002D30E4"/>
    <w:rsid w:val="002D5715"/>
    <w:rsid w:val="002D66B5"/>
    <w:rsid w:val="002D6BD8"/>
    <w:rsid w:val="002D6C52"/>
    <w:rsid w:val="002E06AC"/>
    <w:rsid w:val="002E0817"/>
    <w:rsid w:val="002E4172"/>
    <w:rsid w:val="002E53CD"/>
    <w:rsid w:val="002E7C85"/>
    <w:rsid w:val="002F28A6"/>
    <w:rsid w:val="002F3766"/>
    <w:rsid w:val="002F579E"/>
    <w:rsid w:val="002F688E"/>
    <w:rsid w:val="002F6C1E"/>
    <w:rsid w:val="002F77A1"/>
    <w:rsid w:val="0030314F"/>
    <w:rsid w:val="00303438"/>
    <w:rsid w:val="003053B1"/>
    <w:rsid w:val="00307325"/>
    <w:rsid w:val="00313EE7"/>
    <w:rsid w:val="00321376"/>
    <w:rsid w:val="00321FC3"/>
    <w:rsid w:val="00332089"/>
    <w:rsid w:val="0033255B"/>
    <w:rsid w:val="00332FB5"/>
    <w:rsid w:val="00333594"/>
    <w:rsid w:val="00335B46"/>
    <w:rsid w:val="0033693C"/>
    <w:rsid w:val="00337EE8"/>
    <w:rsid w:val="0034066C"/>
    <w:rsid w:val="00340D5A"/>
    <w:rsid w:val="00341976"/>
    <w:rsid w:val="00345CBF"/>
    <w:rsid w:val="003462BE"/>
    <w:rsid w:val="00347145"/>
    <w:rsid w:val="00350432"/>
    <w:rsid w:val="00350AFC"/>
    <w:rsid w:val="00354E93"/>
    <w:rsid w:val="003642CE"/>
    <w:rsid w:val="00371A1A"/>
    <w:rsid w:val="00380ABE"/>
    <w:rsid w:val="00382ADF"/>
    <w:rsid w:val="00383ED9"/>
    <w:rsid w:val="003879BD"/>
    <w:rsid w:val="00390CA2"/>
    <w:rsid w:val="00394D29"/>
    <w:rsid w:val="00397997"/>
    <w:rsid w:val="00397DDF"/>
    <w:rsid w:val="003A0A3F"/>
    <w:rsid w:val="003A1A30"/>
    <w:rsid w:val="003A37AE"/>
    <w:rsid w:val="003A4AB4"/>
    <w:rsid w:val="003A55BE"/>
    <w:rsid w:val="003A74B7"/>
    <w:rsid w:val="003B0B3F"/>
    <w:rsid w:val="003B199B"/>
    <w:rsid w:val="003B3A33"/>
    <w:rsid w:val="003B3D03"/>
    <w:rsid w:val="003B4502"/>
    <w:rsid w:val="003B4FFA"/>
    <w:rsid w:val="003B717F"/>
    <w:rsid w:val="003B7AE2"/>
    <w:rsid w:val="003C1F7B"/>
    <w:rsid w:val="003C269C"/>
    <w:rsid w:val="003C3ECF"/>
    <w:rsid w:val="003E10B0"/>
    <w:rsid w:val="003E195E"/>
    <w:rsid w:val="003E19EB"/>
    <w:rsid w:val="003E4305"/>
    <w:rsid w:val="003E69CB"/>
    <w:rsid w:val="003E78C7"/>
    <w:rsid w:val="003F12D0"/>
    <w:rsid w:val="003F147F"/>
    <w:rsid w:val="003F6B3C"/>
    <w:rsid w:val="00406AA9"/>
    <w:rsid w:val="004073AF"/>
    <w:rsid w:val="004112FD"/>
    <w:rsid w:val="00414570"/>
    <w:rsid w:val="00414BE6"/>
    <w:rsid w:val="00414F93"/>
    <w:rsid w:val="004167C4"/>
    <w:rsid w:val="0041790D"/>
    <w:rsid w:val="004203FC"/>
    <w:rsid w:val="004210E6"/>
    <w:rsid w:val="00423C1A"/>
    <w:rsid w:val="00427825"/>
    <w:rsid w:val="00435186"/>
    <w:rsid w:val="004361C8"/>
    <w:rsid w:val="00436A5E"/>
    <w:rsid w:val="00437063"/>
    <w:rsid w:val="00437AE4"/>
    <w:rsid w:val="00437EB6"/>
    <w:rsid w:val="00440884"/>
    <w:rsid w:val="00443AF4"/>
    <w:rsid w:val="00444ABB"/>
    <w:rsid w:val="0044511F"/>
    <w:rsid w:val="00445F82"/>
    <w:rsid w:val="00446086"/>
    <w:rsid w:val="00447C97"/>
    <w:rsid w:val="00451065"/>
    <w:rsid w:val="00451311"/>
    <w:rsid w:val="00455D1D"/>
    <w:rsid w:val="004577E2"/>
    <w:rsid w:val="00462108"/>
    <w:rsid w:val="0046686D"/>
    <w:rsid w:val="00466D79"/>
    <w:rsid w:val="00476087"/>
    <w:rsid w:val="00481DB1"/>
    <w:rsid w:val="00483385"/>
    <w:rsid w:val="00484FF8"/>
    <w:rsid w:val="004877C6"/>
    <w:rsid w:val="00491DA4"/>
    <w:rsid w:val="004923B1"/>
    <w:rsid w:val="00496488"/>
    <w:rsid w:val="004A373E"/>
    <w:rsid w:val="004A52DA"/>
    <w:rsid w:val="004A5F92"/>
    <w:rsid w:val="004A6A1F"/>
    <w:rsid w:val="004A749E"/>
    <w:rsid w:val="004A7F93"/>
    <w:rsid w:val="004B0E90"/>
    <w:rsid w:val="004B3A25"/>
    <w:rsid w:val="004B3E87"/>
    <w:rsid w:val="004B4611"/>
    <w:rsid w:val="004B482D"/>
    <w:rsid w:val="004C148D"/>
    <w:rsid w:val="004C2FF5"/>
    <w:rsid w:val="004C3431"/>
    <w:rsid w:val="004C43F0"/>
    <w:rsid w:val="004C58CF"/>
    <w:rsid w:val="004D085C"/>
    <w:rsid w:val="004D26BC"/>
    <w:rsid w:val="004D5066"/>
    <w:rsid w:val="004D565D"/>
    <w:rsid w:val="004D6A07"/>
    <w:rsid w:val="004D6F7C"/>
    <w:rsid w:val="004D7198"/>
    <w:rsid w:val="004E3187"/>
    <w:rsid w:val="004E4407"/>
    <w:rsid w:val="004E6A60"/>
    <w:rsid w:val="004F001A"/>
    <w:rsid w:val="004F29CC"/>
    <w:rsid w:val="004F5085"/>
    <w:rsid w:val="004F58BE"/>
    <w:rsid w:val="0050151B"/>
    <w:rsid w:val="005021F1"/>
    <w:rsid w:val="005029EA"/>
    <w:rsid w:val="0050402E"/>
    <w:rsid w:val="00507133"/>
    <w:rsid w:val="00510BB5"/>
    <w:rsid w:val="00514118"/>
    <w:rsid w:val="005154B2"/>
    <w:rsid w:val="00516038"/>
    <w:rsid w:val="00517125"/>
    <w:rsid w:val="00521108"/>
    <w:rsid w:val="00523B3A"/>
    <w:rsid w:val="005257DC"/>
    <w:rsid w:val="00533B30"/>
    <w:rsid w:val="00536A47"/>
    <w:rsid w:val="005371C5"/>
    <w:rsid w:val="00540C0D"/>
    <w:rsid w:val="00546098"/>
    <w:rsid w:val="0054698B"/>
    <w:rsid w:val="00547468"/>
    <w:rsid w:val="005505CD"/>
    <w:rsid w:val="00552BB3"/>
    <w:rsid w:val="00554979"/>
    <w:rsid w:val="00560102"/>
    <w:rsid w:val="00562303"/>
    <w:rsid w:val="0056469B"/>
    <w:rsid w:val="00564B57"/>
    <w:rsid w:val="005678CD"/>
    <w:rsid w:val="00567F1B"/>
    <w:rsid w:val="005706B0"/>
    <w:rsid w:val="00570980"/>
    <w:rsid w:val="00575859"/>
    <w:rsid w:val="00575CC9"/>
    <w:rsid w:val="00577462"/>
    <w:rsid w:val="00581F14"/>
    <w:rsid w:val="00583D2F"/>
    <w:rsid w:val="00585634"/>
    <w:rsid w:val="005860A6"/>
    <w:rsid w:val="00587578"/>
    <w:rsid w:val="00593603"/>
    <w:rsid w:val="00593937"/>
    <w:rsid w:val="0059647C"/>
    <w:rsid w:val="00597B6B"/>
    <w:rsid w:val="00597C88"/>
    <w:rsid w:val="005A2951"/>
    <w:rsid w:val="005A664F"/>
    <w:rsid w:val="005B4B24"/>
    <w:rsid w:val="005B6732"/>
    <w:rsid w:val="005B68A7"/>
    <w:rsid w:val="005B7068"/>
    <w:rsid w:val="005C2784"/>
    <w:rsid w:val="005C51B5"/>
    <w:rsid w:val="005C5687"/>
    <w:rsid w:val="005C56A4"/>
    <w:rsid w:val="005C6729"/>
    <w:rsid w:val="005C6890"/>
    <w:rsid w:val="005C7C14"/>
    <w:rsid w:val="005D27A8"/>
    <w:rsid w:val="005D3282"/>
    <w:rsid w:val="005D4938"/>
    <w:rsid w:val="005D500D"/>
    <w:rsid w:val="005E1DE3"/>
    <w:rsid w:val="005E3E7B"/>
    <w:rsid w:val="005E70A5"/>
    <w:rsid w:val="005F0443"/>
    <w:rsid w:val="005F3B99"/>
    <w:rsid w:val="005F414E"/>
    <w:rsid w:val="005F4D74"/>
    <w:rsid w:val="005F62FF"/>
    <w:rsid w:val="005F6794"/>
    <w:rsid w:val="00600911"/>
    <w:rsid w:val="00601CF9"/>
    <w:rsid w:val="0060389B"/>
    <w:rsid w:val="00607681"/>
    <w:rsid w:val="006100C1"/>
    <w:rsid w:val="006107E4"/>
    <w:rsid w:val="00613E4C"/>
    <w:rsid w:val="00615148"/>
    <w:rsid w:val="00615897"/>
    <w:rsid w:val="00615933"/>
    <w:rsid w:val="006171C4"/>
    <w:rsid w:val="006239FB"/>
    <w:rsid w:val="006300D3"/>
    <w:rsid w:val="00634AF4"/>
    <w:rsid w:val="00635C52"/>
    <w:rsid w:val="006362C2"/>
    <w:rsid w:val="00646BAB"/>
    <w:rsid w:val="00647844"/>
    <w:rsid w:val="00647987"/>
    <w:rsid w:val="00651596"/>
    <w:rsid w:val="00653B17"/>
    <w:rsid w:val="0065725F"/>
    <w:rsid w:val="00660796"/>
    <w:rsid w:val="00662036"/>
    <w:rsid w:val="00662C50"/>
    <w:rsid w:val="00664123"/>
    <w:rsid w:val="00664556"/>
    <w:rsid w:val="00665B3C"/>
    <w:rsid w:val="00666C58"/>
    <w:rsid w:val="00672F1E"/>
    <w:rsid w:val="00673AAC"/>
    <w:rsid w:val="00674EBA"/>
    <w:rsid w:val="006810E2"/>
    <w:rsid w:val="0068242E"/>
    <w:rsid w:val="006878E3"/>
    <w:rsid w:val="00691663"/>
    <w:rsid w:val="00692FDB"/>
    <w:rsid w:val="00693DBE"/>
    <w:rsid w:val="00694AE9"/>
    <w:rsid w:val="00695EE2"/>
    <w:rsid w:val="00696A6D"/>
    <w:rsid w:val="006A039A"/>
    <w:rsid w:val="006A0FC0"/>
    <w:rsid w:val="006A5208"/>
    <w:rsid w:val="006B079B"/>
    <w:rsid w:val="006B2642"/>
    <w:rsid w:val="006B37EF"/>
    <w:rsid w:val="006B6EC7"/>
    <w:rsid w:val="006B7277"/>
    <w:rsid w:val="006C07F8"/>
    <w:rsid w:val="006C0C7C"/>
    <w:rsid w:val="006C5C62"/>
    <w:rsid w:val="006C5C6D"/>
    <w:rsid w:val="006C7794"/>
    <w:rsid w:val="006D0EAD"/>
    <w:rsid w:val="006D14A4"/>
    <w:rsid w:val="006D5D21"/>
    <w:rsid w:val="006D6AB8"/>
    <w:rsid w:val="006E19D7"/>
    <w:rsid w:val="006E1FFC"/>
    <w:rsid w:val="006E598E"/>
    <w:rsid w:val="006F323E"/>
    <w:rsid w:val="006F330B"/>
    <w:rsid w:val="006F4681"/>
    <w:rsid w:val="006F57B4"/>
    <w:rsid w:val="006F602B"/>
    <w:rsid w:val="006F7A40"/>
    <w:rsid w:val="00700245"/>
    <w:rsid w:val="00700277"/>
    <w:rsid w:val="00704A35"/>
    <w:rsid w:val="00705F20"/>
    <w:rsid w:val="007120AD"/>
    <w:rsid w:val="00716D09"/>
    <w:rsid w:val="00717A71"/>
    <w:rsid w:val="00717D7C"/>
    <w:rsid w:val="0072251F"/>
    <w:rsid w:val="007266EB"/>
    <w:rsid w:val="00726F3A"/>
    <w:rsid w:val="007318EA"/>
    <w:rsid w:val="00732400"/>
    <w:rsid w:val="00733D1A"/>
    <w:rsid w:val="00735796"/>
    <w:rsid w:val="00751070"/>
    <w:rsid w:val="007535C3"/>
    <w:rsid w:val="00753BEB"/>
    <w:rsid w:val="007553D5"/>
    <w:rsid w:val="00755C5D"/>
    <w:rsid w:val="00755F60"/>
    <w:rsid w:val="00761201"/>
    <w:rsid w:val="00761233"/>
    <w:rsid w:val="00762C60"/>
    <w:rsid w:val="007647E4"/>
    <w:rsid w:val="00765978"/>
    <w:rsid w:val="007659C3"/>
    <w:rsid w:val="00767C9F"/>
    <w:rsid w:val="00771EDD"/>
    <w:rsid w:val="007726A1"/>
    <w:rsid w:val="00772B9D"/>
    <w:rsid w:val="0078267E"/>
    <w:rsid w:val="0078285D"/>
    <w:rsid w:val="00782CFD"/>
    <w:rsid w:val="007842AE"/>
    <w:rsid w:val="00784F16"/>
    <w:rsid w:val="00790355"/>
    <w:rsid w:val="007916B8"/>
    <w:rsid w:val="00793D3D"/>
    <w:rsid w:val="007942D6"/>
    <w:rsid w:val="00797CA6"/>
    <w:rsid w:val="007A0559"/>
    <w:rsid w:val="007A26A1"/>
    <w:rsid w:val="007A2898"/>
    <w:rsid w:val="007A6F47"/>
    <w:rsid w:val="007A7F6A"/>
    <w:rsid w:val="007B0748"/>
    <w:rsid w:val="007B1413"/>
    <w:rsid w:val="007B5C4B"/>
    <w:rsid w:val="007C2686"/>
    <w:rsid w:val="007C2EB4"/>
    <w:rsid w:val="007C451F"/>
    <w:rsid w:val="007C5620"/>
    <w:rsid w:val="007C6271"/>
    <w:rsid w:val="007D1B20"/>
    <w:rsid w:val="007D3F63"/>
    <w:rsid w:val="007D5613"/>
    <w:rsid w:val="007D6214"/>
    <w:rsid w:val="007E1F24"/>
    <w:rsid w:val="007E2A53"/>
    <w:rsid w:val="007E2AE8"/>
    <w:rsid w:val="007E639A"/>
    <w:rsid w:val="007E6938"/>
    <w:rsid w:val="007E7FC3"/>
    <w:rsid w:val="007F2A12"/>
    <w:rsid w:val="007F32BA"/>
    <w:rsid w:val="007F61F1"/>
    <w:rsid w:val="007F68D8"/>
    <w:rsid w:val="0080032D"/>
    <w:rsid w:val="008017C7"/>
    <w:rsid w:val="00801C50"/>
    <w:rsid w:val="00803C86"/>
    <w:rsid w:val="00804144"/>
    <w:rsid w:val="00810778"/>
    <w:rsid w:val="00811360"/>
    <w:rsid w:val="00811435"/>
    <w:rsid w:val="008124FD"/>
    <w:rsid w:val="008128E2"/>
    <w:rsid w:val="00814EE3"/>
    <w:rsid w:val="00815046"/>
    <w:rsid w:val="00817575"/>
    <w:rsid w:val="008211DA"/>
    <w:rsid w:val="00821DD5"/>
    <w:rsid w:val="00822D05"/>
    <w:rsid w:val="0082437E"/>
    <w:rsid w:val="00824983"/>
    <w:rsid w:val="00835179"/>
    <w:rsid w:val="008366B6"/>
    <w:rsid w:val="008423F4"/>
    <w:rsid w:val="00842F2D"/>
    <w:rsid w:val="00844270"/>
    <w:rsid w:val="00844F4E"/>
    <w:rsid w:val="008474FE"/>
    <w:rsid w:val="0085086A"/>
    <w:rsid w:val="0085418F"/>
    <w:rsid w:val="0085464A"/>
    <w:rsid w:val="00857C6A"/>
    <w:rsid w:val="00860249"/>
    <w:rsid w:val="00862F2E"/>
    <w:rsid w:val="00872288"/>
    <w:rsid w:val="00872687"/>
    <w:rsid w:val="008727FB"/>
    <w:rsid w:val="00872DC4"/>
    <w:rsid w:val="00872DF2"/>
    <w:rsid w:val="00875A2D"/>
    <w:rsid w:val="00877621"/>
    <w:rsid w:val="00877FA0"/>
    <w:rsid w:val="008820D5"/>
    <w:rsid w:val="0088299D"/>
    <w:rsid w:val="008856EB"/>
    <w:rsid w:val="008873F3"/>
    <w:rsid w:val="008907C7"/>
    <w:rsid w:val="00893B72"/>
    <w:rsid w:val="008951C3"/>
    <w:rsid w:val="008A0E2F"/>
    <w:rsid w:val="008A0EA1"/>
    <w:rsid w:val="008A1208"/>
    <w:rsid w:val="008A615A"/>
    <w:rsid w:val="008A63A5"/>
    <w:rsid w:val="008B476C"/>
    <w:rsid w:val="008B5AB3"/>
    <w:rsid w:val="008C3F1B"/>
    <w:rsid w:val="008C4A6E"/>
    <w:rsid w:val="008C66CD"/>
    <w:rsid w:val="008D1701"/>
    <w:rsid w:val="008D2620"/>
    <w:rsid w:val="008D5102"/>
    <w:rsid w:val="008D54B7"/>
    <w:rsid w:val="008D6BE8"/>
    <w:rsid w:val="008D7B93"/>
    <w:rsid w:val="008E00F6"/>
    <w:rsid w:val="008E4168"/>
    <w:rsid w:val="008E78F5"/>
    <w:rsid w:val="008F2497"/>
    <w:rsid w:val="008F26D3"/>
    <w:rsid w:val="008F4036"/>
    <w:rsid w:val="008F61FB"/>
    <w:rsid w:val="008F63D3"/>
    <w:rsid w:val="008F74FE"/>
    <w:rsid w:val="00902BC2"/>
    <w:rsid w:val="0090308D"/>
    <w:rsid w:val="009051C2"/>
    <w:rsid w:val="00906A50"/>
    <w:rsid w:val="00907B9B"/>
    <w:rsid w:val="0091063C"/>
    <w:rsid w:val="00912124"/>
    <w:rsid w:val="00912D77"/>
    <w:rsid w:val="00914CFB"/>
    <w:rsid w:val="00916CFE"/>
    <w:rsid w:val="00921674"/>
    <w:rsid w:val="00925A56"/>
    <w:rsid w:val="009273A5"/>
    <w:rsid w:val="00930101"/>
    <w:rsid w:val="0093018E"/>
    <w:rsid w:val="0093315E"/>
    <w:rsid w:val="009347E8"/>
    <w:rsid w:val="00934E72"/>
    <w:rsid w:val="00937EA0"/>
    <w:rsid w:val="0094537E"/>
    <w:rsid w:val="009464C4"/>
    <w:rsid w:val="00951577"/>
    <w:rsid w:val="0095550D"/>
    <w:rsid w:val="00955610"/>
    <w:rsid w:val="00962748"/>
    <w:rsid w:val="00965668"/>
    <w:rsid w:val="00965E71"/>
    <w:rsid w:val="0096794D"/>
    <w:rsid w:val="00973C92"/>
    <w:rsid w:val="00975344"/>
    <w:rsid w:val="00980C72"/>
    <w:rsid w:val="009837B8"/>
    <w:rsid w:val="009846BD"/>
    <w:rsid w:val="0098565A"/>
    <w:rsid w:val="009857F3"/>
    <w:rsid w:val="00986663"/>
    <w:rsid w:val="00986ACF"/>
    <w:rsid w:val="00991C9D"/>
    <w:rsid w:val="009921D1"/>
    <w:rsid w:val="009948FC"/>
    <w:rsid w:val="00997FB7"/>
    <w:rsid w:val="009A06C2"/>
    <w:rsid w:val="009A0F2A"/>
    <w:rsid w:val="009A42FA"/>
    <w:rsid w:val="009A6C47"/>
    <w:rsid w:val="009B13BF"/>
    <w:rsid w:val="009B28A0"/>
    <w:rsid w:val="009C0CFD"/>
    <w:rsid w:val="009C2008"/>
    <w:rsid w:val="009C2285"/>
    <w:rsid w:val="009C2CFB"/>
    <w:rsid w:val="009C4E72"/>
    <w:rsid w:val="009C50AC"/>
    <w:rsid w:val="009C5409"/>
    <w:rsid w:val="009D2CBC"/>
    <w:rsid w:val="009D3984"/>
    <w:rsid w:val="009D462C"/>
    <w:rsid w:val="009D4CF4"/>
    <w:rsid w:val="009D4F61"/>
    <w:rsid w:val="009E1FA7"/>
    <w:rsid w:val="009E4513"/>
    <w:rsid w:val="009E4B23"/>
    <w:rsid w:val="009E784A"/>
    <w:rsid w:val="009F07C2"/>
    <w:rsid w:val="009F0905"/>
    <w:rsid w:val="009F09A0"/>
    <w:rsid w:val="009F2B03"/>
    <w:rsid w:val="009F45B0"/>
    <w:rsid w:val="009F5213"/>
    <w:rsid w:val="009F5512"/>
    <w:rsid w:val="009F70F3"/>
    <w:rsid w:val="009F7DB2"/>
    <w:rsid w:val="00A00D20"/>
    <w:rsid w:val="00A00DDC"/>
    <w:rsid w:val="00A03B83"/>
    <w:rsid w:val="00A07808"/>
    <w:rsid w:val="00A14DC9"/>
    <w:rsid w:val="00A2026B"/>
    <w:rsid w:val="00A265BD"/>
    <w:rsid w:val="00A31FBF"/>
    <w:rsid w:val="00A4024D"/>
    <w:rsid w:val="00A4758E"/>
    <w:rsid w:val="00A50F56"/>
    <w:rsid w:val="00A5180A"/>
    <w:rsid w:val="00A53B50"/>
    <w:rsid w:val="00A53D37"/>
    <w:rsid w:val="00A61263"/>
    <w:rsid w:val="00A62186"/>
    <w:rsid w:val="00A65940"/>
    <w:rsid w:val="00A659B1"/>
    <w:rsid w:val="00A67E2D"/>
    <w:rsid w:val="00A67E45"/>
    <w:rsid w:val="00A70314"/>
    <w:rsid w:val="00A72D80"/>
    <w:rsid w:val="00A751C1"/>
    <w:rsid w:val="00A8451D"/>
    <w:rsid w:val="00A8491C"/>
    <w:rsid w:val="00A85353"/>
    <w:rsid w:val="00A85E7B"/>
    <w:rsid w:val="00A90C60"/>
    <w:rsid w:val="00A918F6"/>
    <w:rsid w:val="00A92976"/>
    <w:rsid w:val="00A935BD"/>
    <w:rsid w:val="00A97168"/>
    <w:rsid w:val="00A972D7"/>
    <w:rsid w:val="00AA1A99"/>
    <w:rsid w:val="00AA4D24"/>
    <w:rsid w:val="00AA531E"/>
    <w:rsid w:val="00AA689C"/>
    <w:rsid w:val="00AA6AFC"/>
    <w:rsid w:val="00AA6D52"/>
    <w:rsid w:val="00AB7D41"/>
    <w:rsid w:val="00AC401A"/>
    <w:rsid w:val="00AC66A3"/>
    <w:rsid w:val="00AD3056"/>
    <w:rsid w:val="00AD66F4"/>
    <w:rsid w:val="00AD7D6D"/>
    <w:rsid w:val="00AE1C15"/>
    <w:rsid w:val="00AE4E5E"/>
    <w:rsid w:val="00AE5110"/>
    <w:rsid w:val="00AE6C41"/>
    <w:rsid w:val="00AE71FE"/>
    <w:rsid w:val="00B00BEF"/>
    <w:rsid w:val="00B04D5A"/>
    <w:rsid w:val="00B06558"/>
    <w:rsid w:val="00B110AE"/>
    <w:rsid w:val="00B128B8"/>
    <w:rsid w:val="00B13C8A"/>
    <w:rsid w:val="00B14550"/>
    <w:rsid w:val="00B1684D"/>
    <w:rsid w:val="00B17297"/>
    <w:rsid w:val="00B20E89"/>
    <w:rsid w:val="00B21C60"/>
    <w:rsid w:val="00B23B91"/>
    <w:rsid w:val="00B2658D"/>
    <w:rsid w:val="00B267EA"/>
    <w:rsid w:val="00B27029"/>
    <w:rsid w:val="00B351EB"/>
    <w:rsid w:val="00B35F6E"/>
    <w:rsid w:val="00B36A5D"/>
    <w:rsid w:val="00B40167"/>
    <w:rsid w:val="00B41B11"/>
    <w:rsid w:val="00B43143"/>
    <w:rsid w:val="00B442BF"/>
    <w:rsid w:val="00B47FE2"/>
    <w:rsid w:val="00B50354"/>
    <w:rsid w:val="00B50505"/>
    <w:rsid w:val="00B52170"/>
    <w:rsid w:val="00B53750"/>
    <w:rsid w:val="00B542F0"/>
    <w:rsid w:val="00B606F2"/>
    <w:rsid w:val="00B60AD1"/>
    <w:rsid w:val="00B6169D"/>
    <w:rsid w:val="00B61C60"/>
    <w:rsid w:val="00B6712F"/>
    <w:rsid w:val="00B6719D"/>
    <w:rsid w:val="00B67DC9"/>
    <w:rsid w:val="00B72A70"/>
    <w:rsid w:val="00B754BB"/>
    <w:rsid w:val="00B77B1F"/>
    <w:rsid w:val="00B86A31"/>
    <w:rsid w:val="00B93EB3"/>
    <w:rsid w:val="00B96199"/>
    <w:rsid w:val="00B9631F"/>
    <w:rsid w:val="00B97DD3"/>
    <w:rsid w:val="00BA1A5A"/>
    <w:rsid w:val="00BA1F4B"/>
    <w:rsid w:val="00BA384E"/>
    <w:rsid w:val="00BA4860"/>
    <w:rsid w:val="00BA679F"/>
    <w:rsid w:val="00BA7126"/>
    <w:rsid w:val="00BA7434"/>
    <w:rsid w:val="00BA7AE2"/>
    <w:rsid w:val="00BB03D5"/>
    <w:rsid w:val="00BB2E1E"/>
    <w:rsid w:val="00BB67AD"/>
    <w:rsid w:val="00BB7750"/>
    <w:rsid w:val="00BB78DB"/>
    <w:rsid w:val="00BC2BDC"/>
    <w:rsid w:val="00BC5C7C"/>
    <w:rsid w:val="00BC67BE"/>
    <w:rsid w:val="00BC7466"/>
    <w:rsid w:val="00BD38B4"/>
    <w:rsid w:val="00BD4AA0"/>
    <w:rsid w:val="00BD4F2A"/>
    <w:rsid w:val="00BD6079"/>
    <w:rsid w:val="00BD60CD"/>
    <w:rsid w:val="00BE064C"/>
    <w:rsid w:val="00BE0DD3"/>
    <w:rsid w:val="00BE23E1"/>
    <w:rsid w:val="00BE3325"/>
    <w:rsid w:val="00BE3877"/>
    <w:rsid w:val="00BE7CF3"/>
    <w:rsid w:val="00BF0E9A"/>
    <w:rsid w:val="00BF2C62"/>
    <w:rsid w:val="00BF3CE3"/>
    <w:rsid w:val="00BF4983"/>
    <w:rsid w:val="00BF70AF"/>
    <w:rsid w:val="00BF73D4"/>
    <w:rsid w:val="00BF7666"/>
    <w:rsid w:val="00C03692"/>
    <w:rsid w:val="00C04FD6"/>
    <w:rsid w:val="00C063AD"/>
    <w:rsid w:val="00C065D1"/>
    <w:rsid w:val="00C06999"/>
    <w:rsid w:val="00C07A15"/>
    <w:rsid w:val="00C139CB"/>
    <w:rsid w:val="00C14581"/>
    <w:rsid w:val="00C14954"/>
    <w:rsid w:val="00C177B9"/>
    <w:rsid w:val="00C17DB7"/>
    <w:rsid w:val="00C210D7"/>
    <w:rsid w:val="00C23F5C"/>
    <w:rsid w:val="00C25593"/>
    <w:rsid w:val="00C308ED"/>
    <w:rsid w:val="00C30D2D"/>
    <w:rsid w:val="00C335B0"/>
    <w:rsid w:val="00C335D5"/>
    <w:rsid w:val="00C42274"/>
    <w:rsid w:val="00C42AA6"/>
    <w:rsid w:val="00C439D2"/>
    <w:rsid w:val="00C44643"/>
    <w:rsid w:val="00C4520D"/>
    <w:rsid w:val="00C46C60"/>
    <w:rsid w:val="00C478A1"/>
    <w:rsid w:val="00C47F22"/>
    <w:rsid w:val="00C512B2"/>
    <w:rsid w:val="00C523E9"/>
    <w:rsid w:val="00C524F6"/>
    <w:rsid w:val="00C52E18"/>
    <w:rsid w:val="00C53E7A"/>
    <w:rsid w:val="00C6121B"/>
    <w:rsid w:val="00C61BBC"/>
    <w:rsid w:val="00C62834"/>
    <w:rsid w:val="00C655C2"/>
    <w:rsid w:val="00C70B12"/>
    <w:rsid w:val="00C71109"/>
    <w:rsid w:val="00C737D4"/>
    <w:rsid w:val="00C7706A"/>
    <w:rsid w:val="00C80834"/>
    <w:rsid w:val="00C82390"/>
    <w:rsid w:val="00C8346F"/>
    <w:rsid w:val="00C83861"/>
    <w:rsid w:val="00C8411F"/>
    <w:rsid w:val="00C86FB5"/>
    <w:rsid w:val="00C9545F"/>
    <w:rsid w:val="00C96252"/>
    <w:rsid w:val="00CA0806"/>
    <w:rsid w:val="00CA10E6"/>
    <w:rsid w:val="00CA29C0"/>
    <w:rsid w:val="00CA47D5"/>
    <w:rsid w:val="00CA5065"/>
    <w:rsid w:val="00CB2BC2"/>
    <w:rsid w:val="00CB337A"/>
    <w:rsid w:val="00CB3DA9"/>
    <w:rsid w:val="00CB4659"/>
    <w:rsid w:val="00CC75A6"/>
    <w:rsid w:val="00CD089B"/>
    <w:rsid w:val="00CD2052"/>
    <w:rsid w:val="00CD2999"/>
    <w:rsid w:val="00CD2BFC"/>
    <w:rsid w:val="00CD43D5"/>
    <w:rsid w:val="00CD4DC2"/>
    <w:rsid w:val="00CD6BE6"/>
    <w:rsid w:val="00CE32CE"/>
    <w:rsid w:val="00CE3642"/>
    <w:rsid w:val="00CE64CA"/>
    <w:rsid w:val="00CF2BBC"/>
    <w:rsid w:val="00CF32C9"/>
    <w:rsid w:val="00CF3B22"/>
    <w:rsid w:val="00CF573B"/>
    <w:rsid w:val="00D00D3F"/>
    <w:rsid w:val="00D01F83"/>
    <w:rsid w:val="00D02DD1"/>
    <w:rsid w:val="00D041B6"/>
    <w:rsid w:val="00D11219"/>
    <w:rsid w:val="00D21E5F"/>
    <w:rsid w:val="00D2322A"/>
    <w:rsid w:val="00D2333B"/>
    <w:rsid w:val="00D2411E"/>
    <w:rsid w:val="00D2432A"/>
    <w:rsid w:val="00D27CDE"/>
    <w:rsid w:val="00D324E4"/>
    <w:rsid w:val="00D36ED5"/>
    <w:rsid w:val="00D406C3"/>
    <w:rsid w:val="00D40FC5"/>
    <w:rsid w:val="00D410D6"/>
    <w:rsid w:val="00D44E87"/>
    <w:rsid w:val="00D45270"/>
    <w:rsid w:val="00D509FA"/>
    <w:rsid w:val="00D51BA1"/>
    <w:rsid w:val="00D53A2E"/>
    <w:rsid w:val="00D54512"/>
    <w:rsid w:val="00D5520F"/>
    <w:rsid w:val="00D560E0"/>
    <w:rsid w:val="00D563BB"/>
    <w:rsid w:val="00D56F9F"/>
    <w:rsid w:val="00D6114C"/>
    <w:rsid w:val="00D62223"/>
    <w:rsid w:val="00D6245E"/>
    <w:rsid w:val="00D63A81"/>
    <w:rsid w:val="00D65AFB"/>
    <w:rsid w:val="00D708CE"/>
    <w:rsid w:val="00D76CF4"/>
    <w:rsid w:val="00D76DF7"/>
    <w:rsid w:val="00D803BB"/>
    <w:rsid w:val="00D81078"/>
    <w:rsid w:val="00D83BF9"/>
    <w:rsid w:val="00D8473B"/>
    <w:rsid w:val="00D91467"/>
    <w:rsid w:val="00D94216"/>
    <w:rsid w:val="00D96E38"/>
    <w:rsid w:val="00DA025D"/>
    <w:rsid w:val="00DA2BED"/>
    <w:rsid w:val="00DA6562"/>
    <w:rsid w:val="00DA67BC"/>
    <w:rsid w:val="00DA75EE"/>
    <w:rsid w:val="00DB088A"/>
    <w:rsid w:val="00DB4E46"/>
    <w:rsid w:val="00DB787C"/>
    <w:rsid w:val="00DB7DA7"/>
    <w:rsid w:val="00DC2D2F"/>
    <w:rsid w:val="00DC3B1C"/>
    <w:rsid w:val="00DD525C"/>
    <w:rsid w:val="00DE0B78"/>
    <w:rsid w:val="00DE28D6"/>
    <w:rsid w:val="00DE6D52"/>
    <w:rsid w:val="00DE6DB7"/>
    <w:rsid w:val="00DE7A7D"/>
    <w:rsid w:val="00DE7A7E"/>
    <w:rsid w:val="00DF308C"/>
    <w:rsid w:val="00E01FAC"/>
    <w:rsid w:val="00E0396B"/>
    <w:rsid w:val="00E0397E"/>
    <w:rsid w:val="00E042E2"/>
    <w:rsid w:val="00E068E4"/>
    <w:rsid w:val="00E10049"/>
    <w:rsid w:val="00E126B5"/>
    <w:rsid w:val="00E1519D"/>
    <w:rsid w:val="00E27375"/>
    <w:rsid w:val="00E314E6"/>
    <w:rsid w:val="00E31E03"/>
    <w:rsid w:val="00E33686"/>
    <w:rsid w:val="00E33D3E"/>
    <w:rsid w:val="00E379F3"/>
    <w:rsid w:val="00E40178"/>
    <w:rsid w:val="00E42581"/>
    <w:rsid w:val="00E438F3"/>
    <w:rsid w:val="00E43CB2"/>
    <w:rsid w:val="00E43FC5"/>
    <w:rsid w:val="00E447BB"/>
    <w:rsid w:val="00E450A2"/>
    <w:rsid w:val="00E45B30"/>
    <w:rsid w:val="00E52E35"/>
    <w:rsid w:val="00E62AA6"/>
    <w:rsid w:val="00E64DC5"/>
    <w:rsid w:val="00E67C93"/>
    <w:rsid w:val="00E71CF3"/>
    <w:rsid w:val="00E737DA"/>
    <w:rsid w:val="00E763BE"/>
    <w:rsid w:val="00E7688C"/>
    <w:rsid w:val="00E81100"/>
    <w:rsid w:val="00E83686"/>
    <w:rsid w:val="00E844B8"/>
    <w:rsid w:val="00E84D1E"/>
    <w:rsid w:val="00E9258F"/>
    <w:rsid w:val="00E92D9E"/>
    <w:rsid w:val="00E93B1D"/>
    <w:rsid w:val="00E941BB"/>
    <w:rsid w:val="00E941F9"/>
    <w:rsid w:val="00E94FA4"/>
    <w:rsid w:val="00E96873"/>
    <w:rsid w:val="00E97074"/>
    <w:rsid w:val="00E97E8E"/>
    <w:rsid w:val="00EA1C66"/>
    <w:rsid w:val="00EA242D"/>
    <w:rsid w:val="00EA2779"/>
    <w:rsid w:val="00EA2B9A"/>
    <w:rsid w:val="00EA3A35"/>
    <w:rsid w:val="00EA5719"/>
    <w:rsid w:val="00EA5725"/>
    <w:rsid w:val="00EA62CA"/>
    <w:rsid w:val="00EA6F95"/>
    <w:rsid w:val="00EB0E0A"/>
    <w:rsid w:val="00EB0E7C"/>
    <w:rsid w:val="00EB574D"/>
    <w:rsid w:val="00EC0F87"/>
    <w:rsid w:val="00EC110A"/>
    <w:rsid w:val="00EC6422"/>
    <w:rsid w:val="00EC6D3A"/>
    <w:rsid w:val="00EC7264"/>
    <w:rsid w:val="00ED0FF0"/>
    <w:rsid w:val="00ED3A58"/>
    <w:rsid w:val="00ED77FF"/>
    <w:rsid w:val="00ED7998"/>
    <w:rsid w:val="00EE0404"/>
    <w:rsid w:val="00EE463D"/>
    <w:rsid w:val="00EE480F"/>
    <w:rsid w:val="00EE7B1F"/>
    <w:rsid w:val="00EE7D31"/>
    <w:rsid w:val="00EF2B0D"/>
    <w:rsid w:val="00EF4939"/>
    <w:rsid w:val="00EF51A6"/>
    <w:rsid w:val="00EF59F2"/>
    <w:rsid w:val="00F010F9"/>
    <w:rsid w:val="00F02559"/>
    <w:rsid w:val="00F03F24"/>
    <w:rsid w:val="00F04712"/>
    <w:rsid w:val="00F0651C"/>
    <w:rsid w:val="00F11A2A"/>
    <w:rsid w:val="00F133E1"/>
    <w:rsid w:val="00F13691"/>
    <w:rsid w:val="00F20266"/>
    <w:rsid w:val="00F20630"/>
    <w:rsid w:val="00F21231"/>
    <w:rsid w:val="00F22090"/>
    <w:rsid w:val="00F25A82"/>
    <w:rsid w:val="00F264EB"/>
    <w:rsid w:val="00F312EC"/>
    <w:rsid w:val="00F346BE"/>
    <w:rsid w:val="00F35FA0"/>
    <w:rsid w:val="00F372A6"/>
    <w:rsid w:val="00F4098B"/>
    <w:rsid w:val="00F40F8A"/>
    <w:rsid w:val="00F42A38"/>
    <w:rsid w:val="00F43680"/>
    <w:rsid w:val="00F45A87"/>
    <w:rsid w:val="00F45B48"/>
    <w:rsid w:val="00F46A7B"/>
    <w:rsid w:val="00F51727"/>
    <w:rsid w:val="00F54BB2"/>
    <w:rsid w:val="00F55A95"/>
    <w:rsid w:val="00F62264"/>
    <w:rsid w:val="00F625B4"/>
    <w:rsid w:val="00F62ED8"/>
    <w:rsid w:val="00F64D6E"/>
    <w:rsid w:val="00F6521B"/>
    <w:rsid w:val="00F67D64"/>
    <w:rsid w:val="00F71286"/>
    <w:rsid w:val="00F75410"/>
    <w:rsid w:val="00F765AE"/>
    <w:rsid w:val="00F76667"/>
    <w:rsid w:val="00F8348C"/>
    <w:rsid w:val="00F83500"/>
    <w:rsid w:val="00F84C34"/>
    <w:rsid w:val="00F8797C"/>
    <w:rsid w:val="00F91741"/>
    <w:rsid w:val="00F925EC"/>
    <w:rsid w:val="00F93EBB"/>
    <w:rsid w:val="00F9492D"/>
    <w:rsid w:val="00F94EC1"/>
    <w:rsid w:val="00F97F25"/>
    <w:rsid w:val="00F97FF5"/>
    <w:rsid w:val="00FA23E8"/>
    <w:rsid w:val="00FA5998"/>
    <w:rsid w:val="00FB0105"/>
    <w:rsid w:val="00FB30B2"/>
    <w:rsid w:val="00FB3BF6"/>
    <w:rsid w:val="00FB6A7A"/>
    <w:rsid w:val="00FC1338"/>
    <w:rsid w:val="00FC4807"/>
    <w:rsid w:val="00FD06F1"/>
    <w:rsid w:val="00FD7D7D"/>
    <w:rsid w:val="00FE33CF"/>
    <w:rsid w:val="00FE3DA5"/>
    <w:rsid w:val="00FE4A7E"/>
    <w:rsid w:val="00FF3450"/>
    <w:rsid w:val="00FF469F"/>
    <w:rsid w:val="00FF67CD"/>
    <w:rsid w:val="00FF6F4E"/>
    <w:rsid w:val="017B54E2"/>
    <w:rsid w:val="019F6F5E"/>
    <w:rsid w:val="01A072FF"/>
    <w:rsid w:val="01C14636"/>
    <w:rsid w:val="01F11821"/>
    <w:rsid w:val="02702C62"/>
    <w:rsid w:val="02F55D00"/>
    <w:rsid w:val="031165D0"/>
    <w:rsid w:val="031A7E9E"/>
    <w:rsid w:val="038047A4"/>
    <w:rsid w:val="03A75ACA"/>
    <w:rsid w:val="03D6147B"/>
    <w:rsid w:val="03E72688"/>
    <w:rsid w:val="04162DAD"/>
    <w:rsid w:val="041D717F"/>
    <w:rsid w:val="04E11483"/>
    <w:rsid w:val="04FB1FD7"/>
    <w:rsid w:val="05027A82"/>
    <w:rsid w:val="05777471"/>
    <w:rsid w:val="0593401A"/>
    <w:rsid w:val="059A34A9"/>
    <w:rsid w:val="05DA646F"/>
    <w:rsid w:val="060131C0"/>
    <w:rsid w:val="06417647"/>
    <w:rsid w:val="066C7D59"/>
    <w:rsid w:val="0692202C"/>
    <w:rsid w:val="06EC2832"/>
    <w:rsid w:val="07045D7F"/>
    <w:rsid w:val="07323C87"/>
    <w:rsid w:val="076C5F4C"/>
    <w:rsid w:val="076D38FA"/>
    <w:rsid w:val="076E250E"/>
    <w:rsid w:val="077F4FA3"/>
    <w:rsid w:val="07A34C6A"/>
    <w:rsid w:val="07DE2394"/>
    <w:rsid w:val="07DF5301"/>
    <w:rsid w:val="087B2845"/>
    <w:rsid w:val="08B03215"/>
    <w:rsid w:val="08BA0F8E"/>
    <w:rsid w:val="08C8345A"/>
    <w:rsid w:val="08D91C50"/>
    <w:rsid w:val="08F5076B"/>
    <w:rsid w:val="090F25AC"/>
    <w:rsid w:val="091016E8"/>
    <w:rsid w:val="0929784E"/>
    <w:rsid w:val="094438E1"/>
    <w:rsid w:val="096E6A2C"/>
    <w:rsid w:val="09C00447"/>
    <w:rsid w:val="09F5687F"/>
    <w:rsid w:val="0A1F5AE5"/>
    <w:rsid w:val="0A375E0F"/>
    <w:rsid w:val="0A5A0050"/>
    <w:rsid w:val="0A61614B"/>
    <w:rsid w:val="0AC05464"/>
    <w:rsid w:val="0AE04FBF"/>
    <w:rsid w:val="0B0912FE"/>
    <w:rsid w:val="0B34342B"/>
    <w:rsid w:val="0BB16EC9"/>
    <w:rsid w:val="0BE1433A"/>
    <w:rsid w:val="0BF5696C"/>
    <w:rsid w:val="0C2B6F76"/>
    <w:rsid w:val="0C786CF8"/>
    <w:rsid w:val="0C911F73"/>
    <w:rsid w:val="0CA204C6"/>
    <w:rsid w:val="0CF338AE"/>
    <w:rsid w:val="0D1436BE"/>
    <w:rsid w:val="0D2D15D4"/>
    <w:rsid w:val="0D3D791C"/>
    <w:rsid w:val="0D782A7C"/>
    <w:rsid w:val="0D9813A5"/>
    <w:rsid w:val="0DE31633"/>
    <w:rsid w:val="0E7D4D53"/>
    <w:rsid w:val="0EA33287"/>
    <w:rsid w:val="0EF6634E"/>
    <w:rsid w:val="0EF77D94"/>
    <w:rsid w:val="0EFC7D90"/>
    <w:rsid w:val="0F496E90"/>
    <w:rsid w:val="0F6D3469"/>
    <w:rsid w:val="0FB95D95"/>
    <w:rsid w:val="0FE37ACD"/>
    <w:rsid w:val="0FEC60BA"/>
    <w:rsid w:val="105044DF"/>
    <w:rsid w:val="105A7207"/>
    <w:rsid w:val="1087642A"/>
    <w:rsid w:val="10A37231"/>
    <w:rsid w:val="10AF0B83"/>
    <w:rsid w:val="10C11CFC"/>
    <w:rsid w:val="10C47D8E"/>
    <w:rsid w:val="10E97B30"/>
    <w:rsid w:val="10ED266D"/>
    <w:rsid w:val="111156C1"/>
    <w:rsid w:val="115B5848"/>
    <w:rsid w:val="116703A7"/>
    <w:rsid w:val="118704E6"/>
    <w:rsid w:val="119C7CEC"/>
    <w:rsid w:val="12064AFA"/>
    <w:rsid w:val="127A7296"/>
    <w:rsid w:val="12C8790C"/>
    <w:rsid w:val="12F84404"/>
    <w:rsid w:val="13671F9E"/>
    <w:rsid w:val="137814A9"/>
    <w:rsid w:val="139A1A8C"/>
    <w:rsid w:val="13B85DF5"/>
    <w:rsid w:val="13C5546A"/>
    <w:rsid w:val="13E37F10"/>
    <w:rsid w:val="141A6E48"/>
    <w:rsid w:val="14480A40"/>
    <w:rsid w:val="144A3C87"/>
    <w:rsid w:val="149E3406"/>
    <w:rsid w:val="14AC1163"/>
    <w:rsid w:val="15B41C0A"/>
    <w:rsid w:val="15BC3378"/>
    <w:rsid w:val="16474213"/>
    <w:rsid w:val="16866A29"/>
    <w:rsid w:val="175922E5"/>
    <w:rsid w:val="17903F02"/>
    <w:rsid w:val="18744255"/>
    <w:rsid w:val="1912426C"/>
    <w:rsid w:val="19284F14"/>
    <w:rsid w:val="19722A75"/>
    <w:rsid w:val="19A96B54"/>
    <w:rsid w:val="19D76D7C"/>
    <w:rsid w:val="19E25E4D"/>
    <w:rsid w:val="1A073155"/>
    <w:rsid w:val="1A0822E3"/>
    <w:rsid w:val="1A285F61"/>
    <w:rsid w:val="1A797C11"/>
    <w:rsid w:val="1A9437E4"/>
    <w:rsid w:val="1A9E2B51"/>
    <w:rsid w:val="1AB93E19"/>
    <w:rsid w:val="1AF875C7"/>
    <w:rsid w:val="1B075A40"/>
    <w:rsid w:val="1B5F1F27"/>
    <w:rsid w:val="1BB5058D"/>
    <w:rsid w:val="1BBA76DC"/>
    <w:rsid w:val="1BBC4796"/>
    <w:rsid w:val="1C0C74B1"/>
    <w:rsid w:val="1C2A3ADB"/>
    <w:rsid w:val="1C422F0F"/>
    <w:rsid w:val="1C7A14C6"/>
    <w:rsid w:val="1C7C62BA"/>
    <w:rsid w:val="1CB442B4"/>
    <w:rsid w:val="1D266050"/>
    <w:rsid w:val="1D510FA7"/>
    <w:rsid w:val="1D8108AB"/>
    <w:rsid w:val="1E4C536F"/>
    <w:rsid w:val="1E93469E"/>
    <w:rsid w:val="1F000601"/>
    <w:rsid w:val="1FDD11A1"/>
    <w:rsid w:val="204048E7"/>
    <w:rsid w:val="2042489C"/>
    <w:rsid w:val="209925D7"/>
    <w:rsid w:val="20A22EF3"/>
    <w:rsid w:val="20FF6765"/>
    <w:rsid w:val="21335DF7"/>
    <w:rsid w:val="21702DE4"/>
    <w:rsid w:val="219507AB"/>
    <w:rsid w:val="21D46F86"/>
    <w:rsid w:val="21E026EC"/>
    <w:rsid w:val="21E21B75"/>
    <w:rsid w:val="223B4115"/>
    <w:rsid w:val="224C694E"/>
    <w:rsid w:val="229A3603"/>
    <w:rsid w:val="22B01578"/>
    <w:rsid w:val="23C979A8"/>
    <w:rsid w:val="244038E7"/>
    <w:rsid w:val="24534D5C"/>
    <w:rsid w:val="248B6306"/>
    <w:rsid w:val="248C1363"/>
    <w:rsid w:val="248E5B45"/>
    <w:rsid w:val="24C810A1"/>
    <w:rsid w:val="250A044C"/>
    <w:rsid w:val="251125A7"/>
    <w:rsid w:val="251774C0"/>
    <w:rsid w:val="254519B8"/>
    <w:rsid w:val="254D4993"/>
    <w:rsid w:val="258F50C5"/>
    <w:rsid w:val="25CB3C92"/>
    <w:rsid w:val="26367E88"/>
    <w:rsid w:val="26ED3D4B"/>
    <w:rsid w:val="26F575D2"/>
    <w:rsid w:val="27173984"/>
    <w:rsid w:val="2781319E"/>
    <w:rsid w:val="278B1FE5"/>
    <w:rsid w:val="279E1F4A"/>
    <w:rsid w:val="27F154AD"/>
    <w:rsid w:val="285F7A5C"/>
    <w:rsid w:val="28656169"/>
    <w:rsid w:val="28A35FDB"/>
    <w:rsid w:val="28B65FBB"/>
    <w:rsid w:val="28E0776C"/>
    <w:rsid w:val="290B259E"/>
    <w:rsid w:val="29517B6F"/>
    <w:rsid w:val="299144D9"/>
    <w:rsid w:val="29C53A1D"/>
    <w:rsid w:val="2A0514C6"/>
    <w:rsid w:val="2A250EAC"/>
    <w:rsid w:val="2A2941AE"/>
    <w:rsid w:val="2A420A09"/>
    <w:rsid w:val="2A8D1FB4"/>
    <w:rsid w:val="2A974F1D"/>
    <w:rsid w:val="2AAD66E8"/>
    <w:rsid w:val="2ABA39A8"/>
    <w:rsid w:val="2AF042EF"/>
    <w:rsid w:val="2AF27951"/>
    <w:rsid w:val="2AF67896"/>
    <w:rsid w:val="2B301F6C"/>
    <w:rsid w:val="2B561A24"/>
    <w:rsid w:val="2C0F6E49"/>
    <w:rsid w:val="2C3F759E"/>
    <w:rsid w:val="2CFC1876"/>
    <w:rsid w:val="2D322177"/>
    <w:rsid w:val="2D49590B"/>
    <w:rsid w:val="2DA15028"/>
    <w:rsid w:val="2DE64774"/>
    <w:rsid w:val="2E0E4F59"/>
    <w:rsid w:val="2E4160B8"/>
    <w:rsid w:val="2E46465E"/>
    <w:rsid w:val="2E4659FA"/>
    <w:rsid w:val="2E940D45"/>
    <w:rsid w:val="2EDA35DD"/>
    <w:rsid w:val="2EFD4F01"/>
    <w:rsid w:val="2F22694F"/>
    <w:rsid w:val="2F661CED"/>
    <w:rsid w:val="2F7A1FD6"/>
    <w:rsid w:val="2F99165C"/>
    <w:rsid w:val="2FC82F97"/>
    <w:rsid w:val="30177F6D"/>
    <w:rsid w:val="303779C3"/>
    <w:rsid w:val="30451C34"/>
    <w:rsid w:val="30703E44"/>
    <w:rsid w:val="307A24E3"/>
    <w:rsid w:val="309A6D02"/>
    <w:rsid w:val="309D2CC4"/>
    <w:rsid w:val="30A328E7"/>
    <w:rsid w:val="30A43A04"/>
    <w:rsid w:val="30DF4CCA"/>
    <w:rsid w:val="30F57DBC"/>
    <w:rsid w:val="311B1897"/>
    <w:rsid w:val="314B6424"/>
    <w:rsid w:val="31B42E1D"/>
    <w:rsid w:val="31D45C4F"/>
    <w:rsid w:val="32045D37"/>
    <w:rsid w:val="320C54BB"/>
    <w:rsid w:val="32134C37"/>
    <w:rsid w:val="326276D3"/>
    <w:rsid w:val="32A777DC"/>
    <w:rsid w:val="32B838C1"/>
    <w:rsid w:val="32FE0442"/>
    <w:rsid w:val="3308454B"/>
    <w:rsid w:val="33490AAA"/>
    <w:rsid w:val="335B2824"/>
    <w:rsid w:val="33884F17"/>
    <w:rsid w:val="33A97288"/>
    <w:rsid w:val="33B254D2"/>
    <w:rsid w:val="33C05AEC"/>
    <w:rsid w:val="33DE69A4"/>
    <w:rsid w:val="33E16E8B"/>
    <w:rsid w:val="34297368"/>
    <w:rsid w:val="34605AC6"/>
    <w:rsid w:val="34A047EA"/>
    <w:rsid w:val="34A714AB"/>
    <w:rsid w:val="34BA518E"/>
    <w:rsid w:val="34BF2196"/>
    <w:rsid w:val="350902EA"/>
    <w:rsid w:val="351E0F26"/>
    <w:rsid w:val="352F1F76"/>
    <w:rsid w:val="35355F56"/>
    <w:rsid w:val="355350F5"/>
    <w:rsid w:val="35A515F5"/>
    <w:rsid w:val="35E146DA"/>
    <w:rsid w:val="35E3338E"/>
    <w:rsid w:val="3628080F"/>
    <w:rsid w:val="3633483D"/>
    <w:rsid w:val="36437488"/>
    <w:rsid w:val="366239C5"/>
    <w:rsid w:val="36EF0520"/>
    <w:rsid w:val="371C4018"/>
    <w:rsid w:val="373E572E"/>
    <w:rsid w:val="373E78CB"/>
    <w:rsid w:val="374250BF"/>
    <w:rsid w:val="3778087D"/>
    <w:rsid w:val="377D135C"/>
    <w:rsid w:val="379431B6"/>
    <w:rsid w:val="37D36840"/>
    <w:rsid w:val="38134EC7"/>
    <w:rsid w:val="3841209E"/>
    <w:rsid w:val="38763ED8"/>
    <w:rsid w:val="388D4D7E"/>
    <w:rsid w:val="38B8102E"/>
    <w:rsid w:val="391C124B"/>
    <w:rsid w:val="39250F2F"/>
    <w:rsid w:val="39926EAD"/>
    <w:rsid w:val="3A551254"/>
    <w:rsid w:val="3A925F19"/>
    <w:rsid w:val="3AAA3035"/>
    <w:rsid w:val="3AAA4129"/>
    <w:rsid w:val="3AAC17D9"/>
    <w:rsid w:val="3AC94456"/>
    <w:rsid w:val="3B3F69A9"/>
    <w:rsid w:val="3B5438AF"/>
    <w:rsid w:val="3BAD70BD"/>
    <w:rsid w:val="3BBB46CB"/>
    <w:rsid w:val="3BEC3FED"/>
    <w:rsid w:val="3C425D17"/>
    <w:rsid w:val="3C6843EE"/>
    <w:rsid w:val="3D006466"/>
    <w:rsid w:val="3D1C7D06"/>
    <w:rsid w:val="3D3E2AEA"/>
    <w:rsid w:val="3D3F50D9"/>
    <w:rsid w:val="3D6C5F87"/>
    <w:rsid w:val="3D8E3A72"/>
    <w:rsid w:val="3DC8112E"/>
    <w:rsid w:val="3DE06434"/>
    <w:rsid w:val="3E035930"/>
    <w:rsid w:val="3E223919"/>
    <w:rsid w:val="3E76463D"/>
    <w:rsid w:val="3EF20252"/>
    <w:rsid w:val="3EFF1885"/>
    <w:rsid w:val="3F0044FB"/>
    <w:rsid w:val="3F3F7921"/>
    <w:rsid w:val="3F6D0C7D"/>
    <w:rsid w:val="3F85266B"/>
    <w:rsid w:val="3FA532F5"/>
    <w:rsid w:val="3FAA6B0A"/>
    <w:rsid w:val="3FF421E8"/>
    <w:rsid w:val="403734AF"/>
    <w:rsid w:val="408178C6"/>
    <w:rsid w:val="40AC7B05"/>
    <w:rsid w:val="412D70FE"/>
    <w:rsid w:val="414049CD"/>
    <w:rsid w:val="414C50A1"/>
    <w:rsid w:val="41542D36"/>
    <w:rsid w:val="41C1758E"/>
    <w:rsid w:val="424E2622"/>
    <w:rsid w:val="42BE35DD"/>
    <w:rsid w:val="42E154A7"/>
    <w:rsid w:val="42F26851"/>
    <w:rsid w:val="431304CE"/>
    <w:rsid w:val="431C0EA8"/>
    <w:rsid w:val="434E7777"/>
    <w:rsid w:val="43524E55"/>
    <w:rsid w:val="437A6F9D"/>
    <w:rsid w:val="43ED2CC0"/>
    <w:rsid w:val="43F8130F"/>
    <w:rsid w:val="444A6849"/>
    <w:rsid w:val="4464686F"/>
    <w:rsid w:val="446C3FE7"/>
    <w:rsid w:val="44B25205"/>
    <w:rsid w:val="44F93EC7"/>
    <w:rsid w:val="451A0753"/>
    <w:rsid w:val="45797FB8"/>
    <w:rsid w:val="45AD068D"/>
    <w:rsid w:val="45BE23EF"/>
    <w:rsid w:val="463D1236"/>
    <w:rsid w:val="465550B6"/>
    <w:rsid w:val="46AF383A"/>
    <w:rsid w:val="47194347"/>
    <w:rsid w:val="477E10C0"/>
    <w:rsid w:val="4798164F"/>
    <w:rsid w:val="47A15E37"/>
    <w:rsid w:val="47AC2ADE"/>
    <w:rsid w:val="47AD55ED"/>
    <w:rsid w:val="4864078A"/>
    <w:rsid w:val="49051EF7"/>
    <w:rsid w:val="494C6997"/>
    <w:rsid w:val="49956188"/>
    <w:rsid w:val="49F21C49"/>
    <w:rsid w:val="4A06711A"/>
    <w:rsid w:val="4A382680"/>
    <w:rsid w:val="4AA65AFA"/>
    <w:rsid w:val="4AD02649"/>
    <w:rsid w:val="4AE5361D"/>
    <w:rsid w:val="4B3676AE"/>
    <w:rsid w:val="4B3F2428"/>
    <w:rsid w:val="4B5A4F93"/>
    <w:rsid w:val="4BAB3909"/>
    <w:rsid w:val="4BDC3420"/>
    <w:rsid w:val="4C432369"/>
    <w:rsid w:val="4C484D00"/>
    <w:rsid w:val="4C4F2FFF"/>
    <w:rsid w:val="4C7F1F3F"/>
    <w:rsid w:val="4CA75A70"/>
    <w:rsid w:val="4D0200DE"/>
    <w:rsid w:val="4D612865"/>
    <w:rsid w:val="4D7B06C4"/>
    <w:rsid w:val="4DB54C05"/>
    <w:rsid w:val="4DC72D2B"/>
    <w:rsid w:val="4E451F2B"/>
    <w:rsid w:val="4E681B19"/>
    <w:rsid w:val="4E960055"/>
    <w:rsid w:val="4EB34D57"/>
    <w:rsid w:val="4F1C5712"/>
    <w:rsid w:val="4F6B376F"/>
    <w:rsid w:val="4F8A15CB"/>
    <w:rsid w:val="4FB82DEC"/>
    <w:rsid w:val="4FCD042A"/>
    <w:rsid w:val="4FE10166"/>
    <w:rsid w:val="4FF03AF8"/>
    <w:rsid w:val="4FF73A99"/>
    <w:rsid w:val="50221124"/>
    <w:rsid w:val="50574197"/>
    <w:rsid w:val="509709E0"/>
    <w:rsid w:val="50AE5AEE"/>
    <w:rsid w:val="50F04405"/>
    <w:rsid w:val="515200AA"/>
    <w:rsid w:val="516678AC"/>
    <w:rsid w:val="51693A6B"/>
    <w:rsid w:val="51817A72"/>
    <w:rsid w:val="51A117BE"/>
    <w:rsid w:val="51C77004"/>
    <w:rsid w:val="51D92AD9"/>
    <w:rsid w:val="51E91F0C"/>
    <w:rsid w:val="51FE67FE"/>
    <w:rsid w:val="52043920"/>
    <w:rsid w:val="52484F6C"/>
    <w:rsid w:val="52E45EC3"/>
    <w:rsid w:val="53014F0A"/>
    <w:rsid w:val="533B1B4E"/>
    <w:rsid w:val="536D0CBD"/>
    <w:rsid w:val="538F0BA1"/>
    <w:rsid w:val="539326AE"/>
    <w:rsid w:val="53945476"/>
    <w:rsid w:val="539B7A0B"/>
    <w:rsid w:val="53BA7581"/>
    <w:rsid w:val="53DC0611"/>
    <w:rsid w:val="53EF7877"/>
    <w:rsid w:val="53F35D7A"/>
    <w:rsid w:val="545113F2"/>
    <w:rsid w:val="54A30385"/>
    <w:rsid w:val="54B478D6"/>
    <w:rsid w:val="54C954FE"/>
    <w:rsid w:val="54CF6531"/>
    <w:rsid w:val="54D35765"/>
    <w:rsid w:val="54DD0148"/>
    <w:rsid w:val="54F46C90"/>
    <w:rsid w:val="553F0A9A"/>
    <w:rsid w:val="55562C6F"/>
    <w:rsid w:val="557B4864"/>
    <w:rsid w:val="56332FB1"/>
    <w:rsid w:val="56554AE6"/>
    <w:rsid w:val="569A62EE"/>
    <w:rsid w:val="56B16BE7"/>
    <w:rsid w:val="571A63DA"/>
    <w:rsid w:val="571F3075"/>
    <w:rsid w:val="575039B4"/>
    <w:rsid w:val="577A59CC"/>
    <w:rsid w:val="57A87A1A"/>
    <w:rsid w:val="57D80001"/>
    <w:rsid w:val="57E83927"/>
    <w:rsid w:val="57F84672"/>
    <w:rsid w:val="58434841"/>
    <w:rsid w:val="58496ABB"/>
    <w:rsid w:val="58832ED1"/>
    <w:rsid w:val="58B43DD6"/>
    <w:rsid w:val="58FD0D19"/>
    <w:rsid w:val="590A0DFE"/>
    <w:rsid w:val="5915347F"/>
    <w:rsid w:val="5950206E"/>
    <w:rsid w:val="59633770"/>
    <w:rsid w:val="59914966"/>
    <w:rsid w:val="59F96EE9"/>
    <w:rsid w:val="5A491FFA"/>
    <w:rsid w:val="5A650F0B"/>
    <w:rsid w:val="5AD505CC"/>
    <w:rsid w:val="5B4B39EC"/>
    <w:rsid w:val="5B89009E"/>
    <w:rsid w:val="5BB13845"/>
    <w:rsid w:val="5BD83786"/>
    <w:rsid w:val="5BF24866"/>
    <w:rsid w:val="5C1C0A70"/>
    <w:rsid w:val="5C30090C"/>
    <w:rsid w:val="5C716B3C"/>
    <w:rsid w:val="5C89611B"/>
    <w:rsid w:val="5CD050B5"/>
    <w:rsid w:val="5CD5173C"/>
    <w:rsid w:val="5D0C2595"/>
    <w:rsid w:val="5D836B3F"/>
    <w:rsid w:val="5DBB58F0"/>
    <w:rsid w:val="5DD55137"/>
    <w:rsid w:val="5E1B1924"/>
    <w:rsid w:val="5ECE6A3B"/>
    <w:rsid w:val="5F0808F3"/>
    <w:rsid w:val="5F3755CD"/>
    <w:rsid w:val="5F8929F6"/>
    <w:rsid w:val="5F8A5BED"/>
    <w:rsid w:val="5FC63777"/>
    <w:rsid w:val="5FD03AE0"/>
    <w:rsid w:val="5FE506DE"/>
    <w:rsid w:val="60091F46"/>
    <w:rsid w:val="60155784"/>
    <w:rsid w:val="601E0542"/>
    <w:rsid w:val="605B1426"/>
    <w:rsid w:val="61333B1E"/>
    <w:rsid w:val="618B37DA"/>
    <w:rsid w:val="61AB11D2"/>
    <w:rsid w:val="61D75EF7"/>
    <w:rsid w:val="62114C32"/>
    <w:rsid w:val="623D2E47"/>
    <w:rsid w:val="629B6373"/>
    <w:rsid w:val="630E1CDF"/>
    <w:rsid w:val="631046A5"/>
    <w:rsid w:val="63BF1564"/>
    <w:rsid w:val="63DB78E4"/>
    <w:rsid w:val="63FD48EC"/>
    <w:rsid w:val="641A28D4"/>
    <w:rsid w:val="64292C6C"/>
    <w:rsid w:val="6472623D"/>
    <w:rsid w:val="64884B3B"/>
    <w:rsid w:val="64B82FCD"/>
    <w:rsid w:val="64D96859"/>
    <w:rsid w:val="64F763E6"/>
    <w:rsid w:val="65182306"/>
    <w:rsid w:val="651E47D7"/>
    <w:rsid w:val="652C0632"/>
    <w:rsid w:val="654523B9"/>
    <w:rsid w:val="65EE2A50"/>
    <w:rsid w:val="65F847D1"/>
    <w:rsid w:val="660329A4"/>
    <w:rsid w:val="66400405"/>
    <w:rsid w:val="665F7DDA"/>
    <w:rsid w:val="66704214"/>
    <w:rsid w:val="66BD32D1"/>
    <w:rsid w:val="676075E7"/>
    <w:rsid w:val="679D2544"/>
    <w:rsid w:val="682C0763"/>
    <w:rsid w:val="68760CE6"/>
    <w:rsid w:val="688C2BA6"/>
    <w:rsid w:val="68BD646C"/>
    <w:rsid w:val="68DD1270"/>
    <w:rsid w:val="68E647A1"/>
    <w:rsid w:val="69647CB2"/>
    <w:rsid w:val="6980049B"/>
    <w:rsid w:val="69B536F7"/>
    <w:rsid w:val="69E95E74"/>
    <w:rsid w:val="6A0B1E23"/>
    <w:rsid w:val="6B02571D"/>
    <w:rsid w:val="6B044693"/>
    <w:rsid w:val="6B0975D1"/>
    <w:rsid w:val="6B3F6603"/>
    <w:rsid w:val="6B8553A9"/>
    <w:rsid w:val="6B9338B7"/>
    <w:rsid w:val="6BA679EC"/>
    <w:rsid w:val="6C1777C1"/>
    <w:rsid w:val="6C8B3AC9"/>
    <w:rsid w:val="6CA547F5"/>
    <w:rsid w:val="6CB521A2"/>
    <w:rsid w:val="6CBD0827"/>
    <w:rsid w:val="6CC462B9"/>
    <w:rsid w:val="6D087F89"/>
    <w:rsid w:val="6D973C34"/>
    <w:rsid w:val="6DAE3362"/>
    <w:rsid w:val="6DC41105"/>
    <w:rsid w:val="6E1501DE"/>
    <w:rsid w:val="6E247798"/>
    <w:rsid w:val="6E3149CF"/>
    <w:rsid w:val="6E630911"/>
    <w:rsid w:val="6E7B1000"/>
    <w:rsid w:val="6ED36C87"/>
    <w:rsid w:val="6ED6384A"/>
    <w:rsid w:val="6F0C0583"/>
    <w:rsid w:val="6F3D49FE"/>
    <w:rsid w:val="6F4E2407"/>
    <w:rsid w:val="6FCA713C"/>
    <w:rsid w:val="6FFB1DA3"/>
    <w:rsid w:val="703C25AB"/>
    <w:rsid w:val="707316F2"/>
    <w:rsid w:val="70C8281B"/>
    <w:rsid w:val="70FE0886"/>
    <w:rsid w:val="71006199"/>
    <w:rsid w:val="710E35C6"/>
    <w:rsid w:val="712B7967"/>
    <w:rsid w:val="712E0BAC"/>
    <w:rsid w:val="715F3419"/>
    <w:rsid w:val="71AE220F"/>
    <w:rsid w:val="71CE315C"/>
    <w:rsid w:val="720C4876"/>
    <w:rsid w:val="721A3A43"/>
    <w:rsid w:val="72312AC8"/>
    <w:rsid w:val="724D0AFE"/>
    <w:rsid w:val="724F0D1A"/>
    <w:rsid w:val="725F6A13"/>
    <w:rsid w:val="72A97544"/>
    <w:rsid w:val="72E20FF5"/>
    <w:rsid w:val="736C74ED"/>
    <w:rsid w:val="7371144A"/>
    <w:rsid w:val="73B46D48"/>
    <w:rsid w:val="74CC77C2"/>
    <w:rsid w:val="75226272"/>
    <w:rsid w:val="7523567A"/>
    <w:rsid w:val="756256B4"/>
    <w:rsid w:val="75F108E1"/>
    <w:rsid w:val="760528E8"/>
    <w:rsid w:val="760A360D"/>
    <w:rsid w:val="76561D74"/>
    <w:rsid w:val="767D714A"/>
    <w:rsid w:val="76847934"/>
    <w:rsid w:val="76E72995"/>
    <w:rsid w:val="77B03D43"/>
    <w:rsid w:val="77DF7A71"/>
    <w:rsid w:val="78C51ED1"/>
    <w:rsid w:val="790849D8"/>
    <w:rsid w:val="791F09D3"/>
    <w:rsid w:val="79964022"/>
    <w:rsid w:val="799C55EB"/>
    <w:rsid w:val="79B84645"/>
    <w:rsid w:val="79D25971"/>
    <w:rsid w:val="79E027A8"/>
    <w:rsid w:val="7A117763"/>
    <w:rsid w:val="7A7643BD"/>
    <w:rsid w:val="7AA35BC3"/>
    <w:rsid w:val="7AAE6577"/>
    <w:rsid w:val="7AC626B6"/>
    <w:rsid w:val="7AE034A6"/>
    <w:rsid w:val="7CB97EFF"/>
    <w:rsid w:val="7CCD5F9D"/>
    <w:rsid w:val="7CE546F1"/>
    <w:rsid w:val="7CEA6637"/>
    <w:rsid w:val="7D0419BE"/>
    <w:rsid w:val="7D0A2D92"/>
    <w:rsid w:val="7D13042B"/>
    <w:rsid w:val="7D1D5E45"/>
    <w:rsid w:val="7D55672F"/>
    <w:rsid w:val="7D84531D"/>
    <w:rsid w:val="7DB25786"/>
    <w:rsid w:val="7E0826CA"/>
    <w:rsid w:val="7E2E0539"/>
    <w:rsid w:val="7E807556"/>
    <w:rsid w:val="7EDA677F"/>
    <w:rsid w:val="7F0E0C69"/>
    <w:rsid w:val="7F13773B"/>
    <w:rsid w:val="7FA72A76"/>
    <w:rsid w:val="7FF1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31"/>
    <w:qFormat/>
    <w:uiPriority w:val="0"/>
    <w:pPr>
      <w:keepNext/>
      <w:keepLines/>
      <w:spacing w:before="340" w:after="330" w:line="576" w:lineRule="auto"/>
      <w:outlineLvl w:val="0"/>
    </w:pPr>
    <w:rPr>
      <w:b/>
      <w:bCs/>
      <w:kern w:val="44"/>
      <w:sz w:val="44"/>
      <w:szCs w:val="44"/>
    </w:rPr>
  </w:style>
  <w:style w:type="paragraph" w:styleId="5">
    <w:name w:val="heading 2"/>
    <w:basedOn w:val="1"/>
    <w:next w:val="6"/>
    <w:link w:val="132"/>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133"/>
    <w:qFormat/>
    <w:uiPriority w:val="0"/>
    <w:pPr>
      <w:keepNext/>
      <w:keepLines/>
      <w:spacing w:before="260" w:after="260" w:line="415" w:lineRule="auto"/>
      <w:outlineLvl w:val="2"/>
    </w:pPr>
    <w:rPr>
      <w:b/>
      <w:sz w:val="32"/>
      <w:szCs w:val="20"/>
    </w:rPr>
  </w:style>
  <w:style w:type="paragraph" w:styleId="8">
    <w:name w:val="heading 4"/>
    <w:basedOn w:val="1"/>
    <w:next w:val="1"/>
    <w:link w:val="134"/>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link w:val="135"/>
    <w:qFormat/>
    <w:uiPriority w:val="99"/>
    <w:pPr>
      <w:keepNext/>
      <w:keepLines/>
      <w:numPr>
        <w:ilvl w:val="4"/>
        <w:numId w:val="1"/>
      </w:numPr>
      <w:spacing w:before="280" w:after="290" w:line="374" w:lineRule="auto"/>
      <w:outlineLvl w:val="4"/>
    </w:pPr>
    <w:rPr>
      <w:b/>
      <w:bCs/>
      <w:sz w:val="24"/>
      <w:szCs w:val="28"/>
    </w:rPr>
  </w:style>
  <w:style w:type="paragraph" w:styleId="10">
    <w:name w:val="heading 6"/>
    <w:basedOn w:val="1"/>
    <w:next w:val="1"/>
    <w:link w:val="136"/>
    <w:qFormat/>
    <w:uiPriority w:val="99"/>
    <w:pPr>
      <w:keepNext/>
      <w:keepLines/>
      <w:numPr>
        <w:ilvl w:val="5"/>
        <w:numId w:val="1"/>
      </w:numPr>
      <w:spacing w:before="240" w:after="64" w:line="319" w:lineRule="auto"/>
      <w:outlineLvl w:val="5"/>
    </w:pPr>
    <w:rPr>
      <w:rFonts w:ascii="Cambria" w:hAnsi="Cambria"/>
      <w:b/>
      <w:bCs/>
      <w:sz w:val="24"/>
    </w:rPr>
  </w:style>
  <w:style w:type="paragraph" w:styleId="11">
    <w:name w:val="heading 7"/>
    <w:basedOn w:val="1"/>
    <w:next w:val="1"/>
    <w:link w:val="137"/>
    <w:qFormat/>
    <w:uiPriority w:val="9"/>
    <w:pPr>
      <w:keepNext/>
      <w:keepLines/>
      <w:numPr>
        <w:ilvl w:val="6"/>
        <w:numId w:val="1"/>
      </w:numPr>
      <w:spacing w:before="240" w:after="64" w:line="319" w:lineRule="auto"/>
      <w:outlineLvl w:val="6"/>
    </w:pPr>
    <w:rPr>
      <w:b/>
      <w:bCs/>
      <w:sz w:val="24"/>
    </w:rPr>
  </w:style>
  <w:style w:type="paragraph" w:styleId="12">
    <w:name w:val="heading 8"/>
    <w:basedOn w:val="1"/>
    <w:next w:val="1"/>
    <w:link w:val="138"/>
    <w:qFormat/>
    <w:uiPriority w:val="99"/>
    <w:pPr>
      <w:keepNext/>
      <w:keepLines/>
      <w:spacing w:before="240" w:after="64" w:line="320" w:lineRule="auto"/>
      <w:ind w:left="1440"/>
      <w:outlineLvl w:val="7"/>
    </w:pPr>
    <w:rPr>
      <w:rFonts w:ascii="Calibri Light" w:hAnsi="Calibri Light"/>
      <w:sz w:val="24"/>
      <w:szCs w:val="24"/>
    </w:rPr>
  </w:style>
  <w:style w:type="paragraph" w:styleId="13">
    <w:name w:val="heading 9"/>
    <w:basedOn w:val="1"/>
    <w:next w:val="1"/>
    <w:link w:val="139"/>
    <w:qFormat/>
    <w:uiPriority w:val="99"/>
    <w:pPr>
      <w:keepNext/>
      <w:keepLines/>
      <w:spacing w:before="240" w:after="64" w:line="320" w:lineRule="auto"/>
      <w:ind w:left="1584"/>
      <w:outlineLvl w:val="8"/>
    </w:pPr>
    <w:rPr>
      <w:rFonts w:ascii="Calibri Light" w:hAnsi="Calibri Light"/>
      <w:sz w:val="28"/>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4"/>
    <w:qFormat/>
    <w:uiPriority w:val="99"/>
    <w:pPr>
      <w:spacing w:after="120"/>
    </w:pPr>
    <w:rPr>
      <w:sz w:val="28"/>
      <w:szCs w:val="24"/>
    </w:rPr>
  </w:style>
  <w:style w:type="paragraph" w:styleId="3">
    <w:name w:val="Body Text First Indent"/>
    <w:basedOn w:val="2"/>
    <w:next w:val="1"/>
    <w:link w:val="158"/>
    <w:qFormat/>
    <w:uiPriority w:val="99"/>
    <w:pPr>
      <w:ind w:firstLine="420" w:firstLineChars="100"/>
    </w:pPr>
    <w:rPr>
      <w:rFonts w:ascii="Calibri" w:hAnsi="Calibri"/>
      <w:szCs w:val="22"/>
    </w:rPr>
  </w:style>
  <w:style w:type="paragraph" w:styleId="6">
    <w:name w:val="Normal Indent"/>
    <w:basedOn w:val="1"/>
    <w:next w:val="1"/>
    <w:link w:val="140"/>
    <w:qFormat/>
    <w:uiPriority w:val="99"/>
    <w:pPr>
      <w:ind w:firstLine="420"/>
    </w:pPr>
    <w:rPr>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List Number"/>
    <w:basedOn w:val="1"/>
    <w:qFormat/>
    <w:uiPriority w:val="99"/>
    <w:pPr>
      <w:widowControl/>
      <w:tabs>
        <w:tab w:val="left" w:pos="454"/>
        <w:tab w:val="left" w:pos="720"/>
      </w:tabs>
      <w:spacing w:after="156" w:afterLines="50"/>
      <w:ind w:left="454" w:hanging="284"/>
      <w:jc w:val="left"/>
    </w:pPr>
    <w:rPr>
      <w:kern w:val="0"/>
      <w:sz w:val="24"/>
      <w:szCs w:val="20"/>
    </w:rPr>
  </w:style>
  <w:style w:type="paragraph" w:styleId="16">
    <w:name w:val="caption"/>
    <w:basedOn w:val="1"/>
    <w:next w:val="1"/>
    <w:link w:val="198"/>
    <w:qFormat/>
    <w:uiPriority w:val="0"/>
    <w:pPr>
      <w:spacing w:before="152" w:after="160"/>
    </w:pPr>
    <w:rPr>
      <w:rFonts w:ascii="Arial" w:hAnsi="Arial" w:eastAsia="黑体" w:cs="Arial"/>
      <w:sz w:val="20"/>
      <w:szCs w:val="20"/>
    </w:rPr>
  </w:style>
  <w:style w:type="paragraph" w:styleId="17">
    <w:name w:val="Document Map"/>
    <w:basedOn w:val="1"/>
    <w:link w:val="141"/>
    <w:qFormat/>
    <w:uiPriority w:val="99"/>
    <w:pPr>
      <w:shd w:val="clear" w:color="auto" w:fill="000080"/>
    </w:pPr>
    <w:rPr>
      <w:szCs w:val="24"/>
    </w:rPr>
  </w:style>
  <w:style w:type="paragraph" w:styleId="18">
    <w:name w:val="annotation text"/>
    <w:basedOn w:val="1"/>
    <w:link w:val="142"/>
    <w:qFormat/>
    <w:uiPriority w:val="99"/>
    <w:pPr>
      <w:jc w:val="left"/>
    </w:pPr>
    <w:rPr>
      <w:szCs w:val="20"/>
    </w:rPr>
  </w:style>
  <w:style w:type="paragraph" w:styleId="19">
    <w:name w:val="Body Text 3"/>
    <w:basedOn w:val="1"/>
    <w:link w:val="143"/>
    <w:qFormat/>
    <w:uiPriority w:val="99"/>
    <w:pPr>
      <w:snapToGrid w:val="0"/>
      <w:spacing w:before="50" w:after="50"/>
    </w:pPr>
    <w:rPr>
      <w:rFonts w:hAnsi="宋体" w:eastAsia="仿宋_GB2312"/>
      <w:b/>
      <w:bCs/>
      <w:sz w:val="24"/>
      <w:szCs w:val="20"/>
    </w:rPr>
  </w:style>
  <w:style w:type="paragraph" w:styleId="20">
    <w:name w:val="Body Text Indent"/>
    <w:basedOn w:val="1"/>
    <w:next w:val="1"/>
    <w:link w:val="130"/>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99"/>
    <w:pPr>
      <w:numPr>
        <w:ilvl w:val="0"/>
        <w:numId w:val="2"/>
      </w:numPr>
    </w:pPr>
  </w:style>
  <w:style w:type="paragraph" w:styleId="22">
    <w:name w:val="List 2"/>
    <w:basedOn w:val="1"/>
    <w:qFormat/>
    <w:uiPriority w:val="99"/>
    <w:pPr>
      <w:ind w:left="100" w:leftChars="200" w:hanging="200" w:hangingChars="200"/>
    </w:pPr>
    <w:rPr>
      <w:sz w:val="28"/>
    </w:rPr>
  </w:style>
  <w:style w:type="paragraph" w:styleId="23">
    <w:name w:val="Block Text"/>
    <w:basedOn w:val="1"/>
    <w:next w:val="8"/>
    <w:qFormat/>
    <w:uiPriority w:val="99"/>
    <w:pPr>
      <w:spacing w:after="120" w:line="360" w:lineRule="auto"/>
      <w:ind w:left="1440" w:leftChars="700" w:right="1440" w:rightChars="700" w:firstLine="200" w:firstLineChars="200"/>
    </w:pPr>
    <w:rPr>
      <w:szCs w:val="20"/>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style>
  <w:style w:type="paragraph" w:styleId="26">
    <w:name w:val="Plain Text"/>
    <w:basedOn w:val="1"/>
    <w:next w:val="1"/>
    <w:link w:val="145"/>
    <w:qFormat/>
    <w:uiPriority w:val="0"/>
    <w:pPr>
      <w:spacing w:before="156" w:beforeLines="50" w:after="156" w:afterLines="50" w:line="400" w:lineRule="exact"/>
    </w:pPr>
    <w:rPr>
      <w:rFonts w:ascii="宋体" w:hAnsi="Courier New"/>
      <w:sz w:val="24"/>
      <w:szCs w:val="24"/>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146"/>
    <w:qFormat/>
    <w:uiPriority w:val="99"/>
    <w:pPr>
      <w:ind w:left="2500" w:leftChars="2500"/>
    </w:pPr>
    <w:rPr>
      <w:rFonts w:eastAsia="楷体_GB2312"/>
      <w:sz w:val="32"/>
      <w:szCs w:val="20"/>
    </w:rPr>
  </w:style>
  <w:style w:type="paragraph" w:styleId="29">
    <w:name w:val="Body Text Indent 2"/>
    <w:basedOn w:val="1"/>
    <w:link w:val="147"/>
    <w:qFormat/>
    <w:uiPriority w:val="99"/>
    <w:pPr>
      <w:snapToGrid w:val="0"/>
      <w:ind w:firstLine="542" w:firstLineChars="225"/>
    </w:pPr>
    <w:rPr>
      <w:rFonts w:ascii="仿宋_GB2312" w:hAnsi="宋体"/>
      <w:b/>
      <w:bCs/>
      <w:color w:val="000000"/>
      <w:sz w:val="24"/>
      <w:szCs w:val="24"/>
    </w:rPr>
  </w:style>
  <w:style w:type="paragraph" w:styleId="30">
    <w:name w:val="endnote text"/>
    <w:basedOn w:val="1"/>
    <w:link w:val="148"/>
    <w:qFormat/>
    <w:uiPriority w:val="99"/>
    <w:pPr>
      <w:snapToGrid w:val="0"/>
      <w:spacing w:line="360" w:lineRule="auto"/>
      <w:ind w:firstLine="200" w:firstLineChars="200"/>
      <w:jc w:val="left"/>
    </w:pPr>
    <w:rPr>
      <w:szCs w:val="20"/>
    </w:rPr>
  </w:style>
  <w:style w:type="paragraph" w:styleId="31">
    <w:name w:val="Balloon Text"/>
    <w:basedOn w:val="1"/>
    <w:link w:val="149"/>
    <w:qFormat/>
    <w:uiPriority w:val="99"/>
    <w:rPr>
      <w:sz w:val="18"/>
      <w:szCs w:val="18"/>
    </w:rPr>
  </w:style>
  <w:style w:type="paragraph" w:styleId="32">
    <w:name w:val="footer"/>
    <w:basedOn w:val="1"/>
    <w:link w:val="150"/>
    <w:qFormat/>
    <w:uiPriority w:val="99"/>
    <w:pPr>
      <w:tabs>
        <w:tab w:val="center" w:pos="4153"/>
        <w:tab w:val="right" w:pos="8306"/>
      </w:tabs>
      <w:snapToGrid w:val="0"/>
      <w:jc w:val="left"/>
    </w:pPr>
    <w:rPr>
      <w:rFonts w:eastAsia="黑体"/>
      <w:snapToGrid w:val="0"/>
      <w:kern w:val="0"/>
      <w:sz w:val="18"/>
      <w:szCs w:val="18"/>
    </w:rPr>
  </w:style>
  <w:style w:type="paragraph" w:styleId="33">
    <w:name w:val="header"/>
    <w:basedOn w:val="1"/>
    <w:link w:val="15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99"/>
    <w:pPr>
      <w:ind w:left="200" w:hanging="200" w:hangingChars="200"/>
    </w:pPr>
    <w:rPr>
      <w:sz w:val="28"/>
    </w:rPr>
  </w:style>
  <w:style w:type="paragraph" w:styleId="37">
    <w:name w:val="footnote text"/>
    <w:basedOn w:val="1"/>
    <w:link w:val="152"/>
    <w:qFormat/>
    <w:uiPriority w:val="0"/>
    <w:pPr>
      <w:snapToGrid w:val="0"/>
      <w:spacing w:line="360" w:lineRule="auto"/>
      <w:ind w:firstLine="200" w:firstLineChars="20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53"/>
    <w:qFormat/>
    <w:uiPriority w:val="99"/>
    <w:pPr>
      <w:snapToGrid w:val="0"/>
      <w:ind w:firstLine="480" w:firstLineChars="200"/>
      <w:jc w:val="left"/>
    </w:pPr>
    <w:rPr>
      <w:rFonts w:ascii="仿宋_GB2312" w:hAnsi="宋体" w:eastAsia="仿宋_GB2312"/>
      <w:color w:val="000000"/>
      <w:sz w:val="24"/>
      <w:szCs w:val="24"/>
    </w:rPr>
  </w:style>
  <w:style w:type="paragraph" w:styleId="40">
    <w:name w:val="toc 2"/>
    <w:basedOn w:val="1"/>
    <w:next w:val="1"/>
    <w:qFormat/>
    <w:uiPriority w:val="39"/>
    <w:pPr>
      <w:spacing w:line="360" w:lineRule="auto"/>
      <w:ind w:left="210" w:firstLine="200" w:firstLineChars="200"/>
    </w:pPr>
    <w:rPr>
      <w:smallCaps/>
      <w:sz w:val="20"/>
      <w:szCs w:val="20"/>
    </w:r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54"/>
    <w:qFormat/>
    <w:uiPriority w:val="99"/>
    <w:pPr>
      <w:widowControl/>
      <w:snapToGrid w:val="0"/>
      <w:spacing w:before="50" w:after="156" w:afterLines="50" w:line="400" w:lineRule="exact"/>
      <w:jc w:val="left"/>
    </w:pPr>
    <w:rPr>
      <w:rFonts w:ascii="宋体" w:hAnsi="宋体"/>
      <w:color w:val="000000"/>
      <w:sz w:val="24"/>
      <w:szCs w:val="24"/>
    </w:rPr>
  </w:style>
  <w:style w:type="paragraph" w:styleId="43">
    <w:name w:val="HTML Preformatted"/>
    <w:basedOn w:val="1"/>
    <w:link w:val="155"/>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4">
    <w:name w:val="Normal (Web)"/>
    <w:basedOn w:val="1"/>
    <w:qFormat/>
    <w:uiPriority w:val="99"/>
    <w:pPr>
      <w:widowControl/>
      <w:spacing w:before="100" w:beforeAutospacing="1" w:after="100" w:afterAutospacing="1"/>
      <w:jc w:val="left"/>
    </w:pPr>
    <w:rPr>
      <w:kern w:val="0"/>
      <w:sz w:val="24"/>
    </w:rPr>
  </w:style>
  <w:style w:type="paragraph" w:styleId="45">
    <w:name w:val="Title"/>
    <w:basedOn w:val="1"/>
    <w:next w:val="1"/>
    <w:link w:val="156"/>
    <w:qFormat/>
    <w:uiPriority w:val="0"/>
    <w:pPr>
      <w:spacing w:before="240" w:after="60"/>
      <w:jc w:val="center"/>
      <w:outlineLvl w:val="0"/>
    </w:pPr>
    <w:rPr>
      <w:rFonts w:ascii="Cambria" w:hAnsi="Cambria"/>
      <w:b/>
      <w:bCs/>
      <w:sz w:val="32"/>
      <w:szCs w:val="32"/>
    </w:rPr>
  </w:style>
  <w:style w:type="paragraph" w:styleId="46">
    <w:name w:val="annotation subject"/>
    <w:basedOn w:val="18"/>
    <w:next w:val="18"/>
    <w:link w:val="157"/>
    <w:qFormat/>
    <w:uiPriority w:val="99"/>
  </w:style>
  <w:style w:type="paragraph" w:styleId="47">
    <w:name w:val="Body Text First Indent 2"/>
    <w:basedOn w:val="20"/>
    <w:next w:val="1"/>
    <w:link w:val="159"/>
    <w:qFormat/>
    <w:uiPriority w:val="99"/>
    <w:pPr>
      <w:spacing w:after="120" w:line="240" w:lineRule="auto"/>
      <w:ind w:left="420" w:leftChars="200" w:firstLine="420" w:firstLineChars="200"/>
    </w:pPr>
    <w:rPr>
      <w:rFonts w:ascii="Times New Roman" w:hAnsi="Times New Roman"/>
      <w:spacing w:val="0"/>
      <w:sz w:val="21"/>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endnote reference"/>
    <w:qFormat/>
    <w:uiPriority w:val="0"/>
    <w:rPr>
      <w:rFonts w:ascii="Times New Roman" w:hAnsi="Times New Roman" w:eastAsia="宋体" w:cs="Times New Roman"/>
      <w:vertAlign w:val="superscript"/>
    </w:rPr>
  </w:style>
  <w:style w:type="character" w:styleId="53">
    <w:name w:val="page number"/>
    <w:qFormat/>
    <w:uiPriority w:val="0"/>
  </w:style>
  <w:style w:type="character" w:styleId="54">
    <w:name w:val="FollowedHyperlink"/>
    <w:qFormat/>
    <w:uiPriority w:val="99"/>
    <w:rPr>
      <w:color w:val="333333"/>
      <w:u w:val="none"/>
    </w:rPr>
  </w:style>
  <w:style w:type="character" w:styleId="55">
    <w:name w:val="Emphasis"/>
    <w:qFormat/>
    <w:uiPriority w:val="0"/>
    <w:rPr>
      <w:rFonts w:ascii="Times New Roman" w:hAnsi="Times New Roman" w:eastAsia="宋体" w:cs="Times New Roman"/>
      <w:color w:val="CC0000"/>
    </w:rPr>
  </w:style>
  <w:style w:type="character" w:styleId="56">
    <w:name w:val="Hyperlink"/>
    <w:qFormat/>
    <w:uiPriority w:val="99"/>
    <w:rPr>
      <w:color w:val="333333"/>
      <w:u w:val="none"/>
    </w:rPr>
  </w:style>
  <w:style w:type="character" w:styleId="57">
    <w:name w:val="annotation reference"/>
    <w:qFormat/>
    <w:uiPriority w:val="0"/>
    <w:rPr>
      <w:sz w:val="21"/>
      <w:szCs w:val="21"/>
    </w:rPr>
  </w:style>
  <w:style w:type="character" w:styleId="58">
    <w:name w:val="footnote reference"/>
    <w:qFormat/>
    <w:uiPriority w:val="0"/>
    <w:rPr>
      <w:rFonts w:ascii="Times New Roman" w:hAnsi="Times New Roman" w:eastAsia="宋体" w:cs="Times New Roman"/>
      <w:vertAlign w:val="superscript"/>
    </w:rPr>
  </w:style>
  <w:style w:type="paragraph" w:customStyle="1" w:styleId="59">
    <w:name w:val="样式3"/>
    <w:basedOn w:val="26"/>
    <w:next w:val="1"/>
    <w:qFormat/>
    <w:uiPriority w:val="0"/>
    <w:pPr>
      <w:adjustRightInd/>
      <w:textAlignment w:val="auto"/>
    </w:pPr>
    <w:rPr>
      <w:rFonts w:ascii="Times New Roman" w:hAnsi="Times New Roman" w:eastAsia="宋体" w:cs="Times New Roman"/>
      <w:kern w:val="2"/>
      <w:sz w:val="21"/>
      <w:szCs w:val="20"/>
    </w:rPr>
  </w:style>
  <w:style w:type="paragraph" w:customStyle="1" w:styleId="60">
    <w:name w:val="表格文字"/>
    <w:basedOn w:val="20"/>
    <w:next w:val="2"/>
    <w:qFormat/>
    <w:uiPriority w:val="99"/>
    <w:pPr>
      <w:jc w:val="left"/>
    </w:pPr>
    <w:rPr>
      <w:rFonts w:ascii="宋体" w:hAnsi="宋体"/>
      <w:bCs/>
      <w:spacing w:val="-4"/>
      <w:kern w:val="0"/>
      <w:sz w:val="32"/>
      <w:szCs w:val="32"/>
      <w:lang w:val="zh-CN"/>
    </w:rPr>
  </w:style>
  <w:style w:type="paragraph" w:customStyle="1" w:styleId="61">
    <w:name w:val="cr4"/>
    <w:basedOn w:val="8"/>
    <w:next w:val="1"/>
    <w:link w:val="163"/>
    <w:qFormat/>
    <w:uiPriority w:val="0"/>
    <w:pPr>
      <w:tabs>
        <w:tab w:val="left" w:pos="645"/>
      </w:tabs>
      <w:spacing w:before="25" w:after="25" w:line="300" w:lineRule="auto"/>
      <w:ind w:left="420" w:hanging="420"/>
      <w:outlineLvl w:val="2"/>
    </w:pPr>
    <w:rPr>
      <w:rFonts w:ascii="黑体" w:hAnsi="宋体"/>
      <w:bCs w:val="0"/>
      <w:color w:val="000000"/>
      <w:kern w:val="0"/>
    </w:rPr>
  </w:style>
  <w:style w:type="paragraph" w:customStyle="1" w:styleId="62">
    <w:name w:val="列出段落1"/>
    <w:basedOn w:val="1"/>
    <w:link w:val="165"/>
    <w:qFormat/>
    <w:uiPriority w:val="0"/>
    <w:pPr>
      <w:ind w:firstLine="420" w:firstLineChars="200"/>
    </w:pPr>
    <w:rPr>
      <w:rFonts w:ascii="Calibri" w:hAnsi="Calibri"/>
      <w:szCs w:val="22"/>
    </w:rPr>
  </w:style>
  <w:style w:type="paragraph" w:customStyle="1" w:styleId="63">
    <w:name w:val="MY正文"/>
    <w:basedOn w:val="1"/>
    <w:link w:val="168"/>
    <w:qFormat/>
    <w:uiPriority w:val="0"/>
    <w:pPr>
      <w:spacing w:line="360" w:lineRule="auto"/>
      <w:ind w:firstLine="200" w:firstLineChars="200"/>
    </w:pPr>
    <w:rPr>
      <w:sz w:val="24"/>
      <w:szCs w:val="22"/>
    </w:rPr>
  </w:style>
  <w:style w:type="paragraph" w:customStyle="1" w:styleId="64">
    <w:name w:val="GW-正文"/>
    <w:link w:val="179"/>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65">
    <w:name w:val="正文-1"/>
    <w:basedOn w:val="1"/>
    <w:link w:val="180"/>
    <w:qFormat/>
    <w:uiPriority w:val="0"/>
    <w:pPr>
      <w:autoSpaceDE w:val="0"/>
      <w:autoSpaceDN w:val="0"/>
      <w:adjustRightInd w:val="0"/>
      <w:spacing w:before="156" w:after="156" w:line="360" w:lineRule="auto"/>
      <w:ind w:firstLine="420" w:firstLineChars="200"/>
      <w:jc w:val="left"/>
    </w:pPr>
    <w:rPr>
      <w:rFonts w:ascii="宋体" w:hAnsi="宋体"/>
      <w:kern w:val="0"/>
    </w:rPr>
  </w:style>
  <w:style w:type="paragraph" w:styleId="66">
    <w:name w:val="List Paragraph"/>
    <w:basedOn w:val="1"/>
    <w:link w:val="184"/>
    <w:qFormat/>
    <w:uiPriority w:val="0"/>
    <w:pPr>
      <w:ind w:firstLine="420" w:firstLineChars="200"/>
    </w:pPr>
    <w:rPr>
      <w:szCs w:val="20"/>
    </w:rPr>
  </w:style>
  <w:style w:type="paragraph" w:customStyle="1" w:styleId="67">
    <w:name w:val="表格"/>
    <w:basedOn w:val="1"/>
    <w:link w:val="186"/>
    <w:qFormat/>
    <w:uiPriority w:val="0"/>
    <w:rPr>
      <w:rFonts w:eastAsia="仿宋_GB2312"/>
      <w:kern w:val="0"/>
      <w:sz w:val="24"/>
      <w:szCs w:val="20"/>
    </w:rPr>
  </w:style>
  <w:style w:type="paragraph" w:customStyle="1" w:styleId="68">
    <w:name w:val="cr3"/>
    <w:basedOn w:val="7"/>
    <w:next w:val="61"/>
    <w:link w:val="189"/>
    <w:qFormat/>
    <w:uiPriority w:val="99"/>
    <w:pPr>
      <w:numPr>
        <w:ilvl w:val="2"/>
        <w:numId w:val="3"/>
      </w:numPr>
      <w:spacing w:line="240" w:lineRule="auto"/>
      <w:outlineLvl w:val="1"/>
    </w:pPr>
    <w:rPr>
      <w:rFonts w:eastAsia="黑体"/>
      <w:bCs/>
      <w:szCs w:val="32"/>
    </w:rPr>
  </w:style>
  <w:style w:type="paragraph" w:customStyle="1" w:styleId="69">
    <w:name w:val="工可正文"/>
    <w:basedOn w:val="1"/>
    <w:link w:val="191"/>
    <w:qFormat/>
    <w:uiPriority w:val="0"/>
    <w:pPr>
      <w:spacing w:line="360" w:lineRule="auto"/>
      <w:ind w:firstLine="560" w:firstLineChars="200"/>
    </w:pPr>
    <w:rPr>
      <w:rFonts w:ascii="宋体" w:hAnsi="Courier New"/>
      <w:kern w:val="0"/>
      <w:sz w:val="28"/>
      <w:szCs w:val="20"/>
    </w:rPr>
  </w:style>
  <w:style w:type="paragraph" w:customStyle="1" w:styleId="70">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71">
    <w:name w:val="默认段落字体 Para Char Char Char Char Char Char Char Char Char1 Char Char Char Char"/>
    <w:basedOn w:val="1"/>
    <w:qFormat/>
    <w:uiPriority w:val="99"/>
    <w:rPr>
      <w:rFonts w:ascii="Tahoma" w:hAnsi="Tahoma"/>
      <w:sz w:val="24"/>
      <w:szCs w:val="20"/>
    </w:rPr>
  </w:style>
  <w:style w:type="paragraph" w:customStyle="1" w:styleId="72">
    <w:name w:val="列表内容"/>
    <w:basedOn w:val="1"/>
    <w:next w:val="1"/>
    <w:qFormat/>
    <w:uiPriority w:val="99"/>
    <w:pPr>
      <w:widowControl/>
      <w:tabs>
        <w:tab w:val="left" w:pos="840"/>
      </w:tabs>
      <w:ind w:left="840"/>
      <w:jc w:val="left"/>
    </w:pPr>
    <w:rPr>
      <w:kern w:val="0"/>
      <w:sz w:val="18"/>
      <w:szCs w:val="20"/>
    </w:rPr>
  </w:style>
  <w:style w:type="paragraph" w:customStyle="1" w:styleId="73">
    <w:name w:val="msonormal"/>
    <w:basedOn w:val="1"/>
    <w:qFormat/>
    <w:uiPriority w:val="0"/>
    <w:pPr>
      <w:widowControl/>
      <w:spacing w:before="100" w:beforeAutospacing="1" w:after="100" w:afterAutospacing="1"/>
      <w:jc w:val="left"/>
    </w:pPr>
    <w:rPr>
      <w:kern w:val="0"/>
      <w:sz w:val="24"/>
    </w:rPr>
  </w:style>
  <w:style w:type="paragraph" w:customStyle="1" w:styleId="74">
    <w:name w:val="首行缩进"/>
    <w:basedOn w:val="1"/>
    <w:qFormat/>
    <w:uiPriority w:val="0"/>
    <w:pPr>
      <w:ind w:firstLine="480" w:firstLineChars="200"/>
    </w:pPr>
    <w:rPr>
      <w:rFonts w:ascii="Calibri" w:hAnsi="Calibri"/>
      <w:lang w:val="zh-CN"/>
    </w:rPr>
  </w:style>
  <w:style w:type="paragraph" w:customStyle="1" w:styleId="75">
    <w:name w:val="Char Char Char Char Char Char"/>
    <w:basedOn w:val="1"/>
    <w:qFormat/>
    <w:uiPriority w:val="0"/>
    <w:pPr>
      <w:widowControl/>
      <w:spacing w:after="160" w:line="240" w:lineRule="exact"/>
      <w:ind w:firstLine="200" w:firstLineChars="200"/>
      <w:jc w:val="left"/>
    </w:pPr>
    <w:rPr>
      <w:szCs w:val="20"/>
    </w:rPr>
  </w:style>
  <w:style w:type="paragraph" w:customStyle="1" w:styleId="76">
    <w:name w:val="表格用"/>
    <w:basedOn w:val="1"/>
    <w:qFormat/>
    <w:uiPriority w:val="99"/>
    <w:pPr>
      <w:widowControl/>
      <w:spacing w:line="360" w:lineRule="auto"/>
      <w:jc w:val="left"/>
    </w:pPr>
    <w:rPr>
      <w:rFonts w:ascii="宋体" w:hAnsi="宋体"/>
      <w:kern w:val="0"/>
      <w:sz w:val="24"/>
    </w:rPr>
  </w:style>
  <w:style w:type="paragraph" w:customStyle="1" w:styleId="77">
    <w:name w:val="_Style 2"/>
    <w:basedOn w:val="1"/>
    <w:qFormat/>
    <w:uiPriority w:val="99"/>
    <w:pPr>
      <w:spacing w:line="440" w:lineRule="exact"/>
      <w:ind w:firstLine="420" w:firstLineChars="200"/>
    </w:pPr>
  </w:style>
  <w:style w:type="paragraph" w:customStyle="1" w:styleId="78">
    <w:name w:val="纯文本1"/>
    <w:qFormat/>
    <w:uiPriority w:val="0"/>
    <w:pPr>
      <w:spacing w:beforeLines="50" w:afterLines="50" w:line="400" w:lineRule="exact"/>
    </w:pPr>
    <w:rPr>
      <w:rFonts w:ascii="宋体" w:hAnsi="Courier New" w:eastAsia="宋体" w:cs="Times New Roman"/>
      <w:kern w:val="2"/>
      <w:sz w:val="24"/>
      <w:szCs w:val="24"/>
      <w:lang w:val="en-US" w:eastAsia="zh-CN" w:bidi="ar-SA"/>
    </w:rPr>
  </w:style>
  <w:style w:type="paragraph" w:customStyle="1" w:styleId="79">
    <w:name w:val="List Paragraph1"/>
    <w:basedOn w:val="1"/>
    <w:qFormat/>
    <w:uiPriority w:val="0"/>
    <w:pPr>
      <w:ind w:firstLine="420" w:firstLineChars="200"/>
    </w:pPr>
    <w:rPr>
      <w:rFonts w:ascii="Calibri" w:hAnsi="Calibri"/>
      <w:kern w:val="0"/>
      <w:szCs w:val="22"/>
    </w:rPr>
  </w:style>
  <w:style w:type="paragraph" w:customStyle="1" w:styleId="80">
    <w:name w:val="方案正文"/>
    <w:basedOn w:val="1"/>
    <w:qFormat/>
    <w:uiPriority w:val="99"/>
    <w:pPr>
      <w:spacing w:before="120" w:line="360" w:lineRule="auto"/>
      <w:ind w:firstLine="425" w:firstLineChars="177"/>
    </w:pPr>
    <w:rPr>
      <w:rFonts w:ascii="华文细黑" w:hAnsi="华文细黑" w:eastAsia="华文细黑"/>
      <w:sz w:val="24"/>
    </w:rPr>
  </w:style>
  <w:style w:type="paragraph" w:customStyle="1" w:styleId="81">
    <w:name w:val="p0"/>
    <w:basedOn w:val="1"/>
    <w:qFormat/>
    <w:uiPriority w:val="99"/>
    <w:pPr>
      <w:widowControl/>
    </w:pPr>
    <w:rPr>
      <w:kern w:val="0"/>
    </w:rPr>
  </w:style>
  <w:style w:type="paragraph" w:customStyle="1" w:styleId="82">
    <w:name w:val="纯文本2"/>
    <w:basedOn w:val="1"/>
    <w:qFormat/>
    <w:uiPriority w:val="99"/>
    <w:pPr>
      <w:adjustRightInd w:val="0"/>
      <w:textAlignment w:val="baseline"/>
    </w:pPr>
    <w:rPr>
      <w:rFonts w:ascii="宋体" w:hAnsi="Calibri"/>
      <w:kern w:val="0"/>
      <w:szCs w:val="20"/>
    </w:rPr>
  </w:style>
  <w:style w:type="paragraph" w:styleId="83">
    <w:name w:val="No Spacing"/>
    <w:qFormat/>
    <w:uiPriority w:val="99"/>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84">
    <w:name w:val="Char Char Char Char Char Char Char"/>
    <w:basedOn w:val="1"/>
    <w:qFormat/>
    <w:uiPriority w:val="0"/>
    <w:rPr>
      <w:rFonts w:ascii="Tahoma" w:hAnsi="Tahoma"/>
      <w:sz w:val="24"/>
      <w:szCs w:val="20"/>
    </w:rPr>
  </w:style>
  <w:style w:type="paragraph" w:customStyle="1" w:styleId="85">
    <w:name w:val="Char Char Char Char Char Char Char Char Char Char Char Char1 Char"/>
    <w:basedOn w:val="17"/>
    <w:qFormat/>
    <w:uiPriority w:val="0"/>
    <w:rPr>
      <w:rFonts w:ascii="Tahoma" w:hAnsi="Tahoma"/>
      <w:sz w:val="24"/>
    </w:rPr>
  </w:style>
  <w:style w:type="paragraph" w:customStyle="1" w:styleId="86">
    <w:name w:val="正文－恩普"/>
    <w:basedOn w:val="6"/>
    <w:qFormat/>
    <w:uiPriority w:val="99"/>
    <w:pPr>
      <w:widowControl/>
      <w:spacing w:line="360" w:lineRule="auto"/>
      <w:ind w:firstLine="480" w:firstLineChars="200"/>
      <w:jc w:val="left"/>
    </w:pPr>
    <w:rPr>
      <w:kern w:val="0"/>
      <w:sz w:val="24"/>
    </w:rPr>
  </w:style>
  <w:style w:type="paragraph" w:customStyle="1" w:styleId="87">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88">
    <w:name w:val="Char"/>
    <w:basedOn w:val="1"/>
    <w:qFormat/>
    <w:uiPriority w:val="0"/>
    <w:pPr>
      <w:widowControl/>
      <w:spacing w:line="400" w:lineRule="exact"/>
      <w:jc w:val="center"/>
    </w:pPr>
    <w:rPr>
      <w:rFonts w:ascii="Verdana" w:hAnsi="Verdana"/>
      <w:kern w:val="0"/>
      <w:szCs w:val="20"/>
      <w:lang w:eastAsia="en-US"/>
    </w:rPr>
  </w:style>
  <w:style w:type="paragraph" w:customStyle="1" w:styleId="89">
    <w:name w:val="0表格样式"/>
    <w:basedOn w:val="1"/>
    <w:qFormat/>
    <w:uiPriority w:val="99"/>
    <w:pPr>
      <w:widowControl/>
      <w:jc w:val="left"/>
    </w:pPr>
    <w:rPr>
      <w:rFonts w:ascii="Calibri" w:hAnsi="Calibri" w:eastAsia="仿宋" w:cs="仿宋_GB2312"/>
    </w:rPr>
  </w:style>
  <w:style w:type="paragraph" w:customStyle="1" w:styleId="90">
    <w:name w:val="正文1"/>
    <w:basedOn w:val="1"/>
    <w:next w:val="1"/>
    <w:qFormat/>
    <w:uiPriority w:val="0"/>
    <w:pPr>
      <w:adjustRightInd w:val="0"/>
      <w:spacing w:line="318" w:lineRule="atLeast"/>
      <w:ind w:left="369" w:firstLine="369"/>
      <w:textAlignment w:val="baseline"/>
    </w:pPr>
    <w:rPr>
      <w:rFonts w:ascii="宋体"/>
      <w:szCs w:val="20"/>
    </w:rPr>
  </w:style>
  <w:style w:type="paragraph" w:customStyle="1" w:styleId="91">
    <w:name w:val="样式 正文缩进 + 首行缩进:  2 字符"/>
    <w:basedOn w:val="6"/>
    <w:qFormat/>
    <w:uiPriority w:val="99"/>
    <w:pPr>
      <w:spacing w:line="360" w:lineRule="auto"/>
      <w:ind w:firstLine="200"/>
    </w:pPr>
    <w:rPr>
      <w:sz w:val="24"/>
    </w:rPr>
  </w:style>
  <w:style w:type="paragraph" w:customStyle="1" w:styleId="92">
    <w:name w:val="列表段落1"/>
    <w:basedOn w:val="1"/>
    <w:qFormat/>
    <w:uiPriority w:val="99"/>
    <w:pPr>
      <w:ind w:firstLine="420" w:firstLineChars="200"/>
    </w:pPr>
  </w:style>
  <w:style w:type="paragraph" w:customStyle="1" w:styleId="93">
    <w:name w:val="样式5"/>
    <w:basedOn w:val="1"/>
    <w:qFormat/>
    <w:uiPriority w:val="99"/>
    <w:pPr>
      <w:spacing w:before="120" w:line="360" w:lineRule="auto"/>
      <w:ind w:firstLine="425" w:firstLineChars="177"/>
    </w:pPr>
    <w:rPr>
      <w:rFonts w:ascii="华文细黑" w:hAnsi="华文细黑" w:eastAsia="华文细黑"/>
      <w:sz w:val="24"/>
    </w:rPr>
  </w:style>
  <w:style w:type="paragraph" w:customStyle="1" w:styleId="94">
    <w:name w:val="_Style 9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5">
    <w:name w:val="Normal Char"/>
    <w:basedOn w:val="1"/>
    <w:qFormat/>
    <w:uiPriority w:val="99"/>
    <w:pPr>
      <w:suppressAutoHyphens/>
      <w:autoSpaceDE w:val="0"/>
      <w:jc w:val="left"/>
    </w:pPr>
    <w:rPr>
      <w:rFonts w:ascii="Thorndale" w:hAnsi="Thorndale" w:eastAsia="HG Mincho Light J"/>
      <w:color w:val="000000"/>
      <w:kern w:val="0"/>
      <w:sz w:val="20"/>
      <w:szCs w:val="20"/>
      <w:lang w:val="hu-HU"/>
    </w:rPr>
  </w:style>
  <w:style w:type="paragraph" w:customStyle="1" w:styleId="96">
    <w:name w:val="彩色列表 - 着色 11"/>
    <w:basedOn w:val="1"/>
    <w:qFormat/>
    <w:uiPriority w:val="99"/>
    <w:pPr>
      <w:ind w:firstLine="420" w:firstLineChars="200"/>
    </w:pPr>
    <w:rPr>
      <w:rFonts w:ascii="Calibri" w:hAnsi="Calibri"/>
      <w:szCs w:val="22"/>
    </w:rPr>
  </w:style>
  <w:style w:type="paragraph" w:customStyle="1" w:styleId="97">
    <w:name w:val="样式1"/>
    <w:basedOn w:val="8"/>
    <w:qFormat/>
    <w:uiPriority w:val="99"/>
  </w:style>
  <w:style w:type="paragraph" w:customStyle="1" w:styleId="98">
    <w:name w:val="正文段"/>
    <w:basedOn w:val="1"/>
    <w:qFormat/>
    <w:uiPriority w:val="99"/>
    <w:pPr>
      <w:widowControl/>
      <w:snapToGrid w:val="0"/>
      <w:spacing w:after="156" w:afterLines="50"/>
      <w:ind w:firstLine="200" w:firstLineChars="200"/>
    </w:pPr>
    <w:rPr>
      <w:kern w:val="0"/>
      <w:sz w:val="24"/>
      <w:szCs w:val="20"/>
    </w:rPr>
  </w:style>
  <w:style w:type="paragraph" w:customStyle="1" w:styleId="99">
    <w:name w:val="Char11"/>
    <w:basedOn w:val="1"/>
    <w:qFormat/>
    <w:uiPriority w:val="0"/>
    <w:pPr>
      <w:tabs>
        <w:tab w:val="left" w:pos="1200"/>
        <w:tab w:val="left" w:pos="1800"/>
      </w:tabs>
      <w:ind w:left="1200" w:hanging="1110"/>
    </w:pPr>
    <w:rPr>
      <w:sz w:val="24"/>
    </w:rPr>
  </w:style>
  <w:style w:type="paragraph" w:customStyle="1" w:styleId="100">
    <w:name w:val="默认段落字体 Para Char Char Char Char Char Char Char"/>
    <w:basedOn w:val="17"/>
    <w:qFormat/>
    <w:uiPriority w:val="0"/>
    <w:pPr>
      <w:adjustRightInd w:val="0"/>
      <w:spacing w:line="436" w:lineRule="exact"/>
      <w:ind w:left="357"/>
      <w:jc w:val="left"/>
      <w:outlineLvl w:val="3"/>
    </w:pPr>
    <w:rPr>
      <w:rFonts w:ascii="Tahoma" w:hAnsi="Tahoma"/>
      <w:b/>
      <w:sz w:val="24"/>
    </w:rPr>
  </w:style>
  <w:style w:type="paragraph" w:customStyle="1" w:styleId="101">
    <w:name w:val="Proposals body"/>
    <w:basedOn w:val="1"/>
    <w:next w:val="1"/>
    <w:qFormat/>
    <w:uiPriority w:val="99"/>
    <w:pPr>
      <w:spacing w:line="360" w:lineRule="auto"/>
      <w:ind w:firstLine="200" w:firstLineChars="200"/>
    </w:pPr>
    <w:rPr>
      <w:rFonts w:ascii="宋体"/>
      <w:snapToGrid w:val="0"/>
      <w:color w:val="000000"/>
      <w:sz w:val="24"/>
      <w:szCs w:val="20"/>
    </w:rPr>
  </w:style>
  <w:style w:type="paragraph" w:customStyle="1" w:styleId="102">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1"/>
    <w:basedOn w:val="1"/>
    <w:qFormat/>
    <w:uiPriority w:val="99"/>
    <w:rPr>
      <w:rFonts w:ascii="Tahoma" w:hAnsi="Tahoma"/>
      <w:sz w:val="24"/>
      <w:szCs w:val="20"/>
    </w:rPr>
  </w:style>
  <w:style w:type="paragraph" w:customStyle="1" w:styleId="104">
    <w:name w:val="列表段落11"/>
    <w:basedOn w:val="1"/>
    <w:qFormat/>
    <w:uiPriority w:val="99"/>
    <w:pPr>
      <w:ind w:firstLine="420" w:firstLineChars="200"/>
    </w:pPr>
    <w:rPr>
      <w:rFonts w:ascii="Calibri" w:hAnsi="Calibri"/>
    </w:rPr>
  </w:style>
  <w:style w:type="paragraph" w:customStyle="1" w:styleId="105">
    <w:name w:val="Char Char Char Char Char Char Char Char Char Char Char Char1 Char1"/>
    <w:basedOn w:val="17"/>
    <w:qFormat/>
    <w:uiPriority w:val="99"/>
    <w:rPr>
      <w:rFonts w:ascii="Tahoma" w:hAnsi="Tahoma"/>
      <w:sz w:val="24"/>
    </w:rPr>
  </w:style>
  <w:style w:type="paragraph" w:customStyle="1" w:styleId="106">
    <w:name w:val="图表"/>
    <w:qFormat/>
    <w:uiPriority w:val="99"/>
    <w:pPr>
      <w:spacing w:line="288" w:lineRule="auto"/>
      <w:jc w:val="both"/>
    </w:pPr>
    <w:rPr>
      <w:rFonts w:ascii="Times New Roman" w:hAnsi="Times New Roman" w:eastAsia="宋体" w:cs="Times New Roman"/>
      <w:kern w:val="2"/>
      <w:sz w:val="21"/>
      <w:szCs w:val="52"/>
      <w:lang w:val="en-US" w:eastAsia="zh-CN" w:bidi="ar-SA"/>
    </w:rPr>
  </w:style>
  <w:style w:type="paragraph" w:customStyle="1" w:styleId="107">
    <w:name w:val="_Style 104"/>
    <w:qFormat/>
    <w:uiPriority w:val="99"/>
    <w:rPr>
      <w:rFonts w:ascii="Times New Roman" w:hAnsi="Times New Roman" w:eastAsia="宋体" w:cs="Times New Roman"/>
      <w:kern w:val="2"/>
      <w:sz w:val="24"/>
      <w:lang w:val="en-US" w:eastAsia="zh-CN" w:bidi="ar-SA"/>
    </w:rPr>
  </w:style>
  <w:style w:type="paragraph" w:customStyle="1" w:styleId="108">
    <w:name w:val="Char Char Char Char Char Char1"/>
    <w:basedOn w:val="1"/>
    <w:qFormat/>
    <w:uiPriority w:val="99"/>
    <w:pPr>
      <w:ind w:firstLine="200" w:firstLineChars="200"/>
    </w:pPr>
    <w:rPr>
      <w:rFonts w:ascii="Tahoma" w:hAnsi="Tahoma"/>
      <w:sz w:val="24"/>
      <w:szCs w:val="20"/>
    </w:rPr>
  </w:style>
  <w:style w:type="paragraph" w:customStyle="1" w:styleId="109">
    <w:name w:val="招标_正文2"/>
    <w:basedOn w:val="1"/>
    <w:next w:val="1"/>
    <w:qFormat/>
    <w:uiPriority w:val="99"/>
    <w:pPr>
      <w:spacing w:line="360" w:lineRule="auto"/>
      <w:ind w:firstLine="480" w:firstLineChars="200"/>
    </w:pPr>
    <w:rPr>
      <w:rFonts w:ascii="Calibri" w:hAnsi="Calibri" w:eastAsia="仿宋_GB2312"/>
      <w:sz w:val="24"/>
    </w:rPr>
  </w:style>
  <w:style w:type="paragraph" w:customStyle="1" w:styleId="110">
    <w:name w:val="此正文"/>
    <w:basedOn w:val="1"/>
    <w:qFormat/>
    <w:uiPriority w:val="0"/>
    <w:pPr>
      <w:spacing w:line="360" w:lineRule="auto"/>
      <w:ind w:firstLine="200" w:firstLineChars="200"/>
    </w:pPr>
    <w:rPr>
      <w:sz w:val="24"/>
    </w:rPr>
  </w:style>
  <w:style w:type="paragraph" w:customStyle="1" w:styleId="1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自由格式 A"/>
    <w:qFormat/>
    <w:uiPriority w:val="99"/>
    <w:rPr>
      <w:rFonts w:ascii="Helvetica" w:hAnsi="Helvetica" w:eastAsia="ヒラギノ角ゴ Pro W3" w:cs="Times New Roman"/>
      <w:color w:val="000000"/>
      <w:sz w:val="24"/>
      <w:lang w:val="en-US" w:eastAsia="zh-CN" w:bidi="ar-SA"/>
    </w:rPr>
  </w:style>
  <w:style w:type="paragraph" w:customStyle="1" w:styleId="113">
    <w:name w:val="xl3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14">
    <w:name w:val="Char1"/>
    <w:basedOn w:val="1"/>
    <w:qFormat/>
    <w:uiPriority w:val="0"/>
  </w:style>
  <w:style w:type="paragraph" w:customStyle="1" w:styleId="115">
    <w:name w:val="Char12"/>
    <w:basedOn w:val="1"/>
    <w:qFormat/>
    <w:uiPriority w:val="99"/>
    <w:rPr>
      <w:rFonts w:ascii="Tahoma" w:hAnsi="Tahoma"/>
      <w:sz w:val="24"/>
      <w:szCs w:val="20"/>
    </w:rPr>
  </w:style>
  <w:style w:type="paragraph" w:customStyle="1" w:styleId="116">
    <w:name w:val="Table Paragraph"/>
    <w:basedOn w:val="1"/>
    <w:qFormat/>
    <w:uiPriority w:val="1"/>
    <w:pPr>
      <w:autoSpaceDE w:val="0"/>
      <w:autoSpaceDN w:val="0"/>
      <w:adjustRightInd w:val="0"/>
      <w:jc w:val="left"/>
    </w:pPr>
    <w:rPr>
      <w:kern w:val="0"/>
      <w:sz w:val="24"/>
      <w:szCs w:val="24"/>
    </w:rPr>
  </w:style>
  <w:style w:type="paragraph" w:customStyle="1" w:styleId="11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8">
    <w:name w:val="Item List in Table"/>
    <w:qFormat/>
    <w:uiPriority w:val="99"/>
    <w:pPr>
      <w:numPr>
        <w:ilvl w:val="0"/>
        <w:numId w:val="4"/>
      </w:numPr>
      <w:spacing w:before="40" w:after="40"/>
      <w:jc w:val="both"/>
    </w:pPr>
    <w:rPr>
      <w:rFonts w:ascii="Arial" w:hAnsi="Arial" w:eastAsia="宋体" w:cs="Arial"/>
      <w:sz w:val="18"/>
      <w:szCs w:val="18"/>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w:qFormat/>
    <w:uiPriority w:val="99"/>
    <w:pPr>
      <w:widowControl w:val="0"/>
    </w:pPr>
    <w:rPr>
      <w:rFonts w:ascii="Times New Roman" w:hAnsi="Times New Roman" w:eastAsia="宋体" w:cs="Calibri"/>
      <w:kern w:val="2"/>
      <w:sz w:val="24"/>
      <w:szCs w:val="24"/>
      <w:lang w:val="en-US" w:eastAsia="zh-TW" w:bidi="ar-SA"/>
    </w:rPr>
  </w:style>
  <w:style w:type="paragraph" w:customStyle="1" w:styleId="12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ÕýÎÄ"/>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2"/>
      <w:lang w:val="en-US" w:eastAsia="zh-CN" w:bidi="ar-SA"/>
    </w:rPr>
  </w:style>
  <w:style w:type="paragraph" w:customStyle="1" w:styleId="122">
    <w:name w:val="cm4"/>
    <w:basedOn w:val="1"/>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123">
    <w:name w:val="注：（正文）"/>
    <w:basedOn w:val="124"/>
    <w:next w:val="125"/>
    <w:qFormat/>
    <w:uiPriority w:val="99"/>
    <w:pPr>
      <w:numPr>
        <w:ilvl w:val="0"/>
        <w:numId w:val="5"/>
      </w:numPr>
    </w:pPr>
  </w:style>
  <w:style w:type="paragraph" w:customStyle="1" w:styleId="124">
    <w:name w:val="注："/>
    <w:next w:val="125"/>
    <w:qFormat/>
    <w:uiPriority w:val="99"/>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6">
    <w:name w:val="正文表标题"/>
    <w:next w:val="125"/>
    <w:qFormat/>
    <w:uiPriority w:val="99"/>
    <w:pPr>
      <w:tabs>
        <w:tab w:val="left" w:pos="360"/>
        <w:tab w:val="left" w:pos="525"/>
      </w:tabs>
      <w:spacing w:beforeLines="50" w:afterLines="50"/>
      <w:ind w:left="525" w:hanging="525"/>
      <w:jc w:val="center"/>
    </w:pPr>
    <w:rPr>
      <w:rFonts w:ascii="黑体" w:hAnsi="Times New Roman" w:eastAsia="黑体" w:cs="Times New Roman"/>
      <w:sz w:val="21"/>
      <w:lang w:val="en-US" w:eastAsia="zh-CN" w:bidi="ar-SA"/>
    </w:rPr>
  </w:style>
  <w:style w:type="paragraph" w:customStyle="1" w:styleId="127">
    <w:name w:val="字母编号列项（一级）"/>
    <w:qFormat/>
    <w:uiPriority w:val="99"/>
    <w:pPr>
      <w:numPr>
        <w:ilvl w:val="0"/>
        <w:numId w:val="7"/>
      </w:numPr>
      <w:tabs>
        <w:tab w:val="left" w:pos="840"/>
      </w:tabs>
      <w:jc w:val="both"/>
    </w:pPr>
    <w:rPr>
      <w:rFonts w:ascii="宋体" w:hAnsi="Times New Roman" w:eastAsia="宋体" w:cs="Times New Roman"/>
      <w:sz w:val="21"/>
      <w:szCs w:val="22"/>
      <w:lang w:val="en-US" w:eastAsia="zh-CN" w:bidi="ar-SA"/>
    </w:rPr>
  </w:style>
  <w:style w:type="paragraph" w:customStyle="1" w:styleId="128">
    <w:name w:val="默认段落字体 Para Char Char Char Char"/>
    <w:basedOn w:val="1"/>
    <w:qFormat/>
    <w:uiPriority w:val="0"/>
    <w:pPr>
      <w:spacing w:line="360" w:lineRule="auto"/>
      <w:ind w:firstLine="200" w:firstLineChars="200"/>
    </w:pPr>
    <w:rPr>
      <w:rFonts w:ascii="宋体" w:hAnsi="宋体" w:cs="宋体"/>
      <w:sz w:val="24"/>
      <w:szCs w:val="24"/>
    </w:rPr>
  </w:style>
  <w:style w:type="paragraph" w:customStyle="1" w:styleId="129">
    <w:name w:val="正文11"/>
    <w:basedOn w:val="1"/>
    <w:qFormat/>
    <w:uiPriority w:val="0"/>
    <w:pPr>
      <w:adjustRightInd w:val="0"/>
      <w:spacing w:line="318" w:lineRule="atLeast"/>
      <w:ind w:left="369" w:firstLine="369"/>
      <w:textAlignment w:val="baseline"/>
    </w:pPr>
    <w:rPr>
      <w:rFonts w:ascii="宋体"/>
      <w:szCs w:val="20"/>
    </w:rPr>
  </w:style>
  <w:style w:type="character" w:customStyle="1" w:styleId="130">
    <w:name w:val="正文文本缩进 字符"/>
    <w:link w:val="20"/>
    <w:qFormat/>
    <w:uiPriority w:val="0"/>
    <w:rPr>
      <w:rFonts w:ascii="宋体" w:hAnsi="Courier New"/>
      <w:spacing w:val="-4"/>
      <w:kern w:val="2"/>
      <w:sz w:val="18"/>
    </w:rPr>
  </w:style>
  <w:style w:type="character" w:customStyle="1" w:styleId="131">
    <w:name w:val="标题 1 字符"/>
    <w:link w:val="4"/>
    <w:qFormat/>
    <w:uiPriority w:val="0"/>
    <w:rPr>
      <w:b/>
      <w:bCs/>
      <w:kern w:val="44"/>
      <w:sz w:val="44"/>
      <w:szCs w:val="44"/>
    </w:rPr>
  </w:style>
  <w:style w:type="character" w:customStyle="1" w:styleId="132">
    <w:name w:val="标题 2 字符"/>
    <w:link w:val="5"/>
    <w:qFormat/>
    <w:uiPriority w:val="0"/>
    <w:rPr>
      <w:rFonts w:ascii="Arial" w:hAnsi="Arial" w:eastAsia="黑体"/>
      <w:b/>
      <w:bCs/>
      <w:kern w:val="2"/>
      <w:sz w:val="32"/>
      <w:szCs w:val="32"/>
      <w:lang w:val="en-US" w:eastAsia="zh-CN" w:bidi="ar-SA"/>
    </w:rPr>
  </w:style>
  <w:style w:type="character" w:customStyle="1" w:styleId="133">
    <w:name w:val="标题 3 字符"/>
    <w:link w:val="7"/>
    <w:qFormat/>
    <w:uiPriority w:val="0"/>
    <w:rPr>
      <w:b/>
      <w:kern w:val="2"/>
      <w:sz w:val="32"/>
    </w:rPr>
  </w:style>
  <w:style w:type="character" w:customStyle="1" w:styleId="134">
    <w:name w:val="标题 4 字符"/>
    <w:link w:val="8"/>
    <w:qFormat/>
    <w:uiPriority w:val="0"/>
    <w:rPr>
      <w:rFonts w:ascii="Arial" w:hAnsi="Arial" w:eastAsia="黑体"/>
      <w:b/>
      <w:bCs/>
      <w:kern w:val="2"/>
      <w:sz w:val="28"/>
      <w:szCs w:val="28"/>
    </w:rPr>
  </w:style>
  <w:style w:type="character" w:customStyle="1" w:styleId="135">
    <w:name w:val="标题 5 字符"/>
    <w:link w:val="9"/>
    <w:qFormat/>
    <w:uiPriority w:val="99"/>
    <w:rPr>
      <w:b/>
      <w:bCs/>
      <w:kern w:val="2"/>
      <w:sz w:val="24"/>
      <w:szCs w:val="28"/>
    </w:rPr>
  </w:style>
  <w:style w:type="character" w:customStyle="1" w:styleId="136">
    <w:name w:val="标题 6 字符"/>
    <w:link w:val="10"/>
    <w:qFormat/>
    <w:uiPriority w:val="99"/>
    <w:rPr>
      <w:rFonts w:ascii="Cambria" w:hAnsi="Cambria"/>
      <w:b/>
      <w:bCs/>
      <w:kern w:val="2"/>
      <w:sz w:val="24"/>
      <w:szCs w:val="21"/>
    </w:rPr>
  </w:style>
  <w:style w:type="character" w:customStyle="1" w:styleId="137">
    <w:name w:val="标题 7 字符"/>
    <w:link w:val="11"/>
    <w:qFormat/>
    <w:uiPriority w:val="9"/>
    <w:rPr>
      <w:b/>
      <w:bCs/>
      <w:kern w:val="2"/>
      <w:sz w:val="24"/>
      <w:szCs w:val="21"/>
    </w:rPr>
  </w:style>
  <w:style w:type="character" w:customStyle="1" w:styleId="138">
    <w:name w:val="标题 8 字符"/>
    <w:link w:val="12"/>
    <w:qFormat/>
    <w:uiPriority w:val="99"/>
    <w:rPr>
      <w:rFonts w:ascii="Calibri Light" w:hAnsi="Calibri Light"/>
      <w:kern w:val="2"/>
      <w:sz w:val="24"/>
      <w:szCs w:val="24"/>
    </w:rPr>
  </w:style>
  <w:style w:type="character" w:customStyle="1" w:styleId="139">
    <w:name w:val="标题 9 字符"/>
    <w:link w:val="13"/>
    <w:qFormat/>
    <w:uiPriority w:val="99"/>
    <w:rPr>
      <w:rFonts w:ascii="Calibri Light" w:hAnsi="Calibri Light"/>
      <w:kern w:val="2"/>
      <w:sz w:val="28"/>
      <w:szCs w:val="21"/>
    </w:rPr>
  </w:style>
  <w:style w:type="character" w:customStyle="1" w:styleId="140">
    <w:name w:val="正文缩进 字符"/>
    <w:link w:val="6"/>
    <w:qFormat/>
    <w:uiPriority w:val="99"/>
    <w:rPr>
      <w:kern w:val="2"/>
      <w:sz w:val="21"/>
    </w:rPr>
  </w:style>
  <w:style w:type="character" w:customStyle="1" w:styleId="141">
    <w:name w:val="文档结构图 字符"/>
    <w:link w:val="17"/>
    <w:qFormat/>
    <w:uiPriority w:val="99"/>
    <w:rPr>
      <w:kern w:val="2"/>
      <w:sz w:val="21"/>
      <w:szCs w:val="24"/>
      <w:shd w:val="clear" w:color="auto" w:fill="000080"/>
    </w:rPr>
  </w:style>
  <w:style w:type="character" w:customStyle="1" w:styleId="142">
    <w:name w:val="批注文字 字符"/>
    <w:link w:val="18"/>
    <w:qFormat/>
    <w:uiPriority w:val="99"/>
    <w:rPr>
      <w:kern w:val="2"/>
      <w:sz w:val="21"/>
    </w:rPr>
  </w:style>
  <w:style w:type="character" w:customStyle="1" w:styleId="143">
    <w:name w:val="正文文本 3 字符"/>
    <w:link w:val="19"/>
    <w:qFormat/>
    <w:uiPriority w:val="99"/>
    <w:rPr>
      <w:rFonts w:hAnsi="宋体" w:eastAsia="仿宋_GB2312"/>
      <w:b/>
      <w:bCs/>
      <w:kern w:val="2"/>
      <w:sz w:val="24"/>
    </w:rPr>
  </w:style>
  <w:style w:type="character" w:customStyle="1" w:styleId="144">
    <w:name w:val="正文文本 字符"/>
    <w:link w:val="2"/>
    <w:qFormat/>
    <w:uiPriority w:val="99"/>
    <w:rPr>
      <w:kern w:val="2"/>
      <w:sz w:val="28"/>
      <w:szCs w:val="24"/>
    </w:rPr>
  </w:style>
  <w:style w:type="character" w:customStyle="1" w:styleId="145">
    <w:name w:val="纯文本 字符"/>
    <w:link w:val="26"/>
    <w:qFormat/>
    <w:uiPriority w:val="0"/>
    <w:rPr>
      <w:rFonts w:ascii="宋体" w:hAnsi="Courier New" w:eastAsia="宋体"/>
      <w:kern w:val="2"/>
      <w:sz w:val="24"/>
      <w:szCs w:val="24"/>
      <w:lang w:val="en-US" w:eastAsia="zh-CN" w:bidi="ar-SA"/>
    </w:rPr>
  </w:style>
  <w:style w:type="character" w:customStyle="1" w:styleId="146">
    <w:name w:val="日期 字符"/>
    <w:link w:val="28"/>
    <w:qFormat/>
    <w:uiPriority w:val="99"/>
    <w:rPr>
      <w:rFonts w:eastAsia="楷体_GB2312"/>
      <w:kern w:val="2"/>
      <w:sz w:val="32"/>
    </w:rPr>
  </w:style>
  <w:style w:type="character" w:customStyle="1" w:styleId="147">
    <w:name w:val="正文文本缩进 2 字符"/>
    <w:link w:val="29"/>
    <w:qFormat/>
    <w:uiPriority w:val="99"/>
    <w:rPr>
      <w:rFonts w:ascii="仿宋_GB2312" w:hAnsi="宋体" w:cs="Arial"/>
      <w:b/>
      <w:bCs/>
      <w:color w:val="000000"/>
      <w:kern w:val="2"/>
      <w:sz w:val="24"/>
      <w:szCs w:val="24"/>
    </w:rPr>
  </w:style>
  <w:style w:type="character" w:customStyle="1" w:styleId="148">
    <w:name w:val="尾注文本 字符"/>
    <w:link w:val="30"/>
    <w:qFormat/>
    <w:uiPriority w:val="99"/>
    <w:rPr>
      <w:kern w:val="2"/>
      <w:sz w:val="21"/>
    </w:rPr>
  </w:style>
  <w:style w:type="character" w:customStyle="1" w:styleId="149">
    <w:name w:val="批注框文本 字符"/>
    <w:link w:val="31"/>
    <w:qFormat/>
    <w:uiPriority w:val="99"/>
    <w:rPr>
      <w:kern w:val="2"/>
      <w:sz w:val="18"/>
      <w:szCs w:val="18"/>
    </w:rPr>
  </w:style>
  <w:style w:type="character" w:customStyle="1" w:styleId="150">
    <w:name w:val="页脚 字符"/>
    <w:link w:val="32"/>
    <w:qFormat/>
    <w:uiPriority w:val="99"/>
    <w:rPr>
      <w:rFonts w:eastAsia="黑体"/>
      <w:snapToGrid w:val="0"/>
      <w:sz w:val="18"/>
      <w:szCs w:val="18"/>
      <w:lang w:val="en-US" w:eastAsia="zh-CN" w:bidi="ar-SA"/>
    </w:rPr>
  </w:style>
  <w:style w:type="character" w:customStyle="1" w:styleId="151">
    <w:name w:val="页眉 字符"/>
    <w:link w:val="33"/>
    <w:qFormat/>
    <w:uiPriority w:val="99"/>
    <w:rPr>
      <w:rFonts w:eastAsia="仿宋_GB2312"/>
      <w:kern w:val="2"/>
      <w:sz w:val="18"/>
    </w:rPr>
  </w:style>
  <w:style w:type="character" w:customStyle="1" w:styleId="152">
    <w:name w:val="脚注文本 字符"/>
    <w:link w:val="37"/>
    <w:qFormat/>
    <w:uiPriority w:val="0"/>
    <w:rPr>
      <w:kern w:val="2"/>
      <w:sz w:val="18"/>
      <w:szCs w:val="18"/>
    </w:rPr>
  </w:style>
  <w:style w:type="character" w:customStyle="1" w:styleId="153">
    <w:name w:val="正文文本缩进 3 字符"/>
    <w:link w:val="39"/>
    <w:qFormat/>
    <w:uiPriority w:val="99"/>
    <w:rPr>
      <w:rFonts w:ascii="仿宋_GB2312" w:hAnsi="宋体" w:eastAsia="仿宋_GB2312"/>
      <w:color w:val="000000"/>
      <w:kern w:val="2"/>
      <w:sz w:val="24"/>
      <w:szCs w:val="24"/>
    </w:rPr>
  </w:style>
  <w:style w:type="character" w:customStyle="1" w:styleId="154">
    <w:name w:val="正文文本 2 字符"/>
    <w:link w:val="42"/>
    <w:qFormat/>
    <w:uiPriority w:val="99"/>
    <w:rPr>
      <w:rFonts w:ascii="宋体" w:hAnsi="宋体"/>
      <w:color w:val="000000"/>
      <w:kern w:val="2"/>
      <w:sz w:val="24"/>
      <w:szCs w:val="24"/>
    </w:rPr>
  </w:style>
  <w:style w:type="character" w:customStyle="1" w:styleId="155">
    <w:name w:val="HTML 预设格式 字符"/>
    <w:link w:val="43"/>
    <w:qFormat/>
    <w:uiPriority w:val="0"/>
    <w:rPr>
      <w:rFonts w:ascii="宋体" w:hAnsi="宋体"/>
      <w:sz w:val="24"/>
      <w:szCs w:val="24"/>
    </w:rPr>
  </w:style>
  <w:style w:type="character" w:customStyle="1" w:styleId="156">
    <w:name w:val="标题 字符"/>
    <w:link w:val="45"/>
    <w:qFormat/>
    <w:uiPriority w:val="0"/>
    <w:rPr>
      <w:rFonts w:ascii="Cambria" w:hAnsi="Cambria"/>
      <w:b/>
      <w:bCs/>
      <w:kern w:val="2"/>
      <w:sz w:val="32"/>
      <w:szCs w:val="32"/>
    </w:rPr>
  </w:style>
  <w:style w:type="character" w:customStyle="1" w:styleId="157">
    <w:name w:val="批注主题 字符"/>
    <w:link w:val="46"/>
    <w:qFormat/>
    <w:uiPriority w:val="99"/>
  </w:style>
  <w:style w:type="character" w:customStyle="1" w:styleId="158">
    <w:name w:val="正文文本首行缩进 字符"/>
    <w:link w:val="3"/>
    <w:qFormat/>
    <w:uiPriority w:val="99"/>
    <w:rPr>
      <w:rFonts w:ascii="Calibri" w:hAnsi="Calibri"/>
      <w:kern w:val="2"/>
      <w:sz w:val="21"/>
      <w:szCs w:val="22"/>
    </w:rPr>
  </w:style>
  <w:style w:type="character" w:customStyle="1" w:styleId="159">
    <w:name w:val="正文文本首行缩进 2 字符"/>
    <w:link w:val="47"/>
    <w:qFormat/>
    <w:uiPriority w:val="99"/>
    <w:rPr>
      <w:kern w:val="2"/>
      <w:sz w:val="21"/>
      <w:szCs w:val="24"/>
    </w:rPr>
  </w:style>
  <w:style w:type="character" w:customStyle="1" w:styleId="160">
    <w:name w:val="正文文本首行缩进 字符1"/>
    <w:qFormat/>
    <w:uiPriority w:val="0"/>
    <w:rPr>
      <w:rFonts w:hint="default" w:ascii="Times New Roman" w:hAnsi="Times New Roman" w:eastAsia="宋体" w:cs="Times New Roman"/>
      <w:szCs w:val="21"/>
    </w:rPr>
  </w:style>
  <w:style w:type="character" w:customStyle="1" w:styleId="161">
    <w:name w:val="正文文本 字符1"/>
    <w:qFormat/>
    <w:uiPriority w:val="0"/>
  </w:style>
  <w:style w:type="character" w:customStyle="1" w:styleId="162">
    <w:name w:val="xxggcat"/>
    <w:qFormat/>
    <w:uiPriority w:val="0"/>
    <w:rPr>
      <w:color w:val="007E09"/>
    </w:rPr>
  </w:style>
  <w:style w:type="character" w:customStyle="1" w:styleId="163">
    <w:name w:val="cr4 Char Char"/>
    <w:link w:val="61"/>
    <w:qFormat/>
    <w:uiPriority w:val="0"/>
    <w:rPr>
      <w:rFonts w:ascii="黑体" w:hAnsi="宋体" w:eastAsia="黑体"/>
      <w:b/>
      <w:color w:val="000000"/>
      <w:sz w:val="28"/>
      <w:szCs w:val="28"/>
    </w:rPr>
  </w:style>
  <w:style w:type="character" w:customStyle="1" w:styleId="164">
    <w:name w:val="font31"/>
    <w:qFormat/>
    <w:uiPriority w:val="0"/>
    <w:rPr>
      <w:rFonts w:hint="default" w:ascii="Arial" w:hAnsi="Arial" w:cs="Arial"/>
      <w:b/>
      <w:color w:val="000000"/>
      <w:sz w:val="20"/>
      <w:szCs w:val="20"/>
      <w:u w:val="none"/>
    </w:rPr>
  </w:style>
  <w:style w:type="character" w:customStyle="1" w:styleId="165">
    <w:name w:val="列出段落 Char"/>
    <w:link w:val="62"/>
    <w:qFormat/>
    <w:uiPriority w:val="0"/>
    <w:rPr>
      <w:rFonts w:ascii="Calibri" w:hAnsi="Calibri"/>
      <w:kern w:val="2"/>
      <w:sz w:val="21"/>
      <w:szCs w:val="22"/>
    </w:rPr>
  </w:style>
  <w:style w:type="character" w:customStyle="1" w:styleId="166">
    <w:name w:val="正文文本缩进 字符1"/>
    <w:semiHidden/>
    <w:qFormat/>
    <w:uiPriority w:val="99"/>
    <w:rPr>
      <w:kern w:val="2"/>
      <w:sz w:val="21"/>
      <w:szCs w:val="24"/>
    </w:rPr>
  </w:style>
  <w:style w:type="character" w:customStyle="1" w:styleId="167">
    <w:name w:val="页眉 字符1"/>
    <w:qFormat/>
    <w:uiPriority w:val="0"/>
    <w:rPr>
      <w:kern w:val="2"/>
      <w:sz w:val="18"/>
      <w:szCs w:val="18"/>
    </w:rPr>
  </w:style>
  <w:style w:type="character" w:customStyle="1" w:styleId="168">
    <w:name w:val="MY正文 字符"/>
    <w:link w:val="63"/>
    <w:qFormat/>
    <w:uiPriority w:val="0"/>
    <w:rPr>
      <w:kern w:val="2"/>
      <w:sz w:val="24"/>
      <w:szCs w:val="22"/>
    </w:rPr>
  </w:style>
  <w:style w:type="character" w:customStyle="1" w:styleId="169">
    <w:name w:val="_Style 166"/>
    <w:unhideWhenUsed/>
    <w:qFormat/>
    <w:uiPriority w:val="99"/>
    <w:rPr>
      <w:color w:val="605E5C"/>
      <w:shd w:val="clear" w:color="auto" w:fill="E1DFDD"/>
    </w:rPr>
  </w:style>
  <w:style w:type="character" w:customStyle="1" w:styleId="170">
    <w:name w:val="Char Char1"/>
    <w:qFormat/>
    <w:uiPriority w:val="0"/>
    <w:rPr>
      <w:rFonts w:ascii="宋体" w:hAnsi="Courier New" w:eastAsia="宋体" w:cs="Courier New"/>
      <w:kern w:val="2"/>
      <w:sz w:val="21"/>
      <w:szCs w:val="21"/>
      <w:lang w:val="en-US" w:eastAsia="zh-CN" w:bidi="ar-SA"/>
    </w:rPr>
  </w:style>
  <w:style w:type="character" w:customStyle="1" w:styleId="171">
    <w:name w:val="批注文字 字符1"/>
    <w:semiHidden/>
    <w:qFormat/>
    <w:uiPriority w:val="99"/>
    <w:rPr>
      <w:kern w:val="2"/>
      <w:sz w:val="21"/>
      <w:szCs w:val="24"/>
    </w:rPr>
  </w:style>
  <w:style w:type="character" w:customStyle="1" w:styleId="172">
    <w:name w:val="批注框文本 字符1"/>
    <w:semiHidden/>
    <w:qFormat/>
    <w:uiPriority w:val="99"/>
    <w:rPr>
      <w:kern w:val="2"/>
      <w:sz w:val="18"/>
      <w:szCs w:val="18"/>
    </w:rPr>
  </w:style>
  <w:style w:type="character" w:customStyle="1" w:styleId="173">
    <w:name w:val="newsdate"/>
    <w:qFormat/>
    <w:uiPriority w:val="0"/>
  </w:style>
  <w:style w:type="character" w:customStyle="1" w:styleId="174">
    <w:name w:val="font21"/>
    <w:qFormat/>
    <w:uiPriority w:val="0"/>
    <w:rPr>
      <w:rFonts w:hint="eastAsia" w:ascii="宋体" w:hAnsi="宋体" w:eastAsia="宋体" w:cs="宋体"/>
      <w:color w:val="000000"/>
      <w:sz w:val="20"/>
      <w:szCs w:val="20"/>
      <w:u w:val="none"/>
    </w:rPr>
  </w:style>
  <w:style w:type="character" w:customStyle="1" w:styleId="175">
    <w:name w:val="普通文字 Char Char1"/>
    <w:qFormat/>
    <w:uiPriority w:val="0"/>
    <w:rPr>
      <w:rFonts w:ascii="宋体" w:hAnsi="Courier New" w:eastAsia="宋体"/>
      <w:kern w:val="2"/>
      <w:sz w:val="24"/>
      <w:szCs w:val="24"/>
      <w:lang w:val="en-US" w:eastAsia="zh-CN" w:bidi="ar-SA"/>
    </w:rPr>
  </w:style>
  <w:style w:type="character" w:customStyle="1" w:styleId="176">
    <w:name w:val="脚注文本 字符1"/>
    <w:semiHidden/>
    <w:qFormat/>
    <w:uiPriority w:val="99"/>
    <w:rPr>
      <w:kern w:val="2"/>
      <w:sz w:val="18"/>
      <w:szCs w:val="18"/>
    </w:rPr>
  </w:style>
  <w:style w:type="character" w:customStyle="1" w:styleId="177">
    <w:name w:val="尾注文本 字符1"/>
    <w:semiHidden/>
    <w:qFormat/>
    <w:uiPriority w:val="99"/>
    <w:rPr>
      <w:kern w:val="2"/>
      <w:sz w:val="21"/>
      <w:szCs w:val="24"/>
    </w:rPr>
  </w:style>
  <w:style w:type="character" w:customStyle="1" w:styleId="178">
    <w:name w:val="纯文本 字符1"/>
    <w:semiHidden/>
    <w:qFormat/>
    <w:uiPriority w:val="99"/>
    <w:rPr>
      <w:rFonts w:hint="eastAsia" w:ascii="等线" w:hAnsi="Courier New" w:eastAsia="等线" w:cs="Courier New"/>
      <w:kern w:val="2"/>
      <w:sz w:val="21"/>
      <w:szCs w:val="24"/>
    </w:rPr>
  </w:style>
  <w:style w:type="character" w:customStyle="1" w:styleId="179">
    <w:name w:val="GW-正文 Char"/>
    <w:link w:val="64"/>
    <w:qFormat/>
    <w:uiPriority w:val="0"/>
    <w:rPr>
      <w:rFonts w:eastAsia="仿宋_GB2312"/>
      <w:kern w:val="2"/>
      <w:sz w:val="24"/>
      <w:szCs w:val="24"/>
      <w:lang w:val="en-US" w:eastAsia="zh-CN" w:bidi="ar-SA"/>
    </w:rPr>
  </w:style>
  <w:style w:type="character" w:customStyle="1" w:styleId="180">
    <w:name w:val="正文-1 Char"/>
    <w:link w:val="65"/>
    <w:qFormat/>
    <w:uiPriority w:val="0"/>
    <w:rPr>
      <w:rFonts w:ascii="宋体" w:hAnsi="宋体"/>
      <w:sz w:val="21"/>
      <w:szCs w:val="21"/>
    </w:rPr>
  </w:style>
  <w:style w:type="character" w:customStyle="1" w:styleId="181">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82">
    <w:name w:val="不明显强调1"/>
    <w:qFormat/>
    <w:uiPriority w:val="0"/>
    <w:rPr>
      <w:i/>
      <w:iCs/>
      <w:color w:val="404040"/>
    </w:rPr>
  </w:style>
  <w:style w:type="character" w:customStyle="1" w:styleId="183">
    <w:name w:val="font01"/>
    <w:qFormat/>
    <w:uiPriority w:val="0"/>
    <w:rPr>
      <w:rFonts w:hint="eastAsia" w:ascii="宋体" w:hAnsi="宋体" w:eastAsia="宋体" w:cs="宋体"/>
      <w:color w:val="000000"/>
      <w:sz w:val="20"/>
      <w:szCs w:val="20"/>
      <w:u w:val="none"/>
    </w:rPr>
  </w:style>
  <w:style w:type="character" w:customStyle="1" w:styleId="184">
    <w:name w:val="列表段落 字符"/>
    <w:link w:val="66"/>
    <w:qFormat/>
    <w:uiPriority w:val="0"/>
    <w:rPr>
      <w:kern w:val="2"/>
      <w:sz w:val="21"/>
    </w:rPr>
  </w:style>
  <w:style w:type="character" w:customStyle="1" w:styleId="185">
    <w:name w:val="页脚 字符1"/>
    <w:qFormat/>
    <w:uiPriority w:val="99"/>
    <w:rPr>
      <w:kern w:val="2"/>
      <w:sz w:val="18"/>
      <w:szCs w:val="18"/>
    </w:rPr>
  </w:style>
  <w:style w:type="character" w:customStyle="1" w:styleId="186">
    <w:name w:val="表格 Char"/>
    <w:link w:val="67"/>
    <w:qFormat/>
    <w:uiPriority w:val="0"/>
    <w:rPr>
      <w:rFonts w:eastAsia="仿宋_GB2312"/>
      <w:sz w:val="24"/>
    </w:rPr>
  </w:style>
  <w:style w:type="character" w:customStyle="1" w:styleId="187">
    <w:name w:val="纯文本 Char"/>
    <w:qFormat/>
    <w:uiPriority w:val="0"/>
    <w:rPr>
      <w:rFonts w:ascii="宋体" w:hAnsi="Courier New" w:eastAsia="宋体"/>
      <w:kern w:val="2"/>
      <w:sz w:val="24"/>
      <w:szCs w:val="24"/>
      <w:lang w:val="en-US" w:eastAsia="zh-CN" w:bidi="ar-SA"/>
    </w:rPr>
  </w:style>
  <w:style w:type="character" w:customStyle="1" w:styleId="188">
    <w:name w:val="正文文本缩进 2 字符1"/>
    <w:semiHidden/>
    <w:qFormat/>
    <w:uiPriority w:val="99"/>
    <w:rPr>
      <w:kern w:val="2"/>
      <w:sz w:val="21"/>
      <w:szCs w:val="24"/>
    </w:rPr>
  </w:style>
  <w:style w:type="character" w:customStyle="1" w:styleId="189">
    <w:name w:val="cr3 Char Char"/>
    <w:link w:val="68"/>
    <w:qFormat/>
    <w:uiPriority w:val="99"/>
    <w:rPr>
      <w:rFonts w:eastAsia="黑体"/>
      <w:b/>
      <w:bCs/>
      <w:kern w:val="2"/>
      <w:sz w:val="32"/>
      <w:szCs w:val="32"/>
    </w:rPr>
  </w:style>
  <w:style w:type="character" w:customStyle="1" w:styleId="190">
    <w:name w:val="文档结构图 字符1"/>
    <w:semiHidden/>
    <w:qFormat/>
    <w:uiPriority w:val="99"/>
    <w:rPr>
      <w:rFonts w:hint="eastAsia" w:ascii="Microsoft YaHei UI" w:hAnsi="Microsoft YaHei UI" w:eastAsia="Microsoft YaHei UI"/>
      <w:kern w:val="2"/>
      <w:sz w:val="18"/>
      <w:szCs w:val="18"/>
    </w:rPr>
  </w:style>
  <w:style w:type="character" w:customStyle="1" w:styleId="191">
    <w:name w:val="工可正文 Char"/>
    <w:link w:val="69"/>
    <w:qFormat/>
    <w:uiPriority w:val="0"/>
    <w:rPr>
      <w:rFonts w:ascii="宋体" w:hAnsi="Courier New"/>
      <w:sz w:val="28"/>
    </w:rPr>
  </w:style>
  <w:style w:type="character" w:customStyle="1" w:styleId="192">
    <w:name w:val="批注主题 字符1"/>
    <w:semiHidden/>
    <w:qFormat/>
    <w:uiPriority w:val="99"/>
    <w:rPr>
      <w:b/>
      <w:bCs/>
      <w:kern w:val="2"/>
      <w:sz w:val="21"/>
      <w:szCs w:val="24"/>
    </w:rPr>
  </w:style>
  <w:style w:type="character" w:customStyle="1" w:styleId="193">
    <w:name w:val="纯文本 Char1"/>
    <w:qFormat/>
    <w:uiPriority w:val="0"/>
    <w:rPr>
      <w:rFonts w:ascii="宋体" w:hAnsi="Courier New" w:eastAsia="宋体" w:cs="Courier New"/>
      <w:kern w:val="2"/>
      <w:sz w:val="21"/>
      <w:szCs w:val="21"/>
      <w:lang w:val="en-US" w:eastAsia="zh-CN" w:bidi="ar-SA"/>
    </w:rPr>
  </w:style>
  <w:style w:type="character" w:customStyle="1" w:styleId="194">
    <w:name w:val="NormalCharacter"/>
    <w:qFormat/>
    <w:uiPriority w:val="0"/>
  </w:style>
  <w:style w:type="character" w:customStyle="1" w:styleId="195">
    <w:name w:val="未处理的提及1"/>
    <w:basedOn w:val="50"/>
    <w:semiHidden/>
    <w:unhideWhenUsed/>
    <w:qFormat/>
    <w:uiPriority w:val="99"/>
    <w:rPr>
      <w:color w:val="605E5C"/>
      <w:shd w:val="clear" w:color="auto" w:fill="E1DFDD"/>
    </w:rPr>
  </w:style>
  <w:style w:type="paragraph" w:customStyle="1" w:styleId="196">
    <w:name w:val="BodyText"/>
    <w:basedOn w:val="1"/>
    <w:next w:val="197"/>
    <w:qFormat/>
    <w:uiPriority w:val="0"/>
    <w:pPr>
      <w:spacing w:line="460" w:lineRule="exact"/>
      <w:textAlignment w:val="baseline"/>
    </w:pPr>
    <w:rPr>
      <w:rFonts w:eastAsia="黑体"/>
      <w:sz w:val="24"/>
    </w:rPr>
  </w:style>
  <w:style w:type="paragraph" w:customStyle="1" w:styleId="197">
    <w:name w:val="BodyText1I"/>
    <w:basedOn w:val="196"/>
    <w:next w:val="1"/>
    <w:qFormat/>
    <w:uiPriority w:val="0"/>
    <w:pPr>
      <w:spacing w:after="120" w:line="240" w:lineRule="auto"/>
      <w:ind w:firstLine="420" w:firstLineChars="100"/>
    </w:pPr>
    <w:rPr>
      <w:rFonts w:eastAsia="宋体"/>
      <w:sz w:val="21"/>
    </w:rPr>
  </w:style>
  <w:style w:type="character" w:customStyle="1" w:styleId="198">
    <w:name w:val="题注 字符"/>
    <w:link w:val="16"/>
    <w:qFormat/>
    <w:uiPriority w:val="0"/>
    <w:rPr>
      <w:rFonts w:ascii="Arial" w:hAnsi="Arial" w:eastAsia="黑体" w:cs="Arial"/>
      <w:kern w:val="2"/>
    </w:rPr>
  </w:style>
  <w:style w:type="paragraph" w:customStyle="1" w:styleId="199">
    <w:name w:val="BodyText1I2"/>
    <w:basedOn w:val="200"/>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200">
    <w:name w:val="BodyTextIndent"/>
    <w:basedOn w:val="1"/>
    <w:qFormat/>
    <w:uiPriority w:val="0"/>
    <w:pPr>
      <w:spacing w:line="380" w:lineRule="exact"/>
      <w:ind w:firstLine="480"/>
      <w:jc w:val="both"/>
      <w:textAlignment w:val="baseline"/>
    </w:pPr>
    <w:rPr>
      <w:rFonts w:ascii="Times New Roman" w:hAnsi="Times New Roman" w:eastAsia="方正书宋简体"/>
      <w:kern w:val="2"/>
      <w:sz w:val="24"/>
      <w:szCs w:val="24"/>
      <w:lang w:val="en-US" w:eastAsia="zh-CN" w:bidi="ar-SA"/>
    </w:rPr>
  </w:style>
  <w:style w:type="paragraph" w:customStyle="1" w:styleId="201">
    <w:name w:val="Plain Text"/>
    <w:basedOn w:val="1"/>
    <w:qFormat/>
    <w:uiPriority w:val="0"/>
    <w:rPr>
      <w:rFonts w:ascii="宋体" w:hAnsi="Courier New"/>
    </w:rPr>
  </w:style>
  <w:style w:type="paragraph" w:customStyle="1" w:styleId="202">
    <w:name w:val="Normal (Web)"/>
    <w:basedOn w:val="1"/>
    <w:qFormat/>
    <w:uiPriority w:val="0"/>
    <w:pPr>
      <w:adjustRightInd w:val="0"/>
      <w:spacing w:line="360" w:lineRule="auto"/>
      <w:textAlignment w:val="baseline"/>
    </w:pPr>
    <w:rPr>
      <w:rFonts w:hAnsi="Calibri" w:eastAsia="仿宋"/>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53</Pages>
  <Words>24913</Words>
  <Characters>26484</Characters>
  <Lines>245</Lines>
  <Paragraphs>68</Paragraphs>
  <TotalTime>2</TotalTime>
  <ScaleCrop>false</ScaleCrop>
  <LinksUpToDate>false</LinksUpToDate>
  <CharactersWithSpaces>28304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2021-03-03T07:16:00Z</dcterms:created>
  <dc:creator>黄旭明</dc:creator>
  <cp:lastModifiedBy>朱宇超</cp:lastModifiedBy>
  <cp:lastPrinted>2023-05-08T01:02:56Z</cp:lastPrinted>
  <dcterms:modified xsi:type="dcterms:W3CDTF">2023-05-08T01:12:09Z</dcterms:modified>
  <dc:title>                                                </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92BA842339BF497683A9EE353549A6C8_13</vt:lpwstr>
  </property>
</Properties>
</file>