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58"/>
        <w:jc w:val="center"/>
        <w:rPr>
          <w:rFonts w:hint="eastAsia" w:hAnsi="宋体"/>
          <w:sz w:val="64"/>
          <w:szCs w:val="72"/>
          <w:highlight w:val="none"/>
        </w:rPr>
      </w:pPr>
      <w:bookmarkStart w:id="0" w:name="_Toc355766558"/>
      <w:bookmarkStart w:id="1" w:name="_Toc484598036"/>
      <w:bookmarkStart w:id="2" w:name="_Toc487121754"/>
      <w:bookmarkStart w:id="3" w:name="_Toc484598365"/>
      <w:bookmarkStart w:id="158" w:name="_GoBack"/>
      <w:bookmarkEnd w:id="158"/>
    </w:p>
    <w:p>
      <w:pPr>
        <w:spacing w:after="120"/>
        <w:ind w:right="-58"/>
        <w:jc w:val="center"/>
        <w:rPr>
          <w:rFonts w:hint="eastAsia" w:hAnsi="宋体"/>
          <w:sz w:val="64"/>
          <w:szCs w:val="72"/>
          <w:highlight w:val="none"/>
        </w:rPr>
      </w:pPr>
    </w:p>
    <w:p>
      <w:pPr>
        <w:spacing w:after="120"/>
        <w:ind w:right="-58"/>
        <w:jc w:val="center"/>
        <w:rPr>
          <w:rFonts w:hint="eastAsia"/>
          <w:sz w:val="44"/>
          <w:szCs w:val="44"/>
          <w:highlight w:val="none"/>
        </w:rPr>
      </w:pPr>
      <w:r>
        <w:rPr>
          <w:rFonts w:hint="eastAsia" w:hAnsi="宋体"/>
          <w:sz w:val="64"/>
          <w:szCs w:val="72"/>
          <w:highlight w:val="none"/>
        </w:rPr>
        <w:t>公开招标采购文件</w:t>
      </w:r>
    </w:p>
    <w:p>
      <w:pPr>
        <w:spacing w:after="120"/>
        <w:ind w:right="-58"/>
        <w:jc w:val="center"/>
        <w:rPr>
          <w:rFonts w:hint="eastAsia"/>
          <w:sz w:val="44"/>
          <w:szCs w:val="44"/>
          <w:highlight w:val="none"/>
        </w:rPr>
      </w:pPr>
    </w:p>
    <w:p>
      <w:pPr>
        <w:spacing w:line="360" w:lineRule="auto"/>
        <w:rPr>
          <w:rFonts w:hint="eastAsia" w:ascii="宋体" w:hAnsi="宋体"/>
          <w:b/>
          <w:sz w:val="32"/>
          <w:szCs w:val="32"/>
          <w:highlight w:val="none"/>
        </w:rPr>
      </w:pPr>
    </w:p>
    <w:p>
      <w:pPr>
        <w:spacing w:line="360" w:lineRule="auto"/>
        <w:rPr>
          <w:rFonts w:ascii="宋体" w:hAnsi="宋体"/>
          <w:b/>
          <w:sz w:val="32"/>
          <w:szCs w:val="32"/>
          <w:highlight w:val="none"/>
          <w:u w:val="single"/>
        </w:rPr>
      </w:pPr>
      <w:r>
        <w:rPr>
          <w:rFonts w:hint="eastAsia" w:ascii="宋体" w:hAnsi="宋体"/>
          <w:b/>
          <w:sz w:val="32"/>
          <w:szCs w:val="32"/>
          <w:highlight w:val="none"/>
        </w:rPr>
        <w:t>项目编号：</w:t>
      </w:r>
      <w:r>
        <w:rPr>
          <w:rFonts w:hint="eastAsia" w:ascii="宋体" w:hAnsi="宋体"/>
          <w:b/>
          <w:sz w:val="32"/>
          <w:szCs w:val="32"/>
          <w:highlight w:val="none"/>
          <w:u w:val="single"/>
        </w:rPr>
        <w:t xml:space="preserve">               NG-G2022029                </w:t>
      </w:r>
    </w:p>
    <w:p>
      <w:pPr>
        <w:spacing w:line="360" w:lineRule="auto"/>
        <w:rPr>
          <w:rFonts w:hint="eastAsia" w:ascii="宋体" w:hAnsi="宋体"/>
          <w:b/>
          <w:sz w:val="32"/>
          <w:szCs w:val="32"/>
          <w:highlight w:val="none"/>
        </w:rPr>
      </w:pPr>
    </w:p>
    <w:p>
      <w:pPr>
        <w:spacing w:line="360" w:lineRule="auto"/>
        <w:rPr>
          <w:rFonts w:hint="eastAsia" w:ascii="宋体" w:hAnsi="宋体"/>
          <w:b/>
          <w:sz w:val="32"/>
          <w:szCs w:val="32"/>
          <w:highlight w:val="none"/>
        </w:rPr>
      </w:pPr>
    </w:p>
    <w:p>
      <w:pPr>
        <w:spacing w:line="360" w:lineRule="auto"/>
        <w:rPr>
          <w:rFonts w:hint="eastAsia" w:ascii="宋体" w:hAnsi="宋体"/>
          <w:b/>
          <w:sz w:val="32"/>
          <w:szCs w:val="32"/>
          <w:highlight w:val="none"/>
          <w:u w:val="single"/>
        </w:rPr>
      </w:pPr>
      <w:r>
        <w:rPr>
          <w:rFonts w:hint="eastAsia" w:ascii="宋体" w:hAnsi="宋体"/>
          <w:b/>
          <w:sz w:val="32"/>
          <w:szCs w:val="32"/>
          <w:highlight w:val="none"/>
        </w:rPr>
        <w:t>项目名称：</w:t>
      </w:r>
      <w:r>
        <w:rPr>
          <w:rFonts w:hint="eastAsia" w:ascii="宋体" w:hAnsi="宋体"/>
          <w:b/>
          <w:sz w:val="32"/>
          <w:szCs w:val="32"/>
          <w:highlight w:val="none"/>
          <w:u w:val="single"/>
        </w:rPr>
        <w:t>宁波市反电诈全维智控平台（一期）—“96110”全民反诈等应用及数据资源建设</w:t>
      </w:r>
      <w:r>
        <w:rPr>
          <w:rFonts w:hint="eastAsia" w:ascii="宋体" w:hAnsi="宋体"/>
          <w:b/>
          <w:sz w:val="32"/>
          <w:szCs w:val="32"/>
          <w:highlight w:val="none"/>
        </w:rPr>
        <w:t xml:space="preserve">                </w:t>
      </w:r>
    </w:p>
    <w:p>
      <w:pPr>
        <w:rPr>
          <w:rFonts w:hint="eastAsia"/>
          <w:highlight w:val="none"/>
        </w:rPr>
      </w:pPr>
    </w:p>
    <w:p>
      <w:pPr>
        <w:rPr>
          <w:rFonts w:hint="eastAsia"/>
          <w:highlight w:val="none"/>
        </w:rPr>
      </w:pPr>
    </w:p>
    <w:p>
      <w:pPr>
        <w:rPr>
          <w:rFonts w:hint="eastAsia"/>
          <w:highlight w:val="none"/>
        </w:rPr>
      </w:pPr>
    </w:p>
    <w:p>
      <w:pPr>
        <w:ind w:right="-58"/>
        <w:rPr>
          <w:rFonts w:hint="eastAsia"/>
          <w:highlight w:val="none"/>
        </w:rPr>
      </w:pPr>
    </w:p>
    <w:p>
      <w:pPr>
        <w:ind w:right="-58"/>
        <w:rPr>
          <w:rFonts w:hint="eastAsia"/>
          <w:highlight w:val="none"/>
        </w:rPr>
      </w:pPr>
    </w:p>
    <w:p>
      <w:pPr>
        <w:spacing w:line="360" w:lineRule="auto"/>
        <w:rPr>
          <w:rFonts w:ascii="宋体" w:hAnsi="宋体"/>
          <w:b/>
          <w:sz w:val="32"/>
          <w:szCs w:val="32"/>
          <w:highlight w:val="none"/>
          <w:u w:val="single"/>
        </w:rPr>
      </w:pPr>
      <w:r>
        <w:rPr>
          <w:rFonts w:hint="eastAsia" w:ascii="宋体" w:hAnsi="宋体"/>
          <w:b/>
          <w:sz w:val="32"/>
          <w:szCs w:val="32"/>
          <w:highlight w:val="none"/>
        </w:rPr>
        <w:t>采 购 人：</w:t>
      </w:r>
      <w:r>
        <w:rPr>
          <w:rFonts w:hint="eastAsia" w:ascii="宋体" w:hAnsi="宋体"/>
          <w:b/>
          <w:sz w:val="32"/>
          <w:szCs w:val="32"/>
          <w:highlight w:val="none"/>
          <w:u w:val="single"/>
        </w:rPr>
        <w:t xml:space="preserve">            宁波市公安局                        </w:t>
      </w:r>
    </w:p>
    <w:p>
      <w:pPr>
        <w:ind w:right="-58"/>
        <w:rPr>
          <w:rFonts w:hint="eastAsia"/>
          <w:highlight w:val="none"/>
        </w:rPr>
      </w:pPr>
    </w:p>
    <w:p>
      <w:pPr>
        <w:rPr>
          <w:rFonts w:hint="eastAsia"/>
          <w:highlight w:val="none"/>
        </w:rPr>
      </w:pPr>
    </w:p>
    <w:p>
      <w:pPr>
        <w:rPr>
          <w:rFonts w:hint="eastAsia"/>
          <w:highlight w:val="none"/>
        </w:rPr>
      </w:pPr>
    </w:p>
    <w:p>
      <w:pPr>
        <w:rPr>
          <w:rFonts w:hint="eastAsia"/>
          <w:highlight w:val="none"/>
        </w:rPr>
      </w:pPr>
    </w:p>
    <w:p>
      <w:pPr>
        <w:ind w:right="-58"/>
        <w:rPr>
          <w:highlight w:val="none"/>
        </w:rPr>
      </w:pPr>
    </w:p>
    <w:p>
      <w:pPr>
        <w:spacing w:line="360" w:lineRule="auto"/>
        <w:rPr>
          <w:rFonts w:ascii="宋体" w:hAnsi="宋体"/>
          <w:b/>
          <w:sz w:val="32"/>
          <w:szCs w:val="32"/>
          <w:highlight w:val="none"/>
        </w:rPr>
      </w:pPr>
      <w:r>
        <w:rPr>
          <w:rFonts w:hint="eastAsia" w:ascii="宋体" w:hAnsi="宋体"/>
          <w:b/>
          <w:sz w:val="32"/>
          <w:szCs w:val="32"/>
          <w:highlight w:val="none"/>
        </w:rPr>
        <w:t>采购代理机构：</w:t>
      </w:r>
      <w:r>
        <w:rPr>
          <w:rFonts w:hint="eastAsia" w:ascii="宋体" w:hAnsi="宋体"/>
          <w:b/>
          <w:sz w:val="32"/>
          <w:szCs w:val="32"/>
          <w:highlight w:val="none"/>
          <w:u w:val="single"/>
        </w:rPr>
        <w:t xml:space="preserve">    宁波高正工程管理有限公司         </w:t>
      </w:r>
    </w:p>
    <w:p>
      <w:pPr>
        <w:ind w:right="-58"/>
        <w:jc w:val="center"/>
        <w:rPr>
          <w:rFonts w:hint="eastAsia" w:ascii="Arial" w:hAnsi="Arial" w:cs="Arial"/>
          <w:szCs w:val="21"/>
          <w:highlight w:val="none"/>
          <w:shd w:val="clear" w:color="auto" w:fill="F5FAFF"/>
        </w:rPr>
      </w:pPr>
      <w:bookmarkStart w:id="4" w:name="_Toc263631710"/>
    </w:p>
    <w:p>
      <w:pPr>
        <w:ind w:right="-58"/>
        <w:jc w:val="center"/>
        <w:rPr>
          <w:b/>
          <w:snapToGrid w:val="0"/>
          <w:sz w:val="30"/>
          <w:szCs w:val="30"/>
          <w:highlight w:val="none"/>
        </w:rPr>
      </w:pPr>
      <w:r>
        <w:rPr>
          <w:rFonts w:hint="eastAsia" w:hAnsi="宋体"/>
          <w:b/>
          <w:snapToGrid w:val="0"/>
          <w:sz w:val="30"/>
          <w:szCs w:val="30"/>
          <w:highlight w:val="none"/>
        </w:rPr>
        <w:t>2022</w:t>
      </w:r>
      <w:r>
        <w:rPr>
          <w:rFonts w:hAnsi="宋体"/>
          <w:b/>
          <w:snapToGrid w:val="0"/>
          <w:sz w:val="30"/>
          <w:szCs w:val="30"/>
          <w:highlight w:val="none"/>
        </w:rPr>
        <w:t>年</w:t>
      </w:r>
      <w:r>
        <w:rPr>
          <w:rFonts w:hint="eastAsia" w:hAnsi="宋体"/>
          <w:b/>
          <w:snapToGrid w:val="0"/>
          <w:sz w:val="30"/>
          <w:szCs w:val="30"/>
          <w:highlight w:val="none"/>
        </w:rPr>
        <w:t>06</w:t>
      </w:r>
      <w:r>
        <w:rPr>
          <w:rFonts w:hAnsi="宋体"/>
          <w:b/>
          <w:snapToGrid w:val="0"/>
          <w:sz w:val="30"/>
          <w:szCs w:val="30"/>
          <w:highlight w:val="none"/>
        </w:rPr>
        <w:t>月</w:t>
      </w:r>
    </w:p>
    <w:p>
      <w:pPr>
        <w:ind w:right="-58"/>
        <w:jc w:val="center"/>
        <w:rPr>
          <w:sz w:val="28"/>
          <w:szCs w:val="28"/>
          <w:highlight w:val="none"/>
        </w:rPr>
      </w:pPr>
    </w:p>
    <w:p>
      <w:pPr>
        <w:spacing w:line="1200" w:lineRule="exact"/>
        <w:jc w:val="center"/>
        <w:rPr>
          <w:rFonts w:hint="eastAsia"/>
          <w:b/>
          <w:sz w:val="72"/>
          <w:szCs w:val="72"/>
          <w:highlight w:val="none"/>
        </w:rPr>
      </w:pPr>
      <w:bookmarkStart w:id="5" w:name="_Toc354902391"/>
      <w:bookmarkStart w:id="6" w:name="_Toc367800226"/>
      <w:r>
        <w:rPr>
          <w:rFonts w:hAnsi="宋体"/>
          <w:sz w:val="32"/>
          <w:szCs w:val="32"/>
          <w:highlight w:val="none"/>
        </w:rPr>
        <w:br w:type="page"/>
      </w:r>
      <w:r>
        <w:rPr>
          <w:rFonts w:hint="eastAsia"/>
          <w:b/>
          <w:sz w:val="72"/>
          <w:szCs w:val="72"/>
          <w:highlight w:val="none"/>
        </w:rPr>
        <w:t>温馨提醒</w:t>
      </w:r>
    </w:p>
    <w:p>
      <w:pPr>
        <w:spacing w:line="1200" w:lineRule="exact"/>
        <w:jc w:val="center"/>
        <w:rPr>
          <w:rFonts w:hint="eastAsia"/>
          <w:b/>
          <w:sz w:val="52"/>
          <w:szCs w:val="52"/>
          <w:highlight w:val="none"/>
        </w:rPr>
      </w:pPr>
    </w:p>
    <w:p>
      <w:pPr>
        <w:numPr>
          <w:ilvl w:val="0"/>
          <w:numId w:val="2"/>
        </w:numPr>
        <w:spacing w:line="1000" w:lineRule="exact"/>
        <w:jc w:val="left"/>
        <w:rPr>
          <w:rFonts w:hint="eastAsia"/>
          <w:b/>
          <w:sz w:val="30"/>
          <w:szCs w:val="30"/>
          <w:highlight w:val="none"/>
        </w:rPr>
      </w:pPr>
      <w:r>
        <w:rPr>
          <w:rFonts w:hint="eastAsia"/>
          <w:b/>
          <w:sz w:val="30"/>
          <w:szCs w:val="30"/>
          <w:highlight w:val="none"/>
        </w:rPr>
        <w:t>投标文件应按招标采购文件要求将“资格文件”、“商务技术文件”、“报价文件”分别编制。</w:t>
      </w:r>
    </w:p>
    <w:p>
      <w:pPr>
        <w:spacing w:line="1000" w:lineRule="exact"/>
        <w:jc w:val="left"/>
        <w:rPr>
          <w:b/>
          <w:sz w:val="30"/>
          <w:szCs w:val="30"/>
          <w:highlight w:val="none"/>
        </w:rPr>
      </w:pPr>
      <w:r>
        <w:rPr>
          <w:b/>
          <w:sz w:val="30"/>
          <w:szCs w:val="30"/>
          <w:highlight w:val="none"/>
        </w:rPr>
        <w:t>2</w:t>
      </w:r>
      <w:r>
        <w:rPr>
          <w:rFonts w:hint="eastAsia"/>
          <w:b/>
          <w:sz w:val="30"/>
          <w:szCs w:val="30"/>
          <w:highlight w:val="none"/>
        </w:rPr>
        <w:t>、“商务技术文件”中不得出现涉及报价的内容，否则作无效报价处理。</w:t>
      </w:r>
    </w:p>
    <w:p>
      <w:pPr>
        <w:spacing w:line="1000" w:lineRule="exact"/>
        <w:jc w:val="left"/>
        <w:rPr>
          <w:rFonts w:hint="eastAsia"/>
          <w:b/>
          <w:sz w:val="30"/>
          <w:szCs w:val="30"/>
          <w:highlight w:val="none"/>
        </w:rPr>
      </w:pPr>
      <w:r>
        <w:rPr>
          <w:b/>
          <w:sz w:val="30"/>
          <w:szCs w:val="30"/>
          <w:highlight w:val="none"/>
        </w:rPr>
        <w:t>3</w:t>
      </w:r>
      <w:r>
        <w:rPr>
          <w:rFonts w:hint="eastAsia"/>
          <w:b/>
          <w:sz w:val="30"/>
          <w:szCs w:val="30"/>
          <w:highlight w:val="none"/>
        </w:rPr>
        <w:t>、采购人可以对已发出的招标采购文件进行必要的澄清或者修改，将以“更正公告”的形式发布在政采云平台，供应商应及时登录政采云平台，进行浏览并下载，未及时浏览下载的责任自负。</w:t>
      </w:r>
    </w:p>
    <w:p>
      <w:pPr>
        <w:spacing w:line="1000" w:lineRule="exact"/>
        <w:jc w:val="left"/>
        <w:rPr>
          <w:rFonts w:hint="eastAsia"/>
          <w:b/>
          <w:sz w:val="30"/>
          <w:szCs w:val="30"/>
          <w:highlight w:val="none"/>
        </w:rPr>
      </w:pPr>
      <w:r>
        <w:rPr>
          <w:b/>
          <w:sz w:val="30"/>
          <w:szCs w:val="30"/>
          <w:highlight w:val="none"/>
        </w:rPr>
        <w:t>4</w:t>
      </w:r>
      <w:r>
        <w:rPr>
          <w:rFonts w:hint="eastAsia"/>
          <w:b/>
          <w:sz w:val="30"/>
          <w:szCs w:val="30"/>
          <w:highlight w:val="none"/>
        </w:rPr>
        <w:t>、建议供应商自带电脑，以便于报价现场解密电子投标文件。</w:t>
      </w:r>
    </w:p>
    <w:p>
      <w:pPr>
        <w:snapToGrid w:val="0"/>
        <w:spacing w:before="285" w:beforeLines="100" w:after="570" w:afterLines="200"/>
        <w:jc w:val="center"/>
        <w:rPr>
          <w:sz w:val="32"/>
          <w:szCs w:val="32"/>
          <w:highlight w:val="none"/>
        </w:rPr>
      </w:pPr>
      <w:r>
        <w:rPr>
          <w:rFonts w:hAnsi="宋体"/>
          <w:sz w:val="32"/>
          <w:szCs w:val="32"/>
          <w:highlight w:val="none"/>
        </w:rPr>
        <w:br w:type="page"/>
      </w:r>
      <w:r>
        <w:rPr>
          <w:rFonts w:hAnsi="宋体"/>
          <w:sz w:val="32"/>
          <w:szCs w:val="32"/>
          <w:highlight w:val="none"/>
        </w:rPr>
        <w:t>目</w:t>
      </w:r>
      <w:r>
        <w:rPr>
          <w:sz w:val="32"/>
          <w:szCs w:val="32"/>
          <w:highlight w:val="none"/>
        </w:rPr>
        <w:t xml:space="preserve">    </w:t>
      </w:r>
      <w:r>
        <w:rPr>
          <w:rFonts w:hAnsi="宋体"/>
          <w:sz w:val="32"/>
          <w:szCs w:val="32"/>
          <w:highlight w:val="none"/>
        </w:rPr>
        <w:t>录</w:t>
      </w:r>
      <w:bookmarkEnd w:id="4"/>
      <w:bookmarkEnd w:id="5"/>
      <w:bookmarkEnd w:id="6"/>
    </w:p>
    <w:p>
      <w:pPr>
        <w:pStyle w:val="20"/>
        <w:tabs>
          <w:tab w:val="right" w:leader="dot" w:pos="8307"/>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"1-1" \h \z \u </w:instrText>
      </w:r>
      <w:r>
        <w:rPr>
          <w:rFonts w:hint="eastAsia" w:ascii="宋体" w:hAnsi="宋体" w:cs="宋体"/>
          <w:sz w:val="28"/>
          <w:szCs w:val="28"/>
          <w:highlight w:val="none"/>
        </w:rPr>
        <w:fldChar w:fldCharType="separate"/>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_Toc25405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第一章 采购公告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_Toc25405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0"/>
        <w:tabs>
          <w:tab w:val="right" w:leader="dot" w:pos="8307"/>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_Toc13741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第二章  投标资料表</w:t>
      </w:r>
      <w:r>
        <w:rPr>
          <w:rFonts w:hint="eastAsia" w:ascii="宋体" w:hAnsi="宋体" w:cs="宋体"/>
          <w:sz w:val="28"/>
          <w:szCs w:val="28"/>
          <w:highlight w:val="none"/>
        </w:rPr>
        <w:tab/>
      </w:r>
      <w:r>
        <w:rPr>
          <w:rFonts w:hint="eastAsia" w:ascii="宋体" w:hAnsi="宋体" w:cs="宋体"/>
          <w:sz w:val="28"/>
          <w:szCs w:val="28"/>
          <w:highlight w:val="none"/>
        </w:rPr>
        <w:t>5</w:t>
      </w:r>
      <w:r>
        <w:rPr>
          <w:rFonts w:hint="eastAsia" w:ascii="宋体" w:hAnsi="宋体" w:cs="宋体"/>
          <w:sz w:val="28"/>
          <w:szCs w:val="28"/>
          <w:highlight w:val="none"/>
        </w:rPr>
        <w:fldChar w:fldCharType="end"/>
      </w:r>
    </w:p>
    <w:p>
      <w:pPr>
        <w:pStyle w:val="20"/>
        <w:tabs>
          <w:tab w:val="right" w:leader="dot" w:pos="8307"/>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_Toc24502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第三章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_Toc24502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0"/>
        <w:tabs>
          <w:tab w:val="right" w:leader="dot" w:pos="8307"/>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_Toc26684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第四章  合同条款</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_Toc26684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0"/>
        <w:tabs>
          <w:tab w:val="right" w:leader="dot" w:pos="8307"/>
        </w:tabs>
        <w:spacing w:line="48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_Toc15035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_Toc15035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3</w:t>
      </w:r>
    </w:p>
    <w:p>
      <w:pPr>
        <w:pStyle w:val="20"/>
        <w:tabs>
          <w:tab w:val="right" w:leader="dot" w:pos="8307"/>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_Toc16183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第六章  评定成交的标准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_Toc16183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0"/>
        <w:tabs>
          <w:tab w:val="right" w:leader="dot" w:pos="8307"/>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_Toc16504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第七章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_Toc16504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0"/>
        <w:tabs>
          <w:tab w:val="right" w:leader="dot" w:pos="8834"/>
        </w:tabs>
        <w:adjustRightInd w:val="0"/>
        <w:snapToGrid w:val="0"/>
        <w:spacing w:line="480" w:lineRule="auto"/>
        <w:rPr>
          <w:sz w:val="24"/>
          <w:szCs w:val="24"/>
          <w:highlight w:val="none"/>
        </w:rPr>
      </w:pPr>
      <w:r>
        <w:rPr>
          <w:rFonts w:hint="eastAsia" w:ascii="宋体" w:hAnsi="宋体" w:cs="宋体"/>
          <w:sz w:val="28"/>
          <w:szCs w:val="28"/>
          <w:highlight w:val="none"/>
        </w:rPr>
        <w:fldChar w:fldCharType="end"/>
      </w:r>
    </w:p>
    <w:p>
      <w:pPr>
        <w:rPr>
          <w:highlight w:val="none"/>
        </w:rPr>
        <w:sectPr>
          <w:footerReference r:id="rId4" w:type="first"/>
          <w:headerReference r:id="rId3" w:type="default"/>
          <w:pgSz w:w="11907" w:h="16840"/>
          <w:pgMar w:top="1440" w:right="1800" w:bottom="1440" w:left="1800" w:header="720" w:footer="720" w:gutter="0"/>
          <w:pgNumType w:start="0"/>
          <w:cols w:space="720" w:num="1"/>
          <w:docGrid w:type="linesAndChars" w:linePitch="285" w:charSpace="0"/>
        </w:sectPr>
      </w:pPr>
    </w:p>
    <w:p>
      <w:pPr>
        <w:pStyle w:val="5"/>
        <w:numPr>
          <w:ilvl w:val="0"/>
          <w:numId w:val="1"/>
        </w:numPr>
        <w:tabs>
          <w:tab w:val="left" w:pos="2036"/>
        </w:tabs>
        <w:adjustRightInd w:val="0"/>
        <w:snapToGrid w:val="0"/>
        <w:spacing w:before="120" w:after="120" w:line="360" w:lineRule="auto"/>
        <w:rPr>
          <w:rFonts w:ascii="Times New Roman" w:hAnsi="宋体"/>
          <w:sz w:val="48"/>
          <w:szCs w:val="48"/>
          <w:highlight w:val="none"/>
        </w:rPr>
      </w:pPr>
      <w:bookmarkStart w:id="7" w:name="_Toc20437"/>
      <w:bookmarkStart w:id="8" w:name="_Toc25405"/>
      <w:bookmarkStart w:id="9" w:name="_Toc290564011"/>
      <w:bookmarkStart w:id="10" w:name="_Toc250837968"/>
      <w:bookmarkStart w:id="11" w:name="_Toc263631711"/>
      <w:bookmarkStart w:id="12" w:name="_Toc156754838"/>
      <w:bookmarkStart w:id="13" w:name="_Toc263631712"/>
      <w:bookmarkStart w:id="14" w:name="_Toc196460192"/>
      <w:bookmarkStart w:id="15" w:name="_Toc196460095"/>
      <w:r>
        <w:rPr>
          <w:rFonts w:hint="eastAsia" w:ascii="Times New Roman" w:hAnsi="宋体"/>
          <w:sz w:val="48"/>
          <w:szCs w:val="48"/>
          <w:highlight w:val="none"/>
        </w:rPr>
        <w:t>采购公告</w:t>
      </w:r>
      <w:bookmarkEnd w:id="7"/>
      <w:bookmarkEnd w:id="8"/>
    </w:p>
    <w:p>
      <w:pPr>
        <w:pBdr>
          <w:top w:val="single" w:color="auto" w:sz="4" w:space="1"/>
          <w:left w:val="single" w:color="auto" w:sz="4" w:space="4"/>
          <w:bottom w:val="single" w:color="auto" w:sz="4" w:space="0"/>
          <w:right w:val="single" w:color="auto" w:sz="4" w:space="4"/>
        </w:pBdr>
        <w:spacing w:line="360" w:lineRule="auto"/>
        <w:ind w:firstLine="420" w:firstLineChars="200"/>
        <w:contextualSpacing/>
        <w:jc w:val="left"/>
        <w:rPr>
          <w:rFonts w:ascii="宋体" w:hAnsi="宋体"/>
          <w:highlight w:val="none"/>
        </w:rPr>
      </w:pPr>
      <w:bookmarkStart w:id="16" w:name="_Toc198798922"/>
      <w:bookmarkStart w:id="17" w:name="_Toc198799618"/>
      <w:bookmarkStart w:id="18" w:name="_Toc198800017"/>
      <w:bookmarkStart w:id="19" w:name="_Toc198797371"/>
      <w:bookmarkStart w:id="20" w:name="_Toc197315965"/>
      <w:r>
        <w:rPr>
          <w:rFonts w:hint="eastAsia" w:ascii="宋体" w:hAnsi="宋体"/>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contextualSpacing/>
        <w:jc w:val="left"/>
        <w:rPr>
          <w:rFonts w:ascii="宋体" w:hAnsi="宋体"/>
          <w:highlight w:val="none"/>
        </w:rPr>
      </w:pPr>
      <w:r>
        <w:rPr>
          <w:rFonts w:hint="eastAsia" w:ascii="宋体" w:hAnsi="宋体"/>
          <w:bCs/>
          <w:highlight w:val="none"/>
          <w:u w:val="single"/>
        </w:rPr>
        <w:t>宁波市反电诈全维智控平台（一期）—“96110”全民反诈等应用及数据资源建设</w:t>
      </w:r>
      <w:r>
        <w:rPr>
          <w:rFonts w:hint="eastAsia" w:ascii="宋体" w:hAnsi="宋体"/>
          <w:highlight w:val="none"/>
        </w:rPr>
        <w:t>的</w:t>
      </w:r>
      <w:r>
        <w:rPr>
          <w:rFonts w:hint="eastAsia" w:ascii="宋体" w:hAnsi="宋体" w:cs="宋体"/>
          <w:szCs w:val="21"/>
          <w:highlight w:val="none"/>
        </w:rPr>
        <w:t>潜在投标人应在</w:t>
      </w:r>
      <w:r>
        <w:rPr>
          <w:rFonts w:hint="eastAsia" w:ascii="宋体" w:hAnsi="宋体" w:cs="宋体"/>
          <w:szCs w:val="21"/>
          <w:highlight w:val="none"/>
          <w:u w:val="single"/>
          <w:shd w:val="clear" w:color="auto" w:fill="FFFFFF"/>
        </w:rPr>
        <w:t>“浙江政府采购网（zfcg.czt.zj.gov.cn）“政采云”</w:t>
      </w:r>
      <w:r>
        <w:rPr>
          <w:rFonts w:hint="eastAsia" w:ascii="宋体" w:hAnsi="宋体" w:cs="宋体"/>
          <w:szCs w:val="21"/>
          <w:highlight w:val="none"/>
        </w:rPr>
        <w:t>获取招标采购文件，并于</w:t>
      </w:r>
      <w:r>
        <w:rPr>
          <w:rFonts w:hint="eastAsia" w:ascii="宋体" w:hAnsi="宋体" w:cs="宋体"/>
          <w:szCs w:val="21"/>
          <w:highlight w:val="none"/>
          <w:u w:val="single"/>
        </w:rPr>
        <w:t xml:space="preserve"> </w:t>
      </w:r>
      <w:r>
        <w:rPr>
          <w:rFonts w:hint="eastAsia" w:ascii="宋体" w:hAnsi="宋体" w:cs="宋体"/>
          <w:szCs w:val="21"/>
          <w:highlight w:val="none"/>
          <w:u w:val="single"/>
          <w:shd w:val="clear" w:color="auto" w:fill="FFFFFF"/>
        </w:rPr>
        <w:t>2022年</w:t>
      </w:r>
      <w:r>
        <w:rPr>
          <w:rFonts w:hint="eastAsia" w:ascii="宋体" w:hAnsi="宋体" w:cs="宋体"/>
          <w:szCs w:val="21"/>
          <w:highlight w:val="none"/>
          <w:u w:val="single"/>
          <w:shd w:val="clear" w:color="auto" w:fill="FFFFFF"/>
          <w:lang w:val="en-US" w:eastAsia="zh-CN"/>
        </w:rPr>
        <w:t>7</w:t>
      </w:r>
      <w:r>
        <w:rPr>
          <w:rFonts w:hint="eastAsia" w:ascii="宋体" w:hAnsi="宋体" w:cs="宋体"/>
          <w:szCs w:val="21"/>
          <w:highlight w:val="none"/>
          <w:u w:val="single"/>
          <w:shd w:val="clear" w:color="auto" w:fill="FFFFFF"/>
        </w:rPr>
        <w:t>月</w:t>
      </w:r>
      <w:r>
        <w:rPr>
          <w:rFonts w:hint="eastAsia" w:ascii="宋体" w:hAnsi="宋体" w:cs="宋体"/>
          <w:szCs w:val="21"/>
          <w:highlight w:val="none"/>
          <w:u w:val="single"/>
          <w:shd w:val="clear" w:color="auto" w:fill="FFFFFF"/>
          <w:lang w:val="en-US" w:eastAsia="zh-CN"/>
        </w:rPr>
        <w:t>6</w:t>
      </w:r>
      <w:r>
        <w:rPr>
          <w:rFonts w:hint="eastAsia" w:ascii="宋体" w:hAnsi="宋体" w:cs="宋体"/>
          <w:szCs w:val="21"/>
          <w:highlight w:val="none"/>
          <w:u w:val="single"/>
          <w:shd w:val="clear" w:color="auto" w:fill="FFFFFF"/>
        </w:rPr>
        <w:t>日13点30分</w:t>
      </w:r>
      <w:r>
        <w:rPr>
          <w:rFonts w:hint="eastAsia" w:ascii="宋体" w:hAnsi="宋体" w:cs="宋体"/>
          <w:bCs/>
          <w:szCs w:val="21"/>
          <w:highlight w:val="none"/>
          <w:u w:val="single"/>
        </w:rPr>
        <w:t>（</w:t>
      </w:r>
      <w:r>
        <w:rPr>
          <w:rFonts w:hint="eastAsia" w:ascii="宋体" w:hAnsi="宋体" w:cs="宋体"/>
          <w:szCs w:val="21"/>
          <w:highlight w:val="none"/>
        </w:rPr>
        <w:t>北京时间）前递交投标文件。</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一、项目基本情况</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项目编号：NG-G2022029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项目名称：宁波市反电诈全维智控平台（一期）—“96110”全民反诈等应用及数据资源建设</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采购方式：公开招标</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预算金额（元）：</w:t>
      </w:r>
      <w:r>
        <w:rPr>
          <w:rFonts w:ascii="宋体" w:hAnsi="宋体" w:cs="宋体"/>
          <w:bCs/>
          <w:highlight w:val="none"/>
        </w:rPr>
        <w:t>637</w:t>
      </w:r>
      <w:r>
        <w:rPr>
          <w:rFonts w:hint="eastAsia" w:ascii="宋体" w:hAnsi="宋体" w:cs="宋体"/>
          <w:bCs/>
          <w:highlight w:val="none"/>
        </w:rPr>
        <w:t xml:space="preserve">0000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最高限价（元）：6370000</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采购需求：</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标项名称：宁波市反电诈全维智控平台（一期）—“96110”全民反诈等应用及数据资源建设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数量：不限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预算金额（元）：</w:t>
      </w:r>
      <w:r>
        <w:rPr>
          <w:rFonts w:ascii="宋体" w:hAnsi="宋体" w:cs="宋体"/>
          <w:bCs/>
          <w:highlight w:val="none"/>
        </w:rPr>
        <w:t>637</w:t>
      </w:r>
      <w:r>
        <w:rPr>
          <w:rFonts w:hint="eastAsia" w:ascii="宋体" w:hAnsi="宋体" w:cs="宋体"/>
          <w:bCs/>
          <w:highlight w:val="none"/>
        </w:rPr>
        <w:t xml:space="preserve">0000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简要规格描述：根据浙江省数字化改革浙里“反电诈”集成应用跑道相关要求，围绕“打、防、控、管、治、宣”全业务环节，建设宁波市反电诈全维智控平台，实现电信网络诈骗精准宣防、精密管控、精细治理、精确打击，提升我市电信网络诈骗预警防控能力，推动形成反电诈全维度整体智治。</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备注：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本项目要求建设实施工期共为6个月，即合同签订日起3个月内完成系统要求功能的开发并投入试运行，试运行3个月后进行验收。</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本标项不接受联合体投标。</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二、申请人的资格要求：</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1.满足《中华人民共和国政府采购法》第二十二条规定；未被“信用中国”（www.creditchina.gov.cn)、中国政府采购网（www.ccgp.gov.cn）列入失信被执行人、重大税收违法案件当事人名单、政府采购严重违法失信行为记录名单。（以投标截止日当天在信用中国网站及中国政府采购网查询结果为准，如相关失信记录已失效，供应商须需提供相关证明资料）。</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2.落实政府采购政策需满足的资格要求：本项目为专门面向中小企业采购的项目，供应商应为中小微企业（监狱企业及残疾人福利性单位视同小型、微型企业）。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3.本项目的特定资格要求：无。 </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三、获取招标文件</w:t>
      </w:r>
    </w:p>
    <w:p>
      <w:pPr>
        <w:spacing w:line="360" w:lineRule="auto"/>
        <w:ind w:firstLine="420" w:firstLineChars="200"/>
        <w:rPr>
          <w:rFonts w:ascii="宋体" w:hAnsi="宋体" w:cs="宋体"/>
          <w:szCs w:val="21"/>
          <w:highlight w:val="none"/>
        </w:rPr>
      </w:pPr>
      <w:r>
        <w:rPr>
          <w:rFonts w:hint="eastAsia" w:ascii="宋体" w:hAnsi="宋体" w:cs="宋体"/>
          <w:highlight w:val="none"/>
        </w:rPr>
        <w:t>时间：</w:t>
      </w:r>
      <w:r>
        <w:rPr>
          <w:rFonts w:hint="eastAsia" w:ascii="宋体" w:hAnsi="宋体"/>
          <w:highlight w:val="none"/>
          <w:u w:val="single"/>
        </w:rPr>
        <w:t>2022</w:t>
      </w:r>
      <w:r>
        <w:rPr>
          <w:rFonts w:hint="eastAsia" w:ascii="宋体" w:hAnsi="宋体"/>
          <w:bCs/>
          <w:highlight w:val="none"/>
          <w:u w:val="single"/>
        </w:rPr>
        <w:t>年</w:t>
      </w:r>
      <w:r>
        <w:rPr>
          <w:rFonts w:hint="eastAsia" w:ascii="宋体" w:hAnsi="宋体"/>
          <w:bCs/>
          <w:highlight w:val="none"/>
          <w:u w:val="single"/>
          <w:lang w:val="en-US" w:eastAsia="zh-CN"/>
        </w:rPr>
        <w:t>6</w:t>
      </w:r>
      <w:r>
        <w:rPr>
          <w:rFonts w:hint="eastAsia" w:ascii="宋体" w:hAnsi="宋体"/>
          <w:bCs/>
          <w:highlight w:val="none"/>
          <w:u w:val="single"/>
        </w:rPr>
        <w:t>月</w:t>
      </w:r>
      <w:r>
        <w:rPr>
          <w:rFonts w:hint="eastAsia" w:ascii="宋体" w:hAnsi="宋体"/>
          <w:bCs/>
          <w:highlight w:val="none"/>
          <w:u w:val="single"/>
          <w:lang w:val="en-US" w:eastAsia="zh-CN"/>
        </w:rPr>
        <w:t>1</w:t>
      </w:r>
      <w:r>
        <w:rPr>
          <w:rFonts w:hint="eastAsia" w:ascii="宋体" w:hAnsi="宋体"/>
          <w:bCs/>
          <w:highlight w:val="none"/>
          <w:u w:val="single"/>
          <w:lang w:val="en-US" w:eastAsia="zh-CN"/>
        </w:rPr>
        <w:t>6</w:t>
      </w:r>
      <w:r>
        <w:rPr>
          <w:rFonts w:hint="eastAsia" w:ascii="宋体" w:hAnsi="宋体"/>
          <w:bCs/>
          <w:highlight w:val="none"/>
          <w:u w:val="single"/>
        </w:rPr>
        <w:t>日</w:t>
      </w:r>
      <w:r>
        <w:rPr>
          <w:rFonts w:hint="eastAsia" w:ascii="宋体" w:hAnsi="宋体"/>
          <w:highlight w:val="none"/>
        </w:rPr>
        <w:t>至</w:t>
      </w:r>
      <w:r>
        <w:rPr>
          <w:rFonts w:hint="eastAsia" w:ascii="宋体" w:hAnsi="宋体"/>
          <w:highlight w:val="none"/>
          <w:u w:val="single"/>
        </w:rPr>
        <w:t>2022</w:t>
      </w:r>
      <w:r>
        <w:rPr>
          <w:rFonts w:hint="eastAsia" w:ascii="宋体" w:hAnsi="宋体"/>
          <w:bCs/>
          <w:highlight w:val="none"/>
          <w:u w:val="single"/>
        </w:rPr>
        <w:t>年</w:t>
      </w:r>
      <w:r>
        <w:rPr>
          <w:rFonts w:hint="eastAsia" w:ascii="宋体" w:hAnsi="宋体"/>
          <w:bCs/>
          <w:highlight w:val="none"/>
          <w:u w:val="single"/>
          <w:lang w:val="en-US" w:eastAsia="zh-CN"/>
        </w:rPr>
        <w:t>6</w:t>
      </w:r>
      <w:r>
        <w:rPr>
          <w:rFonts w:hint="eastAsia" w:ascii="宋体" w:hAnsi="宋体"/>
          <w:bCs/>
          <w:highlight w:val="none"/>
          <w:u w:val="single"/>
        </w:rPr>
        <w:t>月</w:t>
      </w:r>
      <w:r>
        <w:rPr>
          <w:rFonts w:hint="eastAsia" w:ascii="宋体" w:hAnsi="宋体"/>
          <w:bCs/>
          <w:highlight w:val="none"/>
          <w:u w:val="single"/>
          <w:lang w:val="en-US" w:eastAsia="zh-CN"/>
        </w:rPr>
        <w:t>2</w:t>
      </w:r>
      <w:r>
        <w:rPr>
          <w:rFonts w:hint="eastAsia" w:ascii="宋体" w:hAnsi="宋体"/>
          <w:bCs/>
          <w:highlight w:val="none"/>
          <w:u w:val="single"/>
          <w:lang w:val="en-US" w:eastAsia="zh-CN"/>
        </w:rPr>
        <w:t>3</w:t>
      </w:r>
      <w:r>
        <w:rPr>
          <w:rFonts w:hint="eastAsia" w:ascii="宋体" w:hAnsi="宋体"/>
          <w:bCs/>
          <w:highlight w:val="none"/>
          <w:u w:val="single"/>
        </w:rPr>
        <w:t>日</w:t>
      </w:r>
      <w:r>
        <w:rPr>
          <w:rFonts w:hint="eastAsia" w:ascii="宋体" w:hAnsi="宋体" w:cs="宋体"/>
          <w:highlight w:val="none"/>
        </w:rPr>
        <w:t>，每天上午</w:t>
      </w:r>
      <w:r>
        <w:rPr>
          <w:rFonts w:hint="eastAsia" w:ascii="宋体" w:hAnsi="宋体" w:cs="宋体"/>
          <w:highlight w:val="none"/>
          <w:u w:val="single"/>
        </w:rPr>
        <w:t>00:00</w:t>
      </w:r>
      <w:r>
        <w:rPr>
          <w:rFonts w:hint="eastAsia" w:ascii="宋体" w:hAnsi="宋体" w:cs="宋体"/>
          <w:highlight w:val="none"/>
        </w:rPr>
        <w:t>至</w:t>
      </w:r>
      <w:r>
        <w:rPr>
          <w:rFonts w:hint="eastAsia" w:ascii="宋体" w:hAnsi="宋体" w:cs="宋体"/>
          <w:highlight w:val="none"/>
          <w:u w:val="single"/>
        </w:rPr>
        <w:t>12:00</w:t>
      </w:r>
      <w:r>
        <w:rPr>
          <w:rFonts w:hint="eastAsia" w:ascii="宋体" w:hAnsi="宋体" w:cs="宋体"/>
          <w:highlight w:val="none"/>
        </w:rPr>
        <w:t>，下午</w:t>
      </w:r>
      <w:r>
        <w:rPr>
          <w:rFonts w:hint="eastAsia" w:ascii="宋体" w:hAnsi="宋体" w:cs="宋体"/>
          <w:highlight w:val="none"/>
          <w:u w:val="single"/>
        </w:rPr>
        <w:t>12:00</w:t>
      </w:r>
      <w:r>
        <w:rPr>
          <w:rFonts w:hint="eastAsia" w:ascii="宋体" w:hAnsi="宋体" w:cs="宋体"/>
          <w:highlight w:val="none"/>
        </w:rPr>
        <w:t>至</w:t>
      </w:r>
      <w:r>
        <w:rPr>
          <w:rFonts w:hint="eastAsia" w:ascii="宋体" w:hAnsi="宋体" w:cs="宋体"/>
          <w:highlight w:val="none"/>
          <w:u w:val="single"/>
        </w:rPr>
        <w:t>23:59</w:t>
      </w:r>
      <w:r>
        <w:rPr>
          <w:rFonts w:hint="eastAsia" w:ascii="宋体" w:hAnsi="宋体" w:cs="宋体"/>
          <w:highlight w:val="none"/>
        </w:rPr>
        <w:t>（北京时间）</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地点（网址）：政府采购云平台（http://www.zcygov.cn/）。</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 xml:space="preserve">（1）本项目采购文件实行“政府采购云平台”在线获取，不提供采购文件纸质版。供应商获取采购文件前应先完成“政府采购云平台”的账号注册； </w:t>
      </w:r>
    </w:p>
    <w:p>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2）潜在供应商登录政采云平台，在线申请获取采购文件（进入“项目采购”应用，在获取采购文件菜单中选择项目，申请获取采购文件；仅需浏览采购文件的供应商可点击“游客，浏览招标文件”直接下载采购文件浏览）； </w:t>
      </w:r>
    </w:p>
    <w:p>
      <w:pPr>
        <w:snapToGrid w:val="0"/>
        <w:spacing w:line="360" w:lineRule="auto"/>
        <w:ind w:firstLine="420" w:firstLineChars="200"/>
        <w:rPr>
          <w:rFonts w:ascii="宋体" w:hAnsi="宋体" w:cs="宋体"/>
          <w:highlight w:val="none"/>
        </w:rPr>
      </w:pPr>
      <w:r>
        <w:rPr>
          <w:rFonts w:hint="eastAsia" w:ascii="宋体" w:hAnsi="宋体" w:cs="宋体"/>
          <w:highlight w:val="none"/>
        </w:rPr>
        <w:t>（3）采购公告中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ascii="宋体" w:hAnsi="宋体" w:cs="Arial"/>
          <w:szCs w:val="21"/>
          <w:highlight w:val="none"/>
        </w:rPr>
        <w:t>未按照采购文件规定程序依法获取采购文件的潜在供应商，对采购文件提起质疑的，按照无效质疑处理。采购代理机构拒绝接收未依法获取本项目采购</w:t>
      </w:r>
      <w:r>
        <w:rPr>
          <w:rFonts w:ascii="宋体" w:hAnsi="宋体" w:cs="Arial"/>
          <w:szCs w:val="21"/>
          <w:highlight w:val="none"/>
        </w:rPr>
        <w:t>文件</w:t>
      </w:r>
      <w:r>
        <w:rPr>
          <w:rFonts w:hint="eastAsia" w:ascii="宋体" w:hAnsi="宋体" w:cs="Arial"/>
          <w:szCs w:val="21"/>
          <w:highlight w:val="none"/>
        </w:rPr>
        <w:t>的供应商提交的投标文件。</w:t>
      </w:r>
    </w:p>
    <w:p>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注：请供应商按上述要求获取采购文件，如未在“政采云”系统内完成相关流程，引起的投标无效责任自负。  </w:t>
      </w:r>
    </w:p>
    <w:p>
      <w:pPr>
        <w:tabs>
          <w:tab w:val="left" w:pos="0"/>
        </w:tabs>
        <w:spacing w:line="360" w:lineRule="auto"/>
        <w:ind w:firstLine="420" w:firstLineChars="200"/>
        <w:rPr>
          <w:rFonts w:ascii="宋体" w:hAnsi="宋体" w:cs="宋体"/>
          <w:bCs/>
          <w:highlight w:val="none"/>
        </w:rPr>
      </w:pPr>
      <w:r>
        <w:rPr>
          <w:rFonts w:hint="eastAsia" w:ascii="宋体" w:hAnsi="宋体" w:cs="宋体"/>
          <w:highlight w:val="none"/>
        </w:rPr>
        <w:t>售价：0元。</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 xml:space="preserve">四、投标文件提交（上传）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截止时间：2022年</w:t>
      </w:r>
      <w:r>
        <w:rPr>
          <w:rFonts w:hint="eastAsia" w:ascii="宋体" w:hAnsi="宋体" w:cs="宋体"/>
          <w:bCs/>
          <w:highlight w:val="none"/>
          <w:lang w:val="en-US" w:eastAsia="zh-CN"/>
        </w:rPr>
        <w:t>7</w:t>
      </w:r>
      <w:r>
        <w:rPr>
          <w:rFonts w:hint="eastAsia" w:ascii="宋体" w:hAnsi="宋体" w:cs="宋体"/>
          <w:bCs/>
          <w:highlight w:val="none"/>
        </w:rPr>
        <w:t>月</w:t>
      </w:r>
      <w:r>
        <w:rPr>
          <w:rFonts w:hint="eastAsia" w:ascii="宋体" w:hAnsi="宋体" w:cs="宋体"/>
          <w:bCs/>
          <w:highlight w:val="none"/>
          <w:lang w:val="en-US" w:eastAsia="zh-CN"/>
        </w:rPr>
        <w:t>6</w:t>
      </w:r>
      <w:r>
        <w:rPr>
          <w:rFonts w:hint="eastAsia" w:ascii="宋体" w:hAnsi="宋体" w:cs="宋体"/>
          <w:bCs/>
          <w:highlight w:val="none"/>
        </w:rPr>
        <w:t>日13:30（北京时间）</w:t>
      </w:r>
    </w:p>
    <w:p>
      <w:pPr>
        <w:tabs>
          <w:tab w:val="left" w:pos="0"/>
        </w:tabs>
        <w:spacing w:line="360" w:lineRule="auto"/>
        <w:ind w:firstLine="420" w:firstLineChars="200"/>
        <w:rPr>
          <w:rFonts w:ascii="宋体" w:hAnsi="宋体" w:cs="宋体"/>
          <w:bCs/>
          <w:highlight w:val="none"/>
        </w:rPr>
      </w:pPr>
      <w:r>
        <w:rPr>
          <w:rFonts w:hint="eastAsia" w:ascii="宋体" w:hAnsi="宋体" w:cs="宋体"/>
          <w:bCs/>
          <w:highlight w:val="none"/>
        </w:rPr>
        <w:t>地点（网址）：</w:t>
      </w:r>
      <w:r>
        <w:rPr>
          <w:rFonts w:hint="eastAsia" w:ascii="宋体" w:hAnsi="宋体" w:cs="Arial"/>
          <w:szCs w:val="21"/>
          <w:highlight w:val="none"/>
          <w:u w:val="single"/>
        </w:rPr>
        <w:t>政府采购云平台（www.zcygov.cn）（线上）</w:t>
      </w:r>
      <w:r>
        <w:rPr>
          <w:rFonts w:hint="eastAsia" w:ascii="宋体" w:hAnsi="宋体" w:cs="Arial"/>
          <w:szCs w:val="21"/>
          <w:highlight w:val="none"/>
        </w:rPr>
        <w:t xml:space="preserve"> </w:t>
      </w:r>
      <w:r>
        <w:rPr>
          <w:rFonts w:hint="eastAsia" w:ascii="宋体" w:hAnsi="宋体" w:cs="宋体"/>
          <w:bCs/>
          <w:highlight w:val="none"/>
        </w:rPr>
        <w:t xml:space="preserve"> </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 xml:space="preserve">五、投标文件开启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开启时间：2022年</w:t>
      </w:r>
      <w:r>
        <w:rPr>
          <w:rFonts w:hint="eastAsia" w:ascii="宋体" w:hAnsi="宋体" w:cs="宋体"/>
          <w:bCs/>
          <w:highlight w:val="none"/>
          <w:lang w:val="en-US" w:eastAsia="zh-CN"/>
        </w:rPr>
        <w:t>7</w:t>
      </w:r>
      <w:r>
        <w:rPr>
          <w:rFonts w:hint="eastAsia" w:ascii="宋体" w:hAnsi="宋体" w:cs="宋体"/>
          <w:bCs/>
          <w:highlight w:val="none"/>
        </w:rPr>
        <w:t>月</w:t>
      </w:r>
      <w:r>
        <w:rPr>
          <w:rFonts w:hint="eastAsia" w:ascii="宋体" w:hAnsi="宋体" w:cs="宋体"/>
          <w:bCs/>
          <w:highlight w:val="none"/>
          <w:lang w:val="en-US" w:eastAsia="zh-CN"/>
        </w:rPr>
        <w:t>6</w:t>
      </w:r>
      <w:r>
        <w:rPr>
          <w:rFonts w:hint="eastAsia" w:ascii="宋体" w:hAnsi="宋体" w:cs="宋体"/>
          <w:bCs/>
          <w:highlight w:val="none"/>
        </w:rPr>
        <w:t>日13:30（北京时间）</w:t>
      </w:r>
    </w:p>
    <w:p>
      <w:pPr>
        <w:tabs>
          <w:tab w:val="left" w:pos="0"/>
        </w:tabs>
        <w:spacing w:line="360" w:lineRule="auto"/>
        <w:ind w:firstLine="420" w:firstLineChars="200"/>
        <w:rPr>
          <w:rStyle w:val="56"/>
          <w:rFonts w:hint="eastAsia" w:ascii="仿宋" w:hAnsi="仿宋" w:eastAsia="微软雅黑" w:cs="Arial"/>
          <w:sz w:val="23"/>
          <w:szCs w:val="23"/>
          <w:highlight w:val="none"/>
        </w:rPr>
      </w:pPr>
      <w:r>
        <w:rPr>
          <w:rFonts w:hint="eastAsia" w:ascii="宋体" w:hAnsi="宋体" w:cs="宋体"/>
          <w:bCs/>
          <w:highlight w:val="none"/>
        </w:rPr>
        <w:t>地点（网址）：宁波高正工程管理有限公司（浙江省宁波市鄞州区嘉恒广场写字楼B座10楼），本项目通过“政府采购云平台”实行在线电子评标，供应商可在线参加。</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六、公告期限</w:t>
      </w:r>
    </w:p>
    <w:p>
      <w:pPr>
        <w:tabs>
          <w:tab w:val="left" w:pos="0"/>
        </w:tabs>
        <w:spacing w:line="360" w:lineRule="auto"/>
        <w:ind w:firstLine="420" w:firstLineChars="200"/>
        <w:rPr>
          <w:rFonts w:ascii="宋体" w:hAnsi="宋体" w:cs="宋体"/>
          <w:bCs/>
          <w:highlight w:val="none"/>
        </w:rPr>
      </w:pPr>
      <w:r>
        <w:rPr>
          <w:rFonts w:hint="eastAsia" w:ascii="宋体" w:hAnsi="宋体" w:cs="宋体"/>
          <w:bCs/>
          <w:highlight w:val="none"/>
        </w:rPr>
        <w:t>自本公告发布之日起</w:t>
      </w:r>
      <w:r>
        <w:rPr>
          <w:rFonts w:hint="eastAsia" w:ascii="宋体" w:hAnsi="宋体" w:cs="宋体"/>
          <w:bCs/>
          <w:highlight w:val="none"/>
          <w:lang w:val="en-US" w:eastAsia="zh-CN"/>
        </w:rPr>
        <w:t>5</w:t>
      </w:r>
      <w:r>
        <w:rPr>
          <w:rFonts w:hint="eastAsia" w:ascii="宋体" w:hAnsi="宋体" w:cs="宋体"/>
          <w:bCs/>
          <w:highlight w:val="none"/>
        </w:rPr>
        <w:t>个工作日。</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 xml:space="preserve">七、其他补充事宜 </w:t>
      </w:r>
    </w:p>
    <w:p>
      <w:pPr>
        <w:spacing w:line="360" w:lineRule="auto"/>
        <w:ind w:firstLine="420" w:firstLineChars="200"/>
        <w:rPr>
          <w:rFonts w:ascii="宋体" w:hAnsi="宋体" w:cs="宋体"/>
          <w:highlight w:val="none"/>
        </w:rPr>
      </w:pPr>
      <w:r>
        <w:rPr>
          <w:rFonts w:hint="eastAsia" w:ascii="宋体" w:hAnsi="宋体" w:cs="宋体"/>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highlight w:val="none"/>
        </w:rPr>
      </w:pPr>
      <w:r>
        <w:rPr>
          <w:rFonts w:hint="eastAsia" w:ascii="宋体" w:hAnsi="宋体" w:cs="宋体"/>
          <w:highlight w:val="none"/>
        </w:rPr>
        <w:t>2.其他事项：</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2.1落实政策：《关于促进残疾人就业政府采购政策的通知》（财库〔2017〕141号）、《政府采购促进中小企业发展管理办法》（财库﹝2020﹞46 号）、《关于政府采购支持监狱企业发展有关问题的通知》(财库〔2014〕68号)。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2.2各供应商应在开标前确保成为浙江省政府采购网正式注册入库供应商，并完成CA数字证书办理。因未注册入库、未办理CA数字证书等原因造成无法投标或投标失败等后果由供应商自行承担。（具体操作详见供应商CA申领操作指南https://help.zcygov.cn/web/site_2/2018/11-29/2452.html）。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2.3本次政府采购活动有关信息在“浙江政府采购网（http://zfcg.czt.zj.gov.cn/）”、“宁波市政府采购网（www.nbzfcg.cn）”网站上公布，公布信息视同送达所有潜在供应商。</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2.4疫情期间特别提醒事项（供应商提交备份电子投标文件方式）：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2.4.1采用邮寄方式提交电子备份投标文件，需按以下要求递交：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供应商须在2022年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5</w:t>
      </w:r>
      <w:r>
        <w:rPr>
          <w:rFonts w:hint="eastAsia" w:ascii="宋体" w:hAnsi="宋体" w:cs="宋体"/>
          <w:szCs w:val="21"/>
          <w:highlight w:val="none"/>
        </w:rPr>
        <w:t xml:space="preserve">日16:00（北京时间）前将电子备份投标文件邮寄至规定地点，由采购代理机构工作人员进行签收。各供应商自行考虑邮寄在途时间，邮寄过程中无论何种因素导致电子备份投标文件未按时递交的后果，均由供应商自行负责。电子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采购人概不负责。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备份电子投标文件邮寄地址为：</w:t>
      </w:r>
      <w:r>
        <w:rPr>
          <w:rFonts w:hint="eastAsia" w:ascii="宋体" w:hAnsi="宋体" w:cs="宋体"/>
          <w:highlight w:val="none"/>
        </w:rPr>
        <w:t>浙江省宁波市鄞州区嘉恒广场写字楼B座10楼</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收件人：孔璐璐     联系方式：</w:t>
      </w:r>
      <w:r>
        <w:rPr>
          <w:rFonts w:hint="eastAsia" w:ascii="宋体" w:hAnsi="宋体" w:cs="宋体"/>
          <w:spacing w:val="-2"/>
          <w:highlight w:val="none"/>
        </w:rPr>
        <w:t xml:space="preserve">15258259470   </w:t>
      </w:r>
    </w:p>
    <w:p>
      <w:pPr>
        <w:spacing w:line="400" w:lineRule="exact"/>
        <w:ind w:firstLine="476" w:firstLineChars="227"/>
        <w:rPr>
          <w:rFonts w:hint="eastAsia" w:ascii="宋体" w:hAnsi="宋体" w:cs="宋体"/>
          <w:bCs/>
          <w:szCs w:val="21"/>
          <w:highlight w:val="none"/>
        </w:rPr>
      </w:pPr>
      <w:r>
        <w:rPr>
          <w:rFonts w:hint="eastAsia" w:ascii="宋体" w:hAnsi="宋体" w:cs="宋体"/>
          <w:szCs w:val="21"/>
          <w:highlight w:val="none"/>
        </w:rPr>
        <w:t>2.4.2采用现场递交方式递交电子备份投标文件，</w:t>
      </w:r>
      <w:r>
        <w:rPr>
          <w:rFonts w:hint="eastAsia" w:ascii="宋体" w:hAnsi="宋体" w:cs="宋体"/>
          <w:bCs/>
          <w:szCs w:val="21"/>
          <w:highlight w:val="none"/>
        </w:rPr>
        <w:t>供应商可安排一名“甬行码”为绿色的授权代表在投标截止时间前将电子备份投标文件送至</w:t>
      </w:r>
      <w:r>
        <w:rPr>
          <w:rFonts w:hint="eastAsia" w:ascii="宋体" w:hAnsi="宋体" w:cs="宋体"/>
          <w:szCs w:val="21"/>
          <w:highlight w:val="none"/>
          <w:u w:val="single"/>
        </w:rPr>
        <w:t>宁波高正工程管理有限公司（浙江省宁波市鄞州区嘉恒广场写字楼B座10楼）</w:t>
      </w:r>
      <w:r>
        <w:rPr>
          <w:rFonts w:hint="eastAsia" w:ascii="宋体" w:hAnsi="宋体" w:cs="宋体"/>
          <w:bCs/>
          <w:szCs w:val="21"/>
          <w:highlight w:val="none"/>
        </w:rPr>
        <w:t>，投标文件递交时须同时递交供应商的法定代表人（或其授权代表）联系方式，并保证开标期间联系方式畅通。</w:t>
      </w:r>
      <w:r>
        <w:rPr>
          <w:rFonts w:ascii="宋体" w:hAnsi="宋体" w:cs="宋体"/>
          <w:bCs/>
          <w:szCs w:val="21"/>
          <w:highlight w:val="none"/>
        </w:rPr>
        <w:t xml:space="preserve"> </w:t>
      </w:r>
    </w:p>
    <w:p>
      <w:pPr>
        <w:spacing w:line="400" w:lineRule="exact"/>
        <w:ind w:firstLine="476" w:firstLineChars="227"/>
        <w:rPr>
          <w:rFonts w:hint="eastAsia" w:ascii="宋体" w:hAnsi="宋体" w:cs="宋体"/>
          <w:szCs w:val="21"/>
          <w:highlight w:val="none"/>
        </w:rPr>
      </w:pPr>
      <w:r>
        <w:rPr>
          <w:rFonts w:hint="eastAsia" w:ascii="宋体" w:hAnsi="宋体" w:cs="宋体"/>
          <w:bCs/>
          <w:szCs w:val="21"/>
          <w:highlight w:val="none"/>
        </w:rPr>
        <w:t>注：①</w:t>
      </w:r>
      <w:r>
        <w:rPr>
          <w:rFonts w:hint="eastAsia" w:ascii="宋体" w:hAnsi="宋体" w:cs="宋体"/>
          <w:szCs w:val="21"/>
          <w:highlight w:val="none"/>
        </w:rPr>
        <w:t>电子备份投标文件不作实质性要求，是否提交由投标人自行决定。</w:t>
      </w:r>
    </w:p>
    <w:p>
      <w:pPr>
        <w:spacing w:line="400" w:lineRule="exact"/>
        <w:ind w:firstLine="476" w:firstLineChars="227"/>
        <w:rPr>
          <w:rFonts w:ascii="宋体" w:cs="宋体"/>
          <w:bCs/>
          <w:szCs w:val="21"/>
          <w:highlight w:val="none"/>
        </w:rPr>
      </w:pPr>
      <w:r>
        <w:rPr>
          <w:rFonts w:hint="eastAsia" w:ascii="宋体" w:hAnsi="宋体" w:cs="宋体"/>
          <w:szCs w:val="21"/>
          <w:highlight w:val="none"/>
        </w:rPr>
        <w:t>②</w:t>
      </w:r>
      <w:r>
        <w:rPr>
          <w:rFonts w:hint="eastAsia" w:ascii="宋体" w:hAnsi="宋体" w:cs="宋体"/>
          <w:bCs/>
          <w:szCs w:val="21"/>
          <w:highlight w:val="none"/>
        </w:rPr>
        <w:t>疫情防控期间，不要求投标人员必须到场参加现场开标，若投标人员需参加现场开标，应全程佩戴口罩等防护用具，自觉接受体温检测、接受疫情询问，并如实报告相关情况。请各投标人员遵守宁波市各项防疫措施规定。由于疫情防控的影响，请提早安排送标时间。</w:t>
      </w:r>
      <w:r>
        <w:rPr>
          <w:rFonts w:ascii="宋体" w:hAnsi="宋体" w:cs="宋体"/>
          <w:bCs/>
          <w:szCs w:val="21"/>
          <w:highlight w:val="none"/>
        </w:rPr>
        <w:t xml:space="preserve"> </w:t>
      </w:r>
    </w:p>
    <w:p>
      <w:pPr>
        <w:tabs>
          <w:tab w:val="left" w:pos="0"/>
        </w:tabs>
        <w:spacing w:line="360" w:lineRule="auto"/>
        <w:ind w:firstLine="420" w:firstLineChars="200"/>
        <w:rPr>
          <w:rFonts w:hint="eastAsia" w:ascii="宋体" w:hAnsi="宋体" w:cs="宋体"/>
          <w:bCs/>
          <w:highlight w:val="none"/>
        </w:rPr>
      </w:pPr>
      <w:r>
        <w:rPr>
          <w:rFonts w:hint="eastAsia" w:ascii="宋体" w:hAnsi="宋体"/>
          <w:bCs/>
          <w:szCs w:val="21"/>
          <w:highlight w:val="none"/>
        </w:rPr>
        <w:t>2.5</w:t>
      </w:r>
      <w:r>
        <w:rPr>
          <w:rFonts w:hint="eastAsia" w:ascii="宋体" w:hAnsi="宋体" w:cs="宋体"/>
          <w:bCs/>
          <w:highlight w:val="none"/>
        </w:rPr>
        <w:t>单位负责人为同一人或者存在直接控股、管理关系的不同供应商，不得同时参加同一合同项下的投标。为本项目提供整体设计、规范编制或者项目管理、监理、检测等服务的供应商，不得再参加本项目的采购活动。</w:t>
      </w:r>
    </w:p>
    <w:p>
      <w:pPr>
        <w:tabs>
          <w:tab w:val="left" w:pos="0"/>
        </w:tabs>
        <w:spacing w:line="360" w:lineRule="auto"/>
        <w:rPr>
          <w:rFonts w:hint="eastAsia" w:ascii="宋体" w:hAnsi="宋体" w:cs="宋体"/>
          <w:b/>
          <w:bCs/>
          <w:highlight w:val="none"/>
        </w:rPr>
      </w:pPr>
      <w:r>
        <w:rPr>
          <w:rFonts w:hint="eastAsia" w:ascii="宋体" w:hAnsi="宋体" w:cs="宋体"/>
          <w:b/>
          <w:bCs/>
          <w:highlight w:val="none"/>
        </w:rPr>
        <w:t>八、凡对本次招标提出询问、质疑、投诉，请按以下方式联系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1.采购人信息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名称：宁波市公安局</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地址：宁波市鄞州区北明程路788号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传真：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项目联系人（询问）：岑老师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项目联系方式（询问）：0574-81984626</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质疑联系人：</w:t>
      </w:r>
      <w:r>
        <w:rPr>
          <w:rFonts w:hint="eastAsia" w:ascii="宋体" w:hAnsi="宋体" w:cs="宋体"/>
          <w:szCs w:val="21"/>
          <w:highlight w:val="none"/>
          <w:lang w:val="en-US" w:eastAsia="zh-CN"/>
        </w:rPr>
        <w:t>夏老师</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质疑联系方式：0574-819846</w:t>
      </w:r>
      <w:r>
        <w:rPr>
          <w:rFonts w:hint="eastAsia" w:ascii="宋体" w:hAnsi="宋体" w:cs="宋体"/>
          <w:szCs w:val="21"/>
          <w:highlight w:val="none"/>
          <w:lang w:val="en-US" w:eastAsia="zh-CN"/>
        </w:rPr>
        <w:t>28</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2.采购代理机构信息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名称：宁波高正工程管理有限公司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地址：浙江省宁波市鄞州区嘉恒广场写字楼B座10楼</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传真：0</w:t>
      </w:r>
      <w:r>
        <w:rPr>
          <w:rFonts w:ascii="宋体" w:hAnsi="宋体" w:cs="宋体"/>
          <w:szCs w:val="21"/>
          <w:highlight w:val="none"/>
        </w:rPr>
        <w:t>574-87721309</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项目联系人（询问）：孔璐璐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项目联系方式（询问）：</w:t>
      </w:r>
      <w:r>
        <w:rPr>
          <w:rFonts w:ascii="宋体" w:hAnsi="宋体" w:cs="宋体"/>
          <w:szCs w:val="21"/>
          <w:highlight w:val="none"/>
        </w:rPr>
        <w:t>15258259470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质疑联系人：陈懿倩</w:t>
      </w:r>
      <w:r>
        <w:rPr>
          <w:rFonts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质疑联系方式：13616572427</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3.同级政府采购监督管理部门</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名    称：宁波市政府采购管理办公室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地    址：宁波市中山西路19号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传 </w:t>
      </w:r>
      <w:r>
        <w:rPr>
          <w:rFonts w:ascii="宋体" w:hAnsi="宋体" w:cs="宋体"/>
          <w:bCs/>
          <w:highlight w:val="none"/>
        </w:rPr>
        <w:t xml:space="preserve">   </w:t>
      </w:r>
      <w:r>
        <w:rPr>
          <w:rFonts w:hint="eastAsia" w:ascii="宋体" w:hAnsi="宋体" w:cs="宋体"/>
          <w:bCs/>
          <w:highlight w:val="none"/>
        </w:rPr>
        <w:t>真:</w:t>
      </w:r>
      <w:r>
        <w:rPr>
          <w:rFonts w:ascii="宋体" w:hAnsi="宋体" w:cs="宋体"/>
          <w:bCs/>
          <w:highlight w:val="none"/>
        </w:rPr>
        <w:t>/</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联系人 ：徐老师</w:t>
      </w:r>
    </w:p>
    <w:p>
      <w:pPr>
        <w:tabs>
          <w:tab w:val="left" w:pos="0"/>
        </w:tabs>
        <w:spacing w:line="360" w:lineRule="auto"/>
        <w:ind w:firstLine="420" w:firstLineChars="200"/>
        <w:rPr>
          <w:rFonts w:hint="eastAsia" w:ascii="宋体" w:hAnsi="宋体"/>
          <w:highlight w:val="none"/>
        </w:rPr>
      </w:pPr>
      <w:r>
        <w:rPr>
          <w:rFonts w:hint="eastAsia" w:ascii="宋体" w:hAnsi="宋体"/>
          <w:highlight w:val="none"/>
        </w:rPr>
        <w:t xml:space="preserve">监督投诉电话：0574-89388441 </w:t>
      </w:r>
    </w:p>
    <w:p>
      <w:pPr>
        <w:tabs>
          <w:tab w:val="left" w:pos="0"/>
        </w:tabs>
        <w:spacing w:line="360" w:lineRule="auto"/>
        <w:ind w:firstLine="420" w:firstLineChars="200"/>
        <w:rPr>
          <w:rFonts w:hint="eastAsia" w:ascii="宋体" w:hAnsi="宋体" w:cs="宋体"/>
          <w:bCs/>
          <w:highlight w:val="none"/>
        </w:rPr>
      </w:pPr>
      <w:r>
        <w:rPr>
          <w:rFonts w:hint="eastAsia" w:ascii="宋体" w:hAnsi="宋体" w:cs="宋体"/>
          <w:bCs/>
          <w:highlight w:val="none"/>
        </w:rPr>
        <w:t xml:space="preserve">若对项目采购电子交易系统操作有疑问，可登录政采云（https://www.zcygov.cn/），点击右侧咨询小采，获取采小蜜智能服务管家帮助，或拨打政采云服务热线400-881-7190获取热线服务帮助。 </w:t>
      </w:r>
    </w:p>
    <w:p>
      <w:pPr>
        <w:tabs>
          <w:tab w:val="left" w:pos="0"/>
        </w:tabs>
        <w:spacing w:line="360" w:lineRule="auto"/>
        <w:ind w:firstLine="420" w:firstLineChars="200"/>
        <w:rPr>
          <w:highlight w:val="none"/>
        </w:rPr>
      </w:pPr>
      <w:r>
        <w:rPr>
          <w:rFonts w:hint="eastAsia" w:ascii="宋体" w:hAnsi="宋体" w:cs="宋体"/>
          <w:bCs/>
          <w:highlight w:val="none"/>
        </w:rPr>
        <w:t>CA问题联系电话（人工）：汇信CA 400-888-4636；天谷CA 400-087-8198。</w:t>
      </w:r>
    </w:p>
    <w:p>
      <w:pPr>
        <w:tabs>
          <w:tab w:val="left" w:pos="0"/>
        </w:tabs>
        <w:spacing w:line="360" w:lineRule="auto"/>
        <w:ind w:firstLine="420" w:firstLineChars="200"/>
        <w:rPr>
          <w:highlight w:val="none"/>
        </w:rPr>
      </w:pPr>
    </w:p>
    <w:p>
      <w:pPr>
        <w:adjustRightInd w:val="0"/>
        <w:snapToGrid w:val="0"/>
        <w:spacing w:line="360" w:lineRule="auto"/>
        <w:ind w:left="570" w:hanging="570"/>
        <w:jc w:val="right"/>
        <w:rPr>
          <w:highlight w:val="none"/>
        </w:rPr>
        <w:sectPr>
          <w:headerReference r:id="rId5" w:type="default"/>
          <w:footerReference r:id="rId6" w:type="default"/>
          <w:pgSz w:w="11907" w:h="16840"/>
          <w:pgMar w:top="1252" w:right="1701" w:bottom="1276" w:left="1701" w:header="720" w:footer="720" w:gutter="0"/>
          <w:pgNumType w:start="1"/>
          <w:cols w:space="720" w:num="1"/>
          <w:docGrid w:type="linesAndChars" w:linePitch="285" w:charSpace="0"/>
        </w:sectPr>
      </w:pPr>
    </w:p>
    <w:bookmarkEnd w:id="9"/>
    <w:bookmarkEnd w:id="10"/>
    <w:bookmarkEnd w:id="11"/>
    <w:bookmarkEnd w:id="12"/>
    <w:bookmarkEnd w:id="13"/>
    <w:bookmarkEnd w:id="14"/>
    <w:bookmarkEnd w:id="15"/>
    <w:bookmarkEnd w:id="16"/>
    <w:bookmarkEnd w:id="17"/>
    <w:bookmarkEnd w:id="18"/>
    <w:bookmarkEnd w:id="19"/>
    <w:bookmarkEnd w:id="20"/>
    <w:p>
      <w:pPr>
        <w:pStyle w:val="5"/>
        <w:spacing w:before="120" w:after="120" w:line="360" w:lineRule="auto"/>
        <w:rPr>
          <w:rFonts w:hint="eastAsia" w:hAnsi="宋体"/>
          <w:sz w:val="44"/>
          <w:szCs w:val="48"/>
          <w:highlight w:val="none"/>
        </w:rPr>
      </w:pPr>
      <w:bookmarkStart w:id="21" w:name="_Toc13741"/>
      <w:r>
        <w:rPr>
          <w:rFonts w:hAnsi="宋体"/>
          <w:sz w:val="44"/>
          <w:szCs w:val="48"/>
          <w:highlight w:val="none"/>
        </w:rPr>
        <w:t xml:space="preserve">第二章  </w:t>
      </w:r>
      <w:bookmarkEnd w:id="0"/>
      <w:bookmarkEnd w:id="1"/>
      <w:bookmarkEnd w:id="2"/>
      <w:bookmarkEnd w:id="3"/>
      <w:r>
        <w:rPr>
          <w:rFonts w:hint="eastAsia" w:hAnsi="宋体"/>
          <w:sz w:val="44"/>
          <w:szCs w:val="48"/>
          <w:highlight w:val="none"/>
        </w:rPr>
        <w:t>投标资料表</w:t>
      </w:r>
      <w:bookmarkEnd w:id="2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87"/>
        <w:gridCol w:w="102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3" w:hRule="atLeast"/>
          <w:tblHeader/>
          <w:jc w:val="center"/>
        </w:trPr>
        <w:tc>
          <w:tcPr>
            <w:tcW w:w="687" w:type="dxa"/>
            <w:tcBorders>
              <w:bottom w:val="single" w:color="auto" w:sz="4" w:space="0"/>
            </w:tcBorders>
            <w:noWrap w:val="0"/>
            <w:vAlign w:val="center"/>
          </w:tcPr>
          <w:p>
            <w:pPr>
              <w:spacing w:line="360" w:lineRule="auto"/>
              <w:contextualSpacing/>
              <w:jc w:val="center"/>
              <w:rPr>
                <w:szCs w:val="21"/>
                <w:highlight w:val="none"/>
              </w:rPr>
            </w:pPr>
            <w:r>
              <w:rPr>
                <w:rFonts w:hint="eastAsia"/>
                <w:szCs w:val="21"/>
                <w:highlight w:val="none"/>
              </w:rPr>
              <w:t>序号</w:t>
            </w:r>
          </w:p>
        </w:tc>
        <w:tc>
          <w:tcPr>
            <w:tcW w:w="10230" w:type="dxa"/>
            <w:tcBorders>
              <w:bottom w:val="single" w:color="auto" w:sz="4" w:space="0"/>
            </w:tcBorders>
            <w:noWrap w:val="0"/>
            <w:vAlign w:val="center"/>
          </w:tcPr>
          <w:p>
            <w:pPr>
              <w:spacing w:line="360" w:lineRule="auto"/>
              <w:contextualSpacing/>
              <w:jc w:val="center"/>
              <w:rPr>
                <w:szCs w:val="21"/>
                <w:highlight w:val="none"/>
              </w:rPr>
            </w:pPr>
            <w:r>
              <w:rPr>
                <w:rFonts w:hint="eastAsia"/>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4" w:hRule="atLeast"/>
          <w:jc w:val="center"/>
        </w:trPr>
        <w:tc>
          <w:tcPr>
            <w:tcW w:w="687" w:type="dxa"/>
            <w:vMerge w:val="restart"/>
            <w:noWrap w:val="0"/>
            <w:vAlign w:val="center"/>
          </w:tcPr>
          <w:p>
            <w:pPr>
              <w:autoSpaceDE w:val="0"/>
              <w:autoSpaceDN w:val="0"/>
              <w:snapToGrid w:val="0"/>
              <w:spacing w:line="360" w:lineRule="auto"/>
              <w:contextualSpacing/>
              <w:jc w:val="center"/>
              <w:rPr>
                <w:szCs w:val="21"/>
                <w:highlight w:val="none"/>
              </w:rPr>
            </w:pPr>
            <w:r>
              <w:rPr>
                <w:rFonts w:hint="eastAsia"/>
                <w:szCs w:val="21"/>
                <w:highlight w:val="none"/>
              </w:rPr>
              <w:t>1</w:t>
            </w:r>
          </w:p>
        </w:tc>
        <w:tc>
          <w:tcPr>
            <w:tcW w:w="10230" w:type="dxa"/>
            <w:noWrap w:val="0"/>
            <w:vAlign w:val="center"/>
          </w:tcPr>
          <w:p>
            <w:pPr>
              <w:autoSpaceDE w:val="0"/>
              <w:autoSpaceDN w:val="0"/>
              <w:snapToGrid w:val="0"/>
              <w:spacing w:line="360" w:lineRule="auto"/>
              <w:contextualSpacing/>
              <w:rPr>
                <w:rFonts w:hint="eastAsia"/>
                <w:szCs w:val="21"/>
                <w:highlight w:val="none"/>
              </w:rPr>
            </w:pPr>
            <w:r>
              <w:rPr>
                <w:rFonts w:hint="eastAsia"/>
                <w:szCs w:val="21"/>
                <w:highlight w:val="none"/>
              </w:rPr>
              <w:t>采购人：宁波市公安局</w:t>
            </w:r>
          </w:p>
          <w:p>
            <w:pPr>
              <w:autoSpaceDE w:val="0"/>
              <w:autoSpaceDN w:val="0"/>
              <w:snapToGrid w:val="0"/>
              <w:spacing w:line="360" w:lineRule="auto"/>
              <w:contextualSpacing/>
              <w:rPr>
                <w:rFonts w:hint="eastAsia"/>
                <w:szCs w:val="21"/>
                <w:highlight w:val="none"/>
              </w:rPr>
            </w:pPr>
            <w:r>
              <w:rPr>
                <w:rFonts w:hint="eastAsia"/>
                <w:szCs w:val="21"/>
                <w:highlight w:val="none"/>
              </w:rPr>
              <w:t>联系人：</w:t>
            </w:r>
            <w:r>
              <w:rPr>
                <w:rFonts w:hint="eastAsia" w:ascii="宋体" w:hAnsi="宋体" w:cs="宋体"/>
                <w:szCs w:val="21"/>
                <w:highlight w:val="none"/>
              </w:rPr>
              <w:t xml:space="preserve">岑老师  </w:t>
            </w:r>
            <w:r>
              <w:rPr>
                <w:rFonts w:hint="eastAsia"/>
                <w:szCs w:val="21"/>
                <w:highlight w:val="none"/>
              </w:rPr>
              <w:t xml:space="preserve">    </w:t>
            </w:r>
          </w:p>
          <w:p>
            <w:pPr>
              <w:autoSpaceDE w:val="0"/>
              <w:autoSpaceDN w:val="0"/>
              <w:snapToGrid w:val="0"/>
              <w:spacing w:line="360" w:lineRule="auto"/>
              <w:contextualSpacing/>
              <w:rPr>
                <w:rFonts w:hint="eastAsia"/>
                <w:szCs w:val="21"/>
                <w:highlight w:val="none"/>
              </w:rPr>
            </w:pPr>
            <w:r>
              <w:rPr>
                <w:rFonts w:hint="eastAsia"/>
                <w:szCs w:val="21"/>
                <w:highlight w:val="none"/>
              </w:rPr>
              <w:t>联系电话：</w:t>
            </w:r>
            <w:r>
              <w:rPr>
                <w:rFonts w:hint="eastAsia" w:ascii="宋体" w:hAnsi="宋体" w:cs="宋体"/>
                <w:szCs w:val="21"/>
                <w:highlight w:val="none"/>
              </w:rPr>
              <w:t>0574-81984626</w:t>
            </w:r>
            <w:r>
              <w:rPr>
                <w:rFonts w:hint="eastAsia"/>
                <w:szCs w:val="21"/>
                <w:highlight w:val="none"/>
              </w:rPr>
              <w:t xml:space="preserve"> </w:t>
            </w:r>
          </w:p>
          <w:p>
            <w:pPr>
              <w:autoSpaceDE w:val="0"/>
              <w:autoSpaceDN w:val="0"/>
              <w:snapToGrid w:val="0"/>
              <w:spacing w:line="360" w:lineRule="auto"/>
              <w:contextualSpacing/>
              <w:rPr>
                <w:rFonts w:hint="eastAsia"/>
                <w:szCs w:val="24"/>
                <w:highlight w:val="none"/>
              </w:rPr>
            </w:pPr>
            <w:r>
              <w:rPr>
                <w:rFonts w:hint="eastAsia"/>
                <w:szCs w:val="21"/>
                <w:highlight w:val="none"/>
              </w:rPr>
              <w:t>联系地址：</w:t>
            </w:r>
            <w:r>
              <w:rPr>
                <w:rFonts w:hint="eastAsia" w:ascii="宋体" w:hAnsi="宋体" w:cs="宋体"/>
                <w:szCs w:val="21"/>
                <w:highlight w:val="none"/>
              </w:rPr>
              <w:t>宁波市鄞州区北明程路788号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86" w:hRule="atLeast"/>
          <w:jc w:val="center"/>
        </w:trPr>
        <w:tc>
          <w:tcPr>
            <w:tcW w:w="687" w:type="dxa"/>
            <w:vMerge w:val="continue"/>
            <w:noWrap w:val="0"/>
            <w:vAlign w:val="center"/>
          </w:tcPr>
          <w:p>
            <w:pPr>
              <w:autoSpaceDE w:val="0"/>
              <w:autoSpaceDN w:val="0"/>
              <w:snapToGrid w:val="0"/>
              <w:spacing w:line="360" w:lineRule="auto"/>
              <w:contextualSpacing/>
              <w:jc w:val="center"/>
              <w:rPr>
                <w:szCs w:val="21"/>
                <w:highlight w:val="none"/>
              </w:rPr>
            </w:pPr>
          </w:p>
        </w:tc>
        <w:tc>
          <w:tcPr>
            <w:tcW w:w="10230" w:type="dxa"/>
            <w:noWrap w:val="0"/>
            <w:vAlign w:val="center"/>
          </w:tcPr>
          <w:p>
            <w:pPr>
              <w:autoSpaceDE w:val="0"/>
              <w:autoSpaceDN w:val="0"/>
              <w:snapToGrid w:val="0"/>
              <w:spacing w:line="360" w:lineRule="auto"/>
              <w:contextualSpacing/>
              <w:rPr>
                <w:rFonts w:hint="eastAsia"/>
                <w:szCs w:val="21"/>
                <w:highlight w:val="none"/>
              </w:rPr>
            </w:pPr>
            <w:r>
              <w:rPr>
                <w:rFonts w:hint="eastAsia"/>
                <w:szCs w:val="21"/>
                <w:highlight w:val="none"/>
              </w:rPr>
              <w:t>采购代理：宁波高正工程管理有限公司</w:t>
            </w:r>
          </w:p>
          <w:p>
            <w:pPr>
              <w:autoSpaceDE w:val="0"/>
              <w:autoSpaceDN w:val="0"/>
              <w:snapToGrid w:val="0"/>
              <w:spacing w:line="360" w:lineRule="auto"/>
              <w:contextualSpacing/>
              <w:rPr>
                <w:rFonts w:hint="eastAsia"/>
                <w:szCs w:val="21"/>
                <w:highlight w:val="none"/>
              </w:rPr>
            </w:pPr>
            <w:r>
              <w:rPr>
                <w:rFonts w:hint="eastAsia"/>
                <w:szCs w:val="21"/>
                <w:highlight w:val="none"/>
              </w:rPr>
              <w:t>地    址：浙江省宁波市鄞州区嘉恒广场写字楼B座10楼</w:t>
            </w:r>
          </w:p>
          <w:p>
            <w:pPr>
              <w:autoSpaceDE w:val="0"/>
              <w:autoSpaceDN w:val="0"/>
              <w:snapToGrid w:val="0"/>
              <w:spacing w:line="360" w:lineRule="auto"/>
              <w:contextualSpacing/>
              <w:rPr>
                <w:rFonts w:hint="eastAsia"/>
                <w:szCs w:val="21"/>
                <w:highlight w:val="none"/>
              </w:rPr>
            </w:pPr>
            <w:r>
              <w:rPr>
                <w:rFonts w:hint="eastAsia"/>
                <w:szCs w:val="21"/>
                <w:highlight w:val="none"/>
              </w:rPr>
              <w:t>邮    编：315000</w:t>
            </w:r>
          </w:p>
          <w:p>
            <w:pPr>
              <w:autoSpaceDE w:val="0"/>
              <w:autoSpaceDN w:val="0"/>
              <w:snapToGrid w:val="0"/>
              <w:spacing w:line="360" w:lineRule="auto"/>
              <w:contextualSpacing/>
              <w:rPr>
                <w:szCs w:val="21"/>
                <w:highlight w:val="none"/>
              </w:rPr>
            </w:pPr>
            <w:r>
              <w:rPr>
                <w:rFonts w:hint="eastAsia"/>
                <w:szCs w:val="21"/>
                <w:highlight w:val="none"/>
              </w:rPr>
              <w:t>电    话：0574-87727358、15258259470</w:t>
            </w:r>
          </w:p>
          <w:p>
            <w:pPr>
              <w:autoSpaceDE w:val="0"/>
              <w:autoSpaceDN w:val="0"/>
              <w:snapToGrid w:val="0"/>
              <w:spacing w:line="360" w:lineRule="auto"/>
              <w:contextualSpacing/>
              <w:rPr>
                <w:rFonts w:hint="eastAsia"/>
                <w:szCs w:val="21"/>
                <w:highlight w:val="none"/>
              </w:rPr>
            </w:pPr>
            <w:r>
              <w:rPr>
                <w:rFonts w:hint="eastAsia"/>
                <w:szCs w:val="21"/>
                <w:highlight w:val="none"/>
              </w:rPr>
              <w:t>电子邮件：838976434@qq.com</w:t>
            </w:r>
          </w:p>
          <w:p>
            <w:pPr>
              <w:autoSpaceDE w:val="0"/>
              <w:autoSpaceDN w:val="0"/>
              <w:snapToGrid w:val="0"/>
              <w:spacing w:line="360" w:lineRule="auto"/>
              <w:contextualSpacing/>
              <w:rPr>
                <w:rFonts w:hint="eastAsia"/>
                <w:szCs w:val="24"/>
                <w:highlight w:val="none"/>
              </w:rPr>
            </w:pPr>
            <w:r>
              <w:rPr>
                <w:rFonts w:hint="eastAsia"/>
                <w:szCs w:val="21"/>
                <w:highlight w:val="none"/>
              </w:rPr>
              <w:t>联 系 人：孔璐璐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6" w:hRule="atLeast"/>
          <w:jc w:val="center"/>
        </w:trPr>
        <w:tc>
          <w:tcPr>
            <w:tcW w:w="687" w:type="dxa"/>
            <w:tcBorders>
              <w:top w:val="single" w:color="auto" w:sz="4" w:space="0"/>
              <w:bottom w:val="single" w:color="auto" w:sz="2" w:space="0"/>
            </w:tcBorders>
            <w:noWrap w:val="0"/>
            <w:vAlign w:val="center"/>
          </w:tcPr>
          <w:p>
            <w:pPr>
              <w:spacing w:line="360" w:lineRule="auto"/>
              <w:contextualSpacing/>
              <w:jc w:val="center"/>
              <w:rPr>
                <w:szCs w:val="21"/>
                <w:highlight w:val="none"/>
              </w:rPr>
            </w:pPr>
            <w:r>
              <w:rPr>
                <w:rFonts w:hint="eastAsia"/>
                <w:szCs w:val="21"/>
                <w:highlight w:val="none"/>
              </w:rPr>
              <w:t>2</w:t>
            </w:r>
          </w:p>
        </w:tc>
        <w:tc>
          <w:tcPr>
            <w:tcW w:w="10230" w:type="dxa"/>
            <w:tcBorders>
              <w:top w:val="single" w:color="auto" w:sz="4" w:space="0"/>
              <w:bottom w:val="single" w:color="auto" w:sz="2" w:space="0"/>
            </w:tcBorders>
            <w:noWrap w:val="0"/>
            <w:vAlign w:val="center"/>
          </w:tcPr>
          <w:p>
            <w:pPr>
              <w:spacing w:line="360" w:lineRule="auto"/>
              <w:contextualSpacing/>
              <w:rPr>
                <w:szCs w:val="21"/>
                <w:highlight w:val="none"/>
              </w:rPr>
            </w:pPr>
            <w:r>
              <w:rPr>
                <w:rFonts w:hint="eastAsia"/>
                <w:szCs w:val="24"/>
                <w:highlight w:val="none"/>
              </w:rPr>
              <w:t>经批准的本次采购方式：</w:t>
            </w:r>
            <w:r>
              <w:rPr>
                <w:rFonts w:hint="eastAsia" w:ascii="宋体" w:hAnsi="宋体" w:cs="宋体"/>
                <w:bCs/>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687" w:type="dxa"/>
            <w:tcBorders>
              <w:top w:val="single" w:color="auto" w:sz="4" w:space="0"/>
              <w:bottom w:val="single" w:color="auto" w:sz="2" w:space="0"/>
            </w:tcBorders>
            <w:noWrap w:val="0"/>
            <w:vAlign w:val="center"/>
          </w:tcPr>
          <w:p>
            <w:pPr>
              <w:spacing w:line="360" w:lineRule="auto"/>
              <w:contextualSpacing/>
              <w:jc w:val="center"/>
              <w:rPr>
                <w:szCs w:val="21"/>
                <w:highlight w:val="none"/>
              </w:rPr>
            </w:pPr>
            <w:r>
              <w:rPr>
                <w:rFonts w:hint="eastAsia"/>
                <w:szCs w:val="21"/>
                <w:highlight w:val="none"/>
              </w:rPr>
              <w:t>★3</w:t>
            </w:r>
          </w:p>
        </w:tc>
        <w:tc>
          <w:tcPr>
            <w:tcW w:w="10230" w:type="dxa"/>
            <w:tcBorders>
              <w:top w:val="single" w:color="auto" w:sz="4" w:space="0"/>
              <w:bottom w:val="single" w:color="auto" w:sz="2" w:space="0"/>
            </w:tcBorders>
            <w:noWrap w:val="0"/>
            <w:vAlign w:val="center"/>
          </w:tcPr>
          <w:p>
            <w:pPr>
              <w:spacing w:line="360" w:lineRule="auto"/>
              <w:contextualSpacing/>
              <w:rPr>
                <w:rFonts w:cs="Arial"/>
                <w:szCs w:val="21"/>
                <w:highlight w:val="none"/>
              </w:rPr>
            </w:pPr>
            <w:r>
              <w:rPr>
                <w:rFonts w:hint="eastAsia" w:cs="Arial"/>
                <w:b/>
                <w:bCs/>
                <w:szCs w:val="21"/>
                <w:highlight w:val="none"/>
              </w:rPr>
              <w:t>供应商</w:t>
            </w:r>
            <w:r>
              <w:rPr>
                <w:rFonts w:cs="Arial"/>
                <w:b/>
                <w:bCs/>
                <w:szCs w:val="21"/>
                <w:highlight w:val="none"/>
              </w:rPr>
              <w:t>的资格要求：</w:t>
            </w:r>
            <w:r>
              <w:rPr>
                <w:rFonts w:hint="eastAsia"/>
                <w:szCs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687" w:type="dxa"/>
            <w:tcBorders>
              <w:top w:val="single" w:color="auto" w:sz="4" w:space="0"/>
              <w:bottom w:val="single" w:color="auto" w:sz="2" w:space="0"/>
            </w:tcBorders>
            <w:noWrap w:val="0"/>
            <w:vAlign w:val="center"/>
          </w:tcPr>
          <w:p>
            <w:pPr>
              <w:spacing w:line="360" w:lineRule="auto"/>
              <w:contextualSpacing/>
              <w:jc w:val="center"/>
              <w:rPr>
                <w:szCs w:val="21"/>
                <w:highlight w:val="none"/>
              </w:rPr>
            </w:pPr>
            <w:r>
              <w:rPr>
                <w:rFonts w:hint="eastAsia"/>
                <w:szCs w:val="21"/>
                <w:highlight w:val="none"/>
              </w:rPr>
              <w:t>4</w:t>
            </w:r>
          </w:p>
        </w:tc>
        <w:tc>
          <w:tcPr>
            <w:tcW w:w="10230" w:type="dxa"/>
            <w:tcBorders>
              <w:top w:val="single" w:color="auto" w:sz="4" w:space="0"/>
              <w:bottom w:val="single" w:color="auto" w:sz="2" w:space="0"/>
            </w:tcBorders>
            <w:noWrap w:val="0"/>
            <w:vAlign w:val="center"/>
          </w:tcPr>
          <w:p>
            <w:pPr>
              <w:spacing w:line="360" w:lineRule="auto"/>
              <w:contextualSpacing/>
              <w:rPr>
                <w:szCs w:val="21"/>
                <w:highlight w:val="none"/>
              </w:rPr>
            </w:pPr>
            <w:r>
              <w:rPr>
                <w:rFonts w:hint="eastAsia"/>
                <w:szCs w:val="21"/>
                <w:highlight w:val="none"/>
              </w:rPr>
              <w:t>资格审查：本项目采用资格后审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687" w:type="dxa"/>
            <w:noWrap w:val="0"/>
            <w:vAlign w:val="center"/>
          </w:tcPr>
          <w:p>
            <w:pPr>
              <w:tabs>
                <w:tab w:val="left" w:pos="1580"/>
                <w:tab w:val="left" w:pos="3436"/>
                <w:tab w:val="left" w:pos="5512"/>
              </w:tabs>
              <w:spacing w:line="360" w:lineRule="auto"/>
              <w:contextualSpacing/>
              <w:jc w:val="center"/>
              <w:rPr>
                <w:szCs w:val="21"/>
                <w:highlight w:val="none"/>
              </w:rPr>
            </w:pPr>
            <w:r>
              <w:rPr>
                <w:rFonts w:hint="eastAsia"/>
                <w:szCs w:val="21"/>
                <w:highlight w:val="none"/>
              </w:rPr>
              <w:t>★5</w:t>
            </w:r>
          </w:p>
        </w:tc>
        <w:tc>
          <w:tcPr>
            <w:tcW w:w="10230" w:type="dxa"/>
            <w:noWrap w:val="0"/>
            <w:vAlign w:val="center"/>
          </w:tcPr>
          <w:p>
            <w:pPr>
              <w:autoSpaceDE w:val="0"/>
              <w:autoSpaceDN w:val="0"/>
              <w:snapToGrid w:val="0"/>
              <w:spacing w:line="360" w:lineRule="auto"/>
              <w:contextualSpacing/>
              <w:rPr>
                <w:rFonts w:hint="eastAsia"/>
                <w:szCs w:val="21"/>
                <w:highlight w:val="none"/>
              </w:rPr>
            </w:pPr>
            <w:r>
              <w:rPr>
                <w:rFonts w:hint="eastAsia"/>
                <w:szCs w:val="21"/>
                <w:highlight w:val="none"/>
              </w:rPr>
              <w:t>商务条款部分：</w:t>
            </w:r>
          </w:p>
          <w:p>
            <w:pPr>
              <w:numPr>
                <w:ilvl w:val="0"/>
                <w:numId w:val="3"/>
              </w:numPr>
              <w:autoSpaceDE w:val="0"/>
              <w:autoSpaceDN w:val="0"/>
              <w:snapToGrid w:val="0"/>
              <w:spacing w:line="360" w:lineRule="auto"/>
              <w:contextualSpacing/>
              <w:rPr>
                <w:rFonts w:hint="eastAsia"/>
                <w:szCs w:val="21"/>
                <w:highlight w:val="none"/>
              </w:rPr>
            </w:pPr>
            <w:r>
              <w:rPr>
                <w:rFonts w:hint="eastAsia" w:ascii="宋体" w:hAnsi="宋体" w:cs="宋体"/>
                <w:bCs/>
                <w:highlight w:val="none"/>
              </w:rPr>
              <w:t xml:space="preserve"> </w:t>
            </w:r>
            <w:r>
              <w:rPr>
                <w:rFonts w:hint="eastAsia" w:ascii="Times New Roman" w:hAnsi="Times New Roman"/>
                <w:szCs w:val="21"/>
                <w:highlight w:val="none"/>
              </w:rPr>
              <w:t>合同履约期限：</w:t>
            </w:r>
          </w:p>
          <w:p>
            <w:pPr>
              <w:autoSpaceDE w:val="0"/>
              <w:autoSpaceDN w:val="0"/>
              <w:snapToGrid w:val="0"/>
              <w:spacing w:line="360" w:lineRule="auto"/>
              <w:ind w:firstLine="420" w:firstLineChars="200"/>
              <w:contextualSpacing/>
              <w:rPr>
                <w:rFonts w:ascii="Times New Roman" w:hAnsi="Times New Roman"/>
                <w:szCs w:val="21"/>
                <w:highlight w:val="none"/>
              </w:rPr>
            </w:pPr>
            <w:r>
              <w:rPr>
                <w:rFonts w:hint="eastAsia" w:ascii="Times New Roman" w:hAnsi="Times New Roman"/>
                <w:szCs w:val="21"/>
                <w:highlight w:val="none"/>
              </w:rPr>
              <w:t>本项目要求建设实施工期共为6个月，即合同签订日起3个月内完成系统要求功能的开发并投入试运行，试运行3个月后进行验收。</w:t>
            </w:r>
          </w:p>
          <w:p>
            <w:pPr>
              <w:numPr>
                <w:ilvl w:val="0"/>
                <w:numId w:val="3"/>
              </w:numPr>
              <w:autoSpaceDE w:val="0"/>
              <w:autoSpaceDN w:val="0"/>
              <w:snapToGrid w:val="0"/>
              <w:spacing w:line="360" w:lineRule="auto"/>
              <w:contextualSpacing/>
              <w:rPr>
                <w:rFonts w:hint="eastAsia" w:ascii="Times New Roman" w:hAnsi="Times New Roman"/>
                <w:szCs w:val="21"/>
                <w:highlight w:val="none"/>
              </w:rPr>
            </w:pPr>
            <w:r>
              <w:rPr>
                <w:rFonts w:hint="eastAsia" w:ascii="Times New Roman" w:hAnsi="Times New Roman"/>
                <w:szCs w:val="21"/>
                <w:highlight w:val="none"/>
              </w:rPr>
              <w:t>服务地点：采购人指定地点。</w:t>
            </w:r>
          </w:p>
          <w:p>
            <w:pPr>
              <w:autoSpaceDE w:val="0"/>
              <w:autoSpaceDN w:val="0"/>
              <w:snapToGrid w:val="0"/>
              <w:spacing w:line="360" w:lineRule="auto"/>
              <w:ind w:firstLine="0" w:firstLineChars="0"/>
              <w:contextualSpacing/>
              <w:rPr>
                <w:rFonts w:hint="eastAsia" w:ascii="Times New Roman" w:hAnsi="Times New Roman"/>
                <w:szCs w:val="21"/>
                <w:highlight w:val="none"/>
              </w:rPr>
            </w:pPr>
            <w:r>
              <w:rPr>
                <w:rFonts w:hint="eastAsia" w:ascii="Times New Roman" w:hAnsi="Times New Roman"/>
                <w:szCs w:val="21"/>
                <w:highlight w:val="none"/>
                <w:lang w:val="en-US" w:eastAsia="zh-CN"/>
              </w:rPr>
              <w:t>3、</w:t>
            </w:r>
            <w:r>
              <w:rPr>
                <w:rFonts w:hint="eastAsia" w:ascii="Times New Roman" w:hAnsi="Times New Roman"/>
                <w:szCs w:val="21"/>
                <w:highlight w:val="none"/>
              </w:rPr>
              <w:t>付款方式：合同签订且甲方收到乙方发票后，7个工作日内甲方向乙方支付合同金额255.85万元；项目初验合格后，进入试运行阶段，试运行周期3个月；试运行结束遗留问题得到解决，且通过甲方组织的项目最终验收后，凭有效发票甲方向乙方支付至合同总价100%。</w:t>
            </w:r>
          </w:p>
          <w:p>
            <w:pPr>
              <w:widowControl/>
              <w:autoSpaceDE w:val="0"/>
              <w:autoSpaceDN w:val="0"/>
              <w:snapToGrid w:val="0"/>
              <w:spacing w:line="360" w:lineRule="auto"/>
              <w:ind w:firstLine="420" w:firstLineChars="200"/>
              <w:contextualSpacing/>
              <w:rPr>
                <w:rFonts w:ascii="Times New Roman" w:hAnsi="Times New Roman"/>
                <w:szCs w:val="21"/>
                <w:highlight w:val="none"/>
              </w:rPr>
            </w:pPr>
            <w:r>
              <w:rPr>
                <w:rFonts w:hint="eastAsia" w:ascii="Times New Roman" w:hAnsi="Times New Roman"/>
                <w:szCs w:val="21"/>
                <w:highlight w:val="none"/>
              </w:rPr>
              <w:t>注：付款前成交单位需提供有效的等额发票。</w:t>
            </w:r>
          </w:p>
          <w:p>
            <w:pPr>
              <w:autoSpaceDE w:val="0"/>
              <w:autoSpaceDN w:val="0"/>
              <w:snapToGrid w:val="0"/>
              <w:spacing w:line="360" w:lineRule="auto"/>
              <w:contextualSpacing/>
              <w:rPr>
                <w:rFonts w:hint="eastAsia"/>
                <w:szCs w:val="21"/>
                <w:highlight w:val="none"/>
              </w:rPr>
            </w:pPr>
            <w:r>
              <w:rPr>
                <w:rFonts w:hint="eastAsia"/>
                <w:szCs w:val="21"/>
                <w:highlight w:val="none"/>
                <w:lang w:val="en-US" w:eastAsia="zh-CN"/>
              </w:rPr>
              <w:t>4</w:t>
            </w:r>
            <w:r>
              <w:rPr>
                <w:rFonts w:hint="eastAsia"/>
                <w:szCs w:val="21"/>
                <w:highlight w:val="none"/>
              </w:rPr>
              <w:t xml:space="preserve">、履约保证金：①在合同签订后 3 个工作日，中标人须向采购人提交履约保证金。②履约保证金为合同总额的2.5%，履约保证金的交付方式：保函、现金或履约保险形式。③在合同履约完成最终验收合格后满 15 个工作日内无息退还（但如中标人未能履行合同规定的任何义务，采购人有权从履约保证金中得到补偿）。  </w:t>
            </w:r>
          </w:p>
          <w:p>
            <w:pPr>
              <w:autoSpaceDE w:val="0"/>
              <w:autoSpaceDN w:val="0"/>
              <w:snapToGrid w:val="0"/>
              <w:spacing w:line="360" w:lineRule="auto"/>
              <w:contextualSpacing/>
              <w:rPr>
                <w:rFonts w:hint="eastAsia"/>
                <w:szCs w:val="21"/>
                <w:highlight w:val="none"/>
              </w:rPr>
            </w:pPr>
            <w:r>
              <w:rPr>
                <w:rFonts w:hint="eastAsia"/>
                <w:szCs w:val="21"/>
                <w:highlight w:val="none"/>
                <w:lang w:val="en-US" w:eastAsia="zh-CN"/>
              </w:rPr>
              <w:t>5</w:t>
            </w:r>
            <w:r>
              <w:rPr>
                <w:rFonts w:hint="eastAsia"/>
                <w:szCs w:val="21"/>
                <w:highlight w:val="none"/>
              </w:rPr>
              <w:t>、转包与分包：本项目不得转包与分包。</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687" w:type="dxa"/>
            <w:noWrap w:val="0"/>
            <w:vAlign w:val="center"/>
          </w:tcPr>
          <w:p>
            <w:pPr>
              <w:tabs>
                <w:tab w:val="left" w:pos="1580"/>
                <w:tab w:val="left" w:pos="3436"/>
                <w:tab w:val="left" w:pos="5512"/>
              </w:tabs>
              <w:spacing w:line="360" w:lineRule="auto"/>
              <w:contextualSpacing/>
              <w:jc w:val="center"/>
              <w:rPr>
                <w:szCs w:val="21"/>
                <w:highlight w:val="none"/>
              </w:rPr>
            </w:pPr>
            <w:r>
              <w:rPr>
                <w:rFonts w:hint="eastAsia"/>
                <w:szCs w:val="21"/>
                <w:highlight w:val="none"/>
              </w:rPr>
              <w:t>★6</w:t>
            </w:r>
          </w:p>
        </w:tc>
        <w:tc>
          <w:tcPr>
            <w:tcW w:w="10230" w:type="dxa"/>
            <w:noWrap w:val="0"/>
            <w:vAlign w:val="center"/>
          </w:tcPr>
          <w:p>
            <w:pPr>
              <w:autoSpaceDE w:val="0"/>
              <w:autoSpaceDN w:val="0"/>
              <w:snapToGrid w:val="0"/>
              <w:spacing w:line="360" w:lineRule="auto"/>
              <w:contextualSpacing/>
              <w:rPr>
                <w:rFonts w:hint="eastAsia"/>
                <w:szCs w:val="21"/>
                <w:highlight w:val="none"/>
              </w:rPr>
            </w:pPr>
            <w:r>
              <w:rPr>
                <w:rFonts w:hint="eastAsia"/>
                <w:szCs w:val="21"/>
                <w:highlight w:val="none"/>
              </w:rPr>
              <w:t>投标报价：</w:t>
            </w:r>
          </w:p>
          <w:p>
            <w:pPr>
              <w:autoSpaceDE w:val="0"/>
              <w:autoSpaceDN w:val="0"/>
              <w:snapToGrid w:val="0"/>
              <w:spacing w:line="360" w:lineRule="auto"/>
              <w:contextualSpacing/>
              <w:rPr>
                <w:rFonts w:hint="eastAsia"/>
                <w:szCs w:val="21"/>
                <w:highlight w:val="none"/>
              </w:rPr>
            </w:pPr>
            <w:r>
              <w:rPr>
                <w:rFonts w:hint="eastAsia"/>
                <w:szCs w:val="21"/>
                <w:highlight w:val="none"/>
              </w:rPr>
              <w:t>1、本次采购最高限价（含税）：637万元。投标报价超过最高限价作无效标处理。</w:t>
            </w:r>
          </w:p>
          <w:p>
            <w:pPr>
              <w:autoSpaceDE w:val="0"/>
              <w:autoSpaceDN w:val="0"/>
              <w:snapToGrid w:val="0"/>
              <w:spacing w:line="360" w:lineRule="auto"/>
              <w:contextualSpacing/>
              <w:rPr>
                <w:rFonts w:hint="eastAsia"/>
                <w:szCs w:val="21"/>
                <w:highlight w:val="none"/>
              </w:rPr>
            </w:pPr>
            <w:r>
              <w:rPr>
                <w:rFonts w:hint="eastAsia"/>
                <w:szCs w:val="21"/>
                <w:highlight w:val="none"/>
              </w:rPr>
              <w:t>2、报价构成：报价是完成本项目全部服务内容的价格体现，包含但不限于项目人工费、设备费、管理费、</w:t>
            </w:r>
            <w:r>
              <w:rPr>
                <w:rFonts w:hint="eastAsia"/>
                <w:szCs w:val="21"/>
                <w:highlight w:val="none"/>
                <w:lang w:val="en-US" w:eastAsia="zh-CN"/>
              </w:rPr>
              <w:t>应急费用、</w:t>
            </w:r>
            <w:r>
              <w:rPr>
                <w:rFonts w:hint="eastAsia"/>
                <w:szCs w:val="21"/>
                <w:highlight w:val="none"/>
              </w:rPr>
              <w:t>利润、税金等与此有关的一切费用。</w:t>
            </w:r>
          </w:p>
          <w:p>
            <w:pPr>
              <w:autoSpaceDE w:val="0"/>
              <w:autoSpaceDN w:val="0"/>
              <w:snapToGrid w:val="0"/>
              <w:spacing w:line="360" w:lineRule="auto"/>
              <w:contextualSpacing/>
              <w:rPr>
                <w:szCs w:val="21"/>
                <w:highlight w:val="none"/>
              </w:rPr>
            </w:pPr>
            <w:r>
              <w:rPr>
                <w:rFonts w:hint="eastAsia"/>
                <w:szCs w:val="21"/>
                <w:highlight w:val="none"/>
              </w:rPr>
              <w:t>3、不论中标结果如何，供应商均应自行承担所有与投标有关的全部费用。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687" w:type="dxa"/>
            <w:noWrap w:val="0"/>
            <w:vAlign w:val="center"/>
          </w:tcPr>
          <w:p>
            <w:pPr>
              <w:tabs>
                <w:tab w:val="left" w:pos="1580"/>
                <w:tab w:val="left" w:pos="3436"/>
                <w:tab w:val="left" w:pos="5512"/>
              </w:tabs>
              <w:spacing w:line="360" w:lineRule="auto"/>
              <w:contextualSpacing/>
              <w:jc w:val="center"/>
              <w:rPr>
                <w:szCs w:val="21"/>
                <w:highlight w:val="none"/>
              </w:rPr>
            </w:pPr>
            <w:r>
              <w:rPr>
                <w:rFonts w:hint="eastAsia"/>
                <w:szCs w:val="21"/>
                <w:highlight w:val="none"/>
              </w:rPr>
              <w:t>★7</w:t>
            </w:r>
          </w:p>
        </w:tc>
        <w:tc>
          <w:tcPr>
            <w:tcW w:w="10230" w:type="dxa"/>
            <w:noWrap w:val="0"/>
            <w:vAlign w:val="center"/>
          </w:tcPr>
          <w:p>
            <w:pPr>
              <w:autoSpaceDE w:val="0"/>
              <w:autoSpaceDN w:val="0"/>
              <w:snapToGrid w:val="0"/>
              <w:spacing w:line="360" w:lineRule="auto"/>
              <w:contextualSpacing/>
              <w:rPr>
                <w:szCs w:val="21"/>
                <w:highlight w:val="none"/>
              </w:rPr>
            </w:pPr>
            <w:r>
              <w:rPr>
                <w:rFonts w:hint="eastAsia"/>
                <w:szCs w:val="21"/>
                <w:highlight w:val="none"/>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7" w:hRule="atLeast"/>
          <w:jc w:val="center"/>
        </w:trPr>
        <w:tc>
          <w:tcPr>
            <w:tcW w:w="687" w:type="dxa"/>
            <w:noWrap w:val="0"/>
            <w:vAlign w:val="center"/>
          </w:tcPr>
          <w:p>
            <w:pPr>
              <w:tabs>
                <w:tab w:val="left" w:pos="1580"/>
                <w:tab w:val="left" w:pos="3436"/>
                <w:tab w:val="left" w:pos="5512"/>
              </w:tabs>
              <w:spacing w:line="360" w:lineRule="auto"/>
              <w:contextualSpacing/>
              <w:jc w:val="center"/>
              <w:rPr>
                <w:rFonts w:hint="eastAsia"/>
                <w:szCs w:val="21"/>
                <w:highlight w:val="none"/>
              </w:rPr>
            </w:pPr>
            <w:r>
              <w:rPr>
                <w:rFonts w:hint="eastAsia"/>
                <w:szCs w:val="21"/>
                <w:highlight w:val="none"/>
              </w:rPr>
              <w:t>★8</w:t>
            </w:r>
          </w:p>
        </w:tc>
        <w:tc>
          <w:tcPr>
            <w:tcW w:w="10230" w:type="dxa"/>
            <w:noWrap w:val="0"/>
            <w:vAlign w:val="center"/>
          </w:tcPr>
          <w:p>
            <w:pPr>
              <w:spacing w:line="360" w:lineRule="auto"/>
              <w:contextualSpacing/>
              <w:rPr>
                <w:szCs w:val="21"/>
                <w:highlight w:val="none"/>
              </w:rPr>
            </w:pPr>
            <w:r>
              <w:rPr>
                <w:rFonts w:hint="eastAsia"/>
                <w:szCs w:val="21"/>
                <w:highlight w:val="none"/>
              </w:rPr>
              <w:t>保证金金额：无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589" w:hRule="atLeast"/>
          <w:jc w:val="center"/>
        </w:trPr>
        <w:tc>
          <w:tcPr>
            <w:tcW w:w="687" w:type="dxa"/>
            <w:tcBorders>
              <w:bottom w:val="single" w:color="auto" w:sz="2" w:space="0"/>
            </w:tcBorders>
            <w:noWrap w:val="0"/>
            <w:vAlign w:val="center"/>
          </w:tcPr>
          <w:p>
            <w:pPr>
              <w:autoSpaceDE w:val="0"/>
              <w:autoSpaceDN w:val="0"/>
              <w:snapToGrid w:val="0"/>
              <w:spacing w:line="360" w:lineRule="auto"/>
              <w:ind w:firstLine="210" w:firstLineChars="100"/>
              <w:contextualSpacing/>
              <w:rPr>
                <w:rFonts w:hint="eastAsia"/>
                <w:szCs w:val="21"/>
                <w:highlight w:val="none"/>
              </w:rPr>
            </w:pPr>
            <w:r>
              <w:rPr>
                <w:rFonts w:hint="eastAsia" w:ascii="Times New Roman" w:hAnsi="Times New Roman"/>
                <w:szCs w:val="21"/>
                <w:highlight w:val="none"/>
              </w:rPr>
              <w:t>9</w:t>
            </w:r>
          </w:p>
        </w:tc>
        <w:tc>
          <w:tcPr>
            <w:tcW w:w="10230" w:type="dxa"/>
            <w:noWrap w:val="0"/>
            <w:vAlign w:val="center"/>
          </w:tcPr>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现场踏勘：由采购人组织。</w:t>
            </w:r>
          </w:p>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时间：2022年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日下午14:</w:t>
            </w:r>
            <w:r>
              <w:rPr>
                <w:rFonts w:hint="eastAsia" w:ascii="宋体" w:hAnsi="宋体" w:cs="宋体"/>
                <w:szCs w:val="21"/>
                <w:highlight w:val="none"/>
                <w:lang w:val="en-US" w:eastAsia="zh-CN"/>
              </w:rPr>
              <w:t>30</w:t>
            </w:r>
            <w:r>
              <w:rPr>
                <w:rFonts w:hint="eastAsia" w:ascii="宋体" w:hAnsi="宋体" w:cs="宋体"/>
                <w:szCs w:val="21"/>
                <w:highlight w:val="none"/>
              </w:rPr>
              <w:t>现场踏勘。</w:t>
            </w:r>
          </w:p>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地址：宁波市海曙区西北街11号，岑警官；电话：0574-81984626。</w:t>
            </w:r>
          </w:p>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请各投标供应商自行前往，认真踏勘项目现场，以便对本次的服务内容、服务技术要求和维保要求有明确了解，并在投标报价中考虑可能影响报价的因素。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73" w:hRule="atLeast"/>
          <w:jc w:val="center"/>
        </w:trPr>
        <w:tc>
          <w:tcPr>
            <w:tcW w:w="687" w:type="dxa"/>
            <w:tcBorders>
              <w:bottom w:val="single" w:color="auto" w:sz="2" w:space="0"/>
            </w:tcBorders>
            <w:noWrap w:val="0"/>
            <w:vAlign w:val="center"/>
          </w:tcPr>
          <w:p>
            <w:pPr>
              <w:autoSpaceDE w:val="0"/>
              <w:autoSpaceDN w:val="0"/>
              <w:snapToGrid w:val="0"/>
              <w:spacing w:line="360" w:lineRule="auto"/>
              <w:contextualSpacing/>
              <w:rPr>
                <w:szCs w:val="21"/>
                <w:highlight w:val="none"/>
              </w:rPr>
            </w:pPr>
            <w:r>
              <w:rPr>
                <w:rFonts w:hint="eastAsia"/>
                <w:szCs w:val="21"/>
                <w:highlight w:val="none"/>
              </w:rPr>
              <w:t>★9</w:t>
            </w:r>
          </w:p>
        </w:tc>
        <w:tc>
          <w:tcPr>
            <w:tcW w:w="10230" w:type="dxa"/>
            <w:noWrap w:val="0"/>
            <w:vAlign w:val="center"/>
          </w:tcPr>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投标文件份数：本项目实行网上投标，供应商应准备以下投标文件：</w:t>
            </w:r>
          </w:p>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★1、上传到政府采购云平台的电子投标文件（含资格文件、商务技术文件、报价文件）1份。</w:t>
            </w:r>
          </w:p>
          <w:p>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2、以 U 盘形式存储的电子备份投标文件（含资格文件、商务技术文件、报价文件）1份。</w:t>
            </w:r>
          </w:p>
          <w:p>
            <w:pPr>
              <w:autoSpaceDE w:val="0"/>
              <w:autoSpaceDN w:val="0"/>
              <w:snapToGrid w:val="0"/>
              <w:spacing w:line="360" w:lineRule="auto"/>
              <w:contextualSpacing/>
              <w:rPr>
                <w:rFonts w:hint="eastAsia"/>
                <w:szCs w:val="21"/>
                <w:highlight w:val="none"/>
              </w:rPr>
            </w:pPr>
            <w:r>
              <w:rPr>
                <w:rFonts w:hint="eastAsia" w:ascii="宋体" w:hAnsi="宋体" w:cs="宋体"/>
                <w:szCs w:val="21"/>
                <w:highlight w:val="none"/>
              </w:rPr>
              <w:t>注：电子备份投标文件不作实质性要求，是否提交由投标人自行决定。</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687" w:type="dxa"/>
            <w:tcBorders>
              <w:top w:val="single" w:color="auto" w:sz="2" w:space="0"/>
              <w:bottom w:val="single" w:color="auto" w:sz="4" w:space="0"/>
            </w:tcBorders>
            <w:noWrap w:val="0"/>
            <w:vAlign w:val="center"/>
          </w:tcPr>
          <w:p>
            <w:pPr>
              <w:autoSpaceDE w:val="0"/>
              <w:autoSpaceDN w:val="0"/>
              <w:snapToGrid w:val="0"/>
              <w:spacing w:line="360" w:lineRule="auto"/>
              <w:contextualSpacing/>
              <w:jc w:val="center"/>
              <w:rPr>
                <w:szCs w:val="21"/>
                <w:highlight w:val="none"/>
              </w:rPr>
            </w:pPr>
            <w:r>
              <w:rPr>
                <w:rFonts w:hint="eastAsia"/>
                <w:szCs w:val="21"/>
                <w:highlight w:val="none"/>
              </w:rPr>
              <w:t>10</w:t>
            </w:r>
          </w:p>
        </w:tc>
        <w:tc>
          <w:tcPr>
            <w:tcW w:w="10230" w:type="dxa"/>
            <w:tcBorders>
              <w:top w:val="single" w:color="auto" w:sz="2" w:space="0"/>
              <w:bottom w:val="single" w:color="auto" w:sz="4" w:space="0"/>
            </w:tcBorders>
            <w:noWrap w:val="0"/>
            <w:vAlign w:val="center"/>
          </w:tcPr>
          <w:p>
            <w:pPr>
              <w:autoSpaceDE w:val="0"/>
              <w:autoSpaceDN w:val="0"/>
              <w:snapToGrid w:val="0"/>
              <w:spacing w:line="360" w:lineRule="auto"/>
              <w:contextualSpacing/>
              <w:rPr>
                <w:rFonts w:hint="eastAsia"/>
                <w:szCs w:val="21"/>
                <w:highlight w:val="none"/>
              </w:rPr>
            </w:pPr>
            <w:r>
              <w:rPr>
                <w:rFonts w:hint="eastAsia" w:ascii="宋体" w:hAnsi="宋体" w:cs="宋体"/>
                <w:szCs w:val="21"/>
                <w:highlight w:val="none"/>
              </w:rPr>
              <w:t>投标截止时间和地点：详见第一章 采购公告“投标截止时间和地点”。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687" w:type="dxa"/>
            <w:tcBorders>
              <w:top w:val="single" w:color="auto" w:sz="2" w:space="0"/>
              <w:bottom w:val="single" w:color="auto" w:sz="4" w:space="0"/>
            </w:tcBorders>
            <w:noWrap w:val="0"/>
            <w:vAlign w:val="center"/>
          </w:tcPr>
          <w:p>
            <w:pPr>
              <w:autoSpaceDE w:val="0"/>
              <w:autoSpaceDN w:val="0"/>
              <w:snapToGrid w:val="0"/>
              <w:spacing w:line="360" w:lineRule="auto"/>
              <w:contextualSpacing/>
              <w:jc w:val="center"/>
              <w:rPr>
                <w:rFonts w:hint="eastAsia"/>
                <w:szCs w:val="21"/>
                <w:highlight w:val="none"/>
              </w:rPr>
            </w:pPr>
            <w:r>
              <w:rPr>
                <w:rFonts w:hint="eastAsia"/>
                <w:szCs w:val="21"/>
                <w:highlight w:val="none"/>
              </w:rPr>
              <w:t>11</w:t>
            </w:r>
          </w:p>
        </w:tc>
        <w:tc>
          <w:tcPr>
            <w:tcW w:w="10230" w:type="dxa"/>
            <w:tcBorders>
              <w:top w:val="single" w:color="auto" w:sz="2" w:space="0"/>
              <w:bottom w:val="single" w:color="auto" w:sz="4" w:space="0"/>
            </w:tcBorders>
            <w:noWrap w:val="0"/>
            <w:vAlign w:val="center"/>
          </w:tcPr>
          <w:p>
            <w:pPr>
              <w:autoSpaceDE w:val="0"/>
              <w:autoSpaceDN w:val="0"/>
              <w:snapToGrid w:val="0"/>
              <w:spacing w:line="360" w:lineRule="auto"/>
              <w:contextualSpacing/>
              <w:rPr>
                <w:rFonts w:hint="eastAsia"/>
                <w:szCs w:val="21"/>
                <w:highlight w:val="none"/>
              </w:rPr>
            </w:pPr>
            <w:r>
              <w:rPr>
                <w:rFonts w:hint="eastAsia"/>
                <w:szCs w:val="21"/>
                <w:highlight w:val="none"/>
              </w:rPr>
              <w:t>采购标的：宁波市反电诈全维智控平台（一期）—“96110”全民反诈等应用及数据资源建设。</w:t>
            </w:r>
          </w:p>
          <w:p>
            <w:pPr>
              <w:autoSpaceDE w:val="0"/>
              <w:autoSpaceDN w:val="0"/>
              <w:snapToGrid w:val="0"/>
              <w:spacing w:line="360" w:lineRule="auto"/>
              <w:contextualSpacing/>
              <w:rPr>
                <w:rFonts w:hint="eastAsia"/>
                <w:szCs w:val="21"/>
                <w:highlight w:val="none"/>
              </w:rPr>
            </w:pPr>
            <w:r>
              <w:rPr>
                <w:rFonts w:hint="eastAsia"/>
                <w:szCs w:val="21"/>
                <w:highlight w:val="none"/>
              </w:rPr>
              <w:t>所属行业：软件和信息技术服务业行业。</w:t>
            </w:r>
          </w:p>
          <w:p>
            <w:pPr>
              <w:autoSpaceDE w:val="0"/>
              <w:autoSpaceDN w:val="0"/>
              <w:snapToGrid w:val="0"/>
              <w:spacing w:line="360" w:lineRule="auto"/>
              <w:contextualSpacing/>
              <w:rPr>
                <w:rFonts w:hint="eastAsia"/>
                <w:szCs w:val="21"/>
                <w:highlight w:val="none"/>
              </w:rPr>
            </w:pPr>
            <w:r>
              <w:rPr>
                <w:rFonts w:hint="eastAsia"/>
                <w:szCs w:val="21"/>
                <w:highlight w:val="none"/>
              </w:rPr>
              <w:t>行业划分标准：《关于印发中小企业划型标准规定的通知》工信部联企业〔2011〕300号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687" w:type="dxa"/>
            <w:tcBorders>
              <w:top w:val="single" w:color="auto" w:sz="2" w:space="0"/>
              <w:bottom w:val="single" w:color="auto" w:sz="4" w:space="0"/>
            </w:tcBorders>
            <w:noWrap w:val="0"/>
            <w:vAlign w:val="center"/>
          </w:tcPr>
          <w:p>
            <w:pPr>
              <w:autoSpaceDE w:val="0"/>
              <w:autoSpaceDN w:val="0"/>
              <w:snapToGrid w:val="0"/>
              <w:spacing w:line="360" w:lineRule="auto"/>
              <w:contextualSpacing/>
              <w:jc w:val="center"/>
              <w:rPr>
                <w:szCs w:val="21"/>
                <w:highlight w:val="none"/>
              </w:rPr>
            </w:pPr>
            <w:r>
              <w:rPr>
                <w:rFonts w:hint="eastAsia"/>
                <w:szCs w:val="21"/>
                <w:highlight w:val="none"/>
              </w:rPr>
              <w:t>12</w:t>
            </w:r>
          </w:p>
        </w:tc>
        <w:tc>
          <w:tcPr>
            <w:tcW w:w="10230" w:type="dxa"/>
            <w:tcBorders>
              <w:top w:val="single" w:color="auto" w:sz="2" w:space="0"/>
              <w:bottom w:val="single" w:color="auto" w:sz="4" w:space="0"/>
            </w:tcBorders>
            <w:noWrap w:val="0"/>
            <w:vAlign w:val="center"/>
          </w:tcPr>
          <w:p>
            <w:pPr>
              <w:autoSpaceDE w:val="0"/>
              <w:autoSpaceDN w:val="0"/>
              <w:snapToGrid w:val="0"/>
              <w:spacing w:line="360" w:lineRule="auto"/>
              <w:contextualSpacing/>
              <w:rPr>
                <w:szCs w:val="21"/>
                <w:highlight w:val="none"/>
              </w:rPr>
            </w:pPr>
            <w:r>
              <w:rPr>
                <w:rFonts w:hint="eastAsia"/>
                <w:szCs w:val="21"/>
                <w:highlight w:val="none"/>
              </w:rPr>
              <w:t>开标顺序：同时开启资格文件 、商务技术文件、报价文件。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83" w:hRule="atLeast"/>
          <w:jc w:val="center"/>
        </w:trPr>
        <w:tc>
          <w:tcPr>
            <w:tcW w:w="687" w:type="dxa"/>
            <w:tcBorders>
              <w:top w:val="single" w:color="auto" w:sz="2" w:space="0"/>
            </w:tcBorders>
            <w:noWrap w:val="0"/>
            <w:vAlign w:val="center"/>
          </w:tcPr>
          <w:p>
            <w:pPr>
              <w:autoSpaceDE w:val="0"/>
              <w:autoSpaceDN w:val="0"/>
              <w:snapToGrid w:val="0"/>
              <w:spacing w:line="360" w:lineRule="auto"/>
              <w:contextualSpacing/>
              <w:jc w:val="center"/>
              <w:rPr>
                <w:szCs w:val="21"/>
                <w:highlight w:val="none"/>
              </w:rPr>
            </w:pPr>
            <w:r>
              <w:rPr>
                <w:rFonts w:hint="eastAsia"/>
                <w:szCs w:val="21"/>
                <w:highlight w:val="none"/>
              </w:rPr>
              <w:t>13</w:t>
            </w:r>
          </w:p>
        </w:tc>
        <w:tc>
          <w:tcPr>
            <w:tcW w:w="10230" w:type="dxa"/>
            <w:tcBorders>
              <w:top w:val="single" w:color="auto" w:sz="2" w:space="0"/>
            </w:tcBorders>
            <w:noWrap w:val="0"/>
            <w:vAlign w:val="center"/>
          </w:tcPr>
          <w:p>
            <w:pPr>
              <w:autoSpaceDE w:val="0"/>
              <w:autoSpaceDN w:val="0"/>
              <w:snapToGrid w:val="0"/>
              <w:spacing w:line="360" w:lineRule="auto"/>
              <w:contextualSpacing/>
              <w:jc w:val="left"/>
              <w:rPr>
                <w:rFonts w:hint="eastAsia" w:ascii="Times New Roman" w:hAnsi="Times New Roman"/>
                <w:szCs w:val="21"/>
                <w:highlight w:val="none"/>
              </w:rPr>
            </w:pPr>
            <w:r>
              <w:rPr>
                <w:rFonts w:hint="eastAsia" w:ascii="Times New Roman" w:hAnsi="Times New Roman"/>
                <w:szCs w:val="21"/>
                <w:highlight w:val="none"/>
              </w:rPr>
              <w:t>评标委员会的组建：评标委员会构成：≥5 人，采购人代表： ≤1人，评审专家≥4人。</w:t>
            </w:r>
          </w:p>
          <w:p>
            <w:pPr>
              <w:autoSpaceDE w:val="0"/>
              <w:autoSpaceDN w:val="0"/>
              <w:snapToGrid w:val="0"/>
              <w:spacing w:line="360" w:lineRule="auto"/>
              <w:contextualSpacing/>
              <w:jc w:val="left"/>
              <w:rPr>
                <w:rFonts w:hint="eastAsia" w:ascii="宋体" w:hAnsi="宋体"/>
                <w:b/>
                <w:bCs/>
                <w:szCs w:val="21"/>
                <w:highlight w:val="none"/>
              </w:rPr>
            </w:pPr>
            <w:r>
              <w:rPr>
                <w:rFonts w:hint="eastAsia" w:ascii="Times New Roman" w:hAnsi="Times New Roman"/>
                <w:szCs w:val="21"/>
                <w:highlight w:val="none"/>
              </w:rPr>
              <w:t>评审专家确定方式：在浙江省政府采购评审专家库宁波分库（政采云）中随机抽取。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687" w:type="dxa"/>
            <w:tcBorders>
              <w:top w:val="single" w:color="auto" w:sz="2" w:space="0"/>
            </w:tcBorders>
            <w:noWrap w:val="0"/>
            <w:vAlign w:val="center"/>
          </w:tcPr>
          <w:p>
            <w:pPr>
              <w:autoSpaceDE w:val="0"/>
              <w:autoSpaceDN w:val="0"/>
              <w:snapToGrid w:val="0"/>
              <w:spacing w:line="360" w:lineRule="auto"/>
              <w:contextualSpacing/>
              <w:jc w:val="center"/>
              <w:rPr>
                <w:szCs w:val="21"/>
                <w:highlight w:val="none"/>
              </w:rPr>
            </w:pPr>
            <w:r>
              <w:rPr>
                <w:rFonts w:hint="eastAsia"/>
                <w:szCs w:val="21"/>
                <w:highlight w:val="none"/>
              </w:rPr>
              <w:t>14</w:t>
            </w:r>
          </w:p>
        </w:tc>
        <w:tc>
          <w:tcPr>
            <w:tcW w:w="10230" w:type="dxa"/>
            <w:tcBorders>
              <w:top w:val="single" w:color="auto" w:sz="2" w:space="0"/>
            </w:tcBorders>
            <w:noWrap w:val="0"/>
            <w:vAlign w:val="center"/>
          </w:tcPr>
          <w:p>
            <w:pPr>
              <w:spacing w:line="360" w:lineRule="auto"/>
              <w:jc w:val="left"/>
              <w:rPr>
                <w:rFonts w:hint="eastAsia" w:ascii="宋体" w:hAnsi="宋体"/>
                <w:b/>
                <w:bCs/>
                <w:szCs w:val="21"/>
                <w:highlight w:val="none"/>
              </w:rPr>
            </w:pPr>
            <w:r>
              <w:rPr>
                <w:rFonts w:hint="eastAsia" w:ascii="宋体" w:hAnsi="宋体"/>
                <w:b/>
                <w:bCs/>
                <w:szCs w:val="21"/>
                <w:highlight w:val="none"/>
              </w:rPr>
              <w:t>本项目信息发布媒体：</w:t>
            </w:r>
            <w:r>
              <w:rPr>
                <w:rFonts w:hint="eastAsia" w:ascii="宋体" w:hAnsi="宋体"/>
                <w:szCs w:val="21"/>
                <w:highlight w:val="none"/>
              </w:rPr>
              <w:t>浙江政府采购网  https://zfcg.czt.zj.gov.cn/、宁波市政府采购网  www.nbzfcg.cn</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687" w:type="dxa"/>
            <w:tcBorders>
              <w:top w:val="single" w:color="auto" w:sz="2" w:space="0"/>
            </w:tcBorders>
            <w:noWrap w:val="0"/>
            <w:vAlign w:val="center"/>
          </w:tcPr>
          <w:p>
            <w:pPr>
              <w:autoSpaceDE w:val="0"/>
              <w:autoSpaceDN w:val="0"/>
              <w:snapToGrid w:val="0"/>
              <w:spacing w:line="360" w:lineRule="auto"/>
              <w:contextualSpacing/>
              <w:jc w:val="center"/>
              <w:rPr>
                <w:szCs w:val="21"/>
                <w:highlight w:val="none"/>
              </w:rPr>
            </w:pPr>
            <w:r>
              <w:rPr>
                <w:rFonts w:hint="eastAsia"/>
                <w:szCs w:val="21"/>
                <w:highlight w:val="none"/>
              </w:rPr>
              <w:t>15</w:t>
            </w:r>
          </w:p>
        </w:tc>
        <w:tc>
          <w:tcPr>
            <w:tcW w:w="10230" w:type="dxa"/>
            <w:tcBorders>
              <w:top w:val="single" w:color="auto" w:sz="2" w:space="0"/>
            </w:tcBorders>
            <w:noWrap w:val="0"/>
            <w:vAlign w:val="center"/>
          </w:tcPr>
          <w:p>
            <w:pPr>
              <w:snapToGrid w:val="0"/>
              <w:spacing w:line="360" w:lineRule="auto"/>
              <w:rPr>
                <w:rFonts w:hint="eastAsia"/>
                <w:highlight w:val="none"/>
                <w:lang w:val="zh-CN"/>
              </w:rPr>
            </w:pPr>
            <w:r>
              <w:rPr>
                <w:rFonts w:hint="eastAsia"/>
                <w:highlight w:val="none"/>
                <w:lang w:val="zh-CN"/>
              </w:rPr>
              <w:t>代理服务费：</w:t>
            </w:r>
          </w:p>
          <w:p>
            <w:pPr>
              <w:autoSpaceDE w:val="0"/>
              <w:autoSpaceDN w:val="0"/>
              <w:snapToGrid w:val="0"/>
              <w:spacing w:line="360" w:lineRule="auto"/>
              <w:contextualSpacing/>
              <w:rPr>
                <w:rFonts w:hint="eastAsia"/>
                <w:b/>
                <w:bCs/>
                <w:szCs w:val="21"/>
                <w:highlight w:val="none"/>
                <w:lang w:val="zh-CN"/>
              </w:rPr>
            </w:pPr>
            <w:r>
              <w:rPr>
                <w:rFonts w:hint="eastAsia"/>
                <w:b/>
                <w:bCs/>
                <w:szCs w:val="21"/>
                <w:highlight w:val="none"/>
              </w:rPr>
              <w:t>1、</w:t>
            </w:r>
            <w:r>
              <w:rPr>
                <w:rFonts w:hint="eastAsia"/>
                <w:b/>
                <w:bCs/>
                <w:szCs w:val="21"/>
                <w:highlight w:val="none"/>
                <w:lang w:val="zh-CN"/>
              </w:rPr>
              <w:t>不论投标结果如何，供应商均应自行承担所有与投标有关的全部费用；</w:t>
            </w:r>
          </w:p>
          <w:p>
            <w:pPr>
              <w:autoSpaceDE w:val="0"/>
              <w:autoSpaceDN w:val="0"/>
              <w:snapToGrid w:val="0"/>
              <w:spacing w:line="360" w:lineRule="auto"/>
              <w:contextualSpacing/>
              <w:rPr>
                <w:b/>
                <w:bCs/>
                <w:szCs w:val="21"/>
                <w:highlight w:val="none"/>
              </w:rPr>
            </w:pPr>
            <w:r>
              <w:rPr>
                <w:rFonts w:hint="eastAsia"/>
                <w:b/>
                <w:bCs/>
                <w:szCs w:val="21"/>
                <w:highlight w:val="none"/>
              </w:rPr>
              <w:t>2、代理服务费金额：代理服务费参考《招标代理服务收费管理暂行办法》（计价格[2002]1980号）确定的基准收费标准的80%计算，扣除实际专家评审费后支付。代理服务费</w:t>
            </w:r>
            <w:r>
              <w:rPr>
                <w:rFonts w:hint="eastAsia" w:ascii="宋体" w:hAnsi="宋体" w:cs="宋体"/>
                <w:b/>
                <w:bCs/>
                <w:szCs w:val="21"/>
                <w:highlight w:val="none"/>
              </w:rPr>
              <w:t>向</w:t>
            </w:r>
            <w:r>
              <w:rPr>
                <w:rFonts w:hint="eastAsia" w:ascii="宋体" w:hAnsi="宋体"/>
                <w:b/>
                <w:bCs/>
                <w:szCs w:val="21"/>
                <w:highlight w:val="none"/>
              </w:rPr>
              <w:t>成交供应商</w:t>
            </w:r>
            <w:r>
              <w:rPr>
                <w:rFonts w:hint="eastAsia" w:ascii="宋体" w:hAnsi="宋体" w:cs="宋体"/>
                <w:b/>
                <w:bCs/>
                <w:szCs w:val="21"/>
                <w:highlight w:val="none"/>
              </w:rPr>
              <w:t>收取。</w:t>
            </w:r>
          </w:p>
          <w:p>
            <w:pPr>
              <w:autoSpaceDE w:val="0"/>
              <w:autoSpaceDN w:val="0"/>
              <w:snapToGrid w:val="0"/>
              <w:spacing w:line="360" w:lineRule="auto"/>
              <w:contextualSpacing/>
              <w:rPr>
                <w:rFonts w:hint="eastAsia" w:ascii="宋体" w:hAnsi="宋体"/>
                <w:b/>
                <w:bCs/>
                <w:szCs w:val="21"/>
                <w:highlight w:val="none"/>
              </w:rPr>
            </w:pPr>
            <w:r>
              <w:rPr>
                <w:rFonts w:hint="eastAsia" w:ascii="宋体" w:hAnsi="宋体"/>
                <w:b/>
                <w:bCs/>
                <w:szCs w:val="21"/>
                <w:highlight w:val="none"/>
              </w:rPr>
              <w:t>成交供应商应在代理机构发出成交通知书5个工作日内向本代理机构支付代理服务费。</w:t>
            </w:r>
          </w:p>
          <w:p>
            <w:pPr>
              <w:spacing w:line="360" w:lineRule="auto"/>
              <w:jc w:val="left"/>
              <w:rPr>
                <w:rFonts w:hint="eastAsia" w:ascii="宋体" w:hAnsi="宋体"/>
                <w:b/>
                <w:bCs/>
                <w:szCs w:val="21"/>
                <w:highlight w:val="none"/>
              </w:rPr>
            </w:pPr>
            <w:r>
              <w:rPr>
                <w:rFonts w:hint="eastAsia" w:ascii="宋体" w:hAnsi="宋体"/>
                <w:b/>
                <w:bCs/>
                <w:szCs w:val="21"/>
                <w:highlight w:val="none"/>
              </w:rPr>
              <w:t>代理服务费只收现金、银行票汇款、电汇款。</w:t>
            </w:r>
          </w:p>
          <w:p>
            <w:pPr>
              <w:spacing w:line="360" w:lineRule="auto"/>
              <w:jc w:val="left"/>
              <w:rPr>
                <w:rFonts w:hint="eastAsia" w:ascii="宋体" w:hAnsi="宋体"/>
                <w:b/>
                <w:bCs/>
                <w:szCs w:val="21"/>
                <w:highlight w:val="none"/>
              </w:rPr>
            </w:pPr>
            <w:r>
              <w:rPr>
                <w:rFonts w:hint="eastAsia" w:ascii="宋体" w:hAnsi="宋体"/>
                <w:b/>
                <w:bCs/>
                <w:szCs w:val="21"/>
                <w:highlight w:val="none"/>
              </w:rPr>
              <w:t>收 款 人：宁波高正工程管理有限公司</w:t>
            </w:r>
          </w:p>
          <w:p>
            <w:pPr>
              <w:spacing w:line="360" w:lineRule="auto"/>
              <w:jc w:val="left"/>
              <w:rPr>
                <w:rFonts w:hint="eastAsia" w:ascii="宋体" w:hAnsi="宋体"/>
                <w:b/>
                <w:bCs/>
                <w:szCs w:val="21"/>
                <w:highlight w:val="none"/>
              </w:rPr>
            </w:pPr>
            <w:r>
              <w:rPr>
                <w:rFonts w:hint="eastAsia" w:ascii="宋体" w:hAnsi="宋体"/>
                <w:b/>
                <w:bCs/>
                <w:szCs w:val="21"/>
                <w:highlight w:val="none"/>
              </w:rPr>
              <w:t>开户银行：中国银行宁波市江东支行</w:t>
            </w:r>
          </w:p>
          <w:p>
            <w:pPr>
              <w:spacing w:line="360" w:lineRule="auto"/>
              <w:jc w:val="left"/>
              <w:rPr>
                <w:rFonts w:hint="eastAsia"/>
                <w:szCs w:val="21"/>
                <w:highlight w:val="none"/>
              </w:rPr>
            </w:pPr>
            <w:r>
              <w:rPr>
                <w:rFonts w:hint="eastAsia" w:ascii="宋体" w:hAnsi="宋体"/>
                <w:b/>
                <w:bCs/>
                <w:szCs w:val="21"/>
                <w:highlight w:val="none"/>
              </w:rPr>
              <w:t>银行账号：380558329639</w:t>
            </w:r>
          </w:p>
        </w:tc>
      </w:tr>
    </w:tbl>
    <w:p>
      <w:pPr>
        <w:spacing w:line="440" w:lineRule="exact"/>
        <w:ind w:firstLine="420" w:firstLineChars="200"/>
        <w:jc w:val="left"/>
        <w:rPr>
          <w:rFonts w:hint="eastAsia" w:ascii="宋体" w:hAnsi="宋体"/>
          <w:szCs w:val="21"/>
          <w:highlight w:val="none"/>
        </w:rPr>
        <w:sectPr>
          <w:headerReference r:id="rId8" w:type="first"/>
          <w:footerReference r:id="rId10" w:type="first"/>
          <w:headerReference r:id="rId7" w:type="default"/>
          <w:footerReference r:id="rId9" w:type="default"/>
          <w:type w:val="continuous"/>
          <w:pgSz w:w="11906" w:h="16838"/>
          <w:pgMar w:top="1249" w:right="1531" w:bottom="1304" w:left="1531" w:header="853" w:footer="701" w:gutter="0"/>
          <w:cols w:space="720" w:num="1"/>
          <w:formProt w:val="0"/>
          <w:docGrid w:type="lines" w:linePitch="326" w:charSpace="-4916"/>
        </w:sectPr>
      </w:pPr>
    </w:p>
    <w:p>
      <w:pPr>
        <w:pStyle w:val="5"/>
        <w:spacing w:before="120" w:after="120" w:line="360" w:lineRule="auto"/>
        <w:rPr>
          <w:rFonts w:hint="eastAsia" w:hAnsi="宋体" w:cs="Arial"/>
          <w:b w:val="0"/>
          <w:bCs w:val="0"/>
          <w:iCs/>
          <w:sz w:val="24"/>
          <w:szCs w:val="24"/>
          <w:highlight w:val="none"/>
        </w:rPr>
      </w:pPr>
      <w:bookmarkStart w:id="22" w:name="_Toc487121755"/>
      <w:bookmarkStart w:id="23" w:name="_Toc24502"/>
      <w:r>
        <w:rPr>
          <w:rFonts w:hint="eastAsia" w:hAnsi="宋体"/>
          <w:sz w:val="44"/>
          <w:szCs w:val="48"/>
          <w:highlight w:val="none"/>
        </w:rPr>
        <w:t>第三章</w:t>
      </w:r>
      <w:r>
        <w:rPr>
          <w:rFonts w:hAnsi="宋体"/>
          <w:sz w:val="44"/>
          <w:szCs w:val="48"/>
          <w:highlight w:val="none"/>
        </w:rPr>
        <w:t xml:space="preserve"> </w:t>
      </w:r>
      <w:r>
        <w:rPr>
          <w:rFonts w:hint="eastAsia" w:hAnsi="宋体"/>
          <w:sz w:val="44"/>
          <w:szCs w:val="48"/>
          <w:highlight w:val="none"/>
        </w:rPr>
        <w:t xml:space="preserve"> </w:t>
      </w:r>
      <w:bookmarkEnd w:id="22"/>
      <w:r>
        <w:rPr>
          <w:rFonts w:hint="eastAsia" w:hAnsi="宋体"/>
          <w:sz w:val="44"/>
          <w:szCs w:val="48"/>
          <w:highlight w:val="none"/>
        </w:rPr>
        <w:t>投标人须知</w:t>
      </w:r>
      <w:bookmarkEnd w:id="23"/>
    </w:p>
    <w:p>
      <w:pPr>
        <w:autoSpaceDE w:val="0"/>
        <w:autoSpaceDN w:val="0"/>
        <w:adjustRightInd w:val="0"/>
        <w:spacing w:line="360" w:lineRule="auto"/>
        <w:rPr>
          <w:rFonts w:hint="eastAsia" w:ascii="宋体" w:hAnsi="宋体" w:cs="宋体"/>
          <w:b/>
          <w:bCs/>
          <w:szCs w:val="21"/>
          <w:highlight w:val="none"/>
        </w:rPr>
      </w:pPr>
      <w:bookmarkStart w:id="24" w:name="_Toc484598373"/>
      <w:bookmarkStart w:id="25" w:name="_Toc440276569"/>
      <w:bookmarkStart w:id="26" w:name="_Toc484598076"/>
      <w:bookmarkStart w:id="27" w:name="_Toc487121758"/>
      <w:r>
        <w:rPr>
          <w:rFonts w:hint="eastAsia" w:ascii="宋体" w:hAnsi="宋体" w:cs="宋体"/>
          <w:b/>
          <w:bCs/>
          <w:szCs w:val="21"/>
          <w:highlight w:val="none"/>
        </w:rPr>
        <w:t>一、总则</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（一）适用范围</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本招标文件适用于</w:t>
      </w:r>
      <w:r>
        <w:rPr>
          <w:rFonts w:hint="eastAsia" w:ascii="宋体" w:hAnsi="宋体" w:cs="宋体"/>
          <w:b/>
          <w:bCs/>
          <w:szCs w:val="21"/>
          <w:highlight w:val="none"/>
        </w:rPr>
        <w:t>宁波市反电诈全维智控平台（一期）—“96110”全民反诈等应用及数据资源建设</w:t>
      </w:r>
      <w:r>
        <w:rPr>
          <w:rFonts w:hint="eastAsia" w:ascii="宋体" w:hAnsi="宋体" w:cs="宋体"/>
          <w:szCs w:val="21"/>
          <w:highlight w:val="none"/>
        </w:rPr>
        <w:t>的招标、投标、评标、定标、验收、合同履约、付款等行为（法律、法规另有规定的，从其规定）。</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（二）定义</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1．“采购单位”系指组织本次招标的“宁波市公安局”。</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2．“采购代理机构”系指组织本次招标的“宁波高正工程管理有限公司”。</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3．“投标人”系指向招标采购单位提交投标文件的投标单位。</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4．“货物/产品”系指供方按招标文件规定，须向采购人提供的一切设备、保险、税金、备品备件、工具、手册、台账记录及其它有关技术资料和材料。</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5．“服务”系指招标文件规定投标人须承担的服务以及其他类似的义务；投标人应提供合格的服务，合格的服务应是在国内可合法提供的、不受第三方限制的、免受追索的、符合国家法律、法规及规章规定的。</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6．“项目”系指投标人按招标文件规定向采购人提供的货物/产品和服务。</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7．“书面形式”包括信函、传真、电报等。</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8．“★”系指实质性要求条款，投标人的投标对任何带“★”号的重要商务和技术条款的偏离和未作实质性响应都将直接导致无效标。</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（三）招标方式</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本次招标采用公开招标方式进行。</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（四）投标委托</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疫情期间，在完成备份电子投标文件递交和人员登记后立即离开。同时递交加盖投标人公章参与线上开标的授权人姓名、职务、手机、微信号纸质说明材料。</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（五）投标费用</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不论投标结果如何，投标人均应自行承担所有与投标有关的全部费用。</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（六）联合体投标</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本项目不接受联合体投标。</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（七）转包与分包</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本项目不得转包，除非得到采购人的同意，否则中标人不得分包给他人。</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（八）特别说明</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投标人投标所使用的资格（如有）、信誉（如有）、荣誉（如有）、业绩（如有）与企业认证（如有）必须为本法人所拥有（招标文件允许的除外）。投标人投标所使用的采购项目实施人员必须为本法人员工（或必须为本法人）。</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★2．投标人应仔细阅读招标文件的所有内容，按照招标文件的要求提交投标文件，并对所提供的全部资料的真实性承担法律责任。</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★3．投标人在投标活动中提供任何虚假材料，其投标无效，并报监管部门查处。</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（九）质疑和投诉</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认为招标文件、招标过程或中标结果使自己的合法权益受到损害的，应当在知道或者应知其权益受到损害之日起七个工作日内，以书面形式向采购人、采购代理机构提出质疑。投标人对采购人、采购代理机构的答复不满意或者采购人、采购代理机构未在规定的时间内作出答复的，可以在答复期满后十五个工作日内向同级采购监管部门投诉。</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3．政府采购法第五十二条规定的投标人应知其权益受到损害之日，是指：</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（1）对可以质疑的采购文件提出质疑的，为收到采购文件之日或者采购文件公告期限届满之日；</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（2）对采购过程提出质疑的，为各采购程序环节结束之日；</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（3）对中标或者成交结果提出质疑的，为中标或者成交结果公告期限届满之日。</w:t>
      </w:r>
    </w:p>
    <w:p>
      <w:pPr>
        <w:autoSpaceDE w:val="0"/>
        <w:autoSpaceDN w:val="0"/>
        <w:adjustRightInd w:val="0"/>
        <w:spacing w:line="360" w:lineRule="auto"/>
        <w:rPr>
          <w:rFonts w:hint="eastAsia" w:ascii="宋体" w:hAnsi="宋体" w:cs="宋体"/>
          <w:b/>
          <w:bCs/>
          <w:szCs w:val="21"/>
          <w:highlight w:val="none"/>
        </w:rPr>
      </w:pPr>
      <w:r>
        <w:rPr>
          <w:rFonts w:hint="eastAsia" w:ascii="宋体" w:hAnsi="宋体" w:cs="宋体"/>
          <w:b/>
          <w:bCs/>
          <w:szCs w:val="21"/>
          <w:highlight w:val="none"/>
        </w:rPr>
        <w:t>二、招标文件</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（一）招标文件的构成</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本招标文件由以下部分组成：</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1．采购公告；</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2．投标资料表；</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3．投标人须知；</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4．合同条款；</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5. 采购需求</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6．评标办法及评分标准；</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7．投标文件格式；</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8．本项目招标文件的澄清、答复、修改、补充的内容。</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（二）投标人的风险</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投标人没有按照招标文件要求提供全部资料，或者投标人没有对招标文件在各方面作出实质性响应是投标人的风险，并可能导致其投标被拒绝。</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（三）招标文件的澄清与修改</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单位、采购代理机构对已发出的招标文件进行必要的澄清或者修改时，澄清或者修改的内容可能影响投标文件编制的，将在招标公告规定的投标截止时间十五日前，以书面形式或在规定信息发布网站上通知所有已获取招标文件的潜在投标人，并要求潜在投标人进行传真或书面确认澄清和修改已收悉，澄清和修改的内容作为招标文件的组成部分。采购人或招标代理机构根据实际情况，延长投标截止时间的，在投标截止时间三日前告知所有已获取招标文件的潜在投标人，并要求回执确认。</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2．招标文件澄清、答复、修改、补充的内容为招标文件的组成部分。当招标文件与招标文件的答复、澄清、修改、补充通知就同一内容的表述不一致时，以最后发出的书面文件为准。</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3．招标文件的澄清、答复、修改或补充都应该通过本代理机构以法定形式发布，采购人非通过本机构，不得擅自澄清、答复、修改或补充招标文件。</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（四）对招标文件的异议</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已获取招标文件的潜在投标人对招标文件有异议，应知其权益受到损害之日起七个工作日内书面提出。逾期提出的将不予受理。对招标文件的异议应有法定代表人或其委托代理人签字，并盖投标人公章和注明日期。</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2．没有提出异议且又参与了该项目投标的投标人将被视为完全认同招标文件。</w:t>
      </w:r>
    </w:p>
    <w:p>
      <w:pPr>
        <w:autoSpaceDE w:val="0"/>
        <w:autoSpaceDN w:val="0"/>
        <w:adjustRightInd w:val="0"/>
        <w:spacing w:line="360" w:lineRule="auto"/>
        <w:rPr>
          <w:rFonts w:hint="eastAsia" w:ascii="宋体" w:hAnsi="宋体" w:cs="宋体"/>
          <w:b/>
          <w:bCs/>
          <w:szCs w:val="21"/>
          <w:highlight w:val="none"/>
        </w:rPr>
      </w:pPr>
      <w:r>
        <w:rPr>
          <w:rFonts w:hint="eastAsia" w:ascii="宋体" w:hAnsi="宋体" w:cs="宋体"/>
          <w:b/>
          <w:bCs/>
          <w:szCs w:val="21"/>
          <w:highlight w:val="none"/>
        </w:rPr>
        <w:t>三、投标文件的编制</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（一）投标文件的形式和效力</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1．投标文件分为电子投标文件以及备份电子投标文件。</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2．电子投标文件，按“政采云投标人项目采购-电子招投标操作指南”及本招标文件要求制作、加密并递交。</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3．以 U 盘存储的电子备份投标文件，须按“政采云投标人项目采购-电子招投标操作指南”制作的备份文件（电子备份投标文件后缀格式为“.bfbs”）。</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4．投标文件的效力：</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投标文件的启用，按先后顺位分别为电子投标文件、以 U 盘存储的电子备份投标文件。在下一顺位的投标文件启用时，前一顺位的投标文件自动失效。</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电子投标文件未能按时解密，投标人提供了电子备份投标文件以电子备份投标文件作为评标依据。电子投标文件已按时解密的，电子备份投标文件自动失效。</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（二）投标文件的组成</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投标文件由资格文件、商务技术文件和报价文件三部分组成，分别编制，电子投标文件中所须加盖公章部分均采用 CA 签章。</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1．资格文件</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 xml:space="preserve">（1）资格文件 </w:t>
      </w:r>
    </w:p>
    <w:p>
      <w:pPr>
        <w:numPr>
          <w:ilvl w:val="0"/>
          <w:numId w:val="4"/>
        </w:numPr>
        <w:spacing w:line="360" w:lineRule="auto"/>
        <w:ind w:firstLine="422" w:firstLineChars="200"/>
        <w:rPr>
          <w:rFonts w:hint="eastAsia" w:ascii="宋体" w:hAnsi="宋体"/>
          <w:b/>
          <w:szCs w:val="21"/>
          <w:highlight w:val="none"/>
        </w:rPr>
      </w:pPr>
      <w:r>
        <w:rPr>
          <w:rFonts w:hint="eastAsia" w:ascii="宋体" w:hAnsi="宋体"/>
          <w:b/>
          <w:szCs w:val="21"/>
          <w:highlight w:val="none"/>
        </w:rPr>
        <w:t>营业执照复印件。供应商如果有名称变更的，应提供由行政主管部门出具的变更证明文件；</w:t>
      </w:r>
    </w:p>
    <w:p>
      <w:pPr>
        <w:numPr>
          <w:ilvl w:val="0"/>
          <w:numId w:val="4"/>
        </w:numPr>
        <w:spacing w:line="360" w:lineRule="auto"/>
        <w:ind w:firstLine="422" w:firstLineChars="200"/>
        <w:rPr>
          <w:rFonts w:hint="eastAsia" w:ascii="宋体" w:hAnsi="宋体"/>
          <w:b/>
          <w:szCs w:val="21"/>
          <w:highlight w:val="none"/>
        </w:rPr>
      </w:pPr>
      <w:r>
        <w:rPr>
          <w:rFonts w:hint="eastAsia" w:ascii="宋体" w:hAnsi="宋体"/>
          <w:b/>
          <w:szCs w:val="21"/>
          <w:highlight w:val="none"/>
        </w:rPr>
        <w:t>2021年年度财务会计报表复印件，其他组织或供应商新成立不足一年的，提供基本账户开户银行出具的资信证明材料复印件（银行资信证明一般应是为本次采购出具的原件，如提供采购日前六个月内开具的用于他次招标的银行资信证明的复印件也可。银行资信证明必须按第七章中“银行资信证明”的要求提供。资信评估机构出具的资信等级证书或证明不能代替银行资信证明）；</w:t>
      </w:r>
    </w:p>
    <w:p>
      <w:pPr>
        <w:numPr>
          <w:ilvl w:val="0"/>
          <w:numId w:val="4"/>
        </w:numPr>
        <w:spacing w:line="360" w:lineRule="auto"/>
        <w:ind w:firstLine="422" w:firstLineChars="200"/>
        <w:rPr>
          <w:rFonts w:hint="eastAsia" w:ascii="宋体" w:hAnsi="宋体"/>
          <w:b/>
          <w:szCs w:val="21"/>
          <w:highlight w:val="none"/>
        </w:rPr>
      </w:pPr>
      <w:r>
        <w:rPr>
          <w:rFonts w:hint="eastAsia" w:ascii="宋体" w:hAnsi="宋体"/>
          <w:b/>
          <w:szCs w:val="21"/>
          <w:highlight w:val="none"/>
        </w:rPr>
        <w:t>提供具有履行合同所必需的设备和专业技术能力的书面声明；</w:t>
      </w:r>
    </w:p>
    <w:p>
      <w:pPr>
        <w:numPr>
          <w:ilvl w:val="0"/>
          <w:numId w:val="4"/>
        </w:numPr>
        <w:spacing w:line="360" w:lineRule="auto"/>
        <w:ind w:firstLine="422" w:firstLineChars="200"/>
        <w:rPr>
          <w:rFonts w:hint="eastAsia" w:ascii="宋体" w:hAnsi="宋体"/>
          <w:b/>
          <w:szCs w:val="21"/>
          <w:highlight w:val="none"/>
        </w:rPr>
      </w:pPr>
      <w:r>
        <w:rPr>
          <w:rFonts w:hint="eastAsia" w:ascii="宋体" w:hAnsi="宋体"/>
          <w:b/>
          <w:szCs w:val="21"/>
          <w:highlight w:val="none"/>
        </w:rPr>
        <w:t>依法缴纳税收和社会保障资金的书面声明；</w:t>
      </w:r>
    </w:p>
    <w:p>
      <w:pPr>
        <w:numPr>
          <w:ilvl w:val="0"/>
          <w:numId w:val="4"/>
        </w:numPr>
        <w:spacing w:line="360" w:lineRule="auto"/>
        <w:ind w:firstLine="422" w:firstLineChars="200"/>
        <w:rPr>
          <w:rFonts w:hint="eastAsia" w:ascii="宋体" w:hAnsi="宋体" w:cs="宋体"/>
          <w:b/>
          <w:kern w:val="0"/>
          <w:szCs w:val="21"/>
          <w:highlight w:val="none"/>
        </w:rPr>
      </w:pPr>
      <w:r>
        <w:rPr>
          <w:rFonts w:hint="eastAsia" w:ascii="宋体" w:hAnsi="宋体"/>
          <w:b/>
          <w:szCs w:val="21"/>
          <w:highlight w:val="none"/>
        </w:rPr>
        <w:t>提供参加政府采购活动前3年内在经营活动中没有重大违法记录的书面声明；</w:t>
      </w:r>
    </w:p>
    <w:p>
      <w:pPr>
        <w:numPr>
          <w:ilvl w:val="0"/>
          <w:numId w:val="4"/>
        </w:numPr>
        <w:spacing w:line="360" w:lineRule="auto"/>
        <w:ind w:left="0"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中小企业声明函；</w:t>
      </w:r>
    </w:p>
    <w:p>
      <w:pPr>
        <w:numPr>
          <w:ilvl w:val="0"/>
          <w:numId w:val="4"/>
        </w:numPr>
        <w:spacing w:line="360" w:lineRule="auto"/>
        <w:ind w:left="0"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监狱企业声明函（如有需提供）；</w:t>
      </w:r>
    </w:p>
    <w:p>
      <w:pPr>
        <w:numPr>
          <w:ilvl w:val="0"/>
          <w:numId w:val="4"/>
        </w:numPr>
        <w:spacing w:line="360" w:lineRule="auto"/>
        <w:ind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残疾人福利性单位声明函（如有需提供）；</w:t>
      </w:r>
    </w:p>
    <w:p>
      <w:pPr>
        <w:numPr>
          <w:ilvl w:val="0"/>
          <w:numId w:val="4"/>
        </w:numPr>
        <w:spacing w:line="360" w:lineRule="auto"/>
        <w:ind w:firstLine="422" w:firstLineChars="200"/>
        <w:rPr>
          <w:rFonts w:hint="eastAsia" w:ascii="宋体" w:hAnsi="宋体"/>
          <w:b/>
          <w:szCs w:val="21"/>
          <w:highlight w:val="none"/>
        </w:rPr>
      </w:pPr>
      <w:r>
        <w:rPr>
          <w:rFonts w:hint="eastAsia" w:ascii="宋体" w:hAnsi="宋体"/>
          <w:b/>
          <w:szCs w:val="21"/>
          <w:highlight w:val="none"/>
        </w:rPr>
        <w:t>供应商认为需要提供的其他资格材料。</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 xml:space="preserve">（2）商务技术文件 </w:t>
      </w:r>
    </w:p>
    <w:p>
      <w:pPr>
        <w:numPr>
          <w:ilvl w:val="0"/>
          <w:numId w:val="5"/>
        </w:numPr>
        <w:spacing w:line="360" w:lineRule="auto"/>
        <w:rPr>
          <w:rFonts w:hint="eastAsia" w:ascii="宋体" w:hAnsi="宋体"/>
          <w:b/>
          <w:szCs w:val="21"/>
          <w:highlight w:val="none"/>
        </w:rPr>
      </w:pPr>
      <w:r>
        <w:rPr>
          <w:rFonts w:hint="eastAsia" w:ascii="宋体" w:hAnsi="宋体"/>
          <w:b/>
          <w:szCs w:val="21"/>
          <w:highlight w:val="none"/>
        </w:rPr>
        <w:t xml:space="preserve">委托代理人的身份证、法定代表人身份证明及法定代表人授权委托书（或法定代表人身份证及法定代表人身份证明）； </w:t>
      </w:r>
    </w:p>
    <w:p>
      <w:pPr>
        <w:numPr>
          <w:ilvl w:val="0"/>
          <w:numId w:val="5"/>
        </w:numPr>
        <w:spacing w:line="360" w:lineRule="auto"/>
        <w:rPr>
          <w:rFonts w:hint="eastAsia" w:ascii="宋体" w:hAnsi="宋体"/>
          <w:b/>
          <w:szCs w:val="21"/>
          <w:highlight w:val="none"/>
        </w:rPr>
      </w:pPr>
      <w:r>
        <w:rPr>
          <w:rFonts w:hint="eastAsia" w:ascii="宋体" w:hAnsi="宋体"/>
          <w:b/>
          <w:szCs w:val="21"/>
          <w:highlight w:val="none"/>
        </w:rPr>
        <w:t xml:space="preserve">供应商基本情况表； </w:t>
      </w:r>
    </w:p>
    <w:p>
      <w:pPr>
        <w:numPr>
          <w:ilvl w:val="0"/>
          <w:numId w:val="5"/>
        </w:numPr>
        <w:spacing w:line="360" w:lineRule="auto"/>
        <w:rPr>
          <w:rFonts w:hint="eastAsia" w:ascii="宋体" w:hAnsi="宋体"/>
          <w:b/>
          <w:szCs w:val="21"/>
          <w:highlight w:val="none"/>
        </w:rPr>
      </w:pPr>
      <w:r>
        <w:rPr>
          <w:rFonts w:hint="eastAsia" w:ascii="宋体" w:hAnsi="宋体"/>
          <w:b/>
          <w:szCs w:val="21"/>
          <w:highlight w:val="none"/>
        </w:rPr>
        <w:t>技术、商务条款偏离表；</w:t>
      </w:r>
    </w:p>
    <w:p>
      <w:pPr>
        <w:numPr>
          <w:ilvl w:val="0"/>
          <w:numId w:val="5"/>
        </w:numPr>
        <w:spacing w:line="360" w:lineRule="auto"/>
        <w:rPr>
          <w:rFonts w:hint="eastAsia" w:ascii="宋体" w:hAnsi="宋体"/>
          <w:b/>
          <w:szCs w:val="21"/>
          <w:highlight w:val="none"/>
        </w:rPr>
      </w:pPr>
      <w:r>
        <w:rPr>
          <w:rFonts w:hint="eastAsia" w:ascii="宋体" w:hAnsi="宋体"/>
          <w:b/>
          <w:szCs w:val="21"/>
          <w:highlight w:val="none"/>
        </w:rPr>
        <w:t>根据第六章“评定成交的标准”中“评分标准”要求提供的资料（如有需提供）；</w:t>
      </w:r>
    </w:p>
    <w:p>
      <w:pPr>
        <w:numPr>
          <w:ilvl w:val="0"/>
          <w:numId w:val="5"/>
        </w:numPr>
        <w:spacing w:line="360" w:lineRule="auto"/>
        <w:rPr>
          <w:rFonts w:hint="eastAsia" w:ascii="宋体" w:hAnsi="宋体"/>
          <w:b/>
          <w:szCs w:val="21"/>
          <w:highlight w:val="none"/>
        </w:rPr>
      </w:pPr>
      <w:r>
        <w:rPr>
          <w:rFonts w:hint="eastAsia" w:ascii="宋体" w:hAnsi="宋体"/>
          <w:b/>
          <w:szCs w:val="21"/>
          <w:highlight w:val="none"/>
        </w:rPr>
        <w:t xml:space="preserve">供应商认为需要提供的其他商务技术材料。 </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 xml:space="preserve">（3）报价文件 </w:t>
      </w:r>
    </w:p>
    <w:p>
      <w:pPr>
        <w:numPr>
          <w:ilvl w:val="0"/>
          <w:numId w:val="0"/>
        </w:numPr>
        <w:spacing w:line="360" w:lineRule="auto"/>
        <w:ind w:left="400" w:firstLine="0" w:firstLineChars="0"/>
        <w:rPr>
          <w:rFonts w:hint="eastAsia" w:ascii="宋体" w:hAnsi="宋体"/>
          <w:b/>
          <w:szCs w:val="21"/>
          <w:highlight w:val="none"/>
        </w:rPr>
      </w:pPr>
      <w:r>
        <w:rPr>
          <w:rFonts w:hint="eastAsia" w:ascii="宋体" w:hAnsi="宋体"/>
          <w:b/>
          <w:szCs w:val="21"/>
          <w:highlight w:val="none"/>
          <w:lang w:val="en-US" w:eastAsia="zh-CN"/>
        </w:rPr>
        <w:t>①</w:t>
      </w:r>
      <w:r>
        <w:rPr>
          <w:rFonts w:hint="eastAsia" w:ascii="宋体" w:hAnsi="宋体"/>
          <w:b/>
          <w:szCs w:val="21"/>
          <w:highlight w:val="none"/>
        </w:rPr>
        <w:t>投标函</w:t>
      </w:r>
    </w:p>
    <w:p>
      <w:pPr>
        <w:numPr>
          <w:ilvl w:val="0"/>
          <w:numId w:val="0"/>
        </w:numPr>
        <w:spacing w:line="360" w:lineRule="auto"/>
        <w:ind w:left="400" w:firstLine="0" w:firstLineChars="0"/>
        <w:rPr>
          <w:rFonts w:hint="eastAsia"/>
          <w:highlight w:val="none"/>
        </w:rPr>
      </w:pPr>
      <w:r>
        <w:rPr>
          <w:rFonts w:hint="eastAsia" w:ascii="宋体" w:hAnsi="宋体"/>
          <w:b/>
          <w:szCs w:val="21"/>
          <w:highlight w:val="none"/>
          <w:lang w:val="en-US" w:eastAsia="zh-CN"/>
        </w:rPr>
        <w:t>②</w:t>
      </w:r>
      <w:r>
        <w:rPr>
          <w:rFonts w:hint="eastAsia" w:ascii="宋体" w:hAnsi="宋体"/>
          <w:b/>
          <w:szCs w:val="21"/>
          <w:highlight w:val="none"/>
        </w:rPr>
        <w:t>开标一览表</w:t>
      </w:r>
    </w:p>
    <w:p>
      <w:pPr>
        <w:numPr>
          <w:ilvl w:val="0"/>
          <w:numId w:val="0"/>
        </w:numPr>
        <w:spacing w:line="360" w:lineRule="auto"/>
        <w:ind w:left="400" w:firstLine="0" w:firstLineChars="0"/>
        <w:rPr>
          <w:rFonts w:hint="eastAsia" w:ascii="宋体" w:hAnsi="宋体" w:eastAsia="宋体" w:cs="Times New Roman"/>
          <w:b/>
          <w:szCs w:val="21"/>
          <w:highlight w:val="none"/>
        </w:rPr>
      </w:pPr>
      <w:r>
        <w:rPr>
          <w:rFonts w:hint="eastAsia" w:ascii="宋体" w:hAnsi="宋体" w:eastAsia="宋体" w:cs="Times New Roman"/>
          <w:b/>
          <w:szCs w:val="21"/>
          <w:highlight w:val="none"/>
          <w:lang w:val="en-US" w:eastAsia="zh-CN"/>
        </w:rPr>
        <w:t>③</w:t>
      </w:r>
      <w:r>
        <w:rPr>
          <w:rFonts w:hint="eastAsia" w:ascii="宋体" w:hAnsi="宋体" w:eastAsia="宋体" w:cs="Times New Roman"/>
          <w:b/>
          <w:szCs w:val="21"/>
          <w:highlight w:val="none"/>
        </w:rPr>
        <w:t>成本测算资料（低于最高限价70%时须提供）</w:t>
      </w:r>
    </w:p>
    <w:p>
      <w:pPr>
        <w:numPr>
          <w:ilvl w:val="0"/>
          <w:numId w:val="0"/>
        </w:numPr>
        <w:spacing w:line="360" w:lineRule="auto"/>
        <w:ind w:left="400" w:firstLine="0" w:firstLineChars="0"/>
        <w:rPr>
          <w:rFonts w:hint="eastAsia" w:ascii="宋体" w:hAnsi="宋体" w:eastAsia="宋体" w:cs="Times New Roman"/>
          <w:b/>
          <w:szCs w:val="21"/>
          <w:highlight w:val="none"/>
        </w:rPr>
      </w:pPr>
      <w:r>
        <w:rPr>
          <w:rFonts w:hint="eastAsia" w:ascii="宋体" w:hAnsi="宋体" w:eastAsia="宋体" w:cs="Times New Roman"/>
          <w:b/>
          <w:szCs w:val="21"/>
          <w:highlight w:val="none"/>
          <w:lang w:val="en-US" w:eastAsia="zh-CN"/>
        </w:rPr>
        <w:t>④</w:t>
      </w:r>
      <w:r>
        <w:rPr>
          <w:rFonts w:hint="eastAsia" w:ascii="宋体" w:hAnsi="宋体" w:eastAsia="宋体" w:cs="Times New Roman"/>
          <w:b/>
          <w:szCs w:val="21"/>
          <w:highlight w:val="none"/>
        </w:rPr>
        <w:t>供应商认为需提交的其他文件资料。</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4．注意事项</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★（1）电子投标文件中所须加盖公章部分均采用 CA 签章。</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（2）上述组成投标文件的各项资料中本招标文件的有规定格式的，应统一按本招标文件的规定格式填写。未有规定格式的资料，投标人应自行编制，但至少要包含以上要求的内容。</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文件在提供对投标货物/产品技术条款响应表的应答时，对招标文件有技术数值要求的参数，必须以投标货物/产品的具体技术数值据实应答；对于招标文件无数值要求的参数的应答，必须作出明确、直接、无导致两种理解可能的应答。</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（三）投标文件的语言及计量</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★1．投标文件以及投标人与采购人就有关投标事宜的所有来往函电，均应以中文汉语书写。除签名、盖章、专用名称等特殊情形外，以中文汉语以外的文字表述的投标文件视同未提供。</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（四）投标报价</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1．投标报价应按招标文件中相关附表格式填写。</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★2．投标文件只允许有一个投标总价，有选择的或有条件的报价将不予接受。</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3．所有投标报价必须以人民币报价，对用外汇支付部分，须折合成人民币计入总价，总报价不受汇率变动影响。不接受外币报价，除非招标文件另有要求。</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4．本项目投标应以含税人民币报价，投标报价是履行合同的最终价格，应包括完成采购内容涉及的所有费用。</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（五）投标文件的有效期</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★1．自投标截止日起 90 天投标文件应保持有效，有效期不足的投标文件将被拒绝。</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2．在特殊情况下，采购人可与投标人协商延长投标书的有效期，这种要求和答复均以书面形式进行。</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3．投标人可拒绝接受延期要求，同意延长有效期的投标人不能修改投标文件。</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4．中标人的投标文件自开标之日起至合同履行完毕止均应保持有效。</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（六）投标文件的签署和份数</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1.投标人应按本采购文件规定的格式和顺序编制投标文件并标注页码，投标文件内容不完整、编排混乱、未正确关联定位导致投标文件被误读、漏读或者查找不到相关内容的，是投标人的责任。</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2.电子投标文件部分：投标人应根据“政采云投标人项目采购-电子招投标操作指南”及本招标文件规定的格式和顺序编制电子投标文件并进行关联定位；电子投标文件中须加盖投标人公章部分均采用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投标文件中由委托代理人签字的，投标文件应附法定代表人签署的授权委托书。联合体投标的，除《联合投标协议书》须联合体双方均盖单位公章和其法定代表人（或委托代理人）签字外，招标文件中标明加盖单位公章或签字的，只须加盖联合体牵头人公章或《联合投标授权委托书》中的委托代理人签字。</w:t>
      </w:r>
    </w:p>
    <w:p>
      <w:pPr>
        <w:autoSpaceDE w:val="0"/>
        <w:autoSpaceDN w:val="0"/>
        <w:adjustRightInd w:val="0"/>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3.以 U 盘存储的备份投标文件部分：电子投标文件的备份文件，以 U 盘形式存储，并单独密封递交。电子备份投标文件不作实质性要求，是否提交由投标人自行决定。</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（七）投标文件的密封和标记</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1.电子投标文件：投标人应根据“项目采购-电子招投标操作指南”及本招标文件规定的格式和顺序编制电子投标文件并进行关联定位。</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电子备份投标文件：单独包封，外包装封面上应注明投标人名称、投标人地址、投标文件名称（电子投标文件的备份文件）、投标项目名称、项目编号及“投标文件于投标截止时间前不得启封”字样，并加盖投标人公章。</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3.未按规定密封或标记的投标文件，采购人有权拒绝接受其投标。</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4.如果投标人未按上述要求密封或标记而造成投标文件被误投或提前拆封的风险由投标人承担。</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autoSpaceDE w:val="0"/>
        <w:autoSpaceDN w:val="0"/>
        <w:adjustRightInd w:val="0"/>
        <w:spacing w:line="360" w:lineRule="auto"/>
        <w:rPr>
          <w:rFonts w:hint="eastAsia" w:ascii="宋体" w:hAnsi="宋体" w:cs="宋体"/>
          <w:b/>
          <w:bCs/>
          <w:szCs w:val="21"/>
          <w:highlight w:val="none"/>
        </w:rPr>
      </w:pPr>
      <w:r>
        <w:rPr>
          <w:rFonts w:hint="eastAsia" w:ascii="宋体" w:hAnsi="宋体" w:cs="宋体"/>
          <w:b/>
          <w:bCs/>
          <w:szCs w:val="21"/>
          <w:highlight w:val="none"/>
        </w:rPr>
        <w:t>四、开标</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（一）开标准备</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代理机构将在规定的时间和地点进行开标，疫情期间所有投标人在投标截止时间前安排“甬行码”为绿色的相关人员（原则上不超过一名，须全程佩戴口罩）或者采用邮寄方式将电子备份投标文件送至投标地点。</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（二）电子投标开标及评审程序</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1、投标截止时间后，投标人登录政采云平台，用“项目采购-开标评标”功能对电子投标文件进行在线解密，在线解密电子投标文件时间为开标时间起60分钟内；</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2、采购人或代理机构对投标人的资格进行审查；</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3、评标委员会对商务技术投标文件进行评审；</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4、在系统上公开资格和商务技术评审结果；</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5、在系统上公开报价开标情况；</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6、评标委员会对报价情况进行评审；</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7、在系统上公布评审结果。</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注：（1）开标过程需投标人确认的事宜，通过微信或电子邮箱发送邮件等方式进行，请投标人在开标期间做好相应的准备。</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（三）特别说明</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政府采购云平台如对电子化开标及评审程序有调整的，按调整后的程序操作。</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本项目原则上采用政采云电子投标开标及评审程序，但有下列情形之一的，按以下情况处理：</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1、若投标人在规定时间内无法解密或解密失败，代理机构将开启所有投标人递交的以 U 盘存储的电子备份投标文件，上传至政采云平台项目采购模块，以完成开标，电子投标文件自动失效。</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2、采购过程中出现以下情形，导致电子交易平台无法正常运行，或者无法保证电子交易的公平、公正和安全时，采购人（或代理机构）可中止电子交易活动：</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（1）电子交易平台发生故障而无法登录访问的；</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（2）因政府采购云平台原因无法读取或电子开评标无法正常进行的；</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（3）电子交易平台应用或数据库出现错误，不能进行正常操作的；</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（4）电子交易平台发现严重安全漏洞，有潜在泄密危险；</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（5）病毒发作导致不能进行正常操作的；</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（6）其他无法保证电子交易的公平、公正和安全的情况。</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出现前款规定情形，不影响采购公平、公正性的，采购人（或代理机构）可以待上述情形消除后继续组织电子交易活动。</w:t>
      </w:r>
    </w:p>
    <w:p>
      <w:pPr>
        <w:autoSpaceDE w:val="0"/>
        <w:autoSpaceDN w:val="0"/>
        <w:adjustRightInd w:val="0"/>
        <w:spacing w:line="360" w:lineRule="auto"/>
        <w:rPr>
          <w:rFonts w:hint="eastAsia" w:ascii="宋体" w:hAnsi="宋体" w:cs="宋体"/>
          <w:b/>
          <w:bCs/>
          <w:szCs w:val="21"/>
          <w:highlight w:val="none"/>
        </w:rPr>
      </w:pPr>
      <w:r>
        <w:rPr>
          <w:rFonts w:hint="eastAsia" w:ascii="宋体" w:hAnsi="宋体" w:cs="宋体"/>
          <w:b/>
          <w:bCs/>
          <w:szCs w:val="21"/>
          <w:highlight w:val="none"/>
        </w:rPr>
        <w:t>五、评标</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（一）组建评标委员会</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评标委员会：采购人和采购代理机构根据采购项目的内容特点按照规定组建评标委员会，评标委员会由采购人代表和评审专家组成。评标委员会人数详见《第二章 投标资料表》。主持人宣布评标期间的有关事项，告知应当回避的情形，提请有关人员回避。</w:t>
      </w:r>
    </w:p>
    <w:p>
      <w:pPr>
        <w:autoSpaceDE w:val="0"/>
        <w:autoSpaceDN w:val="0"/>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（二）评标的方式</w:t>
      </w:r>
    </w:p>
    <w:p>
      <w:pPr>
        <w:autoSpaceDE w:val="0"/>
        <w:autoSpaceDN w:val="0"/>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本项目采用不公开方式评标，评标的依据为招标文件和投标文件。</w:t>
      </w:r>
    </w:p>
    <w:p>
      <w:pPr>
        <w:wordWrap w:val="0"/>
        <w:spacing w:line="360" w:lineRule="auto"/>
        <w:ind w:firstLine="422" w:firstLineChars="200"/>
        <w:jc w:val="left"/>
        <w:rPr>
          <w:b/>
          <w:szCs w:val="21"/>
          <w:highlight w:val="none"/>
        </w:rPr>
      </w:pPr>
      <w:bookmarkStart w:id="28" w:name="_Toc460857927"/>
      <w:bookmarkStart w:id="29" w:name="_Toc17884843"/>
      <w:r>
        <w:rPr>
          <w:b/>
          <w:szCs w:val="21"/>
          <w:highlight w:val="none"/>
        </w:rPr>
        <w:t>（三）评标程序</w:t>
      </w:r>
      <w:bookmarkEnd w:id="28"/>
      <w:bookmarkEnd w:id="29"/>
    </w:p>
    <w:p>
      <w:pPr>
        <w:snapToGrid w:val="0"/>
        <w:spacing w:line="360" w:lineRule="auto"/>
        <w:ind w:firstLine="413" w:firstLineChars="196"/>
        <w:jc w:val="left"/>
        <w:rPr>
          <w:b/>
          <w:bCs/>
          <w:szCs w:val="21"/>
          <w:highlight w:val="none"/>
        </w:rPr>
      </w:pPr>
      <w:r>
        <w:rPr>
          <w:b/>
          <w:bCs/>
          <w:szCs w:val="21"/>
          <w:highlight w:val="none"/>
        </w:rPr>
        <w:t>1、资格审查</w:t>
      </w:r>
    </w:p>
    <w:p>
      <w:pPr>
        <w:snapToGrid w:val="0"/>
        <w:spacing w:line="360" w:lineRule="auto"/>
        <w:ind w:firstLine="420" w:firstLineChars="200"/>
        <w:rPr>
          <w:b/>
          <w:szCs w:val="21"/>
          <w:highlight w:val="none"/>
        </w:rPr>
      </w:pPr>
      <w:r>
        <w:rPr>
          <w:szCs w:val="21"/>
          <w:highlight w:val="none"/>
        </w:rPr>
        <w:t>招标代理机构工作人员对投标人的资格进行审查。</w:t>
      </w:r>
    </w:p>
    <w:p>
      <w:pPr>
        <w:snapToGrid w:val="0"/>
        <w:spacing w:line="360" w:lineRule="auto"/>
        <w:ind w:firstLine="413" w:firstLineChars="196"/>
        <w:jc w:val="left"/>
        <w:rPr>
          <w:b/>
          <w:bCs/>
          <w:szCs w:val="21"/>
          <w:highlight w:val="none"/>
        </w:rPr>
      </w:pPr>
      <w:r>
        <w:rPr>
          <w:b/>
          <w:bCs/>
          <w:szCs w:val="21"/>
          <w:highlight w:val="none"/>
        </w:rPr>
        <w:t>2、符合性审查与比较</w:t>
      </w:r>
    </w:p>
    <w:p>
      <w:pPr>
        <w:snapToGrid w:val="0"/>
        <w:spacing w:line="360" w:lineRule="auto"/>
        <w:ind w:firstLine="420" w:firstLineChars="200"/>
        <w:jc w:val="left"/>
        <w:rPr>
          <w:szCs w:val="21"/>
          <w:highlight w:val="none"/>
        </w:rPr>
      </w:pPr>
      <w:r>
        <w:rPr>
          <w:szCs w:val="21"/>
          <w:highlight w:val="none"/>
        </w:rPr>
        <w:t>（1）评标委员会审查投标文件的实质性内容是否符合采购文件的实质性要求。</w:t>
      </w:r>
    </w:p>
    <w:p>
      <w:pPr>
        <w:snapToGrid w:val="0"/>
        <w:spacing w:line="360" w:lineRule="auto"/>
        <w:ind w:firstLine="420" w:firstLineChars="200"/>
        <w:jc w:val="left"/>
        <w:rPr>
          <w:szCs w:val="21"/>
          <w:highlight w:val="none"/>
        </w:rPr>
      </w:pPr>
      <w:r>
        <w:rPr>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szCs w:val="21"/>
          <w:highlight w:val="none"/>
        </w:rPr>
      </w:pPr>
      <w:r>
        <w:rPr>
          <w:szCs w:val="21"/>
          <w:highlight w:val="none"/>
        </w:rPr>
        <w:t>投标人代表拒绝澄清或者澄清的内容改变了投标文件的实质性内容的，评标委员会有权对该投标文件作出不利于投标人的评判。</w:t>
      </w:r>
    </w:p>
    <w:p>
      <w:pPr>
        <w:snapToGrid w:val="0"/>
        <w:spacing w:line="360" w:lineRule="auto"/>
        <w:ind w:firstLine="420" w:firstLineChars="200"/>
        <w:jc w:val="left"/>
        <w:rPr>
          <w:szCs w:val="21"/>
          <w:highlight w:val="none"/>
        </w:rPr>
      </w:pPr>
      <w:r>
        <w:rPr>
          <w:szCs w:val="21"/>
          <w:highlight w:val="none"/>
        </w:rPr>
        <w:t>（3）各投标人的商务技术报价得分为所有评委的有效评分的算术平均数，由指定专人进行计算复核。</w:t>
      </w:r>
    </w:p>
    <w:p>
      <w:pPr>
        <w:snapToGrid w:val="0"/>
        <w:spacing w:line="360" w:lineRule="auto"/>
        <w:ind w:firstLine="420" w:firstLineChars="200"/>
        <w:jc w:val="left"/>
        <w:rPr>
          <w:szCs w:val="21"/>
          <w:highlight w:val="none"/>
        </w:rPr>
      </w:pPr>
      <w:r>
        <w:rPr>
          <w:szCs w:val="21"/>
          <w:highlight w:val="none"/>
        </w:rPr>
        <w:t>（4）采购代理机构工作人员协助评标委员会根据本项目的评分标准计算各投标人的报价得分。</w:t>
      </w:r>
    </w:p>
    <w:p>
      <w:pPr>
        <w:snapToGrid w:val="0"/>
        <w:spacing w:line="360" w:lineRule="auto"/>
        <w:ind w:firstLine="420" w:firstLineChars="200"/>
        <w:jc w:val="left"/>
        <w:rPr>
          <w:szCs w:val="21"/>
          <w:highlight w:val="none"/>
        </w:rPr>
      </w:pPr>
      <w:r>
        <w:rPr>
          <w:szCs w:val="21"/>
          <w:highlight w:val="none"/>
        </w:rPr>
        <w:t>（5）评标委员会完成评标后,评委对各部分得分汇总,计算出本项目最终得分。评标委员会按评标原则推荐中标候选人同时起草评标报告。</w:t>
      </w:r>
    </w:p>
    <w:p>
      <w:pPr>
        <w:wordWrap w:val="0"/>
        <w:spacing w:line="360" w:lineRule="auto"/>
        <w:ind w:firstLine="422" w:firstLineChars="200"/>
        <w:jc w:val="left"/>
        <w:rPr>
          <w:b/>
          <w:szCs w:val="21"/>
          <w:highlight w:val="none"/>
        </w:rPr>
      </w:pPr>
      <w:bookmarkStart w:id="30" w:name="_Toc17884844"/>
      <w:bookmarkStart w:id="31" w:name="_Toc460857928"/>
      <w:r>
        <w:rPr>
          <w:b/>
          <w:szCs w:val="21"/>
          <w:highlight w:val="none"/>
        </w:rPr>
        <w:t>（四）澄清问题的形式</w:t>
      </w:r>
      <w:bookmarkEnd w:id="30"/>
      <w:bookmarkEnd w:id="31"/>
    </w:p>
    <w:p>
      <w:pPr>
        <w:widowControl/>
        <w:spacing w:line="360" w:lineRule="auto"/>
        <w:ind w:firstLine="420" w:firstLineChars="200"/>
        <w:jc w:val="left"/>
        <w:outlineLvl w:val="1"/>
        <w:rPr>
          <w:szCs w:val="21"/>
          <w:highlight w:val="none"/>
        </w:rPr>
      </w:pPr>
      <w:bookmarkStart w:id="32" w:name="_Toc497898868"/>
      <w:bookmarkStart w:id="33" w:name="_Toc460857930"/>
      <w:bookmarkStart w:id="34" w:name="_Toc17884845"/>
      <w:r>
        <w:rPr>
          <w:szCs w:val="21"/>
          <w:highlight w:val="none"/>
        </w:rPr>
        <w:t>对于投标文件中含义不明确、同类问题表述不一致或者有明显文字和计算错误的内容，评标委员会可要求投标人以书面形式作出必要的澄清、说明或者补正。</w:t>
      </w:r>
      <w:bookmarkEnd w:id="32"/>
    </w:p>
    <w:p>
      <w:pPr>
        <w:widowControl/>
        <w:spacing w:line="360" w:lineRule="auto"/>
        <w:ind w:firstLine="420" w:firstLineChars="200"/>
        <w:jc w:val="left"/>
        <w:outlineLvl w:val="1"/>
        <w:rPr>
          <w:szCs w:val="21"/>
          <w:highlight w:val="none"/>
        </w:rPr>
      </w:pPr>
      <w:bookmarkStart w:id="35" w:name="_Toc497898869"/>
      <w:r>
        <w:rPr>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35"/>
    </w:p>
    <w:p>
      <w:pPr>
        <w:wordWrap w:val="0"/>
        <w:spacing w:line="360" w:lineRule="auto"/>
        <w:ind w:firstLine="422" w:firstLineChars="200"/>
        <w:jc w:val="left"/>
        <w:rPr>
          <w:b/>
          <w:szCs w:val="21"/>
          <w:highlight w:val="none"/>
        </w:rPr>
      </w:pPr>
      <w:bookmarkStart w:id="36" w:name="_Toc497898870"/>
      <w:r>
        <w:rPr>
          <w:b/>
          <w:szCs w:val="21"/>
          <w:highlight w:val="none"/>
        </w:rPr>
        <w:t>（五）错误修正</w:t>
      </w:r>
      <w:bookmarkEnd w:id="36"/>
    </w:p>
    <w:p>
      <w:pPr>
        <w:pStyle w:val="75"/>
        <w:widowControl/>
        <w:spacing w:line="360" w:lineRule="auto"/>
        <w:ind w:left="689" w:leftChars="228" w:hanging="210" w:hangingChars="100"/>
        <w:jc w:val="left"/>
        <w:rPr>
          <w:rFonts w:ascii="Times New Roman" w:hAnsi="Times New Roman"/>
          <w:szCs w:val="21"/>
          <w:highlight w:val="none"/>
        </w:rPr>
      </w:pPr>
      <w:r>
        <w:rPr>
          <w:rFonts w:ascii="Times New Roman" w:hAnsi="Times New Roman"/>
          <w:szCs w:val="21"/>
          <w:highlight w:val="none"/>
        </w:rPr>
        <w:t>投标文件报价出现前后不一致的，除采购文件另有规定外，按照下列规定修正：</w:t>
      </w: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投标文件中开标一览表（报价表）内容与投标文件中相应内容不一致的，以开标一览表（报价表）为准；</w:t>
      </w: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2</w:t>
      </w:r>
      <w:r>
        <w:rPr>
          <w:rFonts w:hint="eastAsia" w:ascii="Times New Roman" w:hAnsi="Times New Roman"/>
          <w:b w:val="0"/>
          <w:bCs/>
          <w:highlight w:val="none"/>
        </w:rPr>
        <w:t>.</w:t>
      </w:r>
      <w:r>
        <w:rPr>
          <w:rFonts w:ascii="Times New Roman" w:hAnsi="Times New Roman"/>
          <w:b w:val="0"/>
          <w:bCs/>
          <w:highlight w:val="none"/>
        </w:rPr>
        <w:t>大写金额和小写金额不一致的，以大写金额为准；</w:t>
      </w: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3</w:t>
      </w:r>
      <w:r>
        <w:rPr>
          <w:rFonts w:hint="eastAsia" w:ascii="Times New Roman" w:hAnsi="Times New Roman"/>
          <w:b w:val="0"/>
          <w:bCs/>
          <w:highlight w:val="none"/>
        </w:rPr>
        <w:t>.</w:t>
      </w:r>
      <w:r>
        <w:rPr>
          <w:rFonts w:ascii="Times New Roman" w:hAnsi="Times New Roman"/>
          <w:b w:val="0"/>
          <w:bCs/>
          <w:highlight w:val="none"/>
        </w:rPr>
        <w:t>单价金额小数点或者百分比有明显错位的，以开标一览表的总价为准，并修改单价；</w:t>
      </w: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4</w:t>
      </w:r>
      <w:r>
        <w:rPr>
          <w:rFonts w:hint="eastAsia" w:ascii="Times New Roman" w:hAnsi="Times New Roman"/>
          <w:b w:val="0"/>
          <w:bCs/>
          <w:highlight w:val="none"/>
        </w:rPr>
        <w:t>.</w:t>
      </w:r>
      <w:r>
        <w:rPr>
          <w:rFonts w:ascii="Times New Roman" w:hAnsi="Times New Roman"/>
          <w:b w:val="0"/>
          <w:bCs/>
          <w:highlight w:val="none"/>
        </w:rPr>
        <w:t>总价金额与按单价汇总金额不一致的，以单价金额计算结果为准；</w:t>
      </w:r>
    </w:p>
    <w:p>
      <w:pPr>
        <w:pStyle w:val="75"/>
        <w:widowControl/>
        <w:spacing w:line="360" w:lineRule="auto"/>
        <w:ind w:firstLine="420" w:firstLineChars="200"/>
        <w:jc w:val="left"/>
        <w:rPr>
          <w:rFonts w:ascii="Times New Roman" w:hAnsi="Times New Roman"/>
          <w:bCs/>
          <w:szCs w:val="21"/>
          <w:highlight w:val="none"/>
        </w:rPr>
      </w:pPr>
      <w:r>
        <w:rPr>
          <w:rFonts w:ascii="Times New Roman" w:hAnsi="Times New Roman"/>
          <w:bCs/>
          <w:szCs w:val="21"/>
          <w:highlight w:val="none"/>
        </w:rPr>
        <w:t>同时出现两种以上不一致的，按照前款规定的顺序修正。修正后的报价经投标人确认后具有约束力，若投标人不确认的，则其投标无效。</w:t>
      </w:r>
    </w:p>
    <w:p>
      <w:pPr>
        <w:wordWrap w:val="0"/>
        <w:spacing w:line="360" w:lineRule="auto"/>
        <w:ind w:firstLine="420" w:firstLineChars="200"/>
        <w:jc w:val="left"/>
        <w:rPr>
          <w:bCs/>
          <w:szCs w:val="21"/>
          <w:highlight w:val="none"/>
        </w:rPr>
      </w:pPr>
      <w:r>
        <w:rPr>
          <w:bCs/>
          <w:szCs w:val="21"/>
          <w:highlight w:val="none"/>
        </w:rPr>
        <w:t>（六）评标原则和评标办法</w:t>
      </w:r>
      <w:bookmarkEnd w:id="33"/>
      <w:bookmarkEnd w:id="34"/>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2</w:t>
      </w:r>
      <w:r>
        <w:rPr>
          <w:rFonts w:hint="eastAsia" w:ascii="Times New Roman" w:hAnsi="Times New Roman"/>
          <w:b w:val="0"/>
          <w:bCs/>
          <w:highlight w:val="none"/>
        </w:rPr>
        <w:t>.</w:t>
      </w:r>
      <w:r>
        <w:rPr>
          <w:rFonts w:ascii="Times New Roman" w:hAnsi="Times New Roman"/>
          <w:b w:val="0"/>
          <w:bCs/>
          <w:highlight w:val="none"/>
        </w:rPr>
        <w:t>评标办法。本项目评标办法是</w:t>
      </w:r>
      <w:r>
        <w:rPr>
          <w:rFonts w:ascii="Times New Roman" w:hAnsi="Times New Roman"/>
          <w:b w:val="0"/>
          <w:bCs/>
          <w:highlight w:val="none"/>
          <w:u w:val="single"/>
        </w:rPr>
        <w:t xml:space="preserve"> 综合评分法 </w:t>
      </w:r>
      <w:r>
        <w:rPr>
          <w:rFonts w:ascii="Times New Roman" w:hAnsi="Times New Roman"/>
          <w:b w:val="0"/>
          <w:bCs/>
          <w:highlight w:val="none"/>
        </w:rPr>
        <w:t>，具体评标内容及评分标准等详见《第</w:t>
      </w:r>
      <w:r>
        <w:rPr>
          <w:rFonts w:hint="eastAsia" w:ascii="Times New Roman" w:hAnsi="Times New Roman"/>
          <w:b w:val="0"/>
          <w:bCs/>
          <w:highlight w:val="none"/>
        </w:rPr>
        <w:t>六</w:t>
      </w:r>
      <w:r>
        <w:rPr>
          <w:rFonts w:ascii="Times New Roman" w:hAnsi="Times New Roman"/>
          <w:b w:val="0"/>
          <w:bCs/>
          <w:highlight w:val="none"/>
        </w:rPr>
        <w:t>章 评标办法及评分标准》。</w:t>
      </w:r>
    </w:p>
    <w:p>
      <w:pPr>
        <w:spacing w:line="360" w:lineRule="auto"/>
        <w:ind w:firstLine="422" w:firstLineChars="200"/>
        <w:rPr>
          <w:b/>
          <w:szCs w:val="21"/>
          <w:highlight w:val="none"/>
        </w:rPr>
      </w:pPr>
      <w:bookmarkStart w:id="37" w:name="_Toc17884846"/>
      <w:bookmarkStart w:id="38" w:name="_Toc460857931"/>
      <w:r>
        <w:rPr>
          <w:rFonts w:hint="eastAsia"/>
          <w:b/>
          <w:szCs w:val="21"/>
          <w:highlight w:val="none"/>
        </w:rPr>
        <w:t>六</w:t>
      </w:r>
      <w:r>
        <w:rPr>
          <w:b/>
          <w:szCs w:val="21"/>
          <w:highlight w:val="none"/>
        </w:rPr>
        <w:t>、</w:t>
      </w:r>
      <w:bookmarkEnd w:id="37"/>
      <w:bookmarkEnd w:id="38"/>
      <w:r>
        <w:rPr>
          <w:b/>
          <w:szCs w:val="21"/>
          <w:highlight w:val="none"/>
        </w:rPr>
        <w:t>项目终止</w:t>
      </w:r>
    </w:p>
    <w:p>
      <w:pPr>
        <w:pStyle w:val="14"/>
        <w:spacing w:line="360" w:lineRule="auto"/>
        <w:ind w:firstLine="420" w:firstLineChars="200"/>
        <w:rPr>
          <w:rFonts w:ascii="Times New Roman" w:hAnsi="Times New Roman"/>
          <w:b w:val="0"/>
          <w:bCs/>
          <w:highlight w:val="none"/>
        </w:rPr>
      </w:pPr>
      <w:bookmarkStart w:id="39" w:name="_Toc460857932"/>
      <w:r>
        <w:rPr>
          <w:rFonts w:ascii="Times New Roman" w:hAnsi="Times New Roman"/>
          <w:b w:val="0"/>
          <w:bCs/>
          <w:highlight w:val="none"/>
        </w:rPr>
        <w:t>政府采购的国内公开招标，采购响应截止时间或评审期间，</w:t>
      </w:r>
      <w:r>
        <w:rPr>
          <w:rFonts w:hint="eastAsia" w:ascii="Times New Roman" w:hAnsi="Times New Roman"/>
          <w:b w:val="0"/>
          <w:bCs/>
          <w:highlight w:val="none"/>
        </w:rPr>
        <w:t>若</w:t>
      </w:r>
      <w:r>
        <w:rPr>
          <w:rFonts w:ascii="Times New Roman" w:hAnsi="Times New Roman"/>
          <w:b w:val="0"/>
          <w:bCs/>
          <w:highlight w:val="none"/>
        </w:rPr>
        <w:t>出现参与采购响应或者对采购文件作出实质性响应的供应商不足3家的情况，</w:t>
      </w:r>
      <w:r>
        <w:rPr>
          <w:rFonts w:hint="eastAsia" w:ascii="Times New Roman" w:hAnsi="Times New Roman"/>
          <w:b w:val="0"/>
          <w:bCs/>
          <w:highlight w:val="none"/>
        </w:rPr>
        <w:t>采购人</w:t>
      </w:r>
      <w:r>
        <w:rPr>
          <w:rFonts w:ascii="Times New Roman" w:hAnsi="Times New Roman"/>
          <w:b w:val="0"/>
          <w:bCs/>
          <w:highlight w:val="none"/>
        </w:rPr>
        <w:t>有权全部或部分终止招标。</w:t>
      </w:r>
      <w:bookmarkStart w:id="40" w:name="_Toc17884847"/>
    </w:p>
    <w:p>
      <w:pPr>
        <w:pStyle w:val="14"/>
        <w:spacing w:line="360" w:lineRule="auto"/>
        <w:ind w:firstLine="422" w:firstLineChars="200"/>
        <w:rPr>
          <w:rFonts w:ascii="Times New Roman" w:hAnsi="Times New Roman"/>
          <w:highlight w:val="none"/>
        </w:rPr>
      </w:pPr>
      <w:r>
        <w:rPr>
          <w:rFonts w:hint="eastAsia" w:ascii="Times New Roman" w:hAnsi="Times New Roman"/>
          <w:highlight w:val="none"/>
        </w:rPr>
        <w:t>七</w:t>
      </w:r>
      <w:r>
        <w:rPr>
          <w:rFonts w:ascii="Times New Roman" w:hAnsi="Times New Roman"/>
          <w:highlight w:val="none"/>
        </w:rPr>
        <w:t>、定标</w:t>
      </w:r>
      <w:bookmarkEnd w:id="39"/>
      <w:bookmarkEnd w:id="40"/>
    </w:p>
    <w:p>
      <w:pPr>
        <w:spacing w:line="360" w:lineRule="auto"/>
        <w:ind w:firstLine="420" w:firstLineChars="200"/>
        <w:rPr>
          <w:bCs/>
          <w:szCs w:val="21"/>
          <w:highlight w:val="none"/>
        </w:rPr>
      </w:pPr>
      <w:bookmarkStart w:id="41" w:name="_Toc17884848"/>
      <w:bookmarkStart w:id="42" w:name="_Toc460857933"/>
      <w:r>
        <w:rPr>
          <w:bCs/>
          <w:szCs w:val="21"/>
          <w:highlight w:val="none"/>
        </w:rPr>
        <w:t>（一）确定中标人</w:t>
      </w:r>
      <w:bookmarkEnd w:id="41"/>
      <w:bookmarkEnd w:id="42"/>
    </w:p>
    <w:p>
      <w:pPr>
        <w:pStyle w:val="14"/>
        <w:spacing w:line="360" w:lineRule="auto"/>
        <w:ind w:firstLine="420" w:firstLineChars="200"/>
        <w:rPr>
          <w:rFonts w:ascii="Times New Roman" w:hAnsi="Times New Roman"/>
          <w:b w:val="0"/>
          <w:bCs/>
          <w:highlight w:val="none"/>
        </w:rPr>
      </w:pPr>
      <w:bookmarkStart w:id="43" w:name="_Toc460857934"/>
      <w:bookmarkStart w:id="44" w:name="_Toc17884849"/>
      <w:bookmarkStart w:id="45" w:name="_Toc460416359"/>
      <w:bookmarkStart w:id="46" w:name="_Toc460416664"/>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确定中标人。本项目由评标委员会推荐中标候选人，采购人不得在评标委员会推荐的中标候选人以外确定中标候选人。</w:t>
      </w:r>
    </w:p>
    <w:p>
      <w:pPr>
        <w:wordWrap w:val="0"/>
        <w:spacing w:line="400" w:lineRule="exact"/>
        <w:ind w:firstLine="420" w:firstLineChars="200"/>
        <w:jc w:val="left"/>
        <w:rPr>
          <w:rFonts w:hint="eastAsia" w:ascii="宋体" w:hAnsi="宋体" w:cs="宋体"/>
          <w:b/>
          <w:bCs/>
          <w:highlight w:val="none"/>
        </w:rPr>
      </w:pPr>
      <w:r>
        <w:rPr>
          <w:bCs/>
          <w:szCs w:val="21"/>
          <w:highlight w:val="none"/>
        </w:rPr>
        <w:t>2</w:t>
      </w:r>
      <w:r>
        <w:rPr>
          <w:rFonts w:hint="eastAsia"/>
          <w:bCs/>
          <w:szCs w:val="21"/>
          <w:highlight w:val="none"/>
        </w:rPr>
        <w:t>.</w:t>
      </w:r>
      <w:r>
        <w:rPr>
          <w:bCs/>
          <w:szCs w:val="21"/>
          <w:highlight w:val="none"/>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14"/>
        <w:spacing w:line="360" w:lineRule="auto"/>
        <w:ind w:firstLine="420" w:firstLineChars="200"/>
        <w:rPr>
          <w:rFonts w:ascii="Times New Roman" w:hAnsi="Times New Roman"/>
          <w:b w:val="0"/>
          <w:bCs/>
          <w:highlight w:val="none"/>
        </w:rPr>
      </w:pP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3</w:t>
      </w:r>
      <w:r>
        <w:rPr>
          <w:rFonts w:hint="eastAsia" w:ascii="Times New Roman" w:hAnsi="Times New Roman"/>
          <w:b w:val="0"/>
          <w:bCs/>
          <w:highlight w:val="none"/>
        </w:rPr>
        <w:t>.</w:t>
      </w:r>
      <w:r>
        <w:rPr>
          <w:rFonts w:ascii="Times New Roman" w:hAnsi="Times New Roman"/>
          <w:b w:val="0"/>
          <w:bCs/>
          <w:highlight w:val="none"/>
        </w:rPr>
        <w:t>采购代理机构自中标人确定之日起2个工作日内，在发布招标公告的网站上对中标结果进行公示，中标结果公告期限为1个工作日。</w:t>
      </w:r>
    </w:p>
    <w:p>
      <w:pPr>
        <w:pStyle w:val="14"/>
        <w:spacing w:line="360" w:lineRule="auto"/>
        <w:ind w:firstLine="420" w:firstLineChars="200"/>
        <w:rPr>
          <w:rFonts w:ascii="Times New Roman" w:hAnsi="Times New Roman"/>
          <w:b w:val="0"/>
          <w:bCs/>
          <w:highlight w:val="none"/>
        </w:rPr>
      </w:pPr>
      <w:r>
        <w:rPr>
          <w:rFonts w:ascii="Times New Roman" w:hAnsi="Times New Roman"/>
          <w:b w:val="0"/>
          <w:bCs/>
          <w:highlight w:val="none"/>
        </w:rPr>
        <w:t>4</w:t>
      </w:r>
      <w:r>
        <w:rPr>
          <w:rFonts w:hint="eastAsia" w:ascii="Times New Roman" w:hAnsi="Times New Roman"/>
          <w:b w:val="0"/>
          <w:bCs/>
          <w:highlight w:val="none"/>
        </w:rPr>
        <w:t>.</w:t>
      </w:r>
      <w:r>
        <w:rPr>
          <w:rFonts w:ascii="Times New Roman" w:hAnsi="Times New Roman"/>
          <w:b w:val="0"/>
          <w:bCs/>
          <w:highlight w:val="none"/>
        </w:rPr>
        <w:t>凡发现中标人有下列行为之一的，将移交政府采购监督管理部门依法处理：</w:t>
      </w:r>
    </w:p>
    <w:p>
      <w:pPr>
        <w:numPr>
          <w:ilvl w:val="0"/>
          <w:numId w:val="6"/>
        </w:numPr>
        <w:spacing w:line="360" w:lineRule="auto"/>
        <w:rPr>
          <w:szCs w:val="21"/>
          <w:highlight w:val="none"/>
        </w:rPr>
      </w:pPr>
      <w:r>
        <w:rPr>
          <w:szCs w:val="21"/>
          <w:highlight w:val="none"/>
        </w:rPr>
        <w:t>提供虚假材料谋取中标的；</w:t>
      </w:r>
    </w:p>
    <w:p>
      <w:pPr>
        <w:numPr>
          <w:ilvl w:val="0"/>
          <w:numId w:val="6"/>
        </w:numPr>
        <w:spacing w:line="360" w:lineRule="auto"/>
        <w:rPr>
          <w:szCs w:val="21"/>
          <w:highlight w:val="none"/>
        </w:rPr>
      </w:pPr>
      <w:r>
        <w:rPr>
          <w:szCs w:val="21"/>
          <w:highlight w:val="none"/>
        </w:rPr>
        <w:t>采取不正当手段诋毁、排挤其他投标人的；</w:t>
      </w:r>
    </w:p>
    <w:p>
      <w:pPr>
        <w:numPr>
          <w:ilvl w:val="0"/>
          <w:numId w:val="6"/>
        </w:numPr>
        <w:spacing w:line="360" w:lineRule="auto"/>
        <w:rPr>
          <w:szCs w:val="21"/>
          <w:highlight w:val="none"/>
        </w:rPr>
      </w:pPr>
      <w:r>
        <w:rPr>
          <w:szCs w:val="21"/>
          <w:highlight w:val="none"/>
        </w:rPr>
        <w:t>与采购人、其他投标人或者采购代理机构工作人员恶意串通的；</w:t>
      </w:r>
    </w:p>
    <w:p>
      <w:pPr>
        <w:numPr>
          <w:ilvl w:val="0"/>
          <w:numId w:val="6"/>
        </w:numPr>
        <w:spacing w:line="360" w:lineRule="auto"/>
        <w:rPr>
          <w:szCs w:val="21"/>
          <w:highlight w:val="none"/>
        </w:rPr>
      </w:pPr>
      <w:r>
        <w:rPr>
          <w:szCs w:val="21"/>
          <w:highlight w:val="none"/>
        </w:rPr>
        <w:t>向采购人或采购代理机构人员行贿或者提供其他不正当利益的；</w:t>
      </w:r>
    </w:p>
    <w:p>
      <w:pPr>
        <w:numPr>
          <w:ilvl w:val="0"/>
          <w:numId w:val="6"/>
        </w:numPr>
        <w:spacing w:line="360" w:lineRule="auto"/>
        <w:rPr>
          <w:szCs w:val="21"/>
          <w:highlight w:val="none"/>
        </w:rPr>
      </w:pPr>
      <w:r>
        <w:rPr>
          <w:szCs w:val="21"/>
          <w:highlight w:val="none"/>
        </w:rPr>
        <w:t>拒绝有关部门监督检查或者提供虚假情况的；</w:t>
      </w:r>
    </w:p>
    <w:p>
      <w:pPr>
        <w:numPr>
          <w:ilvl w:val="0"/>
          <w:numId w:val="6"/>
        </w:numPr>
        <w:spacing w:line="360" w:lineRule="auto"/>
        <w:rPr>
          <w:szCs w:val="21"/>
          <w:highlight w:val="none"/>
        </w:rPr>
      </w:pPr>
      <w:r>
        <w:rPr>
          <w:szCs w:val="21"/>
          <w:highlight w:val="none"/>
        </w:rPr>
        <w:t>有法律、法规规定的其他损害采购人利益和社会公共利益情形的。</w:t>
      </w:r>
    </w:p>
    <w:p>
      <w:pPr>
        <w:widowControl/>
        <w:spacing w:line="360" w:lineRule="auto"/>
        <w:ind w:firstLine="422" w:firstLineChars="200"/>
        <w:jc w:val="left"/>
        <w:outlineLvl w:val="1"/>
        <w:rPr>
          <w:b/>
          <w:szCs w:val="21"/>
          <w:highlight w:val="none"/>
        </w:rPr>
      </w:pPr>
      <w:bookmarkStart w:id="47" w:name="_Toc497898872"/>
      <w:r>
        <w:rPr>
          <w:rFonts w:hint="eastAsia"/>
          <w:b/>
          <w:szCs w:val="21"/>
          <w:highlight w:val="none"/>
        </w:rPr>
        <w:t>八</w:t>
      </w:r>
      <w:r>
        <w:rPr>
          <w:b/>
          <w:szCs w:val="21"/>
          <w:highlight w:val="none"/>
        </w:rPr>
        <w:t>、评标过程的监控</w:t>
      </w:r>
      <w:bookmarkEnd w:id="47"/>
    </w:p>
    <w:p>
      <w:pPr>
        <w:snapToGrid w:val="0"/>
        <w:spacing w:line="360" w:lineRule="auto"/>
        <w:ind w:firstLine="420" w:firstLineChars="200"/>
        <w:jc w:val="left"/>
        <w:rPr>
          <w:bCs/>
          <w:szCs w:val="21"/>
          <w:highlight w:val="none"/>
        </w:rPr>
      </w:pPr>
      <w:bookmarkStart w:id="48" w:name="_Toc497898873"/>
      <w:r>
        <w:rPr>
          <w:szCs w:val="21"/>
          <w:highlight w:val="none"/>
        </w:rPr>
        <w:t>本项目评标过程实行全程录音</w:t>
      </w:r>
      <w:r>
        <w:rPr>
          <w:bCs/>
          <w:szCs w:val="21"/>
          <w:highlight w:val="none"/>
        </w:rPr>
        <w:t>、录像监控，投标人在评标过程中所进行的试图影响评标结果的不公正活动，可能导致其投标被拒绝。</w:t>
      </w:r>
      <w:bookmarkEnd w:id="48"/>
    </w:p>
    <w:bookmarkEnd w:id="43"/>
    <w:bookmarkEnd w:id="44"/>
    <w:bookmarkEnd w:id="45"/>
    <w:bookmarkEnd w:id="46"/>
    <w:p>
      <w:pPr>
        <w:wordWrap w:val="0"/>
        <w:spacing w:line="360" w:lineRule="auto"/>
        <w:ind w:firstLine="422" w:firstLineChars="200"/>
        <w:jc w:val="left"/>
        <w:rPr>
          <w:b/>
          <w:szCs w:val="21"/>
          <w:highlight w:val="none"/>
        </w:rPr>
      </w:pPr>
      <w:r>
        <w:rPr>
          <w:rFonts w:hint="eastAsia"/>
          <w:b/>
          <w:szCs w:val="21"/>
          <w:highlight w:val="none"/>
        </w:rPr>
        <w:t>九</w:t>
      </w:r>
      <w:r>
        <w:rPr>
          <w:b/>
          <w:szCs w:val="21"/>
          <w:highlight w:val="none"/>
        </w:rPr>
        <w:t>、采购文件的澄清和修改</w:t>
      </w:r>
    </w:p>
    <w:p>
      <w:pPr>
        <w:wordWrap w:val="0"/>
        <w:spacing w:line="360" w:lineRule="auto"/>
        <w:ind w:firstLine="420" w:firstLineChars="200"/>
        <w:jc w:val="left"/>
        <w:rPr>
          <w:szCs w:val="21"/>
          <w:highlight w:val="none"/>
        </w:rPr>
      </w:pPr>
      <w:r>
        <w:rPr>
          <w:szCs w:val="21"/>
          <w:highlight w:val="none"/>
        </w:rPr>
        <w:t>1</w:t>
      </w:r>
      <w:r>
        <w:rPr>
          <w:rFonts w:hint="eastAsia"/>
          <w:szCs w:val="21"/>
          <w:highlight w:val="none"/>
        </w:rPr>
        <w:t>.</w:t>
      </w:r>
      <w:r>
        <w:rPr>
          <w:b/>
          <w:szCs w:val="21"/>
          <w:highlight w:val="none"/>
        </w:rPr>
        <w:t>采购人可以对已发出的采购文件进行必要的澄清或者修改，将以“更正公告”的形式发布在政采云平台，供应商应及时登录政采云平台，进行浏览并下载，未及时浏览下载的责任自负。</w:t>
      </w:r>
      <w:r>
        <w:rPr>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pPr>
        <w:wordWrap w:val="0"/>
        <w:spacing w:line="360" w:lineRule="auto"/>
        <w:ind w:firstLine="422" w:firstLineChars="200"/>
        <w:jc w:val="left"/>
        <w:rPr>
          <w:rFonts w:hint="eastAsia"/>
          <w:b/>
          <w:szCs w:val="21"/>
          <w:highlight w:val="none"/>
        </w:rPr>
      </w:pPr>
      <w:r>
        <w:rPr>
          <w:rFonts w:hint="eastAsia"/>
          <w:b/>
          <w:szCs w:val="21"/>
          <w:highlight w:val="none"/>
        </w:rPr>
        <w:t>十、履约验收</w:t>
      </w:r>
    </w:p>
    <w:p>
      <w:pPr>
        <w:wordWrap w:val="0"/>
        <w:spacing w:line="360" w:lineRule="auto"/>
        <w:ind w:firstLine="420" w:firstLineChars="200"/>
        <w:jc w:val="left"/>
        <w:rPr>
          <w:rFonts w:hint="eastAsia"/>
          <w:szCs w:val="21"/>
          <w:highlight w:val="none"/>
        </w:rPr>
      </w:pPr>
      <w:r>
        <w:rPr>
          <w:rFonts w:hint="eastAsia"/>
          <w:szCs w:val="21"/>
          <w:highlight w:val="none"/>
        </w:rPr>
        <w:t>1、采购人负责对中标人的履约行为进行验收，验收标准为本项目的采购文件以及中标人的投标文件，要求验收必须符合宁波市财政局关于印发《宁波市政府采购履约验收管理办法》等相关政策法规和地方标准。</w:t>
      </w:r>
    </w:p>
    <w:p>
      <w:pPr>
        <w:wordWrap w:val="0"/>
        <w:spacing w:line="360" w:lineRule="auto"/>
        <w:ind w:firstLine="420" w:firstLineChars="200"/>
        <w:jc w:val="left"/>
        <w:rPr>
          <w:szCs w:val="21"/>
          <w:highlight w:val="none"/>
        </w:rPr>
      </w:pPr>
      <w:r>
        <w:rPr>
          <w:rFonts w:hint="eastAsia"/>
          <w:szCs w:val="21"/>
          <w:highlight w:val="none"/>
        </w:rPr>
        <w:t>2、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pPr>
        <w:wordWrap w:val="0"/>
        <w:spacing w:line="360" w:lineRule="auto"/>
        <w:ind w:firstLine="422" w:firstLineChars="200"/>
        <w:jc w:val="left"/>
        <w:rPr>
          <w:b/>
          <w:szCs w:val="21"/>
          <w:highlight w:val="none"/>
        </w:rPr>
      </w:pPr>
      <w:r>
        <w:rPr>
          <w:rFonts w:hint="eastAsia"/>
          <w:b/>
          <w:szCs w:val="21"/>
          <w:highlight w:val="none"/>
        </w:rPr>
        <w:t>十一．</w:t>
      </w:r>
      <w:r>
        <w:rPr>
          <w:b/>
          <w:szCs w:val="21"/>
          <w:highlight w:val="none"/>
        </w:rPr>
        <w:t>质疑与投诉</w:t>
      </w:r>
    </w:p>
    <w:p>
      <w:pPr>
        <w:wordWrap w:val="0"/>
        <w:spacing w:line="360" w:lineRule="auto"/>
        <w:ind w:firstLine="420" w:firstLineChars="200"/>
        <w:rPr>
          <w:szCs w:val="21"/>
          <w:highlight w:val="none"/>
        </w:rPr>
      </w:pPr>
      <w:r>
        <w:rPr>
          <w:szCs w:val="21"/>
          <w:highlight w:val="none"/>
        </w:rPr>
        <w:t>1</w:t>
      </w:r>
      <w:r>
        <w:rPr>
          <w:rFonts w:hint="eastAsia"/>
          <w:szCs w:val="21"/>
          <w:highlight w:val="none"/>
        </w:rPr>
        <w:t>.</w:t>
      </w:r>
      <w:r>
        <w:rPr>
          <w:szCs w:val="21"/>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wordWrap w:val="0"/>
        <w:spacing w:line="360" w:lineRule="auto"/>
        <w:ind w:firstLine="420" w:firstLineChars="200"/>
        <w:rPr>
          <w:szCs w:val="21"/>
          <w:highlight w:val="none"/>
        </w:rPr>
      </w:pPr>
      <w:r>
        <w:rPr>
          <w:szCs w:val="21"/>
          <w:highlight w:val="none"/>
        </w:rPr>
        <w:t>2</w:t>
      </w:r>
      <w:r>
        <w:rPr>
          <w:rFonts w:hint="eastAsia"/>
          <w:szCs w:val="21"/>
          <w:highlight w:val="none"/>
        </w:rPr>
        <w:t>.</w:t>
      </w:r>
      <w:r>
        <w:rPr>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wordWrap w:val="0"/>
        <w:spacing w:line="360" w:lineRule="auto"/>
        <w:ind w:firstLine="420" w:firstLineChars="200"/>
        <w:rPr>
          <w:szCs w:val="21"/>
          <w:highlight w:val="none"/>
        </w:rPr>
      </w:pPr>
      <w:r>
        <w:rPr>
          <w:szCs w:val="21"/>
          <w:highlight w:val="none"/>
        </w:rPr>
        <w:t>3</w:t>
      </w:r>
      <w:r>
        <w:rPr>
          <w:rFonts w:hint="eastAsia"/>
          <w:szCs w:val="21"/>
          <w:highlight w:val="none"/>
        </w:rPr>
        <w:t>.</w:t>
      </w:r>
      <w:r>
        <w:rPr>
          <w:szCs w:val="21"/>
          <w:highlight w:val="none"/>
        </w:rPr>
        <w:t>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wordWrap w:val="0"/>
        <w:spacing w:line="360" w:lineRule="auto"/>
        <w:ind w:firstLine="420" w:firstLineChars="200"/>
        <w:rPr>
          <w:szCs w:val="21"/>
          <w:highlight w:val="none"/>
        </w:rPr>
      </w:pPr>
      <w:r>
        <w:rPr>
          <w:szCs w:val="21"/>
          <w:highlight w:val="none"/>
        </w:rPr>
        <w:t>4</w:t>
      </w:r>
      <w:r>
        <w:rPr>
          <w:rFonts w:hint="eastAsia"/>
          <w:szCs w:val="21"/>
          <w:highlight w:val="none"/>
        </w:rPr>
        <w:t>.</w:t>
      </w:r>
      <w:r>
        <w:rPr>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wordWrap w:val="0"/>
        <w:spacing w:line="360" w:lineRule="auto"/>
        <w:ind w:firstLine="420" w:firstLineChars="200"/>
        <w:rPr>
          <w:szCs w:val="21"/>
          <w:highlight w:val="none"/>
        </w:rPr>
      </w:pPr>
      <w:r>
        <w:rPr>
          <w:szCs w:val="21"/>
          <w:highlight w:val="none"/>
        </w:rPr>
        <w:t>5</w:t>
      </w:r>
      <w:r>
        <w:rPr>
          <w:rFonts w:hint="eastAsia"/>
          <w:szCs w:val="21"/>
          <w:highlight w:val="none"/>
        </w:rPr>
        <w:t>.</w:t>
      </w:r>
      <w:r>
        <w:rPr>
          <w:szCs w:val="21"/>
          <w:highlight w:val="none"/>
        </w:rPr>
        <w:t>采购人、代理机构接收质疑函的方式：只接收供应商以当面递交、邮寄、传真或电子邮件方式提出的质疑函，以其他方式提出的质疑不予接收。</w:t>
      </w:r>
    </w:p>
    <w:p>
      <w:pPr>
        <w:wordWrap w:val="0"/>
        <w:spacing w:line="360" w:lineRule="auto"/>
        <w:ind w:firstLine="420" w:firstLineChars="200"/>
        <w:rPr>
          <w:szCs w:val="21"/>
          <w:highlight w:val="none"/>
        </w:rPr>
      </w:pPr>
      <w:r>
        <w:rPr>
          <w:szCs w:val="21"/>
          <w:highlight w:val="none"/>
        </w:rPr>
        <w:t>采取邮寄方式的，提出质疑的时间为质疑函原件交邮的时间（以邮戳时间或快递收件时间为准）。</w:t>
      </w:r>
    </w:p>
    <w:p>
      <w:pPr>
        <w:wordWrap w:val="0"/>
        <w:spacing w:line="360" w:lineRule="auto"/>
        <w:ind w:firstLine="420" w:firstLineChars="200"/>
        <w:rPr>
          <w:szCs w:val="21"/>
          <w:highlight w:val="none"/>
        </w:rPr>
      </w:pPr>
      <w:r>
        <w:rPr>
          <w:szCs w:val="21"/>
          <w:highlight w:val="none"/>
        </w:rPr>
        <w:t>采取传真、电子邮件方式的，供应商应当在传真、电子邮件发出后将质疑函原件邮寄给被质疑人，提出质疑的时间为质疑函原件交邮的时间（以邮戳时间或快递收件时间为准）。</w:t>
      </w:r>
    </w:p>
    <w:p>
      <w:pPr>
        <w:wordWrap w:val="0"/>
        <w:spacing w:line="360" w:lineRule="auto"/>
        <w:ind w:firstLine="420" w:firstLineChars="200"/>
        <w:rPr>
          <w:szCs w:val="21"/>
          <w:highlight w:val="none"/>
        </w:rPr>
      </w:pPr>
      <w:r>
        <w:rPr>
          <w:szCs w:val="21"/>
          <w:highlight w:val="none"/>
        </w:rPr>
        <w:t>6</w:t>
      </w:r>
      <w:r>
        <w:rPr>
          <w:rFonts w:hint="eastAsia"/>
          <w:szCs w:val="21"/>
          <w:highlight w:val="none"/>
        </w:rPr>
        <w:t>.</w:t>
      </w:r>
      <w:r>
        <w:rPr>
          <w:szCs w:val="21"/>
          <w:highlight w:val="none"/>
        </w:rPr>
        <w:t>采购人、代理机构以实际收到质疑函原件之日作为收到质疑函的日期，将在收到质疑函后7个工作日内作出答复。</w:t>
      </w:r>
    </w:p>
    <w:p>
      <w:pPr>
        <w:wordWrap w:val="0"/>
        <w:spacing w:line="360" w:lineRule="auto"/>
        <w:ind w:firstLine="420" w:firstLineChars="200"/>
        <w:jc w:val="left"/>
        <w:rPr>
          <w:szCs w:val="21"/>
          <w:highlight w:val="none"/>
        </w:rPr>
      </w:pPr>
      <w:r>
        <w:rPr>
          <w:szCs w:val="21"/>
          <w:highlight w:val="none"/>
        </w:rPr>
        <w:t>7</w:t>
      </w:r>
      <w:r>
        <w:rPr>
          <w:rFonts w:hint="eastAsia"/>
          <w:szCs w:val="21"/>
          <w:highlight w:val="none"/>
        </w:rPr>
        <w:t>.</w:t>
      </w:r>
      <w:r>
        <w:rPr>
          <w:szCs w:val="21"/>
          <w:highlight w:val="none"/>
        </w:rPr>
        <w:t>采购人、代理机构接收质疑函的联系人、联系电话和通讯地址等信息详见采购公告。</w:t>
      </w:r>
    </w:p>
    <w:p>
      <w:pPr>
        <w:pStyle w:val="5"/>
        <w:spacing w:before="120" w:after="120" w:line="360" w:lineRule="auto"/>
        <w:rPr>
          <w:rFonts w:hint="eastAsia" w:hAnsi="宋体"/>
          <w:sz w:val="44"/>
          <w:szCs w:val="48"/>
          <w:highlight w:val="none"/>
        </w:rPr>
      </w:pPr>
    </w:p>
    <w:p>
      <w:pPr>
        <w:pStyle w:val="5"/>
        <w:spacing w:before="120" w:after="120" w:line="360" w:lineRule="auto"/>
        <w:rPr>
          <w:rFonts w:hint="eastAsia" w:hAnsi="宋体"/>
          <w:sz w:val="44"/>
          <w:szCs w:val="48"/>
          <w:highlight w:val="none"/>
        </w:rPr>
      </w:pPr>
      <w:r>
        <w:rPr>
          <w:rFonts w:hint="eastAsia" w:hAnsi="宋体"/>
          <w:sz w:val="44"/>
          <w:szCs w:val="48"/>
          <w:highlight w:val="none"/>
        </w:rPr>
        <w:br w:type="page"/>
      </w:r>
      <w:bookmarkStart w:id="49" w:name="_Toc26684"/>
      <w:r>
        <w:rPr>
          <w:rFonts w:hint="eastAsia" w:hAnsi="宋体"/>
          <w:sz w:val="44"/>
          <w:szCs w:val="48"/>
          <w:highlight w:val="none"/>
        </w:rPr>
        <w:t>第四章  合同条款</w:t>
      </w:r>
      <w:bookmarkEnd w:id="24"/>
      <w:bookmarkEnd w:id="25"/>
      <w:bookmarkEnd w:id="26"/>
      <w:bookmarkEnd w:id="27"/>
      <w:bookmarkEnd w:id="49"/>
      <w:bookmarkStart w:id="50" w:name="_Toc355766592"/>
      <w:bookmarkStart w:id="51" w:name="_Toc263631753"/>
      <w:bookmarkStart w:id="52" w:name="_Toc484598374"/>
      <w:bookmarkStart w:id="53" w:name="_Toc487121759"/>
      <w:bookmarkStart w:id="54" w:name="_Toc484598077"/>
    </w:p>
    <w:p>
      <w:pPr>
        <w:spacing w:line="360" w:lineRule="auto"/>
        <w:jc w:val="center"/>
        <w:rPr>
          <w:rFonts w:eastAsia="方正黑体简体"/>
          <w:i/>
          <w:sz w:val="24"/>
          <w:highlight w:val="none"/>
        </w:rPr>
      </w:pPr>
      <w:r>
        <w:rPr>
          <w:rFonts w:hint="eastAsia" w:eastAsia="方正黑体简体"/>
          <w:i/>
          <w:sz w:val="24"/>
          <w:highlight w:val="none"/>
        </w:rPr>
        <w:t>（合同未尽事宜或合同模板及内容需实质性调整，根据招标文件规定、中标供应商要约情况及采购人实际承诺结果据实增补或调整。）</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项目名称：</w:t>
      </w:r>
      <w:r>
        <w:rPr>
          <w:rFonts w:hint="eastAsia" w:ascii="Times New Roman" w:hAnsi="Times New Roman"/>
          <w:b w:val="0"/>
          <w:bCs/>
          <w:highlight w:val="none"/>
        </w:rPr>
        <w:t>宁波市反电诈全维智控平台（一期）—“96110”全民反诈等应用及数据资源建设</w:t>
      </w:r>
      <w:r>
        <w:rPr>
          <w:rFonts w:ascii="Times New Roman" w:hAnsi="Times New Roman"/>
          <w:b w:val="0"/>
          <w:bCs/>
          <w:highlight w:val="none"/>
        </w:rPr>
        <w:t xml:space="preserve">       </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项目编号：</w:t>
      </w:r>
      <w:r>
        <w:rPr>
          <w:rFonts w:hint="eastAsia" w:ascii="Times New Roman" w:hAnsi="Times New Roman"/>
          <w:b w:val="0"/>
          <w:bCs/>
          <w:highlight w:val="none"/>
        </w:rPr>
        <w:t xml:space="preserve">NG-G2022029 </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甲方：</w:t>
      </w:r>
      <w:r>
        <w:rPr>
          <w:rFonts w:hint="eastAsia" w:ascii="Times New Roman" w:hAnsi="Times New Roman"/>
          <w:b w:val="0"/>
          <w:bCs/>
          <w:highlight w:val="none"/>
          <w:u w:val="single"/>
        </w:rPr>
        <w:t xml:space="preserve">  宁波市公安局 </w:t>
      </w:r>
    </w:p>
    <w:p>
      <w:pPr>
        <w:pStyle w:val="14"/>
        <w:spacing w:line="360" w:lineRule="auto"/>
        <w:contextualSpacing/>
        <w:rPr>
          <w:rFonts w:ascii="Times New Roman" w:hAnsi="Times New Roman"/>
          <w:b w:val="0"/>
          <w:bCs/>
          <w:highlight w:val="none"/>
          <w:u w:val="single"/>
        </w:rPr>
      </w:pPr>
      <w:r>
        <w:rPr>
          <w:rFonts w:ascii="Times New Roman" w:hAnsi="Times New Roman"/>
          <w:b w:val="0"/>
          <w:bCs/>
          <w:highlight w:val="none"/>
        </w:rPr>
        <w:t>乙方：</w:t>
      </w:r>
      <w:r>
        <w:rPr>
          <w:rFonts w:hint="eastAsia" w:ascii="Times New Roman" w:hAnsi="Times New Roman"/>
          <w:b w:val="0"/>
          <w:bCs/>
          <w:highlight w:val="none"/>
          <w:u w:val="single"/>
        </w:rPr>
        <w:t xml:space="preserve">                          </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 xml:space="preserve">    甲、乙双方根据</w:t>
      </w:r>
      <w:r>
        <w:rPr>
          <w:rFonts w:hint="eastAsia" w:ascii="Times New Roman" w:hAnsi="Times New Roman"/>
          <w:b w:val="0"/>
          <w:bCs/>
          <w:highlight w:val="none"/>
          <w:u w:val="single"/>
        </w:rPr>
        <w:t xml:space="preserve"> 宁波市反电诈全维智控平台（一期）—“96110”全民反诈等应用及数据资源建设项目</w:t>
      </w:r>
      <w:r>
        <w:rPr>
          <w:rFonts w:ascii="Times New Roman" w:hAnsi="Times New Roman"/>
          <w:b w:val="0"/>
          <w:bCs/>
          <w:highlight w:val="none"/>
          <w:u w:val="single"/>
        </w:rPr>
        <w:t>公开招标</w:t>
      </w:r>
      <w:r>
        <w:rPr>
          <w:rFonts w:hint="eastAsia" w:ascii="Times New Roman" w:hAnsi="Times New Roman"/>
          <w:b w:val="0"/>
          <w:bCs/>
          <w:highlight w:val="none"/>
          <w:u w:val="single"/>
        </w:rPr>
        <w:t xml:space="preserve">  </w:t>
      </w:r>
      <w:r>
        <w:rPr>
          <w:rFonts w:ascii="Times New Roman" w:hAnsi="Times New Roman"/>
          <w:b w:val="0"/>
          <w:bCs/>
          <w:highlight w:val="none"/>
        </w:rPr>
        <w:t>的结果，签署本合同。</w:t>
      </w:r>
    </w:p>
    <w:p>
      <w:pPr>
        <w:pStyle w:val="14"/>
        <w:spacing w:line="360" w:lineRule="auto"/>
        <w:contextualSpacing/>
        <w:rPr>
          <w:rFonts w:ascii="Times New Roman" w:hAnsi="Times New Roman"/>
          <w:b w:val="0"/>
          <w:bCs/>
          <w:highlight w:val="none"/>
          <w:u w:val="single"/>
        </w:rPr>
      </w:pPr>
      <w:r>
        <w:rPr>
          <w:rFonts w:ascii="Times New Roman" w:hAnsi="Times New Roman"/>
          <w:b w:val="0"/>
          <w:bCs/>
          <w:highlight w:val="none"/>
        </w:rPr>
        <w:t>一、服务内容</w:t>
      </w:r>
      <w:r>
        <w:rPr>
          <w:rFonts w:hint="eastAsia" w:ascii="Times New Roman" w:hAnsi="Times New Roman"/>
          <w:b w:val="0"/>
          <w:bCs/>
          <w:highlight w:val="none"/>
        </w:rPr>
        <w:t>：</w:t>
      </w:r>
      <w:r>
        <w:rPr>
          <w:rFonts w:hint="eastAsia" w:ascii="Times New Roman" w:hAnsi="Times New Roman"/>
          <w:b w:val="0"/>
          <w:bCs/>
          <w:highlight w:val="none"/>
          <w:u w:val="single"/>
        </w:rPr>
        <w:t xml:space="preserve">                                  </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二、合同金额</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本合同金额为（大写）：__________________元（￥________元）人民币。</w:t>
      </w:r>
    </w:p>
    <w:p>
      <w:pPr>
        <w:pStyle w:val="14"/>
        <w:spacing w:line="360" w:lineRule="auto"/>
        <w:ind w:left="359" w:hanging="359" w:hangingChars="171"/>
        <w:contextualSpacing/>
        <w:rPr>
          <w:rFonts w:ascii="Times New Roman" w:hAnsi="Times New Roman"/>
          <w:b w:val="0"/>
          <w:bCs/>
          <w:highlight w:val="none"/>
        </w:rPr>
      </w:pPr>
      <w:r>
        <w:rPr>
          <w:rFonts w:hint="eastAsia" w:ascii="Times New Roman" w:hAnsi="Times New Roman"/>
          <w:b w:val="0"/>
          <w:bCs/>
          <w:highlight w:val="none"/>
        </w:rPr>
        <w:t>三</w:t>
      </w:r>
      <w:r>
        <w:rPr>
          <w:rFonts w:ascii="Times New Roman" w:hAnsi="Times New Roman"/>
          <w:b w:val="0"/>
          <w:bCs/>
          <w:highlight w:val="none"/>
        </w:rPr>
        <w:t>、知识产权</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乙方应保证提供服务过程中不会侵犯任何第三方的知识产权。</w:t>
      </w:r>
    </w:p>
    <w:p>
      <w:pPr>
        <w:pStyle w:val="14"/>
        <w:spacing w:line="360" w:lineRule="auto"/>
        <w:ind w:left="357" w:hanging="357" w:hangingChars="170"/>
        <w:contextualSpacing/>
        <w:rPr>
          <w:rFonts w:ascii="Times New Roman" w:hAnsi="Times New Roman"/>
          <w:b w:val="0"/>
          <w:bCs/>
          <w:highlight w:val="none"/>
        </w:rPr>
      </w:pPr>
      <w:r>
        <w:rPr>
          <w:rFonts w:hint="eastAsia" w:ascii="Times New Roman" w:hAnsi="Times New Roman"/>
          <w:b w:val="0"/>
          <w:bCs/>
          <w:highlight w:val="none"/>
        </w:rPr>
        <w:t>四</w:t>
      </w:r>
      <w:r>
        <w:rPr>
          <w:rFonts w:ascii="Times New Roman" w:hAnsi="Times New Roman"/>
          <w:b w:val="0"/>
          <w:bCs/>
          <w:highlight w:val="none"/>
        </w:rPr>
        <w:t>、履约保证金</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①在合同签订后 3 个工作日，乙方须向甲方提交履约保证金。</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②履约保证金为合同总额的2.5%，即</w:t>
      </w:r>
      <w:r>
        <w:rPr>
          <w:rFonts w:hint="eastAsia" w:ascii="Times New Roman" w:hAnsi="Times New Roman"/>
          <w:b w:val="0"/>
          <w:bCs/>
          <w:highlight w:val="none"/>
          <w:u w:val="single"/>
        </w:rPr>
        <w:t xml:space="preserve">     </w:t>
      </w:r>
      <w:r>
        <w:rPr>
          <w:rFonts w:hint="eastAsia" w:ascii="Times New Roman" w:hAnsi="Times New Roman"/>
          <w:b w:val="0"/>
          <w:bCs/>
          <w:highlight w:val="none"/>
        </w:rPr>
        <w:t>元，履约保证金的交付方式：保函、现金或履约保险形式。</w:t>
      </w:r>
    </w:p>
    <w:p>
      <w:pPr>
        <w:pStyle w:val="14"/>
        <w:spacing w:line="360" w:lineRule="auto"/>
        <w:ind w:firstLine="420" w:firstLineChars="200"/>
        <w:contextualSpacing/>
        <w:rPr>
          <w:rFonts w:ascii="Times New Roman" w:hAnsi="Times New Roman"/>
          <w:b w:val="0"/>
          <w:bCs/>
          <w:highlight w:val="none"/>
        </w:rPr>
      </w:pPr>
      <w:r>
        <w:rPr>
          <w:rFonts w:hint="eastAsia" w:ascii="Times New Roman" w:hAnsi="Times New Roman"/>
          <w:b w:val="0"/>
          <w:bCs/>
          <w:highlight w:val="none"/>
        </w:rPr>
        <w:t xml:space="preserve">③在合同履约完成最终验收合格后满 15 个工作日内无息退还（但如中标人未能履行合同规定的任何义务，甲方有权从履约保证金中得到补偿）。  </w:t>
      </w:r>
    </w:p>
    <w:p>
      <w:pPr>
        <w:spacing w:line="360" w:lineRule="auto"/>
        <w:contextualSpacing/>
        <w:rPr>
          <w:bCs/>
          <w:szCs w:val="21"/>
          <w:highlight w:val="none"/>
        </w:rPr>
      </w:pPr>
      <w:r>
        <w:rPr>
          <w:rFonts w:hint="eastAsia"/>
          <w:bCs/>
          <w:szCs w:val="21"/>
          <w:highlight w:val="none"/>
        </w:rPr>
        <w:t>五、转包或分包</w:t>
      </w:r>
    </w:p>
    <w:p>
      <w:pPr>
        <w:widowControl/>
        <w:overflowPunct w:val="0"/>
        <w:autoSpaceDE w:val="0"/>
        <w:autoSpaceDN w:val="0"/>
        <w:adjustRightInd w:val="0"/>
        <w:spacing w:line="360" w:lineRule="auto"/>
        <w:ind w:firstLine="420" w:firstLineChars="200"/>
        <w:contextualSpacing/>
        <w:jc w:val="left"/>
        <w:textAlignment w:val="baseline"/>
        <w:rPr>
          <w:bCs/>
          <w:szCs w:val="21"/>
          <w:highlight w:val="none"/>
        </w:rPr>
      </w:pPr>
      <w:r>
        <w:rPr>
          <w:bCs/>
          <w:szCs w:val="21"/>
          <w:highlight w:val="none"/>
        </w:rPr>
        <w:t>1</w:t>
      </w:r>
      <w:r>
        <w:rPr>
          <w:rFonts w:hint="eastAsia"/>
          <w:bCs/>
          <w:szCs w:val="21"/>
          <w:highlight w:val="none"/>
        </w:rPr>
        <w:t>、本合同范围的服务，应由</w:t>
      </w:r>
      <w:r>
        <w:rPr>
          <w:bCs/>
          <w:szCs w:val="21"/>
          <w:highlight w:val="none"/>
        </w:rPr>
        <w:t>乙</w:t>
      </w:r>
      <w:r>
        <w:rPr>
          <w:rFonts w:hint="eastAsia"/>
          <w:bCs/>
          <w:szCs w:val="21"/>
          <w:highlight w:val="none"/>
        </w:rPr>
        <w:t>方直接供应，不得转让他人供应；</w:t>
      </w:r>
    </w:p>
    <w:p>
      <w:pPr>
        <w:widowControl/>
        <w:overflowPunct w:val="0"/>
        <w:autoSpaceDE w:val="0"/>
        <w:autoSpaceDN w:val="0"/>
        <w:adjustRightInd w:val="0"/>
        <w:spacing w:line="360" w:lineRule="auto"/>
        <w:ind w:firstLine="420" w:firstLineChars="200"/>
        <w:contextualSpacing/>
        <w:jc w:val="left"/>
        <w:textAlignment w:val="baseline"/>
        <w:rPr>
          <w:bCs/>
          <w:szCs w:val="21"/>
          <w:highlight w:val="none"/>
        </w:rPr>
      </w:pPr>
      <w:r>
        <w:rPr>
          <w:bCs/>
          <w:szCs w:val="21"/>
          <w:highlight w:val="none"/>
        </w:rPr>
        <w:t>2</w:t>
      </w:r>
      <w:r>
        <w:rPr>
          <w:rFonts w:hint="eastAsia"/>
          <w:bCs/>
          <w:szCs w:val="21"/>
          <w:highlight w:val="none"/>
        </w:rPr>
        <w:t>、除非得到甲方的书面同意，</w:t>
      </w:r>
      <w:r>
        <w:rPr>
          <w:bCs/>
          <w:szCs w:val="21"/>
          <w:highlight w:val="none"/>
        </w:rPr>
        <w:t>乙</w:t>
      </w:r>
      <w:r>
        <w:rPr>
          <w:rFonts w:hint="eastAsia"/>
          <w:bCs/>
          <w:szCs w:val="21"/>
          <w:highlight w:val="none"/>
        </w:rPr>
        <w:t>方不得将本合同范围的服务全部或部分分包给他人供应；</w:t>
      </w:r>
    </w:p>
    <w:p>
      <w:pPr>
        <w:widowControl/>
        <w:overflowPunct w:val="0"/>
        <w:autoSpaceDE w:val="0"/>
        <w:autoSpaceDN w:val="0"/>
        <w:adjustRightInd w:val="0"/>
        <w:spacing w:line="360" w:lineRule="auto"/>
        <w:ind w:firstLine="420" w:firstLineChars="200"/>
        <w:contextualSpacing/>
        <w:jc w:val="left"/>
        <w:textAlignment w:val="baseline"/>
        <w:rPr>
          <w:bCs/>
          <w:szCs w:val="21"/>
          <w:highlight w:val="none"/>
        </w:rPr>
      </w:pPr>
      <w:r>
        <w:rPr>
          <w:bCs/>
          <w:szCs w:val="21"/>
          <w:highlight w:val="none"/>
        </w:rPr>
        <w:t>3</w:t>
      </w:r>
      <w:r>
        <w:rPr>
          <w:rFonts w:hint="eastAsia"/>
          <w:bCs/>
          <w:szCs w:val="21"/>
          <w:highlight w:val="none"/>
        </w:rPr>
        <w:t>、如有转让和未经甲方同意的分包行为，甲方有权解除合同，没收履约保证金并追究乙方的违约责任。</w:t>
      </w:r>
    </w:p>
    <w:p>
      <w:pPr>
        <w:pStyle w:val="14"/>
        <w:spacing w:line="360" w:lineRule="auto"/>
        <w:contextualSpacing/>
        <w:rPr>
          <w:rFonts w:ascii="Times New Roman" w:hAnsi="Times New Roman"/>
          <w:b w:val="0"/>
          <w:bCs/>
          <w:highlight w:val="none"/>
        </w:rPr>
      </w:pPr>
      <w:r>
        <w:rPr>
          <w:rFonts w:hint="eastAsia" w:ascii="Times New Roman" w:hAnsi="Times New Roman"/>
          <w:b w:val="0"/>
          <w:bCs/>
          <w:highlight w:val="none"/>
        </w:rPr>
        <w:t>六</w:t>
      </w:r>
      <w:r>
        <w:rPr>
          <w:rFonts w:ascii="Times New Roman" w:hAnsi="Times New Roman"/>
          <w:b w:val="0"/>
          <w:bCs/>
          <w:highlight w:val="none"/>
        </w:rPr>
        <w:t>、服务质量保证期和服务质量保证金</w:t>
      </w:r>
      <w:r>
        <w:rPr>
          <w:rFonts w:hint="eastAsia" w:ascii="Times New Roman" w:hAnsi="Times New Roman"/>
          <w:b w:val="0"/>
          <w:bCs/>
          <w:highlight w:val="none"/>
        </w:rPr>
        <w:t>（选用）</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服务质量保证期</w:t>
      </w:r>
      <w:r>
        <w:rPr>
          <w:rFonts w:ascii="Times New Roman" w:hAnsi="Times New Roman"/>
          <w:b w:val="0"/>
          <w:bCs/>
          <w:highlight w:val="none"/>
          <w:u w:val="single"/>
        </w:rPr>
        <w:t xml:space="preserve">      </w:t>
      </w:r>
      <w:r>
        <w:rPr>
          <w:rFonts w:ascii="Times New Roman" w:hAnsi="Times New Roman"/>
          <w:b w:val="0"/>
          <w:bCs/>
          <w:highlight w:val="none"/>
        </w:rPr>
        <w:t>年。（自验收合格之日起计）</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2</w:t>
      </w:r>
      <w:r>
        <w:rPr>
          <w:rFonts w:hint="eastAsia" w:ascii="Times New Roman" w:hAnsi="Times New Roman"/>
          <w:b w:val="0"/>
          <w:bCs/>
          <w:highlight w:val="none"/>
        </w:rPr>
        <w:t>、</w:t>
      </w:r>
      <w:r>
        <w:rPr>
          <w:rFonts w:ascii="Times New Roman" w:hAnsi="Times New Roman"/>
          <w:b w:val="0"/>
          <w:bCs/>
          <w:highlight w:val="none"/>
        </w:rPr>
        <w:t>服务质量保证金</w:t>
      </w:r>
      <w:r>
        <w:rPr>
          <w:rFonts w:ascii="Times New Roman" w:hAnsi="Times New Roman"/>
          <w:b w:val="0"/>
          <w:bCs/>
          <w:highlight w:val="none"/>
          <w:u w:val="single"/>
        </w:rPr>
        <w:t xml:space="preserve">            </w:t>
      </w:r>
      <w:r>
        <w:rPr>
          <w:rFonts w:ascii="Times New Roman" w:hAnsi="Times New Roman"/>
          <w:b w:val="0"/>
          <w:bCs/>
          <w:highlight w:val="none"/>
        </w:rPr>
        <w:t>元。</w:t>
      </w:r>
    </w:p>
    <w:p>
      <w:pPr>
        <w:pStyle w:val="14"/>
        <w:spacing w:line="360" w:lineRule="auto"/>
        <w:contextualSpacing/>
        <w:rPr>
          <w:rFonts w:ascii="Times New Roman" w:hAnsi="Times New Roman"/>
          <w:b w:val="0"/>
          <w:bCs/>
          <w:highlight w:val="none"/>
        </w:rPr>
      </w:pPr>
      <w:r>
        <w:rPr>
          <w:rFonts w:hint="eastAsia" w:ascii="Times New Roman" w:hAnsi="Times New Roman"/>
          <w:b w:val="0"/>
          <w:bCs/>
          <w:highlight w:val="none"/>
        </w:rPr>
        <w:t>七</w:t>
      </w:r>
      <w:r>
        <w:rPr>
          <w:rFonts w:ascii="Times New Roman" w:hAnsi="Times New Roman"/>
          <w:b w:val="0"/>
          <w:bCs/>
          <w:highlight w:val="none"/>
        </w:rPr>
        <w:t>、</w:t>
      </w:r>
      <w:r>
        <w:rPr>
          <w:rFonts w:hint="eastAsia" w:ascii="Times New Roman" w:hAnsi="Times New Roman"/>
          <w:b w:val="0"/>
          <w:bCs/>
          <w:highlight w:val="none"/>
        </w:rPr>
        <w:t>服务</w:t>
      </w:r>
      <w:r>
        <w:rPr>
          <w:rFonts w:ascii="Times New Roman" w:hAnsi="Times New Roman"/>
          <w:b w:val="0"/>
          <w:bCs/>
          <w:highlight w:val="none"/>
        </w:rPr>
        <w:t>时间及</w:t>
      </w:r>
      <w:r>
        <w:rPr>
          <w:rFonts w:hint="eastAsia" w:ascii="Times New Roman" w:hAnsi="Times New Roman"/>
          <w:b w:val="0"/>
          <w:bCs/>
          <w:highlight w:val="none"/>
        </w:rPr>
        <w:t>服务</w:t>
      </w:r>
      <w:r>
        <w:rPr>
          <w:rFonts w:ascii="Times New Roman" w:hAnsi="Times New Roman"/>
          <w:b w:val="0"/>
          <w:bCs/>
          <w:highlight w:val="none"/>
        </w:rPr>
        <w:t>地点</w:t>
      </w:r>
    </w:p>
    <w:p>
      <w:pPr>
        <w:tabs>
          <w:tab w:val="left" w:pos="0"/>
        </w:tabs>
        <w:spacing w:line="360" w:lineRule="auto"/>
        <w:ind w:firstLine="420" w:firstLineChars="200"/>
        <w:rPr>
          <w:rFonts w:ascii="宋体" w:hAnsi="宋体" w:cs="宋体"/>
          <w:highlight w:val="none"/>
        </w:rPr>
      </w:pPr>
      <w:r>
        <w:rPr>
          <w:bCs/>
          <w:szCs w:val="21"/>
          <w:highlight w:val="none"/>
        </w:rPr>
        <w:t>1</w:t>
      </w:r>
      <w:r>
        <w:rPr>
          <w:rFonts w:hint="eastAsia"/>
          <w:bCs/>
          <w:szCs w:val="21"/>
          <w:highlight w:val="none"/>
        </w:rPr>
        <w:t>、服务时间</w:t>
      </w:r>
      <w:r>
        <w:rPr>
          <w:rFonts w:hint="eastAsia" w:ascii="宋体" w:hAnsi="宋体" w:cs="宋体"/>
          <w:bCs/>
          <w:highlight w:val="none"/>
        </w:rPr>
        <w:t>：</w:t>
      </w:r>
      <w:r>
        <w:rPr>
          <w:rFonts w:hint="eastAsia" w:ascii="宋体" w:hAnsi="宋体" w:cs="宋体"/>
          <w:highlight w:val="none"/>
        </w:rPr>
        <w:t>本项目要求建设实施工期共为6个月，即合同签订日起3个月内完成系统要求功能的开发并投入试运行，试运行3个月后进行验收。</w:t>
      </w:r>
    </w:p>
    <w:p>
      <w:pPr>
        <w:widowControl/>
        <w:overflowPunct w:val="0"/>
        <w:autoSpaceDE w:val="0"/>
        <w:autoSpaceDN w:val="0"/>
        <w:adjustRightInd w:val="0"/>
        <w:spacing w:line="360" w:lineRule="auto"/>
        <w:ind w:firstLine="420" w:firstLineChars="200"/>
        <w:contextualSpacing/>
        <w:jc w:val="left"/>
        <w:textAlignment w:val="baseline"/>
        <w:rPr>
          <w:bCs/>
          <w:szCs w:val="21"/>
          <w:highlight w:val="none"/>
        </w:rPr>
      </w:pPr>
      <w:r>
        <w:rPr>
          <w:rFonts w:hint="eastAsia"/>
          <w:bCs/>
          <w:szCs w:val="21"/>
          <w:highlight w:val="none"/>
        </w:rPr>
        <w:t>2、服务</w:t>
      </w:r>
      <w:r>
        <w:rPr>
          <w:bCs/>
          <w:szCs w:val="21"/>
          <w:highlight w:val="none"/>
        </w:rPr>
        <w:t>地点：宁波市公安局刑侦支队</w:t>
      </w:r>
    </w:p>
    <w:p>
      <w:pPr>
        <w:spacing w:line="360" w:lineRule="auto"/>
        <w:contextualSpacing/>
        <w:rPr>
          <w:bCs/>
          <w:szCs w:val="21"/>
          <w:highlight w:val="none"/>
        </w:rPr>
      </w:pPr>
      <w:r>
        <w:rPr>
          <w:rFonts w:hint="eastAsia"/>
          <w:bCs/>
          <w:szCs w:val="21"/>
          <w:highlight w:val="none"/>
        </w:rPr>
        <w:t>八</w:t>
      </w:r>
      <w:r>
        <w:rPr>
          <w:bCs/>
          <w:szCs w:val="21"/>
          <w:highlight w:val="none"/>
        </w:rPr>
        <w:t>、</w:t>
      </w:r>
      <w:r>
        <w:rPr>
          <w:rFonts w:hint="eastAsia"/>
          <w:bCs/>
          <w:szCs w:val="21"/>
          <w:highlight w:val="none"/>
        </w:rPr>
        <w:t>付款方式</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付款方式：合同签订且甲方收到乙方发票后，7个工作日内甲方向乙方支付合同金额255.85万元；项目初验合格后，进入试运行阶段，试运行周期3个月；试运行结束遗留问题得到解决，且通过甲方组织的项目最终验收后，凭有效发票甲方向乙方支付至合同总价100%。</w:t>
      </w:r>
    </w:p>
    <w:p>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注：付款前成交单位需提供有效的等额发票。</w:t>
      </w:r>
    </w:p>
    <w:p>
      <w:pPr>
        <w:spacing w:line="360" w:lineRule="auto"/>
        <w:contextualSpacing/>
        <w:rPr>
          <w:bCs/>
          <w:szCs w:val="21"/>
          <w:highlight w:val="none"/>
        </w:rPr>
      </w:pPr>
      <w:r>
        <w:rPr>
          <w:rFonts w:hint="eastAsia"/>
          <w:bCs/>
          <w:szCs w:val="21"/>
          <w:highlight w:val="none"/>
        </w:rPr>
        <w:t>九、税费</w:t>
      </w:r>
    </w:p>
    <w:p>
      <w:pPr>
        <w:widowControl/>
        <w:overflowPunct w:val="0"/>
        <w:autoSpaceDE w:val="0"/>
        <w:autoSpaceDN w:val="0"/>
        <w:adjustRightInd w:val="0"/>
        <w:spacing w:line="360" w:lineRule="auto"/>
        <w:ind w:firstLine="420" w:firstLineChars="200"/>
        <w:contextualSpacing/>
        <w:textAlignment w:val="baseline"/>
        <w:rPr>
          <w:bCs/>
          <w:szCs w:val="21"/>
          <w:highlight w:val="none"/>
        </w:rPr>
      </w:pPr>
      <w:r>
        <w:rPr>
          <w:rFonts w:hint="eastAsia"/>
          <w:bCs/>
          <w:szCs w:val="21"/>
          <w:highlight w:val="none"/>
        </w:rPr>
        <w:t>本合同执行中相关的一切税费均由</w:t>
      </w:r>
      <w:r>
        <w:rPr>
          <w:bCs/>
          <w:szCs w:val="21"/>
          <w:highlight w:val="none"/>
        </w:rPr>
        <w:t>乙</w:t>
      </w:r>
      <w:r>
        <w:rPr>
          <w:rFonts w:hint="eastAsia"/>
          <w:bCs/>
          <w:szCs w:val="21"/>
          <w:highlight w:val="none"/>
        </w:rPr>
        <w:t>方负担。</w:t>
      </w:r>
    </w:p>
    <w:p>
      <w:pPr>
        <w:pStyle w:val="14"/>
        <w:spacing w:line="360" w:lineRule="auto"/>
        <w:ind w:left="359" w:hanging="359" w:hangingChars="171"/>
        <w:contextualSpacing/>
        <w:rPr>
          <w:rFonts w:ascii="Times New Roman" w:hAnsi="Times New Roman"/>
          <w:b w:val="0"/>
          <w:bCs/>
          <w:highlight w:val="none"/>
        </w:rPr>
      </w:pPr>
      <w:r>
        <w:rPr>
          <w:rFonts w:ascii="Times New Roman" w:hAnsi="Times New Roman"/>
          <w:b w:val="0"/>
          <w:bCs/>
          <w:highlight w:val="none"/>
        </w:rPr>
        <w:t>十、质量保证及后续服务</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乙方应按采购文件规定向甲方提供服务。</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2</w:t>
      </w:r>
      <w:r>
        <w:rPr>
          <w:rFonts w:hint="eastAsia" w:ascii="Times New Roman" w:hAnsi="Times New Roman"/>
          <w:b w:val="0"/>
          <w:bCs/>
          <w:highlight w:val="none"/>
        </w:rPr>
        <w:t>、</w:t>
      </w:r>
      <w:r>
        <w:rPr>
          <w:rFonts w:ascii="Times New Roman" w:hAnsi="Times New Roman"/>
          <w:b w:val="0"/>
          <w:bCs/>
          <w:highlight w:val="none"/>
        </w:rPr>
        <w:t>乙方提供的服务成果在服务质量保证期内发生故障，乙方应负责免费提供后续服务。对达不到要求者，根据实际情况，经双方协商，可按以下办法处理：</w:t>
      </w:r>
    </w:p>
    <w:p>
      <w:pPr>
        <w:pStyle w:val="14"/>
        <w:spacing w:line="360" w:lineRule="auto"/>
        <w:ind w:firstLine="420" w:firstLineChars="200"/>
        <w:contextualSpacing/>
        <w:rPr>
          <w:rFonts w:ascii="Times New Roman" w:hAnsi="Times New Roman"/>
          <w:b w:val="0"/>
          <w:bCs/>
          <w:highlight w:val="none"/>
        </w:rPr>
      </w:pPr>
      <w:r>
        <w:rPr>
          <w:rFonts w:hint="eastAsia" w:ascii="Times New Roman" w:hAnsi="Times New Roman"/>
          <w:b w:val="0"/>
          <w:bCs/>
          <w:highlight w:val="none"/>
        </w:rPr>
        <w:t>（1）</w:t>
      </w:r>
      <w:r>
        <w:rPr>
          <w:rFonts w:ascii="Times New Roman" w:hAnsi="Times New Roman"/>
          <w:b w:val="0"/>
          <w:bCs/>
          <w:highlight w:val="none"/>
        </w:rPr>
        <w:t>重做：由乙方承担所发生的全部费用。</w:t>
      </w:r>
    </w:p>
    <w:p>
      <w:pPr>
        <w:pStyle w:val="14"/>
        <w:spacing w:line="360" w:lineRule="auto"/>
        <w:ind w:firstLine="420" w:firstLineChars="200"/>
        <w:contextualSpacing/>
        <w:rPr>
          <w:rFonts w:ascii="Times New Roman" w:hAnsi="Times New Roman"/>
          <w:b w:val="0"/>
          <w:bCs/>
          <w:highlight w:val="none"/>
        </w:rPr>
      </w:pPr>
      <w:r>
        <w:rPr>
          <w:rFonts w:hint="eastAsia" w:ascii="Times New Roman" w:hAnsi="Times New Roman"/>
          <w:b w:val="0"/>
          <w:bCs/>
          <w:highlight w:val="none"/>
        </w:rPr>
        <w:t>（2）</w:t>
      </w:r>
      <w:r>
        <w:rPr>
          <w:rFonts w:ascii="Times New Roman" w:hAnsi="Times New Roman"/>
          <w:b w:val="0"/>
          <w:bCs/>
          <w:highlight w:val="none"/>
        </w:rPr>
        <w:t>贬值处理：由甲乙双方合议定价。</w:t>
      </w:r>
    </w:p>
    <w:p>
      <w:pPr>
        <w:pStyle w:val="14"/>
        <w:spacing w:line="360" w:lineRule="auto"/>
        <w:ind w:firstLine="420" w:firstLineChars="200"/>
        <w:contextualSpacing/>
        <w:rPr>
          <w:rFonts w:ascii="Times New Roman" w:hAnsi="Times New Roman"/>
          <w:b w:val="0"/>
          <w:bCs/>
          <w:highlight w:val="none"/>
        </w:rPr>
      </w:pPr>
      <w:r>
        <w:rPr>
          <w:rFonts w:hint="eastAsia" w:ascii="Times New Roman" w:hAnsi="Times New Roman"/>
          <w:b w:val="0"/>
          <w:bCs/>
          <w:highlight w:val="none"/>
        </w:rPr>
        <w:t>（3）</w:t>
      </w:r>
      <w:r>
        <w:rPr>
          <w:rFonts w:ascii="Times New Roman" w:hAnsi="Times New Roman"/>
          <w:b w:val="0"/>
          <w:bCs/>
          <w:highlight w:val="none"/>
        </w:rPr>
        <w:t>解除合同。</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3</w:t>
      </w:r>
      <w:r>
        <w:rPr>
          <w:rFonts w:hint="eastAsia" w:ascii="Times New Roman" w:hAnsi="Times New Roman"/>
          <w:b w:val="0"/>
          <w:bCs/>
          <w:highlight w:val="none"/>
        </w:rPr>
        <w:t>、</w:t>
      </w:r>
      <w:r>
        <w:rPr>
          <w:rFonts w:ascii="Times New Roman" w:hAnsi="Times New Roman"/>
          <w:b w:val="0"/>
          <w:bCs/>
          <w:highlight w:val="none"/>
        </w:rPr>
        <w:t>如在使用过程中发生问题，乙方在接到甲方通知后在</w:t>
      </w:r>
      <w:r>
        <w:rPr>
          <w:rFonts w:hint="eastAsia" w:cs="宋体"/>
          <w:b w:val="0"/>
          <w:bCs/>
          <w:highlight w:val="none"/>
        </w:rPr>
        <w:t>△</w:t>
      </w:r>
      <w:r>
        <w:rPr>
          <w:rFonts w:ascii="Times New Roman" w:hAnsi="Times New Roman"/>
          <w:b w:val="0"/>
          <w:bCs/>
          <w:highlight w:val="none"/>
        </w:rPr>
        <w:t>小时内到达甲方现场。</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4</w:t>
      </w:r>
      <w:r>
        <w:rPr>
          <w:rFonts w:hint="eastAsia" w:ascii="Times New Roman" w:hAnsi="Times New Roman"/>
          <w:b w:val="0"/>
          <w:bCs/>
          <w:highlight w:val="none"/>
        </w:rPr>
        <w:t>、</w:t>
      </w:r>
      <w:r>
        <w:rPr>
          <w:rFonts w:ascii="Times New Roman" w:hAnsi="Times New Roman"/>
          <w:b w:val="0"/>
          <w:bCs/>
          <w:highlight w:val="none"/>
        </w:rPr>
        <w:t>在服务质量保证期内，乙方应对出现的质量及安全问题负责处理解决并承担一切费用。</w:t>
      </w:r>
    </w:p>
    <w:p>
      <w:pPr>
        <w:pStyle w:val="14"/>
        <w:spacing w:line="360" w:lineRule="auto"/>
        <w:ind w:left="359" w:hanging="359" w:hangingChars="171"/>
        <w:contextualSpacing/>
        <w:rPr>
          <w:rFonts w:ascii="Times New Roman" w:hAnsi="Times New Roman"/>
          <w:b w:val="0"/>
          <w:bCs/>
          <w:highlight w:val="none"/>
        </w:rPr>
      </w:pPr>
      <w:r>
        <w:rPr>
          <w:rFonts w:ascii="Times New Roman" w:hAnsi="Times New Roman"/>
          <w:b w:val="0"/>
          <w:bCs/>
          <w:highlight w:val="none"/>
        </w:rPr>
        <w:t>十一、验收</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1、验收执行的参照的相关规范：</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按照《宁波市政府采购履约验收管理办法》的要求，结合国家有关部门最新颁布的相应标准和规范为准。</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2、验收方法</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乙方在项目履约完成后，由乙方提出申请，甲方组织相关人员或邀请第三方机构或专家人按采购需求对乙方提交的测试成果进行验收，不限于产品的数量、质量、技术要求及测试数据等。验收为一次性验收。甲方应当在收到申请后二周内进行验收；验收合格后，应由中标人提请出具的《验收报告》上签字盖章确认；验收不合格的，甲方应及时根据采购合同约定或有关民事法律规定，要求乙方采取补救措施或要求乙方承担违约责任。要求乙方采取补救措施的，应向乙方发出书面整改通知书，乙方整改结束后，应及时通知甲方重新验收。重新验收仍不合格的，甲方应依法要求乙方承担违约责任。</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3、验收标准：</w:t>
      </w:r>
    </w:p>
    <w:p>
      <w:pPr>
        <w:pStyle w:val="14"/>
        <w:spacing w:line="360" w:lineRule="auto"/>
        <w:ind w:firstLine="420" w:firstLineChars="200"/>
        <w:contextualSpacing/>
        <w:rPr>
          <w:rFonts w:ascii="Times New Roman" w:hAnsi="Times New Roman"/>
          <w:b w:val="0"/>
          <w:bCs/>
          <w:highlight w:val="none"/>
        </w:rPr>
      </w:pPr>
      <w:r>
        <w:rPr>
          <w:rFonts w:hint="eastAsia" w:ascii="Times New Roman" w:hAnsi="Times New Roman"/>
          <w:b w:val="0"/>
          <w:bCs/>
          <w:highlight w:val="none"/>
        </w:rPr>
        <w:t>验收合格必须软件产品符合招标需求规定的全部功能和质量要求，文档齐全，符合招标需求及有关标准的规定或国家标准、行业标准。</w:t>
      </w:r>
    </w:p>
    <w:p>
      <w:pPr>
        <w:pStyle w:val="14"/>
        <w:spacing w:line="360" w:lineRule="auto"/>
        <w:contextualSpacing/>
        <w:rPr>
          <w:rFonts w:ascii="Times New Roman" w:hAnsi="Times New Roman"/>
          <w:b w:val="0"/>
          <w:bCs/>
          <w:highlight w:val="none"/>
        </w:rPr>
      </w:pPr>
      <w:r>
        <w:rPr>
          <w:rFonts w:hint="eastAsia" w:ascii="Times New Roman" w:hAnsi="Times New Roman"/>
          <w:b w:val="0"/>
          <w:bCs/>
          <w:highlight w:val="none"/>
        </w:rPr>
        <w:t>十二、</w:t>
      </w:r>
      <w:r>
        <w:rPr>
          <w:rFonts w:ascii="Times New Roman" w:hAnsi="Times New Roman"/>
          <w:b w:val="0"/>
          <w:bCs/>
          <w:highlight w:val="none"/>
        </w:rPr>
        <w:t>违约责任</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甲方无正当理由拒收接受服务的，甲方向乙方偿付合同款项百分之五作为违约金。</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2</w:t>
      </w:r>
      <w:r>
        <w:rPr>
          <w:rFonts w:hint="eastAsia" w:ascii="Times New Roman" w:hAnsi="Times New Roman"/>
          <w:b w:val="0"/>
          <w:bCs/>
          <w:highlight w:val="none"/>
        </w:rPr>
        <w:t>、</w:t>
      </w:r>
      <w:r>
        <w:rPr>
          <w:rFonts w:ascii="Times New Roman" w:hAnsi="Times New Roman"/>
          <w:b w:val="0"/>
          <w:bCs/>
          <w:highlight w:val="none"/>
        </w:rPr>
        <w:t>甲方无故逾期验收和办理款项支付手续的,甲方应按逾期付款总额每日万分之五向乙方支付违约金。</w:t>
      </w:r>
    </w:p>
    <w:p>
      <w:pPr>
        <w:widowControl/>
        <w:spacing w:line="360" w:lineRule="auto"/>
        <w:ind w:firstLine="420" w:firstLineChars="200"/>
        <w:rPr>
          <w:highlight w:val="none"/>
        </w:rPr>
      </w:pPr>
      <w:r>
        <w:rPr>
          <w:rFonts w:hint="eastAsia"/>
          <w:highlight w:val="none"/>
        </w:rPr>
        <w:t>3、项目开发期间常驻人员驻场工作时间：一周5天，每天8小时，驻场工作期间人员的管理按照采购人《企事业单位参与公安机关信息化建设安全管理办法》执行。项目开发期间常驻人员未经采购人同意无故未到位扣罚500元／天。</w:t>
      </w:r>
    </w:p>
    <w:p>
      <w:pPr>
        <w:pStyle w:val="14"/>
        <w:spacing w:line="360" w:lineRule="auto"/>
        <w:ind w:firstLine="420" w:firstLineChars="200"/>
        <w:contextualSpacing/>
        <w:rPr>
          <w:rFonts w:hint="eastAsia" w:ascii="Times New Roman" w:hAnsi="Times New Roman"/>
          <w:b w:val="0"/>
          <w:bCs/>
          <w:highlight w:val="none"/>
        </w:rPr>
      </w:pPr>
      <w:r>
        <w:rPr>
          <w:rFonts w:hint="eastAsia" w:ascii="Times New Roman" w:hAnsi="Times New Roman"/>
          <w:b w:val="0"/>
          <w:bCs/>
          <w:highlight w:val="none"/>
        </w:rPr>
        <w:t>4、</w:t>
      </w:r>
      <w:r>
        <w:rPr>
          <w:rFonts w:hint="eastAsia" w:ascii="宋体" w:hAnsi="宋体" w:cs="宋体"/>
          <w:kern w:val="0"/>
          <w:szCs w:val="21"/>
          <w:highlight w:val="none"/>
        </w:rPr>
        <w:t>重大活动或安保期间或其他采购人有需要的情况下，</w:t>
      </w:r>
      <w:r>
        <w:rPr>
          <w:rFonts w:hint="eastAsia" w:cs="宋体"/>
          <w:kern w:val="0"/>
          <w:szCs w:val="21"/>
          <w:highlight w:val="none"/>
          <w:lang w:val="en-US" w:eastAsia="zh-CN"/>
        </w:rPr>
        <w:t>乙方</w:t>
      </w:r>
      <w:r>
        <w:rPr>
          <w:rFonts w:hint="eastAsia" w:ascii="宋体" w:hAnsi="宋体" w:cs="宋体"/>
          <w:kern w:val="0"/>
          <w:szCs w:val="21"/>
          <w:highlight w:val="none"/>
        </w:rPr>
        <w:t>需配合采购人按照相关要求，加大人力设备投入和现场技术支撑，未积极配合采购人开展重大活动、安保或其他采购人有需要的情况</w:t>
      </w:r>
      <w:r>
        <w:rPr>
          <w:rFonts w:hint="eastAsia" w:ascii="宋体" w:hAnsi="宋体" w:cs="宋体"/>
          <w:kern w:val="0"/>
          <w:szCs w:val="21"/>
          <w:highlight w:val="none"/>
          <w:lang w:eastAsia="zh-CN"/>
        </w:rPr>
        <w:t>，</w:t>
      </w:r>
      <w:r>
        <w:rPr>
          <w:rFonts w:hint="eastAsia" w:ascii="宋体" w:hAnsi="宋体" w:cs="宋体"/>
          <w:kern w:val="0"/>
          <w:szCs w:val="21"/>
          <w:highlight w:val="none"/>
        </w:rPr>
        <w:t>原则上于上述任一情况发生后</w:t>
      </w:r>
      <w:r>
        <w:rPr>
          <w:rFonts w:hint="eastAsia" w:ascii="宋体" w:hAnsi="宋体" w:cs="宋体"/>
          <w:kern w:val="0"/>
          <w:szCs w:val="21"/>
          <w:highlight w:val="none"/>
          <w:lang w:eastAsia="zh-CN"/>
        </w:rPr>
        <w:t>，</w:t>
      </w:r>
      <w:r>
        <w:rPr>
          <w:rFonts w:hint="eastAsia" w:cs="宋体"/>
          <w:kern w:val="0"/>
          <w:szCs w:val="21"/>
          <w:highlight w:val="none"/>
          <w:lang w:val="en-US" w:eastAsia="zh-CN"/>
        </w:rPr>
        <w:t>乙方</w:t>
      </w:r>
      <w:r>
        <w:rPr>
          <w:rFonts w:hint="eastAsia" w:ascii="宋体" w:hAnsi="宋体" w:cs="宋体"/>
          <w:kern w:val="0"/>
          <w:szCs w:val="21"/>
          <w:highlight w:val="none"/>
          <w:lang w:val="en-US" w:eastAsia="zh-CN"/>
        </w:rPr>
        <w:t>向</w:t>
      </w:r>
      <w:r>
        <w:rPr>
          <w:rFonts w:hint="eastAsia" w:cs="宋体"/>
          <w:kern w:val="0"/>
          <w:szCs w:val="21"/>
          <w:highlight w:val="none"/>
          <w:lang w:val="en-US" w:eastAsia="zh-CN"/>
        </w:rPr>
        <w:t>甲方</w:t>
      </w:r>
      <w:r>
        <w:rPr>
          <w:rFonts w:hint="eastAsia" w:ascii="宋体" w:hAnsi="宋体" w:cs="宋体"/>
          <w:kern w:val="0"/>
          <w:szCs w:val="21"/>
          <w:highlight w:val="none"/>
        </w:rPr>
        <w:t>支付</w:t>
      </w:r>
      <w:r>
        <w:rPr>
          <w:rFonts w:hint="eastAsia" w:ascii="宋体" w:hAnsi="宋体" w:cs="宋体"/>
          <w:kern w:val="0"/>
          <w:szCs w:val="21"/>
          <w:highlight w:val="none"/>
          <w:lang w:val="en-US" w:eastAsia="zh-CN"/>
        </w:rPr>
        <w:t>合同价的</w:t>
      </w:r>
      <w:r>
        <w:rPr>
          <w:rFonts w:hint="eastAsia" w:ascii="宋体" w:hAnsi="宋体" w:cs="宋体"/>
          <w:kern w:val="0"/>
          <w:szCs w:val="21"/>
          <w:highlight w:val="none"/>
        </w:rPr>
        <w:t>百分之五作为违约金</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若</w:t>
      </w:r>
      <w:r>
        <w:rPr>
          <w:rFonts w:hint="eastAsia" w:ascii="宋体" w:hAnsi="宋体" w:cs="宋体"/>
          <w:kern w:val="0"/>
          <w:szCs w:val="21"/>
          <w:highlight w:val="none"/>
        </w:rPr>
        <w:t>造成严重无法挽回损失的，</w:t>
      </w:r>
      <w:r>
        <w:rPr>
          <w:rFonts w:hint="eastAsia" w:cs="宋体"/>
          <w:kern w:val="0"/>
          <w:szCs w:val="21"/>
          <w:highlight w:val="none"/>
          <w:lang w:val="en-US" w:eastAsia="zh-CN"/>
        </w:rPr>
        <w:t>甲方</w:t>
      </w:r>
      <w:r>
        <w:rPr>
          <w:rFonts w:hint="eastAsia" w:ascii="宋体" w:hAnsi="宋体" w:cs="宋体"/>
          <w:kern w:val="0"/>
          <w:szCs w:val="21"/>
          <w:highlight w:val="none"/>
          <w:lang w:val="en-US" w:eastAsia="zh-CN"/>
        </w:rPr>
        <w:t>有权</w:t>
      </w:r>
      <w:r>
        <w:rPr>
          <w:rFonts w:hint="eastAsia" w:ascii="宋体" w:hAnsi="宋体" w:cs="宋体"/>
          <w:kern w:val="0"/>
          <w:szCs w:val="21"/>
          <w:highlight w:val="none"/>
        </w:rPr>
        <w:t>予以解除</w:t>
      </w:r>
      <w:r>
        <w:rPr>
          <w:rFonts w:hint="eastAsia" w:ascii="宋体" w:hAnsi="宋体" w:cs="宋体"/>
          <w:kern w:val="0"/>
          <w:szCs w:val="21"/>
          <w:highlight w:val="none"/>
          <w:lang w:val="en-US" w:eastAsia="zh-CN"/>
        </w:rPr>
        <w:t>合同</w:t>
      </w:r>
      <w:r>
        <w:rPr>
          <w:rFonts w:hint="eastAsia" w:ascii="宋体" w:hAnsi="宋体" w:cs="宋体"/>
          <w:kern w:val="0"/>
          <w:szCs w:val="21"/>
          <w:highlight w:val="none"/>
        </w:rPr>
        <w:t>，扣没履约保证金。</w:t>
      </w:r>
    </w:p>
    <w:p>
      <w:pPr>
        <w:pStyle w:val="14"/>
        <w:spacing w:line="360" w:lineRule="auto"/>
        <w:ind w:firstLine="420" w:firstLineChars="200"/>
        <w:contextualSpacing/>
        <w:rPr>
          <w:rFonts w:ascii="Times New Roman" w:hAnsi="Times New Roman"/>
          <w:b w:val="0"/>
          <w:bCs/>
          <w:highlight w:val="none"/>
        </w:rPr>
      </w:pPr>
      <w:r>
        <w:rPr>
          <w:rFonts w:hint="eastAsia" w:ascii="Times New Roman" w:hAnsi="Times New Roman"/>
          <w:b w:val="0"/>
          <w:bCs/>
          <w:highlight w:val="none"/>
          <w:lang w:val="en-US" w:eastAsia="zh-CN"/>
        </w:rPr>
        <w:t>5、</w:t>
      </w:r>
      <w:r>
        <w:rPr>
          <w:rFonts w:ascii="Times New Roman" w:hAnsi="Times New Roman"/>
          <w:b w:val="0"/>
          <w:bCs/>
          <w:highlight w:val="none"/>
        </w:rPr>
        <w:t>乙方</w:t>
      </w:r>
      <w:r>
        <w:rPr>
          <w:rFonts w:hint="eastAsia" w:ascii="Times New Roman" w:hAnsi="Times New Roman"/>
          <w:b w:val="0"/>
          <w:bCs/>
          <w:highlight w:val="none"/>
        </w:rPr>
        <w:t>未能如</w:t>
      </w:r>
      <w:r>
        <w:rPr>
          <w:rFonts w:ascii="Times New Roman" w:hAnsi="Times New Roman"/>
          <w:b w:val="0"/>
          <w:bCs/>
          <w:highlight w:val="none"/>
        </w:rPr>
        <w:t>期提供服务的，每日向甲方支付</w:t>
      </w:r>
      <w:r>
        <w:rPr>
          <w:rFonts w:hint="eastAsia" w:ascii="Times New Roman" w:hAnsi="Times New Roman"/>
          <w:b w:val="0"/>
          <w:bCs/>
          <w:highlight w:val="none"/>
        </w:rPr>
        <w:t>合同款项的</w:t>
      </w:r>
      <w:r>
        <w:rPr>
          <w:rFonts w:ascii="Times New Roman" w:hAnsi="Times New Roman"/>
          <w:b w:val="0"/>
          <w:bCs/>
          <w:highlight w:val="none"/>
        </w:rPr>
        <w:t>千分之六</w:t>
      </w:r>
      <w:r>
        <w:rPr>
          <w:rFonts w:hint="eastAsia" w:ascii="Times New Roman" w:hAnsi="Times New Roman"/>
          <w:b w:val="0"/>
          <w:bCs/>
          <w:highlight w:val="none"/>
        </w:rPr>
        <w:t>作为</w:t>
      </w:r>
      <w:r>
        <w:rPr>
          <w:rFonts w:ascii="Times New Roman" w:hAnsi="Times New Roman"/>
          <w:b w:val="0"/>
          <w:bCs/>
          <w:highlight w:val="none"/>
        </w:rPr>
        <w:t>违约金。乙方超过约定日期10个工作日</w:t>
      </w:r>
      <w:r>
        <w:rPr>
          <w:rFonts w:hint="eastAsia" w:ascii="Times New Roman" w:hAnsi="Times New Roman"/>
          <w:b w:val="0"/>
          <w:bCs/>
          <w:highlight w:val="none"/>
        </w:rPr>
        <w:t>仍</w:t>
      </w:r>
      <w:r>
        <w:rPr>
          <w:rFonts w:ascii="Times New Roman" w:hAnsi="Times New Roman"/>
          <w:b w:val="0"/>
          <w:bCs/>
          <w:highlight w:val="none"/>
        </w:rPr>
        <w:t>不能</w:t>
      </w:r>
      <w:r>
        <w:rPr>
          <w:rFonts w:hint="eastAsia" w:ascii="Times New Roman" w:hAnsi="Times New Roman"/>
          <w:b w:val="0"/>
          <w:bCs/>
          <w:highlight w:val="none"/>
        </w:rPr>
        <w:t>提供服务</w:t>
      </w:r>
      <w:r>
        <w:rPr>
          <w:rFonts w:ascii="Times New Roman" w:hAnsi="Times New Roman"/>
          <w:b w:val="0"/>
          <w:bCs/>
          <w:highlight w:val="none"/>
        </w:rPr>
        <w:t>的，甲方可解除本合同。乙方因</w:t>
      </w:r>
      <w:r>
        <w:rPr>
          <w:rFonts w:hint="eastAsia" w:ascii="Times New Roman" w:hAnsi="Times New Roman"/>
          <w:b w:val="0"/>
          <w:bCs/>
          <w:highlight w:val="none"/>
        </w:rPr>
        <w:t>未能如</w:t>
      </w:r>
      <w:r>
        <w:rPr>
          <w:rFonts w:ascii="Times New Roman" w:hAnsi="Times New Roman"/>
          <w:b w:val="0"/>
          <w:bCs/>
          <w:highlight w:val="none"/>
        </w:rPr>
        <w:t>期提供服务或因其他违约行为导致甲方解除合同的，乙方应向甲方支付合同总值</w:t>
      </w:r>
      <w:r>
        <w:rPr>
          <w:rFonts w:hint="eastAsia" w:ascii="Times New Roman" w:hAnsi="Times New Roman"/>
          <w:b w:val="0"/>
          <w:bCs/>
          <w:highlight w:val="none"/>
        </w:rPr>
        <w:t>10</w:t>
      </w:r>
      <w:r>
        <w:rPr>
          <w:rFonts w:ascii="Times New Roman" w:hAnsi="Times New Roman"/>
          <w:b w:val="0"/>
          <w:bCs/>
          <w:highlight w:val="none"/>
        </w:rPr>
        <w:t xml:space="preserve">%的违约金，如造成甲方损失超过违约金的，超出部分由乙方继续承担赔偿责任。 </w:t>
      </w:r>
    </w:p>
    <w:p>
      <w:pPr>
        <w:spacing w:line="360" w:lineRule="auto"/>
        <w:ind w:firstLine="420" w:firstLineChars="200"/>
        <w:rPr>
          <w:rFonts w:hint="eastAsia"/>
          <w:bCs/>
          <w:kern w:val="0"/>
          <w:szCs w:val="21"/>
          <w:highlight w:val="none"/>
        </w:rPr>
      </w:pPr>
      <w:r>
        <w:rPr>
          <w:rFonts w:hint="eastAsia"/>
          <w:bCs/>
          <w:kern w:val="0"/>
          <w:szCs w:val="21"/>
          <w:highlight w:val="none"/>
          <w:lang w:val="en-US" w:eastAsia="zh-CN"/>
        </w:rPr>
        <w:t>6</w:t>
      </w:r>
      <w:r>
        <w:rPr>
          <w:rFonts w:hint="eastAsia"/>
          <w:bCs/>
          <w:kern w:val="0"/>
          <w:szCs w:val="21"/>
          <w:highlight w:val="none"/>
        </w:rPr>
        <w:t>、乙方提供的服务不符合采购文件、投标文件或本合同规定的，甲方有权拒收，并且乙方须向甲方</w:t>
      </w:r>
      <w:r>
        <w:rPr>
          <w:bCs/>
          <w:kern w:val="0"/>
          <w:szCs w:val="21"/>
          <w:highlight w:val="none"/>
        </w:rPr>
        <w:t>偿付合同款项百分之五作为</w:t>
      </w:r>
      <w:r>
        <w:rPr>
          <w:rFonts w:hint="eastAsia"/>
          <w:bCs/>
          <w:kern w:val="0"/>
          <w:szCs w:val="21"/>
          <w:highlight w:val="none"/>
        </w:rPr>
        <w:t>违约金。</w:t>
      </w:r>
    </w:p>
    <w:p>
      <w:pPr>
        <w:spacing w:line="360" w:lineRule="auto"/>
        <w:ind w:firstLine="420" w:firstLineChars="200"/>
        <w:rPr>
          <w:rFonts w:hint="eastAsia"/>
          <w:bCs/>
          <w:kern w:val="0"/>
          <w:szCs w:val="21"/>
          <w:highlight w:val="none"/>
        </w:rPr>
      </w:pPr>
      <w:r>
        <w:rPr>
          <w:rFonts w:hint="eastAsia"/>
          <w:bCs/>
          <w:kern w:val="0"/>
          <w:szCs w:val="21"/>
          <w:highlight w:val="none"/>
          <w:lang w:val="en-US" w:eastAsia="zh-CN"/>
        </w:rPr>
        <w:t>7</w:t>
      </w:r>
      <w:r>
        <w:rPr>
          <w:rFonts w:hint="eastAsia"/>
          <w:bCs/>
          <w:kern w:val="0"/>
          <w:szCs w:val="21"/>
          <w:highlight w:val="none"/>
        </w:rPr>
        <w:t>、在项目实施过程中，甲方可视乙方违约，取消服务合同的情形：</w:t>
      </w:r>
    </w:p>
    <w:p>
      <w:pPr>
        <w:numPr>
          <w:ilvl w:val="0"/>
          <w:numId w:val="7"/>
        </w:numPr>
        <w:spacing w:line="360" w:lineRule="auto"/>
        <w:ind w:firstLine="420" w:firstLineChars="200"/>
        <w:rPr>
          <w:rFonts w:hint="eastAsia"/>
          <w:bCs/>
          <w:kern w:val="0"/>
          <w:szCs w:val="21"/>
          <w:highlight w:val="none"/>
        </w:rPr>
      </w:pPr>
      <w:r>
        <w:rPr>
          <w:rFonts w:hint="eastAsia"/>
          <w:bCs/>
          <w:kern w:val="0"/>
          <w:szCs w:val="21"/>
          <w:highlight w:val="none"/>
        </w:rPr>
        <w:t>乙方有额外计取报酬或费用行为的。</w:t>
      </w:r>
    </w:p>
    <w:p>
      <w:pPr>
        <w:numPr>
          <w:ilvl w:val="0"/>
          <w:numId w:val="7"/>
        </w:numPr>
        <w:spacing w:line="360" w:lineRule="auto"/>
        <w:ind w:firstLine="420" w:firstLineChars="200"/>
        <w:rPr>
          <w:rFonts w:hint="eastAsia"/>
          <w:bCs/>
          <w:kern w:val="0"/>
          <w:szCs w:val="21"/>
          <w:highlight w:val="none"/>
        </w:rPr>
      </w:pPr>
      <w:r>
        <w:rPr>
          <w:rFonts w:hint="eastAsia"/>
          <w:bCs/>
          <w:kern w:val="0"/>
          <w:szCs w:val="21"/>
          <w:highlight w:val="none"/>
        </w:rPr>
        <w:t>乙方未接照有关规定和委托协议要求开展工作的。</w:t>
      </w:r>
    </w:p>
    <w:p>
      <w:pPr>
        <w:numPr>
          <w:ilvl w:val="0"/>
          <w:numId w:val="7"/>
        </w:numPr>
        <w:spacing w:line="360" w:lineRule="auto"/>
        <w:ind w:firstLine="420" w:firstLineChars="200"/>
        <w:rPr>
          <w:rFonts w:hint="eastAsia"/>
          <w:bCs/>
          <w:kern w:val="0"/>
          <w:szCs w:val="21"/>
          <w:highlight w:val="none"/>
        </w:rPr>
      </w:pPr>
      <w:r>
        <w:rPr>
          <w:rFonts w:hint="eastAsia"/>
          <w:bCs/>
          <w:kern w:val="0"/>
          <w:szCs w:val="21"/>
          <w:highlight w:val="none"/>
        </w:rPr>
        <w:t>乙方有转包，分包行为的。</w:t>
      </w:r>
    </w:p>
    <w:p>
      <w:pPr>
        <w:spacing w:line="360" w:lineRule="auto"/>
        <w:ind w:firstLine="420" w:firstLineChars="200"/>
        <w:rPr>
          <w:rFonts w:hint="eastAsia"/>
          <w:bCs/>
          <w:kern w:val="0"/>
          <w:szCs w:val="21"/>
          <w:highlight w:val="none"/>
        </w:rPr>
      </w:pPr>
      <w:r>
        <w:rPr>
          <w:rFonts w:hint="eastAsia"/>
          <w:bCs/>
          <w:kern w:val="0"/>
          <w:szCs w:val="21"/>
          <w:highlight w:val="none"/>
          <w:lang w:val="en-US" w:eastAsia="zh-CN"/>
        </w:rPr>
        <w:t>8</w:t>
      </w:r>
      <w:r>
        <w:rPr>
          <w:rFonts w:hint="eastAsia"/>
          <w:bCs/>
          <w:kern w:val="0"/>
          <w:szCs w:val="21"/>
          <w:highlight w:val="none"/>
        </w:rPr>
        <w:t>、在项目实施过程中，甲方可视乙方违约，拒付全部服务费用的情形：</w:t>
      </w:r>
    </w:p>
    <w:p>
      <w:pPr>
        <w:numPr>
          <w:ilvl w:val="0"/>
          <w:numId w:val="8"/>
        </w:numPr>
        <w:spacing w:line="360" w:lineRule="auto"/>
        <w:rPr>
          <w:rFonts w:hint="eastAsia"/>
          <w:bCs/>
          <w:kern w:val="0"/>
          <w:szCs w:val="21"/>
          <w:highlight w:val="none"/>
        </w:rPr>
      </w:pPr>
      <w:r>
        <w:rPr>
          <w:rFonts w:hint="eastAsia"/>
          <w:bCs/>
          <w:kern w:val="0"/>
          <w:szCs w:val="21"/>
          <w:highlight w:val="none"/>
        </w:rPr>
        <w:t>未按甲方要求进行整改的</w:t>
      </w:r>
      <w:r>
        <w:rPr>
          <w:rFonts w:hint="eastAsia"/>
          <w:bCs/>
          <w:kern w:val="0"/>
          <w:szCs w:val="21"/>
          <w:highlight w:val="none"/>
          <w:lang w:eastAsia="zh-CN"/>
        </w:rPr>
        <w:t>。</w:t>
      </w:r>
    </w:p>
    <w:p>
      <w:pPr>
        <w:spacing w:line="360" w:lineRule="auto"/>
        <w:ind w:firstLine="420" w:firstLineChars="200"/>
        <w:rPr>
          <w:rFonts w:hint="eastAsia"/>
          <w:bCs/>
          <w:kern w:val="0"/>
          <w:szCs w:val="21"/>
          <w:highlight w:val="none"/>
        </w:rPr>
      </w:pPr>
      <w:r>
        <w:rPr>
          <w:rFonts w:hint="eastAsia"/>
          <w:bCs/>
          <w:kern w:val="0"/>
          <w:szCs w:val="21"/>
          <w:highlight w:val="none"/>
          <w:lang w:val="en-US" w:eastAsia="zh-CN"/>
        </w:rPr>
        <w:t>9</w:t>
      </w:r>
      <w:r>
        <w:rPr>
          <w:rFonts w:hint="eastAsia"/>
          <w:bCs/>
          <w:kern w:val="0"/>
          <w:szCs w:val="21"/>
          <w:highlight w:val="none"/>
        </w:rPr>
        <w:t>、乙方应诚信履约，如发现实际履约情况与本合同不符的，或因乙方违约致使服务合同取消的，甲方将向同级政府采购监管部门反映。今后财政部门对乙方如有处罚措施或乙方在参加政府采购活动时所受到的限制，均由乙方自行承担所有责任，与甲方无涉。</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十</w:t>
      </w:r>
      <w:r>
        <w:rPr>
          <w:rFonts w:hint="eastAsia" w:ascii="Times New Roman" w:hAnsi="Times New Roman"/>
          <w:b w:val="0"/>
          <w:bCs/>
          <w:highlight w:val="none"/>
        </w:rPr>
        <w:t>二</w:t>
      </w:r>
      <w:r>
        <w:rPr>
          <w:rFonts w:ascii="Times New Roman" w:hAnsi="Times New Roman"/>
          <w:b w:val="0"/>
          <w:bCs/>
          <w:highlight w:val="none"/>
        </w:rPr>
        <w:t>、不可抗力事件处理</w:t>
      </w:r>
    </w:p>
    <w:p>
      <w:pPr>
        <w:spacing w:line="360" w:lineRule="auto"/>
        <w:ind w:firstLine="420" w:firstLineChars="200"/>
        <w:rPr>
          <w:rFonts w:hint="eastAsia"/>
          <w:bCs/>
          <w:kern w:val="0"/>
          <w:szCs w:val="21"/>
          <w:highlight w:val="none"/>
        </w:rPr>
      </w:pPr>
      <w:r>
        <w:rPr>
          <w:rFonts w:hint="eastAsia"/>
          <w:bCs/>
          <w:highlight w:val="none"/>
        </w:rPr>
        <w:t>1</w:t>
      </w:r>
      <w:r>
        <w:rPr>
          <w:rFonts w:hint="eastAsia"/>
          <w:bCs/>
          <w:kern w:val="0"/>
          <w:szCs w:val="21"/>
          <w:highlight w:val="none"/>
        </w:rPr>
        <w:t>、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spacing w:line="360" w:lineRule="auto"/>
        <w:ind w:firstLine="420" w:firstLineChars="200"/>
        <w:rPr>
          <w:rFonts w:hint="eastAsia"/>
          <w:bCs/>
          <w:kern w:val="0"/>
          <w:szCs w:val="21"/>
          <w:highlight w:val="none"/>
        </w:rPr>
      </w:pPr>
      <w:r>
        <w:rPr>
          <w:rFonts w:hint="eastAsia"/>
          <w:bCs/>
          <w:kern w:val="0"/>
          <w:szCs w:val="21"/>
          <w:highlight w:val="none"/>
        </w:rPr>
        <w:t>2、在合同有效期内，任何一方因不可抗力事件导致不能履行合同，则合同履行期可延长，其延长期与不可抗力影响期相同。</w:t>
      </w:r>
    </w:p>
    <w:p>
      <w:pPr>
        <w:spacing w:line="360" w:lineRule="auto"/>
        <w:ind w:firstLine="420" w:firstLineChars="200"/>
        <w:rPr>
          <w:rFonts w:hint="eastAsia"/>
          <w:bCs/>
          <w:kern w:val="0"/>
          <w:szCs w:val="21"/>
          <w:highlight w:val="none"/>
        </w:rPr>
      </w:pPr>
      <w:r>
        <w:rPr>
          <w:rFonts w:hint="eastAsia"/>
          <w:bCs/>
          <w:kern w:val="0"/>
          <w:szCs w:val="21"/>
          <w:highlight w:val="none"/>
        </w:rPr>
        <w:t>3、由于疫情等不可抗力原因造成项目不能如期完成，双方可友好协商延迟交付。</w:t>
      </w:r>
    </w:p>
    <w:p>
      <w:pPr>
        <w:spacing w:line="360" w:lineRule="auto"/>
        <w:ind w:firstLine="420" w:firstLineChars="200"/>
        <w:rPr>
          <w:rFonts w:hint="eastAsia"/>
          <w:bCs/>
          <w:kern w:val="0"/>
          <w:szCs w:val="21"/>
          <w:highlight w:val="none"/>
        </w:rPr>
      </w:pPr>
      <w:r>
        <w:rPr>
          <w:rFonts w:hint="eastAsia"/>
          <w:bCs/>
          <w:kern w:val="0"/>
          <w:szCs w:val="21"/>
          <w:highlight w:val="none"/>
        </w:rPr>
        <w:t>4、不可抗力事件发生后，应立即通知对方，并寄送有关机构出具的证明。</w:t>
      </w:r>
    </w:p>
    <w:p>
      <w:pPr>
        <w:spacing w:line="360" w:lineRule="auto"/>
        <w:ind w:firstLine="420" w:firstLineChars="200"/>
        <w:rPr>
          <w:rFonts w:hint="eastAsia"/>
          <w:bCs/>
          <w:kern w:val="0"/>
          <w:szCs w:val="21"/>
          <w:highlight w:val="none"/>
        </w:rPr>
      </w:pPr>
      <w:r>
        <w:rPr>
          <w:rFonts w:hint="eastAsia"/>
          <w:bCs/>
          <w:kern w:val="0"/>
          <w:szCs w:val="21"/>
          <w:highlight w:val="none"/>
        </w:rPr>
        <w:t>5、不可抗力事件延续120天以上，双方应通过友好协商，确定是否继续履行合同。</w:t>
      </w:r>
    </w:p>
    <w:p>
      <w:pPr>
        <w:spacing w:line="360" w:lineRule="auto"/>
        <w:rPr>
          <w:rFonts w:hint="eastAsia"/>
          <w:bCs/>
          <w:kern w:val="0"/>
          <w:szCs w:val="21"/>
          <w:highlight w:val="none"/>
        </w:rPr>
      </w:pPr>
      <w:r>
        <w:rPr>
          <w:rFonts w:hint="eastAsia"/>
          <w:bCs/>
          <w:kern w:val="0"/>
          <w:szCs w:val="21"/>
          <w:highlight w:val="none"/>
        </w:rPr>
        <w:t>十三、诉讼</w:t>
      </w:r>
    </w:p>
    <w:p>
      <w:pPr>
        <w:spacing w:line="360" w:lineRule="auto"/>
        <w:ind w:firstLine="420" w:firstLineChars="200"/>
        <w:rPr>
          <w:rFonts w:hint="eastAsia"/>
          <w:bCs/>
          <w:kern w:val="0"/>
          <w:szCs w:val="21"/>
          <w:highlight w:val="none"/>
        </w:rPr>
      </w:pPr>
      <w:r>
        <w:rPr>
          <w:rFonts w:hint="eastAsia"/>
          <w:bCs/>
          <w:kern w:val="0"/>
          <w:szCs w:val="21"/>
          <w:highlight w:val="none"/>
        </w:rPr>
        <w:t>双方在执行合同中所发生的一切争议，应通过协商解决。如协商不成，向宁波仲裁委员会申请仲裁。</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十</w:t>
      </w:r>
      <w:r>
        <w:rPr>
          <w:rFonts w:hint="eastAsia" w:ascii="Times New Roman" w:hAnsi="Times New Roman"/>
          <w:b w:val="0"/>
          <w:bCs/>
          <w:highlight w:val="none"/>
        </w:rPr>
        <w:t>五</w:t>
      </w:r>
      <w:r>
        <w:rPr>
          <w:rFonts w:ascii="Times New Roman" w:hAnsi="Times New Roman"/>
          <w:b w:val="0"/>
          <w:bCs/>
          <w:highlight w:val="none"/>
        </w:rPr>
        <w:t>、合同生效及其它</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1</w:t>
      </w:r>
      <w:r>
        <w:rPr>
          <w:rFonts w:hint="eastAsia" w:ascii="Times New Roman" w:hAnsi="Times New Roman"/>
          <w:b w:val="0"/>
          <w:bCs/>
          <w:highlight w:val="none"/>
        </w:rPr>
        <w:t>、</w:t>
      </w:r>
      <w:r>
        <w:rPr>
          <w:rFonts w:ascii="Times New Roman" w:hAnsi="Times New Roman"/>
          <w:b w:val="0"/>
          <w:bCs/>
          <w:highlight w:val="none"/>
        </w:rPr>
        <w:t>合同经双方法定代表人或授权代表签字并加盖单位公章后生效。</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2</w:t>
      </w:r>
      <w:r>
        <w:rPr>
          <w:rFonts w:hint="eastAsia" w:ascii="Times New Roman" w:hAnsi="Times New Roman"/>
          <w:b w:val="0"/>
          <w:bCs/>
          <w:highlight w:val="none"/>
        </w:rPr>
        <w:t>、</w:t>
      </w:r>
      <w:r>
        <w:rPr>
          <w:rFonts w:ascii="Times New Roman" w:hAnsi="Times New Roman"/>
          <w:b w:val="0"/>
          <w:bCs/>
          <w:highlight w:val="none"/>
        </w:rPr>
        <w:t>合同执行中涉及采购资金和采购内容修改或补充的，须经财政部门审批，并签书面补充协议报政府采购监督管理部门备案，方可作为主合同不可分割的一部分。</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3</w:t>
      </w:r>
      <w:r>
        <w:rPr>
          <w:rFonts w:hint="eastAsia" w:ascii="Times New Roman" w:hAnsi="Times New Roman"/>
          <w:b w:val="0"/>
          <w:bCs/>
          <w:highlight w:val="none"/>
        </w:rPr>
        <w:t>、</w:t>
      </w:r>
      <w:r>
        <w:rPr>
          <w:rFonts w:ascii="Times New Roman" w:hAnsi="Times New Roman"/>
          <w:b w:val="0"/>
          <w:bCs/>
          <w:highlight w:val="none"/>
        </w:rPr>
        <w:t>本合同未尽事宜，遵照《</w:t>
      </w:r>
      <w:r>
        <w:rPr>
          <w:rFonts w:hint="eastAsia" w:ascii="Times New Roman" w:hAnsi="Times New Roman"/>
          <w:b w:val="0"/>
          <w:bCs/>
          <w:highlight w:val="none"/>
        </w:rPr>
        <w:t>民法典</w:t>
      </w:r>
      <w:r>
        <w:rPr>
          <w:rFonts w:ascii="Times New Roman" w:hAnsi="Times New Roman"/>
          <w:b w:val="0"/>
          <w:bCs/>
          <w:highlight w:val="none"/>
        </w:rPr>
        <w:t>》有关条文执行。</w:t>
      </w:r>
    </w:p>
    <w:p>
      <w:pPr>
        <w:pStyle w:val="14"/>
        <w:spacing w:line="360" w:lineRule="auto"/>
        <w:ind w:firstLine="420" w:firstLineChars="200"/>
        <w:contextualSpacing/>
        <w:rPr>
          <w:rFonts w:ascii="Times New Roman" w:hAnsi="Times New Roman"/>
          <w:b w:val="0"/>
          <w:bCs/>
          <w:highlight w:val="none"/>
        </w:rPr>
      </w:pPr>
      <w:r>
        <w:rPr>
          <w:rFonts w:ascii="Times New Roman" w:hAnsi="Times New Roman"/>
          <w:b w:val="0"/>
          <w:bCs/>
          <w:highlight w:val="none"/>
        </w:rPr>
        <w:t>4</w:t>
      </w:r>
      <w:r>
        <w:rPr>
          <w:rFonts w:hint="eastAsia" w:ascii="Times New Roman" w:hAnsi="Times New Roman"/>
          <w:b w:val="0"/>
          <w:bCs/>
          <w:highlight w:val="none"/>
        </w:rPr>
        <w:t>、本合同一式</w:t>
      </w:r>
      <w:r>
        <w:rPr>
          <w:rFonts w:hint="eastAsia" w:ascii="Times New Roman" w:hAnsi="Times New Roman"/>
          <w:b w:val="0"/>
          <w:bCs/>
          <w:highlight w:val="none"/>
          <w:u w:val="single"/>
        </w:rPr>
        <w:t xml:space="preserve">    </w:t>
      </w:r>
      <w:r>
        <w:rPr>
          <w:rFonts w:hint="eastAsia" w:ascii="Times New Roman" w:hAnsi="Times New Roman"/>
          <w:b w:val="0"/>
          <w:bCs/>
          <w:highlight w:val="none"/>
        </w:rPr>
        <w:t>份，具有同等法律效力，甲乙双方各执</w:t>
      </w:r>
      <w:r>
        <w:rPr>
          <w:rFonts w:hint="eastAsia" w:ascii="Times New Roman" w:hAnsi="Times New Roman"/>
          <w:b w:val="0"/>
          <w:bCs/>
          <w:highlight w:val="none"/>
          <w:u w:val="single"/>
        </w:rPr>
        <w:t xml:space="preserve">     </w:t>
      </w:r>
      <w:r>
        <w:rPr>
          <w:rFonts w:hint="eastAsia" w:ascii="Times New Roman" w:hAnsi="Times New Roman"/>
          <w:b w:val="0"/>
          <w:bCs/>
          <w:highlight w:val="none"/>
        </w:rPr>
        <w:t>份。</w:t>
      </w:r>
    </w:p>
    <w:p>
      <w:pPr>
        <w:pStyle w:val="14"/>
        <w:spacing w:line="360" w:lineRule="auto"/>
        <w:ind w:left="420" w:hanging="420" w:hangingChars="200"/>
        <w:contextualSpacing/>
        <w:rPr>
          <w:rFonts w:ascii="Times New Roman" w:hAnsi="Times New Roman"/>
          <w:b w:val="0"/>
          <w:bCs/>
          <w:highlight w:val="none"/>
        </w:rPr>
      </w:pPr>
      <w:r>
        <w:rPr>
          <w:rFonts w:ascii="Times New Roman" w:hAnsi="Times New Roman"/>
          <w:b w:val="0"/>
          <w:bCs/>
          <w:highlight w:val="none"/>
        </w:rPr>
        <w:t xml:space="preserve"> </w:t>
      </w:r>
    </w:p>
    <w:p>
      <w:pPr>
        <w:pStyle w:val="14"/>
        <w:spacing w:line="360" w:lineRule="auto"/>
        <w:ind w:left="315" w:hanging="315" w:hangingChars="150"/>
        <w:contextualSpacing/>
        <w:rPr>
          <w:rFonts w:ascii="Times New Roman" w:hAnsi="Times New Roman"/>
          <w:b w:val="0"/>
          <w:bCs/>
          <w:highlight w:val="none"/>
        </w:rPr>
      </w:pPr>
      <w:r>
        <w:rPr>
          <w:rFonts w:ascii="Times New Roman" w:hAnsi="Times New Roman"/>
          <w:b w:val="0"/>
          <w:bCs/>
          <w:highlight w:val="none"/>
        </w:rPr>
        <w:t xml:space="preserve"> </w:t>
      </w:r>
      <w:r>
        <w:rPr>
          <w:rFonts w:hint="eastAsia" w:ascii="Times New Roman" w:hAnsi="Times New Roman"/>
          <w:b w:val="0"/>
          <w:bCs/>
          <w:highlight w:val="none"/>
        </w:rPr>
        <w:t xml:space="preserve"> </w:t>
      </w:r>
      <w:r>
        <w:rPr>
          <w:rFonts w:ascii="Times New Roman" w:hAnsi="Times New Roman"/>
          <w:b w:val="0"/>
          <w:bCs/>
          <w:highlight w:val="none"/>
        </w:rPr>
        <w:t>甲方</w:t>
      </w:r>
      <w:r>
        <w:rPr>
          <w:rFonts w:hint="eastAsia" w:ascii="Times New Roman" w:hAnsi="Times New Roman"/>
          <w:b w:val="0"/>
          <w:bCs/>
          <w:highlight w:val="none"/>
        </w:rPr>
        <w:t>（盖章）</w:t>
      </w:r>
      <w:r>
        <w:rPr>
          <w:rFonts w:ascii="Times New Roman" w:hAnsi="Times New Roman"/>
          <w:b w:val="0"/>
          <w:bCs/>
          <w:highlight w:val="none"/>
        </w:rPr>
        <w:t>：                           乙方</w:t>
      </w:r>
      <w:r>
        <w:rPr>
          <w:rFonts w:hint="eastAsia" w:ascii="Times New Roman" w:hAnsi="Times New Roman"/>
          <w:b w:val="0"/>
          <w:bCs/>
          <w:highlight w:val="none"/>
        </w:rPr>
        <w:t>（盖章）</w:t>
      </w:r>
      <w:r>
        <w:rPr>
          <w:rFonts w:ascii="Times New Roman" w:hAnsi="Times New Roman"/>
          <w:b w:val="0"/>
          <w:bCs/>
          <w:highlight w:val="none"/>
        </w:rPr>
        <w:t xml:space="preserve">： </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 xml:space="preserve">  地址：                                   地址： </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 xml:space="preserve">  法定</w:t>
      </w:r>
      <w:r>
        <w:rPr>
          <w:rFonts w:hint="eastAsia" w:ascii="Times New Roman" w:hAnsi="Times New Roman"/>
          <w:b w:val="0"/>
          <w:bCs/>
          <w:highlight w:val="none"/>
        </w:rPr>
        <w:t>（授权）</w:t>
      </w:r>
      <w:r>
        <w:rPr>
          <w:rFonts w:ascii="Times New Roman" w:hAnsi="Times New Roman"/>
          <w:b w:val="0"/>
          <w:bCs/>
          <w:highlight w:val="none"/>
        </w:rPr>
        <w:t>代表人</w:t>
      </w:r>
      <w:r>
        <w:rPr>
          <w:rFonts w:hint="eastAsia" w:ascii="Times New Roman" w:hAnsi="Times New Roman"/>
          <w:b w:val="0"/>
          <w:bCs/>
          <w:highlight w:val="none"/>
        </w:rPr>
        <w:t>（签字或盖章）</w:t>
      </w:r>
      <w:r>
        <w:rPr>
          <w:rFonts w:ascii="Times New Roman" w:hAnsi="Times New Roman"/>
          <w:b w:val="0"/>
          <w:bCs/>
          <w:highlight w:val="none"/>
        </w:rPr>
        <w:t>：       法定</w:t>
      </w:r>
      <w:r>
        <w:rPr>
          <w:rFonts w:hint="eastAsia" w:ascii="Times New Roman" w:hAnsi="Times New Roman"/>
          <w:b w:val="0"/>
          <w:bCs/>
          <w:highlight w:val="none"/>
        </w:rPr>
        <w:t>（授权）</w:t>
      </w:r>
      <w:r>
        <w:rPr>
          <w:rFonts w:ascii="Times New Roman" w:hAnsi="Times New Roman"/>
          <w:b w:val="0"/>
          <w:bCs/>
          <w:highlight w:val="none"/>
        </w:rPr>
        <w:t>代表人</w:t>
      </w:r>
      <w:r>
        <w:rPr>
          <w:rFonts w:hint="eastAsia" w:ascii="Times New Roman" w:hAnsi="Times New Roman"/>
          <w:b w:val="0"/>
          <w:bCs/>
          <w:highlight w:val="none"/>
        </w:rPr>
        <w:t>（签字或盖章）</w:t>
      </w:r>
      <w:r>
        <w:rPr>
          <w:rFonts w:ascii="Times New Roman" w:hAnsi="Times New Roman"/>
          <w:b w:val="0"/>
          <w:bCs/>
          <w:highlight w:val="none"/>
        </w:rPr>
        <w:t>：</w:t>
      </w:r>
    </w:p>
    <w:p>
      <w:pPr>
        <w:pStyle w:val="14"/>
        <w:spacing w:line="360" w:lineRule="auto"/>
        <w:contextualSpacing/>
        <w:rPr>
          <w:rFonts w:ascii="Times New Roman" w:hAnsi="Times New Roman"/>
          <w:b w:val="0"/>
          <w:bCs/>
          <w:highlight w:val="none"/>
        </w:rPr>
      </w:pPr>
      <w:r>
        <w:rPr>
          <w:rFonts w:ascii="Times New Roman" w:hAnsi="Times New Roman"/>
          <w:b w:val="0"/>
          <w:bCs/>
          <w:highlight w:val="none"/>
        </w:rPr>
        <w:t xml:space="preserve">  签</w:t>
      </w:r>
      <w:r>
        <w:rPr>
          <w:rFonts w:hint="eastAsia" w:ascii="Times New Roman" w:hAnsi="Times New Roman"/>
          <w:b w:val="0"/>
          <w:bCs/>
          <w:highlight w:val="none"/>
        </w:rPr>
        <w:t>字日期</w:t>
      </w:r>
      <w:r>
        <w:rPr>
          <w:rFonts w:ascii="Times New Roman" w:hAnsi="Times New Roman"/>
          <w:b w:val="0"/>
          <w:bCs/>
          <w:highlight w:val="none"/>
        </w:rPr>
        <w:t xml:space="preserve">：      年  月  日  </w:t>
      </w:r>
      <w:r>
        <w:rPr>
          <w:rFonts w:hint="eastAsia" w:ascii="Times New Roman" w:hAnsi="Times New Roman"/>
          <w:b w:val="0"/>
          <w:bCs/>
          <w:highlight w:val="none"/>
        </w:rPr>
        <w:t xml:space="preserve">    </w:t>
      </w:r>
      <w:r>
        <w:rPr>
          <w:rFonts w:ascii="Times New Roman" w:hAnsi="Times New Roman"/>
          <w:b w:val="0"/>
          <w:bCs/>
          <w:highlight w:val="none"/>
        </w:rPr>
        <w:t xml:space="preserve">         签</w:t>
      </w:r>
      <w:r>
        <w:rPr>
          <w:rFonts w:hint="eastAsia" w:ascii="Times New Roman" w:hAnsi="Times New Roman"/>
          <w:b w:val="0"/>
          <w:bCs/>
          <w:highlight w:val="none"/>
        </w:rPr>
        <w:t>字</w:t>
      </w:r>
      <w:r>
        <w:rPr>
          <w:rFonts w:ascii="Times New Roman" w:hAnsi="Times New Roman"/>
          <w:b w:val="0"/>
          <w:bCs/>
          <w:highlight w:val="none"/>
        </w:rPr>
        <w:t>日期：      年  月  日</w:t>
      </w:r>
    </w:p>
    <w:p>
      <w:pPr>
        <w:pStyle w:val="14"/>
        <w:spacing w:line="360" w:lineRule="auto"/>
        <w:contextualSpacing/>
        <w:rPr>
          <w:rFonts w:hint="eastAsia" w:ascii="Times New Roman" w:hAnsi="Times New Roman"/>
          <w:b w:val="0"/>
          <w:bCs/>
          <w:highlight w:val="none"/>
        </w:rPr>
      </w:pPr>
    </w:p>
    <w:p>
      <w:pPr>
        <w:spacing w:line="560" w:lineRule="exact"/>
        <w:ind w:firstLine="420" w:firstLineChars="200"/>
        <w:rPr>
          <w:rFonts w:ascii="宋体" w:hAnsi="宋体"/>
          <w:bCs/>
          <w:i/>
          <w:szCs w:val="21"/>
          <w:highlight w:val="none"/>
        </w:rPr>
        <w:sectPr>
          <w:headerReference r:id="rId11" w:type="default"/>
          <w:pgSz w:w="11907" w:h="16840"/>
          <w:pgMar w:top="1440" w:right="1800" w:bottom="1440" w:left="1800" w:header="720" w:footer="720" w:gutter="0"/>
          <w:cols w:space="720" w:num="1"/>
        </w:sectPr>
      </w:pPr>
    </w:p>
    <w:p>
      <w:pPr>
        <w:spacing w:line="360" w:lineRule="auto"/>
        <w:rPr>
          <w:rFonts w:hint="eastAsia" w:ascii="宋体" w:hAnsi="宋体" w:cs="宋体"/>
          <w:b/>
          <w:color w:val="000000"/>
          <w:highlight w:val="none"/>
        </w:rPr>
      </w:pPr>
      <w:bookmarkStart w:id="55" w:name="_Toc15035"/>
      <w:r>
        <w:rPr>
          <w:rFonts w:hint="eastAsia" w:ascii="宋体" w:hAnsi="宋体" w:cs="宋体"/>
          <w:b/>
          <w:color w:val="000000"/>
          <w:highlight w:val="none"/>
        </w:rPr>
        <w:t xml:space="preserve">附件一：保密协议 </w:t>
      </w:r>
    </w:p>
    <w:p>
      <w:pPr>
        <w:spacing w:line="360" w:lineRule="auto"/>
        <w:rPr>
          <w:rFonts w:hint="eastAsia" w:ascii="宋体" w:hAnsi="宋体" w:cs="宋体"/>
          <w:color w:val="000000"/>
          <w:highlight w:val="none"/>
        </w:rPr>
      </w:pPr>
      <w:r>
        <w:rPr>
          <w:rFonts w:hint="eastAsia" w:ascii="宋体" w:hAnsi="宋体" w:cs="宋体"/>
          <w:color w:val="000000"/>
          <w:highlight w:val="none"/>
        </w:rPr>
        <w:t>甲方：宁波市公安局</w:t>
      </w:r>
    </w:p>
    <w:p>
      <w:pPr>
        <w:spacing w:line="360" w:lineRule="auto"/>
        <w:rPr>
          <w:rFonts w:hint="eastAsia" w:ascii="宋体" w:hAnsi="宋体" w:cs="宋体"/>
          <w:color w:val="000000"/>
          <w:highlight w:val="none"/>
        </w:rPr>
      </w:pPr>
      <w:r>
        <w:rPr>
          <w:rFonts w:hint="eastAsia" w:ascii="宋体" w:hAnsi="宋体" w:cs="宋体"/>
          <w:color w:val="000000"/>
          <w:highlight w:val="none"/>
        </w:rPr>
        <w:t xml:space="preserve">乙方：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经友好协商，双方就</w:t>
      </w:r>
      <w:r>
        <w:rPr>
          <w:rFonts w:hint="eastAsia" w:ascii="宋体" w:hAnsi="宋体" w:cs="宋体"/>
          <w:color w:val="000000"/>
          <w:highlight w:val="none"/>
          <w:u w:val="single"/>
        </w:rPr>
        <w:t xml:space="preserve"> 宁波市反电诈全维智控平台（一期）—“96110”全民反诈等应用及数据资源建设 </w:t>
      </w:r>
      <w:r>
        <w:rPr>
          <w:rFonts w:hint="eastAsia" w:ascii="宋体" w:hAnsi="宋体" w:cs="宋体"/>
          <w:color w:val="000000"/>
          <w:highlight w:val="none"/>
        </w:rPr>
        <w:t xml:space="preserve">的服务工作签订如下保密协议：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1、甲方提供给乙方的所有资料（包括书面及电子版等）仅限于乙方参加甲方服务所需，资料中涉及的商业和技术等秘密，乙方负有保密的责任，乙方保证对甲方递交的资料、信息提供完善的保密措施，不得复制以上的任何资料，或向第三方泄露。乙方员工在任何时候的泄密将视为乙方的泄密。在协议终止时，乙方应归还从甲方直接获得或间接获得的所有资料，如所有图纸、说明、技术数据以及其它任何资料。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2、在本协议期间，乙方作为履行服务之结果，均应当为甲方之财产，且乙方应承担保密义务。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3、乙方对以下情况不承担保密责任：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3.1 并非因乙方之错误而成为公众可获得的信息；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3.2 在乙方按照本协议获得该信息之前，即由乙方拥有的信息，且该信息不是直接或间接来自甲方或承担保密义务的其它方。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3.3 由乙方从某不承担保密义务的第三方获得的信息，且乙方有合理理由认为该第三方对甲方或其关联方不承担保密义务；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3.4 由乙方为乙方雇员独立开发的信息，且该信息不属于上述规定的信息。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3.5 乙方在按照本协议履行服务过程中可能会积累知识，并在取得甲方事先书面同意后将此类知识用于其日常业务。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4、对本协议内容的任何违反，视作违约，违约方应按中华人民共和国的相关法律法规承担违约责任。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5、本协议有效期10年，对本协议的任何修改和变更，必须经双方书面同意，并由双方重新签章。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6、本协议一式四份，甲、乙双方各执两份，具有同等法律效力。本协议经甲、乙双方签章后即生效。 </w:t>
      </w:r>
    </w:p>
    <w:p>
      <w:pPr>
        <w:spacing w:line="440" w:lineRule="exact"/>
        <w:rPr>
          <w:rFonts w:hint="eastAsia" w:ascii="宋体" w:hAnsi="宋体" w:cs="宋体"/>
          <w:color w:val="000000"/>
          <w:highlight w:val="none"/>
        </w:rPr>
      </w:pPr>
      <w:r>
        <w:rPr>
          <w:rFonts w:hint="eastAsia" w:ascii="宋体" w:hAnsi="宋体" w:cs="宋体"/>
          <w:color w:val="000000"/>
          <w:highlight w:val="none"/>
        </w:rPr>
        <w:t xml:space="preserve"> </w:t>
      </w:r>
    </w:p>
    <w:p>
      <w:pPr>
        <w:spacing w:line="440" w:lineRule="exact"/>
        <w:rPr>
          <w:rFonts w:hint="eastAsia" w:ascii="宋体" w:hAnsi="宋体" w:cs="宋体"/>
          <w:color w:val="000000"/>
          <w:highlight w:val="none"/>
        </w:rPr>
      </w:pPr>
      <w:r>
        <w:rPr>
          <w:rFonts w:hint="eastAsia" w:ascii="宋体" w:hAnsi="宋体" w:cs="宋体"/>
          <w:color w:val="000000"/>
          <w:highlight w:val="none"/>
        </w:rPr>
        <w:t xml:space="preserve">甲方：（盖章）                        乙方：（盖章） </w:t>
      </w:r>
    </w:p>
    <w:p>
      <w:pPr>
        <w:spacing w:line="440" w:lineRule="exact"/>
        <w:rPr>
          <w:rFonts w:hint="eastAsia" w:ascii="宋体" w:hAnsi="宋体" w:cs="宋体"/>
          <w:color w:val="000000"/>
          <w:highlight w:val="none"/>
        </w:rPr>
      </w:pPr>
      <w:r>
        <w:rPr>
          <w:rFonts w:hint="eastAsia" w:ascii="宋体" w:hAnsi="宋体" w:cs="宋体"/>
          <w:color w:val="000000"/>
          <w:highlight w:val="none"/>
        </w:rPr>
        <w:t>负责人或（委托代理人）：              负责人或（委托代理人）：</w:t>
      </w:r>
    </w:p>
    <w:p>
      <w:pPr>
        <w:spacing w:line="440" w:lineRule="exact"/>
        <w:ind w:firstLine="315" w:firstLineChars="150"/>
        <w:rPr>
          <w:rFonts w:hint="eastAsia" w:ascii="宋体" w:hAnsi="宋体" w:cs="宋体"/>
          <w:color w:val="000000"/>
          <w:highlight w:val="none"/>
        </w:rPr>
      </w:pPr>
      <w:r>
        <w:rPr>
          <w:rFonts w:hint="eastAsia" w:ascii="宋体" w:hAnsi="宋体" w:cs="宋体"/>
          <w:color w:val="000000"/>
          <w:highlight w:val="none"/>
        </w:rPr>
        <w:t xml:space="preserve">   年   月   日                         年   月   日</w:t>
      </w:r>
    </w:p>
    <w:p>
      <w:pPr>
        <w:pStyle w:val="5"/>
        <w:spacing w:line="360" w:lineRule="auto"/>
        <w:rPr>
          <w:rFonts w:hint="eastAsia" w:hAnsi="宋体"/>
          <w:sz w:val="44"/>
          <w:szCs w:val="48"/>
          <w:highlight w:val="none"/>
        </w:rPr>
      </w:pPr>
      <w:r>
        <w:rPr>
          <w:rFonts w:hAnsi="宋体"/>
          <w:sz w:val="44"/>
          <w:szCs w:val="48"/>
          <w:highlight w:val="none"/>
        </w:rPr>
        <w:br w:type="page"/>
      </w:r>
      <w:r>
        <w:rPr>
          <w:rFonts w:hAnsi="宋体"/>
          <w:sz w:val="44"/>
          <w:szCs w:val="48"/>
          <w:highlight w:val="none"/>
        </w:rPr>
        <w:t>第</w:t>
      </w:r>
      <w:r>
        <w:rPr>
          <w:rFonts w:hint="eastAsia" w:hAnsi="宋体"/>
          <w:sz w:val="44"/>
          <w:szCs w:val="48"/>
          <w:highlight w:val="none"/>
        </w:rPr>
        <w:t>五</w:t>
      </w:r>
      <w:r>
        <w:rPr>
          <w:rFonts w:hAnsi="宋体"/>
          <w:sz w:val="44"/>
          <w:szCs w:val="48"/>
          <w:highlight w:val="none"/>
        </w:rPr>
        <w:t xml:space="preserve">章  </w:t>
      </w:r>
      <w:bookmarkEnd w:id="50"/>
      <w:bookmarkEnd w:id="51"/>
      <w:r>
        <w:rPr>
          <w:rFonts w:hint="eastAsia" w:hAnsi="宋体"/>
          <w:sz w:val="44"/>
          <w:szCs w:val="48"/>
          <w:highlight w:val="none"/>
        </w:rPr>
        <w:t>采购</w:t>
      </w:r>
      <w:r>
        <w:rPr>
          <w:rFonts w:hAnsi="宋体"/>
          <w:sz w:val="44"/>
          <w:szCs w:val="48"/>
          <w:highlight w:val="none"/>
        </w:rPr>
        <w:t>需求</w:t>
      </w:r>
      <w:bookmarkEnd w:id="52"/>
      <w:bookmarkEnd w:id="53"/>
      <w:bookmarkEnd w:id="54"/>
      <w:bookmarkEnd w:id="55"/>
      <w:bookmarkStart w:id="56" w:name="_Toc18321069"/>
      <w:bookmarkStart w:id="57" w:name="_Toc196460097"/>
      <w:bookmarkStart w:id="58" w:name="_Toc287256966"/>
      <w:bookmarkStart w:id="59" w:name="_Toc196460194"/>
      <w:bookmarkStart w:id="60" w:name="_Toc355766593"/>
      <w:bookmarkStart w:id="61" w:name="_Toc156754840"/>
    </w:p>
    <w:bookmarkEnd w:id="56"/>
    <w:p>
      <w:pPr>
        <w:keepLines/>
        <w:spacing w:line="360" w:lineRule="auto"/>
        <w:rPr>
          <w:rFonts w:ascii="宋体" w:hAnsi="宋体" w:cs="宋体"/>
          <w:b/>
          <w:bCs/>
          <w:kern w:val="44"/>
          <w:szCs w:val="21"/>
          <w:highlight w:val="none"/>
        </w:rPr>
      </w:pPr>
      <w:bookmarkStart w:id="62" w:name="_Toc420409255"/>
      <w:bookmarkStart w:id="63" w:name="_Toc83748033"/>
      <w:bookmarkStart w:id="64" w:name="_Toc401041541"/>
      <w:bookmarkStart w:id="65" w:name="_Toc27720"/>
      <w:bookmarkStart w:id="66" w:name="_Toc434493174"/>
      <w:bookmarkStart w:id="67" w:name="_Toc83748054"/>
      <w:bookmarkStart w:id="68" w:name="_Toc414365368"/>
      <w:bookmarkStart w:id="69" w:name="_Toc487121760"/>
      <w:r>
        <w:rPr>
          <w:rFonts w:hint="eastAsia" w:ascii="宋体" w:hAnsi="宋体" w:cs="宋体"/>
          <w:b/>
          <w:bCs/>
          <w:kern w:val="44"/>
          <w:szCs w:val="21"/>
          <w:highlight w:val="none"/>
        </w:rPr>
        <w:t>一、项目概况</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根据浙江省数字化改革浙里“反电诈”集成应用跑道相关要求，围绕“打、防、控、管、治、宣”全业务环节，建设宁波市反电诈全维智控平台，实现电信网络诈骗精准宣防、精密管控、精细治理、精确打击，提升我市电信网络诈骗预警防控能力，推动形成反电诈全维度整体智治。</w:t>
      </w:r>
    </w:p>
    <w:p>
      <w:pPr>
        <w:keepLines/>
        <w:spacing w:line="360" w:lineRule="auto"/>
        <w:rPr>
          <w:rFonts w:ascii="宋体" w:hAnsi="宋体" w:cs="宋体"/>
          <w:b/>
          <w:bCs/>
          <w:kern w:val="44"/>
          <w:szCs w:val="21"/>
          <w:highlight w:val="none"/>
        </w:rPr>
      </w:pPr>
      <w:r>
        <w:rPr>
          <w:rFonts w:hint="eastAsia" w:ascii="宋体" w:hAnsi="宋体" w:cs="宋体"/>
          <w:b/>
          <w:bCs/>
          <w:kern w:val="44"/>
          <w:szCs w:val="21"/>
          <w:highlight w:val="none"/>
        </w:rPr>
        <w:t>二、建设需求</w:t>
      </w:r>
    </w:p>
    <w:p>
      <w:pPr>
        <w:keepLines/>
        <w:numPr>
          <w:ilvl w:val="0"/>
          <w:numId w:val="9"/>
        </w:numPr>
        <w:spacing w:line="360" w:lineRule="auto"/>
        <w:ind w:left="0" w:firstLine="422" w:firstLineChars="200"/>
        <w:rPr>
          <w:rFonts w:ascii="宋体" w:hAnsi="宋体" w:cs="宋体"/>
          <w:b/>
          <w:bCs/>
          <w:vanish/>
          <w:szCs w:val="21"/>
          <w:highlight w:val="none"/>
        </w:rPr>
      </w:pPr>
      <w:bookmarkStart w:id="70" w:name="_Toc3633"/>
    </w:p>
    <w:p>
      <w:pPr>
        <w:keepLines/>
        <w:numPr>
          <w:ilvl w:val="0"/>
          <w:numId w:val="9"/>
        </w:numPr>
        <w:spacing w:line="360" w:lineRule="auto"/>
        <w:ind w:left="0" w:firstLine="422" w:firstLineChars="200"/>
        <w:rPr>
          <w:rFonts w:ascii="宋体" w:hAnsi="宋体" w:cs="宋体"/>
          <w:b/>
          <w:bCs/>
          <w:vanish/>
          <w:szCs w:val="21"/>
          <w:highlight w:val="none"/>
        </w:rPr>
      </w:pP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2.1.总体要求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次一期项目以“急用先上、确保重点、分步实施、整体推进”建设原则，以保障公众基础服务、多部门协同治理为前提，以保障预警数据有效推送为重点，平台依托互联网、政务网和公安专网，定义96110全民反诈应用、空壳公司对公账户治理应用、群防共治协同应用、技术预警劝防应用、智能分析应用5大应用子场景，明确5个应用场景的协同业务任务。</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需提供总体架构图、业务流程图、网络拓扑图。</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2.2.建设内容</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2.2.1.</w:t>
      </w:r>
      <w:r>
        <w:rPr>
          <w:rFonts w:hint="eastAsia"/>
          <w:highlight w:val="none"/>
        </w:rPr>
        <w:t xml:space="preserve"> </w:t>
      </w:r>
      <w:r>
        <w:rPr>
          <w:rFonts w:hint="eastAsia" w:ascii="宋体" w:hAnsi="宋体" w:cs="宋体"/>
          <w:b/>
          <w:bCs/>
          <w:szCs w:val="21"/>
          <w:highlight w:val="none"/>
        </w:rPr>
        <w:t>“96110”全民反诈应用</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包括基础信息管理、宣讲预约、宣讲管理、线索举报处理、查询咨询管理、案情通报管理等，提供基于浙里办开发的移动应用。</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2.2.2.</w:t>
      </w:r>
      <w:r>
        <w:rPr>
          <w:rFonts w:hint="eastAsia"/>
          <w:highlight w:val="none"/>
        </w:rPr>
        <w:t xml:space="preserve"> </w:t>
      </w:r>
      <w:r>
        <w:rPr>
          <w:rFonts w:hint="eastAsia" w:ascii="宋体" w:hAnsi="宋体" w:cs="宋体"/>
          <w:b/>
          <w:bCs/>
          <w:szCs w:val="21"/>
          <w:highlight w:val="none"/>
        </w:rPr>
        <w:t>群防共治协同应用</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依托“浙政钉”建设群防共治协同应用，提供宣防预警、“两卡”治理、易SH群体管理、发案重点区域管控等业务模块。</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2.2.3.</w:t>
      </w:r>
      <w:r>
        <w:rPr>
          <w:rFonts w:hint="eastAsia"/>
          <w:highlight w:val="none"/>
        </w:rPr>
        <w:t xml:space="preserve"> </w:t>
      </w:r>
      <w:r>
        <w:rPr>
          <w:rFonts w:hint="eastAsia" w:ascii="宋体" w:hAnsi="宋体" w:cs="宋体"/>
          <w:b/>
          <w:bCs/>
          <w:szCs w:val="21"/>
          <w:highlight w:val="none"/>
        </w:rPr>
        <w:t>空壳公司对公账户治理应用</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提供企业筛查、纳税核查、社保核查、公安核查、对公账户分类处置、研判打击处理等，提升对利用“空壳公司”及其对公账户进行违法犯罪的智能化预警监管、打击治理水平。</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2.2.4.</w:t>
      </w:r>
      <w:r>
        <w:rPr>
          <w:rFonts w:hint="eastAsia"/>
          <w:highlight w:val="none"/>
        </w:rPr>
        <w:t xml:space="preserve"> </w:t>
      </w:r>
      <w:r>
        <w:rPr>
          <w:rFonts w:hint="eastAsia" w:ascii="宋体" w:hAnsi="宋体" w:cs="宋体"/>
          <w:b/>
          <w:bCs/>
          <w:szCs w:val="21"/>
          <w:highlight w:val="none"/>
        </w:rPr>
        <w:t>精准劝阻宣防子应用</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多渠道汇聚融合电诈预警数据，向公安基层推送预警、精准宣传数据；全量收集被害人基本信息，利用本地被害人行为特征建立易感人群库，为被害人群、区域、职业分析提供基础信息，全面提升反电信网络诈骗预警宣防能力水平。</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2.2.5.</w:t>
      </w:r>
      <w:r>
        <w:rPr>
          <w:rFonts w:hint="eastAsia"/>
          <w:highlight w:val="none"/>
        </w:rPr>
        <w:t xml:space="preserve"> </w:t>
      </w:r>
      <w:r>
        <w:rPr>
          <w:rFonts w:hint="eastAsia" w:ascii="宋体" w:hAnsi="宋体" w:cs="宋体"/>
          <w:b/>
          <w:bCs/>
          <w:szCs w:val="21"/>
          <w:highlight w:val="none"/>
        </w:rPr>
        <w:t>智能分析应用</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反电诈全维智控指标计算、反诈地图、精准劝阻、精准宣传、两卡治理、重点人员管控、空壳公司治理、风险市场、发案动态、打击成效等维度，可视化展示反电诈全维智控驾驶舱。</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2.2.5.</w:t>
      </w:r>
      <w:r>
        <w:rPr>
          <w:rFonts w:hint="eastAsia"/>
          <w:highlight w:val="none"/>
        </w:rPr>
        <w:t xml:space="preserve"> </w:t>
      </w:r>
      <w:r>
        <w:rPr>
          <w:rFonts w:hint="eastAsia" w:ascii="宋体" w:hAnsi="宋体" w:cs="宋体"/>
          <w:b/>
          <w:bCs/>
          <w:szCs w:val="21"/>
          <w:highlight w:val="none"/>
        </w:rPr>
        <w:t>接口</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与反骗码接口、运营商数据对接接口、基层治理四平台对接接口、反诈宣传超市对接接口等开发。</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2.2.5.信息资源建设</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汇聚整合互联网、政务网、公安网各类数据资源，构建涉诈</w:t>
      </w:r>
      <w:r>
        <w:rPr>
          <w:highlight w:val="none"/>
        </w:rPr>
        <w:t>数据库</w:t>
      </w:r>
      <w:r>
        <w:rPr>
          <w:rFonts w:hint="eastAsia"/>
          <w:highlight w:val="none"/>
        </w:rPr>
        <w:t>，</w:t>
      </w:r>
      <w:r>
        <w:rPr>
          <w:highlight w:val="none"/>
        </w:rPr>
        <w:t>包括</w:t>
      </w:r>
      <w:r>
        <w:rPr>
          <w:rFonts w:hint="eastAsia" w:ascii="宋体" w:hAnsi="宋体" w:cs="宋体"/>
          <w:kern w:val="0"/>
          <w:szCs w:val="21"/>
          <w:highlight w:val="none"/>
        </w:rPr>
        <w:t>涉诈要素、涉诈重点人员、风险排查、易受害人群、预警劝阻、宣传资源、模型指标等，采用任务编排方式提供反诈数据清洗、转换、校验、处理等数据处理，为社会服务端、政府治理端、公安智控端提供数据服务和应用支撑。</w:t>
      </w:r>
    </w:p>
    <w:p>
      <w:pPr>
        <w:keepLines/>
        <w:spacing w:line="360" w:lineRule="auto"/>
        <w:ind w:left="420" w:leftChars="200"/>
        <w:rPr>
          <w:rFonts w:ascii="宋体" w:hAnsi="宋体" w:cs="宋体"/>
          <w:b/>
          <w:bCs/>
          <w:szCs w:val="21"/>
          <w:highlight w:val="none"/>
        </w:rPr>
      </w:pPr>
      <w:bookmarkStart w:id="71" w:name="_Toc83748045"/>
      <w:r>
        <w:rPr>
          <w:rFonts w:hint="eastAsia" w:ascii="宋体" w:hAnsi="宋体" w:cs="宋体"/>
          <w:b/>
          <w:bCs/>
          <w:szCs w:val="21"/>
          <w:highlight w:val="none"/>
        </w:rPr>
        <w:t>2.2.技术参数</w:t>
      </w:r>
      <w:bookmarkEnd w:id="7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4"/>
        <w:gridCol w:w="1417"/>
        <w:gridCol w:w="2127"/>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shd w:val="clear" w:color="000000" w:fill="BFBFBF"/>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4962" w:type="dxa"/>
            <w:gridSpan w:val="4"/>
            <w:shd w:val="clear" w:color="000000" w:fill="BFBFBF"/>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指标项</w:t>
            </w:r>
          </w:p>
        </w:tc>
        <w:tc>
          <w:tcPr>
            <w:tcW w:w="4110" w:type="dxa"/>
            <w:shd w:val="clear" w:color="000000" w:fill="BFBFBF"/>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47"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一、“96110”全民反诈应用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全民反诈管理应用</w:t>
            </w: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基础信息管理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群众用户管理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用户基于浙里办认证接入，自动采集该群众的用户信息，并存储到系统中统一管理，包括非实名认证用户、实名认证用户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责任区划管理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汇集整理宁波市各区县、乡镇街道、村社区数据形成责任区划管理，并提供责任区划的新增、修改等管理操作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企业认证管理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提供企业认证信息认证审核，支持企业认证审核记录回溯。同时管理端提供特定企业的事先维护管理，包括特定企业信息的导入、新增、编辑、查询等管理操作。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宣讲管理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宣讲预约管理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管理员、宣讲员可以本模块了解当前宣讲的预约情况，具体预约信息包括发起的时间、地点、目前的进度情况等。管理员可对指定单位进行宣讲预约审核、调配。预约流程具体功能操作包含流程环节操作：发起、撤销、审核、再预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宣讲环节管理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对宣讲预约的发起、审核、评价、补充、完结等各个环节建立宣讲预约工作流程。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宣讲流程图</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提供宣讲预约流程环境可视化功能，针对每次宣讲预约可通过查看对应流程图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宣讲日历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提供基于时间和颜色方式展示一个月、一周、一天的宣讲预约的阶段情况。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宣讲资料归集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对宣讲预约上传的课件、现场照片等资料进行基于时间：月、周、日或基于地点：按照企事业单位或基于宣讲员进行归纳成集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宣讲员评估</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从宣讲员基本信息、宣讲评价等情况综合评估宣讲员积分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线索举报处理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管理端接收群众涉诈线索举报，包括举报线索类型、线索涉及的电话、网址、APP名称、自由说明、上传截图等。提供管理员预报线索的审核、研判、反馈、办结等功能。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查询咨询管理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涉诈要素库查询服务</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基于共享涉诈要素库的数据共享可信服务，为群众提供涉诈元素的查询、防损咨询功能，同时为线索举报核查提供数据支撑。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涉诈要素查询分析</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实时记录涉诈要素查询用户信息、涉诈要素查询内容，形成涉诈要素查询记录库，对查询用户身份、查询要素内容进行研判分析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案情通报管理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案情通报栏目模板</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以案情通报方式对高发案件、作案手段、典型案例、反诈地图等情况进行推文通报。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案情通报发布管理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提供精简版文本编辑器，提供编辑、撤销、审核、删除、详情、置顶等功能。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案情通报置顶管理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支持案情通报置顶，置顶支持置顶顺序和截止时间自定义。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案情通报操作记录</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实时记录每一条案情通报相应的前端操作记录，点赞数和阅读数、访问人员等。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全民反诈浙里办应用</w:t>
            </w: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宣讲预约</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企业认证</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系统支持根据企业信息自动进行预企业认证，辅助后台管理员进一步企业认证审核。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宣讲预约发起</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当群众通过实名认证后，并绑定认证企业进行宣讲预约发起。宣讲预约需设定宣讲时段、企业单位、区县、地址等信息，支持基于地图服务的空间位置选择。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宣讲员选择</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进行宣讲预约时，可查看宣讲员基本信息以及各个属性信息，便于选择合适的宣讲员并预约合适的时间，在指定的企事业单位进行宣讲预约。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预约信息</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群众和宣讲员可以通过首页或者预约信息列表查看当前宣讲预约的基本信息和预约状态。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宣讲审核</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宣讲员通过消息中心或者应用主页确定需要待审核宣讲预约，然后可以通过查看宣讲预约详情，再进行宣讲预约审核。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宣讲现场照片上传</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在宣讲过程中或宣讲完成后，预约群众、宣讲员可以上传现场宣讲的照片、视频等，系统会自动采集相应经纬度信息。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宣讲评价</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宣讲员宣讲完成后，预约群众可通过手机端对当前的宣讲员本次宣讲情况进行星级和文本的评价。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24</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支持民众进行线索举报操作，并自动记录线索举报经纬度位置信息。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查询咨询</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提供三类涉诈要素库信息查询服务，提供快速查询咨询服务，对未比中要素信息进行友好提示，引导到咨询电话。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26</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案情通报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基于H5目前流行的新闻类APP展示新闻栏目方式，提供涉诈“案情通报”快速浏览、通报详情自适应加载。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27</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点播下载</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集成反诈宣传超市各类涉诈资料等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我的中心</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个人信息</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提供个人信息查看、管理维护功能。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消息中心</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指定消息通过“消息中心”提供给群众，包括</w:t>
            </w:r>
            <w:r>
              <w:rPr>
                <w:rFonts w:hint="eastAsia"/>
                <w:highlight w:val="none"/>
              </w:rPr>
              <w:t>宣讲预约、线索举报、查询咨询等模块的情况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实名认证</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对接浙里办用户等级包括非实名用户、初级实名认证用户信息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举报记录</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提供当前群众的线索举报会记录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咨询记录</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提供当前群众的查询咨询会记录，方便群众回溯历史查询咨询信息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33</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浙里办应用集成实施</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上架浙里办的应用，需要基于“浙里办设计规范V2.0”进行微应用开发，且对接好单点登录及获取用户信息，应用发布上架。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47" w:type="dxa"/>
            <w:gridSpan w:val="6"/>
            <w:noWrap w:val="0"/>
            <w:vAlign w:val="center"/>
          </w:tcPr>
          <w:p>
            <w:pPr>
              <w:widowControl/>
              <w:jc w:val="left"/>
              <w:rPr>
                <w:rFonts w:ascii="宋体" w:hAnsi="宋体" w:cs="宋体"/>
                <w:kern w:val="0"/>
                <w:szCs w:val="21"/>
                <w:highlight w:val="none"/>
              </w:rPr>
            </w:pPr>
            <w:r>
              <w:rPr>
                <w:rFonts w:hint="eastAsia" w:ascii="宋体" w:hAnsi="宋体" w:cs="宋体"/>
                <w:b/>
                <w:bCs/>
                <w:kern w:val="0"/>
                <w:szCs w:val="21"/>
                <w:highlight w:val="none"/>
              </w:rPr>
              <w:t>二、群防共治协同应用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宣防预警</w:t>
            </w: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宣传资源管理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宣讲员管理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统合现有政府、社会的宣传力量，对宣讲员的行业属性、擅长领域、宣讲规模、宣讲日程、层级等各个属性进行标签化管理。通过卡片形式直观的刻画宣讲员全息信息。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宣传资料管理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对宣传预约归集资源，对宣传资料进行统一管理。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宣传地图</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基于发案数据，以全市区域矢量地图方式（最小区域为街道），对宣传力量进行动态叠加，打造“宣传地图”，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全民宣传</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基于</w:t>
            </w:r>
            <w:r>
              <w:rPr>
                <w:rFonts w:hint="eastAsia" w:ascii="宋体" w:hAnsi="宋体" w:cs="宋体"/>
                <w:kern w:val="0"/>
                <w:szCs w:val="21"/>
                <w:highlight w:val="none"/>
              </w:rPr>
              <w:t>反骗码全民宣传，接入宣传推广员、注册信息、红绿码信息、答题明细等数据，队伍，进行协同宣传评估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易SH群体精准宣传</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易SH群体排查处理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根据制定的易SH群体模板进行各类数据的接入处理，对易受害群体数据结构、类型、枚举进行清洗、转换、验证等处理。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易SH群体宣传管理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对汇集整合的易SH群体进行补全处理，提供查询、导出等管理功能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易SH群体反馈</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按照宣传工作要求进行宣传反馈，记录反馈信息处理的时间、人员、部门、反馈总数、成功数、失败数原始文件并进行管理，支持成功数、失败数、重复数、处理中数、无法落地数等具体明细数据的钻取。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易SH群体数据分析</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纵向分析维度包括区域、行业，横向分析维度包括下发总量、首宣情况、复宣情况等多维度进行分析，自动形成工作报表。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精准宣传成效评估</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对易SH体数据与诈骗预警数据、案件受害人信息比对核查，按区域、行业建立评估指标，开展易SH群体精准宣传成效评估。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两卡治理</w:t>
            </w: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手机卡治理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开卡核验</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对运营商开办手机卡实名身份证，并</w:t>
            </w:r>
            <w:r>
              <w:rPr>
                <w:rFonts w:hint="eastAsia"/>
                <w:highlight w:val="none"/>
                <w:lang w:val="zh-CN"/>
              </w:rPr>
              <w:t>涉诈案件碰撞比对、预警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开销卡异常分析</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通过运营商的新开手机卡、销户手机卡数据共享，设立3类开销卡异常分析规则，分析结果批量反馈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银行卡治理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开销户异常分析</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通过人行推送的各个银行新开户、销户数据共享，</w:t>
            </w:r>
            <w:r>
              <w:rPr>
                <w:rFonts w:hint="eastAsia"/>
                <w:highlight w:val="none"/>
                <w:lang w:val="zh-CN"/>
              </w:rPr>
              <w:t>设立</w:t>
            </w:r>
            <w:r>
              <w:rPr>
                <w:rFonts w:hint="eastAsia" w:ascii="宋体" w:hAnsi="宋体" w:cs="宋体"/>
                <w:kern w:val="0"/>
                <w:szCs w:val="21"/>
                <w:highlight w:val="none"/>
              </w:rPr>
              <w:t>3类</w:t>
            </w:r>
            <w:r>
              <w:rPr>
                <w:rFonts w:hint="eastAsia"/>
                <w:highlight w:val="none"/>
                <w:lang w:val="zh-CN"/>
              </w:rPr>
              <w:t>开户异常分析规则</w:t>
            </w:r>
            <w:r>
              <w:rPr>
                <w:rFonts w:hint="eastAsia" w:ascii="宋体" w:hAnsi="宋体" w:cs="宋体"/>
                <w:kern w:val="0"/>
                <w:szCs w:val="21"/>
                <w:highlight w:val="none"/>
              </w:rPr>
              <w:t>，分析结果批量反馈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银行异常推送核查</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对各个银行推送的各类异常数据，进行银行卡复合风险模型开发，对高危异常数据进行预警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境外IP转账账户协同排查</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建立境外IP转账账户异常协同排查模型，针对存在异常情况，绩效风险预警提醒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两卡异常协同处置</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异常人员核查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根据开户信息、异常交易信息汇聚抽取形成异常开卡人信息，围绕人开展异常开户人的落地、核查和反馈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协同处置任务</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建立异常协同处置互相推送处置任务，以数据列表文件及具体要的形式形成交互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数据业务协同</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协同单位（人行、市场监管）等单位可在政务网进行协查处置数据交互（手动批量或实时汇聚方式），留存到公安网。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两卡治理指标分析</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以“两卡”为核心，基于系统的多维数据信息，构建两卡治理态势感知总览，从全局视角实时展示全市银行开卡、运营商开卡和异常数据的指标分析，区域分布、发展态势，对全局风险威胁评估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重点区域治理</w:t>
            </w: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区域风险评估</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区县风险评估</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以区县为主体，从“发案、打击、预警、治理、重点人”全维度进行区县风险综合评估，建立周期性区县分级预警规则，四色警示。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街道风险评估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以街道为主体，从“发案、预警、损失金额”多维度进行街道风险综合评估，建立周期性区县分级预警规则，四色警示。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行业风险评估</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以行业、单位为主体，从“发案、损失金额”多维度进行行业风险综合评估，建立周期性行业分级预警规则，四色警示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全维风险评估</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发案评估</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从涉诈案件发案角度，按、周期性分析区县、街道、行业发案情况。基于历史涉诈案件发案数据，分别计算分析区县、街道、行业的发案基数，建立控案线，根据与当前发案情况动态调整黄色警示指标</w:t>
            </w:r>
            <w:r>
              <w:rPr>
                <w:rFonts w:ascii="宋体" w:hAnsi="宋体" w:cs="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打击评估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从涉诈案件打击角度，按区县维度周期性报表分析各区县的破案率、百案打处率等维度，建立打击效能评估标准，动态评估区县综合打击指标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预警评估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从反电诈预警对象角度，按周期性分析区县、街道预警劝阻情况，按照预警等级分布，细化评估规则，综合评估区县、街道的预警状况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治理评估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重点围绕“两卡”治理，按周期性从区县、行业维度分析两卡治理情况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重点人评估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基于涉诈重点人员分类数据，按区县、街道进行归属落地分析重点人员情况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重点区域预警</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发案区域评估处理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基于发案区域风险评估，对发案区域数据进行重点区域发案分析，对发案区域所在区县、乡镇街道、发案态势等维度进行分析。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高发区域预警规则</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对区县、乡镇街道的结合发案量、发案同环比、连续高发等预警规则，可定义配置五色警示分值范围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重点区域协同治理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基于发案区域评估数据以全市区域矢量地图方式，通过“发案地图”进行分色警示，并可细化到乡镇（街道），推送挂牌整治的案件高发区域、乡镇（街道）、高发行业及单位主管部门，对</w:t>
            </w:r>
            <w:r>
              <w:rPr>
                <w:highlight w:val="none"/>
                <w:lang w:val="zh-CN"/>
              </w:rPr>
              <w:t>警示后</w:t>
            </w:r>
            <w:r>
              <w:rPr>
                <w:rFonts w:hint="eastAsia"/>
                <w:highlight w:val="none"/>
                <w:lang w:val="zh-CN"/>
              </w:rPr>
              <w:t>进行</w:t>
            </w:r>
            <w:r>
              <w:rPr>
                <w:highlight w:val="none"/>
                <w:lang w:val="zh-CN"/>
              </w:rPr>
              <w:t>挂牌整治</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风险数据共享</w:t>
            </w: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风险数据隐私加密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通过隐私加密算法，实现用户身份和用户行为数据的分离。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31</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风险数据共识管理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采用共识算法可以保障新共享数据被准确添加至单位对应节点存储，可以抵御恶意攻击。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32</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风险数据可信共享服务</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w:t>
            </w:r>
            <w:r>
              <w:rPr>
                <w:rFonts w:hint="eastAsia"/>
                <w:highlight w:val="none"/>
              </w:rPr>
              <w:t>涉诈要素库共享服务、灰黑账户名单库共享服务、可疑开卡名单库共享服务、可疑企业名单库共享服务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33</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群防共治浙政钉应用</w:t>
            </w: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发案地图预警</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基于电信网络诈骗发案、预警劝阻等周期性评估数据，在手机端提供以全市区域矢量地图方式</w:t>
            </w:r>
            <w:r>
              <w:rPr>
                <w:rFonts w:hint="eastAsia"/>
                <w:szCs w:val="28"/>
                <w:highlight w:val="none"/>
              </w:rPr>
              <w:t>（最小区域为街道）</w:t>
            </w:r>
            <w:r>
              <w:rPr>
                <w:rFonts w:hint="eastAsia"/>
                <w:highlight w:val="none"/>
                <w:lang w:val="zh-CN"/>
              </w:rPr>
              <w:t>，在手机应用上提供 “发案地图”进行分色警示。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34</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易受害群体宣传</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提供手机端易受害群体精准宣防等工作，按照宣传工作要求进行宣传反馈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重点区域预警协同</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提供</w:t>
            </w:r>
            <w:r>
              <w:rPr>
                <w:rFonts w:hint="eastAsia"/>
                <w:highlight w:val="none"/>
                <w:lang w:val="zh-CN"/>
              </w:rPr>
              <w:t>风险警示函处理、问责机制流转，可在手机应用上进行情况查阅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36</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风险数据请求共享</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基于风险共享可信服务，在手机应用上提供风险共享数据请求查询功能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37</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群防共享协同指标</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在“浙政钉”手机应用上简约、自适应、流畅交互等形式，提供区域风险评估指标、行业风险评估指标、宣传覆盖率、两卡治理指标、风险共享指派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38</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浙政钉集成实施</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基于</w:t>
            </w:r>
            <w:r>
              <w:rPr>
                <w:rFonts w:hint="eastAsia" w:ascii="宋体" w:hAnsi="宋体" w:cs="宋体"/>
                <w:kern w:val="0"/>
                <w:szCs w:val="21"/>
                <w:highlight w:val="none"/>
              </w:rPr>
              <w:t>“浙政钉”集成开发，对接</w:t>
            </w:r>
            <w:r>
              <w:rPr>
                <w:rFonts w:hint="eastAsia"/>
                <w:highlight w:val="none"/>
                <w:lang w:val="zh-CN"/>
              </w:rPr>
              <w:t>组织人员架构和用户体系、</w:t>
            </w:r>
            <w:r>
              <w:rPr>
                <w:rFonts w:hint="eastAsia"/>
                <w:highlight w:val="none"/>
              </w:rPr>
              <w:t>单点登录、消息通知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47" w:type="dxa"/>
            <w:gridSpan w:val="6"/>
            <w:noWrap w:val="0"/>
            <w:vAlign w:val="center"/>
          </w:tcPr>
          <w:p>
            <w:pPr>
              <w:widowControl/>
              <w:jc w:val="left"/>
              <w:rPr>
                <w:rFonts w:ascii="宋体" w:hAnsi="宋体" w:cs="宋体"/>
                <w:kern w:val="0"/>
                <w:szCs w:val="21"/>
                <w:highlight w:val="none"/>
              </w:rPr>
            </w:pPr>
            <w:r>
              <w:rPr>
                <w:rFonts w:hint="eastAsia" w:ascii="宋体" w:hAnsi="宋体" w:cs="宋体"/>
                <w:b/>
                <w:bCs/>
                <w:kern w:val="0"/>
                <w:szCs w:val="21"/>
                <w:highlight w:val="none"/>
              </w:rPr>
              <w:t>三、空壳公司对公账户治理应用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“空壳公司”共享筛查</w:t>
            </w: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列异企业管理</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对周期性推送的列异企业数据进行统一管理，支持查询和导出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企业筛查</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地址异常规则赋分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一地多企核查模型，建立赋分规则，可按数量累计赋分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同对象多关联赋分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建立法人、联系人号码建立一号多企核查模型，分别建立赋分规则，可按数量累计赋分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多企业异常赋分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一人多企核查模型，分别建立赋分规则，可按数量累计赋分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异常注销赋分</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统一人员异常注销</w:t>
            </w:r>
            <w:r>
              <w:rPr>
                <w:rFonts w:hint="eastAsia"/>
                <w:highlight w:val="none"/>
                <w:lang w:val="zh-CN"/>
              </w:rPr>
              <w:t>核查模型，建立赋分规则，可按数量累计赋分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纳税核查</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纳税分类核查</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有企无税核查模型，建立赋分规则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纳税白名单过滤</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建立正常纳税企业白名单，排除在空壳公司对公账户之外。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社保核查</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建立有企无保、有企少保核查模型，分别建立赋分规则，可按数量累计赋分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公安核查</w:t>
            </w: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在甬登记核查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对接公安人口登记数据，对企业法人在甬户籍登记、流口登记情况分别进行核查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信息比对核查</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对接公安各类数据，对企业登记时间前后企业法人人员出现情况进行核查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在甬轨迹时间计算</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基于企业法人在甬登记时间、来甬时间复合计算在甬时长，并与企业登记时间进行回溯和研判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人员特征轨迹核查</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对接人员特征信息查询接口，对企业法人出现情况进行研判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风险指标模型</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对工商、纳税、社保、公安等不同维度的核查标签规则，赋予不同分值、权重进行风险指数计算分析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筛查任务管理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建立周期性筛查任务，可按实际需要定义筛查任务时间，筛查回溯周期，可管理、查看筛查任务状态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对公账户分类处置</w:t>
            </w: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可疑企业风险数据推送</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对通过“空壳公司”共享筛查发现的可疑企业信息、以及关联的可疑企业法定代表人或负责人名下注册登记关联企业信息。提供条件自定义查询，支持可疑企业风险数据字段按需批量导出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可疑企业账户分类处置</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定义分类处置要求，将可疑企业开立的对公账户进行分类处置，支持分类处置结果数据批量导入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研判打击处理</w:t>
            </w: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线索研判分析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提供以“思维导图”实现账户-企业、企业-人、人-关系人等要素可视化研判，支持研判图谱快照保存、共享、导出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涉案企业打击</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对存在违法犯罪的涉案企业，按照违法犯罪程度进行行政处罚或刑事打处。对接省厅执法办案系统相关数据，根据案件编号提取对应案件、人员等信息补全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处置结果反馈</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公安机关涉案企业打击情况分别反馈给人民银行、市场监督部门，形成业务处置闭环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4962" w:type="dxa"/>
            <w:gridSpan w:val="4"/>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对公账户治理指标分析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建立可疑对公账户管控、涉案空壳公司处置、任务流转反馈等要素融合计算指标，进行可视化分析展示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47" w:type="dxa"/>
            <w:gridSpan w:val="6"/>
            <w:noWrap w:val="0"/>
            <w:vAlign w:val="center"/>
          </w:tcPr>
          <w:p>
            <w:pPr>
              <w:widowControl/>
              <w:jc w:val="left"/>
              <w:rPr>
                <w:rFonts w:ascii="宋体" w:hAnsi="宋体" w:cs="宋体"/>
                <w:kern w:val="0"/>
                <w:szCs w:val="21"/>
                <w:highlight w:val="none"/>
              </w:rPr>
            </w:pPr>
            <w:r>
              <w:rPr>
                <w:rFonts w:hint="eastAsia" w:ascii="宋体" w:hAnsi="宋体" w:cs="宋体"/>
                <w:b/>
                <w:bCs/>
                <w:kern w:val="0"/>
                <w:szCs w:val="21"/>
                <w:highlight w:val="none"/>
              </w:rPr>
              <w:t>四、技术预警劝防应用--精准劝阻宣防子应用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多预警来源融合</w:t>
            </w:r>
          </w:p>
        </w:tc>
        <w:tc>
          <w:tcPr>
            <w:tcW w:w="1701"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部平台数据接入处理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根据预警模板进行部平台原始数据的接入处理，对部平台10多项数据结构、类型、枚举进行清洗、转换、验证和业务整合。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省平台数据接入处理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省平台数据接入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根据省平台预警数据进行接入，对省平台60余项数据结构、类型、枚举进行清洗、转换、验证和业务整合等处理。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无法落地数据补齐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针对本地无法落地的数据，推送至省平台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反馈数据推送</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将预警数据的反馈信息数据按照省平台标准进行清洗转换，推送回流到省平台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勘侦平台数据接入处理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勘侦平台数据接入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获取本地勘侦预警数据，并对30余项数据结构、类型、枚举进行清洗、转换、验证和整合等处理。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WA平台数据接入处理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WA平台数据接入</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接收、解析WA提供的数据文件预警数据，并对25余项数据结构、类型、枚举进行清洗、转换、验证和整合等处理。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无法落地数据补齐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针对本地无法落地的数据，将该数据处理成流媒体文件并推送至WA专网文件服务。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反馈数据推送</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生成预警反馈数据，以流媒体文件通过文件服务方式推送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国家反诈中心数据接入处理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按照反诈中心模型，对原始数据16项数据结构、类型、枚举进行清洗、转换、验证和业务整合。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标准数据汇集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开发配置标准化、可拓展的数据来源预警数据汇集通道，为规范的其他数据来源汇聚提供标准的数据接入入口。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预警数据落地下发</w:t>
            </w: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预警数据落地</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预算对象身份落地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对汇集整合的各类预警数据，通过实时调用电话到人服务，利用手机号码置信度计算，实现预警对象的身份落地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人员身份辖区落地</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基于</w:t>
            </w:r>
            <w:r>
              <w:rPr>
                <w:rFonts w:hint="eastAsia"/>
                <w:highlight w:val="none"/>
                <w:lang w:val="zh-CN"/>
              </w:rPr>
              <w:t>人员身份落地服务，利用</w:t>
            </w:r>
            <w:r>
              <w:rPr>
                <w:rFonts w:hint="eastAsia" w:ascii="宋体" w:hAnsi="宋体" w:cs="宋体"/>
                <w:kern w:val="0"/>
                <w:szCs w:val="21"/>
                <w:highlight w:val="none"/>
              </w:rPr>
              <w:t>人员身份辖区计算、</w:t>
            </w:r>
            <w:r>
              <w:rPr>
                <w:rFonts w:hint="eastAsia"/>
                <w:highlight w:val="none"/>
                <w:lang w:val="zh-CN"/>
              </w:rPr>
              <w:t>预警辖区落地管理，</w:t>
            </w:r>
            <w:r>
              <w:rPr>
                <w:rFonts w:hint="eastAsia" w:ascii="宋体" w:hAnsi="宋体" w:cs="宋体"/>
                <w:kern w:val="0"/>
                <w:szCs w:val="21"/>
                <w:highlight w:val="none"/>
              </w:rPr>
              <w:t>进行人员身份辖区落地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数据下发处理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预警对象下发整合</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针对已落得的预警数据，制定数据下发规则，对当前预警数据进行整合下发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预警对象下发处理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根据预警等级的取高不取低、下发时间的就近不就远对预警数据按预警下发要素进行处理，记录每次预警数据接入处理情况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预警对象管理</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预警数据管理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针对落地下发成功的预警数据进行统一管理，提供自定义组合搜索。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预算对象档案</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以预警数据手机号为唯一对象，整合反诈劝阻各要素，形成预警对象劝阻电子档案。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预警对象合并导出</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提供按组合查询需导出、全量清洗合并导出处理功能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预警对象关联删除</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按权限提供管理员，针对错误或者无效的预警数据，可对预警数据进行逻辑删除，并同步自动删除预警关联所有数据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精准预警劝阻处置</w:t>
            </w: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预警数据分发</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针对身份无法落地和辖区无法落地的数据，提供责任单位及所队的直接分发。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预警数据反馈</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根据针对不同反馈类型定义反馈闭环策略，判断各类反馈结果决定该预警是否闭环结束，支持对预警数据的多次反馈。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预警数据地址纠正</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针对落地有异议的预警数据，提供地址落地的纠正功能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***移交申请</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针对责任单位有异议的情况、***人员可提出移交申请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23</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分局移交申请审核</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针对***提出的移交申请，分局进行审核，审核通过后移交确认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24</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分局移交处理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分局可自己进行预警的移交，对方分局进行移交确认。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分局移交撤销</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若分局对自己移交的数据返现有误，通过撤回操作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26</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分局移交确认</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针对其他分局移交的预警数据，本分局可进行移交确认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27</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分局发起仲裁</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针对其他分局退回的移交数据，支持发起仲裁交由市局进行仲裁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市局仲裁确认</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针对分局发起仲裁的数据，市局可直接进行责任单位的确认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29</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劝阻预警工作台账</w:t>
            </w: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工作完成情况分析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纵向分析区县，横向分析维度包括下发情况、工作完成情况等多维度进行分析，自动形成工作报表，支持时间维度过滤。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劝阻情况分析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纵向分析区县，横向分析下发情况、劝阻情况等多维度进行实时分析，自动形成工作报表，支持时间维度过滤。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31</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预警来源分析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纵向分析维度预警来源的起止时间段的日分布，横向分析各个预警来源处理情况，自动形成工作报表，支持时间维度过滤。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32</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移交情况分析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纵向分析县区，横向分析维度包括各单位的移交数、成功数、接收数、拒绝接收数等多维度进行分析，自动形成工作报表。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33</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劝阻日报分析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按照劝阻工作日报分析任务要求，周期性的高危、中危、低危的劝阻数据，自动形成劝阻工作日报。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34</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劝阻周报分析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按照劝阻工作周报分析任务要求，周期性对一周的劝阻数据生成总数据、完全劝阻数据、部分劝阻数据、推送下发数据、下发反馈数据、推送前被骗数据的进行周报分析。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预警对象布控</w:t>
            </w: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劝阻对象全链监测</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建立劝阻对象布控规则，自动构建需预警对象监测库，通过信息全网订阅应用及人员特征布控服务，实现人员登记全链信息、特征采集进行实时监测预警信息。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36</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比中人员动态管控</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比中后预警信息通过对轨迹出现情况进行在甬研判，更新预警数据反馈状态闭环，核查确认后结束则自动撤销。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37</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预警流程监控</w:t>
            </w: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总体监测</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总体分析各个平台汇聚整合的预警数据总数，日预警数，定义劝阻成效算法计算劝阻金额，建立劝阻宣防工作动态感知，实时监控预警数据状态、劝阻成效等总体情况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38</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预警生产</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以流程处理图方式展示预警的生产情况，从预警生产来源，预警等级，对预警生产的首推量、推送量信息进行指标评估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39</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预警落地</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以流程处理图方式展示预警的落地情况，预警落地指标包括身份补齐数量、落地补齐数量、无法落地数、平均落地时长，建立落地监控预警机制实现落地情况分色预警。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预警下发</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以流程处理图方式展示预警的下发情况，预警下发指标包括成功下发数、首次下发数、下发到位数，建立下发监控预警机制实现下发情况分色预警。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41</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预警处置</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以流程处理图方式展示预警的处置情况，预警处置指标包括签收数、签收超时数、已反馈数、工作中数、首次有效反馈数、超时反馈数、移交成功率、首次反馈平均时长，建立签收、反馈监控预警机制实现不同维度的处置情况进行分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42</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成效检测</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以流程处理图方式展示预警的成效情况，预警成效检测指标包括预警总数、日数据量、劝阻案件数、劝阻金额进行评估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43</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多维分析</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提供预警多维分析</w:t>
            </w:r>
            <w:r>
              <w:rPr>
                <w:rFonts w:hint="eastAsia" w:ascii="宋体" w:hAnsi="宋体" w:cs="宋体"/>
                <w:kern w:val="0"/>
                <w:szCs w:val="21"/>
                <w:highlight w:val="none"/>
              </w:rPr>
              <w:t>、警情多维分析、案件多维分析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44</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涉链案件分析</w:t>
            </w: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案件信息监测</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根据受害人员的证件、号码实时监测比对打防控库中案件相关信息，支持组合查询，支持比中案件信息批量导出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45</w:t>
            </w:r>
          </w:p>
        </w:tc>
        <w:tc>
          <w:tcPr>
            <w:tcW w:w="1134" w:type="dxa"/>
            <w:vMerge w:val="continue"/>
            <w:noWrap w:val="0"/>
            <w:vAlign w:val="center"/>
          </w:tcPr>
          <w:p>
            <w:pPr>
              <w:widowControl/>
              <w:jc w:val="left"/>
              <w:rPr>
                <w:rFonts w:ascii="宋体" w:hAnsi="宋体" w:cs="宋体"/>
                <w:kern w:val="0"/>
                <w:szCs w:val="21"/>
                <w:highlight w:val="none"/>
              </w:rPr>
            </w:pP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关联案件核实</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提供受害对象关联案件核实反馈，补充完善案件的状态反馈信息，并可对案件的反馈质量、预警数据质量进行核实完善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46</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线索咨询处置</w:t>
            </w: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线索举报处置</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线索举报信息处理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对通过浙里办96110全民反诈应用群众线索举报信息进行处理和管理，便于预报线索下发、处置。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线索举报指令下发</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提供线索举报信息的劝阻指令下发功能，并对线索举报的指令下发进行历史记录。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线索举报工作分析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对线索举报信息的下发、处置情况，纵向分析维度各区域、横向分析维度包括是否涉诈、劝阻等多维度进行分析，自动形成工作报表，支持时间维度过滤。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保险咨询处置</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保险咨询信息处理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对通过96110来电中针对咨询保险信息进行数据处理和管理，便于咨询下发、处置。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保险咨询指令下发</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提供咨询保险信息的劝阻指令下发功能，并对咨询保险的指令下发进行历史记录。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保险咨询工作分析</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对保险咨询信息的下发、处置情况，纵向分析维度包括各区县、横向分析维度包括非涉诈电话，劝阻情况等多维度进行分析，自动形成工作报表，支持时间维度过滤。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52</w:t>
            </w:r>
          </w:p>
        </w:tc>
        <w:tc>
          <w:tcPr>
            <w:tcW w:w="1134" w:type="dxa"/>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精准宣防刻画</w:t>
            </w:r>
          </w:p>
        </w:tc>
        <w:tc>
          <w:tcPr>
            <w:tcW w:w="3828" w:type="dxa"/>
            <w:gridSpan w:val="3"/>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宣传指令协同</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引接、汇集互联网第三方平台发现、预警低危对象等群体开展精准宣传工作，提供精准宣传对象管理、下发、落地、反馈、推送。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受害群体刻画</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受害人员提取</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对接执法办案、打防控的案件、人员相关数据，自动比对提取打防控库中案件相关信息及受害人相关信息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受害人员管理</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对受害人员的信息统一管理和采集维护、自动补全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受害人员档案</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对受害人员的基本信息、涉诈案件信息、预警宣传等信息形成动态电子档案。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47" w:type="dxa"/>
            <w:gridSpan w:val="6"/>
            <w:noWrap w:val="0"/>
            <w:vAlign w:val="center"/>
          </w:tcPr>
          <w:p>
            <w:pPr>
              <w:widowControl/>
              <w:jc w:val="left"/>
              <w:rPr>
                <w:rFonts w:ascii="宋体" w:hAnsi="宋体" w:cs="宋体"/>
                <w:kern w:val="0"/>
                <w:szCs w:val="21"/>
                <w:highlight w:val="none"/>
              </w:rPr>
            </w:pPr>
            <w:r>
              <w:rPr>
                <w:rFonts w:hint="eastAsia" w:ascii="宋体" w:hAnsi="宋体" w:cs="宋体"/>
                <w:b/>
                <w:bCs/>
                <w:kern w:val="0"/>
                <w:szCs w:val="21"/>
                <w:highlight w:val="none"/>
              </w:rPr>
              <w:t>五、智能分析应用--反电诈全维智控驾驶舱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134"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反电诈全维智控驾驶舱</w:t>
            </w: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反电诈全维智控指标计算</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核心指标计算</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按照发电诈全维智控应用指标体系，构建10核心指标及各类指标模型</w:t>
            </w:r>
            <w:r>
              <w:rPr>
                <w:rFonts w:hint="eastAsia"/>
                <w:highlight w:val="none"/>
              </w:rPr>
              <w:t>，建立复合的指标计算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任务指标计算</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按照</w:t>
            </w:r>
            <w:r>
              <w:rPr>
                <w:rFonts w:hint="eastAsia" w:ascii="宋体" w:hAnsi="宋体" w:cs="宋体"/>
                <w:kern w:val="0"/>
                <w:szCs w:val="21"/>
                <w:highlight w:val="none"/>
              </w:rPr>
              <w:t>22项任务指标要求，建立任务指标公式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反电诈全维智控态势大屏</w:t>
            </w: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反诈地图</w:t>
            </w:r>
          </w:p>
        </w:tc>
        <w:tc>
          <w:tcPr>
            <w:tcW w:w="4110"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以宁波区域矢量立体地图方式，基于涉诈案件、预警、宣传、治理等全维度建立反诈地图，已全市矢量地图支持区县到街道二级层细化分色预警。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精准劝阻</w:t>
            </w:r>
          </w:p>
        </w:tc>
        <w:tc>
          <w:tcPr>
            <w:tcW w:w="4110" w:type="dxa"/>
            <w:noWrap w:val="0"/>
            <w:vAlign w:val="center"/>
          </w:tcPr>
          <w:p>
            <w:pPr>
              <w:widowControl/>
              <w:jc w:val="left"/>
              <w:rPr>
                <w:rFonts w:ascii="宋体" w:hAnsi="宋体" w:cs="宋体"/>
                <w:kern w:val="0"/>
                <w:szCs w:val="21"/>
                <w:highlight w:val="none"/>
              </w:rPr>
            </w:pPr>
            <w:r>
              <w:rPr>
                <w:rFonts w:hint="eastAsia"/>
                <w:highlight w:val="none"/>
              </w:rPr>
              <w:t>通过预警劝阻相关模型指标分析，周、月等多时间维度动态掌握整体预警劝率、预警数、下发数、处置数、止损金额等情况，并可细化到精准预警劝阻二级页面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精准宣传</w:t>
            </w:r>
          </w:p>
        </w:tc>
        <w:tc>
          <w:tcPr>
            <w:tcW w:w="4110" w:type="dxa"/>
            <w:noWrap w:val="0"/>
            <w:vAlign w:val="center"/>
          </w:tcPr>
          <w:p>
            <w:pPr>
              <w:widowControl/>
              <w:jc w:val="left"/>
              <w:rPr>
                <w:rFonts w:ascii="宋体" w:hAnsi="宋体" w:cs="宋体"/>
                <w:kern w:val="0"/>
                <w:szCs w:val="21"/>
                <w:highlight w:val="none"/>
              </w:rPr>
            </w:pPr>
            <w:r>
              <w:rPr>
                <w:rFonts w:hint="eastAsia"/>
                <w:highlight w:val="none"/>
              </w:rPr>
              <w:t>通过宣传相关模型指标分析，多时间维度动态掌握全域宣传、精准宣传整体态势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两卡治理</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围绕“两卡”治理的开卡核验、异常分析情况、异常协同处置和反馈进行综合评估，并可细化到两卡治理态势感知二级页面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重点人员管控</w:t>
            </w:r>
          </w:p>
        </w:tc>
        <w:tc>
          <w:tcPr>
            <w:tcW w:w="4110" w:type="dxa"/>
            <w:noWrap w:val="0"/>
            <w:vAlign w:val="center"/>
          </w:tcPr>
          <w:p>
            <w:pPr>
              <w:widowControl/>
              <w:jc w:val="left"/>
              <w:rPr>
                <w:rFonts w:ascii="宋体" w:hAnsi="宋体" w:cs="宋体"/>
                <w:kern w:val="0"/>
                <w:szCs w:val="21"/>
                <w:highlight w:val="none"/>
              </w:rPr>
            </w:pPr>
            <w:r>
              <w:rPr>
                <w:rFonts w:hint="eastAsia"/>
                <w:highlight w:val="none"/>
              </w:rPr>
              <w:t>通过重点人员管控相关模型指标分析，掌握涉重点人员底数、重点人员分类、落实管辖预警情况以及人员分布及需管控情况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空壳公司治理</w:t>
            </w:r>
          </w:p>
        </w:tc>
        <w:tc>
          <w:tcPr>
            <w:tcW w:w="4110" w:type="dxa"/>
            <w:noWrap w:val="0"/>
            <w:vAlign w:val="center"/>
          </w:tcPr>
          <w:p>
            <w:pPr>
              <w:widowControl/>
              <w:jc w:val="left"/>
              <w:rPr>
                <w:rFonts w:ascii="宋体" w:hAnsi="宋体" w:cs="宋体"/>
                <w:kern w:val="0"/>
                <w:szCs w:val="21"/>
                <w:highlight w:val="none"/>
              </w:rPr>
            </w:pPr>
            <w:r>
              <w:rPr>
                <w:rFonts w:hint="eastAsia"/>
                <w:highlight w:val="none"/>
              </w:rPr>
              <w:t>从“空壳”公司对公账户的可疑企业筛查、对公账户分类处置、涉案企业研判打击进行综合评估，并可细化到对公账户治理指标态势二级页面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风险市场</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对灰黑账户名单、可疑开卡名单、可疑企业名单风险共享数据库数据量、完整率进行总体评估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发案动态</w:t>
            </w:r>
          </w:p>
        </w:tc>
        <w:tc>
          <w:tcPr>
            <w:tcW w:w="4110" w:type="dxa"/>
            <w:noWrap w:val="0"/>
            <w:vAlign w:val="center"/>
          </w:tcPr>
          <w:p>
            <w:pPr>
              <w:widowControl/>
              <w:jc w:val="left"/>
              <w:rPr>
                <w:rFonts w:ascii="宋体" w:hAnsi="宋体" w:cs="宋体"/>
                <w:kern w:val="0"/>
                <w:szCs w:val="21"/>
                <w:highlight w:val="none"/>
              </w:rPr>
            </w:pPr>
            <w:r>
              <w:rPr>
                <w:rFonts w:hint="eastAsia"/>
                <w:highlight w:val="none"/>
              </w:rPr>
              <w:t>通过涉诈案件相关模型指标分析，以区县维度、时间维度多角度分析发案数及环比变换、按损数及环比变换，建立县市区发案控案线，以可视化直观图表方式进行分析预警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134" w:type="dxa"/>
            <w:vMerge w:val="continue"/>
            <w:noWrap w:val="0"/>
            <w:vAlign w:val="center"/>
          </w:tcPr>
          <w:p>
            <w:pPr>
              <w:widowControl/>
              <w:jc w:val="left"/>
              <w:rPr>
                <w:rFonts w:ascii="宋体" w:hAnsi="宋体" w:cs="宋体"/>
                <w:kern w:val="0"/>
                <w:szCs w:val="21"/>
                <w:highlight w:val="none"/>
              </w:rPr>
            </w:pPr>
          </w:p>
        </w:tc>
        <w:tc>
          <w:tcPr>
            <w:tcW w:w="1701" w:type="dxa"/>
            <w:gridSpan w:val="2"/>
            <w:vMerge w:val="continue"/>
            <w:noWrap w:val="0"/>
            <w:vAlign w:val="center"/>
          </w:tcPr>
          <w:p>
            <w:pPr>
              <w:widowControl/>
              <w:jc w:val="left"/>
              <w:rPr>
                <w:rFonts w:ascii="宋体" w:hAnsi="宋体" w:cs="宋体"/>
                <w:kern w:val="0"/>
                <w:szCs w:val="21"/>
                <w:highlight w:val="none"/>
              </w:rPr>
            </w:pPr>
          </w:p>
        </w:tc>
        <w:tc>
          <w:tcPr>
            <w:tcW w:w="2127"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打击成效</w:t>
            </w:r>
          </w:p>
        </w:tc>
        <w:tc>
          <w:tcPr>
            <w:tcW w:w="4110" w:type="dxa"/>
            <w:noWrap w:val="0"/>
            <w:vAlign w:val="center"/>
          </w:tcPr>
          <w:p>
            <w:pPr>
              <w:widowControl/>
              <w:jc w:val="left"/>
              <w:rPr>
                <w:rFonts w:ascii="宋体" w:hAnsi="宋体" w:cs="宋体"/>
                <w:kern w:val="0"/>
                <w:szCs w:val="21"/>
                <w:highlight w:val="none"/>
              </w:rPr>
            </w:pPr>
            <w:r>
              <w:rPr>
                <w:rFonts w:hint="eastAsia"/>
                <w:highlight w:val="none"/>
              </w:rPr>
              <w:t>以打击人员为重点对违法打击成效相关情况进行指标分析，多时间维度动态掌握发案数、打击数、同环比等整体态势，具体可细化到具体涉案详情及人员明细。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7" w:type="dxa"/>
            <w:gridSpan w:val="5"/>
            <w:noWrap w:val="0"/>
            <w:vAlign w:val="center"/>
          </w:tcPr>
          <w:p>
            <w:pPr>
              <w:widowControl/>
              <w:jc w:val="left"/>
              <w:rPr>
                <w:rFonts w:ascii="宋体" w:hAnsi="宋体" w:cs="宋体"/>
                <w:kern w:val="0"/>
                <w:szCs w:val="21"/>
                <w:highlight w:val="none"/>
              </w:rPr>
            </w:pPr>
            <w:r>
              <w:rPr>
                <w:rFonts w:hint="eastAsia" w:ascii="宋体" w:hAnsi="宋体" w:cs="宋体"/>
                <w:b/>
                <w:bCs/>
                <w:kern w:val="0"/>
                <w:szCs w:val="21"/>
                <w:highlight w:val="none"/>
              </w:rPr>
              <w:t>六、接口</w:t>
            </w:r>
          </w:p>
        </w:tc>
        <w:tc>
          <w:tcPr>
            <w:tcW w:w="4110" w:type="dxa"/>
            <w:noWrap w:val="0"/>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4962" w:type="dxa"/>
            <w:gridSpan w:val="4"/>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与反骗码（浙江涉网新型电诈案件智能宣防平台）对接接口</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通过与反骗码数据对接接口开发，获取包括注册信息接口、答题明细接口、新闻浏览接口、码状态接口等数据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4962" w:type="dxa"/>
            <w:gridSpan w:val="4"/>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与运营商数据对接接口</w:t>
            </w:r>
          </w:p>
        </w:tc>
        <w:tc>
          <w:tcPr>
            <w:tcW w:w="4110" w:type="dxa"/>
            <w:noWrap w:val="0"/>
            <w:vAlign w:val="center"/>
          </w:tcPr>
          <w:p>
            <w:pPr>
              <w:widowControl/>
              <w:jc w:val="left"/>
              <w:rPr>
                <w:rFonts w:ascii="宋体" w:hAnsi="宋体" w:cs="宋体"/>
                <w:kern w:val="0"/>
                <w:szCs w:val="21"/>
                <w:highlight w:val="none"/>
              </w:rPr>
            </w:pPr>
            <w:r>
              <w:rPr>
                <w:rFonts w:hint="eastAsia"/>
                <w:highlight w:val="none"/>
                <w:lang w:val="zh-CN"/>
              </w:rPr>
              <w:t>开发运营商数据对接接口，对接获取对接运营商的新开卡、销卡数据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4962" w:type="dxa"/>
            <w:gridSpan w:val="4"/>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与基层治理四平台对接接口</w:t>
            </w:r>
          </w:p>
        </w:tc>
        <w:tc>
          <w:tcPr>
            <w:tcW w:w="4110" w:type="dxa"/>
            <w:noWrap w:val="0"/>
            <w:vAlign w:val="center"/>
          </w:tcPr>
          <w:p>
            <w:pPr>
              <w:widowControl/>
              <w:jc w:val="left"/>
              <w:rPr>
                <w:rFonts w:ascii="宋体" w:hAnsi="宋体" w:cs="宋体"/>
                <w:kern w:val="0"/>
                <w:szCs w:val="21"/>
                <w:highlight w:val="none"/>
              </w:rPr>
            </w:pPr>
            <w:r>
              <w:rPr>
                <w:rFonts w:hint="eastAsia"/>
                <w:highlight w:val="none"/>
              </w:rPr>
              <w:t>与基层治理四平台交互对接，通过开发涉诈线索数据接口，接收涉诈线索数据，开发预警推送接口，推送低危预警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4962" w:type="dxa"/>
            <w:gridSpan w:val="4"/>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与宁波市公安局反诈宣传超市对接接口</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集成对接</w:t>
            </w:r>
            <w:r>
              <w:rPr>
                <w:rFonts w:hint="eastAsia"/>
                <w:highlight w:val="none"/>
              </w:rPr>
              <w:t>反诈宣传超市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47" w:type="dxa"/>
            <w:gridSpan w:val="6"/>
            <w:noWrap w:val="0"/>
            <w:vAlign w:val="center"/>
          </w:tcPr>
          <w:p>
            <w:pPr>
              <w:widowControl/>
              <w:jc w:val="left"/>
              <w:rPr>
                <w:rFonts w:ascii="宋体" w:hAnsi="宋体" w:cs="宋体"/>
                <w:kern w:val="0"/>
                <w:szCs w:val="21"/>
                <w:highlight w:val="none"/>
              </w:rPr>
            </w:pPr>
            <w:r>
              <w:rPr>
                <w:rFonts w:hint="eastAsia" w:ascii="宋体" w:hAnsi="宋体" w:cs="宋体"/>
                <w:b/>
                <w:bCs/>
                <w:kern w:val="0"/>
                <w:szCs w:val="21"/>
                <w:highlight w:val="none"/>
              </w:rPr>
              <w:t>七、信息资源建设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418"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数据库设计</w:t>
            </w: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原始库</w:t>
            </w:r>
          </w:p>
        </w:tc>
        <w:tc>
          <w:tcPr>
            <w:tcW w:w="4110" w:type="dxa"/>
            <w:noWrap w:val="0"/>
            <w:vAlign w:val="center"/>
          </w:tcPr>
          <w:p>
            <w:pPr>
              <w:widowControl/>
              <w:jc w:val="left"/>
              <w:rPr>
                <w:rFonts w:ascii="宋体" w:hAnsi="宋体" w:cs="宋体"/>
                <w:kern w:val="0"/>
                <w:szCs w:val="21"/>
                <w:highlight w:val="none"/>
              </w:rPr>
            </w:pPr>
            <w:r>
              <w:rPr>
                <w:rFonts w:hint="eastAsia"/>
                <w:highlight w:val="none"/>
              </w:rPr>
              <w:t>汇聚整合互联网96110全民反诈应用、政务网协同共享、公安内网预警研判及业务警种各类数据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标准库</w:t>
            </w:r>
          </w:p>
        </w:tc>
        <w:tc>
          <w:tcPr>
            <w:tcW w:w="4110" w:type="dxa"/>
            <w:noWrap w:val="0"/>
            <w:vAlign w:val="center"/>
          </w:tcPr>
          <w:p>
            <w:pPr>
              <w:widowControl/>
              <w:jc w:val="left"/>
              <w:rPr>
                <w:rFonts w:ascii="宋体" w:hAnsi="宋体" w:cs="宋体"/>
                <w:kern w:val="0"/>
                <w:szCs w:val="21"/>
                <w:highlight w:val="none"/>
              </w:rPr>
            </w:pPr>
            <w:r>
              <w:rPr>
                <w:rFonts w:hint="eastAsia"/>
                <w:highlight w:val="none"/>
              </w:rPr>
              <w:t>采用MPP大规模并行处理存储，在原始库基础上补充对各种来源数据进行清洗、转换等一系列处理加工后产生的标准化数据。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资源共享库</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建立政务网与公安网之间数据协同共享的各类资源共享库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涉诈专题库</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基于反电诈业务需求和模型规则下，整合不同来源、不同类型的涉诈信息资源，建立涉诈专题库。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业务索引库</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基于在线分布式全文搜索技术，从专题库中抽取索引，同步存储到涉诈业务索引库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1418"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数据采集</w:t>
            </w: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政务网数据采集管理</w:t>
            </w:r>
          </w:p>
        </w:tc>
        <w:tc>
          <w:tcPr>
            <w:tcW w:w="4110" w:type="dxa"/>
            <w:noWrap w:val="0"/>
            <w:vAlign w:val="center"/>
          </w:tcPr>
          <w:p>
            <w:pPr>
              <w:widowControl/>
              <w:jc w:val="left"/>
              <w:rPr>
                <w:rFonts w:ascii="宋体" w:hAnsi="宋体" w:cs="宋体"/>
                <w:kern w:val="0"/>
                <w:szCs w:val="21"/>
                <w:highlight w:val="none"/>
              </w:rPr>
            </w:pPr>
            <w:r>
              <w:rPr>
                <w:rFonts w:hint="eastAsia"/>
                <w:highlight w:val="none"/>
              </w:rPr>
              <w:t>通过在政务网搭建政务数据接入管理模块，通过数据资源调研详细记录政务网涉诈各类数据表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公安网数据采集管理</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在公安网构建标准化数据接入管理模块，梳理互联网、政务网、公安网内网统，将各类来源数据按照业务规则整合到数据资源库，数据接入支持公安内外各类数据源接入。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数据探查</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对在线可访问数据资源库，通过数据探查详细了解各数据资源中数据表内容详情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数据同步</w:t>
            </w:r>
          </w:p>
        </w:tc>
        <w:tc>
          <w:tcPr>
            <w:tcW w:w="4110" w:type="dxa"/>
            <w:noWrap w:val="0"/>
            <w:vAlign w:val="center"/>
          </w:tcPr>
          <w:p>
            <w:pPr>
              <w:widowControl/>
              <w:jc w:val="left"/>
              <w:rPr>
                <w:rFonts w:ascii="宋体" w:hAnsi="宋体" w:cs="宋体"/>
                <w:kern w:val="0"/>
                <w:szCs w:val="21"/>
                <w:highlight w:val="none"/>
              </w:rPr>
            </w:pPr>
            <w:r>
              <w:rPr>
                <w:rFonts w:hint="eastAsia"/>
                <w:highlight w:val="none"/>
              </w:rPr>
              <w:t>提供多渠道数据同步接入能力，能够对接各种数据源，能够支持对数据进行实时/流式/批量/文件线持续的同步，并能够对数据同步进行细粒度多周期的调度、更新和管理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数据对账</w:t>
            </w:r>
          </w:p>
        </w:tc>
        <w:tc>
          <w:tcPr>
            <w:tcW w:w="4110" w:type="dxa"/>
            <w:noWrap w:val="0"/>
            <w:vAlign w:val="center"/>
          </w:tcPr>
          <w:p>
            <w:pPr>
              <w:widowControl/>
              <w:jc w:val="left"/>
              <w:rPr>
                <w:rFonts w:ascii="宋体" w:hAnsi="宋体" w:cs="宋体"/>
                <w:kern w:val="0"/>
                <w:szCs w:val="21"/>
                <w:highlight w:val="none"/>
              </w:rPr>
            </w:pPr>
            <w:r>
              <w:rPr>
                <w:rFonts w:hint="eastAsia"/>
                <w:highlight w:val="none"/>
              </w:rPr>
              <w:t>对不同种类的数据进行针对性的数据量校验、输出数据对账结果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同步任务集群</w:t>
            </w:r>
          </w:p>
        </w:tc>
        <w:tc>
          <w:tcPr>
            <w:tcW w:w="4110" w:type="dxa"/>
            <w:noWrap w:val="0"/>
            <w:vAlign w:val="center"/>
          </w:tcPr>
          <w:p>
            <w:pPr>
              <w:widowControl/>
              <w:jc w:val="left"/>
              <w:rPr>
                <w:rFonts w:ascii="宋体" w:hAnsi="宋体" w:cs="宋体"/>
                <w:kern w:val="0"/>
                <w:szCs w:val="21"/>
                <w:highlight w:val="none"/>
              </w:rPr>
            </w:pPr>
            <w:r>
              <w:rPr>
                <w:rFonts w:hint="eastAsia"/>
                <w:highlight w:val="none"/>
              </w:rPr>
              <w:t>管理数据汇聚分布式集群信息，实时展示集群健康状况、任务分配以及运行情况，支撑整个平台作业调度、任务调度、以及数据监控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数据任务调度</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对数据常规任务</w:t>
            </w:r>
            <w:r>
              <w:rPr>
                <w:rFonts w:hint="eastAsia" w:ascii="宋体" w:hAnsi="宋体" w:cs="宋体"/>
                <w:kern w:val="0"/>
                <w:szCs w:val="21"/>
                <w:highlight w:val="none"/>
              </w:rPr>
              <w:t>、</w:t>
            </w:r>
            <w:r>
              <w:rPr>
                <w:rFonts w:ascii="宋体" w:hAnsi="宋体" w:cs="宋体"/>
                <w:kern w:val="0"/>
                <w:szCs w:val="21"/>
                <w:highlight w:val="none"/>
              </w:rPr>
              <w:t>监控任务</w:t>
            </w:r>
            <w:r>
              <w:rPr>
                <w:rFonts w:hint="eastAsia" w:ascii="宋体" w:hAnsi="宋体" w:cs="宋体"/>
                <w:kern w:val="0"/>
                <w:szCs w:val="21"/>
                <w:highlight w:val="none"/>
              </w:rPr>
              <w:t>、</w:t>
            </w:r>
            <w:r>
              <w:rPr>
                <w:rFonts w:ascii="宋体" w:hAnsi="宋体" w:cs="宋体"/>
                <w:kern w:val="0"/>
                <w:szCs w:val="21"/>
                <w:highlight w:val="none"/>
              </w:rPr>
              <w:t>同步任务</w:t>
            </w:r>
            <w:r>
              <w:rPr>
                <w:rFonts w:hint="eastAsia"/>
                <w:highlight w:val="none"/>
              </w:rPr>
              <w:t>按照策略进行数据任务调度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安全数据交换</w:t>
            </w:r>
          </w:p>
        </w:tc>
        <w:tc>
          <w:tcPr>
            <w:tcW w:w="4110" w:type="dxa"/>
            <w:noWrap w:val="0"/>
            <w:vAlign w:val="center"/>
          </w:tcPr>
          <w:p>
            <w:pPr>
              <w:widowControl/>
              <w:jc w:val="left"/>
              <w:rPr>
                <w:rFonts w:ascii="宋体" w:hAnsi="宋体" w:cs="宋体"/>
                <w:kern w:val="0"/>
                <w:szCs w:val="21"/>
                <w:highlight w:val="none"/>
              </w:rPr>
            </w:pPr>
            <w:r>
              <w:rPr>
                <w:rFonts w:hint="eastAsia"/>
                <w:highlight w:val="none"/>
              </w:rPr>
              <w:t>政务网公众区的数据要近实时同步到资源区，在近实时同步到公安网。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1418" w:type="dxa"/>
            <w:gridSpan w:val="2"/>
            <w:vMerge w:val="restar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数据处理</w:t>
            </w: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数据清洗</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对汇聚标准库数据进行唯一性</w:t>
            </w:r>
            <w:r>
              <w:rPr>
                <w:rFonts w:hint="eastAsia" w:ascii="宋体" w:hAnsi="宋体" w:cs="宋体"/>
                <w:kern w:val="0"/>
                <w:szCs w:val="21"/>
                <w:highlight w:val="none"/>
              </w:rPr>
              <w:t>、错误</w:t>
            </w:r>
            <w:r>
              <w:rPr>
                <w:rFonts w:ascii="宋体" w:hAnsi="宋体" w:cs="宋体"/>
                <w:kern w:val="0"/>
                <w:szCs w:val="21"/>
                <w:highlight w:val="none"/>
              </w:rPr>
              <w:t>等清洗处理</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数据转换</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对汇聚标准库数据进行字段格式</w:t>
            </w:r>
            <w:r>
              <w:rPr>
                <w:rFonts w:hint="eastAsia" w:ascii="宋体" w:hAnsi="宋体" w:cs="宋体"/>
                <w:kern w:val="0"/>
                <w:szCs w:val="21"/>
                <w:highlight w:val="none"/>
              </w:rPr>
              <w:t>、代码转换</w:t>
            </w:r>
            <w:r>
              <w:rPr>
                <w:rFonts w:ascii="宋体" w:hAnsi="宋体" w:cs="宋体"/>
                <w:kern w:val="0"/>
                <w:szCs w:val="21"/>
                <w:highlight w:val="none"/>
              </w:rPr>
              <w:t>处理</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数据校验</w:t>
            </w:r>
          </w:p>
        </w:tc>
        <w:tc>
          <w:tcPr>
            <w:tcW w:w="4110" w:type="dxa"/>
            <w:noWrap w:val="0"/>
            <w:vAlign w:val="center"/>
          </w:tcPr>
          <w:p>
            <w:pPr>
              <w:widowControl/>
              <w:jc w:val="left"/>
              <w:rPr>
                <w:rFonts w:ascii="宋体" w:hAnsi="宋体" w:cs="宋体"/>
                <w:kern w:val="0"/>
                <w:szCs w:val="21"/>
                <w:highlight w:val="none"/>
              </w:rPr>
            </w:pPr>
            <w:r>
              <w:rPr>
                <w:rFonts w:ascii="宋体" w:hAnsi="宋体" w:cs="宋体"/>
                <w:kern w:val="0"/>
                <w:szCs w:val="21"/>
                <w:highlight w:val="none"/>
              </w:rPr>
              <w:t>对汇聚标准库数据进行字段格式</w:t>
            </w:r>
            <w:r>
              <w:rPr>
                <w:rFonts w:hint="eastAsia" w:ascii="宋体" w:hAnsi="宋体" w:cs="宋体"/>
                <w:kern w:val="0"/>
                <w:szCs w:val="21"/>
                <w:highlight w:val="none"/>
              </w:rPr>
              <w:t>、正则、日期格式等校验</w:t>
            </w:r>
            <w:r>
              <w:rPr>
                <w:rFonts w:ascii="宋体" w:hAnsi="宋体" w:cs="宋体"/>
                <w:kern w:val="0"/>
                <w:szCs w:val="21"/>
                <w:highlight w:val="none"/>
              </w:rPr>
              <w:t>处理</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1418" w:type="dxa"/>
            <w:gridSpan w:val="2"/>
            <w:vMerge w:val="continue"/>
            <w:noWrap w:val="0"/>
            <w:vAlign w:val="center"/>
          </w:tcPr>
          <w:p>
            <w:pPr>
              <w:widowControl/>
              <w:jc w:val="left"/>
              <w:rPr>
                <w:rFonts w:ascii="宋体" w:hAnsi="宋体" w:cs="宋体"/>
                <w:kern w:val="0"/>
                <w:szCs w:val="21"/>
                <w:highlight w:val="none"/>
              </w:rPr>
            </w:pPr>
          </w:p>
        </w:tc>
        <w:tc>
          <w:tcPr>
            <w:tcW w:w="3544" w:type="dxa"/>
            <w:gridSpan w:val="2"/>
            <w:noWrap/>
            <w:vAlign w:val="center"/>
          </w:tcPr>
          <w:p>
            <w:pPr>
              <w:widowControl/>
              <w:jc w:val="left"/>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处理任务编排</w:t>
            </w:r>
          </w:p>
        </w:tc>
        <w:tc>
          <w:tcPr>
            <w:tcW w:w="4110" w:type="dxa"/>
            <w:noWrap w:val="0"/>
            <w:vAlign w:val="center"/>
          </w:tcPr>
          <w:p>
            <w:pPr>
              <w:widowControl/>
              <w:jc w:val="left"/>
              <w:rPr>
                <w:rFonts w:ascii="宋体" w:hAnsi="宋体" w:cs="宋体"/>
                <w:kern w:val="0"/>
                <w:szCs w:val="21"/>
                <w:highlight w:val="none"/>
              </w:rPr>
            </w:pPr>
            <w:r>
              <w:rPr>
                <w:rFonts w:hint="eastAsia"/>
                <w:highlight w:val="none"/>
              </w:rPr>
              <w:t>提供图形化、可视化用户界面实现数据同步的编排，直观展示数据同步的处理流程、步骤和配置</w:t>
            </w:r>
          </w:p>
        </w:tc>
      </w:tr>
    </w:tbl>
    <w:p>
      <w:pPr>
        <w:widowControl/>
        <w:spacing w:line="360" w:lineRule="auto"/>
        <w:ind w:firstLine="420" w:firstLineChars="200"/>
        <w:rPr>
          <w:rFonts w:ascii="宋体" w:hAnsi="宋体" w:cs="宋体"/>
          <w:kern w:val="0"/>
          <w:szCs w:val="21"/>
          <w:highlight w:val="none"/>
        </w:rPr>
      </w:pPr>
    </w:p>
    <w:p>
      <w:pPr>
        <w:keepLines/>
        <w:spacing w:line="360" w:lineRule="auto"/>
        <w:ind w:left="420" w:leftChars="200"/>
        <w:rPr>
          <w:rFonts w:ascii="宋体" w:hAnsi="宋体" w:cs="宋体"/>
          <w:b/>
          <w:bCs/>
          <w:szCs w:val="21"/>
          <w:highlight w:val="none"/>
        </w:rPr>
      </w:pPr>
      <w:bookmarkStart w:id="72" w:name="_Toc83748046"/>
      <w:r>
        <w:rPr>
          <w:rFonts w:hint="eastAsia" w:ascii="宋体" w:hAnsi="宋体" w:cs="宋体"/>
          <w:b/>
          <w:bCs/>
          <w:szCs w:val="21"/>
          <w:highlight w:val="none"/>
        </w:rPr>
        <w:t>2.3软件技术要求</w:t>
      </w:r>
      <w:bookmarkEnd w:id="72"/>
    </w:p>
    <w:bookmarkEnd w:id="70"/>
    <w:p>
      <w:pPr>
        <w:widowControl/>
        <w:spacing w:line="360" w:lineRule="auto"/>
        <w:ind w:firstLine="420" w:firstLineChars="200"/>
        <w:rPr>
          <w:rFonts w:ascii="宋体" w:hAnsi="宋体" w:cs="宋体"/>
          <w:kern w:val="0"/>
          <w:szCs w:val="21"/>
          <w:highlight w:val="none"/>
        </w:rPr>
      </w:pPr>
      <w:bookmarkStart w:id="73" w:name="_Toc414259861"/>
      <w:bookmarkEnd w:id="73"/>
      <w:bookmarkStart w:id="74" w:name="_Toc414365422"/>
      <w:bookmarkEnd w:id="74"/>
      <w:bookmarkStart w:id="75" w:name="_Toc414259859"/>
      <w:bookmarkEnd w:id="75"/>
      <w:bookmarkStart w:id="76" w:name="_Toc414365424"/>
      <w:bookmarkEnd w:id="76"/>
      <w:bookmarkStart w:id="77" w:name="_Toc414259860"/>
      <w:bookmarkEnd w:id="77"/>
      <w:bookmarkStart w:id="78" w:name="_Toc414365423"/>
      <w:bookmarkEnd w:id="78"/>
      <w:bookmarkStart w:id="79" w:name="_Toc83748047"/>
      <w:r>
        <w:rPr>
          <w:rFonts w:hint="eastAsia" w:ascii="宋体" w:hAnsi="宋体" w:cs="宋体"/>
          <w:kern w:val="0"/>
          <w:szCs w:val="21"/>
          <w:highlight w:val="none"/>
        </w:rPr>
        <w:t>1、采用hadoop、Hbase、Hive等主流大数据基础组件，提供统一的数据接入、汇聚、处理与分析，实现不同类型、来源、种类数据的接收、存储、计算，确保在此过程中各类资源的弹性分配，实现治安大数据治理融合和挖掘应用。</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2、采用分布式并行计算技术，充分发话大数据计算集群的优势，在空间上使用分布式集群的多个处理器并发执行计算。</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3、利用ES分布式全文检索技术，实现预警数据分析、全维智控指标态势的在线分布式全文检索服务。</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4、采用数据挖掘技术，在反电诈智能分析预警模型、风险指标模型计算上，构建通用算法模型组件，为应用开发开放平台提供核心业务算法模型支撑。</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5、采用关联分析可视化技术，以图形化界面、流畅交互操作等形式将枯燥的数据分析变得生动，能够在很大程度上提高数据分析员的工作效率。</w:t>
      </w:r>
    </w:p>
    <w:p>
      <w:pPr>
        <w:keepLines/>
        <w:spacing w:line="360" w:lineRule="auto"/>
        <w:ind w:left="420" w:leftChars="200"/>
        <w:rPr>
          <w:rFonts w:ascii="宋体" w:hAnsi="宋体" w:cs="宋体"/>
          <w:b/>
          <w:bCs/>
          <w:kern w:val="44"/>
          <w:szCs w:val="21"/>
          <w:highlight w:val="none"/>
        </w:rPr>
      </w:pPr>
      <w:r>
        <w:rPr>
          <w:rFonts w:hint="eastAsia" w:ascii="宋体" w:hAnsi="宋体" w:cs="宋体"/>
          <w:b/>
          <w:bCs/>
          <w:kern w:val="44"/>
          <w:szCs w:val="21"/>
          <w:highlight w:val="none"/>
        </w:rPr>
        <w:t>三、项目实施要求</w:t>
      </w:r>
      <w:bookmarkEnd w:id="79"/>
    </w:p>
    <w:p>
      <w:pPr>
        <w:keepLines/>
        <w:numPr>
          <w:ilvl w:val="0"/>
          <w:numId w:val="9"/>
        </w:numPr>
        <w:spacing w:line="360" w:lineRule="auto"/>
        <w:ind w:left="0" w:firstLine="422" w:firstLineChars="200"/>
        <w:rPr>
          <w:rFonts w:ascii="宋体" w:hAnsi="宋体" w:cs="宋体"/>
          <w:b/>
          <w:bCs/>
          <w:vanish/>
          <w:szCs w:val="21"/>
          <w:highlight w:val="none"/>
        </w:rPr>
      </w:pPr>
      <w:bookmarkStart w:id="80" w:name="_Toc83748048"/>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3.1.建设工期要求</w:t>
      </w:r>
      <w:bookmarkEnd w:id="80"/>
    </w:p>
    <w:p>
      <w:pPr>
        <w:keepLines/>
        <w:spacing w:line="360" w:lineRule="auto"/>
        <w:ind w:firstLine="420" w:firstLineChars="200"/>
        <w:rPr>
          <w:rFonts w:ascii="宋体" w:hAnsi="宋体" w:cs="宋体"/>
          <w:kern w:val="0"/>
          <w:szCs w:val="21"/>
          <w:highlight w:val="none"/>
        </w:rPr>
      </w:pPr>
      <w:bookmarkStart w:id="81" w:name="_Toc83748049"/>
      <w:r>
        <w:rPr>
          <w:rFonts w:hint="eastAsia" w:ascii="宋体" w:hAnsi="宋体" w:cs="宋体"/>
          <w:kern w:val="0"/>
          <w:szCs w:val="21"/>
          <w:highlight w:val="none"/>
        </w:rPr>
        <w:t>本项目要求建设实施工期共为6个月，即合同签订日起3个月内完成系统要求功能的开发并投入试运行，试运行3个月后进行验收。</w:t>
      </w:r>
    </w:p>
    <w:p>
      <w:pPr>
        <w:keepLines/>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3.2.实施要求</w:t>
      </w:r>
      <w:bookmarkEnd w:id="81"/>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项目实施地点在宁波市公安局刑侦支队，项目开发期间需提供常驻人员3人及以上，其中要求项目负责人1人，开发人员至少2人。</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供应商应提供详细的项目建设实施方案,项目实施的保障措施和风险控制。</w:t>
      </w:r>
    </w:p>
    <w:p>
      <w:pPr>
        <w:keepLines/>
        <w:spacing w:line="360" w:lineRule="auto"/>
        <w:ind w:left="420" w:leftChars="200"/>
        <w:rPr>
          <w:rFonts w:ascii="宋体" w:hAnsi="宋体" w:cs="宋体"/>
          <w:b/>
          <w:bCs/>
          <w:szCs w:val="21"/>
          <w:highlight w:val="none"/>
        </w:rPr>
      </w:pPr>
      <w:bookmarkStart w:id="82" w:name="_Toc83748050"/>
      <w:r>
        <w:rPr>
          <w:rFonts w:hint="eastAsia" w:ascii="宋体" w:hAnsi="宋体" w:cs="宋体"/>
          <w:b/>
          <w:bCs/>
          <w:szCs w:val="21"/>
          <w:highlight w:val="none"/>
        </w:rPr>
        <w:t>3.3.服务要求</w:t>
      </w:r>
      <w:bookmarkEnd w:id="82"/>
    </w:p>
    <w:p>
      <w:pPr>
        <w:keepLines/>
        <w:spacing w:line="360" w:lineRule="auto"/>
        <w:ind w:left="420" w:leftChars="200"/>
        <w:rPr>
          <w:rFonts w:ascii="宋体" w:hAnsi="宋体" w:cs="宋体"/>
          <w:b/>
          <w:bCs/>
          <w:szCs w:val="21"/>
          <w:highlight w:val="none"/>
        </w:rPr>
      </w:pPr>
      <w:bookmarkStart w:id="83" w:name="_Toc83748051"/>
      <w:r>
        <w:rPr>
          <w:rFonts w:hint="eastAsia" w:ascii="宋体" w:hAnsi="宋体" w:cs="宋体"/>
          <w:b/>
          <w:bCs/>
          <w:szCs w:val="21"/>
          <w:highlight w:val="none"/>
        </w:rPr>
        <w:t>3.3.1.技术支持与售后服务</w:t>
      </w:r>
      <w:bookmarkEnd w:id="83"/>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系统运维期：3年内，自项目验收合格之日起计算。</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中标人应根据采购人的需求，对所提供的系统保证全面、有效、及时的技术支持和售后服务。</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1）在试运行期间，中标人应指定有经验的技术人员在现场负责系统的运行和维护， 若系统出现问题或故障，开发商应免费进行故障处理和软件更新。</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2）在质量保证期内，中标人应向招标方提供7*24 小时的服务响应，保证采购人可以随时找到相应的技术人员，如有必要， 要在3小时之内赶到现场予以技术支持。质量保证期从系统最终验收之日起开始计算。</w:t>
      </w:r>
    </w:p>
    <w:p>
      <w:pPr>
        <w:keepLines/>
        <w:spacing w:line="360" w:lineRule="auto"/>
        <w:ind w:left="420" w:leftChars="200"/>
        <w:rPr>
          <w:rFonts w:ascii="宋体" w:hAnsi="宋体" w:cs="宋体"/>
          <w:b/>
          <w:bCs/>
          <w:szCs w:val="21"/>
          <w:highlight w:val="none"/>
        </w:rPr>
      </w:pPr>
      <w:bookmarkStart w:id="84" w:name="_Toc83748052"/>
      <w:r>
        <w:rPr>
          <w:rFonts w:hint="eastAsia" w:ascii="宋体" w:hAnsi="宋体" w:cs="宋体"/>
          <w:b/>
          <w:bCs/>
          <w:szCs w:val="21"/>
          <w:highlight w:val="none"/>
        </w:rPr>
        <w:t>3.3.2.驻场维护服务</w:t>
      </w:r>
      <w:bookmarkEnd w:id="84"/>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1）中标人在项目建设期需提供驻场运维服务，协助采购人对平台进行维护，服务范围至少包括运维支持、软件升级、扩容支持、性能调优、技术咨询、各种突发事件的应急策略、数据备份等。</w:t>
      </w:r>
    </w:p>
    <w:p>
      <w:pPr>
        <w:widowControl/>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2）在免费维保期，中标人需安排至少2名在宁波项目实施地点常驻的维护人员进行软件系统维护，并提供常驻人员名单。</w:t>
      </w:r>
    </w:p>
    <w:p>
      <w:pPr>
        <w:widowControl/>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项目开发期间常驻人员驻场工作时间：一周5天，每天8小时，驻场工作期间人员的管理按照采购人《企事业单位参与公安机关信息化建设安全管理办法》执行。项目开发期间常驻人员未经采购人同意无故未到位扣罚500元／天。。</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4）重大活动或安保期间或其他采购人有需要的情况下，供应商需配合采购人按照相关要求，加大人力设备投入和现场技术支撑，未积极配合采购人开展重大活动、安保或其他采购人有需要的情况</w:t>
      </w:r>
      <w:r>
        <w:rPr>
          <w:rFonts w:hint="eastAsia" w:ascii="宋体" w:hAnsi="宋体" w:cs="宋体"/>
          <w:kern w:val="0"/>
          <w:szCs w:val="21"/>
          <w:highlight w:val="none"/>
          <w:lang w:eastAsia="zh-CN"/>
        </w:rPr>
        <w:t>，</w:t>
      </w:r>
      <w:r>
        <w:rPr>
          <w:rFonts w:hint="eastAsia" w:ascii="宋体" w:hAnsi="宋体" w:cs="宋体"/>
          <w:kern w:val="0"/>
          <w:szCs w:val="21"/>
          <w:highlight w:val="none"/>
        </w:rPr>
        <w:t>原则上于上述任一情况发生后</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供应商向采购人</w:t>
      </w:r>
      <w:r>
        <w:rPr>
          <w:rFonts w:hint="eastAsia" w:ascii="宋体" w:hAnsi="宋体" w:cs="宋体"/>
          <w:kern w:val="0"/>
          <w:szCs w:val="21"/>
          <w:highlight w:val="none"/>
        </w:rPr>
        <w:t>支付</w:t>
      </w:r>
      <w:r>
        <w:rPr>
          <w:rFonts w:hint="eastAsia" w:ascii="宋体" w:hAnsi="宋体" w:cs="宋体"/>
          <w:kern w:val="0"/>
          <w:szCs w:val="21"/>
          <w:highlight w:val="none"/>
          <w:lang w:val="en-US" w:eastAsia="zh-CN"/>
        </w:rPr>
        <w:t>合同价的</w:t>
      </w:r>
      <w:r>
        <w:rPr>
          <w:rFonts w:hint="eastAsia" w:ascii="宋体" w:hAnsi="宋体" w:cs="宋体"/>
          <w:kern w:val="0"/>
          <w:szCs w:val="21"/>
          <w:highlight w:val="none"/>
        </w:rPr>
        <w:t>百分之五作为违约金</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若</w:t>
      </w:r>
      <w:r>
        <w:rPr>
          <w:rFonts w:hint="eastAsia" w:ascii="宋体" w:hAnsi="宋体" w:cs="宋体"/>
          <w:kern w:val="0"/>
          <w:szCs w:val="21"/>
          <w:highlight w:val="none"/>
        </w:rPr>
        <w:t>造成严重无法挽回损失的，</w:t>
      </w:r>
      <w:r>
        <w:rPr>
          <w:rFonts w:hint="eastAsia" w:ascii="宋体" w:hAnsi="宋体" w:cs="宋体"/>
          <w:kern w:val="0"/>
          <w:szCs w:val="21"/>
          <w:highlight w:val="none"/>
          <w:lang w:val="en-US" w:eastAsia="zh-CN"/>
        </w:rPr>
        <w:t>采购人有权</w:t>
      </w:r>
      <w:r>
        <w:rPr>
          <w:rFonts w:hint="eastAsia" w:ascii="宋体" w:hAnsi="宋体" w:cs="宋体"/>
          <w:kern w:val="0"/>
          <w:szCs w:val="21"/>
          <w:highlight w:val="none"/>
        </w:rPr>
        <w:t>予以解除</w:t>
      </w:r>
      <w:r>
        <w:rPr>
          <w:rFonts w:hint="eastAsia" w:ascii="宋体" w:hAnsi="宋体" w:cs="宋体"/>
          <w:kern w:val="0"/>
          <w:szCs w:val="21"/>
          <w:highlight w:val="none"/>
          <w:lang w:val="en-US" w:eastAsia="zh-CN"/>
        </w:rPr>
        <w:t>合同</w:t>
      </w:r>
      <w:r>
        <w:rPr>
          <w:rFonts w:hint="eastAsia" w:ascii="宋体" w:hAnsi="宋体" w:cs="宋体"/>
          <w:kern w:val="0"/>
          <w:szCs w:val="21"/>
          <w:highlight w:val="none"/>
        </w:rPr>
        <w:t>，扣没履约保证金。。</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3.3.3.质量管理要求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达到《宁波市政务信息化项目建设管理办法》（甬政办发2020[59]号）关于竣工验收的有关管理要求。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本项目须通过三级等保要求的信息安全等级保护测评，测评费用由采购人承担。</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3.3.4.变更管理要求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项目建设过程中要严格执行《宁波市政务信息化项目建设管理办法》等相关规定，严格按照批复方案实施建设内容</w:t>
      </w:r>
    </w:p>
    <w:p>
      <w:pPr>
        <w:keepLines/>
        <w:spacing w:line="360" w:lineRule="auto"/>
        <w:ind w:left="420" w:leftChars="200"/>
        <w:rPr>
          <w:rFonts w:ascii="宋体" w:hAnsi="宋体" w:cs="宋体"/>
          <w:b/>
          <w:bCs/>
          <w:szCs w:val="21"/>
          <w:highlight w:val="none"/>
        </w:rPr>
      </w:pPr>
      <w:bookmarkStart w:id="85" w:name="_Toc83748053"/>
      <w:r>
        <w:rPr>
          <w:rFonts w:hint="eastAsia" w:ascii="宋体" w:hAnsi="宋体" w:cs="宋体"/>
          <w:b/>
          <w:bCs/>
          <w:szCs w:val="21"/>
          <w:highlight w:val="none"/>
        </w:rPr>
        <w:t>3.3.5.培训要求</w:t>
      </w:r>
      <w:bookmarkEnd w:id="85"/>
    </w:p>
    <w:p>
      <w:pPr>
        <w:widowControl/>
        <w:spacing w:line="360" w:lineRule="auto"/>
        <w:ind w:firstLine="420" w:firstLineChars="200"/>
        <w:rPr>
          <w:rFonts w:ascii="宋体" w:hAnsi="宋体" w:cs="宋体"/>
          <w:kern w:val="0"/>
          <w:szCs w:val="21"/>
          <w:highlight w:val="none"/>
        </w:rPr>
      </w:pPr>
      <w:bookmarkStart w:id="86" w:name="_Hlk86765834"/>
      <w:r>
        <w:rPr>
          <w:rFonts w:hint="eastAsia" w:ascii="宋体" w:hAnsi="宋体" w:cs="宋体"/>
          <w:kern w:val="0"/>
          <w:szCs w:val="21"/>
          <w:highlight w:val="none"/>
        </w:rPr>
        <w:t>供应商应详细制定人员培训方案，培训方案应包括培训目的、培训内容、培训时间安排、培训方式等。培训分为现场培训和分层次培训，现场培训不少于1次，培训对象为系统使用人员，培训地点为甲方指定地点；分层次培训不少于1次，分层次培训的对象为系统管理、软件维护以及其他使用人员。具体培训人数和培训时长以采购人确认为准。培训费用包含在项目实施费用中，由中标单位承担。</w:t>
      </w:r>
    </w:p>
    <w:bookmarkEnd w:id="86"/>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3.3.6.付款方式</w:t>
      </w:r>
    </w:p>
    <w:p>
      <w:pPr>
        <w:keepLines/>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付款方式：</w:t>
      </w:r>
      <w:bookmarkEnd w:id="62"/>
      <w:bookmarkEnd w:id="63"/>
      <w:bookmarkEnd w:id="64"/>
      <w:bookmarkEnd w:id="65"/>
      <w:bookmarkEnd w:id="66"/>
      <w:bookmarkEnd w:id="67"/>
      <w:bookmarkEnd w:id="68"/>
      <w:r>
        <w:rPr>
          <w:rFonts w:hint="eastAsia" w:ascii="宋体" w:hAnsi="宋体" w:cs="宋体"/>
          <w:szCs w:val="21"/>
          <w:highlight w:val="none"/>
        </w:rPr>
        <w:t>合同签订且甲方收到乙方发票后，7个工作日内甲方向乙方支付合同金额255.85万元；项目初验合格后，进入试运行阶段，试运行周期3个月；试运行结束遗留问题得到解决，且通过甲方组织的项目最终验收后，凭有效发票甲方向乙方支付至合同总价100%。</w:t>
      </w:r>
    </w:p>
    <w:p>
      <w:pPr>
        <w:keepLines/>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注：付款前成交单位需提供有效的等额发票。</w:t>
      </w:r>
    </w:p>
    <w:p>
      <w:pPr>
        <w:keepLines/>
        <w:spacing w:line="360" w:lineRule="auto"/>
        <w:ind w:left="420" w:leftChars="200"/>
        <w:rPr>
          <w:rFonts w:ascii="宋体" w:hAnsi="宋体" w:cs="宋体"/>
          <w:b/>
          <w:bCs/>
          <w:szCs w:val="21"/>
          <w:highlight w:val="none"/>
        </w:rPr>
      </w:pPr>
      <w:r>
        <w:rPr>
          <w:rFonts w:hint="eastAsia" w:ascii="宋体" w:hAnsi="宋体" w:cs="宋体"/>
          <w:b/>
          <w:bCs/>
          <w:szCs w:val="21"/>
          <w:highlight w:val="none"/>
        </w:rPr>
        <w:t>3.3.7.安全保密要求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中标人在合同签订前需与采购人签订项目保密协议。</w:t>
      </w:r>
    </w:p>
    <w:p>
      <w:pPr>
        <w:keepLines/>
        <w:spacing w:line="360" w:lineRule="auto"/>
        <w:ind w:left="420" w:leftChars="200"/>
        <w:rPr>
          <w:rFonts w:ascii="宋体" w:hAnsi="宋体" w:cs="宋体"/>
          <w:b/>
          <w:bCs/>
          <w:szCs w:val="21"/>
          <w:highlight w:val="none"/>
        </w:rPr>
      </w:pPr>
      <w:bookmarkStart w:id="87" w:name="_Toc83748055"/>
      <w:r>
        <w:rPr>
          <w:rFonts w:hint="eastAsia" w:ascii="宋体" w:hAnsi="宋体" w:cs="宋体"/>
          <w:b/>
          <w:bCs/>
          <w:szCs w:val="21"/>
          <w:highlight w:val="none"/>
        </w:rPr>
        <w:t>3.3.8.验收要求</w:t>
      </w:r>
      <w:bookmarkEnd w:id="87"/>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按照《宁波市政府采购履约验收管理办法》的要求，结合国家有关部门最新颁布的相应标准和规范为准</w:t>
      </w:r>
      <w:r>
        <w:rPr>
          <w:rFonts w:hint="eastAsia" w:ascii="宋体" w:hAnsi="宋体" w:cs="宋体"/>
          <w:kern w:val="0"/>
          <w:szCs w:val="21"/>
          <w:highlight w:val="none"/>
          <w:lang w:eastAsia="zh-CN"/>
        </w:rPr>
        <w:t>。</w:t>
      </w:r>
      <w:r>
        <w:rPr>
          <w:rFonts w:hint="eastAsia" w:ascii="宋体" w:hAnsi="宋体" w:cs="宋体"/>
          <w:kern w:val="0"/>
          <w:szCs w:val="21"/>
          <w:highlight w:val="none"/>
        </w:rPr>
        <w:t>验收内容按照采购文件规定的技术、服务等要求由采购人组织对中标人履约的验收，并出具《政府采购项目验收单》。</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本项目采购软件系统试运行完成后，采购人将组织进行验收，中标人配合采购人验收时间。验收以实测为主（满足招标开发需求）、主观评价为辅。</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中标人在系统验收前向采购方提出系统验收申请。系统验收由采购人组织。</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（1）交付成果要求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中标人在工程实施开始和结束时应向用户提供下述技术文档：</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代码：</w:t>
      </w:r>
      <w:bookmarkStart w:id="88" w:name="_Hlk85790865"/>
      <w:r>
        <w:rPr>
          <w:rFonts w:hint="eastAsia" w:ascii="宋体" w:hAnsi="宋体" w:cs="宋体"/>
          <w:kern w:val="0"/>
          <w:szCs w:val="21"/>
          <w:highlight w:val="none"/>
        </w:rPr>
        <w:t>所有开发软件的程序源代码、开发环境和可执行文件等项目成果以光盘形式提交。</w:t>
      </w:r>
      <w:bookmarkEnd w:id="88"/>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技术文件: 设备和软件设计、安装、使用、测试的技术文件。</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安装部署：中标人应提供一个配置方案，包括配置清单，以及所提供软件、设备的安装手册。</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测试文档：中标人应提供针对该项目特点的测试方案，并提供相应的测试用例、测试报告。</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验收文档：验收时收集各项验收数据，汇总成册，并对所集成系统进行综合评估。</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（2）验收要求</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项目验收材料齐全，符合验收要求；项目按照立项批复、招标文件和合同约定完成了建设内容；项目经过测试和试运行，功能满足实际需求，达到建设预期目标；通过三级等保要求的信息安全等级保护测评。</w:t>
      </w:r>
    </w:p>
    <w:p>
      <w:pPr>
        <w:keepLines/>
        <w:spacing w:line="360" w:lineRule="auto"/>
        <w:ind w:left="420" w:leftChars="200"/>
        <w:rPr>
          <w:rFonts w:ascii="宋体" w:hAnsi="宋体" w:cs="宋体"/>
          <w:b/>
          <w:bCs/>
          <w:szCs w:val="21"/>
          <w:highlight w:val="none"/>
        </w:rPr>
      </w:pPr>
      <w:bookmarkStart w:id="89" w:name="_Toc83748056"/>
      <w:r>
        <w:rPr>
          <w:rFonts w:hint="eastAsia" w:ascii="宋体" w:hAnsi="宋体" w:cs="宋体"/>
          <w:b/>
          <w:bCs/>
          <w:szCs w:val="21"/>
          <w:highlight w:val="none"/>
        </w:rPr>
        <w:t>3.4.知识产权</w:t>
      </w:r>
      <w:bookmarkEnd w:id="89"/>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3.4.1.本项目所有权知识产权归采购方所有。</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3.4.2.涉及的源代码必须遵循相关标准和规范，并无条件提交给采购方。</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3.4.3.涉及接口的必须遵循相关标准和规范，向下部署的，必须无条件开放所有接口且满足国家共享相关规定要求，项目承建单位（施工单位、实施单位）有义务配合采购方做好有关信息共享工作。</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3.4.4.本项目在开发、使用和维护过程中接触到的采购方所有资料，未经采购方授权代表书面许可，不得留存、私自查阅及向任何第三方泄露。</w:t>
      </w:r>
    </w:p>
    <w:p>
      <w:pPr>
        <w:widowControl/>
        <w:spacing w:line="360" w:lineRule="auto"/>
        <w:ind w:firstLine="420" w:firstLineChars="200"/>
        <w:rPr>
          <w:rFonts w:hint="eastAsia"/>
          <w:b/>
          <w:bCs/>
          <w:highlight w:val="none"/>
        </w:rPr>
      </w:pPr>
      <w:r>
        <w:rPr>
          <w:rFonts w:hint="eastAsia" w:ascii="宋体" w:hAnsi="宋体" w:cs="宋体"/>
          <w:kern w:val="0"/>
          <w:szCs w:val="21"/>
          <w:highlight w:val="none"/>
        </w:rPr>
        <w:t>3.4.5.本项目的设计开发专利申请权、技术秘密的使用权和转让权归采购方所有。</w:t>
      </w:r>
    </w:p>
    <w:p>
      <w:pPr>
        <w:spacing w:line="560" w:lineRule="exact"/>
        <w:rPr>
          <w:rFonts w:hint="eastAsia" w:ascii="宋体" w:hAnsi="宋体"/>
          <w:szCs w:val="21"/>
          <w:highlight w:val="none"/>
        </w:rPr>
      </w:pPr>
    </w:p>
    <w:p>
      <w:pPr>
        <w:spacing w:line="560" w:lineRule="exact"/>
        <w:ind w:firstLine="420" w:firstLineChars="200"/>
        <w:rPr>
          <w:rFonts w:ascii="宋体" w:hAnsi="宋体"/>
          <w:i/>
          <w:szCs w:val="21"/>
          <w:highlight w:val="none"/>
        </w:rPr>
        <w:sectPr>
          <w:headerReference r:id="rId12" w:type="default"/>
          <w:pgSz w:w="11907" w:h="16840"/>
          <w:pgMar w:top="1304" w:right="1588" w:bottom="1304" w:left="1588" w:header="720" w:footer="720" w:gutter="0"/>
          <w:cols w:space="720" w:num="1"/>
        </w:sectPr>
      </w:pPr>
    </w:p>
    <w:p>
      <w:pPr>
        <w:pStyle w:val="5"/>
        <w:spacing w:line="360" w:lineRule="auto"/>
        <w:rPr>
          <w:rFonts w:hAnsi="宋体"/>
          <w:sz w:val="44"/>
          <w:szCs w:val="48"/>
          <w:highlight w:val="none"/>
        </w:rPr>
      </w:pPr>
      <w:bookmarkStart w:id="90" w:name="_Toc16183"/>
      <w:r>
        <w:rPr>
          <w:rFonts w:hAnsi="宋体"/>
          <w:sz w:val="44"/>
          <w:szCs w:val="48"/>
          <w:highlight w:val="none"/>
        </w:rPr>
        <w:t>第</w:t>
      </w:r>
      <w:r>
        <w:rPr>
          <w:rFonts w:hint="eastAsia" w:hAnsi="宋体"/>
          <w:sz w:val="44"/>
          <w:szCs w:val="48"/>
          <w:highlight w:val="none"/>
        </w:rPr>
        <w:t>六</w:t>
      </w:r>
      <w:r>
        <w:rPr>
          <w:rFonts w:hAnsi="宋体"/>
          <w:sz w:val="44"/>
          <w:szCs w:val="48"/>
          <w:highlight w:val="none"/>
        </w:rPr>
        <w:t xml:space="preserve">章  </w:t>
      </w:r>
      <w:bookmarkEnd w:id="57"/>
      <w:bookmarkEnd w:id="58"/>
      <w:bookmarkEnd w:id="59"/>
      <w:bookmarkEnd w:id="60"/>
      <w:bookmarkEnd w:id="61"/>
      <w:r>
        <w:rPr>
          <w:rFonts w:hint="eastAsia" w:hAnsi="宋体"/>
          <w:sz w:val="44"/>
          <w:szCs w:val="48"/>
          <w:highlight w:val="none"/>
        </w:rPr>
        <w:t>评定成交的标准</w:t>
      </w:r>
      <w:bookmarkEnd w:id="69"/>
      <w:bookmarkEnd w:id="90"/>
    </w:p>
    <w:p>
      <w:pPr>
        <w:wordWrap w:val="0"/>
        <w:spacing w:line="360" w:lineRule="auto"/>
        <w:jc w:val="left"/>
        <w:rPr>
          <w:b/>
          <w:szCs w:val="21"/>
          <w:highlight w:val="none"/>
        </w:rPr>
      </w:pPr>
      <w:bookmarkStart w:id="91" w:name="_Toc248658108"/>
      <w:bookmarkStart w:id="92" w:name="_Toc264102862"/>
      <w:bookmarkStart w:id="93" w:name="_Toc287256969"/>
      <w:bookmarkStart w:id="94" w:name="_Toc228354279"/>
      <w:r>
        <w:rPr>
          <w:b/>
          <w:szCs w:val="21"/>
          <w:highlight w:val="none"/>
        </w:rPr>
        <w:t>一、评标办法</w:t>
      </w:r>
    </w:p>
    <w:p>
      <w:pPr>
        <w:wordWrap w:val="0"/>
        <w:spacing w:line="360" w:lineRule="auto"/>
        <w:ind w:firstLine="420" w:firstLineChars="200"/>
        <w:jc w:val="left"/>
        <w:rPr>
          <w:szCs w:val="21"/>
          <w:highlight w:val="none"/>
        </w:rPr>
      </w:pPr>
      <w:r>
        <w:rPr>
          <w:rFonts w:hint="eastAsia"/>
          <w:szCs w:val="21"/>
          <w:highlight w:val="none"/>
        </w:rPr>
        <w:t>1.</w:t>
      </w:r>
      <w:r>
        <w:rPr>
          <w:szCs w:val="21"/>
          <w:highlight w:val="none"/>
        </w:rPr>
        <w:t>本项目评标采用综合评分法。</w:t>
      </w:r>
    </w:p>
    <w:p>
      <w:pPr>
        <w:wordWrap w:val="0"/>
        <w:spacing w:line="360" w:lineRule="auto"/>
        <w:ind w:firstLine="420" w:firstLineChars="200"/>
        <w:jc w:val="left"/>
        <w:rPr>
          <w:b/>
          <w:szCs w:val="21"/>
          <w:highlight w:val="none"/>
        </w:rPr>
      </w:pPr>
      <w:r>
        <w:rPr>
          <w:rFonts w:hint="eastAsia"/>
          <w:szCs w:val="21"/>
          <w:highlight w:val="none"/>
        </w:rPr>
        <w:t>2.</w:t>
      </w:r>
      <w:r>
        <w:rPr>
          <w:szCs w:val="21"/>
          <w:highlight w:val="none"/>
        </w:rPr>
        <w:t>综合评分法：采用百分制，总分100分。供应商的综合得分为商务技术得分与报价得分之和。按综合得分由高到低的排序，推荐中标候选人。</w:t>
      </w:r>
      <w:r>
        <w:rPr>
          <w:b/>
          <w:szCs w:val="21"/>
          <w:highlight w:val="none"/>
        </w:rPr>
        <w:t>若供应商的综合得分相等，</w:t>
      </w:r>
      <w:r>
        <w:rPr>
          <w:rFonts w:hint="eastAsia"/>
          <w:b/>
          <w:szCs w:val="21"/>
          <w:highlight w:val="none"/>
        </w:rPr>
        <w:t>则商务技术得分高者列前。若商务技术分相同，</w:t>
      </w:r>
      <w:r>
        <w:rPr>
          <w:b/>
          <w:szCs w:val="21"/>
          <w:highlight w:val="none"/>
        </w:rPr>
        <w:t>则投标报价低者列前。若投标报价也相同时，则采取随机抽签的方式确定排序。</w:t>
      </w:r>
    </w:p>
    <w:p>
      <w:pPr>
        <w:wordWrap w:val="0"/>
        <w:spacing w:line="360" w:lineRule="auto"/>
        <w:ind w:firstLine="420" w:firstLineChars="200"/>
        <w:jc w:val="left"/>
        <w:rPr>
          <w:highlight w:val="none"/>
        </w:rPr>
      </w:pPr>
      <w:r>
        <w:rPr>
          <w:rFonts w:hint="eastAsia"/>
          <w:szCs w:val="21"/>
          <w:highlight w:val="none"/>
        </w:rPr>
        <w:t>3.</w:t>
      </w:r>
      <w:r>
        <w:rPr>
          <w:highlight w:val="none"/>
        </w:rPr>
        <w:t>本项目需要落实的政府采购政策：《关于促进残疾人就业政府采购政策的通知》（财库[2017]141号）、《</w:t>
      </w:r>
      <w:bookmarkStart w:id="95" w:name="OLE_LINK1"/>
      <w:r>
        <w:rPr>
          <w:highlight w:val="none"/>
        </w:rPr>
        <w:t>政府采购促进中小企业发展管理办法</w:t>
      </w:r>
      <w:bookmarkEnd w:id="95"/>
      <w:r>
        <w:rPr>
          <w:highlight w:val="none"/>
        </w:rPr>
        <w:t>》（财库〔2020〕46号）、《关于政府采购支持监狱企业发展有关问题的通知》（财库[2014]68号）、《浙江省财政厅关于进一步发挥政府采购政策功能全力推动经济稳进提质的通知》（浙财采监（2022）3号）</w:t>
      </w:r>
      <w:r>
        <w:rPr>
          <w:szCs w:val="21"/>
          <w:highlight w:val="none"/>
        </w:rPr>
        <w:t>，如有最新文件按最新文件要求执行</w:t>
      </w:r>
      <w:r>
        <w:rPr>
          <w:highlight w:val="none"/>
        </w:rPr>
        <w:t>。</w:t>
      </w:r>
    </w:p>
    <w:p>
      <w:pPr>
        <w:wordWrap w:val="0"/>
        <w:spacing w:line="360" w:lineRule="auto"/>
        <w:ind w:firstLine="420" w:firstLineChars="200"/>
        <w:jc w:val="left"/>
        <w:rPr>
          <w:rFonts w:hint="eastAsia"/>
          <w:szCs w:val="21"/>
          <w:highlight w:val="none"/>
        </w:rPr>
      </w:pPr>
      <w:r>
        <w:rPr>
          <w:rFonts w:hint="eastAsia"/>
          <w:szCs w:val="21"/>
          <w:highlight w:val="none"/>
        </w:rPr>
        <w:t>4.</w:t>
      </w:r>
      <w:r>
        <w:rPr>
          <w:szCs w:val="21"/>
          <w:highlight w:val="none"/>
        </w:rPr>
        <w:t>本次采购为专门面向中小企业</w:t>
      </w:r>
      <w:r>
        <w:rPr>
          <w:rFonts w:hint="eastAsia"/>
          <w:szCs w:val="21"/>
          <w:highlight w:val="none"/>
        </w:rPr>
        <w:t>。</w:t>
      </w:r>
    </w:p>
    <w:p>
      <w:pPr>
        <w:wordWrap w:val="0"/>
        <w:spacing w:line="360" w:lineRule="auto"/>
        <w:ind w:firstLine="420" w:firstLineChars="200"/>
        <w:jc w:val="left"/>
        <w:rPr>
          <w:szCs w:val="21"/>
          <w:highlight w:val="none"/>
        </w:rPr>
      </w:pPr>
      <w:r>
        <w:rPr>
          <w:rFonts w:hint="eastAsia"/>
          <w:szCs w:val="21"/>
          <w:highlight w:val="none"/>
        </w:rPr>
        <w:t>5.</w:t>
      </w:r>
      <w:r>
        <w:rPr>
          <w:szCs w:val="21"/>
          <w:highlight w:val="none"/>
        </w:rPr>
        <w:t>评标委员会成员对需要共同认定的事项存在争议的，应当按照少数服从多数的原则作出结论</w:t>
      </w:r>
      <w:r>
        <w:rPr>
          <w:rFonts w:hint="eastAsia"/>
          <w:szCs w:val="21"/>
          <w:highlight w:val="none"/>
        </w:rPr>
        <w:t>，并且持不同意见的评标委员会成员应当在评标报告上签署不同意见及理由。</w:t>
      </w:r>
    </w:p>
    <w:p>
      <w:pPr>
        <w:wordWrap w:val="0"/>
        <w:spacing w:line="360" w:lineRule="auto"/>
        <w:jc w:val="left"/>
        <w:rPr>
          <w:b/>
          <w:bCs/>
          <w:szCs w:val="21"/>
          <w:highlight w:val="none"/>
        </w:rPr>
      </w:pPr>
      <w:r>
        <w:rPr>
          <w:szCs w:val="21"/>
          <w:highlight w:val="none"/>
        </w:rPr>
        <w:t>二、</w:t>
      </w:r>
      <w:r>
        <w:rPr>
          <w:b/>
          <w:bCs/>
          <w:szCs w:val="21"/>
          <w:highlight w:val="none"/>
        </w:rPr>
        <w:t>评标程序</w:t>
      </w:r>
    </w:p>
    <w:p>
      <w:pPr>
        <w:wordWrap w:val="0"/>
        <w:spacing w:line="360" w:lineRule="auto"/>
        <w:ind w:firstLine="420" w:firstLineChars="200"/>
        <w:rPr>
          <w:b/>
          <w:szCs w:val="21"/>
          <w:highlight w:val="none"/>
        </w:rPr>
      </w:pPr>
      <w:r>
        <w:rPr>
          <w:rFonts w:hint="eastAsia"/>
          <w:szCs w:val="21"/>
          <w:highlight w:val="none"/>
        </w:rPr>
        <w:t>1.</w:t>
      </w:r>
      <w:r>
        <w:rPr>
          <w:szCs w:val="21"/>
          <w:highlight w:val="none"/>
        </w:rPr>
        <w:t>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b/>
          <w:szCs w:val="21"/>
          <w:highlight w:val="none"/>
        </w:rPr>
        <w:t>资格性审查和符合性审查中，有任意一项审查结论不合格的，作无效标处理。</w:t>
      </w:r>
    </w:p>
    <w:p>
      <w:pPr>
        <w:wordWrap w:val="0"/>
        <w:spacing w:line="360" w:lineRule="auto"/>
        <w:ind w:firstLine="420" w:firstLineChars="200"/>
        <w:jc w:val="left"/>
        <w:rPr>
          <w:szCs w:val="21"/>
          <w:highlight w:val="none"/>
        </w:rPr>
      </w:pPr>
      <w:r>
        <w:rPr>
          <w:rFonts w:hint="eastAsia"/>
          <w:szCs w:val="21"/>
          <w:highlight w:val="none"/>
        </w:rPr>
        <w:t>2.</w:t>
      </w:r>
      <w:r>
        <w:rPr>
          <w:szCs w:val="21"/>
          <w:highlight w:val="none"/>
          <w:lang w:val="zh-CN"/>
        </w:rPr>
        <w:t>比较与评价：</w:t>
      </w:r>
      <w:r>
        <w:rPr>
          <w:szCs w:val="21"/>
          <w:highlight w:val="none"/>
        </w:rPr>
        <w:t>评标委员会根据“附表3评分</w:t>
      </w:r>
      <w:r>
        <w:rPr>
          <w:rFonts w:hint="eastAsia"/>
          <w:szCs w:val="21"/>
          <w:highlight w:val="none"/>
        </w:rPr>
        <w:t>标准</w:t>
      </w:r>
      <w:r>
        <w:rPr>
          <w:szCs w:val="21"/>
          <w:highlight w:val="none"/>
        </w:rPr>
        <w:t>”的要求，</w:t>
      </w:r>
      <w:r>
        <w:rPr>
          <w:szCs w:val="21"/>
          <w:highlight w:val="none"/>
          <w:lang w:val="zh-CN"/>
        </w:rPr>
        <w:t>对照投标文件的应答进行比较，判定其偏差性质和程度，</w:t>
      </w:r>
      <w:r>
        <w:rPr>
          <w:szCs w:val="21"/>
          <w:highlight w:val="none"/>
        </w:rPr>
        <w:t>由评标委员会成员在分值范围内自行评分。供应商商务技术得分为各评标委员会成员有效评分的算术平均值（小数点后保留二位数）。</w:t>
      </w:r>
    </w:p>
    <w:p>
      <w:pPr>
        <w:widowControl/>
        <w:wordWrap w:val="0"/>
        <w:spacing w:line="360" w:lineRule="auto"/>
        <w:ind w:firstLine="420" w:firstLineChars="200"/>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特别说明：</w:t>
      </w:r>
      <w:r>
        <w:rPr>
          <w:rFonts w:hint="default" w:ascii="Times New Roman" w:hAnsi="Times New Roman" w:eastAsia="宋体" w:cs="Times New Roman"/>
          <w:b w:val="0"/>
          <w:bCs w:val="0"/>
          <w:color w:val="auto"/>
          <w:sz w:val="21"/>
          <w:szCs w:val="21"/>
          <w:highlight w:val="none"/>
        </w:rPr>
        <w:t>投标供应商应做好详细的投标成本测算，有下列情形之一的，视为投标供应商不能证明其报价合理性，作否决投标处理：</w:t>
      </w:r>
    </w:p>
    <w:p>
      <w:pPr>
        <w:widowControl/>
        <w:wordWrap w:val="0"/>
        <w:spacing w:line="360" w:lineRule="auto"/>
        <w:ind w:firstLine="420" w:firstLineChars="200"/>
        <w:jc w:val="both"/>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（1）对于低于</w:t>
      </w:r>
      <w:r>
        <w:rPr>
          <w:rFonts w:ascii="Times New Roman" w:hAnsi="Times New Roman" w:eastAsia="宋体" w:cs="Times New Roman"/>
          <w:b w:val="0"/>
          <w:bCs w:val="0"/>
          <w:color w:val="auto"/>
          <w:sz w:val="21"/>
          <w:szCs w:val="21"/>
          <w:highlight w:val="none"/>
        </w:rPr>
        <w:t>最高限价</w:t>
      </w:r>
      <w:r>
        <w:rPr>
          <w:rFonts w:hint="default" w:ascii="Times New Roman" w:hAnsi="Times New Roman" w:eastAsia="宋体" w:cs="Times New Roman"/>
          <w:b w:val="0"/>
          <w:bCs w:val="0"/>
          <w:color w:val="auto"/>
          <w:sz w:val="21"/>
          <w:szCs w:val="21"/>
          <w:highlight w:val="none"/>
        </w:rPr>
        <w:t>70%的投标报价，投标供应商未在投标文件中提供成本测算资料的；</w:t>
      </w:r>
    </w:p>
    <w:p>
      <w:pPr>
        <w:widowControl/>
        <w:wordWrap w:val="0"/>
        <w:spacing w:line="360" w:lineRule="auto"/>
        <w:ind w:firstLine="420" w:firstLineChars="200"/>
        <w:jc w:val="both"/>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（2）评审委员会半数以上成员认为投标供应商的报价明显过低时，投标供应商未在1小时内向评审委员会提供成本测算资料的；</w:t>
      </w:r>
    </w:p>
    <w:p>
      <w:pPr>
        <w:widowControl/>
        <w:wordWrap w:val="0"/>
        <w:spacing w:line="360" w:lineRule="auto"/>
        <w:ind w:firstLine="420" w:firstLineChars="200"/>
        <w:jc w:val="both"/>
        <w:rPr>
          <w:color w:val="auto"/>
          <w:szCs w:val="21"/>
          <w:highlight w:val="none"/>
        </w:rPr>
      </w:pPr>
      <w:r>
        <w:rPr>
          <w:rFonts w:hint="default" w:ascii="Times New Roman" w:hAnsi="Times New Roman" w:eastAsia="宋体" w:cs="Times New Roman"/>
          <w:b w:val="0"/>
          <w:bCs w:val="0"/>
          <w:color w:val="auto"/>
          <w:sz w:val="21"/>
          <w:szCs w:val="21"/>
          <w:highlight w:val="none"/>
        </w:rPr>
        <w:t>（3）投标供应商虽然提供了成本测算资料，但评审委员会半数以上成员认为其成本测算依据不合理的。</w:t>
      </w:r>
    </w:p>
    <w:p>
      <w:pPr>
        <w:pStyle w:val="2"/>
        <w:rPr>
          <w:highlight w:val="none"/>
        </w:rPr>
      </w:pPr>
    </w:p>
    <w:p>
      <w:pPr>
        <w:wordWrap w:val="0"/>
        <w:spacing w:line="360" w:lineRule="auto"/>
        <w:ind w:firstLine="420" w:firstLineChars="200"/>
        <w:jc w:val="left"/>
        <w:rPr>
          <w:szCs w:val="21"/>
          <w:highlight w:val="none"/>
        </w:rPr>
      </w:pPr>
      <w:r>
        <w:rPr>
          <w:rFonts w:hint="eastAsia"/>
          <w:szCs w:val="21"/>
          <w:highlight w:val="none"/>
        </w:rPr>
        <w:t>3.</w:t>
      </w:r>
      <w:r>
        <w:rPr>
          <w:szCs w:val="21"/>
          <w:highlight w:val="none"/>
        </w:rPr>
        <w:t>在评标过程中，发现的价格计算错误按下述原则修正：</w:t>
      </w:r>
    </w:p>
    <w:p>
      <w:pPr>
        <w:wordWrap w:val="0"/>
        <w:spacing w:line="360" w:lineRule="auto"/>
        <w:ind w:firstLine="420" w:firstLineChars="200"/>
        <w:jc w:val="left"/>
        <w:rPr>
          <w:szCs w:val="21"/>
          <w:highlight w:val="none"/>
        </w:rPr>
      </w:pPr>
      <w:r>
        <w:rPr>
          <w:szCs w:val="21"/>
          <w:highlight w:val="none"/>
        </w:rPr>
        <w:t>（1）投标文件中开标一览表内容与投标文件中分项报价表内容不一致的，以开标一览表为准；</w:t>
      </w:r>
    </w:p>
    <w:p>
      <w:pPr>
        <w:wordWrap w:val="0"/>
        <w:spacing w:line="360" w:lineRule="auto"/>
        <w:ind w:firstLine="420" w:firstLineChars="200"/>
        <w:jc w:val="left"/>
        <w:rPr>
          <w:szCs w:val="21"/>
          <w:highlight w:val="none"/>
        </w:rPr>
      </w:pPr>
      <w:r>
        <w:rPr>
          <w:szCs w:val="21"/>
          <w:highlight w:val="none"/>
        </w:rPr>
        <w:t>（2）投标文件的大写金额和小写金额不一致的，以大写金额为准；</w:t>
      </w:r>
    </w:p>
    <w:p>
      <w:pPr>
        <w:wordWrap w:val="0"/>
        <w:spacing w:line="360" w:lineRule="auto"/>
        <w:ind w:firstLine="420" w:firstLineChars="200"/>
        <w:jc w:val="left"/>
        <w:rPr>
          <w:szCs w:val="21"/>
          <w:highlight w:val="none"/>
        </w:rPr>
      </w:pPr>
      <w:r>
        <w:rPr>
          <w:szCs w:val="21"/>
          <w:highlight w:val="none"/>
        </w:rPr>
        <w:t>（3）单价金额小数点或者百分比有明显错位的，以开标一览表的总价为准，并修改单价；</w:t>
      </w:r>
    </w:p>
    <w:p>
      <w:pPr>
        <w:wordWrap w:val="0"/>
        <w:spacing w:line="360" w:lineRule="auto"/>
        <w:ind w:firstLine="420" w:firstLineChars="200"/>
        <w:jc w:val="left"/>
        <w:rPr>
          <w:szCs w:val="21"/>
          <w:highlight w:val="none"/>
        </w:rPr>
      </w:pPr>
      <w:r>
        <w:rPr>
          <w:szCs w:val="21"/>
          <w:highlight w:val="none"/>
        </w:rPr>
        <w:t>（</w:t>
      </w:r>
      <w:r>
        <w:rPr>
          <w:rFonts w:hint="eastAsia"/>
          <w:szCs w:val="21"/>
          <w:highlight w:val="none"/>
        </w:rPr>
        <w:t>4</w:t>
      </w:r>
      <w:r>
        <w:rPr>
          <w:szCs w:val="21"/>
          <w:highlight w:val="none"/>
        </w:rPr>
        <w:t>）总价金额与按单价汇总金额不一致的，以单价金额计算结果为准；</w:t>
      </w:r>
    </w:p>
    <w:p>
      <w:pPr>
        <w:wordWrap w:val="0"/>
        <w:spacing w:line="360" w:lineRule="auto"/>
        <w:ind w:firstLine="420" w:firstLineChars="200"/>
        <w:jc w:val="left"/>
        <w:rPr>
          <w:szCs w:val="21"/>
          <w:highlight w:val="none"/>
        </w:rPr>
      </w:pPr>
      <w:r>
        <w:rPr>
          <w:szCs w:val="21"/>
          <w:highlight w:val="none"/>
        </w:rPr>
        <w:t>同时出现两种以上不一致的，按照前款规定的顺序修正。修正后的报价经投标人确认后具有约束力，若投标人不确认的，则其投标无效。</w:t>
      </w:r>
    </w:p>
    <w:p>
      <w:pPr>
        <w:wordWrap w:val="0"/>
        <w:spacing w:line="360" w:lineRule="auto"/>
        <w:ind w:firstLine="420" w:firstLineChars="200"/>
        <w:rPr>
          <w:szCs w:val="21"/>
          <w:highlight w:val="none"/>
        </w:rPr>
      </w:pPr>
      <w:r>
        <w:rPr>
          <w:rFonts w:hint="eastAsia"/>
          <w:szCs w:val="21"/>
          <w:highlight w:val="none"/>
        </w:rPr>
        <w:t>4.</w:t>
      </w:r>
      <w:r>
        <w:rPr>
          <w:szCs w:val="21"/>
          <w:highlight w:val="none"/>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wordWrap w:val="0"/>
        <w:spacing w:line="360" w:lineRule="auto"/>
        <w:ind w:firstLine="420" w:firstLineChars="200"/>
        <w:rPr>
          <w:szCs w:val="21"/>
          <w:highlight w:val="none"/>
        </w:rPr>
      </w:pPr>
      <w:r>
        <w:rPr>
          <w:rFonts w:hint="eastAsia"/>
          <w:szCs w:val="21"/>
          <w:highlight w:val="none"/>
        </w:rPr>
        <w:t>5.</w:t>
      </w:r>
      <w:r>
        <w:rPr>
          <w:szCs w:val="21"/>
          <w:highlight w:val="none"/>
        </w:rPr>
        <w:t>综合评估：供应商的综合得分为商务技术得分与报价得分之和。</w:t>
      </w:r>
    </w:p>
    <w:p>
      <w:pPr>
        <w:wordWrap w:val="0"/>
        <w:spacing w:line="360" w:lineRule="auto"/>
        <w:ind w:firstLine="422" w:firstLineChars="200"/>
        <w:jc w:val="left"/>
        <w:rPr>
          <w:b/>
          <w:szCs w:val="21"/>
          <w:highlight w:val="none"/>
        </w:rPr>
      </w:pPr>
      <w:r>
        <w:rPr>
          <w:rFonts w:hint="eastAsia"/>
          <w:b/>
          <w:szCs w:val="21"/>
          <w:highlight w:val="none"/>
        </w:rPr>
        <w:t>6.</w:t>
      </w:r>
      <w:r>
        <w:rPr>
          <w:b/>
          <w:szCs w:val="21"/>
          <w:highlight w:val="none"/>
        </w:rPr>
        <w:t>推荐中标候选人：推荐中标候选人：根据供应商综合得分由高到低进行排序，推荐综合得分排序第一名的供应商为中标候选人。若供应商的综合得分相等，</w:t>
      </w:r>
      <w:r>
        <w:rPr>
          <w:rFonts w:hint="eastAsia"/>
          <w:b/>
          <w:szCs w:val="21"/>
          <w:highlight w:val="none"/>
        </w:rPr>
        <w:t>则商务技术得分高者列前。若商务技术分相同，</w:t>
      </w:r>
      <w:r>
        <w:rPr>
          <w:b/>
          <w:szCs w:val="21"/>
          <w:highlight w:val="none"/>
        </w:rPr>
        <w:t>则投标报价低者列前。若投标报价也相同时，则采取随机抽签的方式确定排序。</w:t>
      </w:r>
    </w:p>
    <w:p>
      <w:pPr>
        <w:wordWrap w:val="0"/>
        <w:spacing w:line="360" w:lineRule="auto"/>
        <w:ind w:firstLine="422" w:firstLineChars="200"/>
        <w:jc w:val="left"/>
        <w:rPr>
          <w:b/>
          <w:szCs w:val="21"/>
          <w:highlight w:val="none"/>
        </w:rPr>
      </w:pPr>
      <w:r>
        <w:rPr>
          <w:rFonts w:hint="eastAsia"/>
          <w:b/>
          <w:szCs w:val="21"/>
          <w:highlight w:val="none"/>
        </w:rPr>
        <w:t>7.</w:t>
      </w:r>
      <w:r>
        <w:rPr>
          <w:b/>
          <w:szCs w:val="21"/>
          <w:highlight w:val="none"/>
        </w:rPr>
        <w:t>确定中标供应商</w:t>
      </w:r>
    </w:p>
    <w:p>
      <w:pPr>
        <w:wordWrap w:val="0"/>
        <w:spacing w:line="360" w:lineRule="auto"/>
        <w:ind w:firstLine="420" w:firstLineChars="200"/>
        <w:jc w:val="left"/>
        <w:rPr>
          <w:szCs w:val="21"/>
          <w:highlight w:val="none"/>
        </w:rPr>
      </w:pPr>
      <w:r>
        <w:rPr>
          <w:szCs w:val="21"/>
          <w:highlight w:val="none"/>
        </w:rPr>
        <w:t>评标委员会按综合得分由高到低的排序，向采购人推荐排序第一名的供应商为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w:t>
      </w:r>
      <w:r>
        <w:rPr>
          <w:bCs/>
          <w:kern w:val="0"/>
          <w:szCs w:val="21"/>
          <w:highlight w:val="none"/>
        </w:rPr>
        <w:t>评审结果排名先后替补，确定</w:t>
      </w:r>
      <w:r>
        <w:rPr>
          <w:szCs w:val="21"/>
          <w:highlight w:val="none"/>
        </w:rPr>
        <w:t>下一个供应商为中标供应商或重新招标。</w:t>
      </w:r>
    </w:p>
    <w:p>
      <w:pPr>
        <w:wordWrap w:val="0"/>
        <w:spacing w:line="360" w:lineRule="auto"/>
        <w:jc w:val="left"/>
        <w:rPr>
          <w:b/>
          <w:szCs w:val="21"/>
          <w:highlight w:val="none"/>
        </w:rPr>
      </w:pPr>
      <w:r>
        <w:rPr>
          <w:b/>
          <w:szCs w:val="21"/>
          <w:highlight w:val="none"/>
        </w:rPr>
        <w:t>三、投标的澄清</w:t>
      </w:r>
    </w:p>
    <w:p>
      <w:pPr>
        <w:wordWrap w:val="0"/>
        <w:spacing w:line="360" w:lineRule="auto"/>
        <w:ind w:firstLine="420" w:firstLineChars="200"/>
        <w:rPr>
          <w:highlight w:val="none"/>
        </w:rPr>
      </w:pPr>
      <w:r>
        <w:rPr>
          <w:rFonts w:hint="eastAsia"/>
          <w:highlight w:val="none"/>
        </w:rPr>
        <w:t>1.</w:t>
      </w:r>
      <w:r>
        <w:rPr>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wordWrap w:val="0"/>
        <w:spacing w:line="360" w:lineRule="auto"/>
        <w:ind w:firstLine="420" w:firstLineChars="200"/>
        <w:rPr>
          <w:highlight w:val="none"/>
        </w:rPr>
      </w:pPr>
      <w:r>
        <w:rPr>
          <w:rFonts w:hint="eastAsia"/>
          <w:highlight w:val="none"/>
        </w:rPr>
        <w:t>2.</w:t>
      </w:r>
      <w:r>
        <w:rPr>
          <w:highlight w:val="none"/>
        </w:rPr>
        <w:t>政采云具体操作如下：</w:t>
      </w:r>
    </w:p>
    <w:p>
      <w:pPr>
        <w:wordWrap w:val="0"/>
        <w:spacing w:line="360" w:lineRule="auto"/>
        <w:ind w:firstLine="420" w:firstLineChars="200"/>
        <w:rPr>
          <w:highlight w:val="none"/>
        </w:rPr>
      </w:pPr>
      <w:r>
        <w:rPr>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wordWrap w:val="0"/>
        <w:spacing w:line="360" w:lineRule="auto"/>
        <w:ind w:firstLine="420" w:firstLineChars="200"/>
        <w:rPr>
          <w:highlight w:val="none"/>
        </w:rPr>
      </w:pPr>
      <w:r>
        <w:rPr>
          <w:highlight w:val="none"/>
        </w:rPr>
        <w:t>路径：用户中心—项目采购—询标澄清</w:t>
      </w:r>
    </w:p>
    <w:p>
      <w:pPr>
        <w:wordWrap w:val="0"/>
        <w:spacing w:line="360" w:lineRule="auto"/>
        <w:ind w:firstLine="420" w:firstLineChars="200"/>
        <w:rPr>
          <w:highlight w:val="none"/>
        </w:rPr>
      </w:pPr>
      <w:r>
        <w:rPr>
          <w:highlight w:val="none"/>
        </w:rPr>
        <w:t>（1）政采云平台通过待办事项和短信提醒供应商在截止时间前完成澄清。</w:t>
      </w:r>
    </w:p>
    <w:p>
      <w:pPr>
        <w:wordWrap w:val="0"/>
        <w:spacing w:line="360" w:lineRule="auto"/>
        <w:ind w:firstLine="420" w:firstLineChars="200"/>
        <w:rPr>
          <w:highlight w:val="none"/>
        </w:rPr>
      </w:pPr>
      <w:r>
        <w:rPr>
          <w:highlight w:val="none"/>
        </w:rPr>
        <w:t>（2）供应商在“询标澄清-待办理”标签页下选择状态为“待澄清”的项目，点击操作栏【澄清】。</w:t>
      </w:r>
    </w:p>
    <w:p>
      <w:pPr>
        <w:wordWrap w:val="0"/>
        <w:spacing w:line="360" w:lineRule="auto"/>
        <w:ind w:firstLine="420" w:firstLineChars="200"/>
        <w:rPr>
          <w:highlight w:val="none"/>
        </w:rPr>
      </w:pPr>
      <w:r>
        <w:rPr>
          <w:highlight w:val="none"/>
        </w:rPr>
        <w:t>（3）查看函内容，在澄清截止时间前上传澄清文件并对澄清文件进行签章。（注：澄清文件必须以PDF格式上传，文件大小：50M）</w:t>
      </w:r>
    </w:p>
    <w:p>
      <w:pPr>
        <w:wordWrap w:val="0"/>
        <w:spacing w:line="360" w:lineRule="auto"/>
        <w:ind w:firstLine="420" w:firstLineChars="200"/>
        <w:rPr>
          <w:highlight w:val="none"/>
        </w:rPr>
      </w:pPr>
      <w:r>
        <w:rPr>
          <w:highlight w:val="none"/>
        </w:rPr>
        <w:t>（4）签章完成，文件名称处显示“已签章”，供应商可“撤回签章”修改澄清函和“查看文件”。</w:t>
      </w:r>
    </w:p>
    <w:p>
      <w:pPr>
        <w:wordWrap w:val="0"/>
        <w:spacing w:line="360" w:lineRule="auto"/>
        <w:ind w:firstLine="420" w:firstLineChars="200"/>
        <w:rPr>
          <w:highlight w:val="none"/>
        </w:rPr>
      </w:pPr>
      <w:r>
        <w:rPr>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wordWrap w:val="0"/>
        <w:spacing w:line="360" w:lineRule="auto"/>
        <w:ind w:firstLine="420" w:firstLineChars="200"/>
        <w:rPr>
          <w:highlight w:val="none"/>
        </w:rPr>
      </w:pPr>
      <w:r>
        <w:rPr>
          <w:highlight w:val="none"/>
        </w:rPr>
        <w:t>（6）完成状态：供应商澄清文件提交成功后，在“询标澄清-全部”标签页下显示状态为“已澄清”。</w:t>
      </w:r>
    </w:p>
    <w:p>
      <w:pPr>
        <w:wordWrap w:val="0"/>
        <w:spacing w:line="360" w:lineRule="auto"/>
        <w:ind w:firstLine="420" w:firstLineChars="200"/>
        <w:rPr>
          <w:highlight w:val="none"/>
        </w:rPr>
      </w:pPr>
      <w:r>
        <w:rPr>
          <w:rFonts w:hint="eastAsia"/>
          <w:highlight w:val="none"/>
        </w:rPr>
        <w:t>3.</w:t>
      </w:r>
      <w:r>
        <w:rPr>
          <w:highlight w:val="none"/>
        </w:rPr>
        <w:t>开标现场，供应商安排</w:t>
      </w:r>
      <w:r>
        <w:rPr>
          <w:szCs w:val="21"/>
          <w:highlight w:val="none"/>
        </w:rPr>
        <w:t>法定代表人或授权代表到场的，则由</w:t>
      </w:r>
      <w:r>
        <w:rPr>
          <w:highlight w:val="none"/>
        </w:rPr>
        <w:t>评标委员会组长将问题汇总后向供应商发出书面“采购</w:t>
      </w:r>
      <w:r>
        <w:rPr>
          <w:rFonts w:hint="eastAsia"/>
          <w:highlight w:val="none"/>
        </w:rPr>
        <w:t>投标</w:t>
      </w:r>
      <w:r>
        <w:rPr>
          <w:highlight w:val="none"/>
        </w:rPr>
        <w:t>文件问题澄清通知”，供应商应对需要澄清的问题作书面回答，该书面澄清应当由</w:t>
      </w:r>
      <w:r>
        <w:rPr>
          <w:szCs w:val="21"/>
          <w:highlight w:val="none"/>
        </w:rPr>
        <w:t>供应商的法定代表人或授权代表签字</w:t>
      </w:r>
      <w:r>
        <w:rPr>
          <w:highlight w:val="none"/>
        </w:rPr>
        <w:t>或者加盖供应商公章。书面澄清将作为投标文件内容的一部分，具有相应的法律效力。</w:t>
      </w:r>
    </w:p>
    <w:p>
      <w:pPr>
        <w:wordWrap w:val="0"/>
        <w:spacing w:line="360" w:lineRule="auto"/>
        <w:ind w:firstLine="420" w:firstLineChars="200"/>
        <w:jc w:val="left"/>
        <w:rPr>
          <w:highlight w:val="none"/>
        </w:rPr>
      </w:pPr>
      <w:r>
        <w:rPr>
          <w:rFonts w:hint="eastAsia"/>
          <w:highlight w:val="none"/>
        </w:rPr>
        <w:t>4.</w:t>
      </w:r>
      <w:r>
        <w:rPr>
          <w:highlight w:val="none"/>
        </w:rPr>
        <w:t>供应商未在截止时间前完成澄清，将被视作自动放弃。</w:t>
      </w:r>
    </w:p>
    <w:p>
      <w:pPr>
        <w:wordWrap w:val="0"/>
        <w:spacing w:line="360" w:lineRule="auto"/>
        <w:jc w:val="left"/>
        <w:rPr>
          <w:szCs w:val="21"/>
          <w:highlight w:val="none"/>
        </w:rPr>
      </w:pPr>
      <w:r>
        <w:rPr>
          <w:b/>
          <w:szCs w:val="21"/>
          <w:highlight w:val="none"/>
        </w:rPr>
        <w:t>四、特别声明：价格是评标的重要因素之一，但最低价不是中标的唯一依据。</w:t>
      </w:r>
    </w:p>
    <w:p>
      <w:pPr>
        <w:wordWrap w:val="0"/>
        <w:spacing w:line="360" w:lineRule="auto"/>
        <w:jc w:val="left"/>
        <w:rPr>
          <w:b/>
          <w:szCs w:val="21"/>
          <w:highlight w:val="none"/>
        </w:rPr>
      </w:pPr>
      <w:r>
        <w:rPr>
          <w:b/>
          <w:szCs w:val="21"/>
          <w:highlight w:val="none"/>
        </w:rPr>
        <w:t>五、重新招标</w:t>
      </w:r>
    </w:p>
    <w:p>
      <w:pPr>
        <w:wordWrap w:val="0"/>
        <w:spacing w:line="360" w:lineRule="auto"/>
        <w:ind w:firstLine="420" w:firstLineChars="200"/>
        <w:rPr>
          <w:szCs w:val="21"/>
          <w:highlight w:val="none"/>
        </w:rPr>
      </w:pPr>
      <w:r>
        <w:rPr>
          <w:szCs w:val="21"/>
          <w:highlight w:val="none"/>
        </w:rPr>
        <w:t>有下列情形之一的，采购人将重新招标：</w:t>
      </w:r>
    </w:p>
    <w:p>
      <w:pPr>
        <w:wordWrap w:val="0"/>
        <w:spacing w:line="360" w:lineRule="auto"/>
        <w:ind w:firstLine="420" w:firstLineChars="200"/>
        <w:rPr>
          <w:szCs w:val="21"/>
          <w:highlight w:val="none"/>
        </w:rPr>
      </w:pPr>
      <w:r>
        <w:rPr>
          <w:szCs w:val="21"/>
          <w:highlight w:val="none"/>
        </w:rPr>
        <w:t>5.1投标截止时间止，供应商少于3个的；</w:t>
      </w:r>
    </w:p>
    <w:p>
      <w:pPr>
        <w:wordWrap w:val="0"/>
        <w:spacing w:line="360" w:lineRule="auto"/>
        <w:ind w:firstLine="420" w:firstLineChars="200"/>
        <w:rPr>
          <w:szCs w:val="21"/>
          <w:highlight w:val="none"/>
        </w:rPr>
      </w:pPr>
      <w:r>
        <w:rPr>
          <w:szCs w:val="21"/>
          <w:highlight w:val="none"/>
        </w:rPr>
        <w:t>5.2评标委员会评标过程中，有效供应商少于3个的；</w:t>
      </w:r>
    </w:p>
    <w:p>
      <w:pPr>
        <w:widowControl/>
        <w:wordWrap w:val="0"/>
        <w:spacing w:line="360" w:lineRule="auto"/>
        <w:ind w:firstLine="420" w:firstLineChars="200"/>
        <w:jc w:val="left"/>
        <w:rPr>
          <w:szCs w:val="21"/>
          <w:highlight w:val="none"/>
        </w:rPr>
      </w:pPr>
      <w:r>
        <w:rPr>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spacing w:before="60" w:after="60" w:line="360" w:lineRule="auto"/>
        <w:ind w:firstLine="420" w:firstLineChars="200"/>
        <w:rPr>
          <w:rFonts w:hint="eastAsia" w:ascii="宋体" w:hAnsi="宋体"/>
          <w:szCs w:val="21"/>
          <w:highlight w:val="none"/>
        </w:rPr>
      </w:pPr>
    </w:p>
    <w:p>
      <w:pPr>
        <w:spacing w:before="60" w:after="60" w:line="360" w:lineRule="auto"/>
        <w:ind w:firstLine="420" w:firstLineChars="200"/>
        <w:rPr>
          <w:rFonts w:hint="eastAsia" w:ascii="宋体" w:hAnsi="宋体"/>
          <w:szCs w:val="21"/>
          <w:highlight w:val="none"/>
        </w:rPr>
      </w:pPr>
    </w:p>
    <w:p>
      <w:pPr>
        <w:spacing w:before="60" w:after="60" w:line="360" w:lineRule="auto"/>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附表1                              资格性审查表</w:t>
      </w:r>
    </w:p>
    <w:tbl>
      <w:tblPr>
        <w:tblStyle w:val="28"/>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b/>
                <w:szCs w:val="21"/>
                <w:highlight w:val="none"/>
              </w:rPr>
            </w:pPr>
            <w:r>
              <w:rPr>
                <w:b/>
                <w:szCs w:val="21"/>
                <w:highlight w:val="none"/>
              </w:rPr>
              <w:t>序号</w:t>
            </w:r>
          </w:p>
        </w:tc>
        <w:tc>
          <w:tcPr>
            <w:tcW w:w="3220" w:type="dxa"/>
            <w:noWrap w:val="0"/>
            <w:vAlign w:val="center"/>
          </w:tcPr>
          <w:p>
            <w:pPr>
              <w:wordWrap w:val="0"/>
              <w:spacing w:line="400" w:lineRule="exact"/>
              <w:jc w:val="center"/>
              <w:rPr>
                <w:b/>
                <w:szCs w:val="21"/>
                <w:highlight w:val="none"/>
              </w:rPr>
            </w:pPr>
            <w:r>
              <w:rPr>
                <w:b/>
                <w:szCs w:val="21"/>
                <w:highlight w:val="none"/>
              </w:rPr>
              <w:t>要求说明</w:t>
            </w:r>
          </w:p>
        </w:tc>
        <w:tc>
          <w:tcPr>
            <w:tcW w:w="6148" w:type="dxa"/>
            <w:noWrap w:val="0"/>
            <w:vAlign w:val="center"/>
          </w:tcPr>
          <w:p>
            <w:pPr>
              <w:wordWrap w:val="0"/>
              <w:spacing w:line="400" w:lineRule="exact"/>
              <w:jc w:val="center"/>
              <w:rPr>
                <w:b/>
                <w:szCs w:val="21"/>
                <w:highlight w:val="none"/>
              </w:rPr>
            </w:pPr>
            <w:r>
              <w:rPr>
                <w:b/>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szCs w:val="21"/>
                <w:highlight w:val="none"/>
              </w:rPr>
            </w:pPr>
            <w:r>
              <w:rPr>
                <w:szCs w:val="21"/>
                <w:highlight w:val="none"/>
              </w:rPr>
              <w:t>1</w:t>
            </w:r>
          </w:p>
        </w:tc>
        <w:tc>
          <w:tcPr>
            <w:tcW w:w="3220" w:type="dxa"/>
            <w:noWrap w:val="0"/>
            <w:vAlign w:val="center"/>
          </w:tcPr>
          <w:p>
            <w:pPr>
              <w:wordWrap w:val="0"/>
              <w:spacing w:line="400" w:lineRule="exact"/>
              <w:jc w:val="left"/>
              <w:rPr>
                <w:szCs w:val="21"/>
                <w:highlight w:val="none"/>
              </w:rPr>
            </w:pPr>
            <w:r>
              <w:rPr>
                <w:szCs w:val="21"/>
                <w:highlight w:val="none"/>
              </w:rPr>
              <w:t>具有独立承担民事责任的能力；</w:t>
            </w:r>
          </w:p>
        </w:tc>
        <w:tc>
          <w:tcPr>
            <w:tcW w:w="6148" w:type="dxa"/>
            <w:noWrap w:val="0"/>
            <w:vAlign w:val="center"/>
          </w:tcPr>
          <w:p>
            <w:pPr>
              <w:wordWrap w:val="0"/>
              <w:spacing w:line="400" w:lineRule="exact"/>
              <w:jc w:val="left"/>
              <w:rPr>
                <w:szCs w:val="21"/>
                <w:highlight w:val="none"/>
              </w:rPr>
            </w:pPr>
            <w:r>
              <w:rPr>
                <w:szCs w:val="21"/>
                <w:highlight w:val="none"/>
              </w:rPr>
              <w:t>营业执照（或事业法人登记证或其他登记证明材料）复印件加盖供应商公章（供应商如果有名称变更的，应提供由行政主管部门出具的变更证明文件复印件加盖供应商公章）。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szCs w:val="21"/>
                <w:highlight w:val="none"/>
              </w:rPr>
            </w:pPr>
            <w:r>
              <w:rPr>
                <w:szCs w:val="21"/>
                <w:highlight w:val="none"/>
              </w:rPr>
              <w:t>2</w:t>
            </w:r>
          </w:p>
        </w:tc>
        <w:tc>
          <w:tcPr>
            <w:tcW w:w="3220" w:type="dxa"/>
            <w:noWrap w:val="0"/>
            <w:vAlign w:val="center"/>
          </w:tcPr>
          <w:p>
            <w:pPr>
              <w:wordWrap w:val="0"/>
              <w:spacing w:line="400" w:lineRule="exact"/>
              <w:jc w:val="left"/>
              <w:rPr>
                <w:szCs w:val="21"/>
                <w:highlight w:val="none"/>
              </w:rPr>
            </w:pPr>
            <w:r>
              <w:rPr>
                <w:szCs w:val="21"/>
                <w:highlight w:val="none"/>
              </w:rPr>
              <w:t>具有良好的商业信誉和健全的财务会计制度；</w:t>
            </w:r>
          </w:p>
        </w:tc>
        <w:tc>
          <w:tcPr>
            <w:tcW w:w="6148" w:type="dxa"/>
            <w:noWrap w:val="0"/>
            <w:vAlign w:val="center"/>
          </w:tcPr>
          <w:p>
            <w:pPr>
              <w:spacing w:line="360" w:lineRule="auto"/>
              <w:rPr>
                <w:rFonts w:hint="eastAsia"/>
                <w:szCs w:val="21"/>
                <w:highlight w:val="none"/>
              </w:rPr>
            </w:pPr>
            <w:r>
              <w:rPr>
                <w:rFonts w:hint="eastAsia" w:ascii="宋体" w:hAnsi="宋体"/>
                <w:i/>
                <w:szCs w:val="21"/>
                <w:highlight w:val="none"/>
              </w:rPr>
              <w:t>2021</w:t>
            </w:r>
            <w:r>
              <w:rPr>
                <w:rFonts w:hint="eastAsia" w:ascii="宋体" w:hAnsi="宋体"/>
                <w:szCs w:val="21"/>
                <w:highlight w:val="none"/>
              </w:rPr>
              <w:t>年年度财务会计报表复印件，其他组织或供应商新成立不足一年的，提供基本账户开户银行出具的资信证明材料复印件（银行资信证明一般应是为本次采购出具的原件，如提供采购日前六个月内开具的用于他次招标的银行资信证明的复印件也可。银行资信证明必须按第七章中“银行资信证明”的要求提供。资信评估机构出具的资信等级证书或证明不能代替银行资信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szCs w:val="21"/>
                <w:highlight w:val="none"/>
              </w:rPr>
            </w:pPr>
            <w:r>
              <w:rPr>
                <w:szCs w:val="21"/>
                <w:highlight w:val="none"/>
              </w:rPr>
              <w:t>3</w:t>
            </w:r>
          </w:p>
        </w:tc>
        <w:tc>
          <w:tcPr>
            <w:tcW w:w="3220" w:type="dxa"/>
            <w:noWrap w:val="0"/>
            <w:vAlign w:val="center"/>
          </w:tcPr>
          <w:p>
            <w:pPr>
              <w:wordWrap w:val="0"/>
              <w:spacing w:line="400" w:lineRule="exact"/>
              <w:jc w:val="left"/>
              <w:rPr>
                <w:szCs w:val="21"/>
                <w:highlight w:val="none"/>
              </w:rPr>
            </w:pPr>
            <w:r>
              <w:rPr>
                <w:szCs w:val="21"/>
                <w:highlight w:val="none"/>
              </w:rPr>
              <w:t>具有履行合同所必需的设备和专业技术能力；</w:t>
            </w:r>
          </w:p>
        </w:tc>
        <w:tc>
          <w:tcPr>
            <w:tcW w:w="6148" w:type="dxa"/>
            <w:noWrap w:val="0"/>
            <w:vAlign w:val="center"/>
          </w:tcPr>
          <w:p>
            <w:pPr>
              <w:wordWrap w:val="0"/>
              <w:spacing w:line="400" w:lineRule="exact"/>
              <w:jc w:val="left"/>
              <w:rPr>
                <w:szCs w:val="21"/>
                <w:highlight w:val="none"/>
              </w:rPr>
            </w:pPr>
            <w:r>
              <w:rPr>
                <w:szCs w:val="21"/>
                <w:highlight w:val="none"/>
              </w:rPr>
              <w:t>提供“具有履行合同所必需的设备和专业技术能力的声明函”。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szCs w:val="21"/>
                <w:highlight w:val="none"/>
              </w:rPr>
            </w:pPr>
            <w:r>
              <w:rPr>
                <w:szCs w:val="21"/>
                <w:highlight w:val="none"/>
              </w:rPr>
              <w:t>4</w:t>
            </w:r>
          </w:p>
        </w:tc>
        <w:tc>
          <w:tcPr>
            <w:tcW w:w="3220" w:type="dxa"/>
            <w:noWrap w:val="0"/>
            <w:vAlign w:val="center"/>
          </w:tcPr>
          <w:p>
            <w:pPr>
              <w:wordWrap w:val="0"/>
              <w:spacing w:line="400" w:lineRule="exact"/>
              <w:jc w:val="left"/>
              <w:rPr>
                <w:szCs w:val="21"/>
                <w:highlight w:val="none"/>
              </w:rPr>
            </w:pPr>
            <w:r>
              <w:rPr>
                <w:szCs w:val="21"/>
                <w:highlight w:val="none"/>
              </w:rPr>
              <w:t>有依法缴纳税收和社会保障资金的良好记录；</w:t>
            </w:r>
          </w:p>
        </w:tc>
        <w:tc>
          <w:tcPr>
            <w:tcW w:w="6148" w:type="dxa"/>
            <w:noWrap w:val="0"/>
            <w:vAlign w:val="center"/>
          </w:tcPr>
          <w:p>
            <w:pPr>
              <w:wordWrap w:val="0"/>
              <w:spacing w:line="400" w:lineRule="exact"/>
              <w:jc w:val="left"/>
              <w:rPr>
                <w:szCs w:val="21"/>
                <w:highlight w:val="none"/>
              </w:rPr>
            </w:pPr>
            <w:r>
              <w:rPr>
                <w:rFonts w:hint="eastAsia" w:ascii="宋体" w:hAnsi="宋体"/>
                <w:szCs w:val="21"/>
                <w:highlight w:val="none"/>
              </w:rPr>
              <w:t>提供“依法缴纳税收和社会保障资金的书面声明”。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szCs w:val="21"/>
                <w:highlight w:val="none"/>
              </w:rPr>
            </w:pPr>
            <w:r>
              <w:rPr>
                <w:szCs w:val="21"/>
                <w:highlight w:val="none"/>
              </w:rPr>
              <w:t>5</w:t>
            </w:r>
          </w:p>
        </w:tc>
        <w:tc>
          <w:tcPr>
            <w:tcW w:w="3220" w:type="dxa"/>
            <w:noWrap w:val="0"/>
            <w:vAlign w:val="center"/>
          </w:tcPr>
          <w:p>
            <w:pPr>
              <w:wordWrap w:val="0"/>
              <w:spacing w:line="400" w:lineRule="exact"/>
              <w:jc w:val="left"/>
              <w:rPr>
                <w:szCs w:val="21"/>
                <w:highlight w:val="none"/>
              </w:rPr>
            </w:pPr>
            <w:r>
              <w:rPr>
                <w:szCs w:val="21"/>
                <w:highlight w:val="none"/>
              </w:rPr>
              <w:t>参加政府采购活动前三年内，在经营活动中没有重大违法记录；</w:t>
            </w:r>
          </w:p>
        </w:tc>
        <w:tc>
          <w:tcPr>
            <w:tcW w:w="6148" w:type="dxa"/>
            <w:noWrap w:val="0"/>
            <w:vAlign w:val="center"/>
          </w:tcPr>
          <w:p>
            <w:pPr>
              <w:wordWrap w:val="0"/>
              <w:spacing w:line="400" w:lineRule="exact"/>
              <w:jc w:val="left"/>
              <w:rPr>
                <w:szCs w:val="21"/>
                <w:highlight w:val="none"/>
              </w:rPr>
            </w:pPr>
            <w:r>
              <w:rPr>
                <w:rFonts w:hint="eastAsia" w:ascii="宋体" w:hAnsi="宋体"/>
                <w:szCs w:val="21"/>
                <w:highlight w:val="none"/>
              </w:rPr>
              <w:t>提供参加政府采购活动前3年内在经营活动中没有重大违法记录的书面声明。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szCs w:val="21"/>
                <w:highlight w:val="none"/>
              </w:rPr>
            </w:pPr>
            <w:r>
              <w:rPr>
                <w:rFonts w:hint="eastAsia"/>
                <w:szCs w:val="21"/>
                <w:highlight w:val="none"/>
              </w:rPr>
              <w:t>6</w:t>
            </w:r>
          </w:p>
        </w:tc>
        <w:tc>
          <w:tcPr>
            <w:tcW w:w="3220" w:type="dxa"/>
            <w:noWrap w:val="0"/>
            <w:vAlign w:val="center"/>
          </w:tcPr>
          <w:p>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落实政府采购政策需满足的资格要求：本项目为专门面向中小企业采购的项目，供应商应为中小微企业（监狱企业及残疾人福利性单位视同小型、微型企业）</w:t>
            </w:r>
            <w:r>
              <w:rPr>
                <w:rFonts w:hint="eastAsia" w:ascii="宋体" w:hAnsi="宋体" w:cs="宋体"/>
                <w:color w:val="000000"/>
                <w:highlight w:val="none"/>
              </w:rPr>
              <w:t>。</w:t>
            </w:r>
          </w:p>
        </w:tc>
        <w:tc>
          <w:tcPr>
            <w:tcW w:w="6148" w:type="dxa"/>
            <w:noWrap w:val="0"/>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供应商应为中小微企业（监狱企业及残疾人福利性单位视同小型、微型企业）</w:t>
            </w:r>
            <w:r>
              <w:rPr>
                <w:rFonts w:hint="eastAsia" w:ascii="宋体" w:hAnsi="宋体" w:cs="宋体"/>
                <w:color w:val="000000"/>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hint="eastAsia"/>
                <w:szCs w:val="21"/>
                <w:highlight w:val="none"/>
              </w:rPr>
            </w:pPr>
            <w:r>
              <w:rPr>
                <w:rFonts w:hint="eastAsia"/>
                <w:szCs w:val="21"/>
                <w:highlight w:val="none"/>
              </w:rPr>
              <w:t>7</w:t>
            </w:r>
          </w:p>
        </w:tc>
        <w:tc>
          <w:tcPr>
            <w:tcW w:w="3220" w:type="dxa"/>
            <w:noWrap w:val="0"/>
            <w:vAlign w:val="center"/>
          </w:tcPr>
          <w:p>
            <w:pPr>
              <w:wordWrap w:val="0"/>
              <w:spacing w:line="400" w:lineRule="exact"/>
              <w:jc w:val="left"/>
              <w:rPr>
                <w:szCs w:val="21"/>
                <w:highlight w:val="none"/>
              </w:rPr>
            </w:pPr>
            <w:r>
              <w:rPr>
                <w:szCs w:val="21"/>
                <w:highlight w:val="none"/>
              </w:rPr>
              <w:t>未被信用中国网站（</w:t>
            </w:r>
            <w:r>
              <w:rPr>
                <w:highlight w:val="none"/>
              </w:rPr>
              <w:fldChar w:fldCharType="begin"/>
            </w:r>
            <w:r>
              <w:rPr>
                <w:highlight w:val="none"/>
              </w:rPr>
              <w:instrText xml:space="preserve">HYPERLINK "http://www.creditchina.gov.cn"</w:instrText>
            </w:r>
            <w:r>
              <w:rPr>
                <w:highlight w:val="none"/>
              </w:rPr>
              <w:fldChar w:fldCharType="separate"/>
            </w:r>
            <w:r>
              <w:rPr>
                <w:szCs w:val="21"/>
                <w:highlight w:val="none"/>
              </w:rPr>
              <w:t>www.creditchina.gov.cn</w:t>
            </w:r>
            <w:r>
              <w:rPr>
                <w:highlight w:val="none"/>
              </w:rPr>
              <w:fldChar w:fldCharType="end"/>
            </w:r>
            <w:r>
              <w:rPr>
                <w:szCs w:val="21"/>
                <w:highlight w:val="none"/>
              </w:rPr>
              <w:t>）列入失信被执行人、重大税收违法案件当事人名单，未被中国政府采购网（</w:t>
            </w:r>
            <w:r>
              <w:rPr>
                <w:szCs w:val="21"/>
                <w:highlight w:val="none"/>
              </w:rPr>
              <w:fldChar w:fldCharType="begin"/>
            </w:r>
            <w:r>
              <w:rPr>
                <w:szCs w:val="21"/>
                <w:highlight w:val="none"/>
              </w:rPr>
              <w:instrText xml:space="preserve"> HYPERLINK "http://www.ccgp" </w:instrText>
            </w:r>
            <w:r>
              <w:rPr>
                <w:szCs w:val="21"/>
                <w:highlight w:val="none"/>
              </w:rPr>
              <w:fldChar w:fldCharType="separate"/>
            </w:r>
            <w:r>
              <w:rPr>
                <w:highlight w:val="none"/>
              </w:rPr>
              <w:t>www.ccgp</w:t>
            </w:r>
            <w:r>
              <w:rPr>
                <w:szCs w:val="21"/>
                <w:highlight w:val="none"/>
              </w:rPr>
              <w:fldChar w:fldCharType="end"/>
            </w:r>
            <w:r>
              <w:rPr>
                <w:szCs w:val="21"/>
                <w:highlight w:val="none"/>
              </w:rPr>
              <w:t>.gov.cn）列入政府采购严重违法失信行为记录名单。</w:t>
            </w:r>
          </w:p>
        </w:tc>
        <w:tc>
          <w:tcPr>
            <w:tcW w:w="6148" w:type="dxa"/>
            <w:noWrap w:val="0"/>
            <w:vAlign w:val="center"/>
          </w:tcPr>
          <w:p>
            <w:pPr>
              <w:wordWrap w:val="0"/>
              <w:spacing w:line="400" w:lineRule="exact"/>
              <w:jc w:val="left"/>
              <w:rPr>
                <w:szCs w:val="21"/>
                <w:highlight w:val="none"/>
              </w:rPr>
            </w:pPr>
            <w:r>
              <w:rPr>
                <w:szCs w:val="21"/>
                <w:highlight w:val="none"/>
              </w:rPr>
              <w:t>提供“其他资格要求需提供的声明函”。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0"/>
            <w:vAlign w:val="center"/>
          </w:tcPr>
          <w:p>
            <w:pPr>
              <w:wordWrap w:val="0"/>
              <w:spacing w:line="400" w:lineRule="exact"/>
              <w:jc w:val="center"/>
              <w:rPr>
                <w:highlight w:val="none"/>
              </w:rPr>
            </w:pPr>
            <w:r>
              <w:rPr>
                <w:b/>
                <w:szCs w:val="21"/>
                <w:highlight w:val="none"/>
              </w:rPr>
              <w:t>资格性审查结论</w:t>
            </w:r>
          </w:p>
        </w:tc>
        <w:tc>
          <w:tcPr>
            <w:tcW w:w="6148" w:type="dxa"/>
            <w:noWrap w:val="0"/>
            <w:vAlign w:val="center"/>
          </w:tcPr>
          <w:p>
            <w:pPr>
              <w:wordWrap w:val="0"/>
              <w:spacing w:line="400" w:lineRule="exact"/>
              <w:jc w:val="center"/>
              <w:rPr>
                <w:szCs w:val="21"/>
                <w:highlight w:val="none"/>
              </w:rPr>
            </w:pPr>
          </w:p>
        </w:tc>
      </w:tr>
    </w:tbl>
    <w:p>
      <w:pPr>
        <w:wordWrap w:val="0"/>
        <w:spacing w:line="320" w:lineRule="exact"/>
        <w:rPr>
          <w:b/>
          <w:highlight w:val="none"/>
        </w:rPr>
      </w:pPr>
      <w:r>
        <w:rPr>
          <w:b/>
          <w:highlight w:val="none"/>
        </w:rPr>
        <w:t>注：1、上述资格证明文件未按采购文件要求附入投标文件中的，资格性审查不合格。</w:t>
      </w:r>
    </w:p>
    <w:p>
      <w:pPr>
        <w:wordWrap w:val="0"/>
        <w:spacing w:line="320" w:lineRule="exact"/>
        <w:ind w:firstLine="517" w:firstLineChars="245"/>
        <w:rPr>
          <w:b/>
          <w:highlight w:val="none"/>
        </w:rPr>
      </w:pPr>
      <w:r>
        <w:rPr>
          <w:b/>
          <w:highlight w:val="none"/>
        </w:rPr>
        <w:t>2、上述审查项目中，任意一项不符合的，资格性审查不合格。</w:t>
      </w:r>
    </w:p>
    <w:p>
      <w:pPr>
        <w:wordWrap w:val="0"/>
        <w:spacing w:line="320" w:lineRule="exact"/>
        <w:ind w:firstLine="517" w:firstLineChars="245"/>
        <w:rPr>
          <w:b/>
          <w:highlight w:val="none"/>
        </w:rPr>
      </w:pPr>
      <w:r>
        <w:rPr>
          <w:rFonts w:hint="eastAsia"/>
          <w:b/>
          <w:highlight w:val="none"/>
        </w:rPr>
        <w:t>3</w:t>
      </w:r>
      <w:r>
        <w:rPr>
          <w:b/>
          <w:highlight w:val="none"/>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wordWrap w:val="0"/>
        <w:spacing w:line="320" w:lineRule="exact"/>
        <w:ind w:firstLine="517" w:firstLineChars="245"/>
        <w:rPr>
          <w:b/>
          <w:highlight w:val="none"/>
        </w:rPr>
      </w:pPr>
      <w:r>
        <w:rPr>
          <w:b/>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附表2：                             符合性审查表</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34"/>
        <w:gridCol w:w="44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wordWrap w:val="0"/>
              <w:snapToGrid w:val="0"/>
              <w:spacing w:line="400" w:lineRule="exact"/>
              <w:jc w:val="center"/>
              <w:rPr>
                <w:b/>
                <w:szCs w:val="21"/>
                <w:highlight w:val="none"/>
              </w:rPr>
            </w:pPr>
            <w:r>
              <w:rPr>
                <w:b/>
                <w:szCs w:val="21"/>
                <w:highlight w:val="none"/>
              </w:rPr>
              <w:t>序号</w:t>
            </w:r>
          </w:p>
        </w:tc>
        <w:tc>
          <w:tcPr>
            <w:tcW w:w="4234" w:type="dxa"/>
            <w:noWrap w:val="0"/>
            <w:vAlign w:val="center"/>
          </w:tcPr>
          <w:p>
            <w:pPr>
              <w:wordWrap w:val="0"/>
              <w:snapToGrid w:val="0"/>
              <w:spacing w:line="400" w:lineRule="exact"/>
              <w:jc w:val="center"/>
              <w:rPr>
                <w:b/>
                <w:szCs w:val="21"/>
                <w:highlight w:val="none"/>
              </w:rPr>
            </w:pPr>
            <w:r>
              <w:rPr>
                <w:b/>
                <w:szCs w:val="21"/>
                <w:highlight w:val="none"/>
              </w:rPr>
              <w:t>要求说明</w:t>
            </w:r>
          </w:p>
        </w:tc>
        <w:tc>
          <w:tcPr>
            <w:tcW w:w="4461" w:type="dxa"/>
            <w:noWrap w:val="0"/>
            <w:vAlign w:val="center"/>
          </w:tcPr>
          <w:p>
            <w:pPr>
              <w:wordWrap w:val="0"/>
              <w:snapToGrid w:val="0"/>
              <w:spacing w:line="400" w:lineRule="exact"/>
              <w:jc w:val="center"/>
              <w:rPr>
                <w:b/>
                <w:szCs w:val="21"/>
                <w:highlight w:val="none"/>
              </w:rPr>
            </w:pPr>
            <w:r>
              <w:rPr>
                <w:b/>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1</w:t>
            </w:r>
          </w:p>
        </w:tc>
        <w:tc>
          <w:tcPr>
            <w:tcW w:w="4234" w:type="dxa"/>
            <w:noWrap w:val="0"/>
            <w:vAlign w:val="center"/>
          </w:tcPr>
          <w:p>
            <w:pPr>
              <w:wordWrap w:val="0"/>
              <w:snapToGrid w:val="0"/>
              <w:spacing w:line="400" w:lineRule="exact"/>
              <w:rPr>
                <w:szCs w:val="21"/>
                <w:highlight w:val="none"/>
              </w:rPr>
            </w:pPr>
            <w:r>
              <w:rPr>
                <w:szCs w:val="21"/>
                <w:highlight w:val="none"/>
              </w:rPr>
              <w:t>投标有效期</w:t>
            </w:r>
          </w:p>
        </w:tc>
        <w:tc>
          <w:tcPr>
            <w:tcW w:w="4461" w:type="dxa"/>
            <w:noWrap w:val="0"/>
            <w:vAlign w:val="center"/>
          </w:tcPr>
          <w:p>
            <w:pPr>
              <w:wordWrap w:val="0"/>
              <w:snapToGrid w:val="0"/>
              <w:spacing w:line="400" w:lineRule="exact"/>
              <w:rPr>
                <w:szCs w:val="21"/>
                <w:highlight w:val="none"/>
              </w:rPr>
            </w:pPr>
            <w:r>
              <w:rPr>
                <w:rFonts w:hint="eastAsia" w:ascii="宋体" w:hAnsi="宋体" w:cs="宋体"/>
                <w:kern w:val="0"/>
                <w:szCs w:val="21"/>
                <w:highlight w:val="none"/>
              </w:rPr>
              <w:t>符合招标采购文件要求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2</w:t>
            </w:r>
          </w:p>
        </w:tc>
        <w:tc>
          <w:tcPr>
            <w:tcW w:w="4234" w:type="dxa"/>
            <w:noWrap w:val="0"/>
            <w:vAlign w:val="center"/>
          </w:tcPr>
          <w:p>
            <w:pPr>
              <w:wordWrap w:val="0"/>
              <w:snapToGrid w:val="0"/>
              <w:spacing w:line="400" w:lineRule="exact"/>
              <w:rPr>
                <w:szCs w:val="21"/>
                <w:highlight w:val="none"/>
              </w:rPr>
            </w:pPr>
            <w:r>
              <w:rPr>
                <w:szCs w:val="21"/>
                <w:highlight w:val="none"/>
              </w:rPr>
              <w:t>法定代表人身份证明、法定代表人授权书。</w:t>
            </w:r>
          </w:p>
        </w:tc>
        <w:tc>
          <w:tcPr>
            <w:tcW w:w="4461" w:type="dxa"/>
            <w:noWrap w:val="0"/>
            <w:vAlign w:val="center"/>
          </w:tcPr>
          <w:p>
            <w:pPr>
              <w:wordWrap w:val="0"/>
              <w:snapToGrid w:val="0"/>
              <w:spacing w:line="400" w:lineRule="exact"/>
              <w:rPr>
                <w:szCs w:val="21"/>
                <w:highlight w:val="none"/>
              </w:rPr>
            </w:pPr>
            <w:r>
              <w:rPr>
                <w:szCs w:val="21"/>
                <w:highlight w:val="none"/>
              </w:rPr>
              <w:t>（1）投标文件由法定代表人签字的，提供“法定代表人身份证明”。</w:t>
            </w:r>
          </w:p>
          <w:p>
            <w:pPr>
              <w:wordWrap w:val="0"/>
              <w:snapToGrid w:val="0"/>
              <w:spacing w:line="400" w:lineRule="exact"/>
              <w:rPr>
                <w:szCs w:val="21"/>
                <w:highlight w:val="none"/>
              </w:rPr>
            </w:pPr>
            <w:r>
              <w:rPr>
                <w:szCs w:val="21"/>
                <w:highlight w:val="none"/>
              </w:rPr>
              <w:t>（2）投标文件由授权代表签字的，提供“法定代表人身份证明”和“法定代表人授权书”，并提供社保部门出具的供应商单位为授权代表缴纳社保的证明资料复印件。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3</w:t>
            </w:r>
          </w:p>
        </w:tc>
        <w:tc>
          <w:tcPr>
            <w:tcW w:w="4234" w:type="dxa"/>
            <w:noWrap w:val="0"/>
            <w:vAlign w:val="center"/>
          </w:tcPr>
          <w:p>
            <w:pPr>
              <w:wordWrap w:val="0"/>
              <w:snapToGrid w:val="0"/>
              <w:spacing w:line="400" w:lineRule="exact"/>
              <w:rPr>
                <w:szCs w:val="21"/>
                <w:highlight w:val="none"/>
              </w:rPr>
            </w:pPr>
            <w:r>
              <w:rPr>
                <w:szCs w:val="21"/>
                <w:highlight w:val="none"/>
              </w:rPr>
              <w:t>投标文件的签署盖章。</w:t>
            </w:r>
          </w:p>
        </w:tc>
        <w:tc>
          <w:tcPr>
            <w:tcW w:w="4461" w:type="dxa"/>
            <w:noWrap w:val="0"/>
            <w:vAlign w:val="center"/>
          </w:tcPr>
          <w:p>
            <w:pPr>
              <w:wordWrap w:val="0"/>
              <w:snapToGrid w:val="0"/>
              <w:spacing w:line="400" w:lineRule="exact"/>
              <w:rPr>
                <w:rFonts w:hint="eastAsia"/>
                <w:szCs w:val="21"/>
                <w:highlight w:val="none"/>
              </w:rPr>
            </w:pPr>
            <w:r>
              <w:rPr>
                <w:rFonts w:hint="eastAsia" w:ascii="宋体" w:hAnsi="宋体" w:cs="宋体"/>
                <w:szCs w:val="21"/>
                <w:highlight w:val="none"/>
              </w:rPr>
              <w:t>按照招标采购文件规定要求签署或盖章。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4</w:t>
            </w:r>
          </w:p>
        </w:tc>
        <w:tc>
          <w:tcPr>
            <w:tcW w:w="4234" w:type="dxa"/>
            <w:noWrap w:val="0"/>
            <w:vAlign w:val="center"/>
          </w:tcPr>
          <w:p>
            <w:pPr>
              <w:wordWrap w:val="0"/>
              <w:snapToGrid w:val="0"/>
              <w:spacing w:line="400" w:lineRule="exact"/>
              <w:rPr>
                <w:szCs w:val="21"/>
                <w:highlight w:val="none"/>
              </w:rPr>
            </w:pPr>
            <w:r>
              <w:rPr>
                <w:szCs w:val="21"/>
                <w:highlight w:val="none"/>
              </w:rPr>
              <w:t>不允许提供两个投标方案。</w:t>
            </w:r>
          </w:p>
        </w:tc>
        <w:tc>
          <w:tcPr>
            <w:tcW w:w="4461" w:type="dxa"/>
            <w:noWrap w:val="0"/>
            <w:vAlign w:val="center"/>
          </w:tcPr>
          <w:p>
            <w:pPr>
              <w:wordWrap w:val="0"/>
              <w:snapToGrid w:val="0"/>
              <w:spacing w:line="400" w:lineRule="exact"/>
              <w:rPr>
                <w:szCs w:val="21"/>
                <w:highlight w:val="none"/>
              </w:rPr>
            </w:pPr>
            <w:r>
              <w:rPr>
                <w:szCs w:val="21"/>
                <w:highlight w:val="none"/>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5</w:t>
            </w:r>
          </w:p>
        </w:tc>
        <w:tc>
          <w:tcPr>
            <w:tcW w:w="4234" w:type="dxa"/>
            <w:noWrap w:val="0"/>
            <w:vAlign w:val="center"/>
          </w:tcPr>
          <w:p>
            <w:pPr>
              <w:wordWrap w:val="0"/>
              <w:snapToGrid w:val="0"/>
              <w:spacing w:line="400" w:lineRule="exact"/>
              <w:rPr>
                <w:szCs w:val="21"/>
                <w:highlight w:val="none"/>
              </w:rPr>
            </w:pPr>
            <w:r>
              <w:rPr>
                <w:szCs w:val="21"/>
                <w:highlight w:val="none"/>
              </w:rPr>
              <w:t>供应商不得在投标活动中提供任何虚假材料或从事其他违法活动的。</w:t>
            </w:r>
          </w:p>
        </w:tc>
        <w:tc>
          <w:tcPr>
            <w:tcW w:w="4461" w:type="dxa"/>
            <w:noWrap w:val="0"/>
            <w:vAlign w:val="center"/>
          </w:tcPr>
          <w:p>
            <w:pPr>
              <w:wordWrap w:val="0"/>
              <w:snapToGrid w:val="0"/>
              <w:spacing w:line="400" w:lineRule="exact"/>
              <w:rPr>
                <w:szCs w:val="21"/>
                <w:highlight w:val="none"/>
              </w:rPr>
            </w:pPr>
            <w:r>
              <w:rPr>
                <w:szCs w:val="21"/>
                <w:highlight w:val="none"/>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6</w:t>
            </w:r>
          </w:p>
        </w:tc>
        <w:tc>
          <w:tcPr>
            <w:tcW w:w="4234" w:type="dxa"/>
            <w:noWrap w:val="0"/>
            <w:vAlign w:val="center"/>
          </w:tcPr>
          <w:p>
            <w:pPr>
              <w:wordWrap w:val="0"/>
              <w:snapToGrid w:val="0"/>
              <w:spacing w:line="400" w:lineRule="exact"/>
              <w:rPr>
                <w:szCs w:val="21"/>
                <w:highlight w:val="none"/>
              </w:rPr>
            </w:pPr>
            <w:r>
              <w:rPr>
                <w:szCs w:val="21"/>
                <w:highlight w:val="none"/>
              </w:rPr>
              <w:t>评标委员会经过审查，认定供应商虚假应标、串通投标的，有下列情形之一的，视为供应商串通投标：</w:t>
            </w:r>
          </w:p>
          <w:p>
            <w:pPr>
              <w:widowControl/>
              <w:wordWrap w:val="0"/>
              <w:snapToGrid w:val="0"/>
              <w:spacing w:line="400" w:lineRule="exact"/>
              <w:jc w:val="left"/>
              <w:rPr>
                <w:szCs w:val="21"/>
                <w:highlight w:val="none"/>
              </w:rPr>
            </w:pPr>
            <w:r>
              <w:rPr>
                <w:szCs w:val="21"/>
                <w:highlight w:val="none"/>
              </w:rPr>
              <w:t>（1）不同供应商的投标文件由同一单位或者个人编制；</w:t>
            </w:r>
          </w:p>
          <w:p>
            <w:pPr>
              <w:widowControl/>
              <w:wordWrap w:val="0"/>
              <w:snapToGrid w:val="0"/>
              <w:spacing w:line="400" w:lineRule="exact"/>
              <w:jc w:val="left"/>
              <w:rPr>
                <w:szCs w:val="21"/>
                <w:highlight w:val="none"/>
              </w:rPr>
            </w:pPr>
            <w:r>
              <w:rPr>
                <w:szCs w:val="21"/>
                <w:highlight w:val="none"/>
              </w:rPr>
              <w:t>（2）不同供应商委托同一单位或者个人办理投标事宜；</w:t>
            </w:r>
          </w:p>
          <w:p>
            <w:pPr>
              <w:widowControl/>
              <w:wordWrap w:val="0"/>
              <w:snapToGrid w:val="0"/>
              <w:spacing w:line="400" w:lineRule="exact"/>
              <w:jc w:val="left"/>
              <w:rPr>
                <w:szCs w:val="21"/>
                <w:highlight w:val="none"/>
              </w:rPr>
            </w:pPr>
            <w:r>
              <w:rPr>
                <w:szCs w:val="21"/>
                <w:highlight w:val="none"/>
              </w:rPr>
              <w:t>（3）不同供应商的投标文件载明的项目管理成员或者联系人员为同一人；</w:t>
            </w:r>
          </w:p>
          <w:p>
            <w:pPr>
              <w:widowControl/>
              <w:wordWrap w:val="0"/>
              <w:snapToGrid w:val="0"/>
              <w:spacing w:line="400" w:lineRule="exact"/>
              <w:jc w:val="left"/>
              <w:rPr>
                <w:szCs w:val="21"/>
                <w:highlight w:val="none"/>
              </w:rPr>
            </w:pPr>
            <w:r>
              <w:rPr>
                <w:szCs w:val="21"/>
                <w:highlight w:val="none"/>
              </w:rPr>
              <w:t>（4）不同供应商的投标文件异常一致或者投标报价呈规律性差异；</w:t>
            </w:r>
          </w:p>
          <w:p>
            <w:pPr>
              <w:widowControl/>
              <w:wordWrap w:val="0"/>
              <w:snapToGrid w:val="0"/>
              <w:spacing w:line="400" w:lineRule="exact"/>
              <w:jc w:val="left"/>
              <w:rPr>
                <w:szCs w:val="21"/>
                <w:highlight w:val="none"/>
              </w:rPr>
            </w:pPr>
            <w:r>
              <w:rPr>
                <w:szCs w:val="21"/>
                <w:highlight w:val="none"/>
              </w:rPr>
              <w:t>（5）不同供应商的投标文件相互混装。</w:t>
            </w:r>
          </w:p>
        </w:tc>
        <w:tc>
          <w:tcPr>
            <w:tcW w:w="4461" w:type="dxa"/>
            <w:noWrap w:val="0"/>
            <w:vAlign w:val="center"/>
          </w:tcPr>
          <w:p>
            <w:pPr>
              <w:wordWrap w:val="0"/>
              <w:snapToGrid w:val="0"/>
              <w:spacing w:line="400" w:lineRule="exact"/>
              <w:rPr>
                <w:szCs w:val="21"/>
                <w:highlight w:val="none"/>
              </w:rPr>
            </w:pPr>
            <w:r>
              <w:rPr>
                <w:szCs w:val="21"/>
                <w:highlight w:val="none"/>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7</w:t>
            </w:r>
          </w:p>
        </w:tc>
        <w:tc>
          <w:tcPr>
            <w:tcW w:w="4234" w:type="dxa"/>
            <w:noWrap w:val="0"/>
            <w:vAlign w:val="center"/>
          </w:tcPr>
          <w:p>
            <w:pPr>
              <w:wordWrap w:val="0"/>
              <w:snapToGrid w:val="0"/>
              <w:spacing w:line="400" w:lineRule="exact"/>
              <w:rPr>
                <w:rFonts w:hint="eastAsia"/>
                <w:szCs w:val="21"/>
                <w:highlight w:val="none"/>
              </w:rPr>
            </w:pPr>
            <w:r>
              <w:rPr>
                <w:szCs w:val="21"/>
                <w:highlight w:val="none"/>
              </w:rPr>
              <w:t>符合法律、法规和采购文件中规定的其他实质性要求（实质性要求采购文件中“</w:t>
            </w:r>
            <w:r>
              <w:rPr>
                <w:rFonts w:hint="eastAsia" w:ascii="宋体" w:hAnsi="宋体" w:cs="宋体"/>
                <w:szCs w:val="21"/>
                <w:highlight w:val="none"/>
              </w:rPr>
              <w:t>★</w:t>
            </w:r>
            <w:r>
              <w:rPr>
                <w:szCs w:val="21"/>
                <w:highlight w:val="none"/>
              </w:rPr>
              <w:t>”标记）</w:t>
            </w:r>
            <w:r>
              <w:rPr>
                <w:rFonts w:hint="eastAsia"/>
                <w:szCs w:val="21"/>
                <w:highlight w:val="none"/>
              </w:rPr>
              <w:t>。</w:t>
            </w:r>
          </w:p>
        </w:tc>
        <w:tc>
          <w:tcPr>
            <w:tcW w:w="4461" w:type="dxa"/>
            <w:noWrap w:val="0"/>
            <w:vAlign w:val="center"/>
          </w:tcPr>
          <w:p>
            <w:pPr>
              <w:wordWrap w:val="0"/>
              <w:snapToGrid w:val="0"/>
              <w:spacing w:line="400" w:lineRule="exact"/>
              <w:rPr>
                <w:szCs w:val="21"/>
                <w:highlight w:val="none"/>
              </w:rPr>
            </w:pPr>
            <w:r>
              <w:rPr>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8</w:t>
            </w:r>
          </w:p>
        </w:tc>
        <w:tc>
          <w:tcPr>
            <w:tcW w:w="4234" w:type="dxa"/>
            <w:noWrap w:val="0"/>
            <w:vAlign w:val="center"/>
          </w:tcPr>
          <w:p>
            <w:pPr>
              <w:wordWrap w:val="0"/>
              <w:snapToGrid w:val="0"/>
              <w:spacing w:line="400" w:lineRule="exact"/>
              <w:rPr>
                <w:szCs w:val="21"/>
                <w:highlight w:val="none"/>
              </w:rPr>
            </w:pPr>
            <w:r>
              <w:rPr>
                <w:szCs w:val="21"/>
                <w:highlight w:val="none"/>
              </w:rPr>
              <w:t>本项目不接受联合体投标。</w:t>
            </w:r>
          </w:p>
        </w:tc>
        <w:tc>
          <w:tcPr>
            <w:tcW w:w="4461" w:type="dxa"/>
            <w:noWrap w:val="0"/>
            <w:vAlign w:val="center"/>
          </w:tcPr>
          <w:p>
            <w:pPr>
              <w:wordWrap w:val="0"/>
              <w:snapToGrid w:val="0"/>
              <w:spacing w:line="400" w:lineRule="exact"/>
              <w:rPr>
                <w:szCs w:val="21"/>
                <w:highlight w:val="none"/>
              </w:rPr>
            </w:pPr>
            <w:r>
              <w:rPr>
                <w:szCs w:val="21"/>
                <w:highlight w:val="none"/>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9</w:t>
            </w:r>
          </w:p>
        </w:tc>
        <w:tc>
          <w:tcPr>
            <w:tcW w:w="4234" w:type="dxa"/>
            <w:noWrap w:val="0"/>
            <w:vAlign w:val="center"/>
          </w:tcPr>
          <w:p>
            <w:pPr>
              <w:wordWrap w:val="0"/>
              <w:spacing w:line="360" w:lineRule="auto"/>
              <w:rPr>
                <w:highlight w:val="none"/>
              </w:rPr>
            </w:pPr>
            <w:r>
              <w:rPr>
                <w:rFonts w:hint="eastAsia" w:ascii="宋体" w:hAnsi="宋体" w:cs="宋体"/>
                <w:szCs w:val="21"/>
                <w:highlight w:val="none"/>
              </w:rPr>
              <w:t>不存在报价超出最高限价，或者超出采购预算金额，或者超出综合单价最高限价，采购人不能支付的情形。</w:t>
            </w:r>
          </w:p>
        </w:tc>
        <w:tc>
          <w:tcPr>
            <w:tcW w:w="4461" w:type="dxa"/>
            <w:noWrap w:val="0"/>
            <w:vAlign w:val="center"/>
          </w:tcPr>
          <w:p>
            <w:pPr>
              <w:wordWrap w:val="0"/>
              <w:spacing w:line="400" w:lineRule="exact"/>
              <w:rPr>
                <w:szCs w:val="21"/>
                <w:highlight w:val="none"/>
              </w:rPr>
            </w:pPr>
            <w:r>
              <w:rPr>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szCs w:val="21"/>
                <w:highlight w:val="none"/>
              </w:rPr>
            </w:pPr>
            <w:r>
              <w:rPr>
                <w:szCs w:val="21"/>
                <w:highlight w:val="none"/>
              </w:rPr>
              <w:t>10</w:t>
            </w:r>
          </w:p>
        </w:tc>
        <w:tc>
          <w:tcPr>
            <w:tcW w:w="4234" w:type="dxa"/>
            <w:noWrap w:val="0"/>
            <w:vAlign w:val="center"/>
          </w:tcPr>
          <w:p>
            <w:pPr>
              <w:wordWrap w:val="0"/>
              <w:spacing w:line="400" w:lineRule="exact"/>
              <w:rPr>
                <w:rFonts w:hint="eastAsia"/>
                <w:szCs w:val="21"/>
                <w:highlight w:val="none"/>
              </w:rPr>
            </w:pPr>
            <w:r>
              <w:rPr>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61" w:type="dxa"/>
            <w:noWrap w:val="0"/>
            <w:vAlign w:val="center"/>
          </w:tcPr>
          <w:p>
            <w:pPr>
              <w:wordWrap w:val="0"/>
              <w:spacing w:line="400" w:lineRule="exact"/>
              <w:rPr>
                <w:szCs w:val="21"/>
                <w:highlight w:val="none"/>
              </w:rPr>
            </w:pPr>
            <w:r>
              <w:rPr>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4" w:type="dxa"/>
            <w:gridSpan w:val="2"/>
            <w:noWrap w:val="0"/>
            <w:vAlign w:val="center"/>
          </w:tcPr>
          <w:p>
            <w:pPr>
              <w:wordWrap w:val="0"/>
              <w:snapToGrid w:val="0"/>
              <w:spacing w:line="400" w:lineRule="exact"/>
              <w:jc w:val="center"/>
              <w:rPr>
                <w:szCs w:val="21"/>
                <w:highlight w:val="none"/>
              </w:rPr>
            </w:pPr>
            <w:r>
              <w:rPr>
                <w:b/>
                <w:szCs w:val="21"/>
                <w:highlight w:val="none"/>
              </w:rPr>
              <w:t>符合性审查结论</w:t>
            </w:r>
          </w:p>
        </w:tc>
        <w:tc>
          <w:tcPr>
            <w:tcW w:w="4461" w:type="dxa"/>
            <w:noWrap w:val="0"/>
            <w:vAlign w:val="center"/>
          </w:tcPr>
          <w:p>
            <w:pPr>
              <w:wordWrap w:val="0"/>
              <w:snapToGrid w:val="0"/>
              <w:spacing w:line="400" w:lineRule="exact"/>
              <w:rPr>
                <w:szCs w:val="21"/>
                <w:highlight w:val="none"/>
              </w:rPr>
            </w:pPr>
          </w:p>
        </w:tc>
      </w:tr>
    </w:tbl>
    <w:p>
      <w:pPr>
        <w:spacing w:line="360" w:lineRule="auto"/>
        <w:rPr>
          <w:rFonts w:hint="eastAsia" w:ascii="宋体" w:hAnsi="宋体"/>
          <w:szCs w:val="21"/>
          <w:highlight w:val="none"/>
        </w:rPr>
      </w:pPr>
    </w:p>
    <w:p>
      <w:pPr>
        <w:spacing w:line="340" w:lineRule="exact"/>
        <w:ind w:left="316" w:hanging="316" w:hangingChars="150"/>
        <w:rPr>
          <w:rFonts w:hint="eastAsia" w:ascii="宋体" w:hAnsi="宋体"/>
          <w:szCs w:val="21"/>
          <w:highlight w:val="none"/>
        </w:rPr>
      </w:pPr>
      <w:r>
        <w:rPr>
          <w:rFonts w:hint="eastAsia" w:ascii="宋体" w:hAnsi="宋体"/>
          <w:b/>
          <w:highlight w:val="none"/>
        </w:rPr>
        <w:t>注：上述审查项目中，任意一项不符合的，符合性审查不合格。</w:t>
      </w:r>
    </w:p>
    <w:p>
      <w:pPr>
        <w:spacing w:line="360" w:lineRule="auto"/>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附表3</w:t>
      </w:r>
    </w:p>
    <w:p>
      <w:pPr>
        <w:spacing w:line="360" w:lineRule="auto"/>
        <w:jc w:val="center"/>
        <w:rPr>
          <w:rFonts w:hint="eastAsia" w:ascii="宋体" w:hAnsi="宋体"/>
          <w:szCs w:val="21"/>
          <w:highlight w:val="none"/>
        </w:rPr>
      </w:pPr>
      <w:r>
        <w:rPr>
          <w:rFonts w:hint="eastAsia" w:ascii="宋体" w:hAnsi="宋体"/>
          <w:b/>
          <w:sz w:val="24"/>
          <w:szCs w:val="24"/>
          <w:highlight w:val="none"/>
        </w:rPr>
        <w:t>评分标准（兼评委打分表）</w:t>
      </w:r>
    </w:p>
    <w:bookmarkEnd w:id="91"/>
    <w:bookmarkEnd w:id="92"/>
    <w:bookmarkEnd w:id="93"/>
    <w:bookmarkEnd w:id="94"/>
    <w:tbl>
      <w:tblPr>
        <w:tblStyle w:val="28"/>
        <w:tblpPr w:leftFromText="180" w:rightFromText="180" w:vertAnchor="text" w:horzAnchor="margin" w:tblpXSpec="center" w:tblpY="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2"/>
        <w:gridCol w:w="1581"/>
        <w:gridCol w:w="66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50" w:type="dxa"/>
            <w:vMerge w:val="restart"/>
            <w:noWrap w:val="0"/>
            <w:vAlign w:val="center"/>
          </w:tcPr>
          <w:p>
            <w:pPr>
              <w:snapToGrid w:val="0"/>
              <w:spacing w:line="360" w:lineRule="auto"/>
              <w:jc w:val="center"/>
              <w:rPr>
                <w:rFonts w:ascii="宋体" w:hAnsi="宋体" w:cs="宋体"/>
                <w:szCs w:val="21"/>
                <w:highlight w:val="none"/>
              </w:rPr>
            </w:pPr>
            <w:bookmarkStart w:id="96" w:name="_Toc484598082"/>
            <w:bookmarkStart w:id="97" w:name="_Toc484598379"/>
            <w:r>
              <w:rPr>
                <w:rFonts w:hint="eastAsia" w:ascii="宋体" w:hAnsi="宋体" w:cs="宋体"/>
                <w:szCs w:val="21"/>
                <w:highlight w:val="none"/>
              </w:rPr>
              <w:t>商务技术分</w:t>
            </w:r>
          </w:p>
          <w:p>
            <w:pPr>
              <w:snapToGrid w:val="0"/>
              <w:spacing w:line="360" w:lineRule="auto"/>
              <w:rPr>
                <w:rFonts w:ascii="宋体" w:hAnsi="宋体" w:cs="宋体"/>
                <w:szCs w:val="21"/>
                <w:highlight w:val="none"/>
              </w:rPr>
            </w:pPr>
            <w:r>
              <w:rPr>
                <w:rFonts w:hint="eastAsia" w:ascii="宋体" w:hAnsi="宋体" w:cs="宋体"/>
                <w:szCs w:val="21"/>
                <w:highlight w:val="none"/>
              </w:rPr>
              <w:t>(90分)</w:t>
            </w: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评分项目</w:t>
            </w:r>
          </w:p>
        </w:tc>
        <w:tc>
          <w:tcPr>
            <w:tcW w:w="66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评审标准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vAlign w:val="bottom"/>
          </w:tcPr>
          <w:p>
            <w:pPr>
              <w:snapToGrid w:val="0"/>
              <w:spacing w:line="360" w:lineRule="auto"/>
              <w:rPr>
                <w:rFonts w:ascii="宋体" w:hAnsi="宋体" w:cs="宋体"/>
                <w:szCs w:val="21"/>
                <w:highlight w:val="none"/>
              </w:rPr>
            </w:pP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技术参数响应（12分）</w:t>
            </w: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评标委员会根据供应商所提供的产品技术参数进行评审，产品技术参数和功能完全符合招标文件第五章“</w:t>
            </w:r>
            <w:r>
              <w:rPr>
                <w:rFonts w:hint="eastAsia"/>
                <w:highlight w:val="none"/>
              </w:rPr>
              <w:t>技术参数</w:t>
            </w:r>
            <w:r>
              <w:rPr>
                <w:rFonts w:hint="eastAsia" w:ascii="宋体" w:hAnsi="宋体" w:cs="宋体"/>
                <w:szCs w:val="21"/>
                <w:highlight w:val="none"/>
              </w:rPr>
              <w:t>”综合扣分，其中非“★”指标每负偏离一条扣1分，对于“★”指标的负偏离或未提供技术支持资料的，每负偏离一条扣2分，扣完为止。</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0" w:type="dxa"/>
            <w:vMerge w:val="continue"/>
            <w:noWrap w:val="0"/>
            <w:vAlign w:val="bottom"/>
          </w:tcPr>
          <w:p>
            <w:pPr>
              <w:snapToGrid w:val="0"/>
              <w:spacing w:line="360" w:lineRule="auto"/>
              <w:rPr>
                <w:rFonts w:ascii="宋体" w:hAnsi="宋体" w:cs="宋体"/>
                <w:szCs w:val="21"/>
                <w:highlight w:val="none"/>
              </w:rPr>
            </w:pPr>
          </w:p>
        </w:tc>
        <w:tc>
          <w:tcPr>
            <w:tcW w:w="652"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581"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技术方案</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（20分）</w:t>
            </w: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评标委员会根据供应商提供的项目软件系统需求理解的全面性、功能设计的吻合度进行评审，0-5分。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vAlign w:val="bottom"/>
          </w:tcPr>
          <w:p>
            <w:pPr>
              <w:snapToGrid w:val="0"/>
              <w:spacing w:line="360" w:lineRule="auto"/>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napToGrid w:val="0"/>
              <w:spacing w:line="360" w:lineRule="auto"/>
              <w:jc w:val="center"/>
              <w:rPr>
                <w:rFonts w:ascii="宋体" w:hAnsi="宋体" w:cs="宋体"/>
                <w:szCs w:val="21"/>
                <w:highlight w:val="none"/>
              </w:rPr>
            </w:pP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评标委员会根据供应商提供的软件总体架构、业务流程、网络架构总体设计方案的先进性、完整性、合理性、适用性、扩展性进行评审，0-5分。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vAlign w:val="bottom"/>
          </w:tcPr>
          <w:p>
            <w:pPr>
              <w:snapToGrid w:val="0"/>
              <w:spacing w:line="360" w:lineRule="auto"/>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napToGrid w:val="0"/>
              <w:spacing w:line="360" w:lineRule="auto"/>
              <w:jc w:val="center"/>
              <w:rPr>
                <w:rFonts w:ascii="宋体" w:hAnsi="宋体" w:cs="宋体"/>
                <w:szCs w:val="21"/>
                <w:highlight w:val="none"/>
              </w:rPr>
            </w:pP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评标委员会根据供应商在投标文件中，对具体功能模块：宣传预约、两卡治理、空壳公司共享筛查、预警劝阻闭环、全维智控驾驶舱的界面设计截图进行评审。</w:t>
            </w:r>
          </w:p>
          <w:p>
            <w:pPr>
              <w:snapToGrid w:val="0"/>
              <w:spacing w:line="360" w:lineRule="auto"/>
              <w:rPr>
                <w:rFonts w:ascii="宋体" w:hAnsi="宋体" w:cs="宋体"/>
                <w:szCs w:val="21"/>
                <w:highlight w:val="none"/>
              </w:rPr>
            </w:pPr>
            <w:r>
              <w:rPr>
                <w:rFonts w:hint="eastAsia" w:ascii="宋体" w:hAnsi="宋体" w:cs="宋体"/>
                <w:szCs w:val="21"/>
                <w:highlight w:val="none"/>
              </w:rPr>
              <w:t>注：每个功能模块最高得2分，本项最高10分，不提供不得分。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581"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实施方案</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（17分）</w:t>
            </w:r>
          </w:p>
        </w:tc>
        <w:tc>
          <w:tcPr>
            <w:tcW w:w="6634" w:type="dxa"/>
            <w:noWrap w:val="0"/>
            <w:vAlign w:val="center"/>
          </w:tcPr>
          <w:p>
            <w:pPr>
              <w:rPr>
                <w:rFonts w:ascii="宋体" w:hAnsi="宋体" w:cs="宋体"/>
                <w:szCs w:val="21"/>
                <w:highlight w:val="none"/>
              </w:rPr>
            </w:pPr>
            <w:r>
              <w:rPr>
                <w:rFonts w:hint="eastAsia" w:ascii="宋体" w:hAnsi="宋体" w:cs="宋体"/>
                <w:szCs w:val="21"/>
                <w:highlight w:val="none"/>
              </w:rPr>
              <w:t>评标委员会根据供应商提供的软件开发实施过程的描述是否完整、清晰、可控并符合相关软件工程标准等方面进行评审，0-4分。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napToGrid w:val="0"/>
              <w:spacing w:line="360" w:lineRule="auto"/>
              <w:jc w:val="center"/>
              <w:rPr>
                <w:rFonts w:ascii="宋体" w:hAnsi="宋体" w:cs="宋体"/>
                <w:szCs w:val="21"/>
                <w:highlight w:val="none"/>
              </w:rPr>
            </w:pP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评标委员会根据供应商所提供实施方案的完整性、合理性以及可行性等方面进行评审，0-4分。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napToGrid w:val="0"/>
              <w:spacing w:line="360" w:lineRule="auto"/>
              <w:jc w:val="center"/>
              <w:rPr>
                <w:rFonts w:ascii="宋体" w:hAnsi="宋体" w:cs="宋体"/>
                <w:szCs w:val="21"/>
                <w:highlight w:val="none"/>
              </w:rPr>
            </w:pP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评标委员会根据供应商提供的对本项目实施工作量（人月数）的合理性进行评审，0-4分。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napToGrid w:val="0"/>
              <w:spacing w:line="360" w:lineRule="auto"/>
              <w:jc w:val="center"/>
              <w:rPr>
                <w:rFonts w:ascii="宋体" w:hAnsi="宋体" w:cs="宋体"/>
                <w:szCs w:val="21"/>
                <w:highlight w:val="none"/>
              </w:rPr>
            </w:pP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评标委员会根据供应商提供的质量控制措施</w:t>
            </w:r>
            <w:r>
              <w:rPr>
                <w:rFonts w:ascii="宋体" w:hAnsi="宋体" w:cs="宋体"/>
                <w:szCs w:val="21"/>
                <w:highlight w:val="none"/>
              </w:rPr>
              <w:t>、</w:t>
            </w:r>
            <w:r>
              <w:rPr>
                <w:rFonts w:hint="eastAsia" w:ascii="宋体" w:hAnsi="宋体" w:cs="宋体"/>
                <w:szCs w:val="21"/>
                <w:highlight w:val="none"/>
              </w:rPr>
              <w:t>信息安全保障及保密方案进行评审，0-5分。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进度计划</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（4分）</w:t>
            </w: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根据供应商提供的进度计划方案，是否满足采购需求，各环节工期安排是否合理等方面进行评审，0-4分。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581"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售后服务</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（10分）</w:t>
            </w: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评标委员会根据供应商提供的售后服务机构、售后服务便捷性、售后服务响应时间（提供承诺书）、响应能力等进行评审，0-5分。</w:t>
            </w:r>
          </w:p>
          <w:p>
            <w:pPr>
              <w:snapToGrid w:val="0"/>
              <w:spacing w:line="360" w:lineRule="auto"/>
              <w:rPr>
                <w:rFonts w:ascii="宋体" w:hAnsi="宋体" w:cs="宋体"/>
                <w:szCs w:val="21"/>
                <w:highlight w:val="none"/>
              </w:rPr>
            </w:pPr>
            <w:r>
              <w:rPr>
                <w:rFonts w:hint="eastAsia" w:ascii="宋体" w:hAnsi="宋体" w:cs="宋体"/>
                <w:szCs w:val="21"/>
                <w:highlight w:val="none"/>
              </w:rPr>
              <w:t>优于招标文件要求的：4-5分；完全满足招标文件要求的得3分；不完全满足招标文件要求或缺项的，得0分。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napToGrid w:val="0"/>
              <w:spacing w:line="360" w:lineRule="auto"/>
              <w:jc w:val="center"/>
              <w:rPr>
                <w:rFonts w:ascii="宋体" w:hAnsi="宋体" w:cs="宋体"/>
                <w:szCs w:val="21"/>
                <w:highlight w:val="none"/>
              </w:rPr>
            </w:pP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评标委员会根据供应商提供的培训服务保障体系（包括培训方案、培训目的、培训内容、培训时间安排、培训方式等），以及技术指导和培训计划等进行评审，0-5分。</w:t>
            </w:r>
          </w:p>
          <w:p>
            <w:pPr>
              <w:snapToGrid w:val="0"/>
              <w:spacing w:line="360" w:lineRule="auto"/>
              <w:rPr>
                <w:rFonts w:ascii="宋体" w:hAnsi="宋体" w:cs="宋体"/>
                <w:szCs w:val="21"/>
                <w:highlight w:val="none"/>
              </w:rPr>
            </w:pPr>
            <w:r>
              <w:rPr>
                <w:rFonts w:hint="eastAsia" w:ascii="宋体" w:hAnsi="宋体" w:cs="宋体"/>
                <w:szCs w:val="21"/>
                <w:highlight w:val="none"/>
              </w:rPr>
              <w:t>优于招标文件要求的：4-5分；完全满足招标文件要求的得3分；不完全满足招标文件要求或缺项的，得0分。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公司资质</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（5分）</w:t>
            </w:r>
          </w:p>
        </w:tc>
        <w:tc>
          <w:tcPr>
            <w:tcW w:w="6634" w:type="dxa"/>
            <w:noWrap w:val="0"/>
            <w:vAlign w:val="center"/>
          </w:tcPr>
          <w:p>
            <w:pPr>
              <w:snapToGri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rPr>
              <w:t>供应商具有质量管理体系认证证书</w:t>
            </w:r>
            <w:r>
              <w:rPr>
                <w:rFonts w:hint="eastAsia" w:ascii="宋体" w:hAnsi="宋体" w:eastAsia="宋体" w:cs="宋体"/>
                <w:szCs w:val="21"/>
                <w:highlight w:val="none"/>
                <w:lang w:val="en-US" w:eastAsia="zh-CN"/>
              </w:rPr>
              <w:t>的得1分；</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②</w:t>
            </w:r>
            <w:r>
              <w:rPr>
                <w:rFonts w:hint="eastAsia" w:ascii="宋体" w:hAnsi="宋体" w:eastAsia="宋体" w:cs="宋体"/>
                <w:szCs w:val="21"/>
                <w:highlight w:val="none"/>
              </w:rPr>
              <w:t>供应商具有涉密信息系统集成资质证书</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得1分</w:t>
            </w:r>
            <w:r>
              <w:rPr>
                <w:rFonts w:hint="eastAsia" w:ascii="宋体" w:hAnsi="宋体" w:eastAsia="宋体" w:cs="宋体"/>
                <w:szCs w:val="21"/>
                <w:highlight w:val="none"/>
                <w:lang w:eastAsia="zh-CN"/>
              </w:rPr>
              <w:t>；</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③</w:t>
            </w:r>
            <w:r>
              <w:rPr>
                <w:rFonts w:hint="eastAsia" w:ascii="宋体" w:hAnsi="宋体" w:eastAsia="宋体" w:cs="宋体"/>
                <w:szCs w:val="21"/>
                <w:highlight w:val="none"/>
              </w:rPr>
              <w:t>供应商具有**工作、大数据、智能比对相关软件产品著作权证书的，每个证书得1分，最多得3分。</w:t>
            </w:r>
          </w:p>
          <w:p>
            <w:pPr>
              <w:snapToGrid w:val="0"/>
              <w:spacing w:line="360" w:lineRule="auto"/>
              <w:rPr>
                <w:rFonts w:hint="default" w:eastAsia="宋体"/>
                <w:highlight w:val="none"/>
                <w:lang w:val="en-US" w:eastAsia="zh-CN"/>
              </w:rPr>
            </w:pPr>
            <w:r>
              <w:rPr>
                <w:rFonts w:hint="eastAsia" w:ascii="宋体" w:hAnsi="宋体" w:eastAsia="宋体" w:cs="宋体"/>
                <w:szCs w:val="21"/>
                <w:highlight w:val="none"/>
              </w:rPr>
              <w:t>注：须提供</w:t>
            </w:r>
            <w:r>
              <w:rPr>
                <w:rFonts w:hint="eastAsia" w:ascii="宋体" w:hAnsi="宋体" w:eastAsia="宋体" w:cs="宋体"/>
                <w:szCs w:val="21"/>
                <w:highlight w:val="none"/>
                <w:lang w:val="en-US" w:eastAsia="zh-CN"/>
              </w:rPr>
              <w:t>证书</w:t>
            </w:r>
            <w:r>
              <w:rPr>
                <w:rFonts w:hint="eastAsia" w:ascii="宋体" w:hAnsi="宋体" w:eastAsia="宋体" w:cs="宋体"/>
                <w:szCs w:val="21"/>
                <w:highlight w:val="none"/>
              </w:rPr>
              <w:t>复印件并加盖供应商公章，</w:t>
            </w:r>
            <w:r>
              <w:rPr>
                <w:rFonts w:hint="eastAsia" w:ascii="宋体" w:hAnsi="宋体" w:eastAsia="宋体" w:cs="宋体"/>
                <w:szCs w:val="21"/>
                <w:highlight w:val="none"/>
                <w:lang w:val="en-US" w:eastAsia="zh-CN"/>
              </w:rPr>
              <w:t>否则不得分。</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同类业绩</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（1分）</w:t>
            </w:r>
          </w:p>
        </w:tc>
        <w:tc>
          <w:tcPr>
            <w:tcW w:w="6634" w:type="dxa"/>
            <w:noWrap w:val="0"/>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自2017年1月1日（时间以合同签订日期为准）以来实施完成案例（至少包含大数据平台或综合应用平台），1个0.5分，最多得1分。</w:t>
            </w:r>
          </w:p>
          <w:p>
            <w:pPr>
              <w:snapToGrid w:val="0"/>
              <w:spacing w:line="360" w:lineRule="auto"/>
              <w:rPr>
                <w:rFonts w:ascii="宋体" w:hAnsi="宋体" w:cs="宋体"/>
                <w:szCs w:val="21"/>
                <w:highlight w:val="none"/>
              </w:rPr>
            </w:pPr>
            <w:r>
              <w:rPr>
                <w:rFonts w:hint="eastAsia" w:ascii="宋体" w:hAnsi="宋体" w:cs="宋体"/>
                <w:szCs w:val="21"/>
                <w:highlight w:val="none"/>
              </w:rPr>
              <w:t>注：须提供合同复印件并加盖供应商公章，合同中未能体现相关评审内容的，须提供业主证明。</w:t>
            </w:r>
          </w:p>
        </w:tc>
        <w:tc>
          <w:tcPr>
            <w:tcW w:w="934"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restart"/>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1581" w:type="dxa"/>
            <w:vMerge w:val="restart"/>
            <w:noWrap w:val="0"/>
            <w:vAlign w:val="center"/>
          </w:tcPr>
          <w:p>
            <w:pPr>
              <w:spacing w:line="360" w:lineRule="auto"/>
              <w:jc w:val="center"/>
              <w:rPr>
                <w:rFonts w:ascii="宋体" w:hAnsi="宋体"/>
                <w:b/>
                <w:bCs/>
                <w:highlight w:val="none"/>
              </w:rPr>
            </w:pPr>
            <w:r>
              <w:rPr>
                <w:rFonts w:hint="eastAsia" w:ascii="宋体" w:hAnsi="宋体"/>
                <w:highlight w:val="none"/>
              </w:rPr>
              <w:t>项目组人员安排（10分）</w:t>
            </w:r>
          </w:p>
        </w:tc>
        <w:tc>
          <w:tcPr>
            <w:tcW w:w="6634" w:type="dxa"/>
            <w:noWrap w:val="0"/>
            <w:vAlign w:val="center"/>
          </w:tcPr>
          <w:p>
            <w:pPr>
              <w:spacing w:line="360" w:lineRule="auto"/>
              <w:rPr>
                <w:highlight w:val="none"/>
              </w:rPr>
            </w:pPr>
            <w:r>
              <w:rPr>
                <w:rFonts w:hint="eastAsia"/>
                <w:highlight w:val="none"/>
              </w:rPr>
              <w:t>项目经理综合实力：</w:t>
            </w:r>
          </w:p>
          <w:p>
            <w:pPr>
              <w:spacing w:line="360" w:lineRule="auto"/>
              <w:rPr>
                <w:rFonts w:ascii="宋体" w:hAnsi="宋体"/>
                <w:highlight w:val="none"/>
              </w:rPr>
            </w:pPr>
            <w:r>
              <w:rPr>
                <w:rFonts w:hint="eastAsia" w:ascii="宋体" w:hAnsi="宋体"/>
                <w:highlight w:val="none"/>
              </w:rPr>
              <w:t>项目经理具有信息系统项目管理师（高级及以上）证书的得2分。</w:t>
            </w:r>
          </w:p>
          <w:p>
            <w:pPr>
              <w:spacing w:line="360" w:lineRule="auto"/>
              <w:rPr>
                <w:rFonts w:ascii="宋体" w:hAnsi="宋体"/>
                <w:highlight w:val="none"/>
              </w:rPr>
            </w:pPr>
            <w:r>
              <w:rPr>
                <w:rFonts w:hint="eastAsia"/>
                <w:highlight w:val="none"/>
              </w:rPr>
              <w:t>注：需提供项目经理相关证书复印件、本单位为其缴纳的2022年2月，2022年3月，2022年4月的社保缴纳证明；未提供以上资料或资料缺项的不得分。</w:t>
            </w:r>
          </w:p>
        </w:tc>
        <w:tc>
          <w:tcPr>
            <w:tcW w:w="934" w:type="dxa"/>
            <w:noWrap w:val="0"/>
            <w:vAlign w:val="center"/>
          </w:tcPr>
          <w:p>
            <w:pPr>
              <w:spacing w:line="360" w:lineRule="auto"/>
              <w:jc w:val="center"/>
              <w:rPr>
                <w:highlight w:val="none"/>
              </w:rPr>
            </w:pPr>
            <w:r>
              <w:rPr>
                <w:rFonts w:hint="eastAsia"/>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vMerge w:val="continue"/>
            <w:noWrap w:val="0"/>
            <w:vAlign w:val="center"/>
          </w:tcPr>
          <w:p>
            <w:pPr>
              <w:snapToGrid w:val="0"/>
              <w:spacing w:line="360" w:lineRule="auto"/>
              <w:jc w:val="center"/>
              <w:rPr>
                <w:rFonts w:ascii="宋体" w:hAnsi="宋体" w:cs="宋体"/>
                <w:szCs w:val="21"/>
                <w:highlight w:val="none"/>
              </w:rPr>
            </w:pPr>
          </w:p>
        </w:tc>
        <w:tc>
          <w:tcPr>
            <w:tcW w:w="1581" w:type="dxa"/>
            <w:vMerge w:val="continue"/>
            <w:noWrap w:val="0"/>
            <w:vAlign w:val="center"/>
          </w:tcPr>
          <w:p>
            <w:pPr>
              <w:spacing w:line="360" w:lineRule="auto"/>
              <w:jc w:val="center"/>
              <w:rPr>
                <w:b/>
                <w:bCs/>
                <w:highlight w:val="none"/>
              </w:rPr>
            </w:pPr>
          </w:p>
        </w:tc>
        <w:tc>
          <w:tcPr>
            <w:tcW w:w="6634" w:type="dxa"/>
            <w:noWrap w:val="0"/>
            <w:vAlign w:val="center"/>
          </w:tcPr>
          <w:p>
            <w:pPr>
              <w:spacing w:line="360" w:lineRule="auto"/>
              <w:rPr>
                <w:highlight w:val="none"/>
              </w:rPr>
            </w:pPr>
            <w:r>
              <w:rPr>
                <w:rFonts w:hint="eastAsia"/>
                <w:highlight w:val="none"/>
              </w:rPr>
              <w:t>项目组成员综合实力（除项目经理外）：</w:t>
            </w:r>
          </w:p>
          <w:p>
            <w:pPr>
              <w:spacing w:line="360" w:lineRule="auto"/>
              <w:rPr>
                <w:highlight w:val="none"/>
              </w:rPr>
            </w:pPr>
            <w:r>
              <w:rPr>
                <w:rFonts w:hint="eastAsia"/>
                <w:highlight w:val="none"/>
              </w:rPr>
              <w:t>①项目要求开发期间提供常驻人员3人，每多提供一人得1分，</w:t>
            </w:r>
            <w:r>
              <w:rPr>
                <w:rFonts w:hint="eastAsia" w:ascii="宋体" w:hAnsi="宋体" w:cs="宋体"/>
                <w:szCs w:val="21"/>
                <w:highlight w:val="none"/>
              </w:rPr>
              <w:t>最多得2分。</w:t>
            </w:r>
          </w:p>
          <w:p>
            <w:pPr>
              <w:spacing w:line="360" w:lineRule="auto"/>
              <w:rPr>
                <w:highlight w:val="none"/>
              </w:rPr>
            </w:pPr>
            <w:r>
              <w:rPr>
                <w:rFonts w:hint="eastAsia"/>
                <w:highlight w:val="none"/>
              </w:rPr>
              <w:t>②项目要求</w:t>
            </w:r>
            <w:r>
              <w:rPr>
                <w:rFonts w:hint="eastAsia" w:ascii="宋体" w:hAnsi="宋体"/>
                <w:highlight w:val="none"/>
              </w:rPr>
              <w:t>维保服务期间提供常驻人员2人，</w:t>
            </w:r>
            <w:r>
              <w:rPr>
                <w:rFonts w:hint="eastAsia"/>
                <w:highlight w:val="none"/>
              </w:rPr>
              <w:t>每多提供一人得1分，最多得2分。</w:t>
            </w:r>
          </w:p>
          <w:p>
            <w:pPr>
              <w:spacing w:line="360" w:lineRule="auto"/>
              <w:rPr>
                <w:rFonts w:ascii="宋体" w:hAnsi="宋体" w:cs="宋体"/>
                <w:szCs w:val="21"/>
                <w:highlight w:val="none"/>
              </w:rPr>
            </w:pPr>
            <w:r>
              <w:rPr>
                <w:rFonts w:hint="eastAsia"/>
                <w:highlight w:val="none"/>
              </w:rPr>
              <w:t>③</w:t>
            </w:r>
            <w:r>
              <w:rPr>
                <w:rFonts w:hint="eastAsia" w:ascii="宋体" w:hAnsi="宋体"/>
                <w:highlight w:val="none"/>
              </w:rPr>
              <w:t>根据项目小组其他成员的配置数量、人员能力、从业经验</w:t>
            </w:r>
            <w:r>
              <w:rPr>
                <w:rFonts w:hint="eastAsia" w:ascii="宋体" w:hAnsi="宋体" w:cs="宋体"/>
                <w:szCs w:val="21"/>
                <w:highlight w:val="none"/>
              </w:rPr>
              <w:t>等方面进行评审，得0-2分。</w:t>
            </w:r>
          </w:p>
          <w:p>
            <w:pPr>
              <w:spacing w:line="360" w:lineRule="auto"/>
              <w:rPr>
                <w:rFonts w:ascii="宋体" w:hAnsi="宋体"/>
                <w:highlight w:val="none"/>
              </w:rPr>
            </w:pPr>
            <w:r>
              <w:rPr>
                <w:rFonts w:hint="eastAsia" w:ascii="宋体" w:hAnsi="宋体"/>
                <w:highlight w:val="none"/>
              </w:rPr>
              <w:t>④项目组成员具有人社部门颁发的软件设计师或数据库系统工程师（中级）证书的，每提供1本证书得1分，</w:t>
            </w:r>
            <w:r>
              <w:rPr>
                <w:rFonts w:hint="eastAsia" w:ascii="宋体" w:hAnsi="宋体" w:cs="宋体"/>
                <w:szCs w:val="21"/>
                <w:highlight w:val="none"/>
              </w:rPr>
              <w:t>最多得2分。</w:t>
            </w:r>
          </w:p>
          <w:p>
            <w:pPr>
              <w:spacing w:line="360" w:lineRule="auto"/>
              <w:rPr>
                <w:rFonts w:ascii="宋体" w:hAnsi="宋体"/>
                <w:highlight w:val="none"/>
              </w:rPr>
            </w:pPr>
            <w:r>
              <w:rPr>
                <w:rFonts w:hint="eastAsia"/>
                <w:highlight w:val="none"/>
              </w:rPr>
              <w:t>注：需提供以上人员相关证明复印件、本单位为以上人员缴纳的2022年2月，2022年3月，2022年4月的社保缴纳证明；未提供以上资料或资料缺项的不得分。</w:t>
            </w:r>
          </w:p>
        </w:tc>
        <w:tc>
          <w:tcPr>
            <w:tcW w:w="934" w:type="dxa"/>
            <w:noWrap w:val="0"/>
            <w:vAlign w:val="center"/>
          </w:tcPr>
          <w:p>
            <w:pPr>
              <w:spacing w:line="360" w:lineRule="auto"/>
              <w:jc w:val="center"/>
              <w:rPr>
                <w:highlight w:val="none"/>
              </w:rPr>
            </w:pPr>
            <w:r>
              <w:rPr>
                <w:rFonts w:hint="eastAsia"/>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讲解和答辩</w:t>
            </w:r>
          </w:p>
          <w:p>
            <w:pPr>
              <w:snapToGrid w:val="0"/>
              <w:spacing w:line="360" w:lineRule="auto"/>
              <w:jc w:val="center"/>
              <w:rPr>
                <w:rFonts w:ascii="宋体" w:hAnsi="宋体" w:cs="宋体"/>
                <w:szCs w:val="21"/>
                <w:highlight w:val="none"/>
              </w:rPr>
            </w:pPr>
            <w:r>
              <w:rPr>
                <w:rFonts w:hint="eastAsia" w:ascii="宋体" w:hAnsi="宋体" w:cs="宋体"/>
                <w:szCs w:val="21"/>
                <w:highlight w:val="none"/>
              </w:rPr>
              <w:t>（10分）</w:t>
            </w:r>
          </w:p>
        </w:tc>
        <w:tc>
          <w:tcPr>
            <w:tcW w:w="6634" w:type="dxa"/>
            <w:noWrap w:val="0"/>
            <w:vAlign w:val="center"/>
          </w:tcPr>
          <w:p>
            <w:pPr>
              <w:snapToGrid w:val="0"/>
              <w:spacing w:line="360" w:lineRule="auto"/>
              <w:rPr>
                <w:highlight w:val="none"/>
              </w:rPr>
            </w:pPr>
            <w:r>
              <w:rPr>
                <w:rFonts w:hint="eastAsia"/>
                <w:highlight w:val="none"/>
              </w:rPr>
              <w:t>根据供应商需从技术参数标★功能完整性、界面设计友好性，软件可操作性，对本项目系统现场</w:t>
            </w:r>
            <w:r>
              <w:rPr>
                <w:rFonts w:hint="eastAsia" w:ascii="宋体" w:hAnsi="宋体" w:cs="宋体"/>
                <w:szCs w:val="21"/>
                <w:highlight w:val="none"/>
              </w:rPr>
              <w:t>讲解和答辩</w:t>
            </w:r>
            <w:r>
              <w:rPr>
                <w:rFonts w:hint="eastAsia"/>
                <w:highlight w:val="none"/>
              </w:rPr>
              <w:t>（可采用demo、录屏、ppt等方式辅助讲解），由评委进行综合评议。</w:t>
            </w:r>
          </w:p>
        </w:tc>
        <w:tc>
          <w:tcPr>
            <w:tcW w:w="934" w:type="dxa"/>
            <w:noWrap w:val="0"/>
            <w:vAlign w:val="center"/>
          </w:tcPr>
          <w:p>
            <w:pPr>
              <w:snapToGrid w:val="0"/>
              <w:spacing w:line="360" w:lineRule="auto"/>
              <w:jc w:val="center"/>
              <w:rPr>
                <w:rFonts w:ascii="宋体" w:hAnsi="宋体"/>
                <w:highlight w:val="none"/>
              </w:rPr>
            </w:pPr>
            <w:r>
              <w:rPr>
                <w:rFonts w:hint="eastAsia" w:ascii="宋体" w:hAnsi="宋体"/>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 w:type="dxa"/>
            <w:vMerge w:val="continue"/>
            <w:noWrap w:val="0"/>
            <w:textDirection w:val="tbRlV"/>
            <w:vAlign w:val="center"/>
          </w:tcPr>
          <w:p>
            <w:pPr>
              <w:snapToGrid w:val="0"/>
              <w:spacing w:line="360" w:lineRule="auto"/>
              <w:jc w:val="center"/>
              <w:rPr>
                <w:rFonts w:ascii="宋体" w:hAnsi="宋体" w:cs="宋体"/>
                <w:szCs w:val="21"/>
                <w:highlight w:val="none"/>
              </w:rPr>
            </w:pPr>
          </w:p>
        </w:tc>
        <w:tc>
          <w:tcPr>
            <w:tcW w:w="652"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1581" w:type="dxa"/>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政府采购政策分（1分）</w:t>
            </w:r>
          </w:p>
        </w:tc>
        <w:tc>
          <w:tcPr>
            <w:tcW w:w="6634" w:type="dxa"/>
            <w:noWrap w:val="0"/>
            <w:vAlign w:val="center"/>
          </w:tcPr>
          <w:p>
            <w:pPr>
              <w:snapToGrid w:val="0"/>
              <w:spacing w:line="360" w:lineRule="auto"/>
              <w:rPr>
                <w:rFonts w:ascii="宋体" w:hAnsi="宋体"/>
                <w:highlight w:val="none"/>
              </w:rPr>
            </w:pPr>
            <w:r>
              <w:rPr>
                <w:rFonts w:hint="eastAsia" w:ascii="宋体" w:hAnsi="宋体"/>
                <w:highlight w:val="none"/>
              </w:rPr>
              <w:t>供应商注册在不发达地区的，得0.5分；供应商注册在少数民族地区的，得0.5分；</w:t>
            </w:r>
          </w:p>
          <w:p>
            <w:pPr>
              <w:snapToGrid w:val="0"/>
              <w:spacing w:line="360" w:lineRule="auto"/>
              <w:rPr>
                <w:rFonts w:ascii="宋体" w:hAnsi="宋体"/>
                <w:highlight w:val="none"/>
              </w:rPr>
            </w:pPr>
            <w:r>
              <w:rPr>
                <w:rFonts w:hint="eastAsia" w:ascii="宋体" w:hAnsi="宋体"/>
                <w:highlight w:val="none"/>
              </w:rPr>
              <w:t>注：供应商应在投标文件中提供相关证明资料（例如“政府部门文件”或“政府部门媒体网站发布的相关信息”中说明供应商注册地属于“不发达地区”、 “少数民族地区”等资料）。</w:t>
            </w:r>
          </w:p>
        </w:tc>
        <w:tc>
          <w:tcPr>
            <w:tcW w:w="934" w:type="dxa"/>
            <w:noWrap w:val="0"/>
            <w:vAlign w:val="center"/>
          </w:tcPr>
          <w:p>
            <w:pPr>
              <w:snapToGrid w:val="0"/>
              <w:spacing w:line="360" w:lineRule="auto"/>
              <w:jc w:val="center"/>
              <w:rPr>
                <w:rFonts w:ascii="宋体" w:hAnsi="宋体"/>
                <w:highlight w:val="none"/>
              </w:rPr>
            </w:pPr>
            <w:r>
              <w:rPr>
                <w:rFonts w:hint="eastAsia" w:ascii="宋体" w:hAnsi="宋体"/>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83" w:type="dxa"/>
            <w:gridSpan w:val="3"/>
            <w:noWrap w:val="0"/>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价格分（10分）</w:t>
            </w:r>
          </w:p>
        </w:tc>
        <w:tc>
          <w:tcPr>
            <w:tcW w:w="6634" w:type="dxa"/>
            <w:noWrap w:val="0"/>
            <w:vAlign w:val="center"/>
          </w:tcPr>
          <w:p>
            <w:pPr>
              <w:widowControl/>
              <w:spacing w:line="360" w:lineRule="auto"/>
              <w:rPr>
                <w:rFonts w:ascii="宋体" w:hAnsi="宋体" w:cs="宋体"/>
                <w:szCs w:val="21"/>
                <w:highlight w:val="none"/>
              </w:rPr>
            </w:pPr>
            <w:r>
              <w:rPr>
                <w:rFonts w:hint="eastAsia" w:ascii="宋体" w:hAnsi="宋体" w:cs="宋体"/>
                <w:szCs w:val="21"/>
                <w:highlight w:val="none"/>
              </w:rPr>
              <w:t>评标基准价=满足招标文件要求的参与评审价格最低价</w:t>
            </w:r>
          </w:p>
          <w:p>
            <w:pPr>
              <w:widowControl/>
              <w:spacing w:line="360" w:lineRule="auto"/>
              <w:rPr>
                <w:rFonts w:ascii="宋体" w:hAnsi="宋体" w:cs="宋体"/>
                <w:szCs w:val="21"/>
                <w:highlight w:val="none"/>
              </w:rPr>
            </w:pPr>
            <w:r>
              <w:rPr>
                <w:rFonts w:hint="eastAsia" w:ascii="宋体" w:hAnsi="宋体" w:cs="宋体"/>
                <w:szCs w:val="21"/>
                <w:highlight w:val="none"/>
              </w:rPr>
              <w:t>基准价得分为满分10分。</w:t>
            </w:r>
          </w:p>
          <w:p>
            <w:pPr>
              <w:widowControl/>
              <w:spacing w:line="360" w:lineRule="auto"/>
              <w:rPr>
                <w:rFonts w:ascii="宋体" w:hAnsi="宋体" w:cs="宋体"/>
                <w:szCs w:val="21"/>
                <w:highlight w:val="none"/>
              </w:rPr>
            </w:pPr>
            <w:r>
              <w:rPr>
                <w:rFonts w:hint="eastAsia" w:ascii="宋体" w:hAnsi="宋体" w:cs="宋体"/>
                <w:szCs w:val="21"/>
                <w:highlight w:val="none"/>
              </w:rPr>
              <w:t>投标报价得分=（评标基准价/参与评审的价格）×10%×100</w:t>
            </w:r>
          </w:p>
          <w:p>
            <w:pPr>
              <w:widowControl/>
              <w:snapToGrid w:val="0"/>
              <w:spacing w:line="360" w:lineRule="auto"/>
              <w:rPr>
                <w:rFonts w:ascii="宋体" w:hAnsi="宋体" w:cs="宋体"/>
                <w:szCs w:val="21"/>
                <w:highlight w:val="none"/>
              </w:rPr>
            </w:pPr>
            <w:r>
              <w:rPr>
                <w:rFonts w:hint="eastAsia" w:ascii="宋体" w:hAnsi="宋体" w:cs="宋体"/>
                <w:szCs w:val="21"/>
                <w:highlight w:val="none"/>
              </w:rPr>
              <w:t>投标报价得分以四舍五入保留小数点后二位。</w:t>
            </w:r>
          </w:p>
          <w:p>
            <w:pPr>
              <w:widowControl/>
              <w:snapToGrid w:val="0"/>
              <w:spacing w:line="360" w:lineRule="auto"/>
              <w:rPr>
                <w:rFonts w:ascii="宋体" w:hAnsi="宋体" w:cs="宋体"/>
                <w:szCs w:val="21"/>
                <w:highlight w:val="none"/>
              </w:rPr>
            </w:pPr>
            <w:r>
              <w:rPr>
                <w:rFonts w:hint="eastAsia" w:ascii="宋体" w:hAnsi="宋体" w:cs="宋体"/>
                <w:szCs w:val="21"/>
                <w:highlight w:val="none"/>
              </w:rPr>
              <w:t>注：1、最终报价超过最高限价的作无效标处理。</w:t>
            </w:r>
          </w:p>
          <w:p>
            <w:pPr>
              <w:widowControl/>
              <w:snapToGrid w:val="0"/>
              <w:spacing w:line="360" w:lineRule="auto"/>
              <w:rPr>
                <w:rFonts w:ascii="宋体" w:hAnsi="宋体" w:cs="宋体"/>
                <w:szCs w:val="21"/>
                <w:highlight w:val="none"/>
              </w:rPr>
            </w:pPr>
            <w:r>
              <w:rPr>
                <w:rFonts w:hint="eastAsia" w:ascii="宋体" w:hAnsi="宋体" w:cs="宋体"/>
                <w:szCs w:val="21"/>
                <w:highlight w:val="none"/>
              </w:rPr>
              <w:t>2、价格得分小数点后保留2位小数，第3位小数四舍五入。</w:t>
            </w:r>
          </w:p>
        </w:tc>
        <w:tc>
          <w:tcPr>
            <w:tcW w:w="934" w:type="dxa"/>
            <w:noWrap w:val="0"/>
            <w:vAlign w:val="center"/>
          </w:tcPr>
          <w:p>
            <w:pPr>
              <w:widowControl/>
              <w:snapToGrid w:val="0"/>
              <w:spacing w:line="360" w:lineRule="auto"/>
              <w:jc w:val="center"/>
              <w:rPr>
                <w:rFonts w:ascii="宋体" w:hAnsi="宋体" w:cs="宋体"/>
                <w:szCs w:val="21"/>
                <w:highlight w:val="none"/>
              </w:rPr>
            </w:pPr>
            <w:r>
              <w:rPr>
                <w:rFonts w:hint="eastAsia" w:ascii="宋体" w:hAnsi="宋体" w:cs="宋体"/>
                <w:szCs w:val="21"/>
                <w:highlight w:val="none"/>
              </w:rPr>
              <w:t>0-10分</w:t>
            </w:r>
          </w:p>
        </w:tc>
      </w:tr>
    </w:tbl>
    <w:p>
      <w:pPr>
        <w:spacing w:before="60" w:after="60" w:line="360" w:lineRule="auto"/>
        <w:rPr>
          <w:rFonts w:ascii="宋体" w:hAnsi="宋体"/>
          <w:szCs w:val="21"/>
          <w:highlight w:val="none"/>
        </w:rPr>
      </w:pPr>
      <w:r>
        <w:rPr>
          <w:rFonts w:hint="eastAsia" w:ascii="宋体" w:hAnsi="宋体"/>
          <w:szCs w:val="21"/>
          <w:highlight w:val="none"/>
        </w:rPr>
        <w:t>评标小组成员签名：                                            年    月    日</w:t>
      </w:r>
      <w:bookmarkEnd w:id="96"/>
      <w:bookmarkEnd w:id="97"/>
      <w:bookmarkStart w:id="98" w:name="_Toc263631747"/>
      <w:bookmarkStart w:id="99" w:name="_Toc484598084"/>
      <w:bookmarkStart w:id="100" w:name="_Toc355766599"/>
      <w:bookmarkStart w:id="101" w:name="_Toc484598381"/>
    </w:p>
    <w:p>
      <w:pPr>
        <w:pStyle w:val="5"/>
        <w:spacing w:before="120" w:after="120" w:line="360" w:lineRule="auto"/>
        <w:rPr>
          <w:rFonts w:hint="eastAsia" w:hAnsi="宋体"/>
          <w:sz w:val="44"/>
          <w:szCs w:val="48"/>
          <w:highlight w:val="none"/>
        </w:rPr>
      </w:pPr>
      <w:bookmarkStart w:id="102" w:name="_Toc487121761"/>
    </w:p>
    <w:p>
      <w:pPr>
        <w:spacing w:line="360" w:lineRule="auto"/>
        <w:rPr>
          <w:rFonts w:hint="eastAsia"/>
          <w:b/>
          <w:bCs/>
          <w:highlight w:val="none"/>
        </w:rPr>
      </w:pPr>
      <w:r>
        <w:rPr>
          <w:rFonts w:hint="eastAsia" w:hAnsi="宋体"/>
          <w:sz w:val="44"/>
          <w:szCs w:val="48"/>
          <w:highlight w:val="none"/>
        </w:rPr>
        <w:br w:type="page"/>
      </w:r>
      <w:bookmarkStart w:id="103" w:name="_Toc15688"/>
      <w:r>
        <w:rPr>
          <w:rFonts w:hint="eastAsia"/>
          <w:b/>
          <w:bCs/>
          <w:highlight w:val="none"/>
        </w:rPr>
        <w:t>讲解和答辩须知：</w:t>
      </w:r>
    </w:p>
    <w:bookmarkEnd w:id="103"/>
    <w:p>
      <w:pPr>
        <w:spacing w:line="360" w:lineRule="auto"/>
        <w:rPr>
          <w:rFonts w:hint="eastAsia"/>
          <w:b/>
          <w:bCs/>
          <w:highlight w:val="none"/>
        </w:rPr>
      </w:pPr>
      <w:bookmarkStart w:id="104" w:name="_Toc25143"/>
      <w:r>
        <w:rPr>
          <w:rFonts w:hint="eastAsia"/>
          <w:b/>
          <w:bCs/>
          <w:highlight w:val="none"/>
        </w:rPr>
        <w:t>1、讲解和答辩方式：线上视频或现场参与，供应商可根据实际情况选择其中一种方式。</w:t>
      </w:r>
      <w:bookmarkEnd w:id="104"/>
    </w:p>
    <w:p>
      <w:pPr>
        <w:spacing w:line="360" w:lineRule="auto"/>
        <w:rPr>
          <w:rFonts w:hint="eastAsia"/>
          <w:b/>
          <w:bCs/>
          <w:highlight w:val="none"/>
        </w:rPr>
      </w:pPr>
      <w:bookmarkStart w:id="105" w:name="_Toc4340"/>
      <w:r>
        <w:rPr>
          <w:rFonts w:hint="eastAsia"/>
          <w:b/>
          <w:bCs/>
          <w:highlight w:val="none"/>
        </w:rPr>
        <w:t>2、答辩人员：要求为项目负责人，现场参与讲解和答辩的，最多允许配备一名辅助人员。</w:t>
      </w:r>
      <w:bookmarkEnd w:id="105"/>
    </w:p>
    <w:p>
      <w:pPr>
        <w:spacing w:line="360" w:lineRule="auto"/>
        <w:rPr>
          <w:rFonts w:hint="eastAsia"/>
          <w:b/>
          <w:bCs/>
          <w:highlight w:val="none"/>
        </w:rPr>
      </w:pPr>
      <w:bookmarkStart w:id="106" w:name="_Toc31566"/>
      <w:r>
        <w:rPr>
          <w:rFonts w:hint="eastAsia"/>
          <w:b/>
          <w:bCs/>
          <w:highlight w:val="none"/>
        </w:rPr>
        <w:t>3、时间：不超过15分钟</w:t>
      </w:r>
      <w:bookmarkEnd w:id="106"/>
      <w:r>
        <w:rPr>
          <w:rFonts w:hint="eastAsia"/>
          <w:b/>
          <w:bCs/>
          <w:highlight w:val="none"/>
        </w:rPr>
        <w:t>。</w:t>
      </w:r>
    </w:p>
    <w:p>
      <w:pPr>
        <w:spacing w:line="360" w:lineRule="auto"/>
        <w:rPr>
          <w:rFonts w:hint="eastAsia"/>
          <w:b/>
          <w:bCs/>
          <w:highlight w:val="none"/>
        </w:rPr>
      </w:pPr>
      <w:bookmarkStart w:id="107" w:name="_Toc11003"/>
      <w:r>
        <w:rPr>
          <w:rFonts w:hint="eastAsia"/>
          <w:b/>
          <w:bCs/>
          <w:highlight w:val="none"/>
        </w:rPr>
        <w:t>4、其他：各供应商根据自身情况选择答辩方式，无论采用某种方式，项目负责人须携带身份证以便查验身份。选择线上视频方式的，参加答辩人员须在收到代理通知后30分钟内加指定代理钉钉，请各供应商提前准备并检查参加答辩所需的设备，若因供应商问题造成未能按时参加答辩的后果自负；选择现场答辩的，参加现场答辩人员应全程佩戴口罩等防护用具，出示行程码上不得经过带星（*）号的风险区域，且健康码需为绿码，自觉接受体温检测、接受防疫</w:t>
      </w:r>
      <w:bookmarkEnd w:id="107"/>
      <w:bookmarkStart w:id="108" w:name="_Toc6260"/>
      <w:r>
        <w:rPr>
          <w:rFonts w:hint="eastAsia"/>
          <w:b/>
          <w:bCs/>
          <w:highlight w:val="none"/>
        </w:rPr>
        <w:t>询问，并如实告知相关情况，严格遵守宁波市各项防疫措施规定。</w:t>
      </w:r>
      <w:bookmarkEnd w:id="108"/>
    </w:p>
    <w:p>
      <w:pPr>
        <w:pStyle w:val="5"/>
        <w:spacing w:before="120" w:after="120" w:line="360" w:lineRule="auto"/>
        <w:ind w:firstLine="883" w:firstLineChars="200"/>
        <w:rPr>
          <w:rFonts w:hAnsi="宋体"/>
          <w:sz w:val="44"/>
          <w:szCs w:val="48"/>
          <w:highlight w:val="none"/>
        </w:rPr>
      </w:pPr>
      <w:r>
        <w:rPr>
          <w:rFonts w:hint="eastAsia" w:hAnsi="宋体"/>
          <w:sz w:val="44"/>
          <w:szCs w:val="48"/>
          <w:highlight w:val="none"/>
        </w:rPr>
        <w:br w:type="page"/>
      </w:r>
      <w:bookmarkEnd w:id="98"/>
      <w:bookmarkEnd w:id="99"/>
      <w:bookmarkEnd w:id="100"/>
      <w:bookmarkEnd w:id="101"/>
      <w:bookmarkEnd w:id="102"/>
      <w:bookmarkStart w:id="109" w:name="_Toc3328"/>
      <w:bookmarkStart w:id="110" w:name="_Toc16504"/>
      <w:bookmarkStart w:id="111" w:name="_Toc291516874"/>
      <w:bookmarkStart w:id="112" w:name="_Toc285835660"/>
      <w:bookmarkStart w:id="113" w:name="_Toc293674318"/>
      <w:bookmarkStart w:id="114" w:name="_Toc292975345"/>
      <w:bookmarkStart w:id="115" w:name="_Toc484598385"/>
      <w:bookmarkStart w:id="116" w:name="_Toc447616928"/>
      <w:bookmarkStart w:id="117" w:name="_Toc293438083"/>
      <w:bookmarkStart w:id="118" w:name="_Toc484598088"/>
      <w:bookmarkStart w:id="119" w:name="_Toc290975034"/>
      <w:bookmarkStart w:id="120" w:name="_Toc296267627"/>
      <w:bookmarkStart w:id="121" w:name="_Toc478475757"/>
      <w:r>
        <w:rPr>
          <w:rFonts w:hint="eastAsia" w:hAnsi="宋体"/>
          <w:sz w:val="44"/>
          <w:szCs w:val="48"/>
          <w:highlight w:val="none"/>
        </w:rPr>
        <w:t>第七章  投标文件格式</w:t>
      </w:r>
      <w:r>
        <w:rPr>
          <w:rFonts w:hAnsi="宋体"/>
          <w:sz w:val="44"/>
          <w:szCs w:val="48"/>
          <w:highlight w:val="none"/>
        </w:rPr>
        <w:t>（部分）</w:t>
      </w:r>
      <w:bookmarkEnd w:id="109"/>
      <w:bookmarkEnd w:id="110"/>
    </w:p>
    <w:p>
      <w:pPr>
        <w:jc w:val="center"/>
        <w:rPr>
          <w:rFonts w:hint="eastAsia" w:ascii="宋体" w:hAnsi="宋体"/>
          <w:b/>
          <w:bCs/>
          <w:sz w:val="36"/>
          <w:szCs w:val="36"/>
          <w:highlight w:val="none"/>
          <w:u w:val="single"/>
        </w:rPr>
      </w:pPr>
    </w:p>
    <w:p>
      <w:pPr>
        <w:widowControl/>
        <w:spacing w:line="360" w:lineRule="auto"/>
        <w:jc w:val="left"/>
        <w:rPr>
          <w:rFonts w:ascii="宋体" w:hAnsi="宋体" w:cs="宋体"/>
          <w:kern w:val="0"/>
          <w:sz w:val="24"/>
          <w:highlight w:val="none"/>
        </w:rPr>
      </w:pPr>
      <w:r>
        <w:rPr>
          <w:rFonts w:hint="eastAsia" w:ascii="宋体" w:hAnsi="宋体" w:cs="宋体"/>
          <w:b/>
          <w:bCs/>
          <w:kern w:val="0"/>
          <w:szCs w:val="21"/>
          <w:highlight w:val="none"/>
        </w:rPr>
        <w:t>1、</w:t>
      </w:r>
      <w:r>
        <w:rPr>
          <w:rFonts w:hint="eastAsia"/>
          <w:b/>
          <w:bCs/>
          <w:szCs w:val="21"/>
          <w:highlight w:val="none"/>
        </w:rPr>
        <w:t>投标文件的外包装封面</w:t>
      </w:r>
      <w:r>
        <w:rPr>
          <w:rFonts w:hint="eastAsia" w:ascii="宋体" w:hAnsi="宋体" w:cs="宋体"/>
          <w:b/>
          <w:bCs/>
          <w:kern w:val="0"/>
          <w:szCs w:val="21"/>
          <w:highlight w:val="none"/>
        </w:rPr>
        <w:t xml:space="preserve"> </w:t>
      </w:r>
    </w:p>
    <w:p>
      <w:pPr>
        <w:widowControl/>
        <w:spacing w:before="286" w:beforeLines="100" w:line="360" w:lineRule="auto"/>
        <w:jc w:val="center"/>
        <w:rPr>
          <w:rFonts w:ascii="宋体" w:hAnsi="宋体" w:cs="宋体"/>
          <w:kern w:val="0"/>
          <w:sz w:val="24"/>
          <w:highlight w:val="none"/>
        </w:rPr>
      </w:pPr>
      <w:r>
        <w:rPr>
          <w:rFonts w:hint="eastAsia" w:ascii="宋体" w:hAnsi="宋体" w:cs="宋体"/>
          <w:b/>
          <w:bCs/>
          <w:kern w:val="0"/>
          <w:szCs w:val="21"/>
          <w:highlight w:val="none"/>
        </w:rPr>
        <w:t>电子备份投标文件</w:t>
      </w:r>
    </w:p>
    <w:p>
      <w:pPr>
        <w:widowControl/>
        <w:spacing w:line="360" w:lineRule="auto"/>
        <w:jc w:val="left"/>
        <w:rPr>
          <w:rFonts w:ascii="宋体" w:hAnsi="宋体" w:cs="宋体"/>
          <w:kern w:val="0"/>
          <w:szCs w:val="21"/>
          <w:highlight w:val="none"/>
        </w:rPr>
      </w:pP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项目编号： </w:t>
      </w:r>
    </w:p>
    <w:p>
      <w:pPr>
        <w:widowControl/>
        <w:spacing w:line="360" w:lineRule="auto"/>
        <w:jc w:val="left"/>
        <w:rPr>
          <w:rFonts w:ascii="宋体" w:hAnsi="宋体" w:cs="宋体"/>
          <w:kern w:val="0"/>
          <w:sz w:val="24"/>
          <w:highlight w:val="none"/>
        </w:rPr>
      </w:pPr>
      <w:r>
        <w:rPr>
          <w:rFonts w:hint="eastAsia" w:ascii="宋体" w:hAnsi="宋体" w:cs="宋体"/>
          <w:kern w:val="0"/>
          <w:szCs w:val="21"/>
          <w:highlight w:val="none"/>
        </w:rPr>
        <w:t xml:space="preserve">项目名称： </w:t>
      </w:r>
    </w:p>
    <w:p>
      <w:pPr>
        <w:widowControl/>
        <w:spacing w:line="360" w:lineRule="auto"/>
        <w:jc w:val="left"/>
        <w:rPr>
          <w:rFonts w:ascii="宋体" w:hAnsi="宋体" w:cs="宋体"/>
          <w:kern w:val="0"/>
          <w:sz w:val="24"/>
          <w:highlight w:val="none"/>
        </w:rPr>
      </w:pPr>
      <w:r>
        <w:rPr>
          <w:rFonts w:hint="eastAsia" w:ascii="宋体" w:hAnsi="宋体" w:cs="宋体"/>
          <w:kern w:val="0"/>
          <w:szCs w:val="21"/>
          <w:highlight w:val="none"/>
        </w:rPr>
        <w:t xml:space="preserve">供应商名称（加盖公章）：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供应商地址： </w:t>
      </w:r>
    </w:p>
    <w:p>
      <w:pPr>
        <w:widowControl/>
        <w:spacing w:line="360" w:lineRule="auto"/>
        <w:jc w:val="left"/>
        <w:rPr>
          <w:rFonts w:ascii="宋体" w:hAnsi="宋体" w:cs="宋体"/>
          <w:kern w:val="0"/>
          <w:sz w:val="24"/>
          <w:highlight w:val="none"/>
        </w:rPr>
      </w:pP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                                                        年 月 日 </w:t>
      </w:r>
    </w:p>
    <w:p>
      <w:pPr>
        <w:widowControl/>
        <w:spacing w:line="360" w:lineRule="auto"/>
        <w:jc w:val="left"/>
        <w:rPr>
          <w:rFonts w:ascii="宋体" w:hAnsi="宋体" w:cs="宋体"/>
          <w:kern w:val="0"/>
          <w:szCs w:val="21"/>
          <w:highlight w:val="none"/>
        </w:rPr>
      </w:pPr>
    </w:p>
    <w:p>
      <w:pPr>
        <w:widowControl/>
        <w:spacing w:line="360" w:lineRule="auto"/>
        <w:jc w:val="left"/>
        <w:rPr>
          <w:rFonts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b/>
          <w:bCs/>
          <w:kern w:val="0"/>
          <w:szCs w:val="21"/>
          <w:highlight w:val="none"/>
        </w:rPr>
        <w:t>2、</w:t>
      </w:r>
      <w:r>
        <w:rPr>
          <w:rFonts w:hint="eastAsia"/>
          <w:b/>
          <w:bCs/>
          <w:szCs w:val="21"/>
          <w:highlight w:val="none"/>
        </w:rPr>
        <w:t>投标文件的封面</w:t>
      </w:r>
      <w:r>
        <w:rPr>
          <w:rFonts w:hint="eastAsia" w:ascii="宋体" w:hAnsi="宋体" w:cs="宋体"/>
          <w:b/>
          <w:bCs/>
          <w:kern w:val="0"/>
          <w:szCs w:val="21"/>
          <w:highlight w:val="none"/>
        </w:rPr>
        <w:t xml:space="preserve"> </w:t>
      </w:r>
    </w:p>
    <w:p>
      <w:pPr>
        <w:widowControl/>
        <w:spacing w:before="286" w:beforeLines="100" w:line="360" w:lineRule="auto"/>
        <w:jc w:val="center"/>
        <w:rPr>
          <w:rFonts w:ascii="宋体" w:hAnsi="宋体" w:cs="宋体"/>
          <w:kern w:val="0"/>
          <w:sz w:val="24"/>
          <w:highlight w:val="none"/>
        </w:rPr>
      </w:pPr>
      <w:r>
        <w:rPr>
          <w:rFonts w:hint="eastAsia" w:ascii="宋体" w:hAnsi="宋体" w:cs="宋体"/>
          <w:b/>
          <w:bCs/>
          <w:kern w:val="0"/>
          <w:szCs w:val="21"/>
          <w:highlight w:val="none"/>
        </w:rPr>
        <w:t>资格文件/商务技术文件/报价文件</w:t>
      </w:r>
    </w:p>
    <w:p>
      <w:pPr>
        <w:widowControl/>
        <w:spacing w:line="360" w:lineRule="auto"/>
        <w:jc w:val="left"/>
        <w:rPr>
          <w:rFonts w:ascii="宋体" w:hAnsi="宋体" w:cs="宋体"/>
          <w:kern w:val="0"/>
          <w:szCs w:val="21"/>
          <w:highlight w:val="none"/>
        </w:rPr>
      </w:pPr>
    </w:p>
    <w:p>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项目编号： </w:t>
      </w:r>
    </w:p>
    <w:p>
      <w:pPr>
        <w:widowControl/>
        <w:spacing w:line="360" w:lineRule="auto"/>
        <w:jc w:val="left"/>
        <w:rPr>
          <w:rFonts w:ascii="宋体" w:hAnsi="宋体" w:cs="宋体"/>
          <w:kern w:val="0"/>
          <w:sz w:val="24"/>
          <w:highlight w:val="none"/>
        </w:rPr>
      </w:pPr>
      <w:r>
        <w:rPr>
          <w:rFonts w:hint="eastAsia" w:ascii="宋体" w:hAnsi="宋体" w:cs="宋体"/>
          <w:kern w:val="0"/>
          <w:szCs w:val="21"/>
          <w:highlight w:val="none"/>
        </w:rPr>
        <w:t xml:space="preserve">项目名称： </w:t>
      </w:r>
    </w:p>
    <w:p>
      <w:pPr>
        <w:widowControl/>
        <w:spacing w:line="360" w:lineRule="auto"/>
        <w:jc w:val="left"/>
        <w:rPr>
          <w:rFonts w:ascii="宋体" w:hAnsi="宋体" w:cs="宋体"/>
          <w:kern w:val="0"/>
          <w:sz w:val="24"/>
          <w:highlight w:val="none"/>
        </w:rPr>
      </w:pPr>
      <w:r>
        <w:rPr>
          <w:rFonts w:hint="eastAsia" w:ascii="宋体" w:hAnsi="宋体" w:cs="宋体"/>
          <w:kern w:val="0"/>
          <w:szCs w:val="21"/>
          <w:highlight w:val="none"/>
        </w:rPr>
        <w:t xml:space="preserve">供应商名称（加盖公章）： </w:t>
      </w:r>
    </w:p>
    <w:p>
      <w:pPr>
        <w:widowControl/>
        <w:spacing w:line="360" w:lineRule="auto"/>
        <w:jc w:val="left"/>
        <w:rPr>
          <w:rFonts w:ascii="宋体" w:hAnsi="宋体" w:cs="宋体"/>
          <w:kern w:val="0"/>
          <w:sz w:val="24"/>
          <w:highlight w:val="none"/>
        </w:rPr>
      </w:pPr>
      <w:r>
        <w:rPr>
          <w:rFonts w:hint="eastAsia" w:ascii="宋体" w:hAnsi="宋体" w:cs="宋体"/>
          <w:kern w:val="0"/>
          <w:szCs w:val="21"/>
          <w:highlight w:val="none"/>
        </w:rPr>
        <w:t xml:space="preserve">供应商地址：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                                                        </w:t>
      </w:r>
    </w:p>
    <w:p>
      <w:pPr>
        <w:spacing w:line="700" w:lineRule="exact"/>
        <w:ind w:firstLine="420" w:firstLineChars="200"/>
        <w:rPr>
          <w:sz w:val="24"/>
          <w:highlight w:val="none"/>
        </w:rPr>
      </w:pPr>
      <w:r>
        <w:rPr>
          <w:rFonts w:hint="eastAsia" w:ascii="宋体" w:hAnsi="宋体" w:cs="宋体"/>
          <w:kern w:val="0"/>
          <w:szCs w:val="21"/>
          <w:highlight w:val="none"/>
        </w:rPr>
        <w:t xml:space="preserve">                                                       年 月 日</w:t>
      </w:r>
    </w:p>
    <w:p>
      <w:pPr>
        <w:spacing w:line="360" w:lineRule="auto"/>
        <w:rPr>
          <w:rFonts w:ascii="宋体" w:hAnsi="宋体"/>
          <w:sz w:val="24"/>
          <w:szCs w:val="24"/>
          <w:highlight w:val="none"/>
        </w:rPr>
      </w:pPr>
    </w:p>
    <w:p>
      <w:pPr>
        <w:rPr>
          <w:highlight w:val="none"/>
        </w:rPr>
      </w:pPr>
    </w:p>
    <w:p>
      <w:pPr>
        <w:rPr>
          <w:highlight w:val="none"/>
        </w:rPr>
      </w:pPr>
    </w:p>
    <w:p>
      <w:pPr>
        <w:widowControl/>
        <w:spacing w:line="360" w:lineRule="auto"/>
        <w:jc w:val="left"/>
        <w:rPr>
          <w:rFonts w:ascii="宋体" w:hAnsi="宋体" w:cs="宋体"/>
          <w:kern w:val="0"/>
          <w:sz w:val="24"/>
          <w:highlight w:val="none"/>
        </w:rPr>
      </w:pPr>
      <w:r>
        <w:rPr>
          <w:sz w:val="32"/>
          <w:szCs w:val="32"/>
          <w:highlight w:val="none"/>
        </w:rPr>
        <w:br w:type="page"/>
      </w:r>
      <w:r>
        <w:rPr>
          <w:rFonts w:hint="eastAsia" w:ascii="宋体" w:hAnsi="宋体" w:cs="宋体"/>
          <w:b/>
          <w:bCs/>
          <w:kern w:val="0"/>
          <w:szCs w:val="21"/>
          <w:highlight w:val="none"/>
        </w:rPr>
        <w:t>资格文件组成：</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（1）营业执照（或事业法人登记证副本或其他登记证明材料）复印件加盖供应商公章（供应商如果有名称变更的，应提供由行政主管部门出具的变更证明文件复印件加盖供应商公章）；</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2021年年度财务会计报表复印件，其他组织或供应商新成立不足一年的，提供基本账户开户银行出具的资信证明材料复印件（银行资信证明一般应是为本次采购出具的原件，如提供采购日前六个月内开具的用于他次招标的银行资信证明的复印件也可。银行资信证明必须按第七章中“银行资信证明”的要求提供。资信评估机构出具的资信等级证书或证明不能代替银行资信证明）；</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（3）提供具有履行合同所必需的设备和专业技术能力的书面声明；</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（4）依法缴纳税收和社会保障资金的书面声明；</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（5）提供参加政府采购活动前3年内在经营活动中没有重大违法记录的书面声明；</w:t>
      </w:r>
    </w:p>
    <w:p>
      <w:pPr>
        <w:widowControl/>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rPr>
        <w:t>（6）提供其他资格要求需提供的声明函</w:t>
      </w:r>
      <w:r>
        <w:rPr>
          <w:rFonts w:hint="eastAsia" w:ascii="宋体" w:hAnsi="宋体" w:cs="宋体"/>
          <w:kern w:val="0"/>
          <w:szCs w:val="21"/>
          <w:highlight w:val="none"/>
          <w:lang w:eastAsia="zh-CN"/>
        </w:rPr>
        <w:t>；</w:t>
      </w:r>
    </w:p>
    <w:p>
      <w:pPr>
        <w:widowControl/>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）中小企业声明函；</w:t>
      </w:r>
    </w:p>
    <w:p>
      <w:pPr>
        <w:widowControl/>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）监狱企业的证明文件（如有需提供）；</w:t>
      </w:r>
    </w:p>
    <w:p>
      <w:pPr>
        <w:widowControl/>
        <w:spacing w:line="360" w:lineRule="auto"/>
        <w:ind w:firstLine="420" w:firstLineChars="200"/>
        <w:jc w:val="left"/>
        <w:rPr>
          <w:rFonts w:hint="eastAsia"/>
          <w:highlight w:val="none"/>
          <w:lang w:eastAsia="zh-CN"/>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9</w:t>
      </w:r>
      <w:r>
        <w:rPr>
          <w:rFonts w:hint="eastAsia" w:ascii="宋体" w:hAnsi="宋体" w:eastAsia="宋体" w:cs="宋体"/>
          <w:kern w:val="0"/>
          <w:szCs w:val="21"/>
          <w:highlight w:val="none"/>
        </w:rPr>
        <w:t>）残疾人福利单位声明函（如有需提供）；</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）供应商认为需要提供的其他资格材料。</w:t>
      </w:r>
    </w:p>
    <w:p>
      <w:pPr>
        <w:pStyle w:val="7"/>
        <w:rPr>
          <w:rFonts w:hint="eastAsia" w:ascii="Cambria" w:hAnsi="Cambria"/>
          <w:sz w:val="24"/>
          <w:szCs w:val="24"/>
          <w:highlight w:val="none"/>
        </w:rPr>
      </w:pPr>
      <w:r>
        <w:rPr>
          <w:rFonts w:ascii="宋体" w:hAnsi="宋体"/>
          <w:b w:val="0"/>
          <w:bCs w:val="0"/>
          <w:sz w:val="28"/>
          <w:szCs w:val="28"/>
          <w:highlight w:val="none"/>
        </w:rPr>
        <w:br w:type="page"/>
      </w:r>
      <w:r>
        <w:rPr>
          <w:rFonts w:hint="eastAsia" w:ascii="Cambria" w:hAnsi="Cambria"/>
          <w:sz w:val="24"/>
          <w:szCs w:val="24"/>
          <w:highlight w:val="none"/>
        </w:rPr>
        <w:t>（一）营业执照复印件。供应商如果有名称变更的，应提供由行政主管部门出具的变更证明文件</w:t>
      </w:r>
    </w:p>
    <w:p>
      <w:pPr>
        <w:topLinePunct/>
        <w:autoSpaceDE w:val="0"/>
        <w:autoSpaceDN w:val="0"/>
        <w:adjustRightInd w:val="0"/>
        <w:spacing w:line="360" w:lineRule="auto"/>
        <w:ind w:firstLine="630" w:firstLineChars="300"/>
        <w:jc w:val="center"/>
        <w:rPr>
          <w:rFonts w:hint="eastAsia" w:ascii="宋体" w:hAnsi="宋体"/>
          <w:szCs w:val="21"/>
          <w:highlight w:val="none"/>
        </w:rPr>
      </w:pPr>
    </w:p>
    <w:p>
      <w:pPr>
        <w:jc w:val="center"/>
        <w:rPr>
          <w:rFonts w:hint="eastAsia" w:ascii="宋体" w:hAnsi="宋体"/>
          <w:b/>
          <w:w w:val="80"/>
          <w:sz w:val="30"/>
          <w:szCs w:val="30"/>
          <w:highlight w:val="none"/>
        </w:rPr>
      </w:pPr>
    </w:p>
    <w:p>
      <w:pPr>
        <w:pStyle w:val="12"/>
        <w:spacing w:before="60" w:after="60" w:line="400" w:lineRule="exact"/>
        <w:ind w:firstLine="0"/>
        <w:jc w:val="center"/>
        <w:rPr>
          <w:rFonts w:hint="eastAsia" w:ascii="宋体" w:hAnsi="宋体"/>
          <w:sz w:val="28"/>
          <w:szCs w:val="28"/>
          <w:highlight w:val="none"/>
        </w:rPr>
      </w:pPr>
    </w:p>
    <w:p>
      <w:pPr>
        <w:pStyle w:val="12"/>
        <w:spacing w:before="60" w:after="60" w:line="400" w:lineRule="exact"/>
        <w:ind w:firstLine="0"/>
        <w:jc w:val="center"/>
        <w:rPr>
          <w:rFonts w:hint="eastAsia" w:ascii="宋体" w:hAnsi="宋体"/>
          <w:sz w:val="28"/>
          <w:szCs w:val="28"/>
          <w:highlight w:val="none"/>
        </w:rPr>
      </w:pPr>
    </w:p>
    <w:p>
      <w:pPr>
        <w:pStyle w:val="7"/>
        <w:spacing w:line="380" w:lineRule="exact"/>
        <w:jc w:val="center"/>
        <w:rPr>
          <w:rFonts w:hint="eastAsia" w:ascii="Cambria" w:hAnsi="Cambria"/>
          <w:sz w:val="24"/>
          <w:szCs w:val="24"/>
          <w:highlight w:val="none"/>
        </w:rPr>
      </w:pPr>
      <w:r>
        <w:rPr>
          <w:rFonts w:hint="eastAsia" w:ascii="Cambria" w:hAnsi="Cambria"/>
          <w:sz w:val="24"/>
          <w:szCs w:val="24"/>
          <w:highlight w:val="none"/>
        </w:rPr>
        <w:t>（二）2021年年度财务会计报表复印件。其他组织或供应商新成立不足一年的，提供基本账户开户银行出具的资信证明材料复印件</w:t>
      </w:r>
    </w:p>
    <w:p>
      <w:pPr>
        <w:rPr>
          <w:highlight w:val="none"/>
        </w:rPr>
      </w:pPr>
    </w:p>
    <w:p>
      <w:pPr>
        <w:pStyle w:val="12"/>
        <w:ind w:firstLine="0"/>
        <w:rPr>
          <w:rFonts w:ascii="宋体" w:hAnsi="宋体"/>
          <w:szCs w:val="21"/>
          <w:highlight w:val="none"/>
        </w:rPr>
      </w:pPr>
      <w:r>
        <w:rPr>
          <w:rFonts w:hint="eastAsia" w:ascii="宋体" w:hAnsi="宋体"/>
          <w:szCs w:val="21"/>
          <w:highlight w:val="none"/>
        </w:rPr>
        <w:t>银行资信证明开具要求：</w:t>
      </w:r>
    </w:p>
    <w:p>
      <w:pPr>
        <w:pStyle w:val="12"/>
        <w:spacing w:line="360" w:lineRule="auto"/>
        <w:ind w:left="210" w:hanging="210" w:hangingChars="100"/>
        <w:rPr>
          <w:rFonts w:ascii="宋体" w:hAnsi="宋体"/>
          <w:szCs w:val="21"/>
          <w:highlight w:val="none"/>
        </w:rPr>
      </w:pPr>
      <w:r>
        <w:rPr>
          <w:rFonts w:hint="eastAsia" w:ascii="宋体" w:hAnsi="宋体"/>
          <w:szCs w:val="21"/>
          <w:highlight w:val="none"/>
        </w:rPr>
        <w:t>1.声明本银行是供应商的基本账户开户银行（非供应商基本账户的开户银行出具的资信证明无效）。</w:t>
      </w:r>
    </w:p>
    <w:p>
      <w:pPr>
        <w:pStyle w:val="12"/>
        <w:spacing w:line="360" w:lineRule="auto"/>
        <w:ind w:firstLine="0"/>
        <w:rPr>
          <w:rFonts w:ascii="宋体" w:hAnsi="宋体"/>
          <w:szCs w:val="21"/>
          <w:highlight w:val="none"/>
        </w:rPr>
      </w:pPr>
      <w:r>
        <w:rPr>
          <w:rFonts w:hint="eastAsia" w:ascii="宋体" w:hAnsi="宋体"/>
          <w:szCs w:val="21"/>
          <w:highlight w:val="none"/>
        </w:rPr>
        <w:t>2.证明供应商资金往来结算信誉情况良好。</w:t>
      </w:r>
    </w:p>
    <w:p>
      <w:pPr>
        <w:pStyle w:val="12"/>
        <w:spacing w:line="360" w:lineRule="auto"/>
        <w:ind w:left="210" w:hanging="210" w:hangingChars="100"/>
        <w:rPr>
          <w:rFonts w:ascii="宋体" w:hAnsi="宋体"/>
          <w:szCs w:val="21"/>
          <w:highlight w:val="none"/>
        </w:rPr>
      </w:pPr>
      <w:r>
        <w:rPr>
          <w:rFonts w:hint="eastAsia" w:ascii="宋体" w:hAnsi="宋体"/>
          <w:szCs w:val="21"/>
          <w:highlight w:val="none"/>
        </w:rPr>
        <w:t>3.落款应有银行公章或银行资信证明专用章或业务专用章、负责人姓名、签字及日期。</w:t>
      </w:r>
    </w:p>
    <w:p>
      <w:pPr>
        <w:pStyle w:val="12"/>
        <w:spacing w:line="360" w:lineRule="auto"/>
        <w:ind w:left="210" w:hanging="210" w:hangingChars="100"/>
        <w:rPr>
          <w:rFonts w:ascii="宋体" w:hAnsi="宋体"/>
          <w:szCs w:val="21"/>
          <w:highlight w:val="none"/>
        </w:rPr>
      </w:pPr>
      <w:r>
        <w:rPr>
          <w:rFonts w:hint="eastAsia" w:ascii="宋体" w:hAnsi="宋体"/>
          <w:szCs w:val="21"/>
          <w:highlight w:val="none"/>
        </w:rPr>
        <w:t>4.银行资信证明应是在开标日前6个月之内出具的，否则为无效证明，有关企业资信等级的证明不能替代本证明。</w:t>
      </w:r>
    </w:p>
    <w:p>
      <w:pPr>
        <w:pStyle w:val="9"/>
        <w:rPr>
          <w:rFonts w:hAnsi="宋体"/>
          <w:color w:val="auto"/>
          <w:kern w:val="2"/>
          <w:highlight w:val="none"/>
        </w:rPr>
      </w:pPr>
    </w:p>
    <w:p>
      <w:pPr>
        <w:spacing w:line="360" w:lineRule="auto"/>
        <w:rPr>
          <w:rFonts w:ascii="宋体" w:hAnsi="宋体"/>
          <w:sz w:val="24"/>
          <w:szCs w:val="24"/>
          <w:highlight w:val="none"/>
        </w:rPr>
      </w:pPr>
    </w:p>
    <w:p>
      <w:pPr>
        <w:jc w:val="center"/>
        <w:rPr>
          <w:rFonts w:hint="eastAsia" w:ascii="宋体" w:hAnsi="宋体"/>
          <w:b/>
          <w:sz w:val="24"/>
          <w:szCs w:val="24"/>
          <w:highlight w:val="none"/>
        </w:rPr>
      </w:pPr>
      <w:bookmarkStart w:id="122" w:name="_Toc18321103"/>
      <w:bookmarkStart w:id="123" w:name="_Toc520902433"/>
    </w:p>
    <w:p>
      <w:pPr>
        <w:jc w:val="center"/>
        <w:rPr>
          <w:rFonts w:hint="eastAsia" w:ascii="宋体" w:hAnsi="宋体"/>
          <w:b/>
          <w:sz w:val="24"/>
          <w:szCs w:val="24"/>
          <w:highlight w:val="none"/>
        </w:rPr>
      </w:pPr>
    </w:p>
    <w:p>
      <w:pPr>
        <w:jc w:val="center"/>
        <w:rPr>
          <w:rFonts w:hint="eastAsia" w:ascii="宋体" w:hAnsi="宋体"/>
          <w:b/>
          <w:sz w:val="24"/>
          <w:szCs w:val="24"/>
          <w:highlight w:val="none"/>
        </w:rPr>
      </w:pPr>
    </w:p>
    <w:p>
      <w:pPr>
        <w:jc w:val="center"/>
        <w:rPr>
          <w:rFonts w:hint="eastAsia" w:ascii="宋体" w:hAnsi="宋体"/>
          <w:b/>
          <w:sz w:val="24"/>
          <w:szCs w:val="24"/>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（三）提供具有履行合同所必需的设备和专业技术能力的书面声明</w:t>
      </w:r>
      <w:bookmarkEnd w:id="122"/>
      <w:bookmarkEnd w:id="123"/>
    </w:p>
    <w:p>
      <w:pPr>
        <w:spacing w:line="360" w:lineRule="auto"/>
        <w:rPr>
          <w:highlight w:val="none"/>
        </w:rPr>
      </w:pPr>
    </w:p>
    <w:p>
      <w:pPr>
        <w:spacing w:line="360" w:lineRule="auto"/>
        <w:rPr>
          <w:highlight w:val="none"/>
        </w:rPr>
      </w:pPr>
    </w:p>
    <w:p>
      <w:pPr>
        <w:spacing w:line="360" w:lineRule="auto"/>
        <w:ind w:firstLine="420" w:firstLineChars="200"/>
        <w:rPr>
          <w:highlight w:val="none"/>
        </w:rPr>
      </w:pPr>
      <w:bookmarkStart w:id="124" w:name="_Toc497935759"/>
      <w:bookmarkStart w:id="125" w:name="_Toc502819366"/>
      <w:r>
        <w:rPr>
          <w:rFonts w:hint="eastAsia"/>
          <w:highlight w:val="none"/>
        </w:rPr>
        <w:t>我公司（单位）具备履行合同所需的设备和专业技术能力，否则，由此所造成的损失、不良后果及法律责任，一律由我公司（单位）承担。</w:t>
      </w:r>
    </w:p>
    <w:p>
      <w:pPr>
        <w:spacing w:line="360" w:lineRule="auto"/>
        <w:rPr>
          <w:highlight w:val="none"/>
        </w:rPr>
      </w:pPr>
      <w:r>
        <w:rPr>
          <w:rFonts w:hint="eastAsia"/>
          <w:highlight w:val="none"/>
        </w:rPr>
        <w:t xml:space="preserve">     特此声明。</w:t>
      </w:r>
    </w:p>
    <w:p>
      <w:pPr>
        <w:spacing w:line="360" w:lineRule="auto"/>
        <w:rPr>
          <w:highlight w:val="none"/>
        </w:rPr>
      </w:pPr>
    </w:p>
    <w:p>
      <w:pPr>
        <w:spacing w:line="360" w:lineRule="auto"/>
        <w:rPr>
          <w:highlight w:val="none"/>
        </w:rPr>
      </w:pPr>
    </w:p>
    <w:p>
      <w:pPr>
        <w:spacing w:line="380" w:lineRule="exact"/>
        <w:rPr>
          <w:rFonts w:hint="eastAsia" w:ascii="宋体" w:hAnsi="宋体" w:cs="宋体"/>
          <w:sz w:val="22"/>
          <w:szCs w:val="22"/>
          <w:highlight w:val="none"/>
        </w:rPr>
      </w:pPr>
      <w:bookmarkStart w:id="126" w:name="_Toc520902434"/>
      <w:bookmarkStart w:id="127" w:name="_Toc18321104"/>
    </w:p>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jc w:val="center"/>
        <w:rPr>
          <w:rFonts w:hint="eastAsia" w:ascii="宋体" w:hAnsi="宋体"/>
          <w:b/>
          <w:sz w:val="24"/>
          <w:szCs w:val="24"/>
          <w:highlight w:val="none"/>
        </w:rPr>
      </w:pPr>
    </w:p>
    <w:p>
      <w:pPr>
        <w:spacing w:line="360" w:lineRule="auto"/>
        <w:rPr>
          <w:rFonts w:hint="eastAsia"/>
          <w:highlight w:val="none"/>
        </w:rPr>
      </w:pPr>
    </w:p>
    <w:p>
      <w:pPr>
        <w:jc w:val="center"/>
        <w:rPr>
          <w:rFonts w:hint="eastAsia" w:ascii="宋体" w:hAnsi="宋体"/>
          <w:b/>
          <w:sz w:val="24"/>
          <w:szCs w:val="24"/>
          <w:highlight w:val="none"/>
        </w:rPr>
      </w:pPr>
    </w:p>
    <w:p>
      <w:pPr>
        <w:jc w:val="center"/>
        <w:rPr>
          <w:rFonts w:hint="eastAsia" w:ascii="宋体" w:hAnsi="宋体"/>
          <w:b/>
          <w:sz w:val="24"/>
          <w:szCs w:val="24"/>
          <w:highlight w:val="none"/>
        </w:rPr>
      </w:pPr>
      <w:r>
        <w:rPr>
          <w:rFonts w:hint="eastAsia" w:ascii="宋体" w:hAnsi="宋体"/>
          <w:b/>
          <w:sz w:val="24"/>
          <w:szCs w:val="24"/>
          <w:highlight w:val="none"/>
        </w:rPr>
        <w:t>（四）依法缴纳税收和社会保障资金的书面声明</w:t>
      </w:r>
      <w:bookmarkEnd w:id="126"/>
      <w:bookmarkEnd w:id="127"/>
    </w:p>
    <w:p>
      <w:pPr>
        <w:spacing w:line="360" w:lineRule="auto"/>
        <w:ind w:firstLine="440" w:firstLineChars="200"/>
        <w:rPr>
          <w:rFonts w:hint="eastAsia" w:ascii="Cambria" w:hAnsi="Cambria"/>
          <w:bCs/>
          <w:sz w:val="22"/>
          <w:szCs w:val="22"/>
          <w:highlight w:val="none"/>
        </w:rPr>
      </w:pPr>
      <w:r>
        <w:rPr>
          <w:rFonts w:hint="eastAsia" w:ascii="Cambria" w:hAnsi="Cambria"/>
          <w:bCs/>
          <w:sz w:val="22"/>
          <w:szCs w:val="22"/>
          <w:highlight w:val="none"/>
        </w:rPr>
        <w:t xml:space="preserve"> </w:t>
      </w:r>
    </w:p>
    <w:p>
      <w:pPr>
        <w:spacing w:line="360" w:lineRule="auto"/>
        <w:ind w:firstLine="440" w:firstLineChars="200"/>
        <w:rPr>
          <w:rFonts w:hint="eastAsia" w:ascii="Cambria" w:hAnsi="Cambria"/>
          <w:bCs/>
          <w:sz w:val="22"/>
          <w:szCs w:val="22"/>
          <w:highlight w:val="none"/>
        </w:rPr>
      </w:pPr>
    </w:p>
    <w:p>
      <w:pPr>
        <w:spacing w:line="360" w:lineRule="auto"/>
        <w:ind w:firstLine="420" w:firstLineChars="200"/>
        <w:rPr>
          <w:highlight w:val="none"/>
        </w:rPr>
      </w:pPr>
      <w:r>
        <w:rPr>
          <w:rFonts w:hint="eastAsia"/>
          <w:highlight w:val="none"/>
        </w:rPr>
        <w:t>我公司（单位）近三年均依法缴纳了各项税费，没有偷税、漏税行为。</w:t>
      </w:r>
    </w:p>
    <w:p>
      <w:pPr>
        <w:spacing w:line="360" w:lineRule="auto"/>
        <w:ind w:firstLine="420" w:firstLineChars="200"/>
        <w:rPr>
          <w:highlight w:val="none"/>
        </w:rPr>
      </w:pPr>
      <w:r>
        <w:rPr>
          <w:rFonts w:hint="eastAsia"/>
          <w:highlight w:val="none"/>
        </w:rPr>
        <w:t>我公司（单位）近三年均依法缴纳了各项社会保障资金，没有欠缴、漏缴行为。</w:t>
      </w:r>
    </w:p>
    <w:p>
      <w:pPr>
        <w:spacing w:line="360" w:lineRule="auto"/>
        <w:ind w:firstLine="420" w:firstLineChars="200"/>
        <w:rPr>
          <w:highlight w:val="none"/>
        </w:rPr>
      </w:pPr>
    </w:p>
    <w:p>
      <w:pPr>
        <w:spacing w:line="360" w:lineRule="auto"/>
        <w:ind w:firstLine="420" w:firstLineChars="200"/>
        <w:rPr>
          <w:highlight w:val="none"/>
        </w:rPr>
      </w:pPr>
      <w:r>
        <w:rPr>
          <w:rFonts w:hint="eastAsia"/>
          <w:highlight w:val="none"/>
        </w:rPr>
        <w:t>特此声明。</w:t>
      </w:r>
    </w:p>
    <w:p>
      <w:pPr>
        <w:spacing w:line="360" w:lineRule="auto"/>
        <w:ind w:firstLine="420" w:firstLineChars="200"/>
        <w:rPr>
          <w:highlight w:val="none"/>
        </w:rPr>
      </w:pPr>
    </w:p>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spacing w:line="360" w:lineRule="auto"/>
        <w:ind w:firstLine="420"/>
        <w:jc w:val="center"/>
        <w:rPr>
          <w:rFonts w:hint="eastAsia"/>
          <w:bCs/>
          <w:szCs w:val="21"/>
          <w:highlight w:val="none"/>
        </w:rPr>
      </w:pPr>
    </w:p>
    <w:p>
      <w:pPr>
        <w:spacing w:line="360" w:lineRule="auto"/>
        <w:ind w:firstLine="420"/>
        <w:jc w:val="center"/>
        <w:rPr>
          <w:rFonts w:ascii="宋体" w:hAnsi="宋体"/>
          <w:b/>
          <w:szCs w:val="21"/>
          <w:highlight w:val="none"/>
        </w:rPr>
      </w:pPr>
      <w:r>
        <w:rPr>
          <w:rFonts w:hint="eastAsia"/>
          <w:bCs/>
          <w:szCs w:val="21"/>
          <w:highlight w:val="none"/>
        </w:rPr>
        <w:t>（注：代理机构、供应商注册成立不足三年的，应就单位成立至参加政府采购活动时段进行承诺）</w:t>
      </w:r>
    </w:p>
    <w:p>
      <w:pPr>
        <w:spacing w:line="360" w:lineRule="auto"/>
        <w:ind w:firstLine="562"/>
        <w:rPr>
          <w:rFonts w:ascii="宋体" w:hAnsi="宋体"/>
          <w:b/>
          <w:sz w:val="24"/>
          <w:highlight w:val="none"/>
        </w:rPr>
      </w:pPr>
    </w:p>
    <w:p>
      <w:pPr>
        <w:spacing w:line="360" w:lineRule="auto"/>
        <w:ind w:firstLine="562"/>
        <w:rPr>
          <w:highlight w:val="none"/>
        </w:rPr>
      </w:pPr>
    </w:p>
    <w:p>
      <w:pPr>
        <w:jc w:val="center"/>
        <w:rPr>
          <w:rFonts w:ascii="宋体" w:hAnsi="宋体"/>
          <w:b/>
          <w:sz w:val="24"/>
          <w:szCs w:val="24"/>
          <w:highlight w:val="none"/>
        </w:rPr>
      </w:pPr>
      <w:bookmarkStart w:id="128" w:name="_Toc520902435"/>
      <w:bookmarkStart w:id="129" w:name="_Toc18321105"/>
      <w:r>
        <w:rPr>
          <w:rFonts w:hint="eastAsia" w:ascii="宋体" w:hAnsi="宋体"/>
          <w:b/>
          <w:sz w:val="24"/>
          <w:szCs w:val="24"/>
          <w:highlight w:val="none"/>
        </w:rPr>
        <w:t>（五）提供参加政府采购活动前</w:t>
      </w:r>
      <w:r>
        <w:rPr>
          <w:rFonts w:ascii="宋体" w:hAnsi="宋体"/>
          <w:b/>
          <w:sz w:val="24"/>
          <w:szCs w:val="24"/>
          <w:highlight w:val="none"/>
        </w:rPr>
        <w:t>3</w:t>
      </w:r>
      <w:r>
        <w:rPr>
          <w:rFonts w:hint="eastAsia" w:ascii="宋体" w:hAnsi="宋体"/>
          <w:b/>
          <w:sz w:val="24"/>
          <w:szCs w:val="24"/>
          <w:highlight w:val="none"/>
        </w:rPr>
        <w:t>年内在经营活动中没有重大违法记录的书面声明</w:t>
      </w:r>
      <w:bookmarkEnd w:id="128"/>
      <w:bookmarkEnd w:id="129"/>
    </w:p>
    <w:p>
      <w:pPr>
        <w:rPr>
          <w:highlight w:val="none"/>
        </w:rPr>
      </w:pPr>
    </w:p>
    <w:p>
      <w:pPr>
        <w:rPr>
          <w:highlight w:val="none"/>
        </w:rPr>
      </w:pPr>
    </w:p>
    <w:p>
      <w:pPr>
        <w:spacing w:line="360" w:lineRule="auto"/>
        <w:rPr>
          <w:highlight w:val="none"/>
        </w:rPr>
      </w:pPr>
      <w:r>
        <w:rPr>
          <w:rFonts w:hint="eastAsia"/>
          <w:highlight w:val="none"/>
        </w:rPr>
        <w:t xml:space="preserve">     参加政府采购活动前三年内，在经营活动中没有重大违法记录（重大违法记录是指因违法经营受到刑事处罚或者责令停产停业、吊销许可证或者执照、较大数额罚款等行政处罚），特此声明。</w:t>
      </w:r>
    </w:p>
    <w:p>
      <w:pPr>
        <w:spacing w:line="360" w:lineRule="auto"/>
        <w:rPr>
          <w:highlight w:val="none"/>
        </w:rPr>
      </w:pPr>
    </w:p>
    <w:bookmarkEnd w:id="124"/>
    <w:bookmarkEnd w:id="125"/>
    <w:p>
      <w:pPr>
        <w:spacing w:line="380" w:lineRule="exact"/>
        <w:rPr>
          <w:rFonts w:ascii="宋体"/>
          <w:sz w:val="22"/>
          <w:szCs w:val="22"/>
          <w:highlight w:val="none"/>
        </w:rPr>
      </w:pPr>
      <w:bookmarkStart w:id="130" w:name="_Toc502819369"/>
      <w:bookmarkStart w:id="131" w:name="_Toc520902436"/>
      <w:bookmarkStart w:id="132" w:name="_Toc18321106"/>
      <w:bookmarkStart w:id="133" w:name="_Toc497935761"/>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jc w:val="center"/>
        <w:rPr>
          <w:rFonts w:hint="eastAsia" w:ascii="宋体" w:hAnsi="宋体"/>
          <w:b/>
          <w:sz w:val="24"/>
          <w:szCs w:val="24"/>
          <w:highlight w:val="none"/>
        </w:rPr>
      </w:pPr>
    </w:p>
    <w:p>
      <w:pPr>
        <w:jc w:val="center"/>
        <w:rPr>
          <w:rFonts w:hint="eastAsia" w:ascii="宋体" w:hAnsi="宋体"/>
          <w:b/>
          <w:sz w:val="24"/>
          <w:szCs w:val="24"/>
          <w:highlight w:val="none"/>
        </w:rPr>
      </w:pPr>
    </w:p>
    <w:p>
      <w:pPr>
        <w:jc w:val="center"/>
        <w:rPr>
          <w:rFonts w:hint="eastAsia" w:ascii="宋体" w:hAnsi="宋体"/>
          <w:b/>
          <w:sz w:val="24"/>
          <w:szCs w:val="24"/>
          <w:highlight w:val="none"/>
        </w:rPr>
      </w:pPr>
      <w:r>
        <w:rPr>
          <w:rFonts w:hint="eastAsia" w:ascii="宋体" w:hAnsi="宋体"/>
          <w:b/>
          <w:sz w:val="24"/>
          <w:szCs w:val="24"/>
          <w:highlight w:val="none"/>
        </w:rPr>
        <w:t>（六）提供其他资格要求需提供的声明函</w:t>
      </w:r>
    </w:p>
    <w:p>
      <w:pPr>
        <w:pStyle w:val="12"/>
        <w:spacing w:line="380" w:lineRule="exact"/>
        <w:ind w:firstLine="0"/>
        <w:rPr>
          <w:rFonts w:hint="eastAsia" w:ascii="宋体" w:hAnsi="宋体"/>
          <w:sz w:val="22"/>
          <w:szCs w:val="22"/>
          <w:highlight w:val="none"/>
        </w:rPr>
      </w:pPr>
    </w:p>
    <w:p>
      <w:pPr>
        <w:pStyle w:val="12"/>
        <w:spacing w:line="360" w:lineRule="auto"/>
        <w:ind w:firstLineChars="200"/>
        <w:rPr>
          <w:rFonts w:hint="eastAsia"/>
          <w:highlight w:val="none"/>
        </w:rPr>
      </w:pPr>
      <w:r>
        <w:rPr>
          <w:rFonts w:hint="eastAsia"/>
          <w:highlight w:val="none"/>
        </w:rPr>
        <w:t>未被信用中国网站（www.creditchina.gov.cn）列入失信被执行人、重大税收违法案件当事人名单，未被中国政府采购网（www.ccgp.gov.cn）列入政府采购严重违法失信行为记录名单。</w:t>
      </w:r>
    </w:p>
    <w:p>
      <w:pPr>
        <w:pStyle w:val="12"/>
        <w:spacing w:line="360" w:lineRule="auto"/>
        <w:ind w:firstLineChars="200"/>
        <w:rPr>
          <w:rFonts w:hint="eastAsia"/>
          <w:highlight w:val="none"/>
        </w:rPr>
      </w:pPr>
    </w:p>
    <w:p>
      <w:pPr>
        <w:pStyle w:val="12"/>
        <w:spacing w:line="360" w:lineRule="auto"/>
        <w:ind w:firstLineChars="200"/>
        <w:rPr>
          <w:rFonts w:hint="eastAsia"/>
          <w:highlight w:val="none"/>
        </w:rPr>
      </w:pPr>
    </w:p>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jc w:val="center"/>
        <w:rPr>
          <w:b/>
          <w:sz w:val="28"/>
          <w:szCs w:val="28"/>
          <w:highlight w:val="none"/>
        </w:rPr>
      </w:pPr>
      <w:r>
        <w:rPr>
          <w:rFonts w:hint="eastAsia" w:ascii="宋体" w:hAnsi="宋体"/>
          <w:b/>
          <w:sz w:val="24"/>
          <w:szCs w:val="24"/>
          <w:highlight w:val="none"/>
        </w:rPr>
        <w:br w:type="page"/>
      </w:r>
      <w:r>
        <w:rPr>
          <w:rFonts w:hint="eastAsia" w:ascii="宋体" w:hAnsi="宋体"/>
          <w:b/>
          <w:sz w:val="24"/>
          <w:szCs w:val="24"/>
          <w:highlight w:val="none"/>
        </w:rPr>
        <w:t>（七）</w:t>
      </w:r>
      <w:bookmarkEnd w:id="130"/>
      <w:bookmarkEnd w:id="131"/>
      <w:bookmarkEnd w:id="132"/>
      <w:bookmarkEnd w:id="133"/>
      <w:r>
        <w:rPr>
          <w:rFonts w:hint="eastAsia"/>
          <w:b/>
          <w:sz w:val="28"/>
          <w:szCs w:val="28"/>
          <w:highlight w:val="none"/>
        </w:rPr>
        <w:t>中小企业声明函</w:t>
      </w:r>
      <w:r>
        <w:rPr>
          <w:b/>
          <w:sz w:val="28"/>
          <w:szCs w:val="28"/>
          <w:highlight w:val="none"/>
        </w:rPr>
        <w:t>（工程、服务）</w:t>
      </w:r>
    </w:p>
    <w:p>
      <w:pPr>
        <w:spacing w:line="316" w:lineRule="auto"/>
        <w:rPr>
          <w:highlight w:val="none"/>
        </w:rPr>
      </w:pPr>
    </w:p>
    <w:p>
      <w:pPr>
        <w:pStyle w:val="3"/>
        <w:spacing w:line="360" w:lineRule="auto"/>
        <w:ind w:right="415" w:firstLine="640"/>
        <w:rPr>
          <w:szCs w:val="22"/>
          <w:highlight w:val="none"/>
        </w:rPr>
      </w:pPr>
      <w:r>
        <w:rPr>
          <w:highlight w:val="none"/>
        </w:rPr>
        <w:t>本公司（联合体）郑重声明，根据《政府采购促进中小企业发展管理办法》（财库</w:t>
      </w:r>
      <w:r>
        <w:rPr>
          <w:rFonts w:hint="eastAsia" w:ascii="宋体"/>
          <w:highlight w:val="none"/>
        </w:rPr>
        <w:t>﹝</w:t>
      </w:r>
      <w:r>
        <w:rPr>
          <w:highlight w:val="none"/>
        </w:rPr>
        <w:t>2020</w:t>
      </w:r>
      <w:r>
        <w:rPr>
          <w:rFonts w:hint="eastAsia" w:ascii="宋体"/>
          <w:highlight w:val="none"/>
        </w:rPr>
        <w:t>﹞</w:t>
      </w:r>
      <w:r>
        <w:rPr>
          <w:highlight w:val="none"/>
        </w:rPr>
        <w:t>46 号）的规定，本公司</w:t>
      </w:r>
      <w:r>
        <w:rPr>
          <w:szCs w:val="22"/>
          <w:highlight w:val="none"/>
        </w:rPr>
        <w:t>（联合体）参加</w:t>
      </w:r>
      <w:r>
        <w:rPr>
          <w:szCs w:val="22"/>
          <w:highlight w:val="none"/>
          <w:u w:val="single"/>
        </w:rPr>
        <w:t>（单位名称）</w:t>
      </w:r>
      <w:r>
        <w:rPr>
          <w:szCs w:val="22"/>
          <w:highlight w:val="none"/>
        </w:rPr>
        <w:t>的</w:t>
      </w:r>
      <w:r>
        <w:rPr>
          <w:szCs w:val="22"/>
          <w:highlight w:val="none"/>
          <w:u w:val="single"/>
        </w:rPr>
        <w:t>（项目名称）</w:t>
      </w:r>
      <w:r>
        <w:rPr>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3"/>
        <w:spacing w:line="360" w:lineRule="auto"/>
        <w:ind w:right="415" w:firstLine="420" w:firstLineChars="200"/>
        <w:rPr>
          <w:szCs w:val="22"/>
          <w:highlight w:val="none"/>
        </w:rPr>
      </w:pPr>
      <w:r>
        <w:rPr>
          <w:rFonts w:hint="eastAsia"/>
          <w:szCs w:val="22"/>
          <w:highlight w:val="none"/>
        </w:rPr>
        <w:t>1、</w:t>
      </w:r>
      <w:r>
        <w:rPr>
          <w:szCs w:val="22"/>
          <w:highlight w:val="none"/>
          <w:u w:val="single"/>
        </w:rPr>
        <w:t>（标的名称）</w:t>
      </w:r>
      <w:r>
        <w:rPr>
          <w:szCs w:val="22"/>
          <w:highlight w:val="none"/>
        </w:rPr>
        <w:t>，属于</w:t>
      </w:r>
      <w:r>
        <w:rPr>
          <w:szCs w:val="22"/>
          <w:highlight w:val="none"/>
          <w:u w:val="single"/>
        </w:rPr>
        <w:t>（采购文件中明确的所属行业）</w:t>
      </w:r>
      <w:r>
        <w:rPr>
          <w:szCs w:val="22"/>
          <w:highlight w:val="none"/>
        </w:rPr>
        <w:t>；承建（承接）企业为</w:t>
      </w:r>
      <w:r>
        <w:rPr>
          <w:szCs w:val="22"/>
          <w:highlight w:val="none"/>
          <w:u w:val="single"/>
        </w:rPr>
        <w:t>（企业名称）</w:t>
      </w:r>
      <w:r>
        <w:rPr>
          <w:szCs w:val="22"/>
          <w:highlight w:val="none"/>
        </w:rPr>
        <w:t>，从业人员</w:t>
      </w:r>
      <w:r>
        <w:rPr>
          <w:szCs w:val="22"/>
          <w:highlight w:val="none"/>
          <w:u w:val="single"/>
        </w:rPr>
        <w:t xml:space="preserve"> </w:t>
      </w:r>
      <w:r>
        <w:rPr>
          <w:szCs w:val="22"/>
          <w:highlight w:val="none"/>
          <w:u w:val="single"/>
        </w:rPr>
        <w:tab/>
      </w:r>
      <w:r>
        <w:rPr>
          <w:szCs w:val="22"/>
          <w:highlight w:val="none"/>
        </w:rPr>
        <w:t>人，营业收入为</w:t>
      </w:r>
      <w:r>
        <w:rPr>
          <w:szCs w:val="22"/>
          <w:highlight w:val="none"/>
          <w:u w:val="single"/>
        </w:rPr>
        <w:t xml:space="preserve"> </w:t>
      </w:r>
      <w:r>
        <w:rPr>
          <w:szCs w:val="22"/>
          <w:highlight w:val="none"/>
          <w:u w:val="single"/>
        </w:rPr>
        <w:tab/>
      </w:r>
      <w:r>
        <w:rPr>
          <w:szCs w:val="22"/>
          <w:highlight w:val="none"/>
        </w:rPr>
        <w:t>万元，资产总额为</w:t>
      </w:r>
      <w:r>
        <w:rPr>
          <w:szCs w:val="22"/>
          <w:highlight w:val="none"/>
          <w:u w:val="single"/>
        </w:rPr>
        <w:t xml:space="preserve"> </w:t>
      </w:r>
      <w:r>
        <w:rPr>
          <w:rFonts w:hint="eastAsia"/>
          <w:szCs w:val="22"/>
          <w:highlight w:val="none"/>
          <w:u w:val="single"/>
        </w:rPr>
        <w:t xml:space="preserve">   </w:t>
      </w:r>
      <w:r>
        <w:rPr>
          <w:szCs w:val="22"/>
          <w:highlight w:val="none"/>
          <w:u w:val="single"/>
        </w:rPr>
        <w:tab/>
      </w:r>
      <w:r>
        <w:rPr>
          <w:szCs w:val="22"/>
          <w:highlight w:val="none"/>
        </w:rPr>
        <w:t>万元，属于</w:t>
      </w:r>
      <w:r>
        <w:rPr>
          <w:szCs w:val="22"/>
          <w:highlight w:val="none"/>
          <w:u w:val="single"/>
        </w:rPr>
        <w:t>（中型企业、小型企业、微型企业）</w:t>
      </w:r>
      <w:r>
        <w:rPr>
          <w:szCs w:val="22"/>
          <w:highlight w:val="none"/>
        </w:rPr>
        <w:t>；</w:t>
      </w:r>
    </w:p>
    <w:p>
      <w:pPr>
        <w:pStyle w:val="3"/>
        <w:spacing w:line="360" w:lineRule="auto"/>
        <w:ind w:right="415" w:firstLine="420" w:firstLineChars="200"/>
        <w:rPr>
          <w:szCs w:val="22"/>
          <w:highlight w:val="none"/>
        </w:rPr>
      </w:pPr>
      <w:r>
        <w:rPr>
          <w:rFonts w:hint="eastAsia"/>
          <w:szCs w:val="22"/>
          <w:highlight w:val="none"/>
        </w:rPr>
        <w:t>2、</w:t>
      </w:r>
      <w:r>
        <w:rPr>
          <w:szCs w:val="22"/>
          <w:highlight w:val="none"/>
          <w:u w:val="single"/>
        </w:rPr>
        <w:t>（标的名称）</w:t>
      </w:r>
      <w:r>
        <w:rPr>
          <w:szCs w:val="22"/>
          <w:highlight w:val="none"/>
        </w:rPr>
        <w:t>，属于</w:t>
      </w:r>
      <w:r>
        <w:rPr>
          <w:szCs w:val="22"/>
          <w:highlight w:val="none"/>
          <w:u w:val="single"/>
        </w:rPr>
        <w:t>（采购文件中明确的所属行业）</w:t>
      </w:r>
      <w:r>
        <w:rPr>
          <w:szCs w:val="22"/>
          <w:highlight w:val="none"/>
        </w:rPr>
        <w:t>；承建（承接）企业为</w:t>
      </w:r>
      <w:r>
        <w:rPr>
          <w:szCs w:val="22"/>
          <w:highlight w:val="none"/>
          <w:u w:val="single"/>
        </w:rPr>
        <w:t>（企业名称）</w:t>
      </w:r>
      <w:r>
        <w:rPr>
          <w:szCs w:val="22"/>
          <w:highlight w:val="none"/>
        </w:rPr>
        <w:t>，从业人员</w:t>
      </w:r>
      <w:r>
        <w:rPr>
          <w:szCs w:val="22"/>
          <w:highlight w:val="none"/>
          <w:u w:val="single"/>
        </w:rPr>
        <w:t xml:space="preserve"> </w:t>
      </w:r>
      <w:r>
        <w:rPr>
          <w:szCs w:val="22"/>
          <w:highlight w:val="none"/>
          <w:u w:val="single"/>
        </w:rPr>
        <w:tab/>
      </w:r>
      <w:r>
        <w:rPr>
          <w:szCs w:val="22"/>
          <w:highlight w:val="none"/>
        </w:rPr>
        <w:t>人，营业收入为</w:t>
      </w:r>
      <w:r>
        <w:rPr>
          <w:szCs w:val="22"/>
          <w:highlight w:val="none"/>
          <w:u w:val="single"/>
        </w:rPr>
        <w:t xml:space="preserve"> </w:t>
      </w:r>
      <w:r>
        <w:rPr>
          <w:szCs w:val="22"/>
          <w:highlight w:val="none"/>
          <w:u w:val="single"/>
        </w:rPr>
        <w:tab/>
      </w:r>
      <w:r>
        <w:rPr>
          <w:szCs w:val="22"/>
          <w:highlight w:val="none"/>
        </w:rPr>
        <w:t>万元，资产总额为</w:t>
      </w:r>
      <w:r>
        <w:rPr>
          <w:szCs w:val="22"/>
          <w:highlight w:val="none"/>
          <w:u w:val="single"/>
        </w:rPr>
        <w:t xml:space="preserve"> </w:t>
      </w:r>
      <w:r>
        <w:rPr>
          <w:szCs w:val="22"/>
          <w:highlight w:val="none"/>
          <w:u w:val="single"/>
        </w:rPr>
        <w:tab/>
      </w:r>
      <w:r>
        <w:rPr>
          <w:szCs w:val="22"/>
          <w:highlight w:val="none"/>
        </w:rPr>
        <w:t>万元，属于</w:t>
      </w:r>
      <w:r>
        <w:rPr>
          <w:szCs w:val="22"/>
          <w:highlight w:val="none"/>
          <w:u w:val="single"/>
        </w:rPr>
        <w:t>（中型企业、小型企业、微型企业）</w:t>
      </w:r>
      <w:r>
        <w:rPr>
          <w:szCs w:val="22"/>
          <w:highlight w:val="none"/>
        </w:rPr>
        <w:t>；</w:t>
      </w:r>
    </w:p>
    <w:p>
      <w:pPr>
        <w:pStyle w:val="3"/>
        <w:spacing w:line="360" w:lineRule="auto"/>
        <w:ind w:right="415" w:firstLine="640"/>
        <w:rPr>
          <w:spacing w:val="-2"/>
          <w:szCs w:val="22"/>
          <w:highlight w:val="none"/>
        </w:rPr>
      </w:pPr>
      <w:r>
        <w:rPr>
          <w:spacing w:val="-2"/>
          <w:szCs w:val="22"/>
          <w:highlight w:val="none"/>
        </w:rPr>
        <w:t>……</w:t>
      </w:r>
    </w:p>
    <w:p>
      <w:pPr>
        <w:pStyle w:val="3"/>
        <w:spacing w:line="360" w:lineRule="auto"/>
        <w:ind w:right="415" w:firstLine="640"/>
        <w:rPr>
          <w:spacing w:val="-2"/>
          <w:szCs w:val="22"/>
          <w:highlight w:val="none"/>
        </w:rPr>
      </w:pPr>
      <w:r>
        <w:rPr>
          <w:spacing w:val="-2"/>
          <w:szCs w:val="22"/>
          <w:highlight w:val="none"/>
        </w:rPr>
        <w:t>以上企业，不属于大企业的分支机构，不存在控股股东为大企业的情形，也不存在与大企业的负责人为同一人的情形。</w:t>
      </w:r>
    </w:p>
    <w:p>
      <w:pPr>
        <w:pStyle w:val="3"/>
        <w:spacing w:line="360" w:lineRule="auto"/>
        <w:ind w:right="415" w:firstLine="640"/>
        <w:rPr>
          <w:spacing w:val="-2"/>
          <w:szCs w:val="22"/>
          <w:highlight w:val="none"/>
        </w:rPr>
      </w:pPr>
      <w:r>
        <w:rPr>
          <w:spacing w:val="-2"/>
          <w:szCs w:val="22"/>
          <w:highlight w:val="none"/>
        </w:rPr>
        <w:t>本企业对上述声明内容的真实性负责。如有虚假，将依法承担相应责任。</w:t>
      </w:r>
    </w:p>
    <w:p>
      <w:pPr>
        <w:pStyle w:val="3"/>
        <w:spacing w:line="360" w:lineRule="auto"/>
        <w:ind w:right="415" w:firstLine="640"/>
        <w:rPr>
          <w:spacing w:val="-2"/>
          <w:szCs w:val="22"/>
          <w:highlight w:val="none"/>
        </w:rPr>
      </w:pPr>
    </w:p>
    <w:p>
      <w:pPr>
        <w:pStyle w:val="3"/>
        <w:spacing w:line="360" w:lineRule="auto"/>
        <w:ind w:right="415" w:firstLine="640"/>
        <w:jc w:val="center"/>
        <w:rPr>
          <w:spacing w:val="-2"/>
          <w:szCs w:val="22"/>
          <w:highlight w:val="none"/>
        </w:rPr>
      </w:pPr>
      <w:r>
        <w:rPr>
          <w:rFonts w:hint="eastAsia"/>
          <w:spacing w:val="-2"/>
          <w:szCs w:val="22"/>
          <w:highlight w:val="none"/>
        </w:rPr>
        <w:t xml:space="preserve">                                                </w:t>
      </w:r>
      <w:r>
        <w:rPr>
          <w:rFonts w:hint="eastAsia" w:ascii="宋体" w:hAnsi="宋体" w:cs="宋体"/>
          <w:szCs w:val="21"/>
          <w:highlight w:val="none"/>
        </w:rPr>
        <w:t>供应商名称</w:t>
      </w:r>
      <w:r>
        <w:rPr>
          <w:spacing w:val="-2"/>
          <w:szCs w:val="22"/>
          <w:highlight w:val="none"/>
        </w:rPr>
        <w:t>（盖章）：</w:t>
      </w:r>
    </w:p>
    <w:p>
      <w:pPr>
        <w:pStyle w:val="3"/>
        <w:spacing w:line="360" w:lineRule="auto"/>
        <w:ind w:right="415" w:firstLine="640"/>
        <w:jc w:val="center"/>
        <w:rPr>
          <w:spacing w:val="-2"/>
          <w:szCs w:val="22"/>
          <w:highlight w:val="none"/>
        </w:rPr>
      </w:pPr>
      <w:r>
        <w:rPr>
          <w:rFonts w:hint="eastAsia"/>
          <w:spacing w:val="-2"/>
          <w:szCs w:val="22"/>
          <w:highlight w:val="none"/>
        </w:rPr>
        <w:t xml:space="preserve">                                     </w:t>
      </w:r>
      <w:r>
        <w:rPr>
          <w:spacing w:val="-2"/>
          <w:szCs w:val="22"/>
          <w:highlight w:val="none"/>
        </w:rPr>
        <w:t>日期：</w:t>
      </w:r>
    </w:p>
    <w:p>
      <w:pPr>
        <w:pStyle w:val="3"/>
        <w:spacing w:line="360" w:lineRule="auto"/>
        <w:ind w:right="415" w:firstLine="640"/>
        <w:rPr>
          <w:spacing w:val="-2"/>
          <w:szCs w:val="22"/>
          <w:highlight w:val="none"/>
        </w:rPr>
        <w:sectPr>
          <w:footerReference r:id="rId13" w:type="default"/>
          <w:pgSz w:w="11910" w:h="16840"/>
          <w:pgMar w:top="1440" w:right="1380" w:bottom="1780" w:left="1580" w:header="1077" w:footer="1595" w:gutter="0"/>
          <w:cols w:space="720" w:num="1"/>
        </w:sectPr>
      </w:pPr>
    </w:p>
    <w:p>
      <w:pPr>
        <w:pStyle w:val="7"/>
        <w:tabs>
          <w:tab w:val="left" w:pos="720"/>
        </w:tabs>
        <w:spacing w:line="380" w:lineRule="exact"/>
        <w:jc w:val="center"/>
        <w:rPr>
          <w:rStyle w:val="68"/>
          <w:rFonts w:hint="default"/>
          <w:b/>
          <w:color w:val="auto"/>
          <w:sz w:val="28"/>
          <w:szCs w:val="28"/>
          <w:highlight w:val="none"/>
        </w:rPr>
      </w:pPr>
      <w:r>
        <w:rPr>
          <w:rStyle w:val="68"/>
          <w:rFonts w:hint="default"/>
          <w:b/>
          <w:color w:val="auto"/>
          <w:sz w:val="28"/>
          <w:szCs w:val="28"/>
          <w:highlight w:val="none"/>
        </w:rPr>
        <w:t>中小微行业划型标准规定（根据工信部联企业〔2011〕300号制定）</w:t>
      </w:r>
    </w:p>
    <w:tbl>
      <w:tblPr>
        <w:tblStyle w:val="28"/>
        <w:tblW w:w="0" w:type="auto"/>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b/>
                <w:sz w:val="18"/>
                <w:szCs w:val="18"/>
                <w:highlight w:val="none"/>
              </w:rPr>
            </w:pPr>
            <w:r>
              <w:rPr>
                <w:rFonts w:hint="eastAsia" w:ascii="宋体" w:hAnsi="宋体" w:cs="宋体"/>
                <w:b/>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noWrap w:val="0"/>
            <w:vAlign w:val="bottom"/>
          </w:tcPr>
          <w:p>
            <w:pPr>
              <w:widowControl/>
              <w:jc w:val="center"/>
              <w:textAlignment w:val="bottom"/>
              <w:rPr>
                <w:rFonts w:ascii="宋体" w:hAnsi="宋体" w:cs="宋体"/>
                <w:b/>
                <w:sz w:val="18"/>
                <w:szCs w:val="18"/>
                <w:highlight w:val="none"/>
              </w:rPr>
            </w:pPr>
            <w:r>
              <w:rPr>
                <w:rFonts w:hint="eastAsia" w:ascii="宋体" w:hAnsi="宋体" w:cs="宋体"/>
                <w:b/>
                <w:kern w:val="0"/>
                <w:sz w:val="18"/>
                <w:szCs w:val="18"/>
                <w:highlight w:val="none"/>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noWrap w:val="0"/>
            <w:vAlign w:val="center"/>
          </w:tcPr>
          <w:p>
            <w:pPr>
              <w:jc w:val="center"/>
              <w:rPr>
                <w:rFonts w:ascii="宋体" w:hAnsi="宋体" w:cs="宋体"/>
                <w:b/>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rPr>
                <w:rFonts w:ascii="宋体" w:hAnsi="宋体" w:cs="宋体"/>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noWrap w:val="0"/>
            <w:vAlign w:val="bottom"/>
          </w:tcPr>
          <w:p>
            <w:pPr>
              <w:widowControl/>
              <w:jc w:val="left"/>
              <w:textAlignment w:val="bottom"/>
              <w:rPr>
                <w:rFonts w:ascii="宋体" w:hAnsi="宋体" w:cs="宋体"/>
                <w:sz w:val="18"/>
                <w:szCs w:val="18"/>
                <w:highlight w:val="none"/>
              </w:rPr>
            </w:pPr>
            <w:r>
              <w:rPr>
                <w:rFonts w:hint="eastAsia" w:ascii="宋体" w:hAnsi="宋体" w:cs="宋体"/>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noWrap w:val="0"/>
            <w:vAlign w:val="bottom"/>
          </w:tcPr>
          <w:p>
            <w:pPr>
              <w:rPr>
                <w:rFonts w:ascii="宋体" w:hAnsi="宋体" w:cs="宋体"/>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noWrap w:val="0"/>
            <w:vAlign w:val="bottom"/>
          </w:tcPr>
          <w:p>
            <w:pPr>
              <w:rPr>
                <w:rFonts w:ascii="宋体" w:hAnsi="宋体" w:cs="宋体"/>
                <w:sz w:val="18"/>
                <w:szCs w:val="18"/>
                <w:highlight w:val="none"/>
              </w:rPr>
            </w:pPr>
          </w:p>
        </w:tc>
      </w:tr>
    </w:tbl>
    <w:p>
      <w:pPr>
        <w:rPr>
          <w:rFonts w:ascii="Cambria" w:hAnsi="Cambria"/>
          <w:sz w:val="28"/>
          <w:szCs w:val="28"/>
          <w:highlight w:val="none"/>
        </w:rPr>
      </w:pPr>
      <w:r>
        <w:rPr>
          <w:rFonts w:hint="eastAsia" w:ascii="宋体" w:hAnsi="宋体" w:cs="宋体"/>
          <w:kern w:val="0"/>
          <w:sz w:val="18"/>
          <w:szCs w:val="18"/>
          <w:highlight w:val="none"/>
        </w:rPr>
        <w:t>说明　1、企业类型的划分以统计部门的统计数据为依据。2、个体工商户和本规定以外的行业，参照本规定进行划型。3、本规定的中型企业标准上限即为大型企业标准的下限。</w:t>
      </w:r>
      <w:bookmarkStart w:id="134" w:name="_Toc497935763"/>
      <w:bookmarkStart w:id="135" w:name="_Toc502819372"/>
    </w:p>
    <w:p>
      <w:pPr>
        <w:pStyle w:val="7"/>
        <w:spacing w:line="380" w:lineRule="exact"/>
        <w:rPr>
          <w:rFonts w:ascii="Cambria" w:hAnsi="Cambria"/>
          <w:sz w:val="28"/>
          <w:szCs w:val="28"/>
          <w:highlight w:val="none"/>
        </w:rPr>
        <w:sectPr>
          <w:headerReference r:id="rId14" w:type="default"/>
          <w:footerReference r:id="rId15" w:type="default"/>
          <w:type w:val="continuous"/>
          <w:pgSz w:w="16840" w:h="11907" w:orient="landscape"/>
          <w:pgMar w:top="1279" w:right="1304" w:bottom="1588" w:left="1304" w:header="964" w:footer="720" w:gutter="0"/>
          <w:cols w:space="720" w:num="1"/>
          <w:docGrid w:linePitch="285" w:charSpace="0"/>
        </w:sectPr>
      </w:pPr>
    </w:p>
    <w:bookmarkEnd w:id="134"/>
    <w:bookmarkEnd w:id="135"/>
    <w:p>
      <w:pPr>
        <w:pStyle w:val="7"/>
        <w:tabs>
          <w:tab w:val="left" w:pos="720"/>
        </w:tabs>
        <w:spacing w:line="380" w:lineRule="exact"/>
        <w:jc w:val="center"/>
        <w:rPr>
          <w:rFonts w:hint="eastAsia"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八</w:t>
      </w:r>
      <w:r>
        <w:rPr>
          <w:rFonts w:hint="eastAsia" w:ascii="宋体" w:hAnsi="宋体"/>
          <w:sz w:val="28"/>
          <w:szCs w:val="28"/>
          <w:highlight w:val="none"/>
        </w:rPr>
        <w:t>）监狱企业声明函</w:t>
      </w:r>
    </w:p>
    <w:p>
      <w:pPr>
        <w:jc w:val="center"/>
        <w:rPr>
          <w:rFonts w:hint="eastAsia" w:ascii="宋体" w:hAnsi="宋体" w:cs="宋体"/>
          <w:szCs w:val="21"/>
          <w:highlight w:val="none"/>
        </w:rPr>
      </w:pPr>
      <w:r>
        <w:rPr>
          <w:rFonts w:hint="eastAsia" w:ascii="宋体" w:hAnsi="宋体" w:cs="宋体"/>
          <w:szCs w:val="21"/>
          <w:highlight w:val="none"/>
        </w:rPr>
        <w:t>【非监狱企业不用提供】</w:t>
      </w:r>
    </w:p>
    <w:p>
      <w:pPr>
        <w:spacing w:line="360" w:lineRule="auto"/>
        <w:ind w:firstLine="525" w:firstLineChars="250"/>
        <w:rPr>
          <w:rFonts w:hint="eastAsia" w:ascii="宋体" w:hAnsi="宋体" w:cs="宋体"/>
          <w:szCs w:val="21"/>
          <w:highlight w:val="none"/>
        </w:rPr>
      </w:pP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监狱企业参加政府采购活动时，本企业郑重声明，根据《关于政府采购支持监狱企业发展有关问题的通知》（财库[2014]68号）的规定，本企业为监狱企业。</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根据上述标准，我企业属于监狱企业的理由为：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本企业为参加（项目名称： ）（项目编号： ）采购活动提供本企业的产品。</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pPr>
        <w:spacing w:line="360" w:lineRule="auto"/>
        <w:ind w:firstLine="480"/>
        <w:rPr>
          <w:rFonts w:hint="eastAsia" w:ascii="宋体" w:hAnsi="宋体" w:cs="宋体"/>
          <w:szCs w:val="21"/>
          <w:highlight w:val="none"/>
        </w:rPr>
      </w:pPr>
    </w:p>
    <w:p>
      <w:pPr>
        <w:spacing w:line="360" w:lineRule="auto"/>
        <w:ind w:firstLine="480"/>
        <w:rPr>
          <w:rFonts w:hint="eastAsia" w:ascii="宋体" w:hAnsi="宋体" w:cs="宋体"/>
          <w:szCs w:val="21"/>
          <w:highlight w:val="none"/>
        </w:rPr>
      </w:pPr>
      <w:r>
        <w:rPr>
          <w:rFonts w:hint="eastAsia" w:ascii="宋体" w:hAnsi="宋体" w:cs="宋体"/>
          <w:szCs w:val="21"/>
          <w:highlight w:val="none"/>
        </w:rPr>
        <w:t>供应商名称（盖公章）：</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日期： 年 月 日</w:t>
      </w:r>
    </w:p>
    <w:p>
      <w:pPr>
        <w:spacing w:line="360" w:lineRule="auto"/>
        <w:ind w:firstLine="480"/>
        <w:rPr>
          <w:rFonts w:hint="eastAsia" w:ascii="宋体" w:hAnsi="宋体" w:cs="宋体"/>
          <w:szCs w:val="21"/>
          <w:highlight w:val="none"/>
        </w:rPr>
      </w:pPr>
    </w:p>
    <w:p>
      <w:pPr>
        <w:spacing w:line="360" w:lineRule="auto"/>
        <w:ind w:firstLine="480"/>
        <w:rPr>
          <w:rFonts w:hint="eastAsia" w:ascii="宋体" w:hAnsi="宋体" w:cs="宋体"/>
          <w:szCs w:val="21"/>
          <w:highlight w:val="none"/>
        </w:rPr>
      </w:pPr>
    </w:p>
    <w:p>
      <w:pPr>
        <w:spacing w:line="360" w:lineRule="auto"/>
        <w:ind w:firstLine="480"/>
        <w:rPr>
          <w:rFonts w:hint="eastAsia" w:ascii="宋体" w:hAnsi="宋体" w:cs="宋体"/>
          <w:szCs w:val="21"/>
          <w:highlight w:val="none"/>
        </w:rPr>
      </w:pPr>
      <w:r>
        <w:rPr>
          <w:rFonts w:hint="eastAsia" w:ascii="宋体" w:hAnsi="宋体" w:cs="宋体"/>
          <w:szCs w:val="21"/>
          <w:highlight w:val="none"/>
        </w:rPr>
        <w:t>供应商为监狱企业的提供此函。</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应当提供由省级以上监狱管理局、戒毒管理局（含新疆生产建设兵团）出具的属于监狱企业的证明文件。</w:t>
      </w:r>
    </w:p>
    <w:p>
      <w:pPr>
        <w:pStyle w:val="7"/>
        <w:tabs>
          <w:tab w:val="left" w:pos="720"/>
        </w:tabs>
        <w:spacing w:line="380" w:lineRule="exact"/>
        <w:jc w:val="center"/>
        <w:rPr>
          <w:rFonts w:hint="eastAsia" w:ascii="宋体" w:hAnsi="宋体"/>
          <w:sz w:val="28"/>
          <w:szCs w:val="28"/>
          <w:highlight w:val="none"/>
        </w:rPr>
        <w:sectPr>
          <w:headerReference r:id="rId18" w:type="first"/>
          <w:footerReference r:id="rId20" w:type="first"/>
          <w:headerReference r:id="rId16" w:type="default"/>
          <w:headerReference r:id="rId17" w:type="even"/>
          <w:footerReference r:id="rId19" w:type="even"/>
          <w:type w:val="continuous"/>
          <w:pgSz w:w="11907" w:h="16840"/>
          <w:pgMar w:top="1304" w:right="1588" w:bottom="1304" w:left="1588" w:header="964" w:footer="720" w:gutter="0"/>
          <w:cols w:space="720" w:num="1"/>
        </w:sectPr>
      </w:pPr>
    </w:p>
    <w:p>
      <w:pPr>
        <w:pStyle w:val="7"/>
        <w:tabs>
          <w:tab w:val="left" w:pos="720"/>
        </w:tabs>
        <w:spacing w:line="380" w:lineRule="exact"/>
        <w:jc w:val="center"/>
        <w:rPr>
          <w:rFonts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九</w:t>
      </w:r>
      <w:r>
        <w:rPr>
          <w:rFonts w:hint="eastAsia" w:ascii="宋体" w:hAnsi="宋体"/>
          <w:sz w:val="28"/>
          <w:szCs w:val="28"/>
          <w:highlight w:val="none"/>
        </w:rPr>
        <w:t>）残疾人福利性单位声明函（如有需提供）</w:t>
      </w:r>
    </w:p>
    <w:p>
      <w:pPr>
        <w:ind w:firstLine="420" w:firstLineChars="200"/>
        <w:rPr>
          <w:rFonts w:hint="eastAsia" w:ascii="宋体" w:hAnsi="宋体"/>
          <w:szCs w:val="21"/>
          <w:highlight w:val="none"/>
        </w:rPr>
      </w:pPr>
    </w:p>
    <w:p>
      <w:pPr>
        <w:spacing w:line="588" w:lineRule="exact"/>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tabs>
          <w:tab w:val="left" w:pos="4860"/>
        </w:tabs>
        <w:spacing w:line="588" w:lineRule="exact"/>
        <w:ind w:right="1560" w:firstLine="420" w:firstLineChars="200"/>
        <w:jc w:val="center"/>
        <w:rPr>
          <w:rFonts w:ascii="宋体" w:hAnsi="宋体"/>
          <w:szCs w:val="21"/>
          <w:highlight w:val="none"/>
        </w:rPr>
      </w:pPr>
    </w:p>
    <w:p>
      <w:pPr>
        <w:tabs>
          <w:tab w:val="left" w:pos="4860"/>
        </w:tabs>
        <w:spacing w:line="588" w:lineRule="exact"/>
        <w:ind w:right="1560" w:firstLine="420" w:firstLineChars="200"/>
        <w:jc w:val="center"/>
        <w:rPr>
          <w:rFonts w:ascii="宋体" w:hAnsi="宋体"/>
          <w:szCs w:val="21"/>
          <w:highlight w:val="none"/>
        </w:rPr>
      </w:pPr>
    </w:p>
    <w:p>
      <w:pPr>
        <w:tabs>
          <w:tab w:val="left" w:pos="4860"/>
        </w:tabs>
        <w:spacing w:line="588" w:lineRule="exact"/>
        <w:ind w:right="1560" w:firstLine="420" w:firstLineChars="200"/>
        <w:jc w:val="center"/>
        <w:rPr>
          <w:rFonts w:ascii="宋体" w:hAnsi="宋体"/>
          <w:szCs w:val="21"/>
          <w:highlight w:val="none"/>
        </w:rPr>
      </w:pPr>
      <w:r>
        <w:rPr>
          <w:rFonts w:hint="eastAsia" w:ascii="宋体" w:hAnsi="宋体"/>
          <w:szCs w:val="21"/>
          <w:highlight w:val="none"/>
        </w:rPr>
        <w:t xml:space="preserve">               </w:t>
      </w:r>
      <w:r>
        <w:rPr>
          <w:rFonts w:hint="eastAsia" w:ascii="宋体" w:hAnsi="宋体" w:cs="宋体"/>
          <w:szCs w:val="21"/>
          <w:highlight w:val="none"/>
        </w:rPr>
        <w:t>供应商名称</w:t>
      </w:r>
      <w:r>
        <w:rPr>
          <w:rFonts w:hint="eastAsia" w:ascii="宋体" w:hAnsi="宋体"/>
          <w:szCs w:val="21"/>
          <w:highlight w:val="none"/>
        </w:rPr>
        <w:t>（盖章）：</w:t>
      </w:r>
    </w:p>
    <w:p>
      <w:pPr>
        <w:pStyle w:val="12"/>
        <w:spacing w:line="520" w:lineRule="exact"/>
        <w:ind w:firstLine="0"/>
        <w:rPr>
          <w:szCs w:val="21"/>
          <w:highlight w:val="none"/>
        </w:rPr>
      </w:pPr>
      <w:r>
        <w:rPr>
          <w:rFonts w:hint="eastAsia" w:ascii="宋体" w:hAnsi="宋体"/>
          <w:szCs w:val="21"/>
          <w:highlight w:val="none"/>
        </w:rPr>
        <w:t xml:space="preserve">                                   日  期：</w:t>
      </w:r>
    </w:p>
    <w:p>
      <w:pPr>
        <w:pStyle w:val="12"/>
        <w:spacing w:line="520" w:lineRule="exact"/>
        <w:ind w:firstLine="0"/>
        <w:rPr>
          <w:sz w:val="22"/>
          <w:szCs w:val="22"/>
          <w:highlight w:val="none"/>
        </w:rPr>
      </w:pPr>
    </w:p>
    <w:p>
      <w:pPr>
        <w:spacing w:line="400" w:lineRule="exact"/>
        <w:ind w:firstLine="422" w:firstLineChars="200"/>
        <w:rPr>
          <w:rFonts w:ascii="宋体" w:hAnsi="宋体"/>
          <w:b/>
          <w:szCs w:val="21"/>
          <w:highlight w:val="none"/>
        </w:rPr>
      </w:pPr>
      <w:r>
        <w:rPr>
          <w:rFonts w:hint="eastAsia" w:ascii="宋体" w:hAnsi="宋体"/>
          <w:b/>
          <w:szCs w:val="21"/>
          <w:highlight w:val="none"/>
        </w:rPr>
        <w:t>注：</w:t>
      </w:r>
    </w:p>
    <w:p>
      <w:pPr>
        <w:spacing w:line="400" w:lineRule="exact"/>
        <w:ind w:firstLine="422" w:firstLineChars="200"/>
        <w:rPr>
          <w:rFonts w:ascii="宋体" w:hAnsi="宋体"/>
          <w:b/>
          <w:szCs w:val="21"/>
          <w:highlight w:val="none"/>
        </w:rPr>
      </w:pPr>
      <w:r>
        <w:rPr>
          <w:rFonts w:hint="eastAsia" w:ascii="宋体" w:hAnsi="宋体"/>
          <w:b/>
          <w:szCs w:val="21"/>
          <w:highlight w:val="none"/>
        </w:rPr>
        <w:t>享受政府采购支持政策的残疾人福利性单位应当同时满足以下条件：</w:t>
      </w:r>
    </w:p>
    <w:p>
      <w:pPr>
        <w:spacing w:line="400" w:lineRule="exact"/>
        <w:ind w:firstLine="422" w:firstLineChars="200"/>
        <w:rPr>
          <w:rFonts w:ascii="宋体" w:hAnsi="宋体"/>
          <w:b/>
          <w:szCs w:val="21"/>
          <w:highlight w:val="none"/>
        </w:rPr>
      </w:pPr>
      <w:r>
        <w:rPr>
          <w:rFonts w:hint="eastAsia" w:ascii="宋体" w:hAnsi="宋体"/>
          <w:b/>
          <w:szCs w:val="21"/>
          <w:highlight w:val="none"/>
        </w:rPr>
        <w:t>（一）安置的残疾人占本单位在职职工人数的比例不低于</w:t>
      </w:r>
      <w:r>
        <w:rPr>
          <w:rFonts w:ascii="宋体" w:hAnsi="宋体"/>
          <w:b/>
          <w:szCs w:val="21"/>
          <w:highlight w:val="none"/>
        </w:rPr>
        <w:t>25%</w:t>
      </w:r>
      <w:r>
        <w:rPr>
          <w:rFonts w:hint="eastAsia" w:ascii="宋体" w:hAnsi="宋体"/>
          <w:b/>
          <w:szCs w:val="21"/>
          <w:highlight w:val="none"/>
        </w:rPr>
        <w:t>（含</w:t>
      </w:r>
      <w:r>
        <w:rPr>
          <w:rFonts w:ascii="宋体" w:hAnsi="宋体"/>
          <w:b/>
          <w:szCs w:val="21"/>
          <w:highlight w:val="none"/>
        </w:rPr>
        <w:t>25%</w:t>
      </w:r>
      <w:r>
        <w:rPr>
          <w:rFonts w:hint="eastAsia" w:ascii="宋体" w:hAnsi="宋体"/>
          <w:b/>
          <w:szCs w:val="21"/>
          <w:highlight w:val="none"/>
        </w:rPr>
        <w:t>），并且安置的残疾人人数不少于</w:t>
      </w:r>
      <w:r>
        <w:rPr>
          <w:rFonts w:ascii="宋体" w:hAnsi="宋体"/>
          <w:b/>
          <w:szCs w:val="21"/>
          <w:highlight w:val="none"/>
        </w:rPr>
        <w:t>10</w:t>
      </w:r>
      <w:r>
        <w:rPr>
          <w:rFonts w:hint="eastAsia" w:ascii="宋体" w:hAnsi="宋体"/>
          <w:b/>
          <w:szCs w:val="21"/>
          <w:highlight w:val="none"/>
        </w:rPr>
        <w:t>人（含</w:t>
      </w:r>
      <w:r>
        <w:rPr>
          <w:rFonts w:ascii="宋体" w:hAnsi="宋体"/>
          <w:b/>
          <w:szCs w:val="21"/>
          <w:highlight w:val="none"/>
        </w:rPr>
        <w:t>10</w:t>
      </w:r>
      <w:r>
        <w:rPr>
          <w:rFonts w:hint="eastAsia" w:ascii="宋体" w:hAnsi="宋体"/>
          <w:b/>
          <w:szCs w:val="21"/>
          <w:highlight w:val="none"/>
        </w:rPr>
        <w:t>人）；</w:t>
      </w:r>
    </w:p>
    <w:p>
      <w:pPr>
        <w:spacing w:line="400" w:lineRule="exact"/>
        <w:ind w:firstLine="422" w:firstLineChars="200"/>
        <w:rPr>
          <w:rFonts w:ascii="宋体" w:hAnsi="宋体"/>
          <w:b/>
          <w:szCs w:val="21"/>
          <w:highlight w:val="none"/>
        </w:rPr>
      </w:pPr>
      <w:r>
        <w:rPr>
          <w:rFonts w:hint="eastAsia" w:ascii="宋体" w:hAnsi="宋体"/>
          <w:b/>
          <w:szCs w:val="21"/>
          <w:highlight w:val="none"/>
        </w:rPr>
        <w:t>（二）依法与安置的每位残疾人签订了一年以上（含一年）的劳动合同或服务协议；</w:t>
      </w:r>
    </w:p>
    <w:p>
      <w:pPr>
        <w:spacing w:line="400" w:lineRule="exact"/>
        <w:ind w:firstLine="422" w:firstLineChars="200"/>
        <w:rPr>
          <w:rFonts w:ascii="宋体" w:hAnsi="宋体"/>
          <w:b/>
          <w:szCs w:val="21"/>
          <w:highlight w:val="none"/>
        </w:rPr>
      </w:pPr>
      <w:r>
        <w:rPr>
          <w:rFonts w:hint="eastAsia" w:ascii="宋体" w:hAnsi="宋体"/>
          <w:b/>
          <w:szCs w:val="21"/>
          <w:highlight w:val="none"/>
        </w:rPr>
        <w:t>（三）为安置的每位残疾人按月足额缴纳了基本养老保险、基本医疗保险、失业保险、工伤保险和生育保险等社会保险费；</w:t>
      </w:r>
    </w:p>
    <w:p>
      <w:pPr>
        <w:spacing w:line="400" w:lineRule="exact"/>
        <w:ind w:firstLine="422" w:firstLineChars="200"/>
        <w:rPr>
          <w:rFonts w:ascii="宋体" w:hAnsi="宋体"/>
          <w:b/>
          <w:szCs w:val="21"/>
          <w:highlight w:val="none"/>
        </w:rPr>
      </w:pPr>
      <w:r>
        <w:rPr>
          <w:rFonts w:hint="eastAsia" w:ascii="宋体" w:hAnsi="宋体"/>
          <w:b/>
          <w:szCs w:val="21"/>
          <w:highlight w:val="none"/>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宋体" w:hAnsi="宋体"/>
          <w:b/>
          <w:szCs w:val="21"/>
          <w:highlight w:val="none"/>
        </w:rPr>
      </w:pPr>
      <w:r>
        <w:rPr>
          <w:rFonts w:hint="eastAsia" w:ascii="宋体" w:hAnsi="宋体"/>
          <w:b/>
          <w:szCs w:val="21"/>
          <w:highlight w:val="none"/>
        </w:rPr>
        <w:t>（五）提供本单位制造的货物、承担的工程或者服务（以下简称产品），或者提供其他残疾人福利性单位制造的货物（不包括使用非残疾人福利性单位注册商标的货物）。</w:t>
      </w:r>
    </w:p>
    <w:p>
      <w:pPr>
        <w:pStyle w:val="12"/>
        <w:spacing w:line="520" w:lineRule="exact"/>
        <w:ind w:firstLine="0"/>
        <w:rPr>
          <w:rFonts w:hint="eastAsia"/>
          <w:sz w:val="22"/>
          <w:szCs w:val="22"/>
          <w:highlight w:val="none"/>
        </w:rPr>
      </w:pPr>
      <w:r>
        <w:rPr>
          <w:rFonts w:hint="eastAsia" w:ascii="宋体" w:hAnsi="宋体"/>
          <w:b/>
          <w:szCs w:val="21"/>
          <w:highlight w:val="none"/>
        </w:rPr>
        <w:t>前款所称残疾人是指法定劳动年龄内，持有《中华人民共和国残疾人证》或者《中华人民共和国残疾军人证（</w:t>
      </w:r>
      <w:r>
        <w:rPr>
          <w:rFonts w:ascii="宋体" w:hAnsi="宋体"/>
          <w:b/>
          <w:szCs w:val="21"/>
          <w:highlight w:val="none"/>
        </w:rPr>
        <w:t>1</w:t>
      </w:r>
      <w:r>
        <w:rPr>
          <w:rFonts w:hint="eastAsia" w:ascii="宋体" w:hAnsi="宋体"/>
          <w:b/>
          <w:szCs w:val="21"/>
          <w:highlight w:val="none"/>
        </w:rPr>
        <w:t>至</w:t>
      </w:r>
      <w:r>
        <w:rPr>
          <w:rFonts w:ascii="宋体" w:hAnsi="宋体"/>
          <w:b/>
          <w:szCs w:val="21"/>
          <w:highlight w:val="none"/>
        </w:rPr>
        <w:t>8</w:t>
      </w:r>
      <w:r>
        <w:rPr>
          <w:rFonts w:hint="eastAsia" w:ascii="宋体" w:hAnsi="宋体"/>
          <w:b/>
          <w:szCs w:val="21"/>
          <w:highlight w:val="none"/>
        </w:rPr>
        <w:t>级）》的自然人，包括具有劳动条件和劳动意愿的精神残疾人。在职职工人数是指与残疾人福利性单位建立劳动关系并依法签订劳动合同或者服务协议的雇员人数。</w:t>
      </w:r>
    </w:p>
    <w:p>
      <w:pPr>
        <w:pStyle w:val="12"/>
        <w:spacing w:line="360" w:lineRule="auto"/>
        <w:ind w:firstLine="482" w:firstLineChars="200"/>
        <w:jc w:val="center"/>
        <w:rPr>
          <w:rFonts w:hint="eastAsia" w:ascii="宋体" w:hAnsi="宋体"/>
          <w:b/>
          <w:sz w:val="24"/>
          <w:szCs w:val="24"/>
          <w:highlight w:val="none"/>
        </w:rPr>
      </w:pPr>
    </w:p>
    <w:p>
      <w:pPr>
        <w:pStyle w:val="12"/>
        <w:spacing w:line="360" w:lineRule="auto"/>
        <w:ind w:firstLine="482" w:firstLineChars="200"/>
        <w:jc w:val="center"/>
        <w:rPr>
          <w:rFonts w:hint="eastAsia"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十</w:t>
      </w:r>
      <w:r>
        <w:rPr>
          <w:rFonts w:hint="eastAsia" w:ascii="宋体" w:hAnsi="宋体"/>
          <w:b/>
          <w:sz w:val="24"/>
          <w:szCs w:val="24"/>
          <w:highlight w:val="none"/>
          <w:lang w:eastAsia="zh-CN"/>
        </w:rPr>
        <w:t>）</w:t>
      </w:r>
      <w:r>
        <w:rPr>
          <w:rFonts w:hint="eastAsia" w:ascii="宋体" w:hAnsi="宋体"/>
          <w:b/>
          <w:sz w:val="24"/>
          <w:szCs w:val="24"/>
          <w:highlight w:val="none"/>
        </w:rPr>
        <w:t>供应商认为需要提供的其他资格材料</w:t>
      </w:r>
    </w:p>
    <w:p>
      <w:pPr>
        <w:jc w:val="left"/>
        <w:rPr>
          <w:rFonts w:hint="eastAsia"/>
          <w:sz w:val="32"/>
          <w:szCs w:val="32"/>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ascii="宋体" w:hAnsi="宋体" w:cs="宋体"/>
          <w:kern w:val="0"/>
          <w:sz w:val="24"/>
          <w:highlight w:val="none"/>
        </w:rPr>
      </w:pPr>
      <w:r>
        <w:rPr>
          <w:rFonts w:hint="eastAsia" w:ascii="宋体" w:hAnsi="宋体"/>
          <w:sz w:val="24"/>
          <w:szCs w:val="24"/>
          <w:highlight w:val="none"/>
        </w:rPr>
        <w:br w:type="page"/>
      </w:r>
      <w:r>
        <w:rPr>
          <w:rFonts w:hint="eastAsia" w:ascii="宋体" w:hAnsi="宋体" w:cs="宋体"/>
          <w:b/>
          <w:bCs/>
          <w:kern w:val="0"/>
          <w:szCs w:val="21"/>
          <w:highlight w:val="none"/>
        </w:rPr>
        <w:t xml:space="preserve">商务技术文件组成： </w:t>
      </w:r>
    </w:p>
    <w:p>
      <w:pPr>
        <w:widowControl/>
        <w:spacing w:line="360" w:lineRule="auto"/>
        <w:ind w:firstLine="420" w:firstLineChars="200"/>
        <w:jc w:val="left"/>
        <w:rPr>
          <w:rFonts w:ascii="宋体" w:hAnsi="宋体" w:cs="宋体"/>
          <w:kern w:val="0"/>
          <w:sz w:val="24"/>
          <w:highlight w:val="none"/>
        </w:rPr>
      </w:pPr>
      <w:r>
        <w:rPr>
          <w:rFonts w:hint="eastAsia" w:ascii="宋体" w:hAnsi="宋体" w:cs="宋体"/>
          <w:kern w:val="0"/>
          <w:szCs w:val="21"/>
          <w:highlight w:val="none"/>
        </w:rPr>
        <w:t>（1）委托代理人的身份证、法定代表人身份证明及法定代表人授权委托书（或法定代表人身份证及法定代表人身份证明）；</w:t>
      </w:r>
    </w:p>
    <w:p>
      <w:pPr>
        <w:widowControl/>
        <w:spacing w:line="360" w:lineRule="auto"/>
        <w:ind w:firstLine="420" w:firstLineChars="200"/>
        <w:jc w:val="left"/>
        <w:rPr>
          <w:rFonts w:ascii="宋体" w:hAnsi="宋体" w:cs="宋体"/>
          <w:kern w:val="0"/>
          <w:sz w:val="24"/>
          <w:highlight w:val="none"/>
        </w:rPr>
      </w:pPr>
      <w:r>
        <w:rPr>
          <w:rFonts w:hint="eastAsia" w:ascii="宋体" w:hAnsi="宋体" w:cs="宋体"/>
          <w:kern w:val="0"/>
          <w:szCs w:val="21"/>
          <w:highlight w:val="none"/>
        </w:rPr>
        <w:t xml:space="preserve">（2）供应商基本情况表； </w:t>
      </w:r>
    </w:p>
    <w:p>
      <w:pPr>
        <w:widowControl/>
        <w:spacing w:line="360" w:lineRule="auto"/>
        <w:ind w:firstLine="420" w:firstLineChars="200"/>
        <w:jc w:val="left"/>
        <w:rPr>
          <w:rFonts w:ascii="宋体" w:hAnsi="宋体" w:cs="宋体"/>
          <w:kern w:val="0"/>
          <w:sz w:val="24"/>
          <w:highlight w:val="none"/>
        </w:rPr>
      </w:pPr>
      <w:r>
        <w:rPr>
          <w:rFonts w:hint="eastAsia" w:ascii="宋体" w:hAnsi="宋体" w:cs="宋体"/>
          <w:szCs w:val="21"/>
          <w:highlight w:val="none"/>
        </w:rPr>
        <w:t>（3）技术、商务条款偏离表</w:t>
      </w:r>
      <w:r>
        <w:rPr>
          <w:rFonts w:hint="eastAsia" w:ascii="宋体" w:hAnsi="宋体" w:cs="宋体"/>
          <w:kern w:val="0"/>
          <w:szCs w:val="21"/>
          <w:highlight w:val="none"/>
        </w:rPr>
        <w:t>；</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szCs w:val="21"/>
          <w:highlight w:val="none"/>
        </w:rPr>
        <w:t>根据第六章“评定成交的标准”中“评分标准”要求提供的资料（如有需提供）</w:t>
      </w:r>
      <w:r>
        <w:rPr>
          <w:rFonts w:hint="eastAsia" w:ascii="宋体" w:hAnsi="宋体" w:cs="宋体"/>
          <w:kern w:val="0"/>
          <w:szCs w:val="21"/>
          <w:highlight w:val="none"/>
        </w:rPr>
        <w:t>；</w:t>
      </w:r>
    </w:p>
    <w:p>
      <w:pPr>
        <w:widowControl/>
        <w:spacing w:line="360" w:lineRule="auto"/>
        <w:ind w:firstLine="420" w:firstLineChars="200"/>
        <w:jc w:val="left"/>
        <w:rPr>
          <w:rFonts w:hint="eastAsia"/>
          <w:sz w:val="32"/>
          <w:szCs w:val="32"/>
          <w:highlight w:val="none"/>
        </w:rPr>
      </w:pPr>
      <w:r>
        <w:rPr>
          <w:rFonts w:hint="eastAsia" w:ascii="宋体" w:hAnsi="宋体" w:cs="宋体"/>
          <w:kern w:val="0"/>
          <w:szCs w:val="21"/>
          <w:highlight w:val="none"/>
        </w:rPr>
        <w:t>（5）供应商认为需要提供的其他商务技术材料。</w:t>
      </w: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line="360" w:lineRule="auto"/>
        <w:rPr>
          <w:rFonts w:hint="eastAsia" w:ascii="宋体" w:hAnsi="宋体"/>
          <w:sz w:val="24"/>
          <w:szCs w:val="24"/>
          <w:highlight w:val="none"/>
        </w:rPr>
      </w:pPr>
    </w:p>
    <w:p>
      <w:pPr>
        <w:spacing w:after="120" w:line="352" w:lineRule="auto"/>
        <w:ind w:left="420" w:leftChars="200"/>
        <w:jc w:val="center"/>
        <w:rPr>
          <w:rFonts w:hint="eastAsia" w:ascii="Arial" w:hAnsi="宋体" w:cs="Arial"/>
          <w:b/>
          <w:spacing w:val="8"/>
          <w:kern w:val="44"/>
          <w:sz w:val="28"/>
          <w:szCs w:val="28"/>
          <w:highlight w:val="none"/>
        </w:rPr>
      </w:pPr>
      <w:r>
        <w:rPr>
          <w:rFonts w:hint="eastAsia" w:ascii="宋体" w:hAnsi="宋体"/>
          <w:sz w:val="24"/>
          <w:szCs w:val="24"/>
          <w:highlight w:val="none"/>
        </w:rPr>
        <w:br w:type="page"/>
      </w:r>
      <w:r>
        <w:rPr>
          <w:rFonts w:hint="eastAsia" w:ascii="宋体"/>
          <w:b/>
          <w:kern w:val="0"/>
          <w:sz w:val="28"/>
          <w:szCs w:val="28"/>
          <w:highlight w:val="none"/>
        </w:rPr>
        <w:t>（一）</w:t>
      </w:r>
      <w:r>
        <w:rPr>
          <w:rFonts w:hint="eastAsia" w:ascii="Arial" w:hAnsi="宋体" w:cs="Arial"/>
          <w:b/>
          <w:spacing w:val="8"/>
          <w:kern w:val="44"/>
          <w:sz w:val="28"/>
          <w:szCs w:val="28"/>
          <w:highlight w:val="none"/>
        </w:rPr>
        <w:t>法定代表人授权委托书</w:t>
      </w:r>
    </w:p>
    <w:p>
      <w:pPr>
        <w:spacing w:after="120" w:line="352" w:lineRule="auto"/>
        <w:ind w:left="420" w:leftChars="200"/>
        <w:jc w:val="center"/>
        <w:rPr>
          <w:rFonts w:hint="eastAsia" w:ascii="宋体" w:hAnsi="宋体"/>
          <w:kern w:val="0"/>
          <w:sz w:val="24"/>
          <w:highlight w:val="none"/>
        </w:rPr>
      </w:pPr>
    </w:p>
    <w:p>
      <w:pPr>
        <w:spacing w:after="120" w:line="352" w:lineRule="auto"/>
        <w:rPr>
          <w:rFonts w:hint="eastAsia" w:ascii="宋体" w:hAnsi="宋体"/>
          <w:kern w:val="0"/>
          <w:szCs w:val="21"/>
          <w:highlight w:val="none"/>
        </w:rPr>
      </w:pPr>
      <w:r>
        <w:rPr>
          <w:rFonts w:hint="eastAsia" w:ascii="宋体" w:hAnsi="宋体"/>
          <w:kern w:val="0"/>
          <w:szCs w:val="21"/>
          <w:highlight w:val="none"/>
        </w:rPr>
        <w:t xml:space="preserve">  致：</w:t>
      </w:r>
      <w:r>
        <w:rPr>
          <w:rFonts w:hint="eastAsia" w:ascii="宋体" w:hAnsi="宋体"/>
          <w:szCs w:val="21"/>
          <w:highlight w:val="none"/>
          <w:u w:val="single"/>
        </w:rPr>
        <w:t xml:space="preserve">                         </w:t>
      </w:r>
      <w:r>
        <w:rPr>
          <w:rFonts w:hint="eastAsia" w:ascii="宋体" w:hAnsi="宋体"/>
          <w:kern w:val="0"/>
          <w:szCs w:val="21"/>
          <w:highlight w:val="none"/>
        </w:rPr>
        <w:t>：</w:t>
      </w:r>
    </w:p>
    <w:p>
      <w:pPr>
        <w:spacing w:after="120" w:line="352" w:lineRule="auto"/>
        <w:ind w:left="420" w:leftChars="200"/>
        <w:rPr>
          <w:rFonts w:hint="eastAsia" w:ascii="宋体" w:hAnsi="宋体"/>
          <w:kern w:val="0"/>
          <w:szCs w:val="21"/>
          <w:highlight w:val="none"/>
        </w:rPr>
      </w:pPr>
    </w:p>
    <w:p>
      <w:pPr>
        <w:spacing w:after="120" w:line="400" w:lineRule="exact"/>
        <w:ind w:firstLine="420" w:firstLineChars="200"/>
        <w:rPr>
          <w:rFonts w:hint="eastAsia"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i/>
          <w:kern w:val="0"/>
          <w:szCs w:val="21"/>
          <w:highlight w:val="none"/>
          <w:u w:val="single"/>
        </w:rPr>
        <w:t>供应商全称</w:t>
      </w:r>
      <w:r>
        <w:rPr>
          <w:rFonts w:hint="eastAsia" w:ascii="宋体" w:hAnsi="宋体"/>
          <w:kern w:val="0"/>
          <w:szCs w:val="21"/>
          <w:highlight w:val="none"/>
          <w:u w:val="single"/>
        </w:rPr>
        <w:t xml:space="preserve">）      </w:t>
      </w:r>
      <w:r>
        <w:rPr>
          <w:rFonts w:hint="eastAsia" w:ascii="宋体" w:hAnsi="宋体"/>
          <w:kern w:val="0"/>
          <w:szCs w:val="21"/>
          <w:highlight w:val="none"/>
        </w:rPr>
        <w:t>法定代表人</w:t>
      </w:r>
      <w:r>
        <w:rPr>
          <w:rFonts w:hint="eastAsia" w:ascii="宋体" w:hAnsi="宋体"/>
          <w:kern w:val="0"/>
          <w:szCs w:val="21"/>
          <w:highlight w:val="none"/>
          <w:u w:val="single"/>
        </w:rPr>
        <w:t xml:space="preserve">  </w:t>
      </w:r>
      <w:r>
        <w:rPr>
          <w:rFonts w:hint="eastAsia" w:ascii="宋体" w:hAnsi="宋体"/>
          <w:i/>
          <w:kern w:val="0"/>
          <w:szCs w:val="21"/>
          <w:highlight w:val="none"/>
          <w:u w:val="single"/>
        </w:rPr>
        <w:t>（姓名、职务）</w:t>
      </w:r>
      <w:r>
        <w:rPr>
          <w:rFonts w:hint="eastAsia" w:ascii="宋体" w:hAnsi="宋体"/>
          <w:kern w:val="0"/>
          <w:szCs w:val="21"/>
          <w:highlight w:val="none"/>
          <w:u w:val="single"/>
        </w:rPr>
        <w:t xml:space="preserve">              </w:t>
      </w:r>
      <w:r>
        <w:rPr>
          <w:rFonts w:hint="eastAsia" w:ascii="宋体" w:hAnsi="宋体"/>
          <w:kern w:val="0"/>
          <w:szCs w:val="21"/>
          <w:highlight w:val="none"/>
        </w:rPr>
        <w:t>授权</w:t>
      </w:r>
      <w:r>
        <w:rPr>
          <w:rFonts w:hint="eastAsia" w:ascii="宋体" w:hAnsi="宋体"/>
          <w:kern w:val="0"/>
          <w:szCs w:val="21"/>
          <w:highlight w:val="none"/>
          <w:u w:val="single"/>
        </w:rPr>
        <w:t xml:space="preserve">   （</w:t>
      </w:r>
      <w:r>
        <w:rPr>
          <w:rFonts w:hint="eastAsia" w:ascii="宋体" w:hAnsi="宋体"/>
          <w:i/>
          <w:kern w:val="0"/>
          <w:szCs w:val="21"/>
          <w:highlight w:val="none"/>
          <w:u w:val="single"/>
        </w:rPr>
        <w:t>被授权代表姓名、职务</w:t>
      </w:r>
      <w:r>
        <w:rPr>
          <w:rFonts w:hint="eastAsia" w:ascii="宋体" w:hAnsi="宋体"/>
          <w:kern w:val="0"/>
          <w:szCs w:val="21"/>
          <w:highlight w:val="none"/>
          <w:u w:val="single"/>
        </w:rPr>
        <w:t xml:space="preserve">）              </w:t>
      </w:r>
      <w:r>
        <w:rPr>
          <w:rFonts w:hint="eastAsia" w:ascii="宋体" w:hAnsi="宋体"/>
          <w:kern w:val="0"/>
          <w:szCs w:val="21"/>
          <w:highlight w:val="none"/>
        </w:rPr>
        <w:t>为本公司合法代理人，参加贵招标代理公司组织的</w:t>
      </w:r>
      <w:r>
        <w:rPr>
          <w:rFonts w:hint="eastAsia" w:ascii="宋体" w:hAnsi="宋体"/>
          <w:kern w:val="0"/>
          <w:szCs w:val="21"/>
          <w:highlight w:val="none"/>
          <w:u w:val="single"/>
        </w:rPr>
        <w:t xml:space="preserve">   </w:t>
      </w:r>
      <w:r>
        <w:rPr>
          <w:rFonts w:hint="eastAsia" w:ascii="宋体" w:hAnsi="宋体"/>
          <w:i/>
          <w:kern w:val="0"/>
          <w:szCs w:val="21"/>
          <w:highlight w:val="none"/>
          <w:u w:val="single"/>
        </w:rPr>
        <w:t>（项目编号）</w:t>
      </w:r>
      <w:r>
        <w:rPr>
          <w:rFonts w:hint="eastAsia" w:ascii="宋体" w:hAnsi="宋体"/>
          <w:kern w:val="0"/>
          <w:szCs w:val="21"/>
          <w:highlight w:val="none"/>
          <w:u w:val="single"/>
        </w:rPr>
        <w:t xml:space="preserve"> (</w:t>
      </w:r>
      <w:r>
        <w:rPr>
          <w:rFonts w:hint="eastAsia" w:ascii="宋体" w:hAnsi="宋体"/>
          <w:i/>
          <w:kern w:val="0"/>
          <w:szCs w:val="21"/>
          <w:highlight w:val="none"/>
          <w:u w:val="single"/>
        </w:rPr>
        <w:t>项目名称</w:t>
      </w:r>
      <w:r>
        <w:rPr>
          <w:rFonts w:hint="eastAsia" w:ascii="宋体" w:hAnsi="宋体"/>
          <w:kern w:val="0"/>
          <w:szCs w:val="21"/>
          <w:highlight w:val="none"/>
          <w:u w:val="single"/>
        </w:rPr>
        <w:t xml:space="preserve">)                      </w:t>
      </w:r>
      <w:r>
        <w:rPr>
          <w:rFonts w:hint="eastAsia" w:ascii="宋体" w:hAnsi="宋体"/>
          <w:kern w:val="0"/>
          <w:szCs w:val="21"/>
          <w:highlight w:val="none"/>
        </w:rPr>
        <w:t>项目的公开招标采购活动，代表本公司处理采购活动中的一切事宜。</w:t>
      </w:r>
    </w:p>
    <w:p>
      <w:pPr>
        <w:spacing w:after="120" w:line="400" w:lineRule="exact"/>
        <w:ind w:firstLine="420" w:firstLineChars="200"/>
        <w:rPr>
          <w:rFonts w:hint="eastAsia" w:ascii="宋体" w:hAnsi="宋体"/>
          <w:kern w:val="0"/>
          <w:szCs w:val="21"/>
          <w:highlight w:val="none"/>
          <w:u w:val="single"/>
        </w:rPr>
      </w:pPr>
      <w:r>
        <w:rPr>
          <w:rFonts w:hint="eastAsia" w:ascii="宋体" w:hAnsi="宋体"/>
          <w:kern w:val="0"/>
          <w:szCs w:val="21"/>
          <w:highlight w:val="none"/>
        </w:rPr>
        <w:t>本授权书于</w:t>
      </w: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日签字生效，特此声明。</w:t>
      </w:r>
    </w:p>
    <w:p>
      <w:pPr>
        <w:spacing w:after="120" w:line="400" w:lineRule="exact"/>
        <w:ind w:left="420" w:leftChars="200"/>
        <w:rPr>
          <w:rFonts w:hint="eastAsia" w:ascii="宋体" w:hAnsi="宋体"/>
          <w:kern w:val="0"/>
          <w:szCs w:val="21"/>
          <w:highlight w:val="none"/>
        </w:rPr>
      </w:pPr>
    </w:p>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spacing w:after="120" w:line="400" w:lineRule="exact"/>
        <w:ind w:left="420" w:leftChars="200"/>
        <w:rPr>
          <w:rFonts w:hint="eastAsia" w:ascii="宋体" w:hAnsi="宋体"/>
          <w:kern w:val="0"/>
          <w:szCs w:val="21"/>
          <w:highlight w:val="none"/>
        </w:rPr>
      </w:pP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附：</w:t>
      </w: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 xml:space="preserve">  被授权代表姓名：（印刷体）</w:t>
      </w: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 xml:space="preserve">  职          务：</w:t>
      </w:r>
    </w:p>
    <w:p>
      <w:pPr>
        <w:spacing w:after="120" w:line="400" w:lineRule="exact"/>
        <w:ind w:left="420" w:leftChars="200" w:firstLine="235"/>
        <w:rPr>
          <w:rFonts w:hint="eastAsia" w:ascii="宋体" w:hAnsi="宋体"/>
          <w:kern w:val="0"/>
          <w:szCs w:val="21"/>
          <w:highlight w:val="none"/>
        </w:rPr>
      </w:pPr>
      <w:r>
        <w:rPr>
          <w:rFonts w:hint="eastAsia" w:ascii="宋体" w:hAnsi="宋体"/>
          <w:kern w:val="0"/>
          <w:szCs w:val="21"/>
          <w:highlight w:val="none"/>
        </w:rPr>
        <w:t>被授权代表签字：</w:t>
      </w: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 xml:space="preserve">  详细通讯地址：</w:t>
      </w: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 xml:space="preserve">  邮 政 编  码：</w:t>
      </w: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 xml:space="preserve">  传        真：</w:t>
      </w:r>
    </w:p>
    <w:p>
      <w:pPr>
        <w:spacing w:after="120" w:line="400" w:lineRule="exact"/>
        <w:ind w:left="420" w:leftChars="200"/>
        <w:rPr>
          <w:rFonts w:hint="eastAsia" w:ascii="宋体" w:hAnsi="宋体"/>
          <w:kern w:val="0"/>
          <w:szCs w:val="21"/>
          <w:highlight w:val="none"/>
        </w:rPr>
      </w:pPr>
      <w:r>
        <w:rPr>
          <w:rFonts w:hint="eastAsia" w:ascii="宋体" w:hAnsi="宋体"/>
          <w:kern w:val="0"/>
          <w:szCs w:val="21"/>
          <w:highlight w:val="none"/>
        </w:rPr>
        <w:t xml:space="preserve">  电        话：</w:t>
      </w:r>
    </w:p>
    <w:p>
      <w:pPr>
        <w:spacing w:after="120" w:line="352" w:lineRule="auto"/>
        <w:ind w:firstLine="620" w:firstLineChars="294"/>
        <w:rPr>
          <w:rFonts w:hint="eastAsia" w:ascii="宋体" w:hAnsi="宋体"/>
          <w:b/>
          <w:kern w:val="0"/>
          <w:szCs w:val="21"/>
          <w:highlight w:val="none"/>
        </w:rPr>
      </w:pPr>
      <w:r>
        <w:rPr>
          <w:rFonts w:hint="eastAsia" w:ascii="宋体" w:hAnsi="宋体"/>
          <w:b/>
          <w:kern w:val="0"/>
          <w:szCs w:val="21"/>
          <w:highlight w:val="none"/>
        </w:rPr>
        <w:t>附：法定代表人或授权代表人身份证正反面复印件</w:t>
      </w:r>
    </w:p>
    <w:p>
      <w:pPr>
        <w:spacing w:after="120" w:line="352" w:lineRule="auto"/>
        <w:rPr>
          <w:rFonts w:hint="eastAsia" w:ascii="宋体" w:hAnsi="宋体"/>
          <w:b/>
          <w:kern w:val="0"/>
          <w:szCs w:val="21"/>
          <w:highlight w:val="none"/>
        </w:rPr>
      </w:pPr>
    </w:p>
    <w:p>
      <w:pPr>
        <w:spacing w:after="120" w:line="352" w:lineRule="auto"/>
        <w:rPr>
          <w:rFonts w:hint="eastAsia" w:ascii="宋体" w:hAnsi="宋体"/>
          <w:b/>
          <w:kern w:val="0"/>
          <w:szCs w:val="21"/>
          <w:highlight w:val="none"/>
        </w:rPr>
      </w:pPr>
    </w:p>
    <w:p>
      <w:pPr>
        <w:spacing w:after="120" w:line="352" w:lineRule="auto"/>
        <w:rPr>
          <w:rFonts w:hint="eastAsia" w:ascii="宋体" w:hAnsi="宋体"/>
          <w:b/>
          <w:kern w:val="0"/>
          <w:szCs w:val="21"/>
          <w:highlight w:val="none"/>
        </w:rPr>
      </w:pPr>
    </w:p>
    <w:p>
      <w:pPr>
        <w:pStyle w:val="5"/>
        <w:spacing w:line="360" w:lineRule="auto"/>
        <w:rPr>
          <w:rFonts w:hAnsi="宋体"/>
          <w:szCs w:val="28"/>
          <w:highlight w:val="none"/>
        </w:rPr>
      </w:pPr>
      <w:bookmarkStart w:id="136" w:name="_Toc25453"/>
      <w:bookmarkStart w:id="137" w:name="_Toc1364"/>
      <w:r>
        <w:rPr>
          <w:rFonts w:hint="eastAsia" w:hAnsi="宋体"/>
          <w:szCs w:val="28"/>
          <w:highlight w:val="none"/>
        </w:rPr>
        <w:t>法定代表人身份证明</w:t>
      </w:r>
      <w:bookmarkEnd w:id="136"/>
      <w:bookmarkEnd w:id="137"/>
    </w:p>
    <w:p>
      <w:pPr>
        <w:spacing w:line="480" w:lineRule="auto"/>
        <w:ind w:firstLine="420" w:firstLineChars="200"/>
        <w:rPr>
          <w:rFonts w:ascii="宋体" w:hAnsi="宋体" w:cs="宋体"/>
          <w:szCs w:val="21"/>
          <w:highlight w:val="none"/>
        </w:rPr>
      </w:pP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8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pPr>
        <w:spacing w:line="48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w:t>
      </w:r>
    </w:p>
    <w:p>
      <w:pPr>
        <w:spacing w:line="480" w:lineRule="auto"/>
        <w:ind w:firstLine="840" w:firstLineChars="4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pPr>
        <w:spacing w:line="360" w:lineRule="auto"/>
        <w:ind w:firstLine="4515" w:firstLineChars="2150"/>
        <w:rPr>
          <w:rFonts w:ascii="宋体" w:hAnsi="宋体" w:cs="宋体"/>
          <w:szCs w:val="21"/>
          <w:highlight w:val="none"/>
          <w:u w:val="single"/>
        </w:rPr>
      </w:pPr>
    </w:p>
    <w:p>
      <w:pPr>
        <w:spacing w:line="360" w:lineRule="auto"/>
        <w:ind w:firstLine="3675" w:firstLineChars="17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hAnsi="宋体" w:cs="宋体"/>
          <w:sz w:val="24"/>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附法定代表人身份证复印件（正反面）：</w:t>
      </w:r>
    </w:p>
    <w:p>
      <w:pPr>
        <w:rPr>
          <w:rFonts w:ascii="宋体" w:hAnsi="宋体" w:cs="宋体"/>
          <w:highlight w:val="none"/>
        </w:rPr>
      </w:pPr>
    </w:p>
    <w:p>
      <w:pPr>
        <w:rPr>
          <w:rFonts w:ascii="宋体" w:hAnsi="宋体" w:cs="宋体"/>
          <w:b/>
          <w:sz w:val="32"/>
          <w:szCs w:val="32"/>
          <w:highlight w:val="none"/>
        </w:rPr>
      </w:pPr>
    </w:p>
    <w:p>
      <w:pPr>
        <w:rPr>
          <w:rFonts w:ascii="宋体" w:hAnsi="宋体" w:cs="宋体"/>
          <w:b/>
          <w:sz w:val="32"/>
          <w:szCs w:val="32"/>
          <w:highlight w:val="none"/>
        </w:rPr>
      </w:pPr>
    </w:p>
    <w:p>
      <w:pPr>
        <w:ind w:firstLine="205" w:firstLineChars="98"/>
        <w:rPr>
          <w:highlight w:val="none"/>
        </w:rPr>
      </w:pPr>
    </w:p>
    <w:p>
      <w:pPr>
        <w:pStyle w:val="5"/>
        <w:spacing w:line="360" w:lineRule="auto"/>
        <w:rPr>
          <w:rFonts w:hint="eastAsia" w:hAnsi="宋体"/>
          <w:szCs w:val="28"/>
          <w:highlight w:val="none"/>
        </w:rPr>
      </w:pPr>
      <w:bookmarkStart w:id="138" w:name="_Toc516480377"/>
      <w:bookmarkStart w:id="139" w:name="_Toc513799090"/>
      <w:bookmarkStart w:id="140" w:name="_Toc53670321"/>
      <w:r>
        <w:rPr>
          <w:rFonts w:hint="eastAsia" w:hAnsi="宋体"/>
          <w:szCs w:val="28"/>
          <w:highlight w:val="none"/>
        </w:rPr>
        <w:br w:type="page"/>
      </w:r>
      <w:bookmarkStart w:id="141" w:name="_Toc5499"/>
      <w:bookmarkStart w:id="142" w:name="_Toc27388"/>
      <w:r>
        <w:rPr>
          <w:rFonts w:hint="eastAsia" w:hAnsi="宋体"/>
          <w:szCs w:val="28"/>
          <w:highlight w:val="none"/>
        </w:rPr>
        <w:t>（二）供应商基本情况表</w:t>
      </w:r>
      <w:bookmarkEnd w:id="138"/>
      <w:bookmarkEnd w:id="139"/>
      <w:bookmarkEnd w:id="140"/>
      <w:bookmarkEnd w:id="141"/>
      <w:bookmarkEnd w:id="14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850"/>
        <w:gridCol w:w="1274"/>
        <w:gridCol w:w="1219"/>
        <w:gridCol w:w="1266"/>
        <w:gridCol w:w="793"/>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供应商名称</w:t>
            </w:r>
          </w:p>
        </w:tc>
        <w:tc>
          <w:tcPr>
            <w:tcW w:w="7140" w:type="dxa"/>
            <w:gridSpan w:val="6"/>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注册地址</w:t>
            </w:r>
          </w:p>
        </w:tc>
        <w:tc>
          <w:tcPr>
            <w:tcW w:w="3343" w:type="dxa"/>
            <w:gridSpan w:val="3"/>
            <w:noWrap w:val="0"/>
            <w:vAlign w:val="center"/>
          </w:tcPr>
          <w:p>
            <w:pPr>
              <w:spacing w:line="320" w:lineRule="exact"/>
              <w:jc w:val="center"/>
              <w:rPr>
                <w:rFonts w:ascii="宋体" w:hAnsi="宋体" w:cs="宋体"/>
                <w:szCs w:val="21"/>
                <w:highlight w:val="none"/>
              </w:rPr>
            </w:pPr>
          </w:p>
        </w:tc>
        <w:tc>
          <w:tcPr>
            <w:tcW w:w="1266"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邮政编码</w:t>
            </w:r>
          </w:p>
        </w:tc>
        <w:tc>
          <w:tcPr>
            <w:tcW w:w="2531" w:type="dxa"/>
            <w:gridSpan w:val="2"/>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058" w:type="dxa"/>
            <w:vMerge w:val="restart"/>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联系方式</w:t>
            </w:r>
          </w:p>
        </w:tc>
        <w:tc>
          <w:tcPr>
            <w:tcW w:w="850"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联系人</w:t>
            </w:r>
          </w:p>
        </w:tc>
        <w:tc>
          <w:tcPr>
            <w:tcW w:w="2493" w:type="dxa"/>
            <w:gridSpan w:val="2"/>
            <w:noWrap w:val="0"/>
            <w:vAlign w:val="center"/>
          </w:tcPr>
          <w:p>
            <w:pPr>
              <w:spacing w:line="320" w:lineRule="exact"/>
              <w:jc w:val="center"/>
              <w:rPr>
                <w:rFonts w:ascii="宋体" w:hAnsi="宋体" w:cs="宋体"/>
                <w:szCs w:val="21"/>
                <w:highlight w:val="none"/>
              </w:rPr>
            </w:pPr>
          </w:p>
        </w:tc>
        <w:tc>
          <w:tcPr>
            <w:tcW w:w="1266"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电话</w:t>
            </w:r>
          </w:p>
        </w:tc>
        <w:tc>
          <w:tcPr>
            <w:tcW w:w="2531" w:type="dxa"/>
            <w:gridSpan w:val="2"/>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058" w:type="dxa"/>
            <w:vMerge w:val="continue"/>
            <w:noWrap w:val="0"/>
            <w:vAlign w:val="center"/>
          </w:tcPr>
          <w:p>
            <w:pPr>
              <w:spacing w:line="320" w:lineRule="exact"/>
              <w:jc w:val="center"/>
              <w:rPr>
                <w:rFonts w:ascii="宋体" w:hAnsi="宋体" w:cs="宋体"/>
                <w:szCs w:val="21"/>
                <w:highlight w:val="none"/>
              </w:rPr>
            </w:pPr>
          </w:p>
        </w:tc>
        <w:tc>
          <w:tcPr>
            <w:tcW w:w="850"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传真</w:t>
            </w:r>
          </w:p>
        </w:tc>
        <w:tc>
          <w:tcPr>
            <w:tcW w:w="2493" w:type="dxa"/>
            <w:gridSpan w:val="2"/>
            <w:noWrap w:val="0"/>
            <w:vAlign w:val="center"/>
          </w:tcPr>
          <w:p>
            <w:pPr>
              <w:spacing w:line="320" w:lineRule="exact"/>
              <w:jc w:val="center"/>
              <w:rPr>
                <w:rFonts w:ascii="宋体" w:hAnsi="宋体" w:cs="宋体"/>
                <w:szCs w:val="21"/>
                <w:highlight w:val="none"/>
              </w:rPr>
            </w:pPr>
          </w:p>
        </w:tc>
        <w:tc>
          <w:tcPr>
            <w:tcW w:w="1266"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电子邮址</w:t>
            </w:r>
          </w:p>
        </w:tc>
        <w:tc>
          <w:tcPr>
            <w:tcW w:w="2531" w:type="dxa"/>
            <w:gridSpan w:val="2"/>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法定代表人</w:t>
            </w:r>
          </w:p>
        </w:tc>
        <w:tc>
          <w:tcPr>
            <w:tcW w:w="850"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姓名</w:t>
            </w:r>
          </w:p>
        </w:tc>
        <w:tc>
          <w:tcPr>
            <w:tcW w:w="1274" w:type="dxa"/>
            <w:noWrap w:val="0"/>
            <w:vAlign w:val="center"/>
          </w:tcPr>
          <w:p>
            <w:pPr>
              <w:spacing w:line="320" w:lineRule="exact"/>
              <w:jc w:val="center"/>
              <w:rPr>
                <w:rFonts w:ascii="宋体" w:hAnsi="宋体" w:cs="宋体"/>
                <w:szCs w:val="21"/>
                <w:highlight w:val="none"/>
              </w:rPr>
            </w:pPr>
          </w:p>
        </w:tc>
        <w:tc>
          <w:tcPr>
            <w:tcW w:w="1219"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技术职称</w:t>
            </w:r>
          </w:p>
        </w:tc>
        <w:tc>
          <w:tcPr>
            <w:tcW w:w="1266" w:type="dxa"/>
            <w:noWrap w:val="0"/>
            <w:vAlign w:val="center"/>
          </w:tcPr>
          <w:p>
            <w:pPr>
              <w:spacing w:line="320" w:lineRule="exact"/>
              <w:jc w:val="center"/>
              <w:rPr>
                <w:rFonts w:ascii="宋体" w:hAnsi="宋体" w:cs="宋体"/>
                <w:szCs w:val="21"/>
                <w:highlight w:val="none"/>
              </w:rPr>
            </w:pPr>
          </w:p>
        </w:tc>
        <w:tc>
          <w:tcPr>
            <w:tcW w:w="793"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电话</w:t>
            </w:r>
          </w:p>
        </w:tc>
        <w:tc>
          <w:tcPr>
            <w:tcW w:w="1738" w:type="dxa"/>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技术负责人</w:t>
            </w:r>
          </w:p>
        </w:tc>
        <w:tc>
          <w:tcPr>
            <w:tcW w:w="850"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姓名</w:t>
            </w:r>
          </w:p>
        </w:tc>
        <w:tc>
          <w:tcPr>
            <w:tcW w:w="1274" w:type="dxa"/>
            <w:noWrap w:val="0"/>
            <w:vAlign w:val="center"/>
          </w:tcPr>
          <w:p>
            <w:pPr>
              <w:spacing w:line="320" w:lineRule="exact"/>
              <w:jc w:val="center"/>
              <w:rPr>
                <w:rFonts w:ascii="宋体" w:hAnsi="宋体" w:cs="宋体"/>
                <w:szCs w:val="21"/>
                <w:highlight w:val="none"/>
              </w:rPr>
            </w:pPr>
          </w:p>
        </w:tc>
        <w:tc>
          <w:tcPr>
            <w:tcW w:w="1219"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技术职称</w:t>
            </w:r>
          </w:p>
        </w:tc>
        <w:tc>
          <w:tcPr>
            <w:tcW w:w="1266" w:type="dxa"/>
            <w:noWrap w:val="0"/>
            <w:vAlign w:val="center"/>
          </w:tcPr>
          <w:p>
            <w:pPr>
              <w:spacing w:line="320" w:lineRule="exact"/>
              <w:jc w:val="center"/>
              <w:rPr>
                <w:rFonts w:ascii="宋体" w:hAnsi="宋体" w:cs="宋体"/>
                <w:szCs w:val="21"/>
                <w:highlight w:val="none"/>
              </w:rPr>
            </w:pPr>
          </w:p>
        </w:tc>
        <w:tc>
          <w:tcPr>
            <w:tcW w:w="793"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电话</w:t>
            </w:r>
          </w:p>
        </w:tc>
        <w:tc>
          <w:tcPr>
            <w:tcW w:w="1738" w:type="dxa"/>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成立时间</w:t>
            </w:r>
          </w:p>
        </w:tc>
        <w:tc>
          <w:tcPr>
            <w:tcW w:w="3343" w:type="dxa"/>
            <w:gridSpan w:val="3"/>
            <w:noWrap w:val="0"/>
            <w:vAlign w:val="center"/>
          </w:tcPr>
          <w:p>
            <w:pPr>
              <w:spacing w:line="320" w:lineRule="exact"/>
              <w:jc w:val="center"/>
              <w:rPr>
                <w:rFonts w:ascii="宋体" w:hAnsi="宋体" w:cs="宋体"/>
                <w:szCs w:val="21"/>
                <w:highlight w:val="none"/>
              </w:rPr>
            </w:pPr>
          </w:p>
        </w:tc>
        <w:tc>
          <w:tcPr>
            <w:tcW w:w="3797" w:type="dxa"/>
            <w:gridSpan w:val="3"/>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hint="eastAsia" w:ascii="宋体" w:hAnsi="宋体" w:cs="宋体"/>
                <w:szCs w:val="21"/>
                <w:highlight w:val="none"/>
              </w:rPr>
            </w:pPr>
            <w:r>
              <w:rPr>
                <w:rFonts w:hint="eastAsia" w:ascii="宋体" w:hAnsi="宋体" w:cs="宋体"/>
                <w:szCs w:val="21"/>
                <w:highlight w:val="none"/>
              </w:rPr>
              <w:t>营业执照号</w:t>
            </w:r>
          </w:p>
        </w:tc>
        <w:tc>
          <w:tcPr>
            <w:tcW w:w="7140" w:type="dxa"/>
            <w:gridSpan w:val="6"/>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注册资金</w:t>
            </w:r>
          </w:p>
        </w:tc>
        <w:tc>
          <w:tcPr>
            <w:tcW w:w="7140" w:type="dxa"/>
            <w:gridSpan w:val="6"/>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基本账户开户银行</w:t>
            </w:r>
          </w:p>
        </w:tc>
        <w:tc>
          <w:tcPr>
            <w:tcW w:w="7140" w:type="dxa"/>
            <w:gridSpan w:val="6"/>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基本账户账号</w:t>
            </w:r>
          </w:p>
        </w:tc>
        <w:tc>
          <w:tcPr>
            <w:tcW w:w="7140" w:type="dxa"/>
            <w:gridSpan w:val="6"/>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经营范围</w:t>
            </w:r>
          </w:p>
        </w:tc>
        <w:tc>
          <w:tcPr>
            <w:tcW w:w="7140" w:type="dxa"/>
            <w:gridSpan w:val="6"/>
            <w:noWrap w:val="0"/>
            <w:vAlign w:val="center"/>
          </w:tcPr>
          <w:p>
            <w:pPr>
              <w:spacing w:line="32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58" w:type="dxa"/>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备注</w:t>
            </w:r>
          </w:p>
        </w:tc>
        <w:tc>
          <w:tcPr>
            <w:tcW w:w="7140" w:type="dxa"/>
            <w:gridSpan w:val="6"/>
            <w:noWrap w:val="0"/>
            <w:vAlign w:val="center"/>
          </w:tcPr>
          <w:p>
            <w:pPr>
              <w:spacing w:line="320" w:lineRule="exact"/>
              <w:jc w:val="center"/>
              <w:rPr>
                <w:rFonts w:ascii="宋体" w:hAnsi="宋体" w:cs="宋体"/>
                <w:szCs w:val="21"/>
                <w:highlight w:val="none"/>
              </w:rPr>
            </w:pPr>
          </w:p>
        </w:tc>
      </w:tr>
    </w:tbl>
    <w:p>
      <w:pPr>
        <w:spacing w:line="380" w:lineRule="exact"/>
        <w:rPr>
          <w:rFonts w:ascii="宋体" w:hAnsi="宋体"/>
          <w:sz w:val="22"/>
          <w:szCs w:val="22"/>
          <w:highlight w:val="none"/>
        </w:rPr>
      </w:pPr>
      <w:r>
        <w:rPr>
          <w:rFonts w:hint="eastAsia" w:ascii="宋体" w:hAnsi="宋体"/>
          <w:sz w:val="22"/>
          <w:szCs w:val="22"/>
          <w:highlight w:val="none"/>
        </w:rPr>
        <w:t xml:space="preserve">   </w:t>
      </w:r>
    </w:p>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spacing w:line="380" w:lineRule="exact"/>
        <w:rPr>
          <w:rFonts w:ascii="宋体" w:hAnsi="宋体"/>
          <w:sz w:val="22"/>
          <w:szCs w:val="22"/>
          <w:highlight w:val="none"/>
          <w:u w:val="single"/>
        </w:rPr>
      </w:pPr>
      <w:r>
        <w:rPr>
          <w:rFonts w:hint="eastAsia" w:ascii="宋体"/>
          <w:sz w:val="22"/>
          <w:szCs w:val="22"/>
          <w:highlight w:val="none"/>
        </w:rPr>
        <w:t xml:space="preserve">  </w:t>
      </w:r>
    </w:p>
    <w:p>
      <w:pPr>
        <w:rPr>
          <w:highlight w:val="none"/>
        </w:rPr>
      </w:pPr>
    </w:p>
    <w:p>
      <w:pPr>
        <w:jc w:val="center"/>
        <w:rPr>
          <w:sz w:val="24"/>
          <w:szCs w:val="24"/>
          <w:highlight w:val="none"/>
        </w:rPr>
        <w:sectPr>
          <w:headerReference r:id="rId21" w:type="default"/>
          <w:pgSz w:w="11907" w:h="16840"/>
          <w:pgMar w:top="1440" w:right="1800" w:bottom="1440" w:left="1800" w:header="720" w:footer="720" w:gutter="0"/>
          <w:cols w:space="720" w:num="1"/>
          <w:docGrid w:type="lines" w:linePitch="286" w:charSpace="0"/>
        </w:sectPr>
      </w:pPr>
    </w:p>
    <w:p>
      <w:pPr>
        <w:jc w:val="left"/>
        <w:rPr>
          <w:rFonts w:hint="eastAsia" w:ascii="宋体" w:hAnsi="宋体"/>
          <w:b/>
          <w:kern w:val="0"/>
          <w:sz w:val="28"/>
          <w:szCs w:val="28"/>
          <w:highlight w:val="none"/>
        </w:rPr>
      </w:pPr>
      <w:r>
        <w:rPr>
          <w:rFonts w:hint="eastAsia" w:ascii="宋体" w:hAnsi="宋体"/>
          <w:b/>
          <w:kern w:val="0"/>
          <w:sz w:val="28"/>
          <w:szCs w:val="28"/>
          <w:highlight w:val="none"/>
        </w:rPr>
        <w:t>（三）技术、商务条款偏离表</w:t>
      </w:r>
    </w:p>
    <w:p>
      <w:pPr>
        <w:rPr>
          <w:highlight w:val="none"/>
        </w:rPr>
      </w:pPr>
    </w:p>
    <w:p>
      <w:pPr>
        <w:pStyle w:val="6"/>
        <w:spacing w:after="120" w:afterLines="50" w:line="360" w:lineRule="exact"/>
        <w:jc w:val="center"/>
        <w:rPr>
          <w:rFonts w:ascii="Times New Roman"/>
          <w:highlight w:val="none"/>
        </w:rPr>
      </w:pPr>
      <w:bookmarkStart w:id="143" w:name="_Toc522018463"/>
      <w:bookmarkStart w:id="144" w:name="_Toc521939368"/>
      <w:bookmarkStart w:id="145" w:name="_Toc514758500"/>
      <w:bookmarkStart w:id="146" w:name="_Toc10725300"/>
      <w:bookmarkStart w:id="147" w:name="_Toc498429653"/>
      <w:bookmarkStart w:id="148" w:name="_Toc496003220"/>
      <w:r>
        <w:rPr>
          <w:rFonts w:hint="eastAsia" w:ascii="Times New Roman"/>
          <w:highlight w:val="none"/>
        </w:rPr>
        <w:t>技术、商务条款偏离表</w:t>
      </w:r>
      <w:bookmarkEnd w:id="143"/>
      <w:bookmarkEnd w:id="144"/>
      <w:bookmarkEnd w:id="145"/>
      <w:bookmarkEnd w:id="146"/>
      <w:bookmarkEnd w:id="147"/>
      <w:bookmarkEnd w:id="148"/>
    </w:p>
    <w:p>
      <w:pPr>
        <w:rPr>
          <w:highlight w:val="none"/>
        </w:rPr>
      </w:pPr>
    </w:p>
    <w:p>
      <w:pPr>
        <w:pStyle w:val="12"/>
        <w:tabs>
          <w:tab w:val="right" w:pos="8847"/>
        </w:tabs>
        <w:ind w:firstLine="0"/>
        <w:rPr>
          <w:szCs w:val="24"/>
          <w:highlight w:val="none"/>
          <w:u w:val="single"/>
        </w:rPr>
      </w:pPr>
      <w:r>
        <w:rPr>
          <w:rFonts w:hint="eastAsia"/>
          <w:szCs w:val="21"/>
          <w:highlight w:val="none"/>
        </w:rPr>
        <w:t>项目编号：                        项目名称：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154"/>
        <w:gridCol w:w="2977"/>
        <w:gridCol w:w="137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bottom w:val="single" w:color="auto" w:sz="4" w:space="0"/>
            </w:tcBorders>
            <w:noWrap w:val="0"/>
            <w:tcMar>
              <w:left w:w="0" w:type="dxa"/>
              <w:right w:w="0" w:type="dxa"/>
            </w:tcMar>
            <w:vAlign w:val="center"/>
          </w:tcPr>
          <w:p>
            <w:pPr>
              <w:pStyle w:val="12"/>
              <w:spacing w:line="340" w:lineRule="exact"/>
              <w:ind w:firstLine="0"/>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序号</w:t>
            </w:r>
          </w:p>
        </w:tc>
        <w:tc>
          <w:tcPr>
            <w:tcW w:w="4154" w:type="dxa"/>
            <w:tcBorders>
              <w:top w:val="single" w:color="auto" w:sz="4" w:space="0"/>
              <w:bottom w:val="single" w:color="auto" w:sz="4" w:space="0"/>
            </w:tcBorders>
            <w:noWrap w:val="0"/>
            <w:tcMar>
              <w:left w:w="0" w:type="dxa"/>
              <w:right w:w="0" w:type="dxa"/>
            </w:tcMar>
            <w:vAlign w:val="center"/>
          </w:tcPr>
          <w:p>
            <w:pPr>
              <w:pStyle w:val="12"/>
              <w:spacing w:line="340" w:lineRule="exact"/>
              <w:ind w:firstLine="0"/>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《采购文件》服务要求</w:t>
            </w:r>
          </w:p>
        </w:tc>
        <w:tc>
          <w:tcPr>
            <w:tcW w:w="2977" w:type="dxa"/>
            <w:tcBorders>
              <w:top w:val="single" w:color="auto" w:sz="4" w:space="0"/>
              <w:bottom w:val="single" w:color="auto" w:sz="4" w:space="0"/>
            </w:tcBorders>
            <w:noWrap w:val="0"/>
            <w:tcMar>
              <w:left w:w="0" w:type="dxa"/>
              <w:right w:w="0" w:type="dxa"/>
            </w:tcMar>
            <w:vAlign w:val="center"/>
          </w:tcPr>
          <w:p>
            <w:pPr>
              <w:pStyle w:val="12"/>
              <w:spacing w:line="340" w:lineRule="exact"/>
              <w:ind w:firstLine="0"/>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《投标文件》服务响应</w:t>
            </w:r>
          </w:p>
        </w:tc>
        <w:tc>
          <w:tcPr>
            <w:tcW w:w="1374" w:type="dxa"/>
            <w:tcBorders>
              <w:top w:val="single" w:color="auto" w:sz="4" w:space="0"/>
              <w:bottom w:val="single" w:color="auto" w:sz="4" w:space="0"/>
            </w:tcBorders>
            <w:noWrap w:val="0"/>
            <w:tcMar>
              <w:left w:w="0" w:type="dxa"/>
              <w:right w:w="0" w:type="dxa"/>
            </w:tcMar>
            <w:vAlign w:val="center"/>
          </w:tcPr>
          <w:p>
            <w:pPr>
              <w:pStyle w:val="12"/>
              <w:spacing w:line="340" w:lineRule="exact"/>
              <w:ind w:firstLine="0"/>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1</w:t>
            </w:r>
          </w:p>
        </w:tc>
        <w:tc>
          <w:tcPr>
            <w:tcW w:w="4154"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合同履约期限</w:t>
            </w:r>
          </w:p>
        </w:tc>
        <w:tc>
          <w:tcPr>
            <w:tcW w:w="2977"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1374" w:type="dxa"/>
            <w:tcBorders>
              <w:top w:val="single" w:color="auto" w:sz="4" w:space="0"/>
            </w:tcBorders>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2</w:t>
            </w:r>
          </w:p>
        </w:tc>
        <w:tc>
          <w:tcPr>
            <w:tcW w:w="415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服务地点</w:t>
            </w:r>
          </w:p>
        </w:tc>
        <w:tc>
          <w:tcPr>
            <w:tcW w:w="2977"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3</w:t>
            </w:r>
          </w:p>
        </w:tc>
        <w:tc>
          <w:tcPr>
            <w:tcW w:w="415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付款方式</w:t>
            </w:r>
          </w:p>
        </w:tc>
        <w:tc>
          <w:tcPr>
            <w:tcW w:w="2977"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4</w:t>
            </w:r>
          </w:p>
        </w:tc>
        <w:tc>
          <w:tcPr>
            <w:tcW w:w="4154" w:type="dxa"/>
            <w:noWrap w:val="0"/>
            <w:tcMar>
              <w:left w:w="0" w:type="dxa"/>
              <w:right w:w="0" w:type="dxa"/>
            </w:tcMar>
            <w:vAlign w:val="center"/>
          </w:tcPr>
          <w:p>
            <w:pPr>
              <w:tabs>
                <w:tab w:val="left" w:pos="851"/>
              </w:tabs>
              <w:spacing w:line="340" w:lineRule="exact"/>
              <w:contextualSpacing/>
              <w:rPr>
                <w:rFonts w:hint="eastAsia" w:ascii="宋体" w:hAnsi="宋体" w:cs="宋体"/>
                <w:bCs/>
                <w:spacing w:val="-4"/>
                <w:kern w:val="0"/>
                <w:sz w:val="24"/>
                <w:szCs w:val="24"/>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5</w:t>
            </w:r>
          </w:p>
        </w:tc>
        <w:tc>
          <w:tcPr>
            <w:tcW w:w="4154" w:type="dxa"/>
            <w:noWrap w:val="0"/>
            <w:tcMar>
              <w:left w:w="0" w:type="dxa"/>
              <w:right w:w="0" w:type="dxa"/>
            </w:tcMar>
            <w:vAlign w:val="center"/>
          </w:tcPr>
          <w:p>
            <w:pPr>
              <w:spacing w:line="340" w:lineRule="exact"/>
              <w:contextualSpacing/>
              <w:rPr>
                <w:rFonts w:hint="eastAsia" w:ascii="宋体" w:hAnsi="宋体" w:cs="宋体"/>
                <w:bCs/>
                <w:spacing w:val="-4"/>
                <w:kern w:val="0"/>
                <w:sz w:val="24"/>
                <w:szCs w:val="24"/>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r>
              <w:rPr>
                <w:rFonts w:hint="eastAsia" w:ascii="宋体" w:hAnsi="宋体" w:cs="宋体"/>
                <w:bCs/>
                <w:spacing w:val="-4"/>
                <w:kern w:val="0"/>
                <w:sz w:val="24"/>
                <w:szCs w:val="24"/>
                <w:highlight w:val="none"/>
              </w:rPr>
              <w:t>……</w:t>
            </w:r>
          </w:p>
        </w:tc>
        <w:tc>
          <w:tcPr>
            <w:tcW w:w="4154" w:type="dxa"/>
            <w:noWrap w:val="0"/>
            <w:tcMar>
              <w:left w:w="0" w:type="dxa"/>
              <w:right w:w="0" w:type="dxa"/>
            </w:tcMar>
            <w:vAlign w:val="center"/>
          </w:tcPr>
          <w:p>
            <w:pPr>
              <w:spacing w:line="340" w:lineRule="exact"/>
              <w:contextualSpacing/>
              <w:rPr>
                <w:rFonts w:hint="eastAsia" w:ascii="宋体" w:hAnsi="宋体" w:cs="宋体"/>
                <w:bCs/>
                <w:spacing w:val="-4"/>
                <w:kern w:val="0"/>
                <w:sz w:val="24"/>
                <w:szCs w:val="24"/>
                <w:highlight w:val="none"/>
              </w:rPr>
            </w:pPr>
          </w:p>
        </w:tc>
        <w:tc>
          <w:tcPr>
            <w:tcW w:w="2977"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137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c>
          <w:tcPr>
            <w:tcW w:w="4154" w:type="dxa"/>
            <w:noWrap w:val="0"/>
            <w:tcMar>
              <w:left w:w="0" w:type="dxa"/>
              <w:right w:w="0" w:type="dxa"/>
            </w:tcMar>
            <w:vAlign w:val="center"/>
          </w:tcPr>
          <w:p>
            <w:pPr>
              <w:spacing w:line="340" w:lineRule="exact"/>
              <w:contextualSpacing/>
              <w:jc w:val="center"/>
              <w:rPr>
                <w:rFonts w:ascii="宋体" w:hAnsi="宋体" w:cs="宋体"/>
                <w:bCs/>
                <w:spacing w:val="-4"/>
                <w:kern w:val="0"/>
                <w:sz w:val="24"/>
                <w:szCs w:val="24"/>
                <w:highlight w:val="none"/>
              </w:rPr>
            </w:pPr>
            <w:r>
              <w:rPr>
                <w:rFonts w:hint="eastAsia" w:ascii="宋体" w:hAnsi="宋体" w:cs="宋体"/>
                <w:bCs/>
                <w:spacing w:val="-4"/>
                <w:kern w:val="0"/>
                <w:sz w:val="24"/>
                <w:szCs w:val="24"/>
                <w:highlight w:val="none"/>
              </w:rPr>
              <w:t>招标文件的其他要求</w:t>
            </w:r>
          </w:p>
        </w:tc>
        <w:tc>
          <w:tcPr>
            <w:tcW w:w="2977" w:type="dxa"/>
            <w:noWrap w:val="0"/>
            <w:tcMar>
              <w:left w:w="0" w:type="dxa"/>
              <w:right w:w="0" w:type="dxa"/>
            </w:tcMar>
            <w:vAlign w:val="center"/>
          </w:tcPr>
          <w:p>
            <w:pPr>
              <w:spacing w:line="340" w:lineRule="exact"/>
              <w:contextualSpacing/>
              <w:jc w:val="center"/>
              <w:rPr>
                <w:rFonts w:ascii="宋体" w:hAnsi="宋体" w:cs="宋体"/>
                <w:bCs/>
                <w:spacing w:val="-4"/>
                <w:kern w:val="0"/>
                <w:sz w:val="24"/>
                <w:szCs w:val="24"/>
                <w:highlight w:val="none"/>
              </w:rPr>
            </w:pPr>
            <w:r>
              <w:rPr>
                <w:rFonts w:hint="eastAsia" w:ascii="宋体" w:hAnsi="宋体" w:cs="宋体"/>
                <w:bCs/>
                <w:spacing w:val="-4"/>
                <w:kern w:val="0"/>
                <w:sz w:val="24"/>
                <w:szCs w:val="24"/>
                <w:highlight w:val="none"/>
              </w:rPr>
              <w:t>无偏离</w:t>
            </w:r>
          </w:p>
        </w:tc>
        <w:tc>
          <w:tcPr>
            <w:tcW w:w="1374" w:type="dxa"/>
            <w:noWrap w:val="0"/>
            <w:tcMar>
              <w:left w:w="0" w:type="dxa"/>
              <w:right w:w="0" w:type="dxa"/>
            </w:tcMar>
            <w:vAlign w:val="center"/>
          </w:tcPr>
          <w:p>
            <w:pPr>
              <w:spacing w:line="340" w:lineRule="exact"/>
              <w:contextualSpacing/>
              <w:jc w:val="center"/>
              <w:rPr>
                <w:rFonts w:hint="eastAsia" w:ascii="宋体" w:hAnsi="宋体" w:cs="宋体"/>
                <w:bCs/>
                <w:spacing w:val="-4"/>
                <w:kern w:val="0"/>
                <w:sz w:val="24"/>
                <w:szCs w:val="24"/>
                <w:highlight w:val="none"/>
              </w:rPr>
            </w:pPr>
          </w:p>
        </w:tc>
      </w:tr>
    </w:tbl>
    <w:p>
      <w:pPr>
        <w:pStyle w:val="12"/>
        <w:ind w:firstLine="0"/>
        <w:rPr>
          <w:szCs w:val="21"/>
          <w:highlight w:val="none"/>
        </w:rPr>
      </w:pPr>
      <w:r>
        <w:rPr>
          <w:rFonts w:hint="eastAsia" w:ascii="宋体" w:hAnsi="宋体" w:cs="宋体"/>
          <w:bCs/>
          <w:spacing w:val="-4"/>
          <w:kern w:val="0"/>
          <w:sz w:val="24"/>
          <w:szCs w:val="24"/>
          <w:highlight w:val="none"/>
        </w:rPr>
        <w:t>备注：1、供应商可按采购文件第二章《投标资料表》、第五章《采购需求》、第六章《评分办法及评分标准》及采购文件规定的条款进行对应响应，并说明偏离状况；2、完全响应无偏离应在本表空白处醒目地注明“无偏离”的字样。3、本表格供参考，供应商可根据项目实际情况自拟（增减）表格。</w:t>
      </w:r>
    </w:p>
    <w:p>
      <w:pPr>
        <w:rPr>
          <w:rFonts w:ascii="宋体" w:hAnsi="宋体"/>
          <w:b/>
          <w:szCs w:val="21"/>
          <w:highlight w:val="none"/>
        </w:rPr>
      </w:pPr>
    </w:p>
    <w:p>
      <w:pPr>
        <w:spacing w:after="120" w:line="352" w:lineRule="auto"/>
        <w:rPr>
          <w:rFonts w:hint="eastAsia" w:ascii="宋体" w:hAnsi="宋体"/>
          <w:kern w:val="0"/>
          <w:sz w:val="24"/>
          <w:szCs w:val="21"/>
          <w:highlight w:val="none"/>
          <w:u w:val="single"/>
        </w:rPr>
      </w:pPr>
    </w:p>
    <w:p>
      <w:pPr>
        <w:ind w:right="420"/>
        <w:rPr>
          <w:szCs w:val="21"/>
          <w:highlight w:val="none"/>
        </w:rPr>
      </w:pPr>
      <w:bookmarkStart w:id="149" w:name="_Toc520902416"/>
      <w:bookmarkStart w:id="150" w:name="_Toc53670322"/>
      <w:bookmarkStart w:id="151" w:name="_Toc18321086"/>
      <w:r>
        <w:rPr>
          <w:rFonts w:hint="eastAsia"/>
          <w:szCs w:val="21"/>
          <w:highlight w:val="none"/>
        </w:rPr>
        <w:t>供应商（盖章）：</w:t>
      </w:r>
    </w:p>
    <w:p>
      <w:pPr>
        <w:rPr>
          <w:szCs w:val="21"/>
          <w:highlight w:val="none"/>
        </w:rPr>
      </w:pPr>
    </w:p>
    <w:p>
      <w:pPr>
        <w:rPr>
          <w:szCs w:val="21"/>
          <w:highlight w:val="none"/>
          <w:u w:val="single"/>
        </w:rPr>
      </w:pPr>
      <w:r>
        <w:rPr>
          <w:rFonts w:hint="eastAsia"/>
          <w:szCs w:val="21"/>
          <w:highlight w:val="none"/>
        </w:rPr>
        <w:t>法定代表人或授权代表人（签字或盖章）：</w:t>
      </w:r>
    </w:p>
    <w:p>
      <w:pPr>
        <w:rPr>
          <w:szCs w:val="21"/>
          <w:highlight w:val="none"/>
        </w:rPr>
      </w:pPr>
    </w:p>
    <w:p>
      <w:pPr>
        <w:rPr>
          <w:sz w:val="24"/>
          <w:szCs w:val="24"/>
          <w:highlight w:val="none"/>
        </w:rPr>
      </w:pPr>
      <w:r>
        <w:rPr>
          <w:rFonts w:hint="eastAsia"/>
          <w:szCs w:val="21"/>
          <w:highlight w:val="none"/>
        </w:rPr>
        <w:t>日期：</w:t>
      </w:r>
    </w:p>
    <w:p>
      <w:pPr>
        <w:pStyle w:val="5"/>
        <w:spacing w:line="360" w:lineRule="auto"/>
        <w:rPr>
          <w:rFonts w:hint="eastAsia" w:hAnsi="宋体"/>
          <w:szCs w:val="28"/>
          <w:highlight w:val="none"/>
        </w:rPr>
        <w:sectPr>
          <w:footerReference r:id="rId22" w:type="default"/>
          <w:type w:val="continuous"/>
          <w:pgSz w:w="11910" w:h="16840"/>
          <w:pgMar w:top="1500" w:right="1380" w:bottom="1780" w:left="1580" w:header="1077" w:footer="1595" w:gutter="0"/>
          <w:cols w:space="720" w:num="1"/>
        </w:sectPr>
      </w:pPr>
    </w:p>
    <w:p>
      <w:pPr>
        <w:jc w:val="center"/>
        <w:rPr>
          <w:rFonts w:hint="eastAsia" w:ascii="宋体" w:hAnsi="宋体"/>
          <w:b/>
          <w:kern w:val="0"/>
          <w:sz w:val="28"/>
          <w:szCs w:val="28"/>
          <w:highlight w:val="none"/>
        </w:rPr>
      </w:pPr>
      <w:r>
        <w:rPr>
          <w:rFonts w:hint="eastAsia" w:ascii="宋体" w:hAnsi="宋体"/>
          <w:b/>
          <w:kern w:val="0"/>
          <w:sz w:val="28"/>
          <w:szCs w:val="28"/>
          <w:highlight w:val="none"/>
        </w:rPr>
        <w:t>（四）根据第六章“评定成交的标准”中“评分标准”要求提供的资料（如未提供格式的，供应商自拟格式）</w:t>
      </w:r>
      <w:bookmarkEnd w:id="149"/>
      <w:bookmarkEnd w:id="150"/>
      <w:bookmarkEnd w:id="151"/>
    </w:p>
    <w:p>
      <w:pPr>
        <w:jc w:val="center"/>
        <w:rPr>
          <w:rFonts w:ascii="宋体"/>
          <w:b/>
          <w:bCs/>
          <w:sz w:val="24"/>
          <w:szCs w:val="24"/>
          <w:highlight w:val="none"/>
        </w:rPr>
      </w:pPr>
      <w:r>
        <w:rPr>
          <w:rFonts w:hint="eastAsia" w:ascii="宋体" w:hAnsi="宋体" w:cs="宋体"/>
          <w:b/>
          <w:bCs/>
          <w:sz w:val="24"/>
          <w:szCs w:val="24"/>
          <w:highlight w:val="none"/>
        </w:rPr>
        <w:t>业绩汇总表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3"/>
        <w:gridCol w:w="3366"/>
        <w:gridCol w:w="140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r>
              <w:rPr>
                <w:rFonts w:hint="eastAsia" w:cs="宋体"/>
                <w:sz w:val="24"/>
                <w:szCs w:val="24"/>
                <w:highlight w:val="none"/>
                <w:lang w:val="en-US"/>
              </w:rPr>
              <w:t>序号</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r>
              <w:rPr>
                <w:rFonts w:hint="eastAsia" w:cs="宋体"/>
                <w:sz w:val="24"/>
                <w:szCs w:val="24"/>
                <w:highlight w:val="none"/>
                <w:lang w:val="en-US"/>
              </w:rPr>
              <w:t>项目名称</w:t>
            </w: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r>
              <w:rPr>
                <w:rFonts w:hint="eastAsia" w:ascii="Times New Roman" w:hAnsi="Times New Roman"/>
                <w:sz w:val="24"/>
                <w:szCs w:val="24"/>
                <w:highlight w:val="none"/>
              </w:rPr>
              <w:t>合同金额（万元）</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r>
              <w:rPr>
                <w:rFonts w:hint="eastAsia" w:ascii="Times New Roman" w:hAnsi="Times New Roman"/>
                <w:sz w:val="24"/>
                <w:szCs w:val="24"/>
                <w:highlight w:val="none"/>
              </w:rPr>
              <w:t>开始日期</w:t>
            </w: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rFonts w:hint="eastAsia" w:ascii="Times New Roman" w:hAnsi="Times New Roman"/>
                <w:sz w:val="24"/>
                <w:szCs w:val="24"/>
                <w:highlight w:val="none"/>
              </w:rPr>
            </w:pPr>
            <w:r>
              <w:rPr>
                <w:rFonts w:hint="eastAsia" w:ascii="Times New Roman" w:hAnsi="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002"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3366"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pStyle w:val="66"/>
              <w:jc w:val="center"/>
              <w:rPr>
                <w:sz w:val="24"/>
                <w:szCs w:val="24"/>
                <w:highlight w:val="none"/>
                <w:lang w:val="en-US"/>
              </w:rPr>
            </w:pPr>
          </w:p>
        </w:tc>
      </w:tr>
    </w:tbl>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jc w:val="center"/>
        <w:rPr>
          <w:rFonts w:hint="eastAsia"/>
          <w:sz w:val="32"/>
          <w:szCs w:val="32"/>
          <w:highlight w:val="none"/>
        </w:rPr>
      </w:pPr>
    </w:p>
    <w:p>
      <w:pPr>
        <w:jc w:val="center"/>
        <w:rPr>
          <w:rFonts w:hint="eastAsia"/>
          <w:sz w:val="32"/>
          <w:szCs w:val="32"/>
          <w:highlight w:val="none"/>
        </w:rPr>
      </w:pPr>
    </w:p>
    <w:p>
      <w:pPr>
        <w:jc w:val="center"/>
        <w:rPr>
          <w:rFonts w:hint="eastAsia"/>
          <w:sz w:val="32"/>
          <w:szCs w:val="32"/>
          <w:highlight w:val="none"/>
        </w:rPr>
      </w:pPr>
    </w:p>
    <w:p>
      <w:pPr>
        <w:rPr>
          <w:rFonts w:hint="eastAsia"/>
          <w:highlight w:val="none"/>
        </w:rPr>
      </w:pPr>
    </w:p>
    <w:p>
      <w:pPr>
        <w:jc w:val="center"/>
        <w:rPr>
          <w:rFonts w:hint="eastAsia" w:ascii="宋体" w:hAnsi="宋体" w:cs="宋体"/>
          <w:b/>
          <w:bCs/>
          <w:sz w:val="24"/>
          <w:szCs w:val="24"/>
          <w:highlight w:val="none"/>
        </w:rPr>
      </w:pPr>
      <w:r>
        <w:rPr>
          <w:rFonts w:hint="eastAsia" w:ascii="宋体" w:hAnsi="宋体" w:cs="宋体"/>
          <w:b/>
          <w:bCs/>
          <w:sz w:val="24"/>
          <w:szCs w:val="24"/>
          <w:highlight w:val="none"/>
        </w:rPr>
        <w:t>项目人员配置表</w:t>
      </w:r>
    </w:p>
    <w:tbl>
      <w:tblPr>
        <w:tblStyle w:val="28"/>
        <w:tblW w:w="891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711"/>
        <w:gridCol w:w="711"/>
        <w:gridCol w:w="2541"/>
        <w:gridCol w:w="711"/>
        <w:gridCol w:w="711"/>
        <w:gridCol w:w="1019"/>
        <w:gridCol w:w="180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711"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序号</w:t>
            </w:r>
          </w:p>
        </w:tc>
        <w:tc>
          <w:tcPr>
            <w:tcW w:w="711"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姓名</w:t>
            </w:r>
          </w:p>
        </w:tc>
        <w:tc>
          <w:tcPr>
            <w:tcW w:w="711"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性别</w:t>
            </w:r>
          </w:p>
        </w:tc>
        <w:tc>
          <w:tcPr>
            <w:tcW w:w="2541"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岗位</w:t>
            </w:r>
          </w:p>
        </w:tc>
        <w:tc>
          <w:tcPr>
            <w:tcW w:w="711"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职称</w:t>
            </w:r>
          </w:p>
        </w:tc>
        <w:tc>
          <w:tcPr>
            <w:tcW w:w="711"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专业</w:t>
            </w:r>
          </w:p>
        </w:tc>
        <w:tc>
          <w:tcPr>
            <w:tcW w:w="1019"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联系电话</w:t>
            </w:r>
          </w:p>
        </w:tc>
        <w:tc>
          <w:tcPr>
            <w:tcW w:w="1800" w:type="dxa"/>
            <w:tcBorders>
              <w:top w:val="single" w:color="auto" w:sz="4" w:space="0"/>
              <w:bottom w:val="single" w:color="auto" w:sz="4" w:space="0"/>
            </w:tcBorders>
            <w:noWrap w:val="0"/>
            <w:tcMar>
              <w:left w:w="28" w:type="dxa"/>
              <w:right w:w="28" w:type="dxa"/>
            </w:tcMar>
            <w:vAlign w:val="center"/>
          </w:tcPr>
          <w:p>
            <w:pPr>
              <w:spacing w:line="500" w:lineRule="exact"/>
              <w:ind w:right="25" w:rightChars="12"/>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sz w:val="24"/>
                <w:highlight w:val="none"/>
              </w:rPr>
              <w:t>1</w:t>
            </w:r>
          </w:p>
        </w:tc>
        <w:tc>
          <w:tcPr>
            <w:tcW w:w="711"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p>
        </w:tc>
        <w:tc>
          <w:tcPr>
            <w:tcW w:w="711"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p>
        </w:tc>
        <w:tc>
          <w:tcPr>
            <w:tcW w:w="2541"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项目经理</w:t>
            </w:r>
          </w:p>
        </w:tc>
        <w:tc>
          <w:tcPr>
            <w:tcW w:w="711"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p>
        </w:tc>
        <w:tc>
          <w:tcPr>
            <w:tcW w:w="711"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p>
        </w:tc>
        <w:tc>
          <w:tcPr>
            <w:tcW w:w="1019"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p>
        </w:tc>
        <w:tc>
          <w:tcPr>
            <w:tcW w:w="1800" w:type="dxa"/>
            <w:tcBorders>
              <w:top w:val="single" w:color="auto" w:sz="4" w:space="0"/>
            </w:tcBorders>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1人，项目开发期间常驻人员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rFonts w:hint="eastAsia"/>
                <w:sz w:val="24"/>
                <w:highlight w:val="none"/>
              </w:rPr>
            </w:pPr>
            <w:r>
              <w:rPr>
                <w:rFonts w:hint="eastAsia"/>
                <w:sz w:val="24"/>
                <w:highlight w:val="none"/>
              </w:rPr>
              <w:t>2</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开发人员</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≥2人，项目开发期间常驻人员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rFonts w:hint="eastAsia"/>
                <w:sz w:val="24"/>
                <w:highlight w:val="none"/>
              </w:rPr>
            </w:pPr>
            <w:r>
              <w:rPr>
                <w:rFonts w:hint="eastAsia"/>
                <w:sz w:val="24"/>
                <w:highlight w:val="none"/>
              </w:rPr>
              <w:t>3</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维保服务期间常驻人员</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≥2人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rFonts w:hint="eastAsia"/>
                <w:sz w:val="24"/>
                <w:highlight w:val="none"/>
              </w:rPr>
            </w:pPr>
            <w:r>
              <w:rPr>
                <w:rFonts w:hint="eastAsia"/>
                <w:sz w:val="24"/>
                <w:highlight w:val="none"/>
              </w:rPr>
              <w:t>4</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rFonts w:hint="eastAsia"/>
                <w:sz w:val="24"/>
                <w:highlight w:val="none"/>
              </w:rPr>
            </w:pPr>
            <w:r>
              <w:rPr>
                <w:rFonts w:hint="eastAsia"/>
                <w:sz w:val="24"/>
                <w:highlight w:val="none"/>
              </w:rPr>
              <w:t>5</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rFonts w:hint="eastAsia"/>
                <w:sz w:val="24"/>
                <w:highlight w:val="none"/>
              </w:rPr>
            </w:pPr>
            <w:r>
              <w:rPr>
                <w:rFonts w:hint="eastAsia"/>
                <w:sz w:val="24"/>
                <w:highlight w:val="none"/>
              </w:rPr>
              <w:t>6</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sz w:val="24"/>
                <w:highlight w:val="none"/>
              </w:rPr>
            </w:pPr>
            <w:r>
              <w:rPr>
                <w:rFonts w:hint="eastAsia"/>
                <w:sz w:val="24"/>
                <w:highlight w:val="none"/>
              </w:rPr>
              <w:t>……</w:t>
            </w: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254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711" w:type="dxa"/>
            <w:noWrap w:val="0"/>
            <w:tcMar>
              <w:left w:w="28" w:type="dxa"/>
              <w:right w:w="28" w:type="dxa"/>
            </w:tcMar>
            <w:vAlign w:val="center"/>
          </w:tcPr>
          <w:p>
            <w:pPr>
              <w:spacing w:line="500" w:lineRule="exact"/>
              <w:ind w:right="25" w:rightChars="12"/>
              <w:jc w:val="center"/>
              <w:rPr>
                <w:sz w:val="24"/>
                <w:highlight w:val="none"/>
              </w:rPr>
            </w:pPr>
          </w:p>
        </w:tc>
        <w:tc>
          <w:tcPr>
            <w:tcW w:w="1019" w:type="dxa"/>
            <w:noWrap w:val="0"/>
            <w:tcMar>
              <w:left w:w="28" w:type="dxa"/>
              <w:right w:w="28" w:type="dxa"/>
            </w:tcMar>
            <w:vAlign w:val="center"/>
          </w:tcPr>
          <w:p>
            <w:pPr>
              <w:spacing w:line="500" w:lineRule="exact"/>
              <w:ind w:right="25" w:rightChars="12"/>
              <w:jc w:val="center"/>
              <w:rPr>
                <w:sz w:val="24"/>
                <w:highlight w:val="none"/>
              </w:rPr>
            </w:pPr>
          </w:p>
        </w:tc>
        <w:tc>
          <w:tcPr>
            <w:tcW w:w="1800" w:type="dxa"/>
            <w:noWrap w:val="0"/>
            <w:tcMar>
              <w:left w:w="28" w:type="dxa"/>
              <w:right w:w="28" w:type="dxa"/>
            </w:tcMar>
            <w:vAlign w:val="center"/>
          </w:tcPr>
          <w:p>
            <w:pPr>
              <w:spacing w:line="500" w:lineRule="exact"/>
              <w:ind w:right="25" w:rightChars="12"/>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254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1019" w:type="dxa"/>
            <w:noWrap w:val="0"/>
            <w:tcMar>
              <w:left w:w="28" w:type="dxa"/>
              <w:right w:w="28" w:type="dxa"/>
            </w:tcMar>
            <w:vAlign w:val="center"/>
          </w:tcPr>
          <w:p>
            <w:pPr>
              <w:jc w:val="center"/>
              <w:rPr>
                <w:rFonts w:eastAsia="仿宋_GB2312"/>
                <w:w w:val="80"/>
                <w:highlight w:val="none"/>
              </w:rPr>
            </w:pPr>
          </w:p>
        </w:tc>
        <w:tc>
          <w:tcPr>
            <w:tcW w:w="1800" w:type="dxa"/>
            <w:noWrap w:val="0"/>
            <w:tcMar>
              <w:left w:w="28" w:type="dxa"/>
              <w:right w:w="28" w:type="dxa"/>
            </w:tcMar>
            <w:vAlign w:val="center"/>
          </w:tcPr>
          <w:p>
            <w:pPr>
              <w:jc w:val="center"/>
              <w:rPr>
                <w:rFonts w:eastAsia="仿宋_GB2312"/>
                <w:w w:val="80"/>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254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711" w:type="dxa"/>
            <w:noWrap w:val="0"/>
            <w:tcMar>
              <w:left w:w="28" w:type="dxa"/>
              <w:right w:w="28" w:type="dxa"/>
            </w:tcMar>
            <w:vAlign w:val="center"/>
          </w:tcPr>
          <w:p>
            <w:pPr>
              <w:jc w:val="center"/>
              <w:rPr>
                <w:rFonts w:eastAsia="仿宋_GB2312"/>
                <w:w w:val="80"/>
                <w:highlight w:val="none"/>
              </w:rPr>
            </w:pPr>
          </w:p>
        </w:tc>
        <w:tc>
          <w:tcPr>
            <w:tcW w:w="1019" w:type="dxa"/>
            <w:noWrap w:val="0"/>
            <w:tcMar>
              <w:left w:w="28" w:type="dxa"/>
              <w:right w:w="28" w:type="dxa"/>
            </w:tcMar>
            <w:vAlign w:val="center"/>
          </w:tcPr>
          <w:p>
            <w:pPr>
              <w:jc w:val="center"/>
              <w:rPr>
                <w:rFonts w:eastAsia="仿宋_GB2312"/>
                <w:w w:val="80"/>
                <w:highlight w:val="none"/>
              </w:rPr>
            </w:pPr>
          </w:p>
        </w:tc>
        <w:tc>
          <w:tcPr>
            <w:tcW w:w="1800" w:type="dxa"/>
            <w:noWrap w:val="0"/>
            <w:tcMar>
              <w:left w:w="28" w:type="dxa"/>
              <w:right w:w="28" w:type="dxa"/>
            </w:tcMar>
            <w:vAlign w:val="center"/>
          </w:tcPr>
          <w:p>
            <w:pPr>
              <w:jc w:val="center"/>
              <w:rPr>
                <w:rFonts w:eastAsia="仿宋_GB2312"/>
                <w:w w:val="80"/>
                <w:highlight w:val="none"/>
              </w:rPr>
            </w:pPr>
          </w:p>
        </w:tc>
      </w:tr>
    </w:tbl>
    <w:p>
      <w:pPr>
        <w:spacing w:line="360" w:lineRule="auto"/>
        <w:ind w:firstLine="406" w:firstLineChars="200"/>
        <w:rPr>
          <w:rFonts w:hint="eastAsia" w:ascii="宋体" w:hAnsi="宋体" w:cs="宋体"/>
          <w:b/>
          <w:bCs/>
          <w:spacing w:val="-4"/>
          <w:kern w:val="0"/>
          <w:highlight w:val="none"/>
          <w:lang w:val="zh-CN"/>
        </w:rPr>
      </w:pPr>
    </w:p>
    <w:p>
      <w:pPr>
        <w:spacing w:line="360" w:lineRule="auto"/>
        <w:ind w:firstLine="406" w:firstLineChars="200"/>
        <w:rPr>
          <w:rFonts w:hint="eastAsia" w:ascii="宋体" w:hAnsi="宋体" w:cs="宋体"/>
          <w:b/>
          <w:bCs/>
          <w:spacing w:val="-4"/>
          <w:kern w:val="0"/>
          <w:highlight w:val="none"/>
          <w:lang w:val="zh-CN"/>
        </w:rPr>
      </w:pPr>
      <w:r>
        <w:rPr>
          <w:rFonts w:hint="eastAsia" w:ascii="宋体" w:hAnsi="宋体" w:cs="宋体"/>
          <w:b/>
          <w:bCs/>
          <w:spacing w:val="-4"/>
          <w:kern w:val="0"/>
          <w:highlight w:val="none"/>
          <w:lang w:val="zh-CN"/>
        </w:rPr>
        <w:t>注：</w:t>
      </w:r>
      <w:r>
        <w:rPr>
          <w:rFonts w:hint="eastAsia" w:ascii="宋体" w:hAnsi="宋体" w:cs="宋体"/>
          <w:b/>
          <w:bCs/>
          <w:spacing w:val="-4"/>
          <w:kern w:val="0"/>
          <w:highlight w:val="none"/>
        </w:rPr>
        <w:t>1、表中所列人员配额为本项目的最低人员配置要求，供应商在招标采购文件中的人员配置不得低于最低人员配置要求。</w:t>
      </w:r>
    </w:p>
    <w:p>
      <w:pPr>
        <w:spacing w:line="360" w:lineRule="auto"/>
        <w:ind w:firstLine="406" w:firstLineChars="200"/>
        <w:rPr>
          <w:rFonts w:hAnsi="宋体"/>
          <w:szCs w:val="21"/>
          <w:highlight w:val="none"/>
        </w:rPr>
      </w:pPr>
      <w:r>
        <w:rPr>
          <w:rFonts w:hint="eastAsia" w:ascii="宋体" w:hAnsi="宋体" w:cs="宋体"/>
          <w:b/>
          <w:bCs/>
          <w:spacing w:val="-4"/>
          <w:kern w:val="0"/>
          <w:highlight w:val="none"/>
        </w:rPr>
        <w:t>2、提供相关证书复印件、本单位为上述人员缴纳的2022年2月，2022年3月，2022年4月的社保缴纳证明及劳务派遣合同（若有）</w:t>
      </w:r>
      <w:r>
        <w:rPr>
          <w:rFonts w:hint="eastAsia" w:ascii="宋体" w:hAnsi="宋体" w:cs="宋体"/>
          <w:b/>
          <w:bCs/>
          <w:spacing w:val="-4"/>
          <w:kern w:val="0"/>
          <w:highlight w:val="none"/>
          <w:lang w:val="zh-CN"/>
        </w:rPr>
        <w:t>扫描件；</w:t>
      </w:r>
    </w:p>
    <w:p>
      <w:pPr>
        <w:spacing w:line="380" w:lineRule="exact"/>
        <w:rPr>
          <w:rFonts w:hint="eastAsia" w:ascii="宋体" w:hAnsi="宋体" w:cs="宋体"/>
          <w:sz w:val="22"/>
          <w:szCs w:val="22"/>
          <w:highlight w:val="none"/>
        </w:rPr>
      </w:pPr>
    </w:p>
    <w:p>
      <w:pPr>
        <w:spacing w:line="380" w:lineRule="exact"/>
        <w:rPr>
          <w:rFonts w:hint="eastAsia" w:ascii="宋体" w:hAnsi="宋体" w:cs="宋体"/>
          <w:sz w:val="22"/>
          <w:szCs w:val="22"/>
          <w:highlight w:val="none"/>
        </w:rPr>
      </w:pPr>
    </w:p>
    <w:p>
      <w:pPr>
        <w:spacing w:line="360" w:lineRule="auto"/>
        <w:rPr>
          <w:rFonts w:ascii="宋体"/>
          <w:sz w:val="22"/>
          <w:szCs w:val="22"/>
          <w:highlight w:val="none"/>
        </w:rPr>
      </w:pPr>
      <w:r>
        <w:rPr>
          <w:rFonts w:hint="eastAsia" w:ascii="宋体" w:hAnsi="宋体" w:cs="宋体"/>
          <w:sz w:val="22"/>
          <w:szCs w:val="22"/>
          <w:highlight w:val="none"/>
        </w:rPr>
        <w:t>供应商（公章）：</w:t>
      </w:r>
    </w:p>
    <w:p>
      <w:pPr>
        <w:spacing w:line="360" w:lineRule="auto"/>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60" w:lineRule="auto"/>
        <w:rPr>
          <w:rFonts w:ascii="宋体"/>
          <w:sz w:val="22"/>
          <w:szCs w:val="22"/>
          <w:highlight w:val="none"/>
          <w:u w:val="single"/>
        </w:rPr>
      </w:pPr>
      <w:r>
        <w:rPr>
          <w:rFonts w:hint="eastAsia" w:ascii="宋体" w:cs="宋体"/>
          <w:sz w:val="22"/>
          <w:szCs w:val="22"/>
          <w:highlight w:val="none"/>
        </w:rPr>
        <w:t>日期：</w:t>
      </w:r>
    </w:p>
    <w:p>
      <w:pPr>
        <w:jc w:val="center"/>
        <w:rPr>
          <w:rFonts w:hint="eastAsia" w:ascii="宋体" w:hAnsi="宋体"/>
          <w:b/>
          <w:kern w:val="0"/>
          <w:sz w:val="28"/>
          <w:szCs w:val="28"/>
          <w:highlight w:val="none"/>
        </w:rPr>
      </w:pPr>
      <w:r>
        <w:rPr>
          <w:rFonts w:hint="eastAsia" w:ascii="宋体" w:hAnsi="宋体"/>
          <w:b/>
          <w:kern w:val="0"/>
          <w:sz w:val="28"/>
          <w:szCs w:val="28"/>
          <w:highlight w:val="none"/>
        </w:rPr>
        <w:t>（五）供应商认为需要提供的其他商务技术材料</w:t>
      </w:r>
    </w:p>
    <w:p>
      <w:pPr>
        <w:jc w:val="center"/>
        <w:rPr>
          <w:rFonts w:hint="eastAsia"/>
          <w:sz w:val="32"/>
          <w:szCs w:val="32"/>
          <w:highlight w:val="none"/>
        </w:rPr>
      </w:pPr>
    </w:p>
    <w:p>
      <w:pPr>
        <w:jc w:val="center"/>
        <w:rPr>
          <w:rFonts w:hint="eastAsia"/>
          <w:sz w:val="32"/>
          <w:szCs w:val="32"/>
          <w:highlight w:val="none"/>
        </w:rPr>
      </w:pPr>
    </w:p>
    <w:p>
      <w:pPr>
        <w:spacing w:line="360" w:lineRule="auto"/>
        <w:rPr>
          <w:rFonts w:ascii="宋体" w:hAnsi="宋体" w:cs="宋体"/>
          <w:kern w:val="0"/>
          <w:sz w:val="24"/>
          <w:highlight w:val="none"/>
        </w:rPr>
      </w:pPr>
      <w:r>
        <w:rPr>
          <w:rFonts w:hint="eastAsia"/>
          <w:sz w:val="32"/>
          <w:szCs w:val="32"/>
          <w:highlight w:val="none"/>
        </w:rPr>
        <w:br w:type="page"/>
      </w:r>
      <w:r>
        <w:rPr>
          <w:rFonts w:hint="eastAsia" w:ascii="宋体" w:hAnsi="宋体" w:cs="宋体"/>
          <w:b/>
          <w:bCs/>
          <w:kern w:val="0"/>
          <w:szCs w:val="21"/>
          <w:highlight w:val="none"/>
        </w:rPr>
        <w:t>报价文件组成：</w:t>
      </w:r>
    </w:p>
    <w:p>
      <w:pPr>
        <w:tabs>
          <w:tab w:val="left" w:pos="1418"/>
        </w:tabs>
        <w:spacing w:line="360" w:lineRule="auto"/>
        <w:ind w:firstLine="420" w:firstLineChars="200"/>
        <w:contextualSpacing/>
        <w:rPr>
          <w:rFonts w:ascii="宋体" w:hAnsi="宋体"/>
          <w:szCs w:val="21"/>
          <w:highlight w:val="none"/>
        </w:rPr>
      </w:pPr>
      <w:r>
        <w:rPr>
          <w:rFonts w:hint="eastAsia" w:ascii="宋体" w:hAnsi="宋体" w:cs="宋体"/>
          <w:kern w:val="0"/>
          <w:szCs w:val="21"/>
          <w:highlight w:val="none"/>
        </w:rPr>
        <w:t>（1）</w:t>
      </w:r>
      <w:r>
        <w:rPr>
          <w:rFonts w:hint="eastAsia" w:ascii="宋体" w:hAnsi="宋体"/>
          <w:szCs w:val="21"/>
          <w:highlight w:val="none"/>
        </w:rPr>
        <w:t>投标函；</w:t>
      </w:r>
    </w:p>
    <w:p>
      <w:pPr>
        <w:numPr>
          <w:ilvl w:val="0"/>
          <w:numId w:val="0"/>
        </w:numPr>
        <w:spacing w:line="360" w:lineRule="auto"/>
        <w:ind w:firstLine="420" w:firstLineChars="200"/>
        <w:rPr>
          <w:rFonts w:hint="eastAsia" w:ascii="宋体" w:hAnsi="宋体"/>
          <w:szCs w:val="21"/>
          <w:highlight w:val="none"/>
        </w:rPr>
      </w:pPr>
      <w:r>
        <w:rPr>
          <w:rFonts w:hint="eastAsia" w:ascii="宋体" w:hAnsi="宋体" w:cs="宋体"/>
          <w:kern w:val="0"/>
          <w:szCs w:val="21"/>
          <w:highlight w:val="none"/>
        </w:rPr>
        <w:t>（2）</w:t>
      </w:r>
      <w:r>
        <w:rPr>
          <w:rFonts w:hint="eastAsia" w:ascii="宋体" w:hAnsi="宋体"/>
          <w:szCs w:val="21"/>
          <w:highlight w:val="none"/>
        </w:rPr>
        <w:t>开标一览表</w:t>
      </w:r>
      <w:r>
        <w:rPr>
          <w:rFonts w:hint="eastAsia" w:ascii="宋体" w:hAnsi="宋体"/>
          <w:szCs w:val="21"/>
          <w:highlight w:val="none"/>
        </w:rPr>
        <w:t>；</w:t>
      </w:r>
    </w:p>
    <w:p>
      <w:pPr>
        <w:numPr>
          <w:ilvl w:val="0"/>
          <w:numId w:val="0"/>
        </w:numPr>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r>
        <w:rPr>
          <w:rFonts w:hint="eastAsia" w:ascii="宋体" w:hAnsi="宋体"/>
          <w:b/>
          <w:szCs w:val="21"/>
          <w:highlight w:val="none"/>
        </w:rPr>
        <w:t>成本测算资料（低于最高限价70%时须提供）</w:t>
      </w:r>
      <w:r>
        <w:rPr>
          <w:rFonts w:hint="eastAsia" w:ascii="宋体" w:hAnsi="宋体"/>
          <w:szCs w:val="21"/>
          <w:highlight w:val="none"/>
        </w:rPr>
        <w:t>；</w:t>
      </w:r>
    </w:p>
    <w:p>
      <w:pPr>
        <w:tabs>
          <w:tab w:val="left" w:pos="1418"/>
        </w:tabs>
        <w:spacing w:line="360" w:lineRule="auto"/>
        <w:ind w:firstLine="420" w:firstLineChars="200"/>
        <w:contextualSpacing/>
        <w:rPr>
          <w:sz w:val="32"/>
          <w:szCs w:val="32"/>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w:t>
      </w:r>
      <w:r>
        <w:rPr>
          <w:rFonts w:hint="eastAsia" w:ascii="宋体" w:hAnsi="宋体"/>
          <w:szCs w:val="21"/>
          <w:highlight w:val="none"/>
        </w:rPr>
        <w:t>供应商认为需提交的其他文件资料。</w:t>
      </w:r>
    </w:p>
    <w:p>
      <w:pPr>
        <w:spacing w:line="360" w:lineRule="auto"/>
        <w:rPr>
          <w:rFonts w:ascii="宋体" w:hAnsi="宋体"/>
          <w:szCs w:val="21"/>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sz w:val="24"/>
          <w:szCs w:val="24"/>
          <w:highlight w:val="none"/>
        </w:rPr>
      </w:pPr>
      <w:r>
        <w:rPr>
          <w:b/>
          <w:sz w:val="24"/>
          <w:szCs w:val="24"/>
          <w:highlight w:val="none"/>
        </w:rPr>
        <w:br w:type="page"/>
      </w:r>
      <w:r>
        <w:rPr>
          <w:rFonts w:hint="eastAsia"/>
          <w:b/>
          <w:sz w:val="28"/>
          <w:szCs w:val="28"/>
          <w:highlight w:val="none"/>
        </w:rPr>
        <w:t>（</w:t>
      </w:r>
      <w:r>
        <w:rPr>
          <w:b/>
          <w:sz w:val="28"/>
          <w:szCs w:val="28"/>
          <w:highlight w:val="none"/>
        </w:rPr>
        <w:t>一</w:t>
      </w:r>
      <w:r>
        <w:rPr>
          <w:rFonts w:hint="eastAsia"/>
          <w:b/>
          <w:sz w:val="28"/>
          <w:szCs w:val="28"/>
          <w:highlight w:val="none"/>
        </w:rPr>
        <w:t>）投 标 函</w:t>
      </w:r>
    </w:p>
    <w:p>
      <w:pPr>
        <w:spacing w:line="360" w:lineRule="auto"/>
        <w:rPr>
          <w:highlight w:val="none"/>
        </w:rPr>
      </w:pP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致：（采购人名称）：</w:t>
      </w:r>
    </w:p>
    <w:p>
      <w:pPr>
        <w:widowControl/>
        <w:snapToGrid w:val="0"/>
        <w:spacing w:line="360" w:lineRule="auto"/>
        <w:ind w:firstLine="480"/>
        <w:rPr>
          <w:rFonts w:ascii="宋体" w:hAnsi="宋体" w:cs="宋体"/>
          <w:kern w:val="0"/>
          <w:szCs w:val="21"/>
          <w:highlight w:val="none"/>
        </w:rPr>
      </w:pPr>
      <w:r>
        <w:rPr>
          <w:rFonts w:hint="eastAsia" w:ascii="宋体" w:hAnsi="宋体" w:cs="宋体"/>
          <w:kern w:val="0"/>
          <w:szCs w:val="21"/>
          <w:highlight w:val="none"/>
        </w:rPr>
        <w:t>根据贵方为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项目的公开招标公告（项目编号：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），签字代表</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（全名）经正式授权并代表供应商</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（供应商名称）提交投标文件。</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据此函，签字代表宣布同意如下：</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1.供应商已详细审查全部“招标文件”，包括修改文件（如有的话）以及全部参考资料，已经了解我方对于招标文件、采购过程、采购结果有依法进行询问、质疑、投诉的权利及相关渠道和要求。</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3.本投标有效期自开标日起_____天。</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5.供应商同意按照贵方要求提供与投标有关的一切数据或资料。</w:t>
      </w:r>
    </w:p>
    <w:p>
      <w:pPr>
        <w:widowControl/>
        <w:snapToGrid w:val="0"/>
        <w:spacing w:line="360" w:lineRule="auto"/>
        <w:ind w:firstLine="420" w:firstLineChars="200"/>
        <w:rPr>
          <w:rFonts w:ascii="宋体" w:hAnsi="宋体" w:cs="宋体"/>
          <w:kern w:val="0"/>
          <w:highlight w:val="none"/>
          <w:lang w:val="zh-CN"/>
        </w:rPr>
      </w:pPr>
      <w:r>
        <w:rPr>
          <w:rFonts w:hint="eastAsia" w:ascii="宋体" w:hAnsi="宋体" w:cs="宋体"/>
          <w:kern w:val="0"/>
          <w:szCs w:val="21"/>
          <w:highlight w:val="none"/>
        </w:rPr>
        <w:t>6.</w:t>
      </w:r>
      <w:r>
        <w:rPr>
          <w:rFonts w:hint="eastAsia" w:ascii="宋体" w:hAnsi="宋体" w:cs="宋体"/>
          <w:kern w:val="0"/>
          <w:highlight w:val="none"/>
          <w:lang w:val="zh-CN"/>
        </w:rPr>
        <w:t>我们郑重声明：本投标文件提供的情况和文件完全是真实的。</w:t>
      </w:r>
    </w:p>
    <w:p>
      <w:pPr>
        <w:widowControl/>
        <w:snapToGrid w:val="0"/>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rPr>
        <w:t>7.</w:t>
      </w:r>
      <w:r>
        <w:rPr>
          <w:rFonts w:hint="eastAsia" w:ascii="宋体" w:hAnsi="宋体" w:cs="宋体"/>
          <w:kern w:val="0"/>
          <w:szCs w:val="21"/>
          <w:highlight w:val="none"/>
          <w:lang w:val="zh-CN"/>
        </w:rPr>
        <w:t>按照</w:t>
      </w:r>
      <w:r>
        <w:rPr>
          <w:rFonts w:hint="eastAsia" w:ascii="宋体" w:hAnsi="宋体" w:cs="宋体"/>
          <w:kern w:val="0"/>
          <w:szCs w:val="21"/>
          <w:highlight w:val="none"/>
        </w:rPr>
        <w:t>招标文件</w:t>
      </w:r>
      <w:r>
        <w:rPr>
          <w:rFonts w:hint="eastAsia" w:ascii="宋体" w:hAnsi="宋体" w:cs="宋体"/>
          <w:kern w:val="0"/>
          <w:szCs w:val="21"/>
          <w:highlight w:val="none"/>
          <w:lang w:val="zh-CN"/>
        </w:rPr>
        <w:t>的规定，在中标后向</w:t>
      </w:r>
      <w:r>
        <w:rPr>
          <w:rFonts w:hint="eastAsia" w:ascii="宋体" w:hAnsi="宋体" w:cs="宋体"/>
          <w:kern w:val="0"/>
          <w:szCs w:val="21"/>
          <w:highlight w:val="none"/>
        </w:rPr>
        <w:t>采购代理机构</w:t>
      </w:r>
      <w:r>
        <w:rPr>
          <w:rFonts w:hint="eastAsia" w:ascii="宋体" w:hAnsi="宋体" w:cs="宋体"/>
          <w:kern w:val="0"/>
          <w:szCs w:val="21"/>
          <w:highlight w:val="none"/>
          <w:lang w:val="zh-CN"/>
        </w:rPr>
        <w:t>一次性支付招标代理费。</w:t>
      </w:r>
    </w:p>
    <w:p>
      <w:pPr>
        <w:widowControl/>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8.与本投标有关的一切正式往来信函请寄：</w:t>
      </w:r>
    </w:p>
    <w:p>
      <w:pPr>
        <w:widowControl/>
        <w:snapToGrid w:val="0"/>
        <w:spacing w:line="360" w:lineRule="auto"/>
        <w:rPr>
          <w:rFonts w:hint="eastAsia" w:ascii="宋体" w:hAnsi="宋体" w:cs="宋体"/>
          <w:kern w:val="0"/>
          <w:szCs w:val="21"/>
          <w:highlight w:val="none"/>
        </w:rPr>
      </w:pPr>
    </w:p>
    <w:p>
      <w:pPr>
        <w:widowControl/>
        <w:snapToGrid w:val="0"/>
        <w:spacing w:line="360" w:lineRule="auto"/>
        <w:rPr>
          <w:rFonts w:hint="eastAsia" w:ascii="宋体" w:hAnsi="宋体" w:cs="宋体"/>
          <w:kern w:val="0"/>
          <w:szCs w:val="21"/>
          <w:highlight w:val="none"/>
        </w:rPr>
      </w:pP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地址：邮编：__________   电话：______________</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传真：______________供应商代表姓名 ___________  职务：_____________</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供应商名称(公章):___________________</w:t>
      </w:r>
    </w:p>
    <w:p>
      <w:pPr>
        <w:widowControl/>
        <w:snapToGrid w:val="0"/>
        <w:spacing w:line="360" w:lineRule="auto"/>
        <w:rPr>
          <w:rFonts w:ascii="宋体" w:hAnsi="宋体" w:cs="宋体"/>
          <w:kern w:val="0"/>
          <w:szCs w:val="21"/>
          <w:highlight w:val="none"/>
          <w:u w:val="single"/>
        </w:rPr>
      </w:pPr>
      <w:r>
        <w:rPr>
          <w:rFonts w:hint="eastAsia" w:ascii="宋体" w:hAnsi="宋体" w:cs="宋体"/>
          <w:kern w:val="0"/>
          <w:szCs w:val="21"/>
          <w:highlight w:val="none"/>
        </w:rPr>
        <w:t>开户银行：</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银行账号：</w:t>
      </w:r>
      <w:r>
        <w:rPr>
          <w:rFonts w:hint="eastAsia" w:ascii="宋体" w:hAnsi="宋体" w:cs="宋体"/>
          <w:kern w:val="0"/>
          <w:szCs w:val="21"/>
          <w:highlight w:val="none"/>
          <w:u w:val="single"/>
        </w:rPr>
        <w:t xml:space="preserve">         </w:t>
      </w:r>
    </w:p>
    <w:p>
      <w:pPr>
        <w:spacing w:line="360" w:lineRule="auto"/>
        <w:rPr>
          <w:highlight w:val="none"/>
        </w:rPr>
        <w:sectPr>
          <w:type w:val="nextColumn"/>
          <w:pgSz w:w="11907" w:h="16840"/>
          <w:pgMar w:top="1440" w:right="1800" w:bottom="1440" w:left="1800" w:header="720" w:footer="720" w:gutter="0"/>
          <w:cols w:space="720" w:num="1"/>
          <w:docGrid w:type="lines" w:linePitch="286" w:charSpace="0"/>
        </w:sectPr>
      </w:pPr>
      <w:r>
        <w:rPr>
          <w:rFonts w:hint="eastAsia" w:ascii="宋体" w:hAnsi="宋体" w:cs="宋体"/>
          <w:kern w:val="0"/>
          <w:szCs w:val="21"/>
          <w:highlight w:val="none"/>
        </w:rPr>
        <w:t>法定代表人或授权代表</w:t>
      </w:r>
      <w:r>
        <w:rPr>
          <w:rFonts w:hint="eastAsia" w:ascii="宋体" w:hAnsi="宋体" w:cs="宋体"/>
          <w:kern w:val="0"/>
          <w:highlight w:val="none"/>
        </w:rPr>
        <w:t>（签名或印章）</w:t>
      </w:r>
      <w:r>
        <w:rPr>
          <w:rFonts w:hint="eastAsia" w:ascii="宋体" w:hAnsi="宋体" w:cs="宋体"/>
          <w:kern w:val="0"/>
          <w:szCs w:val="21"/>
          <w:highlight w:val="none"/>
        </w:rPr>
        <w:t>:___________          日期：_____年___月___日</w:t>
      </w:r>
    </w:p>
    <w:p>
      <w:pPr>
        <w:rPr>
          <w:rFonts w:hint="eastAsia"/>
          <w:highlight w:val="none"/>
        </w:rPr>
      </w:pPr>
      <w:bookmarkStart w:id="152" w:name="_Toc513799105"/>
      <w:bookmarkStart w:id="153" w:name="_Toc516480392"/>
    </w:p>
    <w:p>
      <w:pPr>
        <w:jc w:val="center"/>
        <w:rPr>
          <w:rFonts w:hint="eastAsia"/>
          <w:b/>
          <w:sz w:val="28"/>
          <w:szCs w:val="28"/>
          <w:highlight w:val="none"/>
        </w:rPr>
      </w:pPr>
      <w:r>
        <w:rPr>
          <w:rFonts w:hint="eastAsia"/>
          <w:b/>
          <w:sz w:val="28"/>
          <w:szCs w:val="28"/>
          <w:highlight w:val="none"/>
        </w:rPr>
        <w:t>（二）</w:t>
      </w:r>
      <w:bookmarkEnd w:id="152"/>
      <w:bookmarkEnd w:id="153"/>
      <w:r>
        <w:rPr>
          <w:rFonts w:hint="eastAsia"/>
          <w:b/>
          <w:sz w:val="28"/>
          <w:szCs w:val="28"/>
          <w:highlight w:val="none"/>
        </w:rPr>
        <w:t>开标一览表</w:t>
      </w:r>
    </w:p>
    <w:p>
      <w:pPr>
        <w:rPr>
          <w:rFonts w:ascii="宋体" w:hAnsi="宋体"/>
          <w:szCs w:val="21"/>
          <w:highlight w:val="none"/>
        </w:rPr>
      </w:pPr>
    </w:p>
    <w:p>
      <w:pPr>
        <w:spacing w:line="360" w:lineRule="auto"/>
        <w:rPr>
          <w:rFonts w:hint="eastAsia" w:ascii="方正书宋简体"/>
          <w:szCs w:val="21"/>
          <w:highlight w:val="none"/>
          <w:u w:val="single"/>
        </w:rPr>
      </w:pPr>
      <w:r>
        <w:rPr>
          <w:rFonts w:hint="eastAsia" w:ascii="方正书宋简体"/>
          <w:szCs w:val="21"/>
          <w:highlight w:val="none"/>
        </w:rPr>
        <w:t>项目名称：</w:t>
      </w:r>
      <w:r>
        <w:rPr>
          <w:rFonts w:ascii="方正书宋简体"/>
          <w:szCs w:val="21"/>
          <w:highlight w:val="none"/>
          <w:u w:val="single"/>
        </w:rPr>
        <w:t xml:space="preserve">                      </w:t>
      </w:r>
      <w:r>
        <w:rPr>
          <w:rFonts w:ascii="方正书宋简体"/>
          <w:szCs w:val="21"/>
          <w:highlight w:val="none"/>
        </w:rPr>
        <w:t xml:space="preserve">        </w:t>
      </w:r>
      <w:r>
        <w:rPr>
          <w:rFonts w:hint="eastAsia" w:ascii="方正书宋简体"/>
          <w:szCs w:val="21"/>
          <w:highlight w:val="none"/>
        </w:rPr>
        <w:t>项目编号：</w:t>
      </w:r>
      <w:r>
        <w:rPr>
          <w:rFonts w:ascii="方正书宋简体"/>
          <w:szCs w:val="21"/>
          <w:highlight w:val="none"/>
          <w:u w:val="single"/>
        </w:rPr>
        <w:t xml:space="preserve">                 </w:t>
      </w:r>
      <w:r>
        <w:rPr>
          <w:rFonts w:hint="eastAsia" w:ascii="方正书宋简体"/>
          <w:szCs w:val="21"/>
          <w:highlight w:val="none"/>
          <w:u w:val="single"/>
        </w:rPr>
        <w:t xml:space="preserve">  </w:t>
      </w:r>
    </w:p>
    <w:p>
      <w:pPr>
        <w:spacing w:line="380" w:lineRule="exact"/>
        <w:rPr>
          <w:rFonts w:ascii="方正书宋简体"/>
          <w:szCs w:val="21"/>
          <w:highlight w:val="none"/>
          <w:u w:val="singl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2689"/>
        <w:gridCol w:w="4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i/>
                <w:sz w:val="24"/>
                <w:highlight w:val="none"/>
              </w:rPr>
            </w:pPr>
            <w:r>
              <w:rPr>
                <w:rFonts w:hint="eastAsia" w:ascii="宋体" w:hAnsi="宋体" w:cs="宋体"/>
                <w:sz w:val="24"/>
                <w:highlight w:val="none"/>
              </w:rPr>
              <w:t>序号</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cs="宋体"/>
                <w:sz w:val="24"/>
                <w:highlight w:val="none"/>
              </w:rPr>
              <w:t>采购</w:t>
            </w:r>
            <w:r>
              <w:rPr>
                <w:rFonts w:ascii="宋体" w:hAnsi="宋体" w:cs="宋体"/>
                <w:sz w:val="24"/>
                <w:highlight w:val="none"/>
              </w:rPr>
              <w:t>内容</w:t>
            </w:r>
          </w:p>
        </w:tc>
        <w:tc>
          <w:tcPr>
            <w:tcW w:w="4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ascii="宋体" w:hAnsi="宋体" w:cs="宋体"/>
                <w:sz w:val="24"/>
                <w:highlight w:val="none"/>
              </w:rPr>
              <w:t>报价（单位：</w:t>
            </w:r>
            <w:r>
              <w:rPr>
                <w:rFonts w:hint="eastAsia" w:ascii="宋体" w:hAnsi="宋体" w:cs="宋体"/>
                <w:sz w:val="24"/>
                <w:highlight w:val="none"/>
              </w:rPr>
              <w:t>元</w:t>
            </w:r>
            <w:r>
              <w:rPr>
                <w:rFonts w:ascii="宋体" w:hAnsi="宋体" w:cs="宋体"/>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cs="宋体"/>
                <w:sz w:val="24"/>
                <w:highlight w:val="none"/>
              </w:rPr>
              <w:t>1</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 w:lineRule="atLeast"/>
              <w:jc w:val="center"/>
              <w:rPr>
                <w:rFonts w:ascii="宋体" w:hAnsi="宋体" w:cs="宋体"/>
                <w:sz w:val="24"/>
                <w:highlight w:val="none"/>
              </w:rPr>
            </w:pPr>
          </w:p>
        </w:tc>
        <w:tc>
          <w:tcPr>
            <w:tcW w:w="488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 w:lineRule="atLeast"/>
              <w:rPr>
                <w:rFonts w:ascii="宋体" w:hAnsi="宋体"/>
                <w:highlight w:val="none"/>
              </w:rPr>
            </w:pPr>
            <w:r>
              <w:rPr>
                <w:rFonts w:hint="eastAsia" w:ascii="宋体" w:hAnsi="宋体"/>
                <w:highlight w:val="none"/>
              </w:rPr>
              <w:t>大</w:t>
            </w:r>
            <w:r>
              <w:rPr>
                <w:rFonts w:ascii="宋体" w:hAnsi="宋体"/>
                <w:highlight w:val="none"/>
              </w:rPr>
              <w:t>写</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 xml:space="preserve">                 </w:t>
            </w:r>
          </w:p>
          <w:p>
            <w:pPr>
              <w:snapToGrid w:val="0"/>
              <w:spacing w:line="26" w:lineRule="atLeast"/>
              <w:ind w:firstLine="210" w:firstLineChars="100"/>
              <w:rPr>
                <w:rFonts w:ascii="宋体" w:hAnsi="宋体"/>
                <w:highlight w:val="none"/>
              </w:rPr>
            </w:pPr>
          </w:p>
          <w:p>
            <w:pPr>
              <w:snapToGrid w:val="0"/>
              <w:spacing w:line="26" w:lineRule="atLeast"/>
              <w:rPr>
                <w:rFonts w:ascii="宋体" w:hAnsi="宋体"/>
                <w:highlight w:val="none"/>
              </w:rPr>
            </w:pPr>
            <w:r>
              <w:rPr>
                <w:rFonts w:hint="eastAsia" w:ascii="宋体" w:hAnsi="宋体"/>
                <w:highlight w:val="none"/>
              </w:rPr>
              <w:t>小写：¥</w:t>
            </w:r>
            <w:r>
              <w:rPr>
                <w:rFonts w:hint="eastAsia" w:ascii="宋体" w:hAnsi="宋体"/>
                <w:highlight w:val="none"/>
                <w:u w:val="single"/>
              </w:rPr>
              <w:t xml:space="preserve">                   </w:t>
            </w:r>
          </w:p>
        </w:tc>
      </w:tr>
    </w:tbl>
    <w:p>
      <w:pPr>
        <w:spacing w:line="380" w:lineRule="exact"/>
        <w:rPr>
          <w:rFonts w:ascii="方正书宋简体"/>
          <w:szCs w:val="21"/>
          <w:highlight w:val="none"/>
          <w:u w:val="single"/>
        </w:rPr>
      </w:pPr>
    </w:p>
    <w:p>
      <w:pPr>
        <w:spacing w:line="380" w:lineRule="exact"/>
        <w:rPr>
          <w:szCs w:val="21"/>
          <w:highlight w:val="none"/>
        </w:rPr>
      </w:pPr>
    </w:p>
    <w:p>
      <w:pPr>
        <w:spacing w:line="380" w:lineRule="exact"/>
        <w:rPr>
          <w:rFonts w:ascii="宋体"/>
          <w:sz w:val="22"/>
          <w:szCs w:val="22"/>
          <w:highlight w:val="none"/>
        </w:rPr>
      </w:pPr>
      <w:r>
        <w:rPr>
          <w:rFonts w:hint="eastAsia" w:ascii="宋体" w:hAnsi="宋体" w:cs="宋体"/>
          <w:sz w:val="22"/>
          <w:szCs w:val="22"/>
          <w:highlight w:val="none"/>
        </w:rPr>
        <w:t>供应商（公章）：</w:t>
      </w:r>
    </w:p>
    <w:p>
      <w:pPr>
        <w:spacing w:line="380" w:lineRule="exact"/>
        <w:rPr>
          <w:rFonts w:ascii="宋体"/>
          <w:sz w:val="22"/>
          <w:szCs w:val="22"/>
          <w:highlight w:val="none"/>
          <w:u w:val="single"/>
        </w:rPr>
      </w:pPr>
      <w:r>
        <w:rPr>
          <w:rFonts w:hint="eastAsia"/>
          <w:szCs w:val="21"/>
          <w:highlight w:val="none"/>
        </w:rPr>
        <w:t>法定代表人或授权代表人（签字或盖章）</w:t>
      </w:r>
      <w:r>
        <w:rPr>
          <w:rFonts w:hint="eastAsia" w:ascii="宋体" w:hAnsi="宋体" w:cs="宋体"/>
          <w:sz w:val="22"/>
          <w:szCs w:val="22"/>
          <w:highlight w:val="none"/>
        </w:rPr>
        <w:t>：</w:t>
      </w:r>
    </w:p>
    <w:p>
      <w:pPr>
        <w:spacing w:line="380" w:lineRule="exact"/>
        <w:rPr>
          <w:rFonts w:ascii="宋体"/>
          <w:sz w:val="22"/>
          <w:szCs w:val="22"/>
          <w:highlight w:val="none"/>
          <w:u w:val="single"/>
        </w:rPr>
      </w:pPr>
      <w:r>
        <w:rPr>
          <w:rFonts w:hint="eastAsia" w:ascii="宋体" w:cs="宋体"/>
          <w:sz w:val="22"/>
          <w:szCs w:val="22"/>
          <w:highlight w:val="none"/>
        </w:rPr>
        <w:t>日期：</w:t>
      </w:r>
    </w:p>
    <w:p>
      <w:pPr>
        <w:spacing w:line="360" w:lineRule="auto"/>
        <w:rPr>
          <w:rFonts w:ascii="宋体" w:hAnsi="宋体"/>
          <w:sz w:val="24"/>
          <w:szCs w:val="24"/>
          <w:highlight w:val="none"/>
        </w:rPr>
      </w:pPr>
    </w:p>
    <w:p>
      <w:pPr>
        <w:spacing w:line="380" w:lineRule="exact"/>
        <w:rPr>
          <w:rFonts w:ascii="宋体"/>
          <w:sz w:val="22"/>
          <w:szCs w:val="22"/>
          <w:highlight w:val="none"/>
          <w:u w:val="single"/>
        </w:rPr>
      </w:pPr>
      <w:bookmarkStart w:id="154" w:name="_Toc53670323"/>
      <w:bookmarkStart w:id="155" w:name="_Toc513799092"/>
      <w:bookmarkStart w:id="156" w:name="_Toc516479239"/>
      <w:bookmarkStart w:id="157" w:name="_Toc516480379"/>
    </w:p>
    <w:p>
      <w:pPr>
        <w:jc w:val="center"/>
        <w:rPr>
          <w:rFonts w:hint="eastAsia" w:ascii="Times New Roman" w:hAnsi="Times New Roman" w:eastAsia="宋体" w:cs="Times New Roman"/>
          <w:b/>
          <w:sz w:val="28"/>
          <w:szCs w:val="28"/>
          <w:highlight w:val="none"/>
        </w:rPr>
      </w:pPr>
      <w:r>
        <w:rPr>
          <w:highlight w:val="none"/>
        </w:rPr>
        <w:br w:type="page"/>
      </w:r>
      <w:bookmarkEnd w:id="154"/>
      <w:bookmarkEnd w:id="155"/>
      <w:bookmarkEnd w:id="156"/>
      <w:bookmarkEnd w:id="157"/>
    </w:p>
    <w:p>
      <w:pPr>
        <w:numPr>
          <w:ilvl w:val="0"/>
          <w:numId w:val="0"/>
        </w:numPr>
        <w:spacing w:line="240" w:lineRule="auto"/>
        <w:ind w:firstLine="0" w:firstLineChars="0"/>
        <w:jc w:val="center"/>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lang w:eastAsia="zh-CN"/>
        </w:rPr>
        <w:t>（</w:t>
      </w:r>
      <w:r>
        <w:rPr>
          <w:rFonts w:hint="eastAsia" w:ascii="Times New Roman" w:hAnsi="Times New Roman" w:eastAsia="宋体" w:cs="Times New Roman"/>
          <w:b/>
          <w:sz w:val="28"/>
          <w:szCs w:val="28"/>
          <w:highlight w:val="none"/>
          <w:lang w:val="en-US" w:eastAsia="zh-CN"/>
        </w:rPr>
        <w:t>三</w:t>
      </w:r>
      <w:r>
        <w:rPr>
          <w:rFonts w:hint="eastAsia" w:ascii="Times New Roman" w:hAnsi="Times New Roman" w:eastAsia="宋体" w:cs="Times New Roman"/>
          <w:b/>
          <w:sz w:val="28"/>
          <w:szCs w:val="28"/>
          <w:highlight w:val="none"/>
          <w:lang w:eastAsia="zh-CN"/>
        </w:rPr>
        <w:t>）</w:t>
      </w:r>
      <w:r>
        <w:rPr>
          <w:rFonts w:hint="eastAsia" w:ascii="Times New Roman" w:hAnsi="Times New Roman" w:eastAsia="宋体" w:cs="Times New Roman"/>
          <w:b/>
          <w:sz w:val="28"/>
          <w:szCs w:val="28"/>
          <w:highlight w:val="none"/>
        </w:rPr>
        <w:t>成本测算资料（低于最高限价70%时须提供）；</w:t>
      </w:r>
    </w:p>
    <w:p>
      <w:pPr>
        <w:pStyle w:val="12"/>
        <w:spacing w:line="520" w:lineRule="exact"/>
        <w:ind w:firstLine="0"/>
        <w:rPr>
          <w:rFonts w:hint="eastAsia"/>
          <w:sz w:val="22"/>
          <w:szCs w:val="22"/>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p>
    <w:p>
      <w:pPr>
        <w:pStyle w:val="7"/>
        <w:tabs>
          <w:tab w:val="left" w:pos="720"/>
        </w:tabs>
        <w:spacing w:line="380" w:lineRule="exact"/>
        <w:jc w:val="center"/>
        <w:rPr>
          <w:rFonts w:hint="eastAsia" w:ascii="宋体" w:hAnsi="宋体" w:eastAsia="宋体" w:cs="Times New Roman"/>
          <w:sz w:val="28"/>
          <w:szCs w:val="28"/>
          <w:highlight w:val="none"/>
        </w:rPr>
      </w:pPr>
      <w:r>
        <w:rPr>
          <w:rFonts w:hint="eastAsia" w:ascii="宋体" w:hAnsi="宋体" w:eastAsia="宋体" w:cs="Times New Roman"/>
          <w:sz w:val="28"/>
          <w:szCs w:val="28"/>
          <w:highlight w:val="none"/>
        </w:rPr>
        <w:t>（</w:t>
      </w:r>
      <w:r>
        <w:rPr>
          <w:rFonts w:hint="eastAsia" w:ascii="宋体" w:hAnsi="宋体" w:eastAsia="宋体" w:cs="Times New Roman"/>
          <w:sz w:val="28"/>
          <w:szCs w:val="28"/>
          <w:highlight w:val="none"/>
          <w:lang w:val="en-US" w:eastAsia="zh-CN"/>
        </w:rPr>
        <w:t>四</w:t>
      </w:r>
      <w:r>
        <w:rPr>
          <w:rFonts w:hint="eastAsia" w:ascii="宋体" w:hAnsi="宋体" w:eastAsia="宋体" w:cs="Times New Roman"/>
          <w:sz w:val="28"/>
          <w:szCs w:val="28"/>
          <w:highlight w:val="none"/>
        </w:rPr>
        <w:t>）供应商认为需提交的其他文件资料。</w:t>
      </w:r>
    </w:p>
    <w:p>
      <w:pPr>
        <w:pStyle w:val="7"/>
        <w:tabs>
          <w:tab w:val="left" w:pos="720"/>
        </w:tabs>
        <w:spacing w:line="380" w:lineRule="exact"/>
        <w:jc w:val="center"/>
        <w:rPr>
          <w:rFonts w:hint="eastAsia" w:ascii="宋体" w:hAnsi="宋体"/>
          <w:sz w:val="28"/>
          <w:szCs w:val="28"/>
          <w:highlight w:val="none"/>
        </w:rPr>
      </w:pPr>
    </w:p>
    <w:bookmarkEnd w:id="111"/>
    <w:bookmarkEnd w:id="112"/>
    <w:bookmarkEnd w:id="113"/>
    <w:bookmarkEnd w:id="114"/>
    <w:bookmarkEnd w:id="115"/>
    <w:bookmarkEnd w:id="116"/>
    <w:bookmarkEnd w:id="117"/>
    <w:bookmarkEnd w:id="118"/>
    <w:bookmarkEnd w:id="119"/>
    <w:bookmarkEnd w:id="120"/>
    <w:bookmarkEnd w:id="121"/>
    <w:p>
      <w:pPr>
        <w:spacing w:line="360" w:lineRule="auto"/>
        <w:rPr>
          <w:rFonts w:hint="eastAsia" w:ascii="宋体" w:hAnsi="宋体"/>
          <w:sz w:val="24"/>
          <w:szCs w:val="24"/>
          <w:highlight w:val="none"/>
        </w:rPr>
      </w:pPr>
    </w:p>
    <w:sectPr>
      <w:headerReference r:id="rId23" w:type="default"/>
      <w:footerReference r:id="rId24" w:type="default"/>
      <w:pgSz w:w="11907" w:h="16840"/>
      <w:pgMar w:top="1304" w:right="1588" w:bottom="1304" w:left="158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SimSun-ExtB"/>
    <w:panose1 w:val="00000000000000000000"/>
    <w:charset w:val="86"/>
    <w:family w:val="auto"/>
    <w:pitch w:val="default"/>
    <w:sig w:usb0="00000001" w:usb1="080E0000" w:usb2="00000010" w:usb3="00000000" w:csb0="00040000" w:csb1="00000000"/>
  </w:font>
  <w:font w:name="方正书宋简体">
    <w:altName w:val="宋体"/>
    <w:panose1 w:val="00000000000000000000"/>
    <w:charset w:val="86"/>
    <w:family w:val="auto"/>
    <w:pitch w:val="default"/>
    <w:sig w:usb0="00000001" w:usb1="080E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lang/>
      </w:rPr>
      <w:t>1</w:t>
    </w:r>
    <w:r>
      <w:fldChar w:fldCharType="end"/>
    </w:r>
  </w:p>
  <w:p>
    <w:pP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69</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T6O1skBAACZAwAADgAAAGRycy9lMm9Eb2MueG1srVPNjtMwEL4j8Q6W 79TZI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BPo7W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69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1"/>
                            </w:rPr>
                          </w:pPr>
                          <w:r>
                            <w:fldChar w:fldCharType="begin"/>
                          </w:r>
                          <w:r>
                            <w:rPr>
                              <w:rStyle w:val="31"/>
                            </w:rPr>
                            <w:instrText xml:space="preserve"> PAGE  \* MERGEFORMAT </w:instrText>
                          </w:r>
                          <w:r>
                            <w:fldChar w:fldCharType="separate"/>
                          </w:r>
                          <w:r>
                            <w:rPr>
                              <w:rStyle w:val="31"/>
                              <w:lang/>
                            </w:rPr>
                            <w:t>4</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k78s8oBAACcAwAADgAAAGRycy9lMm9Eb2MueG1srVPNjtMwEL4j8Q6W 79RpQ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LEcYsDv3z/dvnx6/LzK1lW L1dZoT5AjYl3AVPT8NYPuDezH9CZiQ8q2vxFSgTjqO/5qq8cEhH50Xq1XlcYEhibL4jPHp6HCOmd 9JZko6ERB1h05acPkMbUOSVXc/5WG1OGaNxfDsTMHpZ7H3vMVhr2w0Ro79sz8ulx9g11uOqUmPcO pc1rMhtxNvazcQxRH7qyR7kehDfHhE2U3nKFEXYqjEMr7KYFy1vx571kPfx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uk78s8oBAACcAwAADgAAAAAAAAABACAAAAAeAQAAZHJzL2Uyb0Rv Yy54bWxQSwUGAAAAAAYABgBZAQAAWgUAAAAA ">
              <v:fill on="f" focussize="0,0"/>
              <v:stroke on="f"/>
              <v:imagedata o:title=""/>
              <o:lock v:ext="edit" aspectratio="f"/>
              <v:textbox inset="0mm,0mm,0mm,0mm" style="mso-fit-shape-to-text:t;">
                <w:txbxContent>
                  <w:p>
                    <w:pPr>
                      <w:pStyle w:val="18"/>
                      <w:rPr>
                        <w:rStyle w:val="31"/>
                      </w:rPr>
                    </w:pPr>
                    <w:r>
                      <w:fldChar w:fldCharType="begin"/>
                    </w:r>
                    <w:r>
                      <w:rPr>
                        <w:rStyle w:val="31"/>
                      </w:rPr>
                      <w:instrText xml:space="preserve"> PAGE  \* MERGEFORMAT </w:instrText>
                    </w:r>
                    <w:r>
                      <w:fldChar w:fldCharType="separate"/>
                    </w:r>
                    <w:r>
                      <w:rPr>
                        <w:rStyle w:val="31"/>
                        <w:lang/>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1"/>
                            </w:rPr>
                          </w:pPr>
                          <w:r>
                            <w:fldChar w:fldCharType="begin"/>
                          </w:r>
                          <w:r>
                            <w:rPr>
                              <w:rStyle w:val="31"/>
                            </w:rPr>
                            <w:instrText xml:space="preserve"> PAGE  \* MERGEFORMAT </w:instrText>
                          </w:r>
                          <w:r>
                            <w:fldChar w:fldCharType="separate"/>
                          </w:r>
                          <w:r>
                            <w:rPr>
                              <w:rStyle w:val="31"/>
                              <w:lang/>
                            </w:rPr>
                            <w:t>26</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ENnBcsBAACcAwAADgAAAGRycy9lMm9Eb2MueG1srVPNjtMwEL4j8Q6W 79RpV6AqaroCVYuQECAtPIDr2I0l/8njNukLwBtw4sKd5+pzMHaSLiyXPXBxxjPjb+b7ZrK5Hawh JxlBe9fQ5aKiRDrhW+0ODf3y+e7FmhJI3LXceCcbepZAb7fPn236UMuV77xpZSQI4qDuQ0O7lELN GIhOWg4LH6TDoPLR8oTXeGBt5D2iW8NWVfWK9T62IXohAdC7G4N0QoxPAfRKaSF3XhytdGlEjdLw hJSg0wHotnSrlBTpo1IgEzENRaapnFgE7X0+2XbD60PkodNiaoE/pYVHnCzXDoteoXY8cXKM+h8o q0X04FVaCG/ZSKQogiyW1SNt7jseZOGCUkO4ig7/D1Z8OH2KRLcNfUmJ4xYHfvn+7fLj1+XnV7Ks bm6yQn2AGhPvA6am4Y0fcG9mP6AzEx9UtPmLlAjGUd/zVV85JCLyo/Vqva4wJDA2XxCfPTwPEdJb 6S3JRkMjDrDoyk/vIY2pc0qu5vydNqYM0bi/HIiZPSz3PvaYrTTsh4nQ3rdn5NPj7BvqcNUpMe8c SpvXZDbibOxn4xiiPnRlj3I9CK+PCZsoveUKI+xUGIdW2E0Llrfiz3vJevi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HBDZwXLAQAAnAMAAA4AAAAAAAAAAQAgAAAAHgEAAGRycy9lMm9E b2MueG1sUEsFBgAAAAAGAAYAWQEAAFsFAAAAAA== ">
              <v:fill on="f" focussize="0,0"/>
              <v:stroke on="f"/>
              <v:imagedata o:title=""/>
              <o:lock v:ext="edit" aspectratio="f"/>
              <v:textbox inset="0mm,0mm,0mm,0mm" style="mso-fit-shape-to-text:t;">
                <w:txbxContent>
                  <w:p>
                    <w:pPr>
                      <w:pStyle w:val="18"/>
                      <w:rPr>
                        <w:rStyle w:val="31"/>
                      </w:rPr>
                    </w:pPr>
                    <w:r>
                      <w:fldChar w:fldCharType="begin"/>
                    </w:r>
                    <w:r>
                      <w:rPr>
                        <w:rStyle w:val="31"/>
                      </w:rPr>
                      <w:instrText xml:space="preserve"> PAGE  \* MERGEFORMAT </w:instrText>
                    </w:r>
                    <w:r>
                      <w:fldChar w:fldCharType="separate"/>
                    </w:r>
                    <w:r>
                      <w:rPr>
                        <w:rStyle w:val="31"/>
                        <w:lang/>
                      </w:rP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lang/>
      </w:rPr>
      <w:t>1</w:t>
    </w:r>
    <w:r>
      <w:fldChar w:fldCharType="end"/>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gKlc8sBAACcAwAADgAAAGRycy9lMm9Eb2MueG1srVPNjtMwEL4j8Q6W 79RpEasqaroCVYuQECAtPIDr2I0l/8njNukLwBtw4sKd5+pzMHaSLiyXPXBxxjPjb+b7ZrK5Hawh JxlBe9fQ5aKiRDrhW+0ODf3y+e7FmhJI3LXceCcbepZAb7fPn236UMuV77xpZSQI4qDuQ0O7lELN GIhOWg4LH6TDoPLR8oTXeGBt5D2iW8NWVXXDeh/bEL2QAOjdjUE6IcanAHqltJA7L45WujSiRml4 QkrQ6QB0W7pVSor0USmQiZiGItNUTiyC9j6fbLvh9SHy0GkxtcCf0sIjTpZrh0WvUDueODlG/Q+U 1SJ68CothLdsJFIUQRbL6pE29x0PsnBBqSFcRYf/Bys+nD5FotuG3lDiuMWBX75/u/z4dfn5lSyr l6+yQn2AGhPvA6am4Y0fcG9mP6AzEx9UtPmLlAjGUd/zVV85JCLyo/Vqva4wJDA2XxCfPTwPEdJb 6S3JRkMjDrDoyk/vIY2pc0qu5vydNqYM0bi/HIiZPSz3PvaYrTTsh4nQ3rdn5NPj7BvqcNUpMe8c SpvXZDbibOxn4xiiPnRlj3I9CK+PCZsoveUKI+xUGIdW2E0Llrfiz3vJevi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GoCpXPLAQAAnAMAAA4AAAAAAAAAAQAgAAAAHgEAAGRycy9lMm9E b2MueG1sUEsFBgAAAAAGAAYAWQEAAFsFAAAAAA== ">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wps:spPr>
                    <wps:txbx>
                      <w:txbxContent>
                        <w:p>
                          <w:pPr>
                            <w:spacing w:before="19"/>
                            <w:ind w:left="20"/>
                            <w:jc w:val="left"/>
                            <w:rPr>
                              <w:sz w:val="11"/>
                            </w:rPr>
                          </w:pPr>
                          <w:r>
                            <w:rPr>
                              <w:w w:val="104"/>
                              <w:sz w:val="11"/>
                            </w:rPr>
                            <w:t>1</w:t>
                          </w:r>
                        </w:p>
                      </w:txbxContent>
                    </wps:txbx>
                    <wps:bodyPr wrap="square" lIns="0" tIns="0" rIns="0" bIns="0" upright="1"/>
                  </wps:wsp>
                </a:graphicData>
              </a:graphic>
            </wp:anchor>
          </w:drawing>
        </mc:Choice>
        <mc:Fallback>
          <w:pict>
            <v:shape id="文本框 1029"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 AQAADwAAAGRycy9kb3ducmV2LnhtbE2PzU7DMBCE70i8g7WVuFE7RaRpGqdCCE5IiDQcODqxm1iN 1yF2f3h7Nie47eyOZucrdlc3sLOZgvUoIVkKYAZbry12Ej7r1/sMWIgKtRo8Ggk/JsCuvL0pVK79 BStz3seOUQiGXEnoYxxzzkPbG6fC0o8G6Xbwk1OR5NRxPakLhbuBr4RIuVMW6UOvRvPcm/a4PzkJ T19Yvdjv9+ajOlS2rjcC39KjlHeLRGyBRXONf2aY61N1KKlT40+oAxtIrzNiiTQ8JmkCbLZka6Jp 5tXDagO8LPh/ivIXUEsDBBQAAAAIAIdO4kCRhxMyxQEAAIEDAAAOAAAAZHJzL2Uyb0RvYy54bWyt U0tu2zAQ3RfIHQjuY8kqYKSC5QCFkSJA0BZIewCaoiwC/HWGtuQLtDfoqpvuey6fo0Nadtp0k0U3 1Ghm9Oa9N9TydrSG7RWg9q7h81nJmXLSt9ptG/750931DWcYhWuF8U41/KCQ366uXi2HUKvK9960 ChiBOKyH0PA+xlAXBcpeWYEzH5SjYufBikivsC1aEAOhW1NUZbkoBg9tAC8VImXXpyKfEOElgL7r tFRrL3dWuXhCBWVEJEnY64B8ldl2nZLxQ9ehisw0nJTGfNIQijfpLFZLUW9BhF7LiYJ4CYVnmqzQ joZeoNYiCrYD/Q+U1RI8+i7OpLfFSUh2hFTMy2fePPYiqKyFrMZwMR3/H6x8v/8ITLd0EzhzwtLC j9+/HX/8Ov78yuZl9SY5NASsqfExUGsc3/oxdU95pGQSPnZg05MkMaqTv4eLv2qMTFJyUVWvqSCp Mi8Xi5tsf/H0bQCM75S3LAUNB9peNlXsHzDSPGo9t6RRzt9pY/IGjfsrQY0pUyTiJ4IpiuNmnFhv fHsgMQMtvuH4ZSdAcWbuHTmbbsk5gHOwOQe7AHrbE7lsQB5Am8nUpluUVv/ne6bx9OesfgN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6HXhH2gAAAA0BAAAPAAAAAAAAAAEAIAAAACIAAABkcnMvZG93 bnJldi54bWxQSwECFAAUAAAACACHTuJAkYcTMsUBAACBAwAADgAAAAAAAAABACAAAAApAQAAZHJz L2Uyb0RvYy54bWxQSwUGAAAAAAYABgBZAQAAYAUAAAAA ">
              <v:fill on="f" focussize="0,0"/>
              <v:stroke on="f"/>
              <v:imagedata o:title=""/>
              <o:lock v:ext="edit" aspectratio="f"/>
              <v:textbox inset="0mm,0mm,0mm,0mm">
                <w:txbxContent>
                  <w:p>
                    <w:pPr>
                      <w:spacing w:before="19"/>
                      <w:ind w:left="20"/>
                      <w:jc w:val="left"/>
                      <w:rPr>
                        <w:sz w:val="11"/>
                      </w:rPr>
                    </w:pPr>
                    <w:r>
                      <w:rPr>
                        <w:w w:val="104"/>
                        <w:sz w:val="11"/>
                      </w:rPr>
                      <w:t>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7B2cMkBAACaAwAADgAAAGRycy9lMm9Eb2MueG1srVPNjtMwEL4j8Q6W 79Rpk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IoSxy0O/PL92+XHr8vPr2T5 OuvTB6gx7SFgYhru/IBbM/sBnZn2oKLNXyREMI7qnq/qyiERkR+tV+t1hSGBsfmC+OzxeYiQ3kpv STYaGnF8RVV+eg9pTJ1TcjXn77UxZYTG/eVAzOxhufexx2ylYT9MhPa+PSOfHiffUIeLTol551DY vCSzEWdjPxvHEPWhK1uU60G4PSZsovSWK4ywU2EcWWE3rVfeiT/vJevx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TsHZw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63</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8+vC8cBAACaAwAADgAAAGRycy9lMm9Eb2MueG1srVNNrtMwEN4jcQfL e+q0C6iipk+g6iEkBEgPDuA6dmPJf/K4TXoBuAErNuw5V8/B2ElaeGzego0znhl/M983k83dYA05 yQjau4YuFxUl0gnfando6JfP9y/WlEDiruXGO9nQswR6t33+bNOHWq58500rI0EQB3UfGtqlFGrG QHTSclj4IB0GlY+WJ7zGA2sj7xHdGraqqpes97EN0QsJgN7dGKQTYnwKoFdKC7nz4milSyNqlIYn pASdDkC3pVulpEgflQKZiGkoMk3lxCJo7/PJthteHyIPnRZTC/wpLTziZLl2WPQKteOJk2PU/0BZ LaIHr9JCeMtGIkURZLGsHmnz0PEgCxeUGsJVdPh/sOLD6VMkum3oK0octzjwy/dvlx+/Lj+/kmXR pw9QY9pDwMQ0vPEDbk3WLfsBnZn2oKLNXyREMI7qnq/qyiERkR+tV+t1hSGBsfmCOOz2PERIb6W3 JBsNjTi+oio/vYc0ps4puZrz99qYMkLj/nIgZvawW4/ZSsN+mBrf+/aMfHqcfEMdLjol5p1DYfOS zEacjf1sHEPUh65sUa4H4fUxYROlt1xhhJ0K48gKu2m98k78eS9Zt19q+xt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38+vC8cBAACaAwAADgAAAAAAAAABACAAAAAeAQAAZHJzL2Uyb0RvYy54 bWxQSwUGAAAAAAYABgBZAQAAVwUAAAAA ">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 w:val="15"/>
        <w:szCs w:val="15"/>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hint="eastAsia"/>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6F173"/>
    <w:multiLevelType w:val="singleLevel"/>
    <w:tmpl w:val="B8B6F173"/>
    <w:lvl w:ilvl="0" w:tentative="0">
      <w:start w:val="1"/>
      <w:numFmt w:val="decimalEnclosedCircleChinese"/>
      <w:suff w:val="nothing"/>
      <w:lvlText w:val="%1　"/>
      <w:lvlJc w:val="left"/>
      <w:pPr>
        <w:ind w:left="0" w:firstLine="400"/>
      </w:pPr>
      <w:rPr>
        <w:rFonts w:hint="eastAsia"/>
      </w:rPr>
    </w:lvl>
  </w:abstractNum>
  <w:abstractNum w:abstractNumId="1">
    <w:nsid w:val="D6B3D2C2"/>
    <w:multiLevelType w:val="singleLevel"/>
    <w:tmpl w:val="D6B3D2C2"/>
    <w:lvl w:ilvl="0" w:tentative="0">
      <w:start w:val="1"/>
      <w:numFmt w:val="decimal"/>
      <w:suff w:val="nothing"/>
      <w:lvlText w:val="%1、"/>
      <w:lvlJc w:val="left"/>
    </w:lvl>
  </w:abstractNum>
  <w:abstractNum w:abstractNumId="2">
    <w:nsid w:val="00000012"/>
    <w:multiLevelType w:val="multilevel"/>
    <w:tmpl w:val="00000012"/>
    <w:lvl w:ilvl="0" w:tentative="0">
      <w:start w:val="1"/>
      <w:numFmt w:val="chineseCounting"/>
      <w:pStyle w:val="83"/>
      <w:suff w:val="space"/>
      <w:lvlText w:val="第%1章"/>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4">
    <w:nsid w:val="4379C235"/>
    <w:multiLevelType w:val="singleLevel"/>
    <w:tmpl w:val="4379C235"/>
    <w:lvl w:ilvl="0" w:tentative="0">
      <w:start w:val="1"/>
      <w:numFmt w:val="decimal"/>
      <w:suff w:val="nothing"/>
      <w:lvlText w:val="%1、"/>
      <w:lvlJc w:val="left"/>
    </w:lvl>
  </w:abstractNum>
  <w:abstractNum w:abstractNumId="5">
    <w:nsid w:val="50188033"/>
    <w:multiLevelType w:val="singleLevel"/>
    <w:tmpl w:val="50188033"/>
    <w:lvl w:ilvl="0" w:tentative="0">
      <w:start w:val="1"/>
      <w:numFmt w:val="decimalEnclosedCircleChinese"/>
      <w:suff w:val="nothing"/>
      <w:lvlText w:val="%1　"/>
      <w:lvlJc w:val="left"/>
      <w:pPr>
        <w:ind w:left="0" w:firstLine="400"/>
      </w:pPr>
      <w:rPr>
        <w:rFonts w:hint="eastAsia"/>
      </w:rPr>
    </w:lvl>
  </w:abstractNum>
  <w:abstractNum w:abstractNumId="6">
    <w:nsid w:val="619A15B1"/>
    <w:multiLevelType w:val="multilevel"/>
    <w:tmpl w:val="619A15B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sz w:val="28"/>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47FD4BD"/>
    <w:multiLevelType w:val="singleLevel"/>
    <w:tmpl w:val="647FD4BD"/>
    <w:lvl w:ilvl="0" w:tentative="0">
      <w:start w:val="1"/>
      <w:numFmt w:val="decimalEnclosedCircleChinese"/>
      <w:suff w:val="nothing"/>
      <w:lvlText w:val="%1　"/>
      <w:lvlJc w:val="left"/>
      <w:pPr>
        <w:ind w:left="0" w:firstLine="400"/>
      </w:pPr>
      <w:rPr>
        <w:rFonts w:hint="eastAsia"/>
      </w:rPr>
    </w:lvl>
  </w:abstractNum>
  <w:abstractNum w:abstractNumId="8">
    <w:nsid w:val="6DEF4E23"/>
    <w:multiLevelType w:val="singleLevel"/>
    <w:tmpl w:val="6DEF4E23"/>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4"/>
  </w:num>
  <w:num w:numId="4">
    <w:abstractNumId w:val="0"/>
  </w:num>
  <w:num w:numId="5">
    <w:abstractNumId w:val="7"/>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M2E5MzU5ZDVhOGI4MDBlOGExNDc2OGE0YWQ5MDMifQ=="/>
  </w:docVars>
  <w:rsids>
    <w:rsidRoot w:val="00172A27"/>
    <w:rsid w:val="00000A79"/>
    <w:rsid w:val="0000373C"/>
    <w:rsid w:val="000041B1"/>
    <w:rsid w:val="000050E6"/>
    <w:rsid w:val="000058E6"/>
    <w:rsid w:val="00006F74"/>
    <w:rsid w:val="00007BA5"/>
    <w:rsid w:val="00010426"/>
    <w:rsid w:val="00011FF5"/>
    <w:rsid w:val="000132C6"/>
    <w:rsid w:val="00013CC1"/>
    <w:rsid w:val="00014209"/>
    <w:rsid w:val="00014364"/>
    <w:rsid w:val="00014710"/>
    <w:rsid w:val="00021048"/>
    <w:rsid w:val="00022252"/>
    <w:rsid w:val="00022417"/>
    <w:rsid w:val="00022E56"/>
    <w:rsid w:val="00022E87"/>
    <w:rsid w:val="00025A60"/>
    <w:rsid w:val="00026170"/>
    <w:rsid w:val="00033A9B"/>
    <w:rsid w:val="00033B5E"/>
    <w:rsid w:val="000343BD"/>
    <w:rsid w:val="00034831"/>
    <w:rsid w:val="00034DCE"/>
    <w:rsid w:val="00037416"/>
    <w:rsid w:val="0003756C"/>
    <w:rsid w:val="000377B2"/>
    <w:rsid w:val="0004172C"/>
    <w:rsid w:val="00041911"/>
    <w:rsid w:val="0004300C"/>
    <w:rsid w:val="00043D7E"/>
    <w:rsid w:val="00044440"/>
    <w:rsid w:val="000452F4"/>
    <w:rsid w:val="000467FC"/>
    <w:rsid w:val="0004744F"/>
    <w:rsid w:val="000510E6"/>
    <w:rsid w:val="0005196E"/>
    <w:rsid w:val="000524AC"/>
    <w:rsid w:val="00052617"/>
    <w:rsid w:val="00053059"/>
    <w:rsid w:val="00053731"/>
    <w:rsid w:val="00053F9A"/>
    <w:rsid w:val="00054C6A"/>
    <w:rsid w:val="0006041D"/>
    <w:rsid w:val="00060520"/>
    <w:rsid w:val="000611A7"/>
    <w:rsid w:val="0006185E"/>
    <w:rsid w:val="00062088"/>
    <w:rsid w:val="000624F1"/>
    <w:rsid w:val="00062BFA"/>
    <w:rsid w:val="00065563"/>
    <w:rsid w:val="00065671"/>
    <w:rsid w:val="0006581D"/>
    <w:rsid w:val="0006717C"/>
    <w:rsid w:val="00067B8D"/>
    <w:rsid w:val="00071AD7"/>
    <w:rsid w:val="00073A08"/>
    <w:rsid w:val="00076674"/>
    <w:rsid w:val="000766FA"/>
    <w:rsid w:val="00076707"/>
    <w:rsid w:val="00080BE3"/>
    <w:rsid w:val="00083DC0"/>
    <w:rsid w:val="00084EF5"/>
    <w:rsid w:val="000852ED"/>
    <w:rsid w:val="00085BB5"/>
    <w:rsid w:val="000867B0"/>
    <w:rsid w:val="0009078E"/>
    <w:rsid w:val="00093BB3"/>
    <w:rsid w:val="00094AB9"/>
    <w:rsid w:val="00097432"/>
    <w:rsid w:val="00097574"/>
    <w:rsid w:val="000A0389"/>
    <w:rsid w:val="000A03C9"/>
    <w:rsid w:val="000A0917"/>
    <w:rsid w:val="000A2558"/>
    <w:rsid w:val="000A2CB9"/>
    <w:rsid w:val="000A50B4"/>
    <w:rsid w:val="000A5CDD"/>
    <w:rsid w:val="000A7F95"/>
    <w:rsid w:val="000B04E0"/>
    <w:rsid w:val="000B067F"/>
    <w:rsid w:val="000B152D"/>
    <w:rsid w:val="000B2C9A"/>
    <w:rsid w:val="000B307F"/>
    <w:rsid w:val="000B522E"/>
    <w:rsid w:val="000B5BEB"/>
    <w:rsid w:val="000B689C"/>
    <w:rsid w:val="000B6B76"/>
    <w:rsid w:val="000B6F04"/>
    <w:rsid w:val="000B77B9"/>
    <w:rsid w:val="000C03E0"/>
    <w:rsid w:val="000C0E9B"/>
    <w:rsid w:val="000C4150"/>
    <w:rsid w:val="000C6ECA"/>
    <w:rsid w:val="000C787B"/>
    <w:rsid w:val="000D0FC2"/>
    <w:rsid w:val="000D3823"/>
    <w:rsid w:val="000D511D"/>
    <w:rsid w:val="000D6FCD"/>
    <w:rsid w:val="000D74AD"/>
    <w:rsid w:val="000E03F2"/>
    <w:rsid w:val="000E14AE"/>
    <w:rsid w:val="000E217B"/>
    <w:rsid w:val="000E2FE6"/>
    <w:rsid w:val="000E3224"/>
    <w:rsid w:val="000E3CAF"/>
    <w:rsid w:val="000E3F1A"/>
    <w:rsid w:val="000E4A2F"/>
    <w:rsid w:val="000E50E5"/>
    <w:rsid w:val="000E5738"/>
    <w:rsid w:val="000E7D88"/>
    <w:rsid w:val="000F0155"/>
    <w:rsid w:val="000F1AE9"/>
    <w:rsid w:val="000F1BCF"/>
    <w:rsid w:val="000F279E"/>
    <w:rsid w:val="000F3838"/>
    <w:rsid w:val="000F48CC"/>
    <w:rsid w:val="000F655E"/>
    <w:rsid w:val="000F70D2"/>
    <w:rsid w:val="00100209"/>
    <w:rsid w:val="001010E8"/>
    <w:rsid w:val="00103087"/>
    <w:rsid w:val="001038FA"/>
    <w:rsid w:val="0010427E"/>
    <w:rsid w:val="0010482F"/>
    <w:rsid w:val="00104C8B"/>
    <w:rsid w:val="00105CD5"/>
    <w:rsid w:val="001061CF"/>
    <w:rsid w:val="0011017E"/>
    <w:rsid w:val="0011021B"/>
    <w:rsid w:val="0011051B"/>
    <w:rsid w:val="001116E8"/>
    <w:rsid w:val="00112980"/>
    <w:rsid w:val="0011390C"/>
    <w:rsid w:val="001175A7"/>
    <w:rsid w:val="00117D33"/>
    <w:rsid w:val="00120212"/>
    <w:rsid w:val="001211A7"/>
    <w:rsid w:val="00121FEE"/>
    <w:rsid w:val="001221A7"/>
    <w:rsid w:val="00123FA6"/>
    <w:rsid w:val="0012419E"/>
    <w:rsid w:val="001251B4"/>
    <w:rsid w:val="00125311"/>
    <w:rsid w:val="001254F3"/>
    <w:rsid w:val="00126B7D"/>
    <w:rsid w:val="00126FA5"/>
    <w:rsid w:val="0012754C"/>
    <w:rsid w:val="0012795D"/>
    <w:rsid w:val="00127F36"/>
    <w:rsid w:val="00130220"/>
    <w:rsid w:val="001335A4"/>
    <w:rsid w:val="00134759"/>
    <w:rsid w:val="00134EB5"/>
    <w:rsid w:val="00136965"/>
    <w:rsid w:val="00140D52"/>
    <w:rsid w:val="0014158C"/>
    <w:rsid w:val="00141599"/>
    <w:rsid w:val="00141ED1"/>
    <w:rsid w:val="00142F34"/>
    <w:rsid w:val="00142FA1"/>
    <w:rsid w:val="00143FF5"/>
    <w:rsid w:val="00144F0D"/>
    <w:rsid w:val="001455D8"/>
    <w:rsid w:val="00146B0F"/>
    <w:rsid w:val="0014718D"/>
    <w:rsid w:val="00150BEE"/>
    <w:rsid w:val="00150F18"/>
    <w:rsid w:val="00151887"/>
    <w:rsid w:val="001528D1"/>
    <w:rsid w:val="001531C8"/>
    <w:rsid w:val="00153B9E"/>
    <w:rsid w:val="00153DE5"/>
    <w:rsid w:val="00153E66"/>
    <w:rsid w:val="0015799E"/>
    <w:rsid w:val="00160D64"/>
    <w:rsid w:val="00163920"/>
    <w:rsid w:val="00165629"/>
    <w:rsid w:val="00165918"/>
    <w:rsid w:val="00165C25"/>
    <w:rsid w:val="00166482"/>
    <w:rsid w:val="001664FC"/>
    <w:rsid w:val="00167393"/>
    <w:rsid w:val="00170C59"/>
    <w:rsid w:val="00170CEB"/>
    <w:rsid w:val="00171E49"/>
    <w:rsid w:val="00173781"/>
    <w:rsid w:val="00176316"/>
    <w:rsid w:val="001767F1"/>
    <w:rsid w:val="00177499"/>
    <w:rsid w:val="001825DC"/>
    <w:rsid w:val="0018286E"/>
    <w:rsid w:val="00183F06"/>
    <w:rsid w:val="00183F93"/>
    <w:rsid w:val="00184BB5"/>
    <w:rsid w:val="00184CDC"/>
    <w:rsid w:val="0018521F"/>
    <w:rsid w:val="001856EA"/>
    <w:rsid w:val="00185EE1"/>
    <w:rsid w:val="00185F34"/>
    <w:rsid w:val="00186D20"/>
    <w:rsid w:val="00187893"/>
    <w:rsid w:val="00191B64"/>
    <w:rsid w:val="0019377B"/>
    <w:rsid w:val="00195730"/>
    <w:rsid w:val="00195906"/>
    <w:rsid w:val="00195E16"/>
    <w:rsid w:val="00197BFF"/>
    <w:rsid w:val="001A014E"/>
    <w:rsid w:val="001A0515"/>
    <w:rsid w:val="001A258F"/>
    <w:rsid w:val="001A492D"/>
    <w:rsid w:val="001A71E8"/>
    <w:rsid w:val="001A72EE"/>
    <w:rsid w:val="001B088A"/>
    <w:rsid w:val="001B2DAA"/>
    <w:rsid w:val="001B3A02"/>
    <w:rsid w:val="001B3BFB"/>
    <w:rsid w:val="001B4EC6"/>
    <w:rsid w:val="001B5040"/>
    <w:rsid w:val="001B5B2E"/>
    <w:rsid w:val="001B5E08"/>
    <w:rsid w:val="001B6C31"/>
    <w:rsid w:val="001B7F0B"/>
    <w:rsid w:val="001C01B4"/>
    <w:rsid w:val="001C0CB9"/>
    <w:rsid w:val="001C0E26"/>
    <w:rsid w:val="001C28AD"/>
    <w:rsid w:val="001C2DDC"/>
    <w:rsid w:val="001C3829"/>
    <w:rsid w:val="001C46C8"/>
    <w:rsid w:val="001C4B77"/>
    <w:rsid w:val="001C6D7B"/>
    <w:rsid w:val="001D0978"/>
    <w:rsid w:val="001D1B06"/>
    <w:rsid w:val="001D2FC9"/>
    <w:rsid w:val="001D390E"/>
    <w:rsid w:val="001D4005"/>
    <w:rsid w:val="001D41EF"/>
    <w:rsid w:val="001D5637"/>
    <w:rsid w:val="001D5733"/>
    <w:rsid w:val="001D7C7C"/>
    <w:rsid w:val="001E1FB2"/>
    <w:rsid w:val="001E3365"/>
    <w:rsid w:val="001E3B9B"/>
    <w:rsid w:val="001E76BB"/>
    <w:rsid w:val="001E7DA9"/>
    <w:rsid w:val="001F204E"/>
    <w:rsid w:val="001F25D5"/>
    <w:rsid w:val="001F42EF"/>
    <w:rsid w:val="001F4818"/>
    <w:rsid w:val="001F5A26"/>
    <w:rsid w:val="001F5CDE"/>
    <w:rsid w:val="001F64D4"/>
    <w:rsid w:val="001F6772"/>
    <w:rsid w:val="001F68CA"/>
    <w:rsid w:val="001F7855"/>
    <w:rsid w:val="001F7EBD"/>
    <w:rsid w:val="001F7F5F"/>
    <w:rsid w:val="002000F9"/>
    <w:rsid w:val="00203359"/>
    <w:rsid w:val="002036B5"/>
    <w:rsid w:val="00203DEF"/>
    <w:rsid w:val="002059D2"/>
    <w:rsid w:val="0020627D"/>
    <w:rsid w:val="002115BF"/>
    <w:rsid w:val="00211AC8"/>
    <w:rsid w:val="00212720"/>
    <w:rsid w:val="00212869"/>
    <w:rsid w:val="002128C2"/>
    <w:rsid w:val="002163C7"/>
    <w:rsid w:val="002178F4"/>
    <w:rsid w:val="00217D59"/>
    <w:rsid w:val="002215E7"/>
    <w:rsid w:val="00221E12"/>
    <w:rsid w:val="00222561"/>
    <w:rsid w:val="002230A2"/>
    <w:rsid w:val="002236B8"/>
    <w:rsid w:val="00223D38"/>
    <w:rsid w:val="00223D78"/>
    <w:rsid w:val="002248E4"/>
    <w:rsid w:val="00227010"/>
    <w:rsid w:val="002276B9"/>
    <w:rsid w:val="00227D74"/>
    <w:rsid w:val="00230C53"/>
    <w:rsid w:val="00231975"/>
    <w:rsid w:val="00232FC4"/>
    <w:rsid w:val="00233491"/>
    <w:rsid w:val="0023558F"/>
    <w:rsid w:val="00236CE9"/>
    <w:rsid w:val="002374EA"/>
    <w:rsid w:val="00237AD9"/>
    <w:rsid w:val="0024208A"/>
    <w:rsid w:val="002420EC"/>
    <w:rsid w:val="0024246C"/>
    <w:rsid w:val="00242576"/>
    <w:rsid w:val="00242B84"/>
    <w:rsid w:val="00242EDC"/>
    <w:rsid w:val="0024343C"/>
    <w:rsid w:val="00243B96"/>
    <w:rsid w:val="0024574F"/>
    <w:rsid w:val="00245B51"/>
    <w:rsid w:val="002474FB"/>
    <w:rsid w:val="002477A3"/>
    <w:rsid w:val="00250112"/>
    <w:rsid w:val="002501EB"/>
    <w:rsid w:val="00251966"/>
    <w:rsid w:val="002535AF"/>
    <w:rsid w:val="0025516D"/>
    <w:rsid w:val="00256AB6"/>
    <w:rsid w:val="00257073"/>
    <w:rsid w:val="00260345"/>
    <w:rsid w:val="00260701"/>
    <w:rsid w:val="002615A3"/>
    <w:rsid w:val="002618D7"/>
    <w:rsid w:val="00261FFB"/>
    <w:rsid w:val="00262CD0"/>
    <w:rsid w:val="00263942"/>
    <w:rsid w:val="0026476B"/>
    <w:rsid w:val="00264CFA"/>
    <w:rsid w:val="00265491"/>
    <w:rsid w:val="002657BE"/>
    <w:rsid w:val="0026598A"/>
    <w:rsid w:val="00266E83"/>
    <w:rsid w:val="00266F01"/>
    <w:rsid w:val="002679B1"/>
    <w:rsid w:val="00267CA6"/>
    <w:rsid w:val="00271F24"/>
    <w:rsid w:val="00272023"/>
    <w:rsid w:val="00272A98"/>
    <w:rsid w:val="00275443"/>
    <w:rsid w:val="0027655B"/>
    <w:rsid w:val="00276B40"/>
    <w:rsid w:val="00277BA8"/>
    <w:rsid w:val="00277BC4"/>
    <w:rsid w:val="00280F65"/>
    <w:rsid w:val="00281E4C"/>
    <w:rsid w:val="00282FC0"/>
    <w:rsid w:val="00284553"/>
    <w:rsid w:val="002851A4"/>
    <w:rsid w:val="00285655"/>
    <w:rsid w:val="0028760C"/>
    <w:rsid w:val="0028773E"/>
    <w:rsid w:val="002956DA"/>
    <w:rsid w:val="002957F4"/>
    <w:rsid w:val="002959F0"/>
    <w:rsid w:val="00296A16"/>
    <w:rsid w:val="00296BB9"/>
    <w:rsid w:val="002A05C9"/>
    <w:rsid w:val="002A0F92"/>
    <w:rsid w:val="002A34FB"/>
    <w:rsid w:val="002A37A8"/>
    <w:rsid w:val="002A3DC1"/>
    <w:rsid w:val="002A4B61"/>
    <w:rsid w:val="002A4CA7"/>
    <w:rsid w:val="002A61B3"/>
    <w:rsid w:val="002B087C"/>
    <w:rsid w:val="002B2A43"/>
    <w:rsid w:val="002B2A65"/>
    <w:rsid w:val="002B3E2B"/>
    <w:rsid w:val="002B4AA0"/>
    <w:rsid w:val="002B64D6"/>
    <w:rsid w:val="002B67F3"/>
    <w:rsid w:val="002B73DB"/>
    <w:rsid w:val="002B7AE6"/>
    <w:rsid w:val="002C2EED"/>
    <w:rsid w:val="002C35A4"/>
    <w:rsid w:val="002C3B56"/>
    <w:rsid w:val="002C3E11"/>
    <w:rsid w:val="002C4141"/>
    <w:rsid w:val="002C4DE2"/>
    <w:rsid w:val="002C4DEA"/>
    <w:rsid w:val="002C5243"/>
    <w:rsid w:val="002C571A"/>
    <w:rsid w:val="002C66C6"/>
    <w:rsid w:val="002D1C02"/>
    <w:rsid w:val="002D3FBC"/>
    <w:rsid w:val="002D413D"/>
    <w:rsid w:val="002E0A7D"/>
    <w:rsid w:val="002E6B9A"/>
    <w:rsid w:val="002E7E1C"/>
    <w:rsid w:val="002F2290"/>
    <w:rsid w:val="002F3EBD"/>
    <w:rsid w:val="002F47D7"/>
    <w:rsid w:val="002F495E"/>
    <w:rsid w:val="002F64C2"/>
    <w:rsid w:val="002F73D6"/>
    <w:rsid w:val="003005B6"/>
    <w:rsid w:val="00301EA5"/>
    <w:rsid w:val="0030291D"/>
    <w:rsid w:val="0030315C"/>
    <w:rsid w:val="00303882"/>
    <w:rsid w:val="003056CA"/>
    <w:rsid w:val="00305C5F"/>
    <w:rsid w:val="0031079D"/>
    <w:rsid w:val="00312A2B"/>
    <w:rsid w:val="00312C79"/>
    <w:rsid w:val="00313C72"/>
    <w:rsid w:val="00314354"/>
    <w:rsid w:val="0031462E"/>
    <w:rsid w:val="00314A03"/>
    <w:rsid w:val="003155FC"/>
    <w:rsid w:val="00316003"/>
    <w:rsid w:val="00317A3B"/>
    <w:rsid w:val="00317E65"/>
    <w:rsid w:val="00320187"/>
    <w:rsid w:val="00320E2A"/>
    <w:rsid w:val="00320FCE"/>
    <w:rsid w:val="00321AB5"/>
    <w:rsid w:val="0032259E"/>
    <w:rsid w:val="00323EE9"/>
    <w:rsid w:val="003240C7"/>
    <w:rsid w:val="00325C6B"/>
    <w:rsid w:val="003323FE"/>
    <w:rsid w:val="00333706"/>
    <w:rsid w:val="00334B61"/>
    <w:rsid w:val="003352DC"/>
    <w:rsid w:val="0033698A"/>
    <w:rsid w:val="00336B68"/>
    <w:rsid w:val="00337FC6"/>
    <w:rsid w:val="00340237"/>
    <w:rsid w:val="00340DED"/>
    <w:rsid w:val="00340FC1"/>
    <w:rsid w:val="003410E2"/>
    <w:rsid w:val="00341310"/>
    <w:rsid w:val="003421A8"/>
    <w:rsid w:val="00342326"/>
    <w:rsid w:val="00344274"/>
    <w:rsid w:val="00344275"/>
    <w:rsid w:val="003452D0"/>
    <w:rsid w:val="00347045"/>
    <w:rsid w:val="00347E13"/>
    <w:rsid w:val="00351153"/>
    <w:rsid w:val="00351B48"/>
    <w:rsid w:val="0035428D"/>
    <w:rsid w:val="00355113"/>
    <w:rsid w:val="003556CF"/>
    <w:rsid w:val="00356DBC"/>
    <w:rsid w:val="003574D1"/>
    <w:rsid w:val="003603EC"/>
    <w:rsid w:val="0036155B"/>
    <w:rsid w:val="0036170A"/>
    <w:rsid w:val="00361A9F"/>
    <w:rsid w:val="003629D3"/>
    <w:rsid w:val="00363733"/>
    <w:rsid w:val="00364DF0"/>
    <w:rsid w:val="00366D06"/>
    <w:rsid w:val="00367DC7"/>
    <w:rsid w:val="00374977"/>
    <w:rsid w:val="00374D1E"/>
    <w:rsid w:val="00375A5F"/>
    <w:rsid w:val="00375F30"/>
    <w:rsid w:val="00376ABA"/>
    <w:rsid w:val="00377A12"/>
    <w:rsid w:val="00380D57"/>
    <w:rsid w:val="00380F57"/>
    <w:rsid w:val="00382B55"/>
    <w:rsid w:val="00383264"/>
    <w:rsid w:val="00383A5F"/>
    <w:rsid w:val="0038440C"/>
    <w:rsid w:val="00384F00"/>
    <w:rsid w:val="003851AF"/>
    <w:rsid w:val="003853AC"/>
    <w:rsid w:val="0038667B"/>
    <w:rsid w:val="00386FAF"/>
    <w:rsid w:val="00390D5A"/>
    <w:rsid w:val="00390E76"/>
    <w:rsid w:val="00391041"/>
    <w:rsid w:val="003915A8"/>
    <w:rsid w:val="003922F6"/>
    <w:rsid w:val="00392A4B"/>
    <w:rsid w:val="00392FCC"/>
    <w:rsid w:val="0039450E"/>
    <w:rsid w:val="0039532F"/>
    <w:rsid w:val="003956D4"/>
    <w:rsid w:val="003A02F0"/>
    <w:rsid w:val="003A1069"/>
    <w:rsid w:val="003A186B"/>
    <w:rsid w:val="003A2BFB"/>
    <w:rsid w:val="003A3503"/>
    <w:rsid w:val="003A3FC9"/>
    <w:rsid w:val="003A480E"/>
    <w:rsid w:val="003A7014"/>
    <w:rsid w:val="003A7645"/>
    <w:rsid w:val="003B17B9"/>
    <w:rsid w:val="003B1BFF"/>
    <w:rsid w:val="003B2AD7"/>
    <w:rsid w:val="003B315D"/>
    <w:rsid w:val="003B4CBD"/>
    <w:rsid w:val="003B5386"/>
    <w:rsid w:val="003B6344"/>
    <w:rsid w:val="003B648A"/>
    <w:rsid w:val="003B64B5"/>
    <w:rsid w:val="003C01CF"/>
    <w:rsid w:val="003C1399"/>
    <w:rsid w:val="003C2914"/>
    <w:rsid w:val="003C2D24"/>
    <w:rsid w:val="003C3288"/>
    <w:rsid w:val="003C5530"/>
    <w:rsid w:val="003C575C"/>
    <w:rsid w:val="003C5D62"/>
    <w:rsid w:val="003C6132"/>
    <w:rsid w:val="003D0573"/>
    <w:rsid w:val="003D07CD"/>
    <w:rsid w:val="003D1351"/>
    <w:rsid w:val="003D1FFB"/>
    <w:rsid w:val="003D2F6B"/>
    <w:rsid w:val="003D5B2E"/>
    <w:rsid w:val="003D5F2A"/>
    <w:rsid w:val="003D7576"/>
    <w:rsid w:val="003E24D4"/>
    <w:rsid w:val="003E481F"/>
    <w:rsid w:val="003E5955"/>
    <w:rsid w:val="003E6E25"/>
    <w:rsid w:val="003F109F"/>
    <w:rsid w:val="003F21C5"/>
    <w:rsid w:val="003F4108"/>
    <w:rsid w:val="003F4B13"/>
    <w:rsid w:val="003F7B25"/>
    <w:rsid w:val="003F7C84"/>
    <w:rsid w:val="003F7DC1"/>
    <w:rsid w:val="0040179D"/>
    <w:rsid w:val="004020FD"/>
    <w:rsid w:val="0040274B"/>
    <w:rsid w:val="00402EA8"/>
    <w:rsid w:val="004067E5"/>
    <w:rsid w:val="004075BA"/>
    <w:rsid w:val="004108B4"/>
    <w:rsid w:val="004134B7"/>
    <w:rsid w:val="00413829"/>
    <w:rsid w:val="00414229"/>
    <w:rsid w:val="00417D1F"/>
    <w:rsid w:val="00421602"/>
    <w:rsid w:val="00426F06"/>
    <w:rsid w:val="00427C72"/>
    <w:rsid w:val="00427DF6"/>
    <w:rsid w:val="0043153A"/>
    <w:rsid w:val="00431671"/>
    <w:rsid w:val="004328FD"/>
    <w:rsid w:val="00432FEE"/>
    <w:rsid w:val="004339FD"/>
    <w:rsid w:val="00433D06"/>
    <w:rsid w:val="004342D1"/>
    <w:rsid w:val="0043454C"/>
    <w:rsid w:val="0043582F"/>
    <w:rsid w:val="00435DB1"/>
    <w:rsid w:val="0043617E"/>
    <w:rsid w:val="004375C6"/>
    <w:rsid w:val="00441DC2"/>
    <w:rsid w:val="0044239D"/>
    <w:rsid w:val="004443F3"/>
    <w:rsid w:val="004462CF"/>
    <w:rsid w:val="00446901"/>
    <w:rsid w:val="0044702E"/>
    <w:rsid w:val="0045009B"/>
    <w:rsid w:val="0045080B"/>
    <w:rsid w:val="00450E75"/>
    <w:rsid w:val="00452C85"/>
    <w:rsid w:val="004534D0"/>
    <w:rsid w:val="0045495E"/>
    <w:rsid w:val="00455C39"/>
    <w:rsid w:val="00455D1E"/>
    <w:rsid w:val="0045614C"/>
    <w:rsid w:val="00456212"/>
    <w:rsid w:val="00456716"/>
    <w:rsid w:val="00456E6C"/>
    <w:rsid w:val="00460AFA"/>
    <w:rsid w:val="00460FAD"/>
    <w:rsid w:val="00461056"/>
    <w:rsid w:val="00461A13"/>
    <w:rsid w:val="0046211D"/>
    <w:rsid w:val="00462A02"/>
    <w:rsid w:val="00463684"/>
    <w:rsid w:val="00464243"/>
    <w:rsid w:val="00464D29"/>
    <w:rsid w:val="004653D1"/>
    <w:rsid w:val="004662B5"/>
    <w:rsid w:val="004668AA"/>
    <w:rsid w:val="00466A11"/>
    <w:rsid w:val="004672C7"/>
    <w:rsid w:val="00471E47"/>
    <w:rsid w:val="004721B0"/>
    <w:rsid w:val="00476160"/>
    <w:rsid w:val="0047724E"/>
    <w:rsid w:val="004777C2"/>
    <w:rsid w:val="00480400"/>
    <w:rsid w:val="004806AA"/>
    <w:rsid w:val="00480FF0"/>
    <w:rsid w:val="00482923"/>
    <w:rsid w:val="0048329F"/>
    <w:rsid w:val="00483C00"/>
    <w:rsid w:val="004840E7"/>
    <w:rsid w:val="004860E7"/>
    <w:rsid w:val="00487D50"/>
    <w:rsid w:val="00491286"/>
    <w:rsid w:val="00491D46"/>
    <w:rsid w:val="00492C83"/>
    <w:rsid w:val="00493D2B"/>
    <w:rsid w:val="00497202"/>
    <w:rsid w:val="00497549"/>
    <w:rsid w:val="004976A9"/>
    <w:rsid w:val="00497DE5"/>
    <w:rsid w:val="004A0169"/>
    <w:rsid w:val="004A1070"/>
    <w:rsid w:val="004A1F8B"/>
    <w:rsid w:val="004A3CE4"/>
    <w:rsid w:val="004A4D71"/>
    <w:rsid w:val="004A56FC"/>
    <w:rsid w:val="004A5AE8"/>
    <w:rsid w:val="004A6B67"/>
    <w:rsid w:val="004A6DFE"/>
    <w:rsid w:val="004B1AFF"/>
    <w:rsid w:val="004B1B72"/>
    <w:rsid w:val="004B3C2D"/>
    <w:rsid w:val="004B453A"/>
    <w:rsid w:val="004B53F4"/>
    <w:rsid w:val="004B59D9"/>
    <w:rsid w:val="004B5A27"/>
    <w:rsid w:val="004B5B91"/>
    <w:rsid w:val="004B6953"/>
    <w:rsid w:val="004C0218"/>
    <w:rsid w:val="004C099E"/>
    <w:rsid w:val="004C0BDE"/>
    <w:rsid w:val="004C293C"/>
    <w:rsid w:val="004C2E4B"/>
    <w:rsid w:val="004C34FA"/>
    <w:rsid w:val="004C3F4B"/>
    <w:rsid w:val="004C407A"/>
    <w:rsid w:val="004C40FE"/>
    <w:rsid w:val="004C56F8"/>
    <w:rsid w:val="004C5852"/>
    <w:rsid w:val="004C5CD8"/>
    <w:rsid w:val="004C5F46"/>
    <w:rsid w:val="004C7835"/>
    <w:rsid w:val="004D058C"/>
    <w:rsid w:val="004D22E2"/>
    <w:rsid w:val="004D3B45"/>
    <w:rsid w:val="004D3E4B"/>
    <w:rsid w:val="004D4BB4"/>
    <w:rsid w:val="004D5E99"/>
    <w:rsid w:val="004E0C62"/>
    <w:rsid w:val="004E1806"/>
    <w:rsid w:val="004E1ADB"/>
    <w:rsid w:val="004E3479"/>
    <w:rsid w:val="004E557A"/>
    <w:rsid w:val="004E5714"/>
    <w:rsid w:val="004F0005"/>
    <w:rsid w:val="004F10AE"/>
    <w:rsid w:val="004F1683"/>
    <w:rsid w:val="004F1E7E"/>
    <w:rsid w:val="004F39D5"/>
    <w:rsid w:val="004F58C2"/>
    <w:rsid w:val="00500791"/>
    <w:rsid w:val="00500AC0"/>
    <w:rsid w:val="0050145D"/>
    <w:rsid w:val="00501745"/>
    <w:rsid w:val="0050199A"/>
    <w:rsid w:val="00501A7E"/>
    <w:rsid w:val="00502AB6"/>
    <w:rsid w:val="00502B64"/>
    <w:rsid w:val="00502C9B"/>
    <w:rsid w:val="00503CE3"/>
    <w:rsid w:val="00503E19"/>
    <w:rsid w:val="00506833"/>
    <w:rsid w:val="00507203"/>
    <w:rsid w:val="00507BF8"/>
    <w:rsid w:val="00510850"/>
    <w:rsid w:val="00510B21"/>
    <w:rsid w:val="00511E7E"/>
    <w:rsid w:val="00511E87"/>
    <w:rsid w:val="00512B22"/>
    <w:rsid w:val="00513F7C"/>
    <w:rsid w:val="00516BB5"/>
    <w:rsid w:val="00517912"/>
    <w:rsid w:val="00520026"/>
    <w:rsid w:val="0052077A"/>
    <w:rsid w:val="00520AC5"/>
    <w:rsid w:val="00521171"/>
    <w:rsid w:val="00523F85"/>
    <w:rsid w:val="0052579E"/>
    <w:rsid w:val="00526493"/>
    <w:rsid w:val="00527E5F"/>
    <w:rsid w:val="00530A9C"/>
    <w:rsid w:val="00531ECD"/>
    <w:rsid w:val="00532521"/>
    <w:rsid w:val="00533064"/>
    <w:rsid w:val="00534CC5"/>
    <w:rsid w:val="00534EF9"/>
    <w:rsid w:val="005374DE"/>
    <w:rsid w:val="005376B2"/>
    <w:rsid w:val="00541383"/>
    <w:rsid w:val="00544A2B"/>
    <w:rsid w:val="00546BFC"/>
    <w:rsid w:val="00550A62"/>
    <w:rsid w:val="00551566"/>
    <w:rsid w:val="00553A2F"/>
    <w:rsid w:val="00554512"/>
    <w:rsid w:val="00554E7E"/>
    <w:rsid w:val="00556207"/>
    <w:rsid w:val="005569BA"/>
    <w:rsid w:val="00557D3E"/>
    <w:rsid w:val="00557E29"/>
    <w:rsid w:val="00561BEA"/>
    <w:rsid w:val="005623B2"/>
    <w:rsid w:val="00562525"/>
    <w:rsid w:val="00563090"/>
    <w:rsid w:val="00565C58"/>
    <w:rsid w:val="005704BA"/>
    <w:rsid w:val="005706D6"/>
    <w:rsid w:val="005717ED"/>
    <w:rsid w:val="00571ED9"/>
    <w:rsid w:val="005724C7"/>
    <w:rsid w:val="00572F1F"/>
    <w:rsid w:val="00573739"/>
    <w:rsid w:val="00573B2C"/>
    <w:rsid w:val="00573F66"/>
    <w:rsid w:val="0057547A"/>
    <w:rsid w:val="00575B40"/>
    <w:rsid w:val="00575D77"/>
    <w:rsid w:val="005773AE"/>
    <w:rsid w:val="005803E5"/>
    <w:rsid w:val="00580798"/>
    <w:rsid w:val="00581B51"/>
    <w:rsid w:val="0058290D"/>
    <w:rsid w:val="005848E4"/>
    <w:rsid w:val="00586A5C"/>
    <w:rsid w:val="005871DE"/>
    <w:rsid w:val="005914CD"/>
    <w:rsid w:val="00591E8A"/>
    <w:rsid w:val="00592A4C"/>
    <w:rsid w:val="00593031"/>
    <w:rsid w:val="00593E8C"/>
    <w:rsid w:val="00594880"/>
    <w:rsid w:val="00595851"/>
    <w:rsid w:val="00595AA6"/>
    <w:rsid w:val="00595B35"/>
    <w:rsid w:val="005A06EE"/>
    <w:rsid w:val="005A0D5F"/>
    <w:rsid w:val="005A13D2"/>
    <w:rsid w:val="005A2AC1"/>
    <w:rsid w:val="005A6618"/>
    <w:rsid w:val="005A6C47"/>
    <w:rsid w:val="005A7750"/>
    <w:rsid w:val="005B1722"/>
    <w:rsid w:val="005B19FF"/>
    <w:rsid w:val="005B1ED3"/>
    <w:rsid w:val="005B2455"/>
    <w:rsid w:val="005B2CB2"/>
    <w:rsid w:val="005B2DC2"/>
    <w:rsid w:val="005B3B51"/>
    <w:rsid w:val="005B5C4B"/>
    <w:rsid w:val="005B6087"/>
    <w:rsid w:val="005B66D3"/>
    <w:rsid w:val="005B7FF2"/>
    <w:rsid w:val="005C05EA"/>
    <w:rsid w:val="005C07A6"/>
    <w:rsid w:val="005C0DA6"/>
    <w:rsid w:val="005C0E16"/>
    <w:rsid w:val="005C1C76"/>
    <w:rsid w:val="005C2568"/>
    <w:rsid w:val="005C5106"/>
    <w:rsid w:val="005C62D6"/>
    <w:rsid w:val="005C62DB"/>
    <w:rsid w:val="005C6D53"/>
    <w:rsid w:val="005C7055"/>
    <w:rsid w:val="005D0CBF"/>
    <w:rsid w:val="005D123D"/>
    <w:rsid w:val="005D2486"/>
    <w:rsid w:val="005D3244"/>
    <w:rsid w:val="005D59E6"/>
    <w:rsid w:val="005D617F"/>
    <w:rsid w:val="005D6FB7"/>
    <w:rsid w:val="005D7ADC"/>
    <w:rsid w:val="005E03FE"/>
    <w:rsid w:val="005E1692"/>
    <w:rsid w:val="005E356C"/>
    <w:rsid w:val="005E4836"/>
    <w:rsid w:val="005E66AB"/>
    <w:rsid w:val="005F0B25"/>
    <w:rsid w:val="005F1299"/>
    <w:rsid w:val="005F292C"/>
    <w:rsid w:val="005F5BEE"/>
    <w:rsid w:val="005F5C46"/>
    <w:rsid w:val="005F5F53"/>
    <w:rsid w:val="005F6D62"/>
    <w:rsid w:val="005F6E64"/>
    <w:rsid w:val="00600332"/>
    <w:rsid w:val="00601000"/>
    <w:rsid w:val="0060188E"/>
    <w:rsid w:val="00601B1D"/>
    <w:rsid w:val="00601CA1"/>
    <w:rsid w:val="006029F0"/>
    <w:rsid w:val="00604689"/>
    <w:rsid w:val="00607176"/>
    <w:rsid w:val="00607FE6"/>
    <w:rsid w:val="006110DE"/>
    <w:rsid w:val="006117EE"/>
    <w:rsid w:val="00611A20"/>
    <w:rsid w:val="0061252F"/>
    <w:rsid w:val="0061280C"/>
    <w:rsid w:val="00612832"/>
    <w:rsid w:val="00612F56"/>
    <w:rsid w:val="006131F9"/>
    <w:rsid w:val="0061412C"/>
    <w:rsid w:val="00614329"/>
    <w:rsid w:val="00615EDC"/>
    <w:rsid w:val="006177ED"/>
    <w:rsid w:val="00621AFE"/>
    <w:rsid w:val="006220C0"/>
    <w:rsid w:val="0062241B"/>
    <w:rsid w:val="006239D0"/>
    <w:rsid w:val="00624894"/>
    <w:rsid w:val="00626F71"/>
    <w:rsid w:val="00630B6A"/>
    <w:rsid w:val="00635732"/>
    <w:rsid w:val="00636B4A"/>
    <w:rsid w:val="00636C84"/>
    <w:rsid w:val="00637ECB"/>
    <w:rsid w:val="0064066E"/>
    <w:rsid w:val="0064251B"/>
    <w:rsid w:val="00642E58"/>
    <w:rsid w:val="0064375F"/>
    <w:rsid w:val="0064726D"/>
    <w:rsid w:val="00647D67"/>
    <w:rsid w:val="00650752"/>
    <w:rsid w:val="0065235B"/>
    <w:rsid w:val="00652617"/>
    <w:rsid w:val="00653C1E"/>
    <w:rsid w:val="00653FDC"/>
    <w:rsid w:val="00656717"/>
    <w:rsid w:val="006567C8"/>
    <w:rsid w:val="00656B4F"/>
    <w:rsid w:val="00656EC1"/>
    <w:rsid w:val="0066301C"/>
    <w:rsid w:val="00663CCE"/>
    <w:rsid w:val="00664D33"/>
    <w:rsid w:val="0066571D"/>
    <w:rsid w:val="00666A36"/>
    <w:rsid w:val="00666AA7"/>
    <w:rsid w:val="00667E15"/>
    <w:rsid w:val="00671A8F"/>
    <w:rsid w:val="00672B9D"/>
    <w:rsid w:val="006730F5"/>
    <w:rsid w:val="006743EC"/>
    <w:rsid w:val="006753D5"/>
    <w:rsid w:val="006761B6"/>
    <w:rsid w:val="00676D09"/>
    <w:rsid w:val="00677D95"/>
    <w:rsid w:val="006805A4"/>
    <w:rsid w:val="00680978"/>
    <w:rsid w:val="0068109A"/>
    <w:rsid w:val="00681B65"/>
    <w:rsid w:val="0068511D"/>
    <w:rsid w:val="006857D5"/>
    <w:rsid w:val="00687ACB"/>
    <w:rsid w:val="00687CD1"/>
    <w:rsid w:val="00690468"/>
    <w:rsid w:val="0069243F"/>
    <w:rsid w:val="00693414"/>
    <w:rsid w:val="00693A69"/>
    <w:rsid w:val="006944D2"/>
    <w:rsid w:val="00694D68"/>
    <w:rsid w:val="00694DF9"/>
    <w:rsid w:val="00695ABF"/>
    <w:rsid w:val="00696D86"/>
    <w:rsid w:val="006978F7"/>
    <w:rsid w:val="006A1605"/>
    <w:rsid w:val="006A1B3D"/>
    <w:rsid w:val="006A1FB6"/>
    <w:rsid w:val="006A23CF"/>
    <w:rsid w:val="006A2C04"/>
    <w:rsid w:val="006A3C83"/>
    <w:rsid w:val="006A42FD"/>
    <w:rsid w:val="006A5594"/>
    <w:rsid w:val="006A6994"/>
    <w:rsid w:val="006A7F9B"/>
    <w:rsid w:val="006B153F"/>
    <w:rsid w:val="006B46B9"/>
    <w:rsid w:val="006B4AC2"/>
    <w:rsid w:val="006B5724"/>
    <w:rsid w:val="006B61EB"/>
    <w:rsid w:val="006C0784"/>
    <w:rsid w:val="006C0ECB"/>
    <w:rsid w:val="006C1816"/>
    <w:rsid w:val="006C3279"/>
    <w:rsid w:val="006C3768"/>
    <w:rsid w:val="006C4164"/>
    <w:rsid w:val="006C5EB6"/>
    <w:rsid w:val="006C6ED0"/>
    <w:rsid w:val="006D1EF1"/>
    <w:rsid w:val="006D2A50"/>
    <w:rsid w:val="006D3035"/>
    <w:rsid w:val="006D309E"/>
    <w:rsid w:val="006D33DD"/>
    <w:rsid w:val="006D4858"/>
    <w:rsid w:val="006D62E3"/>
    <w:rsid w:val="006E0AFF"/>
    <w:rsid w:val="006E243B"/>
    <w:rsid w:val="006E254E"/>
    <w:rsid w:val="006E3C1D"/>
    <w:rsid w:val="006E5903"/>
    <w:rsid w:val="006F30CB"/>
    <w:rsid w:val="006F3C2D"/>
    <w:rsid w:val="006F4209"/>
    <w:rsid w:val="006F5AAF"/>
    <w:rsid w:val="006F693E"/>
    <w:rsid w:val="00701085"/>
    <w:rsid w:val="007012B1"/>
    <w:rsid w:val="007019FE"/>
    <w:rsid w:val="0070307C"/>
    <w:rsid w:val="0070611A"/>
    <w:rsid w:val="00706505"/>
    <w:rsid w:val="00706788"/>
    <w:rsid w:val="0070686C"/>
    <w:rsid w:val="00706DF9"/>
    <w:rsid w:val="0070724E"/>
    <w:rsid w:val="007100F4"/>
    <w:rsid w:val="0071210B"/>
    <w:rsid w:val="00712388"/>
    <w:rsid w:val="00713D74"/>
    <w:rsid w:val="007149AA"/>
    <w:rsid w:val="00714D80"/>
    <w:rsid w:val="0071709D"/>
    <w:rsid w:val="00717CC3"/>
    <w:rsid w:val="00720585"/>
    <w:rsid w:val="007206C0"/>
    <w:rsid w:val="00721DE0"/>
    <w:rsid w:val="00722CEE"/>
    <w:rsid w:val="00724958"/>
    <w:rsid w:val="007256C3"/>
    <w:rsid w:val="00725F36"/>
    <w:rsid w:val="00726176"/>
    <w:rsid w:val="0072772F"/>
    <w:rsid w:val="00731113"/>
    <w:rsid w:val="00731648"/>
    <w:rsid w:val="00731791"/>
    <w:rsid w:val="00731A65"/>
    <w:rsid w:val="0073201C"/>
    <w:rsid w:val="007327C5"/>
    <w:rsid w:val="00733314"/>
    <w:rsid w:val="00733672"/>
    <w:rsid w:val="00734678"/>
    <w:rsid w:val="00735744"/>
    <w:rsid w:val="00737A91"/>
    <w:rsid w:val="00737B1A"/>
    <w:rsid w:val="007417B2"/>
    <w:rsid w:val="007433FB"/>
    <w:rsid w:val="007446D8"/>
    <w:rsid w:val="00745686"/>
    <w:rsid w:val="007458EF"/>
    <w:rsid w:val="00747165"/>
    <w:rsid w:val="007471A0"/>
    <w:rsid w:val="00750644"/>
    <w:rsid w:val="00752603"/>
    <w:rsid w:val="007530D6"/>
    <w:rsid w:val="00755571"/>
    <w:rsid w:val="00755C0F"/>
    <w:rsid w:val="00755C15"/>
    <w:rsid w:val="00756565"/>
    <w:rsid w:val="007569FF"/>
    <w:rsid w:val="00756B72"/>
    <w:rsid w:val="00761A6D"/>
    <w:rsid w:val="00762AFF"/>
    <w:rsid w:val="007639C0"/>
    <w:rsid w:val="007642E1"/>
    <w:rsid w:val="00764FD7"/>
    <w:rsid w:val="00766ADD"/>
    <w:rsid w:val="00766D87"/>
    <w:rsid w:val="0076710E"/>
    <w:rsid w:val="0077187A"/>
    <w:rsid w:val="00771A4B"/>
    <w:rsid w:val="007723A1"/>
    <w:rsid w:val="00773298"/>
    <w:rsid w:val="00775720"/>
    <w:rsid w:val="00776056"/>
    <w:rsid w:val="00780FE2"/>
    <w:rsid w:val="0078138F"/>
    <w:rsid w:val="0078193F"/>
    <w:rsid w:val="00782C54"/>
    <w:rsid w:val="00783288"/>
    <w:rsid w:val="00783FE9"/>
    <w:rsid w:val="007845A9"/>
    <w:rsid w:val="007912C6"/>
    <w:rsid w:val="00791DF4"/>
    <w:rsid w:val="0079286A"/>
    <w:rsid w:val="007935B7"/>
    <w:rsid w:val="00793BDE"/>
    <w:rsid w:val="007950FF"/>
    <w:rsid w:val="00797198"/>
    <w:rsid w:val="007A0C3D"/>
    <w:rsid w:val="007A0FF4"/>
    <w:rsid w:val="007A5824"/>
    <w:rsid w:val="007A5BB7"/>
    <w:rsid w:val="007A6742"/>
    <w:rsid w:val="007B1C97"/>
    <w:rsid w:val="007B29C6"/>
    <w:rsid w:val="007B2C05"/>
    <w:rsid w:val="007B310F"/>
    <w:rsid w:val="007B39D7"/>
    <w:rsid w:val="007B3BEE"/>
    <w:rsid w:val="007B554B"/>
    <w:rsid w:val="007B5A6F"/>
    <w:rsid w:val="007B6B3F"/>
    <w:rsid w:val="007B6EE3"/>
    <w:rsid w:val="007B701C"/>
    <w:rsid w:val="007C2A22"/>
    <w:rsid w:val="007C3AD5"/>
    <w:rsid w:val="007C54FE"/>
    <w:rsid w:val="007C5A03"/>
    <w:rsid w:val="007C5D72"/>
    <w:rsid w:val="007C733E"/>
    <w:rsid w:val="007D0A2C"/>
    <w:rsid w:val="007D0CAC"/>
    <w:rsid w:val="007D2AC2"/>
    <w:rsid w:val="007D2BF2"/>
    <w:rsid w:val="007D3BE5"/>
    <w:rsid w:val="007D3E27"/>
    <w:rsid w:val="007D4F6B"/>
    <w:rsid w:val="007D65B6"/>
    <w:rsid w:val="007E03A1"/>
    <w:rsid w:val="007E10EA"/>
    <w:rsid w:val="007E13F8"/>
    <w:rsid w:val="007E3236"/>
    <w:rsid w:val="007E395C"/>
    <w:rsid w:val="007E3E02"/>
    <w:rsid w:val="007E4E9A"/>
    <w:rsid w:val="007E56FB"/>
    <w:rsid w:val="007E661B"/>
    <w:rsid w:val="007E717B"/>
    <w:rsid w:val="007F1A67"/>
    <w:rsid w:val="007F211F"/>
    <w:rsid w:val="007F31CA"/>
    <w:rsid w:val="007F32C1"/>
    <w:rsid w:val="007F5151"/>
    <w:rsid w:val="007F658E"/>
    <w:rsid w:val="007F7BB3"/>
    <w:rsid w:val="008023B1"/>
    <w:rsid w:val="00802929"/>
    <w:rsid w:val="00802EB6"/>
    <w:rsid w:val="00803C84"/>
    <w:rsid w:val="00803FBC"/>
    <w:rsid w:val="008050E2"/>
    <w:rsid w:val="008062C0"/>
    <w:rsid w:val="008106D3"/>
    <w:rsid w:val="00810BEB"/>
    <w:rsid w:val="008125CB"/>
    <w:rsid w:val="008129BF"/>
    <w:rsid w:val="008173F4"/>
    <w:rsid w:val="0082147A"/>
    <w:rsid w:val="008220D9"/>
    <w:rsid w:val="008239AB"/>
    <w:rsid w:val="00823E96"/>
    <w:rsid w:val="0082559F"/>
    <w:rsid w:val="008258B1"/>
    <w:rsid w:val="00826E4B"/>
    <w:rsid w:val="00826E8A"/>
    <w:rsid w:val="008275DD"/>
    <w:rsid w:val="00830F38"/>
    <w:rsid w:val="00832475"/>
    <w:rsid w:val="00832596"/>
    <w:rsid w:val="008327EF"/>
    <w:rsid w:val="00832905"/>
    <w:rsid w:val="008338F6"/>
    <w:rsid w:val="008340BF"/>
    <w:rsid w:val="0083517C"/>
    <w:rsid w:val="0083523A"/>
    <w:rsid w:val="008352C8"/>
    <w:rsid w:val="0083582D"/>
    <w:rsid w:val="00835CA1"/>
    <w:rsid w:val="0083711D"/>
    <w:rsid w:val="00837745"/>
    <w:rsid w:val="00837C15"/>
    <w:rsid w:val="00837E41"/>
    <w:rsid w:val="00837FE1"/>
    <w:rsid w:val="00840043"/>
    <w:rsid w:val="00840E14"/>
    <w:rsid w:val="008411AC"/>
    <w:rsid w:val="008416B4"/>
    <w:rsid w:val="008425AA"/>
    <w:rsid w:val="00842F52"/>
    <w:rsid w:val="0084352B"/>
    <w:rsid w:val="00844D01"/>
    <w:rsid w:val="0084578F"/>
    <w:rsid w:val="00846EDA"/>
    <w:rsid w:val="00846FFB"/>
    <w:rsid w:val="00847E4A"/>
    <w:rsid w:val="00852CAA"/>
    <w:rsid w:val="00857572"/>
    <w:rsid w:val="00857667"/>
    <w:rsid w:val="0085767A"/>
    <w:rsid w:val="008600EB"/>
    <w:rsid w:val="008605E0"/>
    <w:rsid w:val="00860CC7"/>
    <w:rsid w:val="00860D11"/>
    <w:rsid w:val="008625B3"/>
    <w:rsid w:val="0086331E"/>
    <w:rsid w:val="00863388"/>
    <w:rsid w:val="00863C0E"/>
    <w:rsid w:val="008640C9"/>
    <w:rsid w:val="0086492B"/>
    <w:rsid w:val="00866524"/>
    <w:rsid w:val="00867099"/>
    <w:rsid w:val="00867179"/>
    <w:rsid w:val="0086767E"/>
    <w:rsid w:val="0087147C"/>
    <w:rsid w:val="00871900"/>
    <w:rsid w:val="00871E32"/>
    <w:rsid w:val="00872604"/>
    <w:rsid w:val="00873007"/>
    <w:rsid w:val="008733AF"/>
    <w:rsid w:val="008744D9"/>
    <w:rsid w:val="00874B71"/>
    <w:rsid w:val="00875082"/>
    <w:rsid w:val="008754D3"/>
    <w:rsid w:val="00875690"/>
    <w:rsid w:val="00876D31"/>
    <w:rsid w:val="00877AC5"/>
    <w:rsid w:val="00880F95"/>
    <w:rsid w:val="00881E1C"/>
    <w:rsid w:val="00881F86"/>
    <w:rsid w:val="0088202A"/>
    <w:rsid w:val="00883193"/>
    <w:rsid w:val="00884116"/>
    <w:rsid w:val="008843FB"/>
    <w:rsid w:val="0088464A"/>
    <w:rsid w:val="00885335"/>
    <w:rsid w:val="00886C89"/>
    <w:rsid w:val="00886D0D"/>
    <w:rsid w:val="008902D8"/>
    <w:rsid w:val="00891828"/>
    <w:rsid w:val="00891870"/>
    <w:rsid w:val="00891AE5"/>
    <w:rsid w:val="00893945"/>
    <w:rsid w:val="008943CE"/>
    <w:rsid w:val="008950AF"/>
    <w:rsid w:val="008963A6"/>
    <w:rsid w:val="00896A0F"/>
    <w:rsid w:val="00896C6A"/>
    <w:rsid w:val="008A0AE7"/>
    <w:rsid w:val="008A0C87"/>
    <w:rsid w:val="008A17D3"/>
    <w:rsid w:val="008A2249"/>
    <w:rsid w:val="008A47C4"/>
    <w:rsid w:val="008A49AD"/>
    <w:rsid w:val="008A4C38"/>
    <w:rsid w:val="008A56AE"/>
    <w:rsid w:val="008A571B"/>
    <w:rsid w:val="008A63BE"/>
    <w:rsid w:val="008A69D0"/>
    <w:rsid w:val="008A7797"/>
    <w:rsid w:val="008B0056"/>
    <w:rsid w:val="008B325C"/>
    <w:rsid w:val="008B332D"/>
    <w:rsid w:val="008B3395"/>
    <w:rsid w:val="008B361D"/>
    <w:rsid w:val="008B3D9B"/>
    <w:rsid w:val="008B752E"/>
    <w:rsid w:val="008C23AC"/>
    <w:rsid w:val="008C2AA2"/>
    <w:rsid w:val="008C381C"/>
    <w:rsid w:val="008C3D13"/>
    <w:rsid w:val="008C489A"/>
    <w:rsid w:val="008C6317"/>
    <w:rsid w:val="008C7AF1"/>
    <w:rsid w:val="008C7E6A"/>
    <w:rsid w:val="008D06B5"/>
    <w:rsid w:val="008D0A94"/>
    <w:rsid w:val="008D0D63"/>
    <w:rsid w:val="008D252B"/>
    <w:rsid w:val="008D36CC"/>
    <w:rsid w:val="008D421C"/>
    <w:rsid w:val="008D4296"/>
    <w:rsid w:val="008D6ADA"/>
    <w:rsid w:val="008E0468"/>
    <w:rsid w:val="008E0EE1"/>
    <w:rsid w:val="008E33A6"/>
    <w:rsid w:val="008E39C4"/>
    <w:rsid w:val="008E3BB5"/>
    <w:rsid w:val="008E4A5F"/>
    <w:rsid w:val="008E50E6"/>
    <w:rsid w:val="008E521E"/>
    <w:rsid w:val="008E5977"/>
    <w:rsid w:val="008E6CDF"/>
    <w:rsid w:val="008E774C"/>
    <w:rsid w:val="008E788F"/>
    <w:rsid w:val="008E7C93"/>
    <w:rsid w:val="008F0A8D"/>
    <w:rsid w:val="008F0F99"/>
    <w:rsid w:val="008F1B7C"/>
    <w:rsid w:val="008F257A"/>
    <w:rsid w:val="008F2B95"/>
    <w:rsid w:val="008F364D"/>
    <w:rsid w:val="008F3E75"/>
    <w:rsid w:val="008F409F"/>
    <w:rsid w:val="008F588C"/>
    <w:rsid w:val="008F6D08"/>
    <w:rsid w:val="008F6F43"/>
    <w:rsid w:val="008F7707"/>
    <w:rsid w:val="009000A5"/>
    <w:rsid w:val="00902A3E"/>
    <w:rsid w:val="00902BFF"/>
    <w:rsid w:val="009035C7"/>
    <w:rsid w:val="00904BF5"/>
    <w:rsid w:val="009140F2"/>
    <w:rsid w:val="00914A80"/>
    <w:rsid w:val="00914F94"/>
    <w:rsid w:val="0091776F"/>
    <w:rsid w:val="009205F2"/>
    <w:rsid w:val="0092067D"/>
    <w:rsid w:val="00921037"/>
    <w:rsid w:val="00922A3C"/>
    <w:rsid w:val="00922F24"/>
    <w:rsid w:val="00924618"/>
    <w:rsid w:val="00926781"/>
    <w:rsid w:val="009301E0"/>
    <w:rsid w:val="00930EE3"/>
    <w:rsid w:val="00931AF0"/>
    <w:rsid w:val="00933827"/>
    <w:rsid w:val="00933D74"/>
    <w:rsid w:val="00934FE9"/>
    <w:rsid w:val="00936013"/>
    <w:rsid w:val="00937017"/>
    <w:rsid w:val="009376E5"/>
    <w:rsid w:val="0094098C"/>
    <w:rsid w:val="009415C1"/>
    <w:rsid w:val="00941B0A"/>
    <w:rsid w:val="00942262"/>
    <w:rsid w:val="00942F9D"/>
    <w:rsid w:val="00943F05"/>
    <w:rsid w:val="009460E9"/>
    <w:rsid w:val="009463CF"/>
    <w:rsid w:val="0094642A"/>
    <w:rsid w:val="00946505"/>
    <w:rsid w:val="00946DCE"/>
    <w:rsid w:val="00947A29"/>
    <w:rsid w:val="00950031"/>
    <w:rsid w:val="00951300"/>
    <w:rsid w:val="00951CFA"/>
    <w:rsid w:val="00953A10"/>
    <w:rsid w:val="00953EBB"/>
    <w:rsid w:val="009604F5"/>
    <w:rsid w:val="00962677"/>
    <w:rsid w:val="00962926"/>
    <w:rsid w:val="0096423F"/>
    <w:rsid w:val="00964D72"/>
    <w:rsid w:val="00966037"/>
    <w:rsid w:val="00967797"/>
    <w:rsid w:val="0097063F"/>
    <w:rsid w:val="0097092C"/>
    <w:rsid w:val="009728D0"/>
    <w:rsid w:val="00972B43"/>
    <w:rsid w:val="00973129"/>
    <w:rsid w:val="00974173"/>
    <w:rsid w:val="00975471"/>
    <w:rsid w:val="00975EEA"/>
    <w:rsid w:val="0098011A"/>
    <w:rsid w:val="00981467"/>
    <w:rsid w:val="00982BF1"/>
    <w:rsid w:val="00983BFD"/>
    <w:rsid w:val="00983F21"/>
    <w:rsid w:val="009861B2"/>
    <w:rsid w:val="00986259"/>
    <w:rsid w:val="00987B32"/>
    <w:rsid w:val="009922DA"/>
    <w:rsid w:val="00992E76"/>
    <w:rsid w:val="0099339B"/>
    <w:rsid w:val="00994F2E"/>
    <w:rsid w:val="00995F6F"/>
    <w:rsid w:val="00996BF6"/>
    <w:rsid w:val="00997281"/>
    <w:rsid w:val="00997A36"/>
    <w:rsid w:val="009A2D54"/>
    <w:rsid w:val="009A319C"/>
    <w:rsid w:val="009A5B8C"/>
    <w:rsid w:val="009A63F8"/>
    <w:rsid w:val="009A7669"/>
    <w:rsid w:val="009A7FC0"/>
    <w:rsid w:val="009B0261"/>
    <w:rsid w:val="009B0369"/>
    <w:rsid w:val="009B10C5"/>
    <w:rsid w:val="009B1DA6"/>
    <w:rsid w:val="009B1DCC"/>
    <w:rsid w:val="009B290E"/>
    <w:rsid w:val="009B384A"/>
    <w:rsid w:val="009B6A8A"/>
    <w:rsid w:val="009C1065"/>
    <w:rsid w:val="009C1705"/>
    <w:rsid w:val="009C1F42"/>
    <w:rsid w:val="009C3D16"/>
    <w:rsid w:val="009C6D15"/>
    <w:rsid w:val="009D27F6"/>
    <w:rsid w:val="009D2B87"/>
    <w:rsid w:val="009D336F"/>
    <w:rsid w:val="009D3387"/>
    <w:rsid w:val="009D5818"/>
    <w:rsid w:val="009D65BD"/>
    <w:rsid w:val="009D7D14"/>
    <w:rsid w:val="009E0293"/>
    <w:rsid w:val="009E1203"/>
    <w:rsid w:val="009E1AE1"/>
    <w:rsid w:val="009E22C3"/>
    <w:rsid w:val="009E28FF"/>
    <w:rsid w:val="009E2D09"/>
    <w:rsid w:val="009E49BF"/>
    <w:rsid w:val="009E5DBA"/>
    <w:rsid w:val="009E7382"/>
    <w:rsid w:val="009E7BDF"/>
    <w:rsid w:val="009F0823"/>
    <w:rsid w:val="009F1304"/>
    <w:rsid w:val="009F2473"/>
    <w:rsid w:val="009F39B2"/>
    <w:rsid w:val="009F5BCC"/>
    <w:rsid w:val="009F62F5"/>
    <w:rsid w:val="009F68C9"/>
    <w:rsid w:val="009F6C97"/>
    <w:rsid w:val="009F7015"/>
    <w:rsid w:val="00A02678"/>
    <w:rsid w:val="00A02F43"/>
    <w:rsid w:val="00A03914"/>
    <w:rsid w:val="00A0419B"/>
    <w:rsid w:val="00A07462"/>
    <w:rsid w:val="00A12199"/>
    <w:rsid w:val="00A12E24"/>
    <w:rsid w:val="00A13813"/>
    <w:rsid w:val="00A13BD9"/>
    <w:rsid w:val="00A14305"/>
    <w:rsid w:val="00A15576"/>
    <w:rsid w:val="00A1572B"/>
    <w:rsid w:val="00A16F80"/>
    <w:rsid w:val="00A227EE"/>
    <w:rsid w:val="00A22ACC"/>
    <w:rsid w:val="00A24C71"/>
    <w:rsid w:val="00A270AC"/>
    <w:rsid w:val="00A27B3F"/>
    <w:rsid w:val="00A27E61"/>
    <w:rsid w:val="00A31939"/>
    <w:rsid w:val="00A31992"/>
    <w:rsid w:val="00A324EC"/>
    <w:rsid w:val="00A3343A"/>
    <w:rsid w:val="00A33EA3"/>
    <w:rsid w:val="00A35049"/>
    <w:rsid w:val="00A36246"/>
    <w:rsid w:val="00A36E7F"/>
    <w:rsid w:val="00A40FBF"/>
    <w:rsid w:val="00A425C2"/>
    <w:rsid w:val="00A43841"/>
    <w:rsid w:val="00A4400A"/>
    <w:rsid w:val="00A46210"/>
    <w:rsid w:val="00A5016D"/>
    <w:rsid w:val="00A50A52"/>
    <w:rsid w:val="00A5125E"/>
    <w:rsid w:val="00A5171B"/>
    <w:rsid w:val="00A52067"/>
    <w:rsid w:val="00A53EAD"/>
    <w:rsid w:val="00A5430A"/>
    <w:rsid w:val="00A54B90"/>
    <w:rsid w:val="00A54EF4"/>
    <w:rsid w:val="00A558CF"/>
    <w:rsid w:val="00A5627C"/>
    <w:rsid w:val="00A61615"/>
    <w:rsid w:val="00A61A3F"/>
    <w:rsid w:val="00A62633"/>
    <w:rsid w:val="00A62D44"/>
    <w:rsid w:val="00A639F3"/>
    <w:rsid w:val="00A64472"/>
    <w:rsid w:val="00A64A64"/>
    <w:rsid w:val="00A65D99"/>
    <w:rsid w:val="00A65DB1"/>
    <w:rsid w:val="00A673A2"/>
    <w:rsid w:val="00A7056D"/>
    <w:rsid w:val="00A70FB0"/>
    <w:rsid w:val="00A71B77"/>
    <w:rsid w:val="00A71F6E"/>
    <w:rsid w:val="00A72126"/>
    <w:rsid w:val="00A726B3"/>
    <w:rsid w:val="00A7325A"/>
    <w:rsid w:val="00A74FAB"/>
    <w:rsid w:val="00A76F54"/>
    <w:rsid w:val="00A77072"/>
    <w:rsid w:val="00A80D4E"/>
    <w:rsid w:val="00A82170"/>
    <w:rsid w:val="00A82735"/>
    <w:rsid w:val="00A842FA"/>
    <w:rsid w:val="00A8431D"/>
    <w:rsid w:val="00A86F04"/>
    <w:rsid w:val="00A90E69"/>
    <w:rsid w:val="00A91164"/>
    <w:rsid w:val="00A91438"/>
    <w:rsid w:val="00A91587"/>
    <w:rsid w:val="00A91E86"/>
    <w:rsid w:val="00A92474"/>
    <w:rsid w:val="00A92768"/>
    <w:rsid w:val="00A94CBE"/>
    <w:rsid w:val="00A9595C"/>
    <w:rsid w:val="00A9783A"/>
    <w:rsid w:val="00AA35F0"/>
    <w:rsid w:val="00AA3A96"/>
    <w:rsid w:val="00AA3CBA"/>
    <w:rsid w:val="00AA4C53"/>
    <w:rsid w:val="00AA4EE6"/>
    <w:rsid w:val="00AA622D"/>
    <w:rsid w:val="00AB01B7"/>
    <w:rsid w:val="00AB15D0"/>
    <w:rsid w:val="00AB2367"/>
    <w:rsid w:val="00AB3233"/>
    <w:rsid w:val="00AB3BF9"/>
    <w:rsid w:val="00AB4024"/>
    <w:rsid w:val="00AB5138"/>
    <w:rsid w:val="00AB5D5F"/>
    <w:rsid w:val="00AC0BB1"/>
    <w:rsid w:val="00AC12A1"/>
    <w:rsid w:val="00AC1900"/>
    <w:rsid w:val="00AC28BC"/>
    <w:rsid w:val="00AC5060"/>
    <w:rsid w:val="00AC6F63"/>
    <w:rsid w:val="00AC7049"/>
    <w:rsid w:val="00AC778D"/>
    <w:rsid w:val="00AD0CF5"/>
    <w:rsid w:val="00AD1200"/>
    <w:rsid w:val="00AD1321"/>
    <w:rsid w:val="00AD2842"/>
    <w:rsid w:val="00AD2ADA"/>
    <w:rsid w:val="00AD2F7F"/>
    <w:rsid w:val="00AD5B28"/>
    <w:rsid w:val="00AE05CF"/>
    <w:rsid w:val="00AE09A9"/>
    <w:rsid w:val="00AE1AF1"/>
    <w:rsid w:val="00AE2A79"/>
    <w:rsid w:val="00AE3320"/>
    <w:rsid w:val="00AE365C"/>
    <w:rsid w:val="00AE41C8"/>
    <w:rsid w:val="00AE625F"/>
    <w:rsid w:val="00AE7446"/>
    <w:rsid w:val="00AF05A1"/>
    <w:rsid w:val="00AF0BE4"/>
    <w:rsid w:val="00AF0C0A"/>
    <w:rsid w:val="00AF1F4A"/>
    <w:rsid w:val="00AF4245"/>
    <w:rsid w:val="00B002BB"/>
    <w:rsid w:val="00B0300F"/>
    <w:rsid w:val="00B03338"/>
    <w:rsid w:val="00B041C5"/>
    <w:rsid w:val="00B05F1F"/>
    <w:rsid w:val="00B06860"/>
    <w:rsid w:val="00B07606"/>
    <w:rsid w:val="00B07B00"/>
    <w:rsid w:val="00B101B4"/>
    <w:rsid w:val="00B10E25"/>
    <w:rsid w:val="00B1106F"/>
    <w:rsid w:val="00B11F42"/>
    <w:rsid w:val="00B208D9"/>
    <w:rsid w:val="00B23437"/>
    <w:rsid w:val="00B25BB2"/>
    <w:rsid w:val="00B26DB5"/>
    <w:rsid w:val="00B273CD"/>
    <w:rsid w:val="00B273F5"/>
    <w:rsid w:val="00B301FA"/>
    <w:rsid w:val="00B30AB8"/>
    <w:rsid w:val="00B30CEE"/>
    <w:rsid w:val="00B3189A"/>
    <w:rsid w:val="00B32D04"/>
    <w:rsid w:val="00B32F24"/>
    <w:rsid w:val="00B350A6"/>
    <w:rsid w:val="00B35C45"/>
    <w:rsid w:val="00B36C66"/>
    <w:rsid w:val="00B377C3"/>
    <w:rsid w:val="00B42421"/>
    <w:rsid w:val="00B45796"/>
    <w:rsid w:val="00B467DC"/>
    <w:rsid w:val="00B468C8"/>
    <w:rsid w:val="00B47FD1"/>
    <w:rsid w:val="00B5029E"/>
    <w:rsid w:val="00B5284B"/>
    <w:rsid w:val="00B53877"/>
    <w:rsid w:val="00B56D13"/>
    <w:rsid w:val="00B57F69"/>
    <w:rsid w:val="00B604C4"/>
    <w:rsid w:val="00B60B2F"/>
    <w:rsid w:val="00B6148C"/>
    <w:rsid w:val="00B61824"/>
    <w:rsid w:val="00B63934"/>
    <w:rsid w:val="00B63CF1"/>
    <w:rsid w:val="00B6400E"/>
    <w:rsid w:val="00B645ED"/>
    <w:rsid w:val="00B662D9"/>
    <w:rsid w:val="00B6680B"/>
    <w:rsid w:val="00B67D78"/>
    <w:rsid w:val="00B72A34"/>
    <w:rsid w:val="00B72CE6"/>
    <w:rsid w:val="00B72D1E"/>
    <w:rsid w:val="00B732B1"/>
    <w:rsid w:val="00B73BFD"/>
    <w:rsid w:val="00B754C9"/>
    <w:rsid w:val="00B758DE"/>
    <w:rsid w:val="00B766C0"/>
    <w:rsid w:val="00B81277"/>
    <w:rsid w:val="00B81B29"/>
    <w:rsid w:val="00B81E4E"/>
    <w:rsid w:val="00B81E78"/>
    <w:rsid w:val="00B81EB7"/>
    <w:rsid w:val="00B826D6"/>
    <w:rsid w:val="00B82E37"/>
    <w:rsid w:val="00B831F9"/>
    <w:rsid w:val="00B83D57"/>
    <w:rsid w:val="00B85CA0"/>
    <w:rsid w:val="00B86CF9"/>
    <w:rsid w:val="00B8737C"/>
    <w:rsid w:val="00B90450"/>
    <w:rsid w:val="00B9282E"/>
    <w:rsid w:val="00B92A3A"/>
    <w:rsid w:val="00B92CBF"/>
    <w:rsid w:val="00B9401C"/>
    <w:rsid w:val="00B9483A"/>
    <w:rsid w:val="00B97185"/>
    <w:rsid w:val="00B97A22"/>
    <w:rsid w:val="00BA00BD"/>
    <w:rsid w:val="00BA0E71"/>
    <w:rsid w:val="00BA1FCC"/>
    <w:rsid w:val="00BA2595"/>
    <w:rsid w:val="00BA26F1"/>
    <w:rsid w:val="00BA2B6D"/>
    <w:rsid w:val="00BA3F6F"/>
    <w:rsid w:val="00BA497D"/>
    <w:rsid w:val="00BA4D9F"/>
    <w:rsid w:val="00BA71DD"/>
    <w:rsid w:val="00BA76FF"/>
    <w:rsid w:val="00BA7E0C"/>
    <w:rsid w:val="00BB1903"/>
    <w:rsid w:val="00BB5139"/>
    <w:rsid w:val="00BB520E"/>
    <w:rsid w:val="00BB564F"/>
    <w:rsid w:val="00BB5F2E"/>
    <w:rsid w:val="00BB7465"/>
    <w:rsid w:val="00BB7A86"/>
    <w:rsid w:val="00BC0713"/>
    <w:rsid w:val="00BC0F50"/>
    <w:rsid w:val="00BC2EBA"/>
    <w:rsid w:val="00BC5865"/>
    <w:rsid w:val="00BC596B"/>
    <w:rsid w:val="00BC7263"/>
    <w:rsid w:val="00BD02ED"/>
    <w:rsid w:val="00BD0331"/>
    <w:rsid w:val="00BD0C6A"/>
    <w:rsid w:val="00BD112E"/>
    <w:rsid w:val="00BD11AC"/>
    <w:rsid w:val="00BD164C"/>
    <w:rsid w:val="00BD3359"/>
    <w:rsid w:val="00BD5028"/>
    <w:rsid w:val="00BD5C71"/>
    <w:rsid w:val="00BD702A"/>
    <w:rsid w:val="00BD789F"/>
    <w:rsid w:val="00BE13A8"/>
    <w:rsid w:val="00BE145B"/>
    <w:rsid w:val="00BE2848"/>
    <w:rsid w:val="00BE2899"/>
    <w:rsid w:val="00BE3F7C"/>
    <w:rsid w:val="00BE45AF"/>
    <w:rsid w:val="00BE4D38"/>
    <w:rsid w:val="00BE6D35"/>
    <w:rsid w:val="00BE75D7"/>
    <w:rsid w:val="00BF1E6D"/>
    <w:rsid w:val="00BF32FD"/>
    <w:rsid w:val="00BF3593"/>
    <w:rsid w:val="00BF3FC2"/>
    <w:rsid w:val="00BF5C00"/>
    <w:rsid w:val="00BF72B9"/>
    <w:rsid w:val="00C000EE"/>
    <w:rsid w:val="00C004DF"/>
    <w:rsid w:val="00C0080E"/>
    <w:rsid w:val="00C00B29"/>
    <w:rsid w:val="00C00BA5"/>
    <w:rsid w:val="00C01735"/>
    <w:rsid w:val="00C0280C"/>
    <w:rsid w:val="00C04669"/>
    <w:rsid w:val="00C049E4"/>
    <w:rsid w:val="00C04F3A"/>
    <w:rsid w:val="00C051E4"/>
    <w:rsid w:val="00C05E67"/>
    <w:rsid w:val="00C10193"/>
    <w:rsid w:val="00C104C1"/>
    <w:rsid w:val="00C1099B"/>
    <w:rsid w:val="00C10AEB"/>
    <w:rsid w:val="00C10D0B"/>
    <w:rsid w:val="00C118A8"/>
    <w:rsid w:val="00C11C9B"/>
    <w:rsid w:val="00C13A85"/>
    <w:rsid w:val="00C1555A"/>
    <w:rsid w:val="00C161B6"/>
    <w:rsid w:val="00C173DA"/>
    <w:rsid w:val="00C201DB"/>
    <w:rsid w:val="00C21AB9"/>
    <w:rsid w:val="00C22319"/>
    <w:rsid w:val="00C225E2"/>
    <w:rsid w:val="00C22AE8"/>
    <w:rsid w:val="00C23094"/>
    <w:rsid w:val="00C230FC"/>
    <w:rsid w:val="00C26836"/>
    <w:rsid w:val="00C27D17"/>
    <w:rsid w:val="00C30619"/>
    <w:rsid w:val="00C316D0"/>
    <w:rsid w:val="00C32760"/>
    <w:rsid w:val="00C32C36"/>
    <w:rsid w:val="00C33490"/>
    <w:rsid w:val="00C34065"/>
    <w:rsid w:val="00C3507B"/>
    <w:rsid w:val="00C37411"/>
    <w:rsid w:val="00C37683"/>
    <w:rsid w:val="00C40031"/>
    <w:rsid w:val="00C415E4"/>
    <w:rsid w:val="00C41DD4"/>
    <w:rsid w:val="00C426FE"/>
    <w:rsid w:val="00C427D1"/>
    <w:rsid w:val="00C43342"/>
    <w:rsid w:val="00C438D4"/>
    <w:rsid w:val="00C44B4D"/>
    <w:rsid w:val="00C46074"/>
    <w:rsid w:val="00C511B8"/>
    <w:rsid w:val="00C51B44"/>
    <w:rsid w:val="00C52489"/>
    <w:rsid w:val="00C52490"/>
    <w:rsid w:val="00C52594"/>
    <w:rsid w:val="00C528BD"/>
    <w:rsid w:val="00C52DF1"/>
    <w:rsid w:val="00C54B0E"/>
    <w:rsid w:val="00C55510"/>
    <w:rsid w:val="00C55DD1"/>
    <w:rsid w:val="00C5667C"/>
    <w:rsid w:val="00C610D6"/>
    <w:rsid w:val="00C612F9"/>
    <w:rsid w:val="00C61D8F"/>
    <w:rsid w:val="00C629C8"/>
    <w:rsid w:val="00C6476B"/>
    <w:rsid w:val="00C64F0A"/>
    <w:rsid w:val="00C65A32"/>
    <w:rsid w:val="00C666EE"/>
    <w:rsid w:val="00C66EC3"/>
    <w:rsid w:val="00C66F96"/>
    <w:rsid w:val="00C67858"/>
    <w:rsid w:val="00C678BD"/>
    <w:rsid w:val="00C67915"/>
    <w:rsid w:val="00C75616"/>
    <w:rsid w:val="00C756BE"/>
    <w:rsid w:val="00C76390"/>
    <w:rsid w:val="00C77145"/>
    <w:rsid w:val="00C77281"/>
    <w:rsid w:val="00C77A80"/>
    <w:rsid w:val="00C77B18"/>
    <w:rsid w:val="00C80426"/>
    <w:rsid w:val="00C812B1"/>
    <w:rsid w:val="00C817F5"/>
    <w:rsid w:val="00C85616"/>
    <w:rsid w:val="00C86742"/>
    <w:rsid w:val="00C86A28"/>
    <w:rsid w:val="00C90449"/>
    <w:rsid w:val="00C91405"/>
    <w:rsid w:val="00C934CB"/>
    <w:rsid w:val="00C93EB9"/>
    <w:rsid w:val="00CA0690"/>
    <w:rsid w:val="00CA24A3"/>
    <w:rsid w:val="00CA2863"/>
    <w:rsid w:val="00CA3E0E"/>
    <w:rsid w:val="00CA44B3"/>
    <w:rsid w:val="00CA515E"/>
    <w:rsid w:val="00CA5460"/>
    <w:rsid w:val="00CA6828"/>
    <w:rsid w:val="00CA6D7E"/>
    <w:rsid w:val="00CA7D07"/>
    <w:rsid w:val="00CB09C5"/>
    <w:rsid w:val="00CB0BA6"/>
    <w:rsid w:val="00CB0F1C"/>
    <w:rsid w:val="00CB1127"/>
    <w:rsid w:val="00CB11E3"/>
    <w:rsid w:val="00CB3DB1"/>
    <w:rsid w:val="00CB48DB"/>
    <w:rsid w:val="00CB4ABF"/>
    <w:rsid w:val="00CB72B7"/>
    <w:rsid w:val="00CB7AB7"/>
    <w:rsid w:val="00CC0487"/>
    <w:rsid w:val="00CC0B6D"/>
    <w:rsid w:val="00CC14A0"/>
    <w:rsid w:val="00CC28B8"/>
    <w:rsid w:val="00CC317B"/>
    <w:rsid w:val="00CC3B3B"/>
    <w:rsid w:val="00CC40B8"/>
    <w:rsid w:val="00CC4730"/>
    <w:rsid w:val="00CC49A7"/>
    <w:rsid w:val="00CC70F9"/>
    <w:rsid w:val="00CC7C74"/>
    <w:rsid w:val="00CD01C2"/>
    <w:rsid w:val="00CD0541"/>
    <w:rsid w:val="00CD1C73"/>
    <w:rsid w:val="00CD1D48"/>
    <w:rsid w:val="00CD1ED1"/>
    <w:rsid w:val="00CD254F"/>
    <w:rsid w:val="00CD26D3"/>
    <w:rsid w:val="00CD3B7B"/>
    <w:rsid w:val="00CD601B"/>
    <w:rsid w:val="00CD7D33"/>
    <w:rsid w:val="00CE23BD"/>
    <w:rsid w:val="00CE2BB3"/>
    <w:rsid w:val="00CE34B8"/>
    <w:rsid w:val="00CE5B1A"/>
    <w:rsid w:val="00CE6490"/>
    <w:rsid w:val="00CE6BB7"/>
    <w:rsid w:val="00CE73C4"/>
    <w:rsid w:val="00CF0DD8"/>
    <w:rsid w:val="00CF3563"/>
    <w:rsid w:val="00CF5D5B"/>
    <w:rsid w:val="00CF6112"/>
    <w:rsid w:val="00CF62E9"/>
    <w:rsid w:val="00CF69CD"/>
    <w:rsid w:val="00CF69E0"/>
    <w:rsid w:val="00CF7140"/>
    <w:rsid w:val="00CF741B"/>
    <w:rsid w:val="00CF7ECC"/>
    <w:rsid w:val="00D00293"/>
    <w:rsid w:val="00D00CF6"/>
    <w:rsid w:val="00D04DC9"/>
    <w:rsid w:val="00D04F7D"/>
    <w:rsid w:val="00D0570A"/>
    <w:rsid w:val="00D05FB9"/>
    <w:rsid w:val="00D07A83"/>
    <w:rsid w:val="00D1234B"/>
    <w:rsid w:val="00D13E75"/>
    <w:rsid w:val="00D14387"/>
    <w:rsid w:val="00D15F99"/>
    <w:rsid w:val="00D23B09"/>
    <w:rsid w:val="00D25D8F"/>
    <w:rsid w:val="00D26721"/>
    <w:rsid w:val="00D27AA7"/>
    <w:rsid w:val="00D33A21"/>
    <w:rsid w:val="00D345B0"/>
    <w:rsid w:val="00D358FD"/>
    <w:rsid w:val="00D377DF"/>
    <w:rsid w:val="00D37E34"/>
    <w:rsid w:val="00D41E31"/>
    <w:rsid w:val="00D43A0D"/>
    <w:rsid w:val="00D43A1C"/>
    <w:rsid w:val="00D43D05"/>
    <w:rsid w:val="00D44402"/>
    <w:rsid w:val="00D45BF9"/>
    <w:rsid w:val="00D46619"/>
    <w:rsid w:val="00D46894"/>
    <w:rsid w:val="00D46E1F"/>
    <w:rsid w:val="00D50C3F"/>
    <w:rsid w:val="00D52A4E"/>
    <w:rsid w:val="00D52CE2"/>
    <w:rsid w:val="00D575BD"/>
    <w:rsid w:val="00D601D3"/>
    <w:rsid w:val="00D60501"/>
    <w:rsid w:val="00D60B5F"/>
    <w:rsid w:val="00D611F1"/>
    <w:rsid w:val="00D61488"/>
    <w:rsid w:val="00D61508"/>
    <w:rsid w:val="00D62990"/>
    <w:rsid w:val="00D63D1A"/>
    <w:rsid w:val="00D645A9"/>
    <w:rsid w:val="00D64E90"/>
    <w:rsid w:val="00D6659B"/>
    <w:rsid w:val="00D70139"/>
    <w:rsid w:val="00D70CC0"/>
    <w:rsid w:val="00D71FBC"/>
    <w:rsid w:val="00D743A5"/>
    <w:rsid w:val="00D75342"/>
    <w:rsid w:val="00D7582F"/>
    <w:rsid w:val="00D7714B"/>
    <w:rsid w:val="00D80015"/>
    <w:rsid w:val="00D805FC"/>
    <w:rsid w:val="00D806D6"/>
    <w:rsid w:val="00D842BD"/>
    <w:rsid w:val="00D85250"/>
    <w:rsid w:val="00D857BD"/>
    <w:rsid w:val="00D878E7"/>
    <w:rsid w:val="00D903D9"/>
    <w:rsid w:val="00D911CE"/>
    <w:rsid w:val="00D91ABA"/>
    <w:rsid w:val="00D92437"/>
    <w:rsid w:val="00D926CC"/>
    <w:rsid w:val="00D93AF5"/>
    <w:rsid w:val="00D93EDB"/>
    <w:rsid w:val="00D94926"/>
    <w:rsid w:val="00D94C1B"/>
    <w:rsid w:val="00D95068"/>
    <w:rsid w:val="00D95B6A"/>
    <w:rsid w:val="00D96759"/>
    <w:rsid w:val="00D97197"/>
    <w:rsid w:val="00D97FAC"/>
    <w:rsid w:val="00DA07F6"/>
    <w:rsid w:val="00DA20D0"/>
    <w:rsid w:val="00DA25C5"/>
    <w:rsid w:val="00DA2C78"/>
    <w:rsid w:val="00DA306E"/>
    <w:rsid w:val="00DA3314"/>
    <w:rsid w:val="00DA3E1A"/>
    <w:rsid w:val="00DA54A9"/>
    <w:rsid w:val="00DA5E74"/>
    <w:rsid w:val="00DA6E1D"/>
    <w:rsid w:val="00DB160F"/>
    <w:rsid w:val="00DB2F35"/>
    <w:rsid w:val="00DB3DAD"/>
    <w:rsid w:val="00DB4E99"/>
    <w:rsid w:val="00DB506A"/>
    <w:rsid w:val="00DB6260"/>
    <w:rsid w:val="00DB6271"/>
    <w:rsid w:val="00DB7D71"/>
    <w:rsid w:val="00DC02D0"/>
    <w:rsid w:val="00DC0C25"/>
    <w:rsid w:val="00DC10A9"/>
    <w:rsid w:val="00DC21FD"/>
    <w:rsid w:val="00DC283A"/>
    <w:rsid w:val="00DC4EE9"/>
    <w:rsid w:val="00DC5978"/>
    <w:rsid w:val="00DC6FC6"/>
    <w:rsid w:val="00DC7445"/>
    <w:rsid w:val="00DC7941"/>
    <w:rsid w:val="00DD0C43"/>
    <w:rsid w:val="00DD1D01"/>
    <w:rsid w:val="00DD437A"/>
    <w:rsid w:val="00DD45EC"/>
    <w:rsid w:val="00DD4FF6"/>
    <w:rsid w:val="00DD52BF"/>
    <w:rsid w:val="00DD55B6"/>
    <w:rsid w:val="00DD6145"/>
    <w:rsid w:val="00DD6ADE"/>
    <w:rsid w:val="00DD7AE2"/>
    <w:rsid w:val="00DD7C7E"/>
    <w:rsid w:val="00DD7F7A"/>
    <w:rsid w:val="00DE0006"/>
    <w:rsid w:val="00DE04B8"/>
    <w:rsid w:val="00DE0CB1"/>
    <w:rsid w:val="00DE2388"/>
    <w:rsid w:val="00DE4F01"/>
    <w:rsid w:val="00DE6DB8"/>
    <w:rsid w:val="00DF0C04"/>
    <w:rsid w:val="00DF5A40"/>
    <w:rsid w:val="00DF6F78"/>
    <w:rsid w:val="00DF7959"/>
    <w:rsid w:val="00E0041F"/>
    <w:rsid w:val="00E0084B"/>
    <w:rsid w:val="00E0281B"/>
    <w:rsid w:val="00E02823"/>
    <w:rsid w:val="00E05988"/>
    <w:rsid w:val="00E05C57"/>
    <w:rsid w:val="00E10EE8"/>
    <w:rsid w:val="00E11E1A"/>
    <w:rsid w:val="00E1434E"/>
    <w:rsid w:val="00E16F75"/>
    <w:rsid w:val="00E1771A"/>
    <w:rsid w:val="00E20C09"/>
    <w:rsid w:val="00E229B8"/>
    <w:rsid w:val="00E229DD"/>
    <w:rsid w:val="00E22FE4"/>
    <w:rsid w:val="00E23014"/>
    <w:rsid w:val="00E24131"/>
    <w:rsid w:val="00E26B31"/>
    <w:rsid w:val="00E315EA"/>
    <w:rsid w:val="00E31DE4"/>
    <w:rsid w:val="00E33676"/>
    <w:rsid w:val="00E34592"/>
    <w:rsid w:val="00E34634"/>
    <w:rsid w:val="00E358F5"/>
    <w:rsid w:val="00E35CFC"/>
    <w:rsid w:val="00E365F4"/>
    <w:rsid w:val="00E36A0E"/>
    <w:rsid w:val="00E406E9"/>
    <w:rsid w:val="00E4181A"/>
    <w:rsid w:val="00E430FE"/>
    <w:rsid w:val="00E43B34"/>
    <w:rsid w:val="00E44F21"/>
    <w:rsid w:val="00E46320"/>
    <w:rsid w:val="00E52205"/>
    <w:rsid w:val="00E52A98"/>
    <w:rsid w:val="00E54055"/>
    <w:rsid w:val="00E55109"/>
    <w:rsid w:val="00E579A0"/>
    <w:rsid w:val="00E62E1A"/>
    <w:rsid w:val="00E643F6"/>
    <w:rsid w:val="00E64FB8"/>
    <w:rsid w:val="00E657D0"/>
    <w:rsid w:val="00E65898"/>
    <w:rsid w:val="00E66F02"/>
    <w:rsid w:val="00E7046A"/>
    <w:rsid w:val="00E70BC6"/>
    <w:rsid w:val="00E711D3"/>
    <w:rsid w:val="00E72CA9"/>
    <w:rsid w:val="00E7383A"/>
    <w:rsid w:val="00E73DA0"/>
    <w:rsid w:val="00E772C2"/>
    <w:rsid w:val="00E77E96"/>
    <w:rsid w:val="00E800FF"/>
    <w:rsid w:val="00E83E0A"/>
    <w:rsid w:val="00E845CD"/>
    <w:rsid w:val="00E85FE8"/>
    <w:rsid w:val="00E86047"/>
    <w:rsid w:val="00E861A9"/>
    <w:rsid w:val="00E86355"/>
    <w:rsid w:val="00E87851"/>
    <w:rsid w:val="00E916C1"/>
    <w:rsid w:val="00E91C0E"/>
    <w:rsid w:val="00E91E57"/>
    <w:rsid w:val="00E91F1B"/>
    <w:rsid w:val="00E930C2"/>
    <w:rsid w:val="00E933CC"/>
    <w:rsid w:val="00E93DEC"/>
    <w:rsid w:val="00E962C3"/>
    <w:rsid w:val="00E9694A"/>
    <w:rsid w:val="00E97341"/>
    <w:rsid w:val="00EA1185"/>
    <w:rsid w:val="00EA20DE"/>
    <w:rsid w:val="00EA2439"/>
    <w:rsid w:val="00EA2481"/>
    <w:rsid w:val="00EA3189"/>
    <w:rsid w:val="00EA3F41"/>
    <w:rsid w:val="00EA4631"/>
    <w:rsid w:val="00EA71E6"/>
    <w:rsid w:val="00EA72C2"/>
    <w:rsid w:val="00EA7757"/>
    <w:rsid w:val="00EB0BE7"/>
    <w:rsid w:val="00EB1454"/>
    <w:rsid w:val="00EB16B1"/>
    <w:rsid w:val="00EB1A09"/>
    <w:rsid w:val="00EB1B5E"/>
    <w:rsid w:val="00EB1E3D"/>
    <w:rsid w:val="00EB2B4E"/>
    <w:rsid w:val="00EB3C4C"/>
    <w:rsid w:val="00EB45DB"/>
    <w:rsid w:val="00EB5C07"/>
    <w:rsid w:val="00EB7BAE"/>
    <w:rsid w:val="00EC0824"/>
    <w:rsid w:val="00EC0E36"/>
    <w:rsid w:val="00EC51EA"/>
    <w:rsid w:val="00EC553C"/>
    <w:rsid w:val="00EC55DA"/>
    <w:rsid w:val="00EC6E11"/>
    <w:rsid w:val="00EC6EAA"/>
    <w:rsid w:val="00EC7F26"/>
    <w:rsid w:val="00ED064C"/>
    <w:rsid w:val="00ED0873"/>
    <w:rsid w:val="00ED0D3C"/>
    <w:rsid w:val="00ED1D33"/>
    <w:rsid w:val="00ED261E"/>
    <w:rsid w:val="00ED3ACA"/>
    <w:rsid w:val="00ED6F2B"/>
    <w:rsid w:val="00ED6F2C"/>
    <w:rsid w:val="00ED7D1D"/>
    <w:rsid w:val="00ED7E87"/>
    <w:rsid w:val="00EE050F"/>
    <w:rsid w:val="00EE055C"/>
    <w:rsid w:val="00EE15F9"/>
    <w:rsid w:val="00EE19E2"/>
    <w:rsid w:val="00EE2953"/>
    <w:rsid w:val="00EE4B43"/>
    <w:rsid w:val="00EE5343"/>
    <w:rsid w:val="00EE66A7"/>
    <w:rsid w:val="00EE7002"/>
    <w:rsid w:val="00EE78FD"/>
    <w:rsid w:val="00EF04AD"/>
    <w:rsid w:val="00EF06BB"/>
    <w:rsid w:val="00EF08BF"/>
    <w:rsid w:val="00EF20CD"/>
    <w:rsid w:val="00EF2C97"/>
    <w:rsid w:val="00EF3AC9"/>
    <w:rsid w:val="00EF6A0B"/>
    <w:rsid w:val="00EF706B"/>
    <w:rsid w:val="00F01B52"/>
    <w:rsid w:val="00F01F10"/>
    <w:rsid w:val="00F0204F"/>
    <w:rsid w:val="00F025D1"/>
    <w:rsid w:val="00F0419C"/>
    <w:rsid w:val="00F05463"/>
    <w:rsid w:val="00F05DFA"/>
    <w:rsid w:val="00F061A5"/>
    <w:rsid w:val="00F07D0C"/>
    <w:rsid w:val="00F102C1"/>
    <w:rsid w:val="00F10D76"/>
    <w:rsid w:val="00F115D2"/>
    <w:rsid w:val="00F11A35"/>
    <w:rsid w:val="00F12E87"/>
    <w:rsid w:val="00F1324D"/>
    <w:rsid w:val="00F14C96"/>
    <w:rsid w:val="00F14CB7"/>
    <w:rsid w:val="00F16E07"/>
    <w:rsid w:val="00F174F7"/>
    <w:rsid w:val="00F2013C"/>
    <w:rsid w:val="00F20380"/>
    <w:rsid w:val="00F20CC1"/>
    <w:rsid w:val="00F21173"/>
    <w:rsid w:val="00F21A2F"/>
    <w:rsid w:val="00F234D3"/>
    <w:rsid w:val="00F23DA5"/>
    <w:rsid w:val="00F24A94"/>
    <w:rsid w:val="00F24B7D"/>
    <w:rsid w:val="00F24DD1"/>
    <w:rsid w:val="00F25134"/>
    <w:rsid w:val="00F261AF"/>
    <w:rsid w:val="00F26CE2"/>
    <w:rsid w:val="00F273EB"/>
    <w:rsid w:val="00F27544"/>
    <w:rsid w:val="00F31492"/>
    <w:rsid w:val="00F352F7"/>
    <w:rsid w:val="00F3599E"/>
    <w:rsid w:val="00F368D4"/>
    <w:rsid w:val="00F3759A"/>
    <w:rsid w:val="00F41545"/>
    <w:rsid w:val="00F41BB0"/>
    <w:rsid w:val="00F422A3"/>
    <w:rsid w:val="00F422D9"/>
    <w:rsid w:val="00F42EED"/>
    <w:rsid w:val="00F43653"/>
    <w:rsid w:val="00F45E5A"/>
    <w:rsid w:val="00F46872"/>
    <w:rsid w:val="00F472E3"/>
    <w:rsid w:val="00F47884"/>
    <w:rsid w:val="00F47DD5"/>
    <w:rsid w:val="00F47F88"/>
    <w:rsid w:val="00F507DB"/>
    <w:rsid w:val="00F5299E"/>
    <w:rsid w:val="00F53D76"/>
    <w:rsid w:val="00F541B2"/>
    <w:rsid w:val="00F55C7D"/>
    <w:rsid w:val="00F56256"/>
    <w:rsid w:val="00F565B4"/>
    <w:rsid w:val="00F600A7"/>
    <w:rsid w:val="00F60CE0"/>
    <w:rsid w:val="00F60D2F"/>
    <w:rsid w:val="00F61AE2"/>
    <w:rsid w:val="00F62BBD"/>
    <w:rsid w:val="00F6304D"/>
    <w:rsid w:val="00F63294"/>
    <w:rsid w:val="00F63F82"/>
    <w:rsid w:val="00F64199"/>
    <w:rsid w:val="00F64294"/>
    <w:rsid w:val="00F643BA"/>
    <w:rsid w:val="00F645D6"/>
    <w:rsid w:val="00F6544E"/>
    <w:rsid w:val="00F656E0"/>
    <w:rsid w:val="00F664E2"/>
    <w:rsid w:val="00F667F9"/>
    <w:rsid w:val="00F67F9C"/>
    <w:rsid w:val="00F72F4F"/>
    <w:rsid w:val="00F73F34"/>
    <w:rsid w:val="00F75CF3"/>
    <w:rsid w:val="00F76FA2"/>
    <w:rsid w:val="00F80B40"/>
    <w:rsid w:val="00F81EB0"/>
    <w:rsid w:val="00F81FEC"/>
    <w:rsid w:val="00F82762"/>
    <w:rsid w:val="00F86957"/>
    <w:rsid w:val="00F875A3"/>
    <w:rsid w:val="00F8797D"/>
    <w:rsid w:val="00F87C50"/>
    <w:rsid w:val="00F90158"/>
    <w:rsid w:val="00F9057C"/>
    <w:rsid w:val="00F91305"/>
    <w:rsid w:val="00F928C1"/>
    <w:rsid w:val="00F95FF5"/>
    <w:rsid w:val="00F97391"/>
    <w:rsid w:val="00FA29E9"/>
    <w:rsid w:val="00FA3174"/>
    <w:rsid w:val="00FA6E3F"/>
    <w:rsid w:val="00FB0B11"/>
    <w:rsid w:val="00FB4E35"/>
    <w:rsid w:val="00FB781E"/>
    <w:rsid w:val="00FC07A3"/>
    <w:rsid w:val="00FC0AA1"/>
    <w:rsid w:val="00FC2714"/>
    <w:rsid w:val="00FC287C"/>
    <w:rsid w:val="00FC4A7E"/>
    <w:rsid w:val="00FC69D4"/>
    <w:rsid w:val="00FC6DD4"/>
    <w:rsid w:val="00FC6E92"/>
    <w:rsid w:val="00FC7A60"/>
    <w:rsid w:val="00FC7EF8"/>
    <w:rsid w:val="00FC7F11"/>
    <w:rsid w:val="00FD0218"/>
    <w:rsid w:val="00FD052E"/>
    <w:rsid w:val="00FD0E34"/>
    <w:rsid w:val="00FD1DEF"/>
    <w:rsid w:val="00FD23CD"/>
    <w:rsid w:val="00FD50CA"/>
    <w:rsid w:val="00FD55A3"/>
    <w:rsid w:val="00FD5933"/>
    <w:rsid w:val="00FD6A1C"/>
    <w:rsid w:val="00FD7467"/>
    <w:rsid w:val="00FE1869"/>
    <w:rsid w:val="00FE194B"/>
    <w:rsid w:val="00FE1FED"/>
    <w:rsid w:val="00FE44A0"/>
    <w:rsid w:val="00FE55B0"/>
    <w:rsid w:val="00FE72F6"/>
    <w:rsid w:val="00FE7F50"/>
    <w:rsid w:val="00FF162B"/>
    <w:rsid w:val="00FF1696"/>
    <w:rsid w:val="00FF4848"/>
    <w:rsid w:val="00FF49D9"/>
    <w:rsid w:val="00FF6572"/>
    <w:rsid w:val="00FF784A"/>
    <w:rsid w:val="01510D02"/>
    <w:rsid w:val="01E703BA"/>
    <w:rsid w:val="02456FAA"/>
    <w:rsid w:val="02894959"/>
    <w:rsid w:val="02AE1145"/>
    <w:rsid w:val="03866AEB"/>
    <w:rsid w:val="048A36B7"/>
    <w:rsid w:val="05DB7E04"/>
    <w:rsid w:val="05FE4FEF"/>
    <w:rsid w:val="063D1714"/>
    <w:rsid w:val="095116BB"/>
    <w:rsid w:val="09BA56D1"/>
    <w:rsid w:val="09DC0D42"/>
    <w:rsid w:val="0A6C5004"/>
    <w:rsid w:val="0A8C575E"/>
    <w:rsid w:val="0B1D50BA"/>
    <w:rsid w:val="0BB36A56"/>
    <w:rsid w:val="0BD35781"/>
    <w:rsid w:val="0C5E7055"/>
    <w:rsid w:val="0C66771F"/>
    <w:rsid w:val="0D4B02A0"/>
    <w:rsid w:val="0ED009C9"/>
    <w:rsid w:val="0EDF5A30"/>
    <w:rsid w:val="0F0F63F7"/>
    <w:rsid w:val="103F3D25"/>
    <w:rsid w:val="10765FF3"/>
    <w:rsid w:val="11125232"/>
    <w:rsid w:val="11E23604"/>
    <w:rsid w:val="12012AB6"/>
    <w:rsid w:val="139D131B"/>
    <w:rsid w:val="14EA09D5"/>
    <w:rsid w:val="15141ECB"/>
    <w:rsid w:val="159B6093"/>
    <w:rsid w:val="16B557EA"/>
    <w:rsid w:val="17C81952"/>
    <w:rsid w:val="17D95817"/>
    <w:rsid w:val="18DF42F7"/>
    <w:rsid w:val="1A8152D5"/>
    <w:rsid w:val="1AC9700C"/>
    <w:rsid w:val="1B0C1922"/>
    <w:rsid w:val="1B471AD0"/>
    <w:rsid w:val="1D0167D6"/>
    <w:rsid w:val="1E412C6F"/>
    <w:rsid w:val="1EE57074"/>
    <w:rsid w:val="1F6C067F"/>
    <w:rsid w:val="1FEE0066"/>
    <w:rsid w:val="22B31E98"/>
    <w:rsid w:val="22D14CB0"/>
    <w:rsid w:val="239F4C6E"/>
    <w:rsid w:val="23E6129F"/>
    <w:rsid w:val="24BA5479"/>
    <w:rsid w:val="2524649E"/>
    <w:rsid w:val="260F621B"/>
    <w:rsid w:val="26393298"/>
    <w:rsid w:val="27042C25"/>
    <w:rsid w:val="27BE4F35"/>
    <w:rsid w:val="27C83151"/>
    <w:rsid w:val="27EC0664"/>
    <w:rsid w:val="27F23393"/>
    <w:rsid w:val="27F616D2"/>
    <w:rsid w:val="28B508FB"/>
    <w:rsid w:val="294E7D22"/>
    <w:rsid w:val="29FB04CD"/>
    <w:rsid w:val="2A7A65C6"/>
    <w:rsid w:val="2ACD4BC1"/>
    <w:rsid w:val="2B22744A"/>
    <w:rsid w:val="2B3C16D3"/>
    <w:rsid w:val="2C7C18C8"/>
    <w:rsid w:val="2C7D1245"/>
    <w:rsid w:val="2DB1342B"/>
    <w:rsid w:val="2E3D1835"/>
    <w:rsid w:val="2F052A2A"/>
    <w:rsid w:val="30B23BD6"/>
    <w:rsid w:val="30C6576D"/>
    <w:rsid w:val="317A6EA2"/>
    <w:rsid w:val="32727FF5"/>
    <w:rsid w:val="32D81743"/>
    <w:rsid w:val="35770F86"/>
    <w:rsid w:val="36D94C1E"/>
    <w:rsid w:val="383B4AC8"/>
    <w:rsid w:val="385E543C"/>
    <w:rsid w:val="38C4148B"/>
    <w:rsid w:val="38CC612C"/>
    <w:rsid w:val="39021595"/>
    <w:rsid w:val="39110B83"/>
    <w:rsid w:val="3AC967B6"/>
    <w:rsid w:val="3AF2632E"/>
    <w:rsid w:val="3B3F693B"/>
    <w:rsid w:val="3B511226"/>
    <w:rsid w:val="3C653492"/>
    <w:rsid w:val="3E054F08"/>
    <w:rsid w:val="3E8F5B49"/>
    <w:rsid w:val="3ED440A9"/>
    <w:rsid w:val="3F6159D9"/>
    <w:rsid w:val="3F7E1E56"/>
    <w:rsid w:val="3FEF45F1"/>
    <w:rsid w:val="418619C7"/>
    <w:rsid w:val="41E442C0"/>
    <w:rsid w:val="421A5566"/>
    <w:rsid w:val="435C7EE6"/>
    <w:rsid w:val="44261D26"/>
    <w:rsid w:val="466024DB"/>
    <w:rsid w:val="469B5A63"/>
    <w:rsid w:val="4741595C"/>
    <w:rsid w:val="48973A9A"/>
    <w:rsid w:val="49092DBE"/>
    <w:rsid w:val="4BB93C70"/>
    <w:rsid w:val="4BF3069C"/>
    <w:rsid w:val="4DA61BAB"/>
    <w:rsid w:val="4E225C00"/>
    <w:rsid w:val="4E396B3D"/>
    <w:rsid w:val="4E8808D8"/>
    <w:rsid w:val="4EAE5894"/>
    <w:rsid w:val="4F6C1813"/>
    <w:rsid w:val="514D0982"/>
    <w:rsid w:val="52B10DFF"/>
    <w:rsid w:val="52BD0151"/>
    <w:rsid w:val="53587AE2"/>
    <w:rsid w:val="54E35EE3"/>
    <w:rsid w:val="54F31C6D"/>
    <w:rsid w:val="553D6E82"/>
    <w:rsid w:val="55CA0B9C"/>
    <w:rsid w:val="564453B1"/>
    <w:rsid w:val="56614F38"/>
    <w:rsid w:val="56C51BD4"/>
    <w:rsid w:val="56F03C81"/>
    <w:rsid w:val="58607961"/>
    <w:rsid w:val="58B344F1"/>
    <w:rsid w:val="59167E05"/>
    <w:rsid w:val="59503027"/>
    <w:rsid w:val="5AA27C6F"/>
    <w:rsid w:val="5C6C57BA"/>
    <w:rsid w:val="5C9A61D6"/>
    <w:rsid w:val="5CC1034B"/>
    <w:rsid w:val="5D727F53"/>
    <w:rsid w:val="60102B9D"/>
    <w:rsid w:val="617C6714"/>
    <w:rsid w:val="61D166E3"/>
    <w:rsid w:val="61F26A28"/>
    <w:rsid w:val="629E0694"/>
    <w:rsid w:val="630568F4"/>
    <w:rsid w:val="63065CD5"/>
    <w:rsid w:val="630C1F83"/>
    <w:rsid w:val="636A6D87"/>
    <w:rsid w:val="64C431CD"/>
    <w:rsid w:val="655906F9"/>
    <w:rsid w:val="67246E74"/>
    <w:rsid w:val="679A1ED0"/>
    <w:rsid w:val="6A637F62"/>
    <w:rsid w:val="6A705E80"/>
    <w:rsid w:val="6A9D6B06"/>
    <w:rsid w:val="6B9E5F35"/>
    <w:rsid w:val="6BD1009F"/>
    <w:rsid w:val="6C5F4E8B"/>
    <w:rsid w:val="6CDD4AC6"/>
    <w:rsid w:val="6D9F184F"/>
    <w:rsid w:val="6DB35483"/>
    <w:rsid w:val="6E3805B9"/>
    <w:rsid w:val="6FC07433"/>
    <w:rsid w:val="70452C08"/>
    <w:rsid w:val="7117076B"/>
    <w:rsid w:val="72C83EF8"/>
    <w:rsid w:val="73A33639"/>
    <w:rsid w:val="73BB0EBC"/>
    <w:rsid w:val="7464479F"/>
    <w:rsid w:val="751E5C81"/>
    <w:rsid w:val="75CE23D6"/>
    <w:rsid w:val="77FE679B"/>
    <w:rsid w:val="79E5205B"/>
    <w:rsid w:val="7AEF309B"/>
    <w:rsid w:val="7B6F7C4A"/>
    <w:rsid w:val="7BBB4A2C"/>
    <w:rsid w:val="7CDD3BC8"/>
    <w:rsid w:val="7CFF732A"/>
    <w:rsid w:val="7DC94ED9"/>
    <w:rsid w:val="7E4B5132"/>
    <w:rsid w:val="7F6D6877"/>
    <w:rsid w:val="7F8F3F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5">
    <w:name w:val="heading 1"/>
    <w:basedOn w:val="1"/>
    <w:next w:val="1"/>
    <w:link w:val="36"/>
    <w:qFormat/>
    <w:uiPriority w:val="0"/>
    <w:pPr>
      <w:keepNext/>
      <w:spacing w:line="380" w:lineRule="exact"/>
      <w:jc w:val="center"/>
      <w:outlineLvl w:val="0"/>
    </w:pPr>
    <w:rPr>
      <w:rFonts w:ascii="宋体"/>
      <w:b/>
      <w:bCs/>
      <w:sz w:val="28"/>
    </w:rPr>
  </w:style>
  <w:style w:type="paragraph" w:styleId="6">
    <w:name w:val="heading 2"/>
    <w:basedOn w:val="1"/>
    <w:next w:val="1"/>
    <w:link w:val="37"/>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38"/>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link w:val="39"/>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30">
    <w:name w:val="Default Paragraph Font"/>
    <w:uiPriority w:val="0"/>
  </w:style>
  <w:style w:type="table" w:default="1" w:styleId="2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28"/>
      <w:tblCellMar>
        <w:top w:w="0" w:type="dxa"/>
        <w:left w:w="108" w:type="dxa"/>
        <w:bottom w:w="0" w:type="dxa"/>
        <w:right w:w="108" w:type="dxa"/>
      </w:tblCellMar>
    </w:tblPr>
  </w:style>
  <w:style w:type="paragraph" w:styleId="2">
    <w:name w:val="Body Text First Indent"/>
    <w:basedOn w:val="3"/>
    <w:next w:val="4"/>
    <w:unhideWhenUsed/>
    <w:qFormat/>
    <w:uiPriority w:val="99"/>
    <w:pPr>
      <w:spacing w:after="120"/>
      <w:ind w:firstLine="420" w:firstLineChars="100"/>
    </w:pPr>
    <w:rPr>
      <w:kern w:val="2"/>
      <w:sz w:val="21"/>
    </w:rPr>
  </w:style>
  <w:style w:type="paragraph" w:styleId="3">
    <w:name w:val="Body Text"/>
    <w:basedOn w:val="1"/>
    <w:next w:val="1"/>
    <w:link w:val="35"/>
    <w:qFormat/>
    <w:uiPriority w:val="0"/>
    <w:pPr>
      <w:spacing w:after="120"/>
    </w:pPr>
  </w:style>
  <w:style w:type="paragraph" w:styleId="4">
    <w:name w:val="toc 6"/>
    <w:basedOn w:val="1"/>
    <w:next w:val="1"/>
    <w:qFormat/>
    <w:uiPriority w:val="39"/>
    <w:pPr>
      <w:ind w:left="1050"/>
      <w:jc w:val="left"/>
    </w:pPr>
    <w:rPr>
      <w:sz w:val="18"/>
      <w:szCs w:val="18"/>
    </w:rPr>
  </w:style>
  <w:style w:type="paragraph" w:styleId="9">
    <w:name w:val="Normal Indent"/>
    <w:basedOn w:val="1"/>
    <w:next w:val="1"/>
    <w:link w:val="40"/>
    <w:qFormat/>
    <w:uiPriority w:val="0"/>
    <w:pPr>
      <w:spacing w:line="400" w:lineRule="exact"/>
      <w:ind w:firstLine="480" w:firstLineChars="200"/>
    </w:pPr>
    <w:rPr>
      <w:color w:val="000000"/>
      <w:kern w:val="24"/>
      <w:sz w:val="24"/>
      <w:szCs w:val="24"/>
      <w:lang w:val="sv-SE"/>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link w:val="41"/>
    <w:uiPriority w:val="0"/>
    <w:pPr>
      <w:jc w:val="left"/>
    </w:pPr>
  </w:style>
  <w:style w:type="paragraph" w:styleId="12">
    <w:name w:val="Body Text Indent"/>
    <w:basedOn w:val="1"/>
    <w:link w:val="42"/>
    <w:uiPriority w:val="0"/>
    <w:pPr>
      <w:spacing w:line="500" w:lineRule="exact"/>
      <w:ind w:firstLine="420"/>
    </w:pPr>
  </w:style>
  <w:style w:type="paragraph" w:styleId="13">
    <w:name w:val="toc 3"/>
    <w:basedOn w:val="1"/>
    <w:next w:val="1"/>
    <w:uiPriority w:val="0"/>
    <w:pPr>
      <w:tabs>
        <w:tab w:val="left" w:pos="1276"/>
        <w:tab w:val="right" w:leader="dot" w:pos="8834"/>
      </w:tabs>
      <w:spacing w:before="40" w:beforeLines="0" w:line="0" w:lineRule="atLeast"/>
      <w:ind w:left="840"/>
    </w:pPr>
    <w:rPr>
      <w:rFonts w:eastAsia="仿宋_GB2312"/>
      <w:w w:val="80"/>
      <w:sz w:val="18"/>
      <w:szCs w:val="18"/>
      <w:lang/>
    </w:rPr>
  </w:style>
  <w:style w:type="paragraph" w:styleId="14">
    <w:name w:val="Plain Text"/>
    <w:basedOn w:val="1"/>
    <w:next w:val="1"/>
    <w:link w:val="43"/>
    <w:qFormat/>
    <w:uiPriority w:val="99"/>
    <w:pPr>
      <w:snapToGrid w:val="0"/>
      <w:spacing w:line="420" w:lineRule="exact"/>
    </w:pPr>
    <w:rPr>
      <w:rFonts w:ascii="宋体" w:hAnsi="宋体"/>
      <w:b/>
      <w:kern w:val="0"/>
      <w:szCs w:val="21"/>
    </w:rPr>
  </w:style>
  <w:style w:type="paragraph" w:styleId="15">
    <w:name w:val="Date"/>
    <w:basedOn w:val="1"/>
    <w:next w:val="1"/>
    <w:link w:val="44"/>
    <w:uiPriority w:val="0"/>
    <w:pPr>
      <w:ind w:left="100" w:leftChars="2500"/>
    </w:pPr>
  </w:style>
  <w:style w:type="paragraph" w:styleId="16">
    <w:name w:val="Body Text Indent 2"/>
    <w:basedOn w:val="1"/>
    <w:link w:val="45"/>
    <w:uiPriority w:val="0"/>
    <w:pPr>
      <w:spacing w:after="120" w:afterLines="0" w:line="480" w:lineRule="auto"/>
      <w:ind w:left="420" w:leftChars="200"/>
    </w:pPr>
  </w:style>
  <w:style w:type="paragraph" w:styleId="17">
    <w:name w:val="Balloon Text"/>
    <w:basedOn w:val="1"/>
    <w:link w:val="46"/>
    <w:uiPriority w:val="0"/>
    <w:rPr>
      <w:sz w:val="18"/>
      <w:szCs w:val="18"/>
    </w:rPr>
  </w:style>
  <w:style w:type="paragraph" w:styleId="18">
    <w:name w:val="footer"/>
    <w:basedOn w:val="1"/>
    <w:link w:val="47"/>
    <w:uiPriority w:val="0"/>
    <w:pPr>
      <w:tabs>
        <w:tab w:val="center" w:pos="4153"/>
        <w:tab w:val="right" w:pos="8306"/>
      </w:tabs>
      <w:snapToGrid w:val="0"/>
      <w:jc w:val="left"/>
    </w:pPr>
    <w:rPr>
      <w:sz w:val="18"/>
      <w:szCs w:val="18"/>
    </w:rPr>
  </w:style>
  <w:style w:type="paragraph" w:styleId="19">
    <w:name w:val="header"/>
    <w:basedOn w:val="1"/>
    <w:link w:val="4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20">
    <w:name w:val="toc 1"/>
    <w:basedOn w:val="1"/>
    <w:next w:val="1"/>
    <w:qFormat/>
    <w:uiPriority w:val="39"/>
  </w:style>
  <w:style w:type="paragraph" w:styleId="21">
    <w:name w:val="Body Text Indent 3"/>
    <w:basedOn w:val="1"/>
    <w:link w:val="49"/>
    <w:uiPriority w:val="0"/>
    <w:pPr>
      <w:spacing w:after="120"/>
      <w:ind w:left="420" w:leftChars="200"/>
    </w:pPr>
    <w:rPr>
      <w:sz w:val="16"/>
      <w:szCs w:val="16"/>
    </w:rPr>
  </w:style>
  <w:style w:type="paragraph" w:styleId="22">
    <w:name w:val="toc 2"/>
    <w:basedOn w:val="1"/>
    <w:next w:val="1"/>
    <w:uiPriority w:val="0"/>
    <w:pPr>
      <w:tabs>
        <w:tab w:val="left" w:pos="851"/>
        <w:tab w:val="right" w:leader="dot" w:pos="8834"/>
      </w:tabs>
      <w:ind w:left="420"/>
    </w:pPr>
  </w:style>
  <w:style w:type="paragraph" w:styleId="23">
    <w:name w:val="Body Text 2"/>
    <w:basedOn w:val="1"/>
    <w:link w:val="50"/>
    <w:uiPriority w:val="0"/>
    <w:pPr>
      <w:spacing w:after="120" w:afterLines="0" w:line="480" w:lineRule="auto"/>
    </w:pPr>
  </w:style>
  <w:style w:type="paragraph" w:styleId="2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1"/>
    <w:next w:val="11"/>
    <w:link w:val="51"/>
    <w:uiPriority w:val="0"/>
    <w:rPr>
      <w:b/>
      <w:bCs/>
    </w:rPr>
  </w:style>
  <w:style w:type="paragraph" w:styleId="27">
    <w:name w:val="Body Text First Indent 2"/>
    <w:basedOn w:val="12"/>
    <w:next w:val="1"/>
    <w:unhideWhenUsed/>
    <w:qFormat/>
    <w:uiPriority w:val="0"/>
    <w:pPr>
      <w:ind w:firstLine="420" w:firstLineChars="200"/>
    </w:pPr>
    <w:rPr>
      <w:rFonts w:ascii="Times New Roman" w:hAnsi="Times New Roman"/>
      <w:lang w:val="zh-CN"/>
    </w:rPr>
  </w:style>
  <w:style w:type="table" w:styleId="29">
    <w:name w:val="Table Grid"/>
    <w:basedOn w:val="28"/>
    <w:unhideWhenUsed/>
    <w:uiPriority w:val="59"/>
    <w:pPr>
      <w:widowControl w:val="0"/>
      <w:jc w:val="both"/>
    </w:pPr>
    <w:rPr>
      <w:rFonts w:ascii="Times New Roman" w:hAnsi="Times New Roman"/>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uiPriority w:val="0"/>
  </w:style>
  <w:style w:type="character" w:styleId="32">
    <w:name w:val="FollowedHyperlink"/>
    <w:uiPriority w:val="0"/>
    <w:rPr>
      <w:rFonts w:cs="Times New Roman"/>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 Char"/>
    <w:link w:val="3"/>
    <w:qFormat/>
    <w:uiPriority w:val="0"/>
    <w:rPr>
      <w:kern w:val="2"/>
      <w:sz w:val="21"/>
    </w:rPr>
  </w:style>
  <w:style w:type="character" w:customStyle="1" w:styleId="36">
    <w:name w:val="标题 1 Char"/>
    <w:link w:val="5"/>
    <w:uiPriority w:val="0"/>
    <w:rPr>
      <w:rFonts w:ascii="宋体" w:hAnsi="Times New Roman"/>
      <w:b/>
      <w:bCs/>
      <w:kern w:val="2"/>
      <w:sz w:val="28"/>
    </w:rPr>
  </w:style>
  <w:style w:type="character" w:customStyle="1" w:styleId="37">
    <w:name w:val="标题 2 Char"/>
    <w:link w:val="6"/>
    <w:uiPriority w:val="0"/>
    <w:rPr>
      <w:rFonts w:ascii="Arial" w:hAnsi="Arial" w:eastAsia="黑体"/>
      <w:b/>
      <w:bCs/>
      <w:kern w:val="2"/>
      <w:sz w:val="32"/>
      <w:szCs w:val="32"/>
    </w:rPr>
  </w:style>
  <w:style w:type="character" w:customStyle="1" w:styleId="38">
    <w:name w:val="标题 3 Char"/>
    <w:link w:val="7"/>
    <w:uiPriority w:val="0"/>
    <w:rPr>
      <w:rFonts w:ascii="Times New Roman" w:hAnsi="Times New Roman"/>
      <w:b/>
      <w:bCs/>
      <w:kern w:val="2"/>
      <w:sz w:val="32"/>
      <w:szCs w:val="32"/>
    </w:rPr>
  </w:style>
  <w:style w:type="character" w:customStyle="1" w:styleId="39">
    <w:name w:val="标题 4 Char"/>
    <w:link w:val="8"/>
    <w:uiPriority w:val="0"/>
    <w:rPr>
      <w:rFonts w:ascii="Cambria" w:hAnsi="Cambria" w:eastAsia="宋体" w:cs="Times New Roman"/>
      <w:b/>
      <w:bCs/>
      <w:kern w:val="2"/>
      <w:sz w:val="28"/>
      <w:szCs w:val="28"/>
    </w:rPr>
  </w:style>
  <w:style w:type="character" w:customStyle="1" w:styleId="40">
    <w:name w:val="正文缩进 Char"/>
    <w:link w:val="9"/>
    <w:qFormat/>
    <w:uiPriority w:val="0"/>
    <w:rPr>
      <w:rFonts w:eastAsia="宋体"/>
      <w:color w:val="000000"/>
      <w:kern w:val="24"/>
      <w:sz w:val="24"/>
      <w:szCs w:val="24"/>
      <w:lang w:val="sv-SE" w:bidi="ar-SA"/>
    </w:rPr>
  </w:style>
  <w:style w:type="character" w:customStyle="1" w:styleId="41">
    <w:name w:val="批注文字 Char"/>
    <w:link w:val="11"/>
    <w:uiPriority w:val="0"/>
    <w:rPr>
      <w:kern w:val="2"/>
      <w:sz w:val="21"/>
    </w:rPr>
  </w:style>
  <w:style w:type="character" w:customStyle="1" w:styleId="42">
    <w:name w:val="正文文本缩进 Char"/>
    <w:link w:val="12"/>
    <w:uiPriority w:val="0"/>
    <w:rPr>
      <w:rFonts w:ascii="Times New Roman" w:hAnsi="Times New Roman"/>
      <w:kern w:val="2"/>
      <w:sz w:val="21"/>
    </w:rPr>
  </w:style>
  <w:style w:type="character" w:customStyle="1" w:styleId="43">
    <w:name w:val="纯文本 Char"/>
    <w:link w:val="14"/>
    <w:qFormat/>
    <w:uiPriority w:val="99"/>
    <w:rPr>
      <w:rFonts w:ascii="宋体" w:hAnsi="宋体" w:cs="宋体"/>
      <w:b/>
      <w:sz w:val="21"/>
      <w:szCs w:val="21"/>
    </w:rPr>
  </w:style>
  <w:style w:type="character" w:customStyle="1" w:styleId="44">
    <w:name w:val="日期 Char"/>
    <w:link w:val="15"/>
    <w:uiPriority w:val="0"/>
    <w:rPr>
      <w:rFonts w:ascii="Times New Roman" w:hAnsi="Times New Roman"/>
      <w:kern w:val="2"/>
      <w:sz w:val="21"/>
    </w:rPr>
  </w:style>
  <w:style w:type="character" w:customStyle="1" w:styleId="45">
    <w:name w:val="正文文本缩进 2 Char"/>
    <w:link w:val="16"/>
    <w:uiPriority w:val="0"/>
    <w:rPr>
      <w:rFonts w:ascii="Times New Roman" w:hAnsi="Times New Roman"/>
      <w:kern w:val="2"/>
      <w:sz w:val="21"/>
    </w:rPr>
  </w:style>
  <w:style w:type="character" w:customStyle="1" w:styleId="46">
    <w:name w:val="批注框文本 Char"/>
    <w:link w:val="17"/>
    <w:uiPriority w:val="0"/>
    <w:rPr>
      <w:rFonts w:ascii="Times New Roman" w:hAnsi="Times New Roman"/>
      <w:kern w:val="2"/>
      <w:sz w:val="18"/>
      <w:szCs w:val="18"/>
    </w:rPr>
  </w:style>
  <w:style w:type="character" w:customStyle="1" w:styleId="47">
    <w:name w:val="页脚 Char"/>
    <w:link w:val="18"/>
    <w:uiPriority w:val="0"/>
    <w:rPr>
      <w:rFonts w:ascii="Times New Roman" w:hAnsi="Times New Roman"/>
      <w:kern w:val="2"/>
      <w:sz w:val="18"/>
      <w:szCs w:val="18"/>
    </w:rPr>
  </w:style>
  <w:style w:type="character" w:customStyle="1" w:styleId="48">
    <w:name w:val="页眉 Char"/>
    <w:link w:val="19"/>
    <w:uiPriority w:val="0"/>
    <w:rPr>
      <w:rFonts w:ascii="Times New Roman" w:hAnsi="Times New Roman" w:eastAsia="宋体" w:cs="Times New Roman"/>
      <w:sz w:val="18"/>
      <w:szCs w:val="20"/>
    </w:rPr>
  </w:style>
  <w:style w:type="character" w:customStyle="1" w:styleId="49">
    <w:name w:val="正文文本缩进 3 Char"/>
    <w:link w:val="21"/>
    <w:uiPriority w:val="0"/>
    <w:rPr>
      <w:rFonts w:ascii="Times New Roman" w:hAnsi="Times New Roman"/>
      <w:kern w:val="2"/>
      <w:sz w:val="16"/>
      <w:szCs w:val="16"/>
    </w:rPr>
  </w:style>
  <w:style w:type="character" w:customStyle="1" w:styleId="50">
    <w:name w:val="正文文本 2 Char"/>
    <w:link w:val="23"/>
    <w:uiPriority w:val="0"/>
    <w:rPr>
      <w:rFonts w:ascii="Times New Roman" w:hAnsi="Times New Roman"/>
      <w:kern w:val="2"/>
      <w:sz w:val="21"/>
    </w:rPr>
  </w:style>
  <w:style w:type="character" w:customStyle="1" w:styleId="51">
    <w:name w:val="批注主题 Char"/>
    <w:link w:val="26"/>
    <w:uiPriority w:val="0"/>
    <w:rPr>
      <w:b/>
      <w:bCs/>
      <w:kern w:val="2"/>
      <w:sz w:val="21"/>
    </w:rPr>
  </w:style>
  <w:style w:type="character" w:customStyle="1" w:styleId="52">
    <w:name w:val="主体 Char Char"/>
    <w:link w:val="53"/>
    <w:qFormat/>
    <w:locked/>
    <w:uiPriority w:val="0"/>
    <w:rPr>
      <w:rFonts w:ascii="宋体" w:hAnsi="宋体"/>
      <w:kern w:val="58"/>
      <w:sz w:val="24"/>
      <w:szCs w:val="24"/>
    </w:rPr>
  </w:style>
  <w:style w:type="paragraph" w:customStyle="1" w:styleId="53">
    <w:name w:val="主体"/>
    <w:basedOn w:val="1"/>
    <w:link w:val="52"/>
    <w:qFormat/>
    <w:uiPriority w:val="0"/>
    <w:pPr>
      <w:spacing w:line="360" w:lineRule="auto"/>
      <w:ind w:firstLine="480" w:firstLineChars="200"/>
    </w:pPr>
    <w:rPr>
      <w:rFonts w:ascii="宋体" w:hAnsi="宋体"/>
      <w:kern w:val="58"/>
      <w:sz w:val="24"/>
      <w:szCs w:val="24"/>
    </w:rPr>
  </w:style>
  <w:style w:type="character" w:customStyle="1" w:styleId="54">
    <w:name w:val="标题2 Char Char"/>
    <w:link w:val="55"/>
    <w:uiPriority w:val="0"/>
    <w:rPr>
      <w:rFonts w:ascii="宋体"/>
      <w:b/>
      <w:sz w:val="24"/>
      <w:lang w:bidi="ar-SA"/>
    </w:rPr>
  </w:style>
  <w:style w:type="paragraph" w:customStyle="1" w:styleId="55">
    <w:name w:val="标题2"/>
    <w:basedOn w:val="1"/>
    <w:link w:val="54"/>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56">
    <w:name w:val="bookmark-item uuid-1595988252461 code-25015 editdisable single-line-text-input-box-cls readonly"/>
    <w:uiPriority w:val="0"/>
  </w:style>
  <w:style w:type="character" w:customStyle="1" w:styleId="57">
    <w:name w:val="标题1 Char"/>
    <w:link w:val="58"/>
    <w:uiPriority w:val="0"/>
    <w:rPr>
      <w:rFonts w:ascii="Arial" w:hAnsi="宋体" w:eastAsia="宋体" w:cs="Arial"/>
      <w:b/>
      <w:bCs/>
      <w:kern w:val="2"/>
      <w:sz w:val="44"/>
      <w:szCs w:val="24"/>
      <w:lang w:val="en-US" w:eastAsia="zh-CN" w:bidi="ar-SA"/>
    </w:rPr>
  </w:style>
  <w:style w:type="paragraph" w:customStyle="1" w:styleId="58">
    <w:name w:val="标题1"/>
    <w:basedOn w:val="1"/>
    <w:link w:val="57"/>
    <w:uiPriority w:val="0"/>
    <w:pPr>
      <w:adjustRightInd w:val="0"/>
      <w:snapToGrid w:val="0"/>
      <w:spacing w:line="360" w:lineRule="auto"/>
      <w:jc w:val="center"/>
    </w:pPr>
    <w:rPr>
      <w:rFonts w:ascii="Arial" w:hAnsi="宋体" w:cs="Arial"/>
      <w:b/>
      <w:bCs/>
      <w:sz w:val="44"/>
      <w:szCs w:val="24"/>
    </w:rPr>
  </w:style>
  <w:style w:type="character" w:customStyle="1" w:styleId="59">
    <w:name w:val="无间隔 Char"/>
    <w:link w:val="60"/>
    <w:qFormat/>
    <w:uiPriority w:val="1"/>
    <w:rPr>
      <w:sz w:val="22"/>
      <w:lang w:val="en-US" w:eastAsia="zh-CN" w:bidi="ar-SA"/>
    </w:rPr>
  </w:style>
  <w:style w:type="paragraph" w:customStyle="1" w:styleId="60">
    <w:name w:val="无间隔1"/>
    <w:link w:val="59"/>
    <w:qFormat/>
    <w:uiPriority w:val="1"/>
    <w:rPr>
      <w:sz w:val="22"/>
      <w:lang w:val="en-US" w:eastAsia="zh-CN" w:bidi="ar-SA"/>
    </w:rPr>
  </w:style>
  <w:style w:type="character" w:customStyle="1" w:styleId="61">
    <w:name w:val="标题 1 Char Char"/>
    <w:uiPriority w:val="0"/>
    <w:rPr>
      <w:rFonts w:eastAsia="宋体"/>
      <w:b/>
      <w:spacing w:val="-2"/>
      <w:sz w:val="24"/>
      <w:lang w:val="en-US" w:eastAsia="zh-CN"/>
    </w:rPr>
  </w:style>
  <w:style w:type="character" w:customStyle="1" w:styleId="62">
    <w:name w:val="列出段落 Char"/>
    <w:aliases w:val="编号 Char,列出段落1 Char"/>
    <w:link w:val="63"/>
    <w:uiPriority w:val="34"/>
    <w:rPr>
      <w:kern w:val="2"/>
      <w:sz w:val="21"/>
      <w:szCs w:val="24"/>
    </w:rPr>
  </w:style>
  <w:style w:type="paragraph" w:customStyle="1" w:styleId="63">
    <w:name w:val="List Paragraph"/>
    <w:basedOn w:val="1"/>
    <w:link w:val="62"/>
    <w:qFormat/>
    <w:uiPriority w:val="34"/>
    <w:pPr>
      <w:ind w:left="720"/>
      <w:contextualSpacing/>
    </w:pPr>
    <w:rPr>
      <w:szCs w:val="24"/>
    </w:rPr>
  </w:style>
  <w:style w:type="character" w:customStyle="1" w:styleId="64">
    <w:name w:val="Plain Text Char"/>
    <w:locked/>
    <w:uiPriority w:val="0"/>
    <w:rPr>
      <w:rFonts w:ascii="宋体" w:hAnsi="Courier New" w:cs="宋体"/>
      <w:sz w:val="21"/>
      <w:szCs w:val="21"/>
    </w:rPr>
  </w:style>
  <w:style w:type="character" w:customStyle="1" w:styleId="65">
    <w:name w:val="表格文字 Char Char"/>
    <w:link w:val="66"/>
    <w:qFormat/>
    <w:locked/>
    <w:uiPriority w:val="99"/>
    <w:rPr>
      <w:rFonts w:ascii="宋体" w:hAnsi="宋体"/>
      <w:bCs/>
      <w:spacing w:val="-4"/>
      <w:sz w:val="32"/>
      <w:szCs w:val="32"/>
      <w:lang w:val="zh-CN"/>
    </w:rPr>
  </w:style>
  <w:style w:type="paragraph" w:customStyle="1" w:styleId="66">
    <w:name w:val="表格文字"/>
    <w:basedOn w:val="1"/>
    <w:next w:val="3"/>
    <w:link w:val="65"/>
    <w:qFormat/>
    <w:uiPriority w:val="99"/>
    <w:pPr>
      <w:jc w:val="left"/>
    </w:pPr>
    <w:rPr>
      <w:rFonts w:ascii="宋体" w:hAnsi="宋体"/>
      <w:bCs/>
      <w:spacing w:val="-4"/>
      <w:kern w:val="0"/>
      <w:sz w:val="32"/>
      <w:szCs w:val="32"/>
      <w:lang w:val="zh-CN"/>
    </w:rPr>
  </w:style>
  <w:style w:type="character" w:customStyle="1" w:styleId="67">
    <w:name w:val="纯文本 Char1"/>
    <w:uiPriority w:val="0"/>
    <w:rPr>
      <w:rFonts w:ascii="宋体" w:hAnsi="Courier New" w:cs="Courier New"/>
      <w:kern w:val="2"/>
      <w:sz w:val="21"/>
      <w:szCs w:val="21"/>
    </w:rPr>
  </w:style>
  <w:style w:type="character" w:customStyle="1" w:styleId="68">
    <w:name w:val="font01"/>
    <w:qFormat/>
    <w:uiPriority w:val="0"/>
    <w:rPr>
      <w:rFonts w:hint="eastAsia" w:ascii="宋体" w:hAnsi="宋体" w:eastAsia="宋体" w:cs="宋体"/>
      <w:b/>
      <w:color w:val="333333"/>
      <w:sz w:val="24"/>
      <w:szCs w:val="24"/>
      <w:u w:val="none"/>
    </w:rPr>
  </w:style>
  <w:style w:type="character" w:customStyle="1" w:styleId="69">
    <w:name w:val="page number"/>
    <w:uiPriority w:val="0"/>
  </w:style>
  <w:style w:type="character" w:customStyle="1" w:styleId="70">
    <w:name w:val="Normal Indent Char"/>
    <w:locked/>
    <w:uiPriority w:val="0"/>
    <w:rPr>
      <w:rFonts w:ascii="宋体" w:eastAsia="宋体"/>
      <w:snapToGrid w:val="0"/>
      <w:color w:val="000000"/>
      <w:kern w:val="28"/>
      <w:sz w:val="28"/>
      <w:lang w:val="en-US" w:eastAsia="zh-CN"/>
    </w:rPr>
  </w:style>
  <w:style w:type="paragraph" w:customStyle="1" w:styleId="71">
    <w:name w:val="列出段落1"/>
    <w:basedOn w:val="1"/>
    <w:qFormat/>
    <w:uiPriority w:val="34"/>
    <w:pPr>
      <w:ind w:firstLine="420" w:firstLineChars="200"/>
    </w:pPr>
    <w:rPr>
      <w:rFonts w:ascii="Calibri" w:hAnsi="Calibri" w:cs="黑体"/>
      <w:szCs w:val="24"/>
    </w:rPr>
  </w:style>
  <w:style w:type="paragraph" w:styleId="72">
    <w:name w:val="List Paragraph"/>
    <w:basedOn w:val="1"/>
    <w:qFormat/>
    <w:uiPriority w:val="0"/>
    <w:pPr>
      <w:ind w:firstLine="420"/>
    </w:pPr>
  </w:style>
  <w:style w:type="paragraph" w:customStyle="1" w:styleId="73">
    <w:name w:val="Body Text First Indent 21"/>
    <w:basedOn w:val="1"/>
    <w:qFormat/>
    <w:uiPriority w:val="0"/>
    <w:pPr>
      <w:ind w:left="420" w:leftChars="200" w:firstLine="420"/>
    </w:pPr>
  </w:style>
  <w:style w:type="paragraph" w:customStyle="1" w:styleId="74">
    <w:name w:val="表"/>
    <w:basedOn w:val="1"/>
    <w:qFormat/>
    <w:uiPriority w:val="0"/>
    <w:pPr>
      <w:spacing w:line="360" w:lineRule="auto"/>
    </w:pPr>
    <w:rPr>
      <w:rFonts w:cs="Garamond"/>
      <w:b/>
      <w:bCs/>
      <w:color w:val="FF0000"/>
    </w:rPr>
  </w:style>
  <w:style w:type="paragraph" w:customStyle="1" w:styleId="75">
    <w:name w:val="纯文本1"/>
    <w:basedOn w:val="1"/>
    <w:qFormat/>
    <w:uiPriority w:val="0"/>
    <w:rPr>
      <w:rFonts w:ascii="宋体" w:hAnsi="Courier New"/>
    </w:rPr>
  </w:style>
  <w:style w:type="paragraph" w:customStyle="1" w:styleId="76">
    <w:name w:val="Char"/>
    <w:basedOn w:val="1"/>
    <w:uiPriority w:val="0"/>
    <w:pPr>
      <w:widowControl/>
      <w:spacing w:after="160" w:afterLines="0" w:line="240" w:lineRule="exact"/>
      <w:jc w:val="left"/>
    </w:pPr>
  </w:style>
  <w:style w:type="paragraph" w:customStyle="1" w:styleId="77">
    <w:name w:val="表中文字"/>
    <w:basedOn w:val="1"/>
    <w:qFormat/>
    <w:uiPriority w:val="0"/>
    <w:pPr>
      <w:widowControl/>
      <w:ind w:firstLine="425" w:firstLineChars="177"/>
    </w:pPr>
    <w:rPr>
      <w:rFonts w:eastAsia="仿宋_GB2312"/>
      <w:sz w:val="24"/>
    </w:rPr>
  </w:style>
  <w:style w:type="paragraph" w:customStyle="1" w:styleId="78">
    <w:name w:val="footer"/>
    <w:basedOn w:val="1"/>
    <w:uiPriority w:val="0"/>
    <w:pPr>
      <w:tabs>
        <w:tab w:val="center" w:pos="4153"/>
        <w:tab w:val="right" w:pos="8306"/>
      </w:tabs>
      <w:snapToGrid w:val="0"/>
      <w:jc w:val="left"/>
    </w:pPr>
    <w:rPr>
      <w:kern w:val="0"/>
      <w:sz w:val="18"/>
    </w:rPr>
  </w:style>
  <w:style w:type="paragraph" w:customStyle="1" w:styleId="79">
    <w:name w:val="p0"/>
    <w:basedOn w:val="1"/>
    <w:uiPriority w:val="0"/>
    <w:pPr>
      <w:widowControl/>
    </w:pPr>
    <w:rPr>
      <w:kern w:val="0"/>
      <w:szCs w:val="21"/>
    </w:rPr>
  </w:style>
  <w:style w:type="paragraph" w:customStyle="1" w:styleId="80">
    <w:name w:val="表格文字2"/>
    <w:basedOn w:val="66"/>
    <w:qFormat/>
    <w:uiPriority w:val="0"/>
    <w:rPr>
      <w:rFonts w:ascii="宋体" w:hAnsi="宋体"/>
      <w:bCs w:val="0"/>
      <w:spacing w:val="-4"/>
      <w:kern w:val="0"/>
      <w:sz w:val="32"/>
      <w:szCs w:val="32"/>
      <w:lang w:val="zh-CN"/>
    </w:rPr>
  </w:style>
  <w:style w:type="paragraph" w:styleId="81">
    <w:name w:val=""/>
    <w:unhideWhenUsed/>
    <w:uiPriority w:val="99"/>
    <w:rPr>
      <w:kern w:val="2"/>
      <w:sz w:val="21"/>
      <w:lang w:val="en-US" w:eastAsia="zh-CN" w:bidi="ar-SA"/>
    </w:rPr>
  </w:style>
  <w:style w:type="paragraph" w:customStyle="1" w:styleId="82">
    <w:name w:val="表首行"/>
    <w:basedOn w:val="77"/>
    <w:uiPriority w:val="0"/>
    <w:pPr>
      <w:ind w:firstLine="0" w:firstLineChars="0"/>
      <w:jc w:val="center"/>
    </w:pPr>
    <w:rPr>
      <w:rFonts w:ascii="黑体" w:eastAsia="黑体"/>
      <w:b/>
      <w:bCs/>
      <w:sz w:val="21"/>
      <w:szCs w:val="24"/>
    </w:rPr>
  </w:style>
  <w:style w:type="paragraph" w:customStyle="1" w:styleId="83">
    <w:name w:val="章标题"/>
    <w:basedOn w:val="5"/>
    <w:next w:val="3"/>
    <w:uiPriority w:val="0"/>
    <w:pPr>
      <w:numPr>
        <w:ilvl w:val="0"/>
        <w:numId w:val="1"/>
      </w:numPr>
      <w:tabs>
        <w:tab w:val="left" w:pos="2036"/>
      </w:tabs>
      <w:adjustRightInd w:val="0"/>
      <w:snapToGrid w:val="0"/>
      <w:spacing w:before="120" w:after="120" w:line="360" w:lineRule="auto"/>
    </w:pPr>
    <w:rPr>
      <w:rFonts w:ascii="Times New Roman" w:hAnsi="宋体"/>
      <w:sz w:val="48"/>
      <w:szCs w:val="48"/>
    </w:rPr>
  </w:style>
  <w:style w:type="paragraph" w:customStyle="1" w:styleId="84">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85">
    <w:name w:val="txt"/>
    <w:basedOn w:val="1"/>
    <w:uiPriority w:val="0"/>
    <w:pPr>
      <w:widowControl/>
      <w:spacing w:before="100" w:beforeAutospacing="1" w:after="100" w:afterAutospacing="1"/>
      <w:jc w:val="left"/>
    </w:pPr>
    <w:rPr>
      <w:rFonts w:ascii="宋体" w:hAnsi="宋体" w:cs="宋体"/>
      <w:kern w:val="0"/>
      <w:sz w:val="24"/>
      <w:szCs w:val="24"/>
    </w:rPr>
  </w:style>
  <w:style w:type="table" w:customStyle="1" w:styleId="86">
    <w:name w:val="网格型1"/>
    <w:basedOn w:val="28"/>
    <w:uiPriority w:val="59"/>
    <w:rPr>
      <w:rFonts w:eastAsia="Times New Roman"/>
      <w:kern w:val="2"/>
      <w:sz w:val="21"/>
      <w:szCs w:val="22"/>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header7.xml" Type="http://schemas.openxmlformats.org/officeDocument/2006/relationships/header"/><Relationship Id="rId15" Target="footer6.xml" Type="http://schemas.openxmlformats.org/officeDocument/2006/relationships/footer"/><Relationship Id="rId16" Target="header8.xml" Type="http://schemas.openxmlformats.org/officeDocument/2006/relationships/header"/><Relationship Id="rId17" Target="header9.xml" Type="http://schemas.openxmlformats.org/officeDocument/2006/relationships/header"/><Relationship Id="rId18" Target="header10.xml" Type="http://schemas.openxmlformats.org/officeDocument/2006/relationships/header"/><Relationship Id="rId19" Target="footer7.xml" Type="http://schemas.openxmlformats.org/officeDocument/2006/relationships/footer"/><Relationship Id="rId2" Target="settings.xml" Type="http://schemas.openxmlformats.org/officeDocument/2006/relationships/settings"/><Relationship Id="rId20" Target="footer8.xml" Type="http://schemas.openxmlformats.org/officeDocument/2006/relationships/footer"/><Relationship Id="rId21" Target="header11.xml" Type="http://schemas.openxmlformats.org/officeDocument/2006/relationships/header"/><Relationship Id="rId22" Target="footer9.xml" Type="http://schemas.openxmlformats.org/officeDocument/2006/relationships/footer"/><Relationship Id="rId23" Target="header12.xml" Type="http://schemas.openxmlformats.org/officeDocument/2006/relationships/header"/><Relationship Id="rId24" Target="footer10.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41294</Words>
  <Characters>43164</Characters>
  <Lines>340</Lines>
  <Paragraphs>95</Paragraphs>
  <TotalTime>9</TotalTime>
  <ScaleCrop>false</ScaleCrop>
  <LinksUpToDate>false</LinksUpToDate>
  <CharactersWithSpaces>44991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2022-06-01T03:14:00Z</dcterms:created>
  <dc:creator>微软用户</dc:creator>
  <cp:lastModifiedBy>WPS_1701756769</cp:lastModifiedBy>
  <cp:lastPrinted>2022-06-01T01:41:00Z</cp:lastPrinted>
  <dcterms:modified xsi:type="dcterms:W3CDTF">2024-02-22T06:49:24Z</dcterms:modified>
  <cp:revision>12</cp:revision>
  <dc:title>国内招标文件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7120D75F68D84790B106C7D5FE70B1A1_13</vt:lpwstr>
  </property>
</Properties>
</file>