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ajorEastAsia" w:hAnsiTheme="majorEastAsia" w:eastAsiaTheme="majorEastAsia"/>
          <w:color w:val="auto"/>
          <w:sz w:val="48"/>
          <w:szCs w:val="48"/>
        </w:rPr>
      </w:pPr>
    </w:p>
    <w:p>
      <w:pPr>
        <w:spacing w:line="360" w:lineRule="auto"/>
        <w:jc w:val="center"/>
        <w:rPr>
          <w:rFonts w:cs="仿宋_GB2312" w:asciiTheme="majorEastAsia" w:hAnsiTheme="majorEastAsia" w:eastAsiaTheme="majorEastAsia"/>
          <w:color w:val="auto"/>
          <w:sz w:val="48"/>
          <w:szCs w:val="48"/>
        </w:rPr>
      </w:pPr>
      <w:r>
        <w:rPr>
          <w:rFonts w:hint="eastAsia" w:cs="仿宋_GB2312" w:asciiTheme="majorEastAsia" w:hAnsiTheme="majorEastAsia" w:eastAsiaTheme="majorEastAsia"/>
          <w:color w:val="auto"/>
          <w:sz w:val="48"/>
          <w:szCs w:val="48"/>
        </w:rPr>
        <w:t xml:space="preserve"> </w:t>
      </w:r>
      <w:r>
        <w:rPr>
          <w:rFonts w:hint="eastAsia" w:cs="仿宋_GB2312" w:asciiTheme="majorEastAsia" w:hAnsiTheme="majorEastAsia" w:eastAsiaTheme="majorEastAsia"/>
          <w:color w:val="auto"/>
          <w:sz w:val="48"/>
          <w:szCs w:val="48"/>
          <w:u w:val="single"/>
        </w:rPr>
        <w:t>奉化区柏坑水库扩容工程施工地质咨询服务</w:t>
      </w:r>
      <w:r>
        <w:rPr>
          <w:rFonts w:hint="eastAsia" w:cs="仿宋_GB2312" w:asciiTheme="majorEastAsia" w:hAnsiTheme="majorEastAsia" w:eastAsiaTheme="majorEastAsia"/>
          <w:color w:val="auto"/>
          <w:sz w:val="48"/>
          <w:szCs w:val="48"/>
        </w:rPr>
        <w:t>项目</w:t>
      </w:r>
    </w:p>
    <w:p>
      <w:pPr>
        <w:spacing w:line="360" w:lineRule="auto"/>
        <w:jc w:val="center"/>
        <w:rPr>
          <w:rFonts w:cs="仿宋_GB2312" w:asciiTheme="majorEastAsia" w:hAnsiTheme="majorEastAsia" w:eastAsiaTheme="majorEastAsia"/>
          <w:color w:val="auto"/>
          <w:sz w:val="48"/>
          <w:szCs w:val="48"/>
        </w:rPr>
      </w:pPr>
      <w:r>
        <w:rPr>
          <w:rFonts w:hint="eastAsia" w:cs="仿宋_GB2312" w:asciiTheme="majorEastAsia" w:hAnsiTheme="majorEastAsia" w:eastAsiaTheme="majorEastAsia"/>
          <w:color w:val="auto"/>
          <w:sz w:val="48"/>
          <w:szCs w:val="48"/>
        </w:rPr>
        <w:t>招标文件</w:t>
      </w:r>
    </w:p>
    <w:p>
      <w:pPr>
        <w:spacing w:line="360" w:lineRule="auto"/>
        <w:jc w:val="center"/>
        <w:rPr>
          <w:rFonts w:cs="仿宋_GB2312" w:asciiTheme="majorEastAsia" w:hAnsiTheme="majorEastAsia" w:eastAsiaTheme="majorEastAsia"/>
          <w:b/>
          <w:color w:val="auto"/>
          <w:sz w:val="44"/>
          <w:szCs w:val="44"/>
        </w:rPr>
      </w:pPr>
      <w:r>
        <w:rPr>
          <w:rFonts w:cs="仿宋_GB2312" w:asciiTheme="majorEastAsia" w:hAnsiTheme="majorEastAsia" w:eastAsiaTheme="majorEastAsia"/>
          <w:b/>
          <w:color w:val="auto"/>
          <w:sz w:val="44"/>
          <w:szCs w:val="44"/>
        </w:rPr>
        <w:t xml:space="preserve"> （电子招投标）</w:t>
      </w:r>
    </w:p>
    <w:p>
      <w:pPr>
        <w:snapToGrid w:val="0"/>
        <w:spacing w:line="360" w:lineRule="auto"/>
        <w:jc w:val="center"/>
        <w:rPr>
          <w:rFonts w:cs="仿宋_GB2312" w:asciiTheme="majorEastAsia" w:hAnsiTheme="majorEastAsia" w:eastAsiaTheme="majorEastAsia"/>
          <w:color w:val="auto"/>
          <w:sz w:val="30"/>
          <w:szCs w:val="30"/>
        </w:rPr>
      </w:pPr>
      <w:r>
        <w:rPr>
          <w:rFonts w:hint="eastAsia" w:cs="仿宋_GB2312" w:asciiTheme="majorEastAsia" w:hAnsiTheme="majorEastAsia" w:eastAsiaTheme="majorEastAsia"/>
          <w:color w:val="auto"/>
          <w:sz w:val="30"/>
          <w:szCs w:val="30"/>
        </w:rPr>
        <w:t>编号</w:t>
      </w:r>
      <w:r>
        <w:rPr>
          <w:rFonts w:cs="仿宋_GB2312" w:asciiTheme="majorEastAsia" w:hAnsiTheme="majorEastAsia" w:eastAsiaTheme="majorEastAsia"/>
          <w:color w:val="auto"/>
          <w:sz w:val="30"/>
          <w:szCs w:val="30"/>
        </w:rPr>
        <w:t>:</w:t>
      </w:r>
      <w:r>
        <w:rPr>
          <w:rFonts w:asciiTheme="majorEastAsia" w:hAnsiTheme="majorEastAsia" w:eastAsiaTheme="majorEastAsia"/>
          <w:color w:val="auto"/>
        </w:rPr>
        <w:t xml:space="preserve"> </w:t>
      </w:r>
      <w:r>
        <w:rPr>
          <w:rFonts w:cs="仿宋_GB2312" w:asciiTheme="majorEastAsia" w:hAnsiTheme="majorEastAsia" w:eastAsiaTheme="majorEastAsia"/>
          <w:color w:val="auto"/>
          <w:sz w:val="30"/>
          <w:szCs w:val="30"/>
          <w:highlight w:val="none"/>
        </w:rPr>
        <w:t>FHGQZB(2022)</w:t>
      </w:r>
      <w:r>
        <w:rPr>
          <w:rFonts w:hint="eastAsia" w:cs="仿宋_GB2312" w:asciiTheme="majorEastAsia" w:hAnsiTheme="majorEastAsia" w:eastAsiaTheme="majorEastAsia"/>
          <w:color w:val="auto"/>
          <w:sz w:val="30"/>
          <w:szCs w:val="30"/>
          <w:highlight w:val="none"/>
          <w:lang w:val="en-US" w:eastAsia="zh-CN"/>
        </w:rPr>
        <w:t>316</w:t>
      </w:r>
      <w:r>
        <w:rPr>
          <w:rFonts w:cs="仿宋_GB2312" w:asciiTheme="majorEastAsia" w:hAnsiTheme="majorEastAsia" w:eastAsiaTheme="majorEastAsia"/>
          <w:color w:val="auto"/>
          <w:sz w:val="30"/>
          <w:szCs w:val="30"/>
          <w:highlight w:val="none"/>
        </w:rPr>
        <w:t>D</w:t>
      </w:r>
    </w:p>
    <w:p>
      <w:pPr>
        <w:spacing w:line="360" w:lineRule="auto"/>
        <w:rPr>
          <w:rFonts w:cs="仿宋_GB2312" w:asciiTheme="majorEastAsia" w:hAnsiTheme="majorEastAsia" w:eastAsiaTheme="majorEastAsia"/>
          <w:color w:val="auto"/>
          <w:sz w:val="28"/>
          <w:szCs w:val="20"/>
        </w:rPr>
      </w:pPr>
    </w:p>
    <w:p>
      <w:pPr>
        <w:spacing w:line="360" w:lineRule="auto"/>
        <w:jc w:val="center"/>
        <w:rPr>
          <w:rFonts w:cs="仿宋_GB2312" w:asciiTheme="majorEastAsia" w:hAnsiTheme="majorEastAsia" w:eastAsiaTheme="majorEastAsia"/>
          <w:b/>
          <w:color w:val="auto"/>
          <w:sz w:val="44"/>
          <w:szCs w:val="44"/>
        </w:rPr>
      </w:pPr>
      <w:r>
        <w:rPr>
          <w:rFonts w:cs="仿宋_GB2312" w:asciiTheme="majorEastAsia" w:hAnsiTheme="majorEastAsia" w:eastAsiaTheme="majorEastAsia"/>
          <w:b/>
          <w:color w:val="auto"/>
          <w:sz w:val="44"/>
          <w:szCs w:val="44"/>
        </w:rPr>
        <w:t xml:space="preserve"> </w:t>
      </w:r>
    </w:p>
    <w:p>
      <w:pPr>
        <w:spacing w:line="360" w:lineRule="auto"/>
        <w:jc w:val="center"/>
        <w:rPr>
          <w:rFonts w:cs="仿宋_GB2312" w:asciiTheme="majorEastAsia" w:hAnsiTheme="majorEastAsia" w:eastAsiaTheme="majorEastAsia"/>
          <w:b/>
          <w:color w:val="auto"/>
          <w:sz w:val="44"/>
          <w:szCs w:val="44"/>
        </w:rPr>
      </w:pPr>
    </w:p>
    <w:p>
      <w:pPr>
        <w:pStyle w:val="2"/>
        <w:ind w:firstLine="560"/>
        <w:rPr>
          <w:color w:val="auto"/>
        </w:rPr>
      </w:pPr>
    </w:p>
    <w:p>
      <w:pPr>
        <w:pStyle w:val="2"/>
        <w:ind w:firstLine="560"/>
        <w:rPr>
          <w:color w:val="auto"/>
        </w:rPr>
      </w:pPr>
    </w:p>
    <w:p>
      <w:pPr>
        <w:pStyle w:val="2"/>
        <w:ind w:firstLine="560"/>
        <w:rPr>
          <w:color w:val="auto"/>
        </w:rPr>
      </w:pPr>
    </w:p>
    <w:p>
      <w:pPr>
        <w:pStyle w:val="2"/>
        <w:ind w:firstLine="560"/>
        <w:rPr>
          <w:color w:val="auto"/>
        </w:rPr>
      </w:pPr>
    </w:p>
    <w:p>
      <w:pPr>
        <w:pStyle w:val="2"/>
        <w:ind w:firstLine="560"/>
        <w:rPr>
          <w:color w:val="auto"/>
        </w:rPr>
      </w:pPr>
    </w:p>
    <w:p>
      <w:pPr>
        <w:pStyle w:val="2"/>
        <w:ind w:firstLine="560"/>
        <w:rPr>
          <w:color w:val="auto"/>
        </w:rPr>
      </w:pPr>
    </w:p>
    <w:p>
      <w:pPr>
        <w:spacing w:line="360" w:lineRule="auto"/>
        <w:jc w:val="center"/>
        <w:rPr>
          <w:rFonts w:cs="仿宋_GB2312" w:asciiTheme="majorEastAsia" w:hAnsiTheme="majorEastAsia" w:eastAsiaTheme="majorEastAsia"/>
          <w:color w:val="auto"/>
          <w:sz w:val="24"/>
        </w:rPr>
      </w:pPr>
    </w:p>
    <w:p>
      <w:pPr>
        <w:spacing w:line="360" w:lineRule="auto"/>
        <w:jc w:val="center"/>
        <w:rPr>
          <w:rFonts w:cs="仿宋_GB2312" w:asciiTheme="majorEastAsia" w:hAnsiTheme="majorEastAsia" w:eastAsiaTheme="majorEastAsia"/>
          <w:color w:val="auto"/>
          <w:sz w:val="24"/>
        </w:rPr>
      </w:pPr>
    </w:p>
    <w:p>
      <w:pPr>
        <w:spacing w:line="360" w:lineRule="auto"/>
        <w:rPr>
          <w:rFonts w:cs="仿宋_GB2312" w:asciiTheme="majorEastAsia" w:hAnsiTheme="majorEastAsia" w:eastAsiaTheme="majorEastAsia"/>
          <w:color w:val="auto"/>
          <w:sz w:val="32"/>
          <w:szCs w:val="32"/>
        </w:rPr>
      </w:pPr>
    </w:p>
    <w:p>
      <w:pPr>
        <w:keepNext w:val="0"/>
        <w:keepLines w:val="0"/>
        <w:pageBreakBefore w:val="0"/>
        <w:widowControl w:val="0"/>
        <w:kinsoku/>
        <w:wordWrap/>
        <w:overflowPunct/>
        <w:topLinePunct w:val="0"/>
        <w:bidi w:val="0"/>
        <w:snapToGrid w:val="0"/>
        <w:spacing w:line="360" w:lineRule="auto"/>
        <w:ind w:firstLine="960" w:firstLineChars="3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采购</w:t>
      </w:r>
      <w:r>
        <w:rPr>
          <w:rFonts w:hint="eastAsia" w:asciiTheme="minorEastAsia" w:hAnsiTheme="minorEastAsia" w:eastAsiaTheme="minorEastAsia" w:cstheme="minorEastAsia"/>
          <w:bCs/>
          <w:color w:val="auto"/>
          <w:sz w:val="32"/>
          <w:szCs w:val="32"/>
          <w:lang w:eastAsia="zh-CN"/>
        </w:rPr>
        <w:t xml:space="preserve">人：宁波市奉化区力兴水利投资有限责任公司 </w:t>
      </w:r>
    </w:p>
    <w:p>
      <w:pPr>
        <w:snapToGrid w:val="0"/>
        <w:spacing w:line="360" w:lineRule="auto"/>
        <w:jc w:val="center"/>
        <w:rPr>
          <w:rFonts w:cs="仿宋_GB2312" w:asciiTheme="majorEastAsia" w:hAnsiTheme="majorEastAsia" w:eastAsiaTheme="majorEastAsia"/>
          <w:bCs/>
          <w:color w:val="auto"/>
          <w:sz w:val="32"/>
          <w:szCs w:val="32"/>
        </w:rPr>
      </w:pPr>
      <w:r>
        <w:rPr>
          <w:rFonts w:hint="eastAsia" w:asciiTheme="minorEastAsia" w:hAnsiTheme="minorEastAsia" w:eastAsiaTheme="minorEastAsia" w:cstheme="minorEastAsia"/>
          <w:bCs/>
          <w:color w:val="auto"/>
          <w:sz w:val="32"/>
          <w:szCs w:val="32"/>
        </w:rPr>
        <w:t>采购代理机构：</w:t>
      </w:r>
      <w:r>
        <w:rPr>
          <w:rFonts w:hint="eastAsia" w:asciiTheme="minorEastAsia" w:hAnsiTheme="minorEastAsia" w:eastAsiaTheme="minorEastAsia" w:cstheme="minorEastAsia"/>
          <w:bCs/>
          <w:color w:val="auto"/>
          <w:sz w:val="32"/>
          <w:szCs w:val="32"/>
          <w:lang w:eastAsia="zh-CN"/>
        </w:rPr>
        <w:t>宁波方圆招标咨询有限公司</w:t>
      </w:r>
    </w:p>
    <w:p>
      <w:pPr>
        <w:snapToGrid w:val="0"/>
        <w:spacing w:line="360" w:lineRule="auto"/>
        <w:jc w:val="center"/>
        <w:rPr>
          <w:rFonts w:cs="仿宋_GB2312" w:asciiTheme="majorEastAsia" w:hAnsiTheme="majorEastAsia" w:eastAsiaTheme="majorEastAsia"/>
          <w:bCs/>
          <w:color w:val="auto"/>
          <w:sz w:val="32"/>
          <w:szCs w:val="32"/>
        </w:rPr>
      </w:pPr>
      <w:r>
        <w:rPr>
          <w:rFonts w:hint="eastAsia" w:cs="仿宋_GB2312" w:asciiTheme="majorEastAsia" w:hAnsiTheme="majorEastAsia" w:eastAsiaTheme="majorEastAsia"/>
          <w:bCs/>
          <w:color w:val="auto"/>
          <w:sz w:val="32"/>
          <w:szCs w:val="32"/>
        </w:rPr>
        <w:t>二零二二年</w:t>
      </w:r>
      <w:r>
        <w:rPr>
          <w:rFonts w:hint="eastAsia" w:cs="仿宋_GB2312" w:asciiTheme="majorEastAsia" w:hAnsiTheme="majorEastAsia" w:eastAsiaTheme="majorEastAsia"/>
          <w:bCs/>
          <w:color w:val="auto"/>
          <w:sz w:val="32"/>
          <w:szCs w:val="32"/>
          <w:lang w:val="en-US" w:eastAsia="zh-CN"/>
        </w:rPr>
        <w:t>十一</w:t>
      </w:r>
      <w:r>
        <w:rPr>
          <w:rFonts w:hint="eastAsia" w:cs="仿宋_GB2312" w:asciiTheme="majorEastAsia" w:hAnsiTheme="majorEastAsia" w:eastAsiaTheme="majorEastAsia"/>
          <w:bCs/>
          <w:color w:val="auto"/>
          <w:sz w:val="32"/>
          <w:szCs w:val="32"/>
        </w:rPr>
        <w:t>月</w:t>
      </w:r>
    </w:p>
    <w:p>
      <w:pPr>
        <w:spacing w:line="360" w:lineRule="auto"/>
        <w:jc w:val="center"/>
        <w:rPr>
          <w:rFonts w:cs="仿宋_GB2312" w:asciiTheme="majorEastAsia" w:hAnsiTheme="majorEastAsia" w:eastAsiaTheme="majorEastAsia"/>
          <w:color w:val="auto"/>
          <w:sz w:val="24"/>
        </w:rPr>
      </w:pPr>
      <w:r>
        <w:rPr>
          <w:rFonts w:cs="仿宋_GB2312" w:asciiTheme="majorEastAsia" w:hAnsiTheme="majorEastAsia" w:eastAsiaTheme="majorEastAsia"/>
          <w:color w:val="auto"/>
          <w:sz w:val="24"/>
        </w:rPr>
        <w:br w:type="page"/>
      </w:r>
      <w:bookmarkStart w:id="0" w:name="_Hlt67893495"/>
      <w:bookmarkEnd w:id="0"/>
    </w:p>
    <w:p>
      <w:pPr>
        <w:spacing w:line="360" w:lineRule="auto"/>
        <w:jc w:val="center"/>
        <w:rPr>
          <w:rFonts w:cs="仿宋_GB2312" w:asciiTheme="majorEastAsia" w:hAnsiTheme="majorEastAsia" w:eastAsiaTheme="majorEastAsia"/>
          <w:color w:val="auto"/>
          <w:sz w:val="24"/>
        </w:rPr>
      </w:pPr>
    </w:p>
    <w:p>
      <w:pPr>
        <w:spacing w:line="360" w:lineRule="auto"/>
        <w:jc w:val="center"/>
        <w:rPr>
          <w:rFonts w:cs="仿宋_GB2312" w:asciiTheme="majorEastAsia" w:hAnsiTheme="majorEastAsia" w:eastAsiaTheme="majorEastAsia"/>
          <w:b/>
          <w:color w:val="auto"/>
          <w:sz w:val="48"/>
          <w:szCs w:val="48"/>
        </w:rPr>
      </w:pPr>
      <w:r>
        <w:rPr>
          <w:rFonts w:hint="eastAsia" w:cs="仿宋_GB2312" w:asciiTheme="majorEastAsia" w:hAnsiTheme="majorEastAsia" w:eastAsiaTheme="majorEastAsia"/>
          <w:b/>
          <w:color w:val="auto"/>
          <w:sz w:val="48"/>
          <w:szCs w:val="48"/>
        </w:rPr>
        <w:t>目</w:t>
      </w:r>
      <w:r>
        <w:rPr>
          <w:rFonts w:cs="仿宋_GB2312" w:asciiTheme="majorEastAsia" w:hAnsiTheme="majorEastAsia" w:eastAsiaTheme="majorEastAsia"/>
          <w:b/>
          <w:color w:val="auto"/>
          <w:sz w:val="48"/>
          <w:szCs w:val="48"/>
        </w:rPr>
        <w:t xml:space="preserve">  </w:t>
      </w:r>
      <w:r>
        <w:rPr>
          <w:rFonts w:hint="eastAsia" w:cs="仿宋_GB2312" w:asciiTheme="majorEastAsia" w:hAnsiTheme="majorEastAsia" w:eastAsiaTheme="majorEastAsia"/>
          <w:b/>
          <w:color w:val="auto"/>
          <w:sz w:val="48"/>
          <w:szCs w:val="48"/>
        </w:rPr>
        <w:t>录</w:t>
      </w:r>
    </w:p>
    <w:p>
      <w:pPr>
        <w:spacing w:line="360" w:lineRule="auto"/>
        <w:rPr>
          <w:rFonts w:cs="仿宋_GB2312" w:asciiTheme="majorEastAsia" w:hAnsiTheme="majorEastAsia" w:eastAsiaTheme="majorEastAsia"/>
          <w:color w:val="auto"/>
          <w:sz w:val="32"/>
          <w:szCs w:val="32"/>
        </w:rPr>
      </w:pPr>
    </w:p>
    <w:p>
      <w:pPr>
        <w:spacing w:line="360" w:lineRule="auto"/>
        <w:rPr>
          <w:rFonts w:cs="仿宋_GB2312" w:asciiTheme="majorEastAsia" w:hAnsiTheme="majorEastAsia" w:eastAsiaTheme="majorEastAsia"/>
          <w:color w:val="auto"/>
          <w:sz w:val="32"/>
          <w:szCs w:val="32"/>
        </w:rPr>
      </w:pPr>
    </w:p>
    <w:p>
      <w:pPr>
        <w:spacing w:line="360" w:lineRule="auto"/>
        <w:ind w:firstLine="1280" w:firstLineChars="400"/>
        <w:rPr>
          <w:rFonts w:cs="仿宋" w:asciiTheme="majorEastAsia" w:hAnsiTheme="majorEastAsia" w:eastAsiaTheme="majorEastAsia"/>
          <w:color w:val="auto"/>
          <w:sz w:val="32"/>
          <w:szCs w:val="32"/>
        </w:rPr>
      </w:pPr>
      <w:r>
        <w:rPr>
          <w:rFonts w:hint="eastAsia" w:cs="仿宋" w:asciiTheme="majorEastAsia" w:hAnsiTheme="majorEastAsia" w:eastAsiaTheme="majorEastAsia"/>
          <w:color w:val="auto"/>
          <w:sz w:val="32"/>
          <w:szCs w:val="32"/>
        </w:rPr>
        <w:t>第一部分      招标公告</w:t>
      </w:r>
    </w:p>
    <w:p>
      <w:pPr>
        <w:spacing w:line="360" w:lineRule="auto"/>
        <w:ind w:firstLine="1280" w:firstLineChars="400"/>
        <w:rPr>
          <w:rFonts w:cs="仿宋" w:asciiTheme="majorEastAsia" w:hAnsiTheme="majorEastAsia" w:eastAsiaTheme="majorEastAsia"/>
          <w:color w:val="auto"/>
          <w:sz w:val="32"/>
          <w:szCs w:val="32"/>
        </w:rPr>
      </w:pPr>
      <w:r>
        <w:rPr>
          <w:rFonts w:hint="eastAsia" w:cs="仿宋" w:asciiTheme="majorEastAsia" w:hAnsiTheme="majorEastAsia" w:eastAsiaTheme="majorEastAsia"/>
          <w:color w:val="auto"/>
          <w:sz w:val="32"/>
          <w:szCs w:val="32"/>
        </w:rPr>
        <w:t>第二部分      投标须知</w:t>
      </w:r>
    </w:p>
    <w:p>
      <w:pPr>
        <w:spacing w:line="360" w:lineRule="auto"/>
        <w:ind w:firstLine="1280" w:firstLineChars="400"/>
        <w:rPr>
          <w:rFonts w:cs="仿宋" w:asciiTheme="majorEastAsia" w:hAnsiTheme="majorEastAsia" w:eastAsiaTheme="majorEastAsia"/>
          <w:color w:val="auto"/>
          <w:sz w:val="32"/>
          <w:szCs w:val="32"/>
        </w:rPr>
      </w:pPr>
      <w:r>
        <w:rPr>
          <w:rFonts w:hint="eastAsia" w:cs="仿宋" w:asciiTheme="majorEastAsia" w:hAnsiTheme="majorEastAsia" w:eastAsiaTheme="majorEastAsia"/>
          <w:color w:val="auto"/>
          <w:sz w:val="32"/>
          <w:szCs w:val="32"/>
        </w:rPr>
        <w:t>第三部分      采购需求</w:t>
      </w:r>
    </w:p>
    <w:p>
      <w:pPr>
        <w:spacing w:line="360" w:lineRule="auto"/>
        <w:ind w:firstLine="1280" w:firstLineChars="400"/>
        <w:rPr>
          <w:rFonts w:cs="仿宋" w:asciiTheme="majorEastAsia" w:hAnsiTheme="majorEastAsia" w:eastAsiaTheme="majorEastAsia"/>
          <w:color w:val="auto"/>
          <w:sz w:val="32"/>
          <w:szCs w:val="32"/>
        </w:rPr>
      </w:pPr>
      <w:r>
        <w:rPr>
          <w:rFonts w:hint="eastAsia" w:cs="仿宋" w:asciiTheme="majorEastAsia" w:hAnsiTheme="majorEastAsia" w:eastAsiaTheme="majorEastAsia"/>
          <w:color w:val="auto"/>
          <w:sz w:val="32"/>
          <w:szCs w:val="32"/>
        </w:rPr>
        <w:t>第四部分      评标办法</w:t>
      </w:r>
    </w:p>
    <w:p>
      <w:pPr>
        <w:spacing w:line="360" w:lineRule="auto"/>
        <w:ind w:firstLine="1280" w:firstLineChars="400"/>
        <w:rPr>
          <w:rFonts w:cs="仿宋" w:asciiTheme="majorEastAsia" w:hAnsiTheme="majorEastAsia" w:eastAsiaTheme="majorEastAsia"/>
          <w:color w:val="auto"/>
          <w:sz w:val="32"/>
          <w:szCs w:val="32"/>
        </w:rPr>
      </w:pPr>
      <w:r>
        <w:rPr>
          <w:rFonts w:hint="eastAsia" w:cs="仿宋" w:asciiTheme="majorEastAsia" w:hAnsiTheme="majorEastAsia" w:eastAsiaTheme="majorEastAsia"/>
          <w:color w:val="auto"/>
          <w:sz w:val="32"/>
          <w:szCs w:val="32"/>
        </w:rPr>
        <w:t>第五部分      拟签订的合同文本</w:t>
      </w:r>
    </w:p>
    <w:p>
      <w:pPr>
        <w:spacing w:line="360" w:lineRule="auto"/>
        <w:ind w:firstLine="1280" w:firstLineChars="400"/>
        <w:rPr>
          <w:rFonts w:cs="仿宋" w:asciiTheme="majorEastAsia" w:hAnsiTheme="majorEastAsia" w:eastAsiaTheme="majorEastAsia"/>
          <w:color w:val="auto"/>
          <w:sz w:val="32"/>
          <w:szCs w:val="32"/>
        </w:rPr>
      </w:pPr>
      <w:r>
        <w:rPr>
          <w:rFonts w:hint="eastAsia" w:cs="仿宋" w:asciiTheme="majorEastAsia" w:hAnsiTheme="majorEastAsia" w:eastAsiaTheme="majorEastAsia"/>
          <w:color w:val="auto"/>
          <w:sz w:val="32"/>
          <w:szCs w:val="32"/>
        </w:rPr>
        <w:t>第六部分      应提交的有关格式范例</w:t>
      </w:r>
    </w:p>
    <w:p>
      <w:pPr>
        <w:spacing w:line="360" w:lineRule="auto"/>
        <w:ind w:firstLine="549" w:firstLineChars="229"/>
        <w:rPr>
          <w:rFonts w:cs="仿宋" w:asciiTheme="majorEastAsia" w:hAnsiTheme="majorEastAsia" w:eastAsiaTheme="majorEastAsia"/>
          <w:color w:val="auto"/>
          <w:sz w:val="24"/>
        </w:rPr>
      </w:pPr>
      <w:bookmarkStart w:id="1" w:name="_Hlt91233176"/>
      <w:bookmarkEnd w:id="1"/>
      <w:bookmarkStart w:id="2" w:name="_Toc91899869"/>
    </w:p>
    <w:p>
      <w:pPr>
        <w:spacing w:line="360" w:lineRule="auto"/>
        <w:ind w:firstLine="549" w:firstLineChars="229"/>
        <w:rPr>
          <w:rFonts w:cs="仿宋" w:asciiTheme="majorEastAsia" w:hAnsiTheme="majorEastAsia" w:eastAsiaTheme="majorEastAsia"/>
          <w:color w:val="auto"/>
          <w:sz w:val="24"/>
        </w:rPr>
      </w:pPr>
    </w:p>
    <w:p>
      <w:pPr>
        <w:spacing w:line="360" w:lineRule="auto"/>
        <w:ind w:firstLine="549" w:firstLineChars="229"/>
        <w:rPr>
          <w:rFonts w:cs="仿宋" w:asciiTheme="majorEastAsia" w:hAnsiTheme="majorEastAsia" w:eastAsiaTheme="majorEastAsia"/>
          <w:color w:val="auto"/>
          <w:sz w:val="24"/>
        </w:rPr>
      </w:pPr>
    </w:p>
    <w:p>
      <w:pPr>
        <w:spacing w:line="360" w:lineRule="auto"/>
        <w:ind w:firstLine="549" w:firstLineChars="229"/>
        <w:rPr>
          <w:rFonts w:cs="仿宋" w:asciiTheme="majorEastAsia" w:hAnsiTheme="majorEastAsia" w:eastAsiaTheme="majorEastAsia"/>
          <w:color w:val="auto"/>
          <w:sz w:val="24"/>
        </w:rPr>
      </w:pPr>
    </w:p>
    <w:p>
      <w:pPr>
        <w:spacing w:line="360" w:lineRule="auto"/>
        <w:ind w:firstLine="549" w:firstLineChars="229"/>
        <w:rPr>
          <w:rFonts w:cs="仿宋" w:asciiTheme="majorEastAsia" w:hAnsiTheme="majorEastAsia" w:eastAsiaTheme="majorEastAsia"/>
          <w:color w:val="auto"/>
          <w:sz w:val="24"/>
        </w:rPr>
      </w:pPr>
    </w:p>
    <w:p>
      <w:pPr>
        <w:spacing w:line="360" w:lineRule="auto"/>
        <w:ind w:firstLine="549" w:firstLineChars="229"/>
        <w:rPr>
          <w:rFonts w:cs="仿宋" w:asciiTheme="majorEastAsia" w:hAnsiTheme="majorEastAsia" w:eastAsiaTheme="majorEastAsia"/>
          <w:color w:val="auto"/>
          <w:sz w:val="24"/>
        </w:rPr>
      </w:pPr>
    </w:p>
    <w:p>
      <w:pPr>
        <w:spacing w:line="360" w:lineRule="auto"/>
        <w:ind w:firstLine="549" w:firstLineChars="229"/>
        <w:rPr>
          <w:rFonts w:cs="仿宋" w:asciiTheme="majorEastAsia" w:hAnsiTheme="majorEastAsia" w:eastAsiaTheme="majorEastAsia"/>
          <w:color w:val="auto"/>
          <w:sz w:val="24"/>
        </w:rPr>
      </w:pPr>
    </w:p>
    <w:p>
      <w:pPr>
        <w:spacing w:line="360" w:lineRule="auto"/>
        <w:ind w:firstLine="549" w:firstLineChars="229"/>
        <w:rPr>
          <w:rFonts w:cs="仿宋" w:asciiTheme="majorEastAsia" w:hAnsiTheme="majorEastAsia" w:eastAsiaTheme="majorEastAsia"/>
          <w:color w:val="auto"/>
          <w:sz w:val="24"/>
        </w:rPr>
      </w:pPr>
    </w:p>
    <w:p>
      <w:pPr>
        <w:spacing w:line="360" w:lineRule="auto"/>
        <w:ind w:firstLine="549" w:firstLineChars="229"/>
        <w:rPr>
          <w:rFonts w:cs="仿宋" w:asciiTheme="majorEastAsia" w:hAnsiTheme="majorEastAsia" w:eastAsiaTheme="majorEastAsia"/>
          <w:color w:val="auto"/>
          <w:sz w:val="24"/>
        </w:rPr>
      </w:pPr>
    </w:p>
    <w:p>
      <w:pPr>
        <w:spacing w:line="360" w:lineRule="auto"/>
        <w:ind w:firstLine="549" w:firstLineChars="229"/>
        <w:rPr>
          <w:rFonts w:cs="仿宋" w:asciiTheme="majorEastAsia" w:hAnsiTheme="majorEastAsia" w:eastAsiaTheme="majorEastAsia"/>
          <w:color w:val="auto"/>
          <w:sz w:val="24"/>
        </w:rPr>
      </w:pPr>
    </w:p>
    <w:p>
      <w:pPr>
        <w:spacing w:line="360" w:lineRule="auto"/>
        <w:ind w:firstLine="549" w:firstLineChars="229"/>
        <w:rPr>
          <w:rFonts w:cs="仿宋" w:asciiTheme="majorEastAsia" w:hAnsiTheme="majorEastAsia" w:eastAsiaTheme="majorEastAsia"/>
          <w:color w:val="auto"/>
          <w:sz w:val="24"/>
        </w:rPr>
      </w:pPr>
    </w:p>
    <w:p>
      <w:pPr>
        <w:spacing w:line="360" w:lineRule="auto"/>
        <w:ind w:firstLine="549" w:firstLineChars="229"/>
        <w:rPr>
          <w:rFonts w:cs="仿宋" w:asciiTheme="majorEastAsia" w:hAnsiTheme="majorEastAsia" w:eastAsiaTheme="majorEastAsia"/>
          <w:color w:val="auto"/>
          <w:sz w:val="24"/>
        </w:rPr>
      </w:pPr>
    </w:p>
    <w:p>
      <w:pPr>
        <w:spacing w:line="360" w:lineRule="auto"/>
        <w:ind w:firstLine="549" w:firstLineChars="229"/>
        <w:rPr>
          <w:rFonts w:cs="仿宋" w:asciiTheme="majorEastAsia" w:hAnsiTheme="majorEastAsia" w:eastAsiaTheme="majorEastAsia"/>
          <w:color w:val="auto"/>
          <w:sz w:val="24"/>
        </w:rPr>
      </w:pPr>
    </w:p>
    <w:p>
      <w:pPr>
        <w:spacing w:line="360" w:lineRule="auto"/>
        <w:rPr>
          <w:rFonts w:cs="仿宋" w:asciiTheme="majorEastAsia" w:hAnsiTheme="majorEastAsia" w:eastAsiaTheme="majorEastAsia"/>
          <w:color w:val="auto"/>
          <w:sz w:val="24"/>
        </w:rPr>
      </w:pPr>
    </w:p>
    <w:p>
      <w:pPr>
        <w:spacing w:line="360" w:lineRule="auto"/>
        <w:jc w:val="center"/>
        <w:outlineLvl w:val="0"/>
        <w:rPr>
          <w:rFonts w:cs="仿宋" w:asciiTheme="majorEastAsia" w:hAnsiTheme="majorEastAsia" w:eastAsiaTheme="majorEastAsia"/>
          <w:b/>
          <w:color w:val="auto"/>
          <w:sz w:val="36"/>
          <w:szCs w:val="20"/>
        </w:rPr>
      </w:pPr>
      <w:bookmarkStart w:id="3" w:name="第一部分"/>
      <w:r>
        <w:rPr>
          <w:rFonts w:hint="eastAsia" w:cs="仿宋" w:asciiTheme="majorEastAsia" w:hAnsiTheme="majorEastAsia" w:eastAsiaTheme="majorEastAsia"/>
          <w:b/>
          <w:color w:val="auto"/>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cs="仿宋" w:asciiTheme="majorEastAsia" w:hAnsiTheme="majorEastAsia" w:eastAsiaTheme="majorEastAsia"/>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cs="仿宋" w:asciiTheme="majorEastAsia" w:hAnsiTheme="majorEastAsia" w:eastAsiaTheme="majorEastAsia"/>
          <w:color w:val="auto"/>
          <w:sz w:val="24"/>
          <w:u w:val="single"/>
        </w:rPr>
      </w:pPr>
      <w:r>
        <w:rPr>
          <w:rFonts w:hint="eastAsia" w:cs="仿宋" w:asciiTheme="majorEastAsia" w:hAnsiTheme="majorEastAsia" w:eastAsiaTheme="majorEastAsia"/>
          <w:color w:val="auto"/>
          <w:sz w:val="24"/>
          <w:u w:val="single"/>
        </w:rPr>
        <w:t>奉化区柏坑水库扩容工程施工地质咨询服务项目</w:t>
      </w:r>
      <w:r>
        <w:rPr>
          <w:rFonts w:hint="eastAsia" w:cs="仿宋" w:asciiTheme="majorEastAsia" w:hAnsiTheme="majorEastAsia" w:eastAsiaTheme="majorEastAsia"/>
          <w:color w:val="auto"/>
          <w:sz w:val="24"/>
        </w:rPr>
        <w:t>招标项目的潜在供应商应在政采云平台（</w:t>
      </w:r>
      <w:r>
        <w:rPr>
          <w:color w:val="auto"/>
          <w:highlight w:val="none"/>
        </w:rPr>
        <w:fldChar w:fldCharType="begin"/>
      </w:r>
      <w:r>
        <w:rPr>
          <w:color w:val="auto"/>
          <w:highlight w:val="none"/>
        </w:rPr>
        <w:instrText xml:space="preserve"> HYPERLINK "https://www.zcygov.cn/）获取（下载）招标文件，并于2022年00月00日14点30分00秒" </w:instrText>
      </w:r>
      <w:r>
        <w:rPr>
          <w:color w:val="auto"/>
          <w:highlight w:val="none"/>
        </w:rPr>
        <w:fldChar w:fldCharType="separate"/>
      </w:r>
      <w:r>
        <w:rPr>
          <w:rStyle w:val="21"/>
          <w:rFonts w:hint="eastAsia" w:cs="仿宋" w:asciiTheme="majorEastAsia" w:hAnsiTheme="majorEastAsia" w:eastAsiaTheme="majorEastAsia"/>
          <w:color w:val="auto"/>
          <w:sz w:val="24"/>
          <w:szCs w:val="24"/>
          <w:highlight w:val="none"/>
        </w:rPr>
        <w:t>https://www.zcygov.cn/）获取（下载）招标文件，并于</w:t>
      </w:r>
      <w:r>
        <w:rPr>
          <w:rStyle w:val="21"/>
          <w:rFonts w:hint="eastAsia" w:cs="仿宋" w:asciiTheme="majorEastAsia" w:hAnsiTheme="majorEastAsia" w:eastAsiaTheme="majorEastAsia"/>
          <w:snapToGrid/>
          <w:color w:val="auto"/>
          <w:kern w:val="2"/>
          <w:sz w:val="24"/>
          <w:szCs w:val="24"/>
          <w:highlight w:val="none"/>
        </w:rPr>
        <w:t>2022年</w:t>
      </w:r>
      <w:r>
        <w:rPr>
          <w:rStyle w:val="21"/>
          <w:rFonts w:hint="eastAsia" w:cs="仿宋" w:asciiTheme="majorEastAsia" w:hAnsiTheme="majorEastAsia" w:eastAsiaTheme="majorEastAsia"/>
          <w:snapToGrid/>
          <w:color w:val="auto"/>
          <w:kern w:val="2"/>
          <w:sz w:val="24"/>
          <w:szCs w:val="24"/>
          <w:highlight w:val="none"/>
          <w:lang w:val="en-US" w:eastAsia="zh-CN"/>
        </w:rPr>
        <w:t>12</w:t>
      </w:r>
      <w:r>
        <w:rPr>
          <w:rStyle w:val="21"/>
          <w:rFonts w:hint="eastAsia" w:cs="仿宋" w:asciiTheme="majorEastAsia" w:hAnsiTheme="majorEastAsia" w:eastAsiaTheme="majorEastAsia"/>
          <w:snapToGrid/>
          <w:color w:val="auto"/>
          <w:kern w:val="2"/>
          <w:sz w:val="24"/>
          <w:szCs w:val="24"/>
          <w:highlight w:val="none"/>
        </w:rPr>
        <w:t>月</w:t>
      </w:r>
      <w:r>
        <w:rPr>
          <w:rStyle w:val="21"/>
          <w:rFonts w:hint="eastAsia" w:cs="仿宋" w:asciiTheme="majorEastAsia" w:hAnsiTheme="majorEastAsia" w:eastAsiaTheme="majorEastAsia"/>
          <w:snapToGrid/>
          <w:color w:val="auto"/>
          <w:kern w:val="2"/>
          <w:sz w:val="24"/>
          <w:szCs w:val="24"/>
          <w:highlight w:val="none"/>
          <w:lang w:val="en-US" w:eastAsia="zh-CN"/>
        </w:rPr>
        <w:t>19</w:t>
      </w:r>
      <w:r>
        <w:rPr>
          <w:rStyle w:val="21"/>
          <w:rFonts w:hint="eastAsia" w:cs="仿宋" w:asciiTheme="majorEastAsia" w:hAnsiTheme="majorEastAsia" w:eastAsiaTheme="majorEastAsia"/>
          <w:snapToGrid/>
          <w:color w:val="auto"/>
          <w:kern w:val="2"/>
          <w:sz w:val="24"/>
          <w:szCs w:val="24"/>
          <w:highlight w:val="none"/>
        </w:rPr>
        <w:t>日</w:t>
      </w:r>
      <w:r>
        <w:rPr>
          <w:rStyle w:val="21"/>
          <w:rFonts w:hint="eastAsia" w:cs="仿宋" w:asciiTheme="majorEastAsia" w:hAnsiTheme="majorEastAsia" w:eastAsiaTheme="majorEastAsia"/>
          <w:snapToGrid/>
          <w:color w:val="auto"/>
          <w:kern w:val="2"/>
          <w:sz w:val="24"/>
          <w:szCs w:val="24"/>
          <w:highlight w:val="none"/>
          <w:lang w:val="en-US" w:eastAsia="zh-CN"/>
        </w:rPr>
        <w:t>9</w:t>
      </w:r>
      <w:r>
        <w:rPr>
          <w:rStyle w:val="21"/>
          <w:rFonts w:hint="eastAsia" w:cs="仿宋" w:asciiTheme="majorEastAsia" w:hAnsiTheme="majorEastAsia" w:eastAsiaTheme="majorEastAsia"/>
          <w:snapToGrid/>
          <w:color w:val="auto"/>
          <w:kern w:val="2"/>
          <w:sz w:val="24"/>
          <w:szCs w:val="24"/>
          <w:highlight w:val="none"/>
        </w:rPr>
        <w:t>点</w:t>
      </w:r>
      <w:r>
        <w:rPr>
          <w:rStyle w:val="21"/>
          <w:rFonts w:hint="eastAsia" w:cs="仿宋" w:asciiTheme="majorEastAsia" w:hAnsiTheme="majorEastAsia" w:eastAsiaTheme="majorEastAsia"/>
          <w:snapToGrid/>
          <w:color w:val="auto"/>
          <w:kern w:val="2"/>
          <w:sz w:val="24"/>
          <w:szCs w:val="24"/>
          <w:highlight w:val="none"/>
          <w:lang w:val="en-US" w:eastAsia="zh-CN"/>
        </w:rPr>
        <w:t>00</w:t>
      </w:r>
      <w:r>
        <w:rPr>
          <w:rStyle w:val="21"/>
          <w:rFonts w:hint="eastAsia" w:cs="仿宋" w:asciiTheme="majorEastAsia" w:hAnsiTheme="majorEastAsia" w:eastAsiaTheme="majorEastAsia"/>
          <w:snapToGrid/>
          <w:color w:val="auto"/>
          <w:kern w:val="2"/>
          <w:sz w:val="24"/>
          <w:szCs w:val="24"/>
          <w:highlight w:val="none"/>
        </w:rPr>
        <w:t>分</w:t>
      </w:r>
      <w:r>
        <w:rPr>
          <w:rStyle w:val="21"/>
          <w:rFonts w:hint="eastAsia" w:cs="仿宋" w:asciiTheme="majorEastAsia" w:hAnsiTheme="majorEastAsia" w:eastAsiaTheme="majorEastAsia"/>
          <w:bCs/>
          <w:snapToGrid/>
          <w:color w:val="auto"/>
          <w:kern w:val="2"/>
          <w:sz w:val="24"/>
          <w:szCs w:val="24"/>
          <w:highlight w:val="none"/>
        </w:rPr>
        <w:t>00秒</w:t>
      </w:r>
      <w:r>
        <w:rPr>
          <w:rStyle w:val="21"/>
          <w:rFonts w:hint="eastAsia" w:cs="仿宋" w:asciiTheme="majorEastAsia" w:hAnsiTheme="majorEastAsia" w:eastAsiaTheme="majorEastAsia"/>
          <w:bCs/>
          <w:snapToGrid/>
          <w:color w:val="auto"/>
          <w:kern w:val="2"/>
          <w:sz w:val="24"/>
          <w:szCs w:val="24"/>
          <w:highlight w:val="none"/>
        </w:rPr>
        <w:fldChar w:fldCharType="end"/>
      </w:r>
      <w:r>
        <w:rPr>
          <w:rFonts w:hint="eastAsia" w:cs="仿宋" w:asciiTheme="majorEastAsia" w:hAnsiTheme="majorEastAsia" w:eastAsiaTheme="majorEastAsia"/>
          <w:bCs/>
          <w:color w:val="auto"/>
          <w:sz w:val="24"/>
          <w:highlight w:val="none"/>
        </w:rPr>
        <w:t>（北京</w:t>
      </w:r>
      <w:r>
        <w:rPr>
          <w:rFonts w:hint="eastAsia" w:cs="仿宋" w:asciiTheme="majorEastAsia" w:hAnsiTheme="majorEastAsia" w:eastAsiaTheme="majorEastAsia"/>
          <w:bCs/>
          <w:color w:val="auto"/>
          <w:sz w:val="24"/>
        </w:rPr>
        <w:t>时间）前</w:t>
      </w:r>
      <w:r>
        <w:rPr>
          <w:rFonts w:hint="eastAsia" w:cs="仿宋" w:asciiTheme="majorEastAsia" w:hAnsiTheme="majorEastAsia" w:eastAsiaTheme="majorEastAsia"/>
          <w:color w:val="auto"/>
          <w:sz w:val="24"/>
        </w:rPr>
        <w:t>递交（上传）投标文件。</w:t>
      </w:r>
    </w:p>
    <w:p>
      <w:pPr>
        <w:spacing w:line="360" w:lineRule="auto"/>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 xml:space="preserve">一、项目基本情况                                            </w:t>
      </w:r>
    </w:p>
    <w:p>
      <w:pPr>
        <w:keepNext w:val="0"/>
        <w:keepLines w:val="0"/>
        <w:pageBreakBefore w:val="0"/>
        <w:kinsoku/>
        <w:wordWrap/>
        <w:overflowPunct/>
        <w:topLinePunct w:val="0"/>
        <w:autoSpaceDE/>
        <w:autoSpaceDN/>
        <w:bidi w:val="0"/>
        <w:adjustRightInd/>
        <w:spacing w:line="360" w:lineRule="auto"/>
        <w:textAlignment w:val="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w:t>
      </w:r>
      <w:r>
        <w:rPr>
          <w:rFonts w:hint="eastAsia" w:cs="仿宋" w:asciiTheme="majorEastAsia" w:hAnsiTheme="majorEastAsia" w:eastAsiaTheme="majorEastAsia"/>
          <w:b/>
          <w:color w:val="auto"/>
          <w:sz w:val="24"/>
        </w:rPr>
        <w:t>项目编号：</w:t>
      </w:r>
      <w:r>
        <w:rPr>
          <w:rFonts w:cs="仿宋" w:asciiTheme="majorEastAsia" w:hAnsiTheme="majorEastAsia" w:eastAsiaTheme="majorEastAsia"/>
          <w:color w:val="auto"/>
          <w:sz w:val="24"/>
        </w:rPr>
        <w:t>FHG</w:t>
      </w:r>
      <w:r>
        <w:rPr>
          <w:rFonts w:cs="仿宋" w:asciiTheme="majorEastAsia" w:hAnsiTheme="majorEastAsia" w:eastAsiaTheme="majorEastAsia"/>
          <w:color w:val="auto"/>
          <w:sz w:val="24"/>
          <w:highlight w:val="none"/>
        </w:rPr>
        <w:t>QZB(2022)</w:t>
      </w:r>
      <w:r>
        <w:rPr>
          <w:rFonts w:hint="eastAsia" w:cs="仿宋" w:asciiTheme="majorEastAsia" w:hAnsiTheme="majorEastAsia" w:eastAsiaTheme="majorEastAsia"/>
          <w:color w:val="auto"/>
          <w:sz w:val="24"/>
          <w:highlight w:val="none"/>
          <w:lang w:val="en-US" w:eastAsia="zh-CN"/>
        </w:rPr>
        <w:t>316</w:t>
      </w:r>
      <w:r>
        <w:rPr>
          <w:rFonts w:cs="仿宋" w:asciiTheme="majorEastAsia" w:hAnsiTheme="majorEastAsia" w:eastAsiaTheme="majorEastAsia"/>
          <w:color w:val="auto"/>
          <w:sz w:val="24"/>
          <w:highlight w:val="none"/>
        </w:rPr>
        <w:t>D</w:t>
      </w:r>
    </w:p>
    <w:p>
      <w:pPr>
        <w:keepNext w:val="0"/>
        <w:keepLines w:val="0"/>
        <w:pageBreakBefore w:val="0"/>
        <w:kinsoku/>
        <w:wordWrap/>
        <w:overflowPunct/>
        <w:topLinePunct w:val="0"/>
        <w:autoSpaceDE/>
        <w:autoSpaceDN/>
        <w:bidi w:val="0"/>
        <w:adjustRightInd/>
        <w:spacing w:line="360" w:lineRule="auto"/>
        <w:textAlignment w:val="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w:t>
      </w:r>
      <w:r>
        <w:rPr>
          <w:rFonts w:hint="eastAsia" w:cs="仿宋" w:asciiTheme="majorEastAsia" w:hAnsiTheme="majorEastAsia" w:eastAsiaTheme="majorEastAsia"/>
          <w:b/>
          <w:color w:val="auto"/>
          <w:sz w:val="24"/>
        </w:rPr>
        <w:t xml:space="preserve"> 项目名称：</w:t>
      </w:r>
      <w:r>
        <w:rPr>
          <w:rFonts w:hint="eastAsia" w:cs="仿宋" w:asciiTheme="majorEastAsia" w:hAnsiTheme="majorEastAsia" w:eastAsiaTheme="majorEastAsia"/>
          <w:color w:val="auto"/>
          <w:sz w:val="24"/>
        </w:rPr>
        <w:t xml:space="preserve">奉化区柏坑水库扩容工程施工地质咨询服务项目 </w:t>
      </w:r>
    </w:p>
    <w:p>
      <w:pPr>
        <w:keepNext w:val="0"/>
        <w:keepLines w:val="0"/>
        <w:pageBreakBefore w:val="0"/>
        <w:kinsoku/>
        <w:wordWrap/>
        <w:overflowPunct/>
        <w:topLinePunct w:val="0"/>
        <w:autoSpaceDE/>
        <w:autoSpaceDN/>
        <w:bidi w:val="0"/>
        <w:adjustRightInd/>
        <w:spacing w:line="360" w:lineRule="auto"/>
        <w:textAlignment w:val="auto"/>
        <w:rPr>
          <w:rFonts w:hint="default" w:cs="仿宋" w:asciiTheme="majorEastAsia" w:hAnsiTheme="majorEastAsia" w:eastAsiaTheme="majorEastAsia"/>
          <w:color w:val="auto"/>
          <w:sz w:val="24"/>
          <w:lang w:val="en-US" w:eastAsia="zh-CN"/>
        </w:rPr>
      </w:pPr>
      <w:r>
        <w:rPr>
          <w:rFonts w:hint="eastAsia" w:cs="仿宋" w:asciiTheme="majorEastAsia" w:hAnsiTheme="majorEastAsia" w:eastAsiaTheme="majorEastAsia"/>
          <w:color w:val="auto"/>
          <w:sz w:val="24"/>
        </w:rPr>
        <w:t xml:space="preserve">   </w:t>
      </w:r>
      <w:r>
        <w:rPr>
          <w:rFonts w:hint="eastAsia" w:cs="仿宋" w:asciiTheme="majorEastAsia" w:hAnsiTheme="majorEastAsia" w:eastAsiaTheme="majorEastAsia"/>
          <w:b/>
          <w:color w:val="auto"/>
          <w:sz w:val="24"/>
        </w:rPr>
        <w:t xml:space="preserve"> 预算金额（元）：</w:t>
      </w:r>
      <w:r>
        <w:rPr>
          <w:rFonts w:hint="eastAsia" w:cs="仿宋" w:asciiTheme="majorEastAsia" w:hAnsiTheme="majorEastAsia" w:eastAsiaTheme="majorEastAsia"/>
          <w:color w:val="auto"/>
          <w:sz w:val="24"/>
          <w:lang w:val="en-US" w:eastAsia="zh-CN"/>
        </w:rPr>
        <w:t>1200000</w:t>
      </w:r>
    </w:p>
    <w:p>
      <w:pPr>
        <w:keepNext w:val="0"/>
        <w:keepLines w:val="0"/>
        <w:pageBreakBefore w:val="0"/>
        <w:kinsoku/>
        <w:wordWrap/>
        <w:overflowPunct/>
        <w:topLinePunct w:val="0"/>
        <w:autoSpaceDE/>
        <w:autoSpaceDN/>
        <w:bidi w:val="0"/>
        <w:adjustRightInd/>
        <w:spacing w:line="360" w:lineRule="auto"/>
        <w:ind w:firstLine="480"/>
        <w:textAlignment w:val="auto"/>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最高限价（元）：</w:t>
      </w:r>
      <w:r>
        <w:rPr>
          <w:rFonts w:hint="eastAsia" w:cs="仿宋" w:asciiTheme="majorEastAsia" w:hAnsiTheme="majorEastAsia" w:eastAsiaTheme="majorEastAsia"/>
          <w:color w:val="auto"/>
          <w:sz w:val="24"/>
          <w:lang w:val="en-US" w:eastAsia="zh-CN"/>
        </w:rPr>
        <w:t>1080000</w:t>
      </w:r>
      <w:r>
        <w:rPr>
          <w:rFonts w:hint="eastAsia" w:cs="仿宋" w:asciiTheme="majorEastAsia" w:hAnsiTheme="majorEastAsia" w:eastAsiaTheme="majorEastAsia"/>
          <w:color w:val="auto"/>
          <w:sz w:val="24"/>
        </w:rPr>
        <w:t xml:space="preserve"> </w:t>
      </w:r>
    </w:p>
    <w:p>
      <w:pPr>
        <w:pStyle w:val="6"/>
        <w:keepNext w:val="0"/>
        <w:keepLines w:val="0"/>
        <w:pageBreakBefore w:val="0"/>
        <w:kinsoku/>
        <w:wordWrap/>
        <w:overflowPunct/>
        <w:topLinePunct w:val="0"/>
        <w:autoSpaceDE/>
        <w:autoSpaceDN/>
        <w:bidi w:val="0"/>
        <w:adjustRightInd/>
        <w:spacing w:line="360" w:lineRule="auto"/>
        <w:ind w:firstLine="480"/>
        <w:textAlignment w:val="auto"/>
        <w:rPr>
          <w:rFonts w:cs="仿宋" w:asciiTheme="majorEastAsia" w:hAnsiTheme="majorEastAsia" w:eastAsiaTheme="majorEastAsia"/>
          <w:bCs/>
          <w:snapToGrid/>
          <w:color w:val="auto"/>
          <w:kern w:val="2"/>
          <w:sz w:val="24"/>
          <w:szCs w:val="24"/>
        </w:rPr>
      </w:pPr>
      <w:r>
        <w:rPr>
          <w:rFonts w:hint="eastAsia" w:cs="仿宋" w:asciiTheme="majorEastAsia" w:hAnsiTheme="majorEastAsia" w:eastAsiaTheme="majorEastAsia"/>
          <w:b/>
          <w:color w:val="auto"/>
          <w:sz w:val="24"/>
        </w:rPr>
        <w:t>采购需求：</w:t>
      </w:r>
      <w:r>
        <w:rPr>
          <w:rFonts w:hint="eastAsia" w:cs="仿宋" w:asciiTheme="majorEastAsia" w:hAnsiTheme="majorEastAsia" w:eastAsiaTheme="majorEastAsia"/>
          <w:bCs/>
          <w:snapToGrid/>
          <w:color w:val="auto"/>
          <w:kern w:val="2"/>
          <w:sz w:val="24"/>
          <w:szCs w:val="24"/>
        </w:rPr>
        <w:t>奉化区柏坑水库扩容工程施工地质咨询服务项目主要内容：地质咨询服务。详见招标文件第三部分采购需求。</w:t>
      </w:r>
    </w:p>
    <w:p>
      <w:pPr>
        <w:pStyle w:val="36"/>
        <w:keepNext w:val="0"/>
        <w:keepLines w:val="0"/>
        <w:pageBreakBefore w:val="0"/>
        <w:kinsoku/>
        <w:wordWrap/>
        <w:overflowPunct/>
        <w:topLinePunct w:val="0"/>
        <w:autoSpaceDE/>
        <w:autoSpaceDN/>
        <w:bidi w:val="0"/>
        <w:adjustRightInd/>
        <w:spacing w:before="0"/>
        <w:ind w:firstLine="482"/>
        <w:textAlignment w:val="auto"/>
        <w:outlineLvl w:val="2"/>
        <w:rPr>
          <w:rFonts w:cs="仿宋" w:asciiTheme="majorEastAsia" w:hAnsiTheme="majorEastAsia" w:eastAsiaTheme="majorEastAsia"/>
          <w:color w:val="auto"/>
        </w:rPr>
      </w:pPr>
      <w:r>
        <w:rPr>
          <w:rFonts w:hint="eastAsia" w:cs="仿宋" w:asciiTheme="majorEastAsia" w:hAnsiTheme="majorEastAsia" w:eastAsiaTheme="majorEastAsia"/>
          <w:b/>
          <w:color w:val="auto"/>
        </w:rPr>
        <w:t>合同履约期限：</w:t>
      </w:r>
      <w:r>
        <w:rPr>
          <w:rFonts w:hint="eastAsia" w:cs="仿宋" w:asciiTheme="majorEastAsia" w:hAnsiTheme="majorEastAsia" w:eastAsiaTheme="majorEastAsia"/>
          <w:bCs/>
          <w:snapToGrid/>
          <w:color w:val="auto"/>
          <w:kern w:val="2"/>
          <w:sz w:val="24"/>
          <w:szCs w:val="24"/>
        </w:rPr>
        <w:t>详见招标文件第三部分采购需求</w:t>
      </w:r>
      <w:r>
        <w:rPr>
          <w:rFonts w:cs="仿宋" w:asciiTheme="majorEastAsia" w:hAnsiTheme="majorEastAsia" w:eastAsiaTheme="majorEastAsia"/>
          <w:color w:val="auto"/>
        </w:rPr>
        <w:t xml:space="preserve"> </w:t>
      </w:r>
    </w:p>
    <w:p>
      <w:pPr>
        <w:pStyle w:val="6"/>
        <w:keepNext w:val="0"/>
        <w:keepLines w:val="0"/>
        <w:pageBreakBefore w:val="0"/>
        <w:kinsoku/>
        <w:wordWrap/>
        <w:overflowPunct/>
        <w:topLinePunct w:val="0"/>
        <w:autoSpaceDE/>
        <w:autoSpaceDN/>
        <w:bidi w:val="0"/>
        <w:adjustRightInd/>
        <w:spacing w:line="360" w:lineRule="auto"/>
        <w:ind w:firstLine="480"/>
        <w:textAlignment w:val="auto"/>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本项目接受联合体投标：</w:t>
      </w:r>
      <w:r>
        <w:rPr>
          <w:rFonts w:hint="eastAsia" w:ascii="MS Gothic" w:hAnsi="MS Gothic" w:eastAsia="MS Gothic" w:cs="MS Gothic"/>
          <w:color w:val="auto"/>
          <w:kern w:val="0"/>
          <w:sz w:val="24"/>
        </w:rPr>
        <w:t>☐</w:t>
      </w:r>
      <w:r>
        <w:rPr>
          <w:rFonts w:hint="eastAsia" w:cs="仿宋" w:asciiTheme="majorEastAsia" w:hAnsiTheme="majorEastAsia" w:eastAsiaTheme="majorEastAsia"/>
          <w:b/>
          <w:color w:val="auto"/>
          <w:sz w:val="24"/>
        </w:rPr>
        <w:t>是，</w:t>
      </w:r>
      <w:r>
        <w:rPr>
          <w:rFonts w:hint="eastAsia" w:cs="仿宋" w:asciiTheme="majorEastAsia" w:hAnsiTheme="majorEastAsia" w:eastAsiaTheme="majorEastAsia"/>
          <w:color w:val="auto"/>
          <w:kern w:val="0"/>
          <w:sz w:val="24"/>
        </w:rPr>
        <w:t xml:space="preserve"> </w:t>
      </w:r>
      <w:r>
        <w:rPr>
          <w:rFonts w:hint="eastAsia" w:cs="仿宋" w:asciiTheme="majorEastAsia" w:hAnsiTheme="majorEastAsia" w:eastAsiaTheme="majorEastAsia"/>
          <w:color w:val="auto"/>
          <w:kern w:val="0"/>
          <w:sz w:val="24"/>
        </w:rPr>
        <w:sym w:font="Wingdings" w:char="F0FE"/>
      </w:r>
      <w:r>
        <w:rPr>
          <w:rFonts w:hint="eastAsia" w:cs="仿宋" w:asciiTheme="majorEastAsia" w:hAnsiTheme="majorEastAsia" w:eastAsiaTheme="majorEastAsia"/>
          <w:b/>
          <w:color w:val="auto"/>
          <w:sz w:val="24"/>
        </w:rPr>
        <w:t>否</w:t>
      </w:r>
      <w:r>
        <w:rPr>
          <w:rFonts w:hint="eastAsia" w:cs="仿宋" w:asciiTheme="majorEastAsia" w:hAnsiTheme="majorEastAsia" w:eastAsiaTheme="majorEastAsia"/>
          <w:color w:val="auto"/>
          <w:kern w:val="0"/>
          <w:sz w:val="24"/>
        </w:rPr>
        <w:t>。</w:t>
      </w:r>
    </w:p>
    <w:p>
      <w:pPr>
        <w:spacing w:line="360" w:lineRule="auto"/>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二、申请人的资格要求：</w:t>
      </w:r>
    </w:p>
    <w:p>
      <w:pPr>
        <w:spacing w:line="360" w:lineRule="auto"/>
        <w:ind w:firstLine="480"/>
        <w:rPr>
          <w:rFonts w:cs="仿宋" w:asciiTheme="majorEastAsia" w:hAnsiTheme="majorEastAsia" w:eastAsiaTheme="majorEastAsia"/>
          <w:snapToGrid w:val="0"/>
          <w:color w:val="auto"/>
          <w:kern w:val="28"/>
          <w:sz w:val="24"/>
          <w:szCs w:val="20"/>
        </w:rPr>
      </w:pPr>
      <w:r>
        <w:rPr>
          <w:rFonts w:hint="eastAsia" w:cs="仿宋" w:asciiTheme="majorEastAsia" w:hAnsiTheme="majorEastAsia" w:eastAsiaTheme="majorEastAsia"/>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cs="仿宋" w:asciiTheme="majorEastAsia" w:hAnsiTheme="majorEastAsia" w:eastAsiaTheme="majorEastAsia"/>
          <w:snapToGrid w:val="0"/>
          <w:color w:val="auto"/>
          <w:kern w:val="28"/>
          <w:sz w:val="24"/>
          <w:szCs w:val="20"/>
        </w:rPr>
      </w:pPr>
      <w:r>
        <w:rPr>
          <w:rFonts w:hint="eastAsia" w:cs="仿宋" w:asciiTheme="majorEastAsia" w:hAnsiTheme="majorEastAsia" w:eastAsiaTheme="majorEastAsia"/>
          <w:snapToGrid w:val="0"/>
          <w:color w:val="auto"/>
          <w:kern w:val="28"/>
          <w:sz w:val="24"/>
          <w:szCs w:val="20"/>
        </w:rPr>
        <w:t xml:space="preserve">    2.落实政府采购政策需满足的资格要求：</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kern w:val="0"/>
          <w:sz w:val="24"/>
        </w:rPr>
        <w:sym w:font="Wingdings" w:char="F0FE"/>
      </w:r>
      <w:r>
        <w:rPr>
          <w:rFonts w:hint="eastAsia" w:cs="仿宋" w:asciiTheme="majorEastAsia" w:hAnsiTheme="majorEastAsia" w:eastAsiaTheme="majorEastAsia"/>
          <w:color w:val="auto"/>
          <w:sz w:val="24"/>
        </w:rPr>
        <w:t>无；</w:t>
      </w:r>
    </w:p>
    <w:p>
      <w:pPr>
        <w:spacing w:line="360" w:lineRule="auto"/>
        <w:ind w:firstLine="480" w:firstLineChars="200"/>
        <w:rPr>
          <w:rFonts w:hint="eastAsia" w:cs="仿宋" w:asciiTheme="majorEastAsia" w:hAnsiTheme="majorEastAsia" w:eastAsiaTheme="majorEastAsia"/>
          <w:color w:val="auto"/>
          <w:sz w:val="24"/>
          <w:lang w:eastAsia="zh-CN"/>
        </w:rPr>
      </w:pPr>
      <w:r>
        <w:rPr>
          <w:rFonts w:hint="eastAsia" w:cs="仿宋" w:asciiTheme="majorEastAsia" w:hAnsiTheme="majorEastAsia" w:eastAsiaTheme="majorEastAsia"/>
          <w:snapToGrid w:val="0"/>
          <w:color w:val="auto"/>
          <w:kern w:val="28"/>
          <w:sz w:val="24"/>
          <w:szCs w:val="20"/>
        </w:rPr>
        <w:t>3.本项目的特定资</w:t>
      </w:r>
      <w:r>
        <w:rPr>
          <w:rFonts w:hint="eastAsia" w:cs="仿宋" w:asciiTheme="majorEastAsia" w:hAnsiTheme="majorEastAsia" w:eastAsiaTheme="majorEastAsia"/>
          <w:color w:val="auto"/>
          <w:sz w:val="24"/>
        </w:rPr>
        <w:t>格要求：</w:t>
      </w:r>
      <w:r>
        <w:rPr>
          <w:rFonts w:hint="eastAsia" w:cs="仿宋" w:asciiTheme="majorEastAsia" w:hAnsiTheme="majorEastAsia" w:eastAsiaTheme="majorEastAsia"/>
          <w:color w:val="auto"/>
          <w:sz w:val="24"/>
          <w:lang w:eastAsia="zh-CN"/>
        </w:rPr>
        <w:t>投标人</w:t>
      </w:r>
      <w:r>
        <w:rPr>
          <w:rFonts w:hint="eastAsia" w:cs="仿宋" w:asciiTheme="majorEastAsia" w:hAnsiTheme="majorEastAsia" w:eastAsiaTheme="majorEastAsia"/>
          <w:color w:val="auto"/>
          <w:sz w:val="24"/>
        </w:rPr>
        <w:t>具有工程勘察专业类（岩土工程（勘察））乙级</w:t>
      </w:r>
      <w:r>
        <w:rPr>
          <w:rFonts w:hint="eastAsia" w:cs="仿宋" w:asciiTheme="majorEastAsia" w:hAnsiTheme="majorEastAsia" w:eastAsiaTheme="majorEastAsia"/>
          <w:color w:val="auto"/>
          <w:sz w:val="24"/>
          <w:lang w:eastAsia="zh-CN"/>
        </w:rPr>
        <w:t>及以上资质</w:t>
      </w:r>
      <w:r>
        <w:rPr>
          <w:rFonts w:hint="eastAsia" w:cs="仿宋" w:asciiTheme="majorEastAsia" w:hAnsiTheme="majorEastAsia" w:eastAsiaTheme="majorEastAsia"/>
          <w:color w:val="auto"/>
          <w:sz w:val="24"/>
        </w:rPr>
        <w:t>或工程勘察专业</w:t>
      </w:r>
      <w:r>
        <w:rPr>
          <w:rFonts w:hint="eastAsia" w:cs="仿宋" w:asciiTheme="majorEastAsia" w:hAnsiTheme="majorEastAsia" w:eastAsiaTheme="majorEastAsia"/>
          <w:color w:val="auto"/>
          <w:sz w:val="24"/>
          <w:lang w:eastAsia="zh-CN"/>
        </w:rPr>
        <w:t>类</w:t>
      </w:r>
      <w:r>
        <w:rPr>
          <w:rFonts w:hint="eastAsia" w:cs="仿宋" w:asciiTheme="majorEastAsia" w:hAnsiTheme="majorEastAsia" w:eastAsiaTheme="majorEastAsia"/>
          <w:color w:val="auto"/>
          <w:sz w:val="24"/>
        </w:rPr>
        <w:t>（岩土工程）乙级及以上资质</w:t>
      </w:r>
      <w:r>
        <w:rPr>
          <w:rFonts w:cs="仿宋" w:asciiTheme="majorEastAsia" w:hAnsiTheme="majorEastAsia" w:eastAsiaTheme="majorEastAsia"/>
          <w:color w:val="auto"/>
          <w:sz w:val="24"/>
        </w:rPr>
        <w:t>或工程勘察综合资质甲级资质</w:t>
      </w:r>
      <w:r>
        <w:rPr>
          <w:rFonts w:hint="eastAsia" w:cs="仿宋" w:asciiTheme="majorEastAsia" w:hAnsiTheme="majorEastAsia" w:eastAsiaTheme="majorEastAsia"/>
          <w:color w:val="auto"/>
          <w:sz w:val="24"/>
          <w:lang w:eastAsia="zh-CN"/>
        </w:rPr>
        <w:t>。</w:t>
      </w:r>
    </w:p>
    <w:p>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 xml:space="preserve">三、获取招标文件 </w:t>
      </w:r>
    </w:p>
    <w:p>
      <w:pPr>
        <w:spacing w:line="360" w:lineRule="auto"/>
        <w:ind w:firstLine="482" w:firstLineChars="200"/>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时间：</w:t>
      </w:r>
      <w:r>
        <w:rPr>
          <w:rFonts w:hint="eastAsia" w:cs="仿宋" w:asciiTheme="majorEastAsia" w:hAnsiTheme="majorEastAsia" w:eastAsiaTheme="majorEastAsia"/>
          <w:color w:val="auto"/>
          <w:sz w:val="24"/>
        </w:rPr>
        <w:t>/至2022年</w:t>
      </w:r>
      <w:r>
        <w:rPr>
          <w:rFonts w:hint="eastAsia" w:cs="仿宋" w:asciiTheme="majorEastAsia" w:hAnsiTheme="majorEastAsia" w:eastAsiaTheme="majorEastAsia"/>
          <w:color w:val="auto"/>
          <w:sz w:val="24"/>
          <w:lang w:val="en-US" w:eastAsia="zh-CN"/>
        </w:rPr>
        <w:t>12</w:t>
      </w:r>
      <w:r>
        <w:rPr>
          <w:rFonts w:hint="eastAsia" w:cs="仿宋" w:asciiTheme="majorEastAsia" w:hAnsiTheme="majorEastAsia" w:eastAsiaTheme="majorEastAsia"/>
          <w:color w:val="auto"/>
          <w:sz w:val="24"/>
        </w:rPr>
        <w:t>月</w:t>
      </w:r>
      <w:r>
        <w:rPr>
          <w:rFonts w:hint="eastAsia" w:cs="仿宋" w:asciiTheme="majorEastAsia" w:hAnsiTheme="majorEastAsia" w:eastAsiaTheme="majorEastAsia"/>
          <w:color w:val="auto"/>
          <w:sz w:val="24"/>
          <w:lang w:val="en-US" w:eastAsia="zh-CN"/>
        </w:rPr>
        <w:t>2</w:t>
      </w:r>
      <w:bookmarkStart w:id="401" w:name="_GoBack"/>
      <w:bookmarkEnd w:id="401"/>
      <w:r>
        <w:rPr>
          <w:rFonts w:hint="eastAsia" w:cs="仿宋" w:asciiTheme="majorEastAsia" w:hAnsiTheme="majorEastAsia" w:eastAsiaTheme="majorEastAsia"/>
          <w:color w:val="auto"/>
          <w:sz w:val="24"/>
        </w:rPr>
        <w:t>日，每天上午00:00至12:00 ，下午12:00至23:59（北京时间）。</w:t>
      </w:r>
    </w:p>
    <w:p>
      <w:pPr>
        <w:spacing w:line="360" w:lineRule="auto"/>
        <w:ind w:firstLine="482" w:firstLineChars="200"/>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地点（网址）：</w:t>
      </w:r>
      <w:r>
        <w:rPr>
          <w:rFonts w:hint="eastAsia" w:cs="仿宋" w:asciiTheme="majorEastAsia" w:hAnsiTheme="majorEastAsia" w:eastAsiaTheme="majorEastAsia"/>
          <w:color w:val="auto"/>
          <w:sz w:val="24"/>
        </w:rPr>
        <w:t>政采云平台（https://www.zcygov.cn/）。</w:t>
      </w:r>
    </w:p>
    <w:p>
      <w:pPr>
        <w:spacing w:line="360" w:lineRule="auto"/>
        <w:ind w:firstLine="482" w:firstLineChars="200"/>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方式：</w:t>
      </w:r>
      <w:r>
        <w:rPr>
          <w:rFonts w:hint="eastAsia" w:cs="仿宋" w:asciiTheme="majorEastAsia" w:hAnsiTheme="majorEastAsia" w:eastAsiaTheme="majorEastAsia"/>
          <w:color w:val="auto"/>
          <w:sz w:val="24"/>
        </w:rPr>
        <w:t xml:space="preserve">供应商登录政采云平台https://www.zcygov.cn/在线申请获取招标文件（进入“项目采购”应用，在获取采购文件菜单中选择项目，申请获取招标文件）。 </w:t>
      </w:r>
    </w:p>
    <w:p>
      <w:pPr>
        <w:spacing w:line="360" w:lineRule="auto"/>
        <w:ind w:firstLine="482" w:firstLineChars="200"/>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售价（元）：</w:t>
      </w:r>
      <w:r>
        <w:rPr>
          <w:rFonts w:hint="eastAsia" w:cs="仿宋" w:asciiTheme="majorEastAsia" w:hAnsiTheme="majorEastAsia" w:eastAsiaTheme="majorEastAsia"/>
          <w:color w:val="auto"/>
          <w:sz w:val="24"/>
        </w:rPr>
        <w:t xml:space="preserve">0 </w:t>
      </w:r>
      <w:r>
        <w:rPr>
          <w:rFonts w:hint="eastAsia" w:cs="仿宋" w:asciiTheme="majorEastAsia" w:hAnsiTheme="majorEastAsia" w:eastAsiaTheme="majorEastAsia"/>
          <w:color w:val="auto"/>
          <w:sz w:val="24"/>
        </w:rPr>
        <w:tab/>
      </w:r>
    </w:p>
    <w:p>
      <w:pPr>
        <w:spacing w:line="360" w:lineRule="auto"/>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四、提交投标文件截止时间、开标时间和地点</w:t>
      </w:r>
    </w:p>
    <w:p>
      <w:pP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rPr>
        <w:t>提交投标文件截止时间：</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highlight w:val="none"/>
          <w:u w:val="single"/>
        </w:rPr>
        <w:t>2022年</w:t>
      </w:r>
      <w:r>
        <w:rPr>
          <w:rFonts w:hint="eastAsia" w:cs="仿宋" w:asciiTheme="majorEastAsia" w:hAnsiTheme="majorEastAsia" w:eastAsiaTheme="majorEastAsia"/>
          <w:color w:val="auto"/>
          <w:sz w:val="24"/>
          <w:highlight w:val="none"/>
          <w:u w:val="single"/>
          <w:lang w:val="en-US" w:eastAsia="zh-CN"/>
        </w:rPr>
        <w:t>12</w:t>
      </w:r>
      <w:r>
        <w:rPr>
          <w:rFonts w:hint="eastAsia" w:cs="仿宋" w:asciiTheme="majorEastAsia" w:hAnsiTheme="majorEastAsia" w:eastAsiaTheme="majorEastAsia"/>
          <w:color w:val="auto"/>
          <w:sz w:val="24"/>
          <w:highlight w:val="none"/>
          <w:u w:val="single"/>
        </w:rPr>
        <w:t>月</w:t>
      </w:r>
      <w:r>
        <w:rPr>
          <w:rFonts w:hint="eastAsia" w:cs="仿宋" w:asciiTheme="majorEastAsia" w:hAnsiTheme="majorEastAsia" w:eastAsiaTheme="majorEastAsia"/>
          <w:color w:val="auto"/>
          <w:sz w:val="24"/>
          <w:highlight w:val="none"/>
          <w:u w:val="single"/>
          <w:lang w:val="en-US" w:eastAsia="zh-CN"/>
        </w:rPr>
        <w:t>19</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u w:val="single"/>
          <w:lang w:val="en-US" w:eastAsia="zh-CN"/>
        </w:rPr>
        <w:t>9</w:t>
      </w:r>
      <w:r>
        <w:rPr>
          <w:rFonts w:hint="eastAsia" w:cs="仿宋" w:asciiTheme="majorEastAsia" w:hAnsiTheme="majorEastAsia" w:eastAsiaTheme="majorEastAsia"/>
          <w:color w:val="auto"/>
          <w:sz w:val="24"/>
          <w:highlight w:val="none"/>
          <w:u w:val="single"/>
        </w:rPr>
        <w:t>点</w:t>
      </w:r>
      <w:r>
        <w:rPr>
          <w:rFonts w:hint="eastAsia" w:cs="仿宋" w:asciiTheme="majorEastAsia" w:hAnsiTheme="majorEastAsia" w:eastAsiaTheme="majorEastAsia"/>
          <w:color w:val="auto"/>
          <w:sz w:val="24"/>
          <w:highlight w:val="none"/>
          <w:u w:val="single"/>
          <w:lang w:val="en-US" w:eastAsia="zh-CN"/>
        </w:rPr>
        <w:t>00</w:t>
      </w:r>
      <w:r>
        <w:rPr>
          <w:rFonts w:hint="eastAsia" w:cs="仿宋" w:asciiTheme="majorEastAsia" w:hAnsiTheme="majorEastAsia" w:eastAsiaTheme="majorEastAsia"/>
          <w:color w:val="auto"/>
          <w:sz w:val="24"/>
          <w:highlight w:val="none"/>
          <w:u w:val="single"/>
        </w:rPr>
        <w:t>分</w:t>
      </w:r>
      <w:r>
        <w:rPr>
          <w:rFonts w:hint="eastAsia" w:cs="仿宋" w:asciiTheme="majorEastAsia" w:hAnsiTheme="majorEastAsia" w:eastAsiaTheme="majorEastAsia"/>
          <w:color w:val="auto"/>
          <w:sz w:val="24"/>
          <w:highlight w:val="none"/>
        </w:rPr>
        <w:t>（北京时间）。</w:t>
      </w:r>
    </w:p>
    <w:p>
      <w:pPr>
        <w:spacing w:line="360" w:lineRule="auto"/>
        <w:ind w:firstLine="482"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投标地点（网址）：</w:t>
      </w:r>
      <w:r>
        <w:rPr>
          <w:rFonts w:hint="eastAsia" w:cs="仿宋" w:asciiTheme="majorEastAsia" w:hAnsiTheme="majorEastAsia" w:eastAsiaTheme="majorEastAsia"/>
          <w:color w:val="auto"/>
          <w:sz w:val="24"/>
          <w:highlight w:val="none"/>
        </w:rPr>
        <w:t>政采云平台（https://www.zcygov.cn/）。</w:t>
      </w:r>
    </w:p>
    <w:p>
      <w:pPr>
        <w:spacing w:line="360" w:lineRule="auto"/>
        <w:ind w:firstLine="482" w:firstLineChars="200"/>
        <w:rPr>
          <w:rFonts w:cs="仿宋" w:asciiTheme="majorEastAsia" w:hAnsiTheme="majorEastAsia" w:eastAsiaTheme="majorEastAsia"/>
          <w:bCs/>
          <w:color w:val="auto"/>
          <w:sz w:val="24"/>
          <w:highlight w:val="none"/>
          <w:u w:val="single"/>
        </w:rPr>
      </w:pPr>
      <w:r>
        <w:rPr>
          <w:rFonts w:hint="eastAsia" w:cs="仿宋" w:asciiTheme="majorEastAsia" w:hAnsiTheme="majorEastAsia" w:eastAsiaTheme="majorEastAsia"/>
          <w:b/>
          <w:color w:val="auto"/>
          <w:sz w:val="24"/>
          <w:highlight w:val="none"/>
        </w:rPr>
        <w:t>开标时间：</w:t>
      </w:r>
      <w:r>
        <w:rPr>
          <w:rFonts w:hint="eastAsia" w:cs="仿宋" w:asciiTheme="majorEastAsia" w:hAnsiTheme="majorEastAsia" w:eastAsiaTheme="majorEastAsia"/>
          <w:color w:val="auto"/>
          <w:sz w:val="24"/>
          <w:highlight w:val="none"/>
          <w:u w:val="single"/>
        </w:rPr>
        <w:t>2022年</w:t>
      </w:r>
      <w:r>
        <w:rPr>
          <w:rFonts w:hint="eastAsia" w:cs="仿宋" w:asciiTheme="majorEastAsia" w:hAnsiTheme="majorEastAsia" w:eastAsiaTheme="majorEastAsia"/>
          <w:color w:val="auto"/>
          <w:sz w:val="24"/>
          <w:highlight w:val="none"/>
          <w:u w:val="single"/>
          <w:lang w:val="en-US" w:eastAsia="zh-CN"/>
        </w:rPr>
        <w:t>12</w:t>
      </w:r>
      <w:r>
        <w:rPr>
          <w:rFonts w:hint="eastAsia" w:cs="仿宋" w:asciiTheme="majorEastAsia" w:hAnsiTheme="majorEastAsia" w:eastAsiaTheme="majorEastAsia"/>
          <w:color w:val="auto"/>
          <w:sz w:val="24"/>
          <w:highlight w:val="none"/>
          <w:u w:val="single"/>
        </w:rPr>
        <w:t>月</w:t>
      </w:r>
      <w:r>
        <w:rPr>
          <w:rFonts w:hint="eastAsia" w:cs="仿宋" w:asciiTheme="majorEastAsia" w:hAnsiTheme="majorEastAsia" w:eastAsiaTheme="majorEastAsia"/>
          <w:color w:val="auto"/>
          <w:sz w:val="24"/>
          <w:highlight w:val="none"/>
          <w:u w:val="single"/>
          <w:lang w:val="en-US" w:eastAsia="zh-CN"/>
        </w:rPr>
        <w:t>19</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u w:val="single"/>
          <w:lang w:val="en-US" w:eastAsia="zh-CN"/>
        </w:rPr>
        <w:t>9</w:t>
      </w:r>
      <w:r>
        <w:rPr>
          <w:rFonts w:hint="eastAsia" w:cs="仿宋" w:asciiTheme="majorEastAsia" w:hAnsiTheme="majorEastAsia" w:eastAsiaTheme="majorEastAsia"/>
          <w:color w:val="auto"/>
          <w:sz w:val="24"/>
          <w:highlight w:val="none"/>
          <w:u w:val="single"/>
        </w:rPr>
        <w:t>点</w:t>
      </w:r>
      <w:r>
        <w:rPr>
          <w:rFonts w:hint="eastAsia" w:cs="仿宋" w:asciiTheme="majorEastAsia" w:hAnsiTheme="majorEastAsia" w:eastAsiaTheme="majorEastAsia"/>
          <w:color w:val="auto"/>
          <w:sz w:val="24"/>
          <w:highlight w:val="none"/>
          <w:u w:val="single"/>
          <w:lang w:val="en-US" w:eastAsia="zh-CN"/>
        </w:rPr>
        <w:t>00</w:t>
      </w:r>
      <w:r>
        <w:rPr>
          <w:rFonts w:hint="eastAsia" w:cs="仿宋" w:asciiTheme="majorEastAsia" w:hAnsiTheme="majorEastAsia" w:eastAsiaTheme="majorEastAsia"/>
          <w:color w:val="auto"/>
          <w:sz w:val="24"/>
          <w:highlight w:val="none"/>
          <w:u w:val="single"/>
        </w:rPr>
        <w:t>分</w:t>
      </w:r>
      <w:r>
        <w:rPr>
          <w:rFonts w:hint="eastAsia" w:cs="仿宋" w:asciiTheme="majorEastAsia" w:hAnsiTheme="majorEastAsia" w:eastAsiaTheme="majorEastAsia"/>
          <w:bCs/>
          <w:color w:val="auto"/>
          <w:sz w:val="24"/>
          <w:highlight w:val="none"/>
        </w:rPr>
        <w:t>。</w:t>
      </w:r>
    </w:p>
    <w:p>
      <w:pPr>
        <w:spacing w:line="360" w:lineRule="auto"/>
        <w:ind w:firstLine="482" w:firstLineChars="200"/>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开标地点（网址）：</w:t>
      </w:r>
      <w:r>
        <w:rPr>
          <w:rFonts w:hint="eastAsia" w:cs="仿宋" w:asciiTheme="majorEastAsia" w:hAnsiTheme="majorEastAsia" w:eastAsiaTheme="majorEastAsia"/>
          <w:color w:val="auto"/>
          <w:sz w:val="24"/>
        </w:rPr>
        <w:t>政采云平台（https://www.zcygov.cn/）。</w:t>
      </w:r>
    </w:p>
    <w:p>
      <w:pPr>
        <w:spacing w:line="360" w:lineRule="auto"/>
        <w:ind w:firstLine="482" w:firstLineChars="20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开标地点（线下）：</w:t>
      </w:r>
      <w:r>
        <w:rPr>
          <w:rFonts w:hint="eastAsia" w:cs="仿宋" w:asciiTheme="majorEastAsia" w:hAnsiTheme="majorEastAsia" w:eastAsiaTheme="majorEastAsia"/>
          <w:bCs/>
          <w:color w:val="auto"/>
          <w:sz w:val="24"/>
        </w:rPr>
        <w:t>宁波市奉化区公共资源交易中心开标</w:t>
      </w:r>
      <w:r>
        <w:rPr>
          <w:rFonts w:hint="eastAsia" w:cs="仿宋" w:asciiTheme="majorEastAsia" w:hAnsiTheme="majorEastAsia" w:eastAsiaTheme="majorEastAsia"/>
          <w:bCs/>
          <w:color w:val="auto"/>
          <w:sz w:val="24"/>
          <w:highlight w:val="none"/>
        </w:rPr>
        <w:t>厅一</w:t>
      </w:r>
      <w:r>
        <w:rPr>
          <w:rFonts w:hint="eastAsia" w:cs="仿宋" w:asciiTheme="majorEastAsia" w:hAnsiTheme="majorEastAsia" w:eastAsiaTheme="majorEastAsia"/>
          <w:bCs/>
          <w:color w:val="auto"/>
          <w:sz w:val="24"/>
        </w:rPr>
        <w:t>（宁波市奉化区大成东路277号4楼）</w:t>
      </w:r>
    </w:p>
    <w:p>
      <w:pP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 xml:space="preserve">五、公告期限 </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自本公告发布之日起5个工作日。</w:t>
      </w:r>
    </w:p>
    <w:p>
      <w:pPr>
        <w:spacing w:line="360" w:lineRule="auto"/>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六、其他补充事宜</w:t>
      </w:r>
    </w:p>
    <w:p>
      <w:pPr>
        <w:spacing w:line="360" w:lineRule="auto"/>
        <w:ind w:firstLine="480" w:firstLineChars="200"/>
        <w:rPr>
          <w:rFonts w:hint="eastAsia" w:cs="仿宋" w:asciiTheme="majorEastAsia" w:hAnsiTheme="majorEastAsia" w:eastAsiaTheme="majorEastAsia"/>
          <w:color w:val="auto"/>
          <w:sz w:val="24"/>
          <w:lang w:eastAsia="zh-CN"/>
        </w:rPr>
      </w:pPr>
      <w:r>
        <w:rPr>
          <w:rFonts w:hint="eastAsia" w:cs="仿宋" w:asciiTheme="majorEastAsia" w:hAnsiTheme="majorEastAsia" w:eastAsiaTheme="majorEastAsia"/>
          <w:color w:val="auto"/>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r>
        <w:rPr>
          <w:rFonts w:hint="eastAsia" w:cs="仿宋" w:asciiTheme="majorEastAsia" w:hAnsiTheme="majorEastAsia" w:eastAsiaTheme="majorEastAsia"/>
          <w:color w:val="auto"/>
          <w:sz w:val="24"/>
          <w:lang w:eastAsia="zh-CN"/>
        </w:rPr>
        <w:t>。</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在开标前应确保成为浙江省政府采购网正式注册入库供应商，并完成CA数字证书办理。完成CA数字证书办理在资料齐全的情况下预计7个工作日左右，请各</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合理预估时间，及时办理。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⑥对未按上述方式获取招标文件的供应商对该文件提出的质疑，采购人或采购代理机构将不予处理；⑦不提供招标文件纸质版；⑧投标文件的解密：</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按照平台提示和招标文件的规定在半小时内完成在线解密。⑨具体操作指南：详见政采云平台“服务中心-帮助文档-项目采购-操作流程-电子招投标-政府采购项目电子交易管理操作指南-供应商”。</w:t>
      </w:r>
    </w:p>
    <w:p>
      <w:pPr>
        <w:spacing w:line="360" w:lineRule="auto"/>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七、对本次采购提出询问、质疑、投诉，请按以下方式联系</w:t>
      </w:r>
    </w:p>
    <w:p>
      <w:pP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1.采购人信息</w:t>
      </w:r>
    </w:p>
    <w:p>
      <w:pPr>
        <w:keepNext w:val="0"/>
        <w:keepLines w:val="0"/>
        <w:pageBreakBefore w:val="0"/>
        <w:widowControl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名    称：</w:t>
      </w:r>
      <w:r>
        <w:rPr>
          <w:rFonts w:hint="eastAsia" w:asciiTheme="minorEastAsia" w:hAnsiTheme="minorEastAsia" w:eastAsiaTheme="minorEastAsia" w:cstheme="minorEastAsia"/>
          <w:color w:val="auto"/>
          <w:sz w:val="24"/>
          <w:highlight w:val="none"/>
          <w:lang w:eastAsia="zh-CN"/>
        </w:rPr>
        <w:t>宁波市奉化区力兴水利投资有限责任公司</w:t>
      </w:r>
    </w:p>
    <w:p>
      <w:pPr>
        <w:keepNext w:val="0"/>
        <w:keepLines w:val="0"/>
        <w:pageBreakBefore w:val="0"/>
        <w:widowControl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地    址：</w:t>
      </w:r>
      <w:r>
        <w:rPr>
          <w:rFonts w:hint="eastAsia" w:asciiTheme="minorEastAsia" w:hAnsiTheme="minorEastAsia" w:eastAsiaTheme="minorEastAsia" w:cstheme="minorEastAsia"/>
          <w:color w:val="auto"/>
          <w:sz w:val="24"/>
          <w:highlight w:val="none"/>
        </w:rPr>
        <w:t>宁波市奉化区锦屏街道大成路666号</w:t>
      </w:r>
      <w:r>
        <w:rPr>
          <w:rFonts w:hint="eastAsia" w:asciiTheme="minorEastAsia" w:hAnsiTheme="minorEastAsia" w:eastAsiaTheme="minorEastAsia" w:cstheme="minorEastAsia"/>
          <w:color w:val="auto"/>
          <w:sz w:val="24"/>
          <w:highlight w:val="none"/>
          <w:lang w:eastAsia="zh-CN"/>
        </w:rPr>
        <w:t>印象奉化</w:t>
      </w:r>
      <w:r>
        <w:rPr>
          <w:rFonts w:hint="eastAsia" w:asciiTheme="minorEastAsia" w:hAnsiTheme="minorEastAsia" w:eastAsiaTheme="minorEastAsia" w:cstheme="minorEastAsia"/>
          <w:color w:val="auto"/>
          <w:sz w:val="24"/>
          <w:highlight w:val="none"/>
          <w:lang w:val="en-US" w:eastAsia="zh-CN"/>
        </w:rPr>
        <w:t>12幢11楼</w:t>
      </w:r>
    </w:p>
    <w:p>
      <w:pPr>
        <w:keepNext w:val="0"/>
        <w:keepLines w:val="0"/>
        <w:pageBreakBefore w:val="0"/>
        <w:widowControl w:val="0"/>
        <w:kinsoku/>
        <w:wordWrap/>
        <w:overflowPunct/>
        <w:topLinePunct w:val="0"/>
        <w:bidi w:val="0"/>
        <w:spacing w:line="360" w:lineRule="auto"/>
        <w:ind w:firstLine="480"/>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rPr>
        <w:t>传    真：</w:t>
      </w:r>
      <w:r>
        <w:rPr>
          <w:rFonts w:hint="eastAsia" w:asciiTheme="minorEastAsia" w:hAnsiTheme="minorEastAsia" w:eastAsiaTheme="minorEastAsia" w:cstheme="minorEastAsia"/>
          <w:color w:val="auto"/>
          <w:sz w:val="24"/>
          <w:lang w:val="en-US" w:eastAsia="zh-CN"/>
        </w:rPr>
        <w:t>/</w:t>
      </w:r>
    </w:p>
    <w:p>
      <w:pPr>
        <w:keepNext w:val="0"/>
        <w:keepLines w:val="0"/>
        <w:pageBreakBefore w:val="0"/>
        <w:widowControl w:val="0"/>
        <w:kinsoku/>
        <w:wordWrap/>
        <w:overflowPunct/>
        <w:topLinePunct w:val="0"/>
        <w:bidi w:val="0"/>
        <w:spacing w:line="360" w:lineRule="auto"/>
        <w:ind w:firstLine="48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项目联系人（询问）：</w:t>
      </w:r>
      <w:r>
        <w:rPr>
          <w:rFonts w:hint="eastAsia" w:asciiTheme="minorEastAsia" w:hAnsiTheme="minorEastAsia" w:eastAsiaTheme="minorEastAsia" w:cstheme="minorEastAsia"/>
          <w:color w:val="auto"/>
          <w:sz w:val="24"/>
          <w:lang w:eastAsia="zh-CN"/>
        </w:rPr>
        <w:t>陈先生</w:t>
      </w:r>
      <w:r>
        <w:rPr>
          <w:rFonts w:hint="eastAsia" w:asciiTheme="minorEastAsia" w:hAnsiTheme="minorEastAsia" w:eastAsiaTheme="minorEastAsia" w:cstheme="minorEastAsia"/>
          <w:color w:val="auto"/>
          <w:sz w:val="24"/>
        </w:rPr>
        <w:t xml:space="preserve"> </w:t>
      </w:r>
    </w:p>
    <w:p>
      <w:pPr>
        <w:keepNext w:val="0"/>
        <w:keepLines w:val="0"/>
        <w:pageBreakBefore w:val="0"/>
        <w:widowControl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项目联系方式（询问）：15257856365 </w:t>
      </w:r>
    </w:p>
    <w:p>
      <w:pPr>
        <w:keepNext w:val="0"/>
        <w:keepLines w:val="0"/>
        <w:pageBreakBefore w:val="0"/>
        <w:widowControl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 xml:space="preserve">    质疑联系人：</w:t>
      </w:r>
      <w:r>
        <w:rPr>
          <w:rFonts w:hint="eastAsia" w:asciiTheme="minorEastAsia" w:hAnsiTheme="minorEastAsia" w:eastAsiaTheme="minorEastAsia" w:cstheme="minorEastAsia"/>
          <w:color w:val="auto"/>
          <w:sz w:val="24"/>
          <w:highlight w:val="none"/>
          <w:lang w:eastAsia="zh-CN"/>
        </w:rPr>
        <w:t>张先生</w:t>
      </w:r>
    </w:p>
    <w:p>
      <w:pPr>
        <w:keepNext w:val="0"/>
        <w:keepLines w:val="0"/>
        <w:pageBreakBefore w:val="0"/>
        <w:widowControl w:val="0"/>
        <w:kinsoku/>
        <w:wordWrap/>
        <w:overflowPunct/>
        <w:topLinePunct w:val="0"/>
        <w:bidi w:val="0"/>
        <w:spacing w:line="360" w:lineRule="auto"/>
        <w:ind w:firstLine="48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质疑联系方式：</w:t>
      </w:r>
      <w:r>
        <w:rPr>
          <w:rFonts w:hint="eastAsia" w:asciiTheme="minorEastAsia" w:hAnsiTheme="minorEastAsia" w:eastAsiaTheme="minorEastAsia" w:cstheme="minorEastAsia"/>
          <w:color w:val="auto"/>
          <w:sz w:val="24"/>
          <w:highlight w:val="none"/>
          <w:lang w:val="en-US" w:eastAsia="zh-CN"/>
        </w:rPr>
        <w:t>13858231790</w:t>
      </w:r>
    </w:p>
    <w:p>
      <w:pP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2.采购代理机构信息            </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    称：</w:t>
      </w:r>
      <w:r>
        <w:rPr>
          <w:rFonts w:hint="eastAsia" w:asciiTheme="minorEastAsia" w:hAnsiTheme="minorEastAsia" w:eastAsiaTheme="minorEastAsia" w:cstheme="minorEastAsia"/>
          <w:color w:val="auto"/>
          <w:sz w:val="24"/>
          <w:highlight w:val="none"/>
          <w:lang w:eastAsia="zh-CN"/>
        </w:rPr>
        <w:t>宁波方圆招标咨询有限公司</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地    址：宁波市奉化区</w:t>
      </w:r>
      <w:r>
        <w:rPr>
          <w:rFonts w:hint="eastAsia" w:asciiTheme="minorEastAsia" w:hAnsiTheme="minorEastAsia" w:eastAsiaTheme="minorEastAsia" w:cstheme="minorEastAsia"/>
          <w:color w:val="auto"/>
          <w:sz w:val="24"/>
          <w:highlight w:val="none"/>
          <w:lang w:eastAsia="zh-CN"/>
        </w:rPr>
        <w:t>大成路</w:t>
      </w:r>
      <w:r>
        <w:rPr>
          <w:rFonts w:hint="eastAsia" w:asciiTheme="minorEastAsia" w:hAnsiTheme="minorEastAsia" w:eastAsiaTheme="minorEastAsia" w:cstheme="minorEastAsia"/>
          <w:color w:val="auto"/>
          <w:sz w:val="24"/>
          <w:highlight w:val="none"/>
          <w:lang w:val="en-US" w:eastAsia="zh-CN"/>
        </w:rPr>
        <w:t>728号</w:t>
      </w:r>
    </w:p>
    <w:p>
      <w:pPr>
        <w:keepNext w:val="0"/>
        <w:keepLines w:val="0"/>
        <w:pageBreakBefore w:val="0"/>
        <w:widowControl w:val="0"/>
        <w:kinsoku/>
        <w:wordWrap/>
        <w:overflowPunct/>
        <w:topLinePunct w:val="0"/>
        <w:bidi w:val="0"/>
        <w:spacing w:line="360" w:lineRule="auto"/>
        <w:ind w:firstLine="48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传    真： </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 xml:space="preserve">         </w:t>
      </w:r>
    </w:p>
    <w:p>
      <w:pPr>
        <w:keepNext w:val="0"/>
        <w:keepLines w:val="0"/>
        <w:pageBreakBefore w:val="0"/>
        <w:widowControl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项目联系人（询问）：</w:t>
      </w:r>
      <w:r>
        <w:rPr>
          <w:rFonts w:hint="eastAsia" w:asciiTheme="minorEastAsia" w:hAnsiTheme="minorEastAsia" w:eastAsiaTheme="minorEastAsia" w:cstheme="minorEastAsia"/>
          <w:color w:val="auto"/>
          <w:sz w:val="24"/>
          <w:highlight w:val="none"/>
          <w:lang w:eastAsia="zh-CN"/>
        </w:rPr>
        <w:t>吕</w:t>
      </w:r>
      <w:r>
        <w:rPr>
          <w:rFonts w:hint="eastAsia" w:asciiTheme="minorEastAsia" w:hAnsiTheme="minorEastAsia" w:eastAsiaTheme="minorEastAsia" w:cstheme="minorEastAsia"/>
          <w:color w:val="auto"/>
          <w:sz w:val="24"/>
          <w:highlight w:val="none"/>
        </w:rPr>
        <w:t xml:space="preserve">女士        </w:t>
      </w:r>
    </w:p>
    <w:p>
      <w:pPr>
        <w:keepNext w:val="0"/>
        <w:keepLines w:val="0"/>
        <w:pageBreakBefore w:val="0"/>
        <w:widowControl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项目联系方式（询问）：0574-</w:t>
      </w:r>
      <w:r>
        <w:rPr>
          <w:rFonts w:hint="eastAsia" w:asciiTheme="minorEastAsia" w:hAnsiTheme="minorEastAsia" w:eastAsiaTheme="minorEastAsia" w:cstheme="minorEastAsia"/>
          <w:color w:val="auto"/>
          <w:sz w:val="24"/>
          <w:highlight w:val="none"/>
          <w:lang w:val="en-US" w:eastAsia="zh-CN"/>
        </w:rPr>
        <w:t>88980165</w:t>
      </w:r>
      <w:r>
        <w:rPr>
          <w:rFonts w:hint="eastAsia" w:asciiTheme="minorEastAsia" w:hAnsiTheme="minorEastAsia" w:eastAsiaTheme="minorEastAsia" w:cstheme="minorEastAsia"/>
          <w:color w:val="auto"/>
          <w:sz w:val="24"/>
          <w:highlight w:val="none"/>
        </w:rPr>
        <w:t xml:space="preserve"> </w:t>
      </w:r>
    </w:p>
    <w:p>
      <w:pPr>
        <w:keepNext w:val="0"/>
        <w:keepLines w:val="0"/>
        <w:pageBreakBefore w:val="0"/>
        <w:widowControl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质疑联系人：</w:t>
      </w:r>
      <w:r>
        <w:rPr>
          <w:rFonts w:hint="eastAsia" w:asciiTheme="minorEastAsia" w:hAnsiTheme="minorEastAsia" w:eastAsiaTheme="minorEastAsia" w:cstheme="minorEastAsia"/>
          <w:color w:val="auto"/>
          <w:sz w:val="24"/>
          <w:highlight w:val="none"/>
          <w:lang w:eastAsia="zh-CN"/>
        </w:rPr>
        <w:t>李女士</w:t>
      </w:r>
      <w:r>
        <w:rPr>
          <w:rFonts w:hint="eastAsia" w:asciiTheme="minorEastAsia" w:hAnsiTheme="minorEastAsia" w:eastAsiaTheme="minorEastAsia" w:cstheme="minorEastAsia"/>
          <w:color w:val="auto"/>
          <w:sz w:val="24"/>
          <w:highlight w:val="none"/>
        </w:rPr>
        <w:t xml:space="preserve">             </w:t>
      </w:r>
    </w:p>
    <w:p>
      <w:pPr>
        <w:keepNext w:val="0"/>
        <w:keepLines w:val="0"/>
        <w:pageBreakBefore w:val="0"/>
        <w:widowControl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质疑联系方式：0574-</w:t>
      </w:r>
      <w:r>
        <w:rPr>
          <w:rFonts w:hint="eastAsia" w:asciiTheme="minorEastAsia" w:hAnsiTheme="minorEastAsia" w:eastAsiaTheme="minorEastAsia" w:cstheme="minorEastAsia"/>
          <w:color w:val="auto"/>
          <w:sz w:val="24"/>
          <w:highlight w:val="none"/>
          <w:lang w:val="en-US" w:eastAsia="zh-CN"/>
        </w:rPr>
        <w:t>88980163</w:t>
      </w:r>
      <w:r>
        <w:rPr>
          <w:rFonts w:hint="eastAsia" w:asciiTheme="minorEastAsia" w:hAnsiTheme="minorEastAsia" w:eastAsiaTheme="minorEastAsia" w:cstheme="minorEastAsia"/>
          <w:color w:val="auto"/>
          <w:sz w:val="24"/>
          <w:highlight w:val="none"/>
        </w:rPr>
        <w:t xml:space="preserve"> </w:t>
      </w:r>
    </w:p>
    <w:p>
      <w:pPr>
        <w:pStyle w:val="16"/>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w:t>
      </w:r>
      <w:r>
        <w:rPr>
          <w:rFonts w:hint="eastAsia" w:cs="仿宋" w:asciiTheme="majorEastAsia" w:hAnsiTheme="majorEastAsia" w:eastAsiaTheme="majorEastAsia"/>
          <w:color w:val="auto"/>
          <w:sz w:val="24"/>
          <w:lang w:val="en-US" w:eastAsia="zh-CN"/>
        </w:rPr>
        <w:t xml:space="preserve">  3</w:t>
      </w:r>
      <w:r>
        <w:rPr>
          <w:rFonts w:hint="eastAsia" w:cs="仿宋" w:asciiTheme="majorEastAsia" w:hAnsiTheme="majorEastAsia" w:eastAsiaTheme="majorEastAsia"/>
          <w:color w:val="auto"/>
          <w:sz w:val="24"/>
        </w:rPr>
        <w:t xml:space="preserve">.同级监督管理部门            </w:t>
      </w:r>
    </w:p>
    <w:p>
      <w:pPr>
        <w:spacing w:line="360" w:lineRule="auto"/>
        <w:rPr>
          <w:rFonts w:hint="default" w:eastAsia="宋体" w:cs="仿宋" w:asciiTheme="majorEastAsia" w:hAnsiTheme="majorEastAsia"/>
          <w:color w:val="auto"/>
          <w:sz w:val="24"/>
          <w:lang w:val="en-US" w:eastAsia="zh-CN"/>
        </w:rPr>
      </w:pPr>
      <w:r>
        <w:rPr>
          <w:rFonts w:hint="eastAsia" w:cs="仿宋" w:asciiTheme="majorEastAsia" w:hAnsiTheme="majorEastAsia" w:eastAsiaTheme="majorEastAsia"/>
          <w:color w:val="auto"/>
          <w:sz w:val="24"/>
        </w:rPr>
        <w:t xml:space="preserve">    名    称：</w:t>
      </w:r>
      <w:r>
        <w:rPr>
          <w:rFonts w:hint="eastAsia" w:ascii="宋体" w:hAnsi="宋体" w:cs="宋体"/>
          <w:bCs/>
          <w:color w:val="auto"/>
          <w:sz w:val="24"/>
        </w:rPr>
        <w:t>宁波市奉化区国有资产管理中心</w:t>
      </w:r>
      <w:r>
        <w:rPr>
          <w:rFonts w:hint="eastAsia" w:ascii="宋体" w:hAnsi="宋体" w:cs="宋体"/>
          <w:bCs/>
          <w:color w:val="auto"/>
          <w:sz w:val="24"/>
          <w:lang w:val="en-US" w:eastAsia="zh-CN"/>
        </w:rPr>
        <w:t xml:space="preserve">  </w:t>
      </w:r>
    </w:p>
    <w:p>
      <w:pP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地    址：</w:t>
      </w:r>
      <w:r>
        <w:rPr>
          <w:rFonts w:hint="eastAsia" w:ascii="宋体" w:hAnsi="宋体" w:cs="宋体"/>
          <w:bCs/>
          <w:color w:val="auto"/>
          <w:sz w:val="24"/>
        </w:rPr>
        <w:t>宁波市奉化区大成东路275号</w:t>
      </w:r>
    </w:p>
    <w:p>
      <w:pPr>
        <w:spacing w:line="360" w:lineRule="auto"/>
        <w:ind w:firstLine="240" w:firstLineChars="1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传    真：  </w:t>
      </w:r>
      <w:r>
        <w:rPr>
          <w:rFonts w:hint="eastAsia" w:ascii="宋体" w:hAnsi="宋体" w:cs="宋体"/>
          <w:bCs/>
          <w:color w:val="auto"/>
          <w:sz w:val="24"/>
        </w:rPr>
        <w:t>0574-89285446</w:t>
      </w:r>
      <w:r>
        <w:rPr>
          <w:rFonts w:hint="eastAsia" w:cs="仿宋" w:asciiTheme="majorEastAsia" w:hAnsiTheme="majorEastAsia" w:eastAsiaTheme="majorEastAsia"/>
          <w:color w:val="auto"/>
          <w:sz w:val="24"/>
        </w:rPr>
        <w:t xml:space="preserve"> </w:t>
      </w:r>
    </w:p>
    <w:p>
      <w:pP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联 系 人 ：</w:t>
      </w:r>
      <w:r>
        <w:rPr>
          <w:rFonts w:hint="eastAsia" w:ascii="宋体" w:hAnsi="宋体" w:cs="宋体"/>
          <w:bCs/>
          <w:color w:val="auto"/>
          <w:sz w:val="24"/>
        </w:rPr>
        <w:t>竺女士</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监督投诉电话： </w:t>
      </w:r>
      <w:r>
        <w:rPr>
          <w:rFonts w:hint="eastAsia" w:ascii="宋体" w:hAnsi="宋体" w:cs="宋体"/>
          <w:bCs/>
          <w:color w:val="auto"/>
          <w:sz w:val="24"/>
        </w:rPr>
        <w:t>0574-89285446</w:t>
      </w:r>
      <w:r>
        <w:rPr>
          <w:rFonts w:hint="eastAsia" w:cs="仿宋" w:asciiTheme="majorEastAsia" w:hAnsiTheme="majorEastAsia" w:eastAsiaTheme="majorEastAsia"/>
          <w:color w:val="auto"/>
          <w:sz w:val="24"/>
        </w:rPr>
        <w:t xml:space="preserve">         </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CA问题联系电话（人工）：汇信CA 400-888-4636；天谷CA 400-087-8198。</w:t>
      </w:r>
    </w:p>
    <w:p>
      <w:pPr>
        <w:pStyle w:val="11"/>
        <w:spacing w:line="360" w:lineRule="auto"/>
        <w:ind w:firstLine="480" w:firstLineChars="200"/>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rPr>
        <w:t xml:space="preserve">                              </w:t>
      </w:r>
    </w:p>
    <w:p>
      <w:pPr>
        <w:spacing w:line="360" w:lineRule="auto"/>
        <w:jc w:val="center"/>
        <w:outlineLvl w:val="0"/>
        <w:rPr>
          <w:rFonts w:cs="仿宋" w:asciiTheme="majorEastAsia" w:hAnsiTheme="majorEastAsia" w:eastAsiaTheme="majorEastAsia"/>
          <w:b/>
          <w:color w:val="auto"/>
          <w:sz w:val="36"/>
          <w:szCs w:val="20"/>
        </w:rPr>
      </w:pPr>
      <w:r>
        <w:rPr>
          <w:rFonts w:hint="eastAsia" w:cs="仿宋" w:asciiTheme="majorEastAsia" w:hAnsiTheme="majorEastAsia" w:eastAsiaTheme="majorEastAsia"/>
          <w:b/>
          <w:color w:val="auto"/>
          <w:sz w:val="36"/>
          <w:szCs w:val="20"/>
        </w:rPr>
        <w:br w:type="page"/>
      </w:r>
      <w:r>
        <w:rPr>
          <w:rFonts w:hint="eastAsia" w:cs="仿宋" w:asciiTheme="majorEastAsia" w:hAnsiTheme="majorEastAsia" w:eastAsiaTheme="majorEastAsia"/>
          <w:b/>
          <w:color w:val="auto"/>
          <w:sz w:val="36"/>
          <w:szCs w:val="20"/>
        </w:rPr>
        <w:t>第二部分</w:t>
      </w:r>
      <w:bookmarkEnd w:id="8"/>
      <w:r>
        <w:rPr>
          <w:rFonts w:hint="eastAsia" w:cs="仿宋" w:asciiTheme="majorEastAsia" w:hAnsiTheme="majorEastAsia" w:eastAsiaTheme="majorEastAsia"/>
          <w:b/>
          <w:color w:val="auto"/>
          <w:sz w:val="36"/>
          <w:szCs w:val="20"/>
        </w:rPr>
        <w:t xml:space="preserve"> 投标须知</w:t>
      </w:r>
      <w:bookmarkEnd w:id="9"/>
    </w:p>
    <w:p>
      <w:pPr>
        <w:snapToGrid w:val="0"/>
        <w:spacing w:line="360" w:lineRule="auto"/>
        <w:jc w:val="center"/>
        <w:rPr>
          <w:rFonts w:cs="仿宋" w:asciiTheme="majorEastAsia" w:hAnsiTheme="majorEastAsia" w:eastAsiaTheme="majorEastAsia"/>
          <w:b/>
          <w:color w:val="auto"/>
          <w:sz w:val="32"/>
          <w:szCs w:val="20"/>
        </w:rPr>
      </w:pPr>
      <w:r>
        <w:rPr>
          <w:rFonts w:hint="eastAsia" w:cs="仿宋" w:asciiTheme="majorEastAsia" w:hAnsiTheme="majorEastAsia" w:eastAsiaTheme="majorEastAsia"/>
          <w:b/>
          <w:color w:val="auto"/>
          <w:sz w:val="32"/>
          <w:szCs w:val="20"/>
        </w:rPr>
        <w:t>前附表</w:t>
      </w:r>
    </w:p>
    <w:tbl>
      <w:tblPr>
        <w:tblStyle w:val="17"/>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2"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cs="仿宋" w:asciiTheme="majorEastAsia" w:hAnsiTheme="majorEastAsia" w:eastAsiaTheme="majorEastAsia"/>
                <w:color w:val="auto"/>
                <w:sz w:val="24"/>
              </w:rPr>
            </w:pPr>
          </w:p>
          <w:p>
            <w:pPr>
              <w:snapToGrid w:val="0"/>
              <w:spacing w:line="360" w:lineRule="auto"/>
              <w:jc w:val="center"/>
              <w:rPr>
                <w:rFonts w:cs="仿宋" w:asciiTheme="majorEastAsia" w:hAnsiTheme="majorEastAsia" w:eastAsiaTheme="majorEastAsia"/>
                <w:color w:val="auto"/>
                <w:sz w:val="24"/>
              </w:rPr>
            </w:pPr>
          </w:p>
          <w:p>
            <w:pPr>
              <w:snapToGrid w:val="0"/>
              <w:spacing w:line="360" w:lineRule="auto"/>
              <w:jc w:val="center"/>
              <w:rPr>
                <w:rFonts w:cs="仿宋" w:asciiTheme="majorEastAsia" w:hAnsiTheme="majorEastAsia" w:eastAsiaTheme="majorEastAsia"/>
                <w:color w:val="auto"/>
                <w:sz w:val="24"/>
              </w:rPr>
            </w:pPr>
          </w:p>
          <w:p>
            <w:pPr>
              <w:snapToGrid w:val="0"/>
              <w:spacing w:line="360" w:lineRule="auto"/>
              <w:jc w:val="center"/>
              <w:rPr>
                <w:rFonts w:cs="仿宋" w:asciiTheme="majorEastAsia" w:hAnsiTheme="majorEastAsia" w:eastAsiaTheme="majorEastAsia"/>
                <w:color w:val="auto"/>
                <w:sz w:val="24"/>
              </w:rPr>
            </w:pPr>
          </w:p>
          <w:p>
            <w:pPr>
              <w:snapToGrid w:val="0"/>
              <w:spacing w:line="360" w:lineRule="auto"/>
              <w:jc w:val="center"/>
              <w:rPr>
                <w:rFonts w:cs="仿宋" w:asciiTheme="majorEastAsia" w:hAnsiTheme="majorEastAsia" w:eastAsiaTheme="majorEastAsia"/>
                <w:color w:val="auto"/>
                <w:sz w:val="24"/>
              </w:rPr>
            </w:pPr>
          </w:p>
          <w:p>
            <w:pPr>
              <w:snapToGrid w:val="0"/>
              <w:spacing w:line="360" w:lineRule="auto"/>
              <w:jc w:val="center"/>
              <w:rPr>
                <w:rFonts w:cs="仿宋" w:asciiTheme="majorEastAsia" w:hAnsiTheme="majorEastAsia" w:eastAsiaTheme="majorEastAsia"/>
                <w:color w:val="auto"/>
                <w:sz w:val="24"/>
              </w:rPr>
            </w:pPr>
          </w:p>
          <w:p>
            <w:pPr>
              <w:snapToGrid w:val="0"/>
              <w:spacing w:line="360" w:lineRule="auto"/>
              <w:jc w:val="center"/>
              <w:rPr>
                <w:rFonts w:cs="仿宋" w:asciiTheme="majorEastAsia" w:hAnsiTheme="majorEastAsia" w:eastAsiaTheme="majorEastAsia"/>
                <w:color w:val="auto"/>
                <w:sz w:val="24"/>
              </w:rPr>
            </w:pPr>
          </w:p>
          <w:p>
            <w:pP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cs="仿宋" w:asciiTheme="majorEastAsia" w:hAnsiTheme="majorEastAsia" w:eastAsiaTheme="majorEastAsia"/>
                <w:b/>
                <w:color w:val="auto"/>
                <w:kern w:val="0"/>
                <w:sz w:val="24"/>
                <w:lang w:val="zh-CN"/>
              </w:rPr>
            </w:pPr>
            <w:r>
              <w:rPr>
                <w:rFonts w:hint="eastAsia" w:cs="仿宋" w:asciiTheme="majorEastAsia" w:hAnsiTheme="majorEastAsia" w:eastAsiaTheme="majorEastAsia"/>
                <w:color w:val="auto"/>
                <w:kern w:val="0"/>
                <w:sz w:val="24"/>
                <w:lang w:val="zh-CN"/>
              </w:rPr>
              <w:t>有关本项目实施所需的所有费用（含税费）均计入报价。</w:t>
            </w:r>
            <w:r>
              <w:rPr>
                <w:rFonts w:hint="eastAsia" w:cs="仿宋" w:asciiTheme="majorEastAsia" w:hAnsiTheme="majorEastAsia" w:eastAsiaTheme="majorEastAsia"/>
                <w:color w:val="auto"/>
                <w:sz w:val="24"/>
              </w:rPr>
              <w:t>开标一览表是报价的唯一载体</w:t>
            </w:r>
            <w:r>
              <w:rPr>
                <w:rFonts w:hint="eastAsia" w:cs="仿宋" w:asciiTheme="majorEastAsia" w:hAnsiTheme="majorEastAsia" w:eastAsiaTheme="majorEastAsia"/>
                <w:color w:val="auto"/>
                <w:kern w:val="0"/>
                <w:sz w:val="24"/>
                <w:lang w:val="zh-CN"/>
              </w:rPr>
              <w:t>。投标文件中价格全部采用人民币报价。招标文件未列明，而供应商认为必需的费用也需列入报价。</w:t>
            </w:r>
          </w:p>
          <w:p>
            <w:pPr>
              <w:snapToGrid w:val="0"/>
              <w:spacing w:line="360" w:lineRule="auto"/>
              <w:jc w:val="left"/>
              <w:rPr>
                <w:rFonts w:cs="仿宋" w:asciiTheme="majorEastAsia" w:hAnsiTheme="majorEastAsia" w:eastAsiaTheme="majorEastAsia"/>
                <w:b/>
                <w:color w:val="auto"/>
                <w:kern w:val="0"/>
                <w:sz w:val="24"/>
                <w:lang w:val="zh-CN"/>
              </w:rPr>
            </w:pPr>
            <w:r>
              <w:rPr>
                <w:rFonts w:hint="eastAsia" w:cs="仿宋" w:asciiTheme="majorEastAsia" w:hAnsiTheme="majorEastAsia" w:eastAsiaTheme="majorEastAsia"/>
                <w:b/>
                <w:color w:val="auto"/>
                <w:kern w:val="0"/>
                <w:sz w:val="24"/>
                <w:lang w:val="zh-CN"/>
              </w:rPr>
              <w:t>投标报价出现下列情形的，投标无效：</w:t>
            </w:r>
          </w:p>
          <w:p>
            <w:pPr>
              <w:snapToGrid w:val="0"/>
              <w:spacing w:line="360" w:lineRule="auto"/>
              <w:ind w:firstLine="241" w:firstLineChars="100"/>
              <w:jc w:val="left"/>
              <w:rPr>
                <w:rFonts w:cs="仿宋" w:asciiTheme="majorEastAsia" w:hAnsiTheme="majorEastAsia" w:eastAsiaTheme="majorEastAsia"/>
                <w:b/>
                <w:color w:val="auto"/>
                <w:kern w:val="0"/>
                <w:sz w:val="24"/>
                <w:lang w:val="zh-CN"/>
              </w:rPr>
            </w:pPr>
            <w:r>
              <w:rPr>
                <w:rFonts w:hint="eastAsia" w:cs="仿宋" w:asciiTheme="majorEastAsia" w:hAnsiTheme="majorEastAsia" w:eastAsiaTheme="majorEastAsia"/>
                <w:b/>
                <w:color w:val="auto"/>
                <w:kern w:val="0"/>
                <w:sz w:val="24"/>
                <w:lang w:val="zh-CN"/>
              </w:rPr>
              <w:t>投标文件出现不是唯一的、有选择性投标报价的；</w:t>
            </w:r>
          </w:p>
          <w:p>
            <w:pPr>
              <w:snapToGrid w:val="0"/>
              <w:spacing w:line="360" w:lineRule="auto"/>
              <w:ind w:firstLine="241" w:firstLineChars="1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b/>
                <w:color w:val="auto"/>
                <w:kern w:val="0"/>
                <w:sz w:val="24"/>
                <w:lang w:val="zh-CN"/>
              </w:rPr>
              <w:t>投标报价超过招标文件中规定的预算金额或者最高限价的;</w:t>
            </w:r>
          </w:p>
          <w:p>
            <w:pPr>
              <w:spacing w:line="360" w:lineRule="auto"/>
              <w:ind w:firstLine="241" w:firstLineChars="10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kern w:val="0"/>
                <w:sz w:val="24"/>
              </w:rPr>
              <w:t>报价明显低于其他通过符合性审查供应商的报价，有可能影响产品质量或者不能诚信履约的，未能按要求提供书面说明或者提交相关证明材料证明其报价合理性的</w:t>
            </w:r>
            <w:r>
              <w:rPr>
                <w:rFonts w:hint="eastAsia" w:cs="仿宋" w:asciiTheme="majorEastAsia" w:hAnsiTheme="majorEastAsia" w:eastAsiaTheme="majorEastAsia"/>
                <w:b/>
                <w:color w:val="auto"/>
                <w:sz w:val="24"/>
                <w:szCs w:val="21"/>
              </w:rPr>
              <w:t>;</w:t>
            </w:r>
          </w:p>
          <w:p>
            <w:pPr>
              <w:spacing w:line="360" w:lineRule="auto"/>
              <w:ind w:firstLine="241" w:firstLineChars="100"/>
              <w:rPr>
                <w:rFonts w:cs="仿宋" w:asciiTheme="majorEastAsia" w:hAnsiTheme="majorEastAsia" w:eastAsiaTheme="majorEastAsia"/>
                <w:color w:val="auto"/>
                <w:sz w:val="24"/>
              </w:rPr>
            </w:pPr>
            <w:r>
              <w:rPr>
                <w:rFonts w:hint="eastAsia" w:cs="仿宋" w:asciiTheme="majorEastAsia" w:hAnsiTheme="majorEastAsia" w:eastAsiaTheme="majorEastAsia"/>
                <w:b/>
                <w:color w:val="auto"/>
                <w:kern w:val="0"/>
                <w:sz w:val="24"/>
              </w:rPr>
              <w:t>供应商对根据修正原则修正后的报价不确认的</w:t>
            </w:r>
            <w:r>
              <w:rPr>
                <w:rFonts w:hint="eastAsia" w:cs="仿宋" w:asciiTheme="majorEastAsia" w:hAnsiTheme="majorEastAsia" w:eastAsiaTheme="majorEastAsia"/>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pStyle w:val="11"/>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kern w:val="28"/>
                <w:sz w:val="24"/>
                <w:szCs w:val="24"/>
              </w:rPr>
              <w:t>投标保证金</w:t>
            </w: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color w:val="auto"/>
                <w:sz w:val="24"/>
              </w:rPr>
            </w:pPr>
            <w:r>
              <w:rPr>
                <w:rFonts w:hint="eastAsia" w:ascii="宋体" w:hAnsi="宋体" w:cs="宋体"/>
                <w:color w:val="auto"/>
                <w:sz w:val="24"/>
              </w:rPr>
              <w:t>投标保证金：人民</w:t>
            </w:r>
            <w:r>
              <w:rPr>
                <w:rFonts w:hint="eastAsia" w:ascii="宋体" w:hAnsi="宋体" w:cs="宋体"/>
                <w:color w:val="auto"/>
                <w:sz w:val="24"/>
                <w:highlight w:val="none"/>
              </w:rPr>
              <w:t>币</w:t>
            </w:r>
            <w:r>
              <w:rPr>
                <w:rFonts w:hint="eastAsia" w:ascii="宋体" w:hAnsi="宋体" w:cs="宋体"/>
                <w:color w:val="auto"/>
                <w:sz w:val="24"/>
                <w:highlight w:val="none"/>
                <w:lang w:val="en-US" w:eastAsia="zh-CN"/>
              </w:rPr>
              <w:t>20000</w:t>
            </w:r>
            <w:r>
              <w:rPr>
                <w:rFonts w:hint="eastAsia" w:ascii="宋体" w:hAnsi="宋体" w:cs="宋体"/>
                <w:color w:val="auto"/>
                <w:sz w:val="24"/>
                <w:highlight w:val="none"/>
              </w:rPr>
              <w:t>元整。</w:t>
            </w:r>
            <w:r>
              <w:rPr>
                <w:rFonts w:hint="eastAsia" w:ascii="宋体" w:hAnsi="宋体" w:cs="宋体"/>
                <w:color w:val="auto"/>
                <w:sz w:val="24"/>
              </w:rPr>
              <w:t>投标保证金须从投标人的基本账户转出以非现金方式交纳，形式：单位网银、转账支票、银行汇票或汇兑。</w:t>
            </w:r>
          </w:p>
          <w:p>
            <w:pPr>
              <w:spacing w:line="360" w:lineRule="auto"/>
              <w:ind w:firstLine="482" w:firstLineChars="200"/>
              <w:rPr>
                <w:rFonts w:hint="eastAsia" w:ascii="宋体" w:hAnsi="宋体" w:eastAsia="宋体"/>
                <w:b/>
                <w:color w:val="auto"/>
                <w:sz w:val="24"/>
                <w:lang w:eastAsia="zh-CN"/>
              </w:rPr>
            </w:pPr>
            <w:r>
              <w:rPr>
                <w:rFonts w:hint="eastAsia" w:ascii="宋体" w:hAnsi="宋体"/>
                <w:b/>
                <w:color w:val="auto"/>
                <w:sz w:val="24"/>
              </w:rPr>
              <w:t>账户名：宁波市奉化区政务服务中心</w:t>
            </w:r>
            <w:r>
              <w:rPr>
                <w:rFonts w:hint="eastAsia" w:ascii="宋体" w:hAnsi="宋体"/>
                <w:b/>
                <w:color w:val="auto"/>
                <w:sz w:val="24"/>
                <w:lang w:eastAsia="zh-CN"/>
              </w:rPr>
              <w:t>（</w:t>
            </w:r>
            <w:r>
              <w:rPr>
                <w:rFonts w:hint="eastAsia" w:ascii="宋体" w:hAnsi="宋体"/>
                <w:b/>
                <w:color w:val="auto"/>
                <w:sz w:val="24"/>
              </w:rPr>
              <w:t>区公共资源交易中心</w:t>
            </w:r>
            <w:r>
              <w:rPr>
                <w:rFonts w:hint="eastAsia" w:ascii="宋体" w:hAnsi="宋体"/>
                <w:b/>
                <w:color w:val="auto"/>
                <w:sz w:val="24"/>
                <w:lang w:eastAsia="zh-CN"/>
              </w:rPr>
              <w:t>）</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账号：231000003436009001840</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开户行：宁波奉化农村商业银行股份有限公司锦屏支行</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电话、传真：0574—88589092</w:t>
            </w:r>
          </w:p>
          <w:p>
            <w:pPr>
              <w:spacing w:line="360" w:lineRule="auto"/>
              <w:ind w:firstLine="480" w:firstLineChars="200"/>
              <w:rPr>
                <w:rFonts w:ascii="宋体" w:hAnsi="宋体"/>
                <w:color w:val="auto"/>
                <w:sz w:val="24"/>
              </w:rPr>
            </w:pPr>
            <w:r>
              <w:rPr>
                <w:rFonts w:hint="eastAsia" w:ascii="宋体" w:hAnsi="宋体"/>
                <w:color w:val="auto"/>
                <w:sz w:val="24"/>
                <w:highlight w:val="none"/>
              </w:rPr>
              <w:t>在2022年</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olor w:val="auto"/>
                <w:sz w:val="24"/>
                <w:highlight w:val="none"/>
                <w:lang w:val="en-US" w:eastAsia="zh-CN"/>
              </w:rPr>
              <w:t>14</w:t>
            </w:r>
            <w:r>
              <w:rPr>
                <w:rFonts w:hint="eastAsia" w:ascii="宋体" w:hAnsi="宋体"/>
                <w:color w:val="auto"/>
                <w:sz w:val="24"/>
                <w:highlight w:val="none"/>
              </w:rPr>
              <w:t>日下午16时前</w:t>
            </w:r>
            <w:r>
              <w:rPr>
                <w:rFonts w:hint="eastAsia" w:ascii="宋体" w:hAnsi="宋体"/>
                <w:color w:val="auto"/>
                <w:sz w:val="24"/>
              </w:rPr>
              <w:t>须足额缴纳（以实际到账时间为准），并在汇款信息或转账支票中注明项目名称。</w:t>
            </w:r>
          </w:p>
          <w:p>
            <w:pPr>
              <w:pStyle w:val="6"/>
              <w:spacing w:line="360" w:lineRule="auto"/>
              <w:ind w:firstLine="0"/>
              <w:jc w:val="left"/>
              <w:rPr>
                <w:rFonts w:cs="仿宋" w:asciiTheme="majorEastAsia" w:hAnsiTheme="majorEastAsia" w:eastAsiaTheme="majorEastAsia"/>
                <w:b/>
                <w:color w:val="auto"/>
                <w:kern w:val="0"/>
                <w:sz w:val="24"/>
              </w:rPr>
            </w:pPr>
            <w:r>
              <w:rPr>
                <w:rFonts w:hint="eastAsia" w:hAnsi="宋体"/>
                <w:b/>
                <w:color w:val="auto"/>
                <w:sz w:val="24"/>
              </w:rPr>
              <w:t>注：</w:t>
            </w:r>
            <w:r>
              <w:rPr>
                <w:rFonts w:hint="eastAsia" w:hAnsi="宋体"/>
                <w:color w:val="auto"/>
                <w:sz w:val="24"/>
              </w:rPr>
              <w:t>▲</w:t>
            </w:r>
            <w:r>
              <w:rPr>
                <w:rFonts w:hint="eastAsia" w:hAnsi="宋体"/>
                <w:b/>
                <w:color w:val="auto"/>
                <w:sz w:val="24"/>
              </w:rPr>
              <w:t>投标保证金按规定时间到账，超时的作无效标处理。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sz w:val="24"/>
              </w:rPr>
            </w:pPr>
            <w:r>
              <w:rPr>
                <w:rFonts w:hint="eastAsia" w:ascii="Wingdings" w:hAnsi="Wingdings" w:eastAsia="仿宋" w:cs="仿宋"/>
                <w:color w:val="auto"/>
                <w:kern w:val="0"/>
                <w:sz w:val="24"/>
              </w:rPr>
              <w:sym w:font="Wingdings" w:char="00A8"/>
            </w:r>
            <w:r>
              <w:rPr>
                <w:rFonts w:hint="eastAsia" w:ascii="仿宋" w:hAnsi="仿宋" w:eastAsia="仿宋" w:cs="仿宋"/>
                <w:color w:val="auto"/>
                <w:kern w:val="0"/>
                <w:sz w:val="24"/>
              </w:rPr>
              <w:t xml:space="preserve"> A</w:t>
            </w:r>
            <w:r>
              <w:rPr>
                <w:rFonts w:hint="eastAsia" w:ascii="仿宋" w:hAnsi="仿宋" w:eastAsia="仿宋" w:cs="仿宋"/>
                <w:color w:val="auto"/>
                <w:sz w:val="24"/>
              </w:rPr>
              <w:t>同意将非主体、非关键性的</w:t>
            </w:r>
            <w:r>
              <w:rPr>
                <w:rFonts w:hint="eastAsia" w:ascii="仿宋" w:hAnsi="仿宋" w:eastAsia="仿宋" w:cs="仿宋"/>
                <w:color w:val="auto"/>
                <w:sz w:val="24"/>
                <w:u w:val="single"/>
              </w:rPr>
              <w:t xml:space="preserve">             </w:t>
            </w:r>
            <w:r>
              <w:rPr>
                <w:rFonts w:hint="eastAsia" w:ascii="仿宋" w:hAnsi="仿宋" w:eastAsia="仿宋" w:cs="仿宋"/>
                <w:color w:val="auto"/>
                <w:sz w:val="24"/>
              </w:rPr>
              <w:t>工作分包。</w:t>
            </w:r>
          </w:p>
          <w:p>
            <w:pPr>
              <w:spacing w:line="360" w:lineRule="auto"/>
              <w:jc w:val="left"/>
              <w:rPr>
                <w:rFonts w:cs="仿宋" w:asciiTheme="majorEastAsia" w:hAnsiTheme="majorEastAsia" w:eastAsiaTheme="majorEastAsia"/>
                <w:color w:val="auto"/>
                <w:sz w:val="24"/>
              </w:rPr>
            </w:pPr>
            <w:r>
              <w:rPr>
                <w:rFonts w:ascii="Wingdings" w:hAnsi="Wingdings" w:eastAsia="仿宋" w:cs="仿宋"/>
                <w:color w:val="auto"/>
                <w:kern w:val="0"/>
                <w:sz w:val="24"/>
              </w:rPr>
              <w:t></w:t>
            </w:r>
            <w:r>
              <w:rPr>
                <w:rFonts w:hint="eastAsia" w:ascii="仿宋" w:hAnsi="仿宋" w:eastAsia="仿宋" w:cs="仿宋"/>
                <w:color w:val="auto"/>
                <w:kern w:val="0"/>
                <w:sz w:val="24"/>
              </w:rPr>
              <w:t xml:space="preserve"> B</w:t>
            </w:r>
            <w:r>
              <w:rPr>
                <w:rFonts w:hint="eastAsia" w:ascii="仿宋" w:hAnsi="仿宋" w:eastAsia="仿宋" w:cs="仿宋"/>
                <w:color w:val="auto"/>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资格证明文件：见招标文件第二部分9.1。</w:t>
            </w:r>
          </w:p>
          <w:p>
            <w:pPr>
              <w:spacing w:line="360" w:lineRule="auto"/>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sz w:val="24"/>
              </w:rPr>
              <w:t>资格证明文件不全的或者不符合招标文件标明的资格要求的</w:t>
            </w:r>
            <w:r>
              <w:rPr>
                <w:rFonts w:hint="eastAsia" w:cs="仿宋" w:asciiTheme="majorEastAsia" w:hAnsiTheme="majorEastAsia" w:eastAsiaTheme="majorEastAsia"/>
                <w:color w:val="auto"/>
                <w:sz w:val="24"/>
                <w:lang w:val="zh-CN"/>
              </w:rPr>
              <w:t>，视为供应商不具备招标文件中规定的资格要求，投标无效。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cs="仿宋" w:asciiTheme="majorEastAsia" w:hAnsiTheme="majorEastAsia" w:eastAsiaTheme="majorEastAsia"/>
                <w:color w:val="auto"/>
                <w:sz w:val="24"/>
              </w:rPr>
            </w:pPr>
          </w:p>
          <w:p>
            <w:pP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kern w:val="0"/>
                <w:sz w:val="24"/>
              </w:rPr>
              <w:sym w:font="Wingdings" w:char="F0FE"/>
            </w:r>
            <w:r>
              <w:rPr>
                <w:rFonts w:hint="eastAsia" w:ascii="仿宋" w:hAnsi="仿宋" w:eastAsia="仿宋" w:cs="仿宋"/>
                <w:color w:val="auto"/>
                <w:kern w:val="0"/>
                <w:sz w:val="24"/>
              </w:rPr>
              <w:t>A</w:t>
            </w:r>
            <w:r>
              <w:rPr>
                <w:rFonts w:hint="eastAsia" w:ascii="仿宋" w:hAnsi="仿宋" w:eastAsia="仿宋" w:cs="仿宋"/>
                <w:color w:val="auto"/>
                <w:sz w:val="24"/>
              </w:rPr>
              <w:t>不组织。</w:t>
            </w:r>
          </w:p>
          <w:p>
            <w:pPr>
              <w:spacing w:line="360" w:lineRule="auto"/>
              <w:rPr>
                <w:rFonts w:ascii="仿宋" w:hAnsi="仿宋" w:eastAsia="仿宋" w:cs="仿宋"/>
                <w:color w:val="auto"/>
                <w:sz w:val="24"/>
                <w:szCs w:val="20"/>
              </w:rPr>
            </w:pPr>
            <w:r>
              <w:rPr>
                <w:rFonts w:hint="eastAsia" w:ascii="Wingdings" w:hAnsi="Wingdings" w:eastAsia="仿宋" w:cs="仿宋"/>
                <w:color w:val="auto"/>
                <w:kern w:val="0"/>
                <w:sz w:val="24"/>
              </w:rPr>
              <w:sym w:font="Wingdings" w:char="00A8"/>
            </w:r>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样品提供</w:t>
            </w: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sz w:val="24"/>
              </w:rPr>
            </w:pPr>
            <w:r>
              <w:rPr>
                <w:rFonts w:hint="eastAsia" w:ascii="Wingdings" w:hAnsi="Wingdings" w:eastAsia="仿宋" w:cs="仿宋"/>
                <w:color w:val="auto"/>
                <w:kern w:val="0"/>
                <w:sz w:val="24"/>
              </w:rPr>
              <w:sym w:font="Wingdings" w:char="00FE"/>
            </w:r>
            <w:r>
              <w:rPr>
                <w:rFonts w:hint="eastAsia" w:ascii="仿宋" w:hAnsi="仿宋" w:eastAsia="仿宋" w:cs="仿宋"/>
                <w:color w:val="auto"/>
                <w:kern w:val="0"/>
                <w:sz w:val="24"/>
              </w:rPr>
              <w:t>A</w:t>
            </w:r>
            <w:r>
              <w:rPr>
                <w:rFonts w:hint="eastAsia" w:ascii="仿宋" w:hAnsi="仿宋" w:eastAsia="仿宋" w:cs="仿宋"/>
                <w:color w:val="auto"/>
                <w:sz w:val="24"/>
              </w:rPr>
              <w:t>不要求提供。</w:t>
            </w:r>
          </w:p>
          <w:p>
            <w:pPr>
              <w:spacing w:line="360" w:lineRule="auto"/>
              <w:rPr>
                <w:rFonts w:ascii="仿宋" w:hAnsi="仿宋" w:eastAsia="仿宋" w:cs="仿宋"/>
                <w:color w:val="auto"/>
                <w:kern w:val="0"/>
                <w:sz w:val="24"/>
              </w:rPr>
            </w:pPr>
            <w:r>
              <w:rPr>
                <w:rFonts w:hint="eastAsia" w:ascii="仿宋" w:hAnsi="仿宋" w:eastAsia="仿宋" w:cs="仿宋"/>
                <w:color w:val="auto"/>
                <w:kern w:val="0"/>
                <w:sz w:val="24"/>
              </w:rPr>
              <w:sym w:font="Wingdings" w:char="00A8"/>
            </w:r>
            <w:r>
              <w:rPr>
                <w:rFonts w:hint="eastAsia" w:ascii="仿宋" w:hAnsi="仿宋" w:eastAsia="仿宋" w:cs="仿宋"/>
                <w:color w:val="auto"/>
                <w:kern w:val="0"/>
                <w:sz w:val="24"/>
              </w:rPr>
              <w:t>B要求提供，</w:t>
            </w:r>
          </w:p>
          <w:p>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snapToGrid w:val="0"/>
                <w:color w:val="auto"/>
                <w:kern w:val="28"/>
                <w:sz w:val="24"/>
              </w:rPr>
              <w:t>样品：</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（2）</w:t>
            </w:r>
            <w:r>
              <w:rPr>
                <w:rFonts w:hint="eastAsia" w:ascii="仿宋" w:hAnsi="仿宋" w:eastAsia="仿宋" w:cs="仿宋"/>
                <w:snapToGrid w:val="0"/>
                <w:color w:val="auto"/>
                <w:kern w:val="28"/>
                <w:sz w:val="24"/>
              </w:rPr>
              <w:t>样品制作的标准和要求：</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（3）样品的评审方法以及评审标准</w:t>
            </w:r>
            <w:r>
              <w:rPr>
                <w:rFonts w:hint="eastAsia" w:ascii="仿宋" w:hAnsi="仿宋" w:eastAsia="仿宋" w:cs="仿宋"/>
                <w:snapToGrid w:val="0"/>
                <w:color w:val="auto"/>
                <w:kern w:val="28"/>
                <w:sz w:val="24"/>
              </w:rPr>
              <w:t>：详见</w:t>
            </w:r>
            <w:r>
              <w:rPr>
                <w:rFonts w:hint="eastAsia" w:ascii="仿宋" w:hAnsi="仿宋" w:eastAsia="仿宋" w:cs="仿宋"/>
                <w:color w:val="auto"/>
                <w:sz w:val="24"/>
                <w:u w:val="single"/>
              </w:rPr>
              <w:t>评标办法</w:t>
            </w:r>
            <w:r>
              <w:rPr>
                <w:rFonts w:hint="eastAsia" w:ascii="仿宋" w:hAnsi="仿宋" w:eastAsia="仿宋" w:cs="仿宋"/>
                <w:color w:val="auto"/>
                <w:kern w:val="0"/>
                <w:sz w:val="24"/>
              </w:rPr>
              <w:t>；</w:t>
            </w:r>
          </w:p>
          <w:p>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（4）是否需要随样品提交检测报告：</w:t>
            </w:r>
            <w:r>
              <w:rPr>
                <w:rFonts w:hint="eastAsia" w:ascii="仿宋" w:hAnsi="仿宋" w:eastAsia="仿宋" w:cs="仿宋"/>
                <w:color w:val="auto"/>
                <w:kern w:val="0"/>
                <w:sz w:val="24"/>
              </w:rPr>
              <w:sym w:font="Wingdings" w:char="F0FE"/>
            </w:r>
            <w:r>
              <w:rPr>
                <w:rFonts w:hint="eastAsia" w:ascii="仿宋" w:hAnsi="仿宋" w:eastAsia="仿宋" w:cs="仿宋"/>
                <w:color w:val="auto"/>
                <w:kern w:val="0"/>
                <w:sz w:val="24"/>
              </w:rPr>
              <w:t>否；☐是，检测机构的要求</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；检测内容</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spacing w:line="360" w:lineRule="auto"/>
              <w:rPr>
                <w:rFonts w:ascii="仿宋" w:hAnsi="仿宋" w:eastAsia="仿宋" w:cs="仿宋"/>
                <w:color w:val="auto"/>
                <w:sz w:val="24"/>
              </w:rPr>
            </w:pPr>
            <w:r>
              <w:rPr>
                <w:rFonts w:hint="eastAsia" w:ascii="仿宋" w:hAnsi="仿宋" w:eastAsia="仿宋" w:cs="仿宋"/>
                <w:color w:val="auto"/>
                <w:sz w:val="24"/>
              </w:rPr>
              <w:t>（5）提供样品的时间：</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；联系人</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28"/>
                <w:sz w:val="24"/>
              </w:rPr>
              <w:t>联系电话：</w:t>
            </w:r>
            <w:r>
              <w:rPr>
                <w:rFonts w:hint="eastAsia" w:ascii="仿宋" w:hAnsi="仿宋" w:eastAsia="仿宋" w:cs="仿宋"/>
                <w:color w:val="auto"/>
                <w:sz w:val="24"/>
                <w:u w:val="single"/>
              </w:rPr>
              <w:t xml:space="preserve">    </w:t>
            </w:r>
            <w:r>
              <w:rPr>
                <w:rFonts w:hint="eastAsia" w:ascii="仿宋" w:hAnsi="仿宋" w:eastAsia="仿宋" w:cs="仿宋"/>
                <w:color w:val="auto"/>
                <w:sz w:val="24"/>
              </w:rPr>
              <w:t>。请</w:t>
            </w:r>
            <w:r>
              <w:rPr>
                <w:rFonts w:hint="eastAsia" w:ascii="仿宋" w:hAnsi="仿宋" w:eastAsia="仿宋" w:cs="仿宋"/>
                <w:color w:val="auto"/>
                <w:kern w:val="0"/>
                <w:sz w:val="24"/>
                <w:lang w:val="zh-CN"/>
              </w:rPr>
              <w:t>供应商</w:t>
            </w:r>
            <w:r>
              <w:rPr>
                <w:rFonts w:hint="eastAsia" w:ascii="仿宋" w:hAnsi="仿宋" w:eastAsia="仿宋" w:cs="仿宋"/>
                <w:color w:val="auto"/>
                <w:sz w:val="24"/>
              </w:rPr>
              <w:t>在上述时间内提供样品并按规定位置安装完毕。超过截止时间的，采购人或采购代理机构将不予接收，并将清场并封闭样品现场。</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仿宋" w:hAnsi="仿宋" w:eastAsia="仿宋" w:cs="仿宋"/>
                <w:b/>
                <w:color w:val="auto"/>
                <w:sz w:val="24"/>
              </w:rPr>
            </w:pPr>
            <w:r>
              <w:rPr>
                <w:rFonts w:hint="eastAsia" w:ascii="仿宋" w:hAnsi="仿宋" w:eastAsia="仿宋" w:cs="仿宋"/>
                <w:color w:val="auto"/>
                <w:sz w:val="24"/>
              </w:rPr>
              <w:t>（7）制作、运输、安装和保管样品所发生的一切费用由</w:t>
            </w:r>
            <w:r>
              <w:rPr>
                <w:rFonts w:hint="eastAsia" w:ascii="仿宋" w:hAnsi="仿宋" w:eastAsia="仿宋" w:cs="仿宋"/>
                <w:color w:val="auto"/>
                <w:kern w:val="0"/>
                <w:sz w:val="24"/>
                <w:lang w:val="zh-CN"/>
              </w:rPr>
              <w:t>供应商</w:t>
            </w:r>
            <w:r>
              <w:rPr>
                <w:rFonts w:hint="eastAsia" w:ascii="仿宋" w:hAnsi="仿宋" w:eastAsia="仿宋" w:cs="仿宋"/>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 w:asciiTheme="majorEastAsia" w:hAnsiTheme="majorEastAsia" w:eastAsiaTheme="majorEastAsia"/>
                <w:bCs/>
                <w:color w:val="auto"/>
                <w:sz w:val="24"/>
              </w:rPr>
            </w:pPr>
            <w:r>
              <w:rPr>
                <w:rFonts w:hint="eastAsia" w:cs="仿宋" w:asciiTheme="majorEastAsia" w:hAnsiTheme="majorEastAsia" w:eastAsiaTheme="majorEastAsia"/>
                <w:b/>
                <w:color w:val="auto"/>
                <w:sz w:val="24"/>
              </w:rPr>
              <w:t>方案讲解演示</w:t>
            </w: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sz w:val="24"/>
              </w:rPr>
            </w:pPr>
            <w:r>
              <w:rPr>
                <w:rFonts w:ascii="Wingdings" w:hAnsi="Wingdings" w:eastAsia="仿宋" w:cs="仿宋"/>
                <w:color w:val="auto"/>
                <w:kern w:val="0"/>
                <w:sz w:val="24"/>
              </w:rPr>
              <w:t></w:t>
            </w:r>
            <w:r>
              <w:rPr>
                <w:rFonts w:hint="eastAsia" w:ascii="仿宋" w:hAnsi="仿宋" w:eastAsia="仿宋" w:cs="仿宋"/>
                <w:color w:val="auto"/>
                <w:kern w:val="0"/>
                <w:sz w:val="24"/>
              </w:rPr>
              <w:t>A</w:t>
            </w:r>
            <w:r>
              <w:rPr>
                <w:rFonts w:hint="eastAsia" w:ascii="仿宋" w:hAnsi="仿宋" w:eastAsia="仿宋" w:cs="仿宋"/>
                <w:color w:val="auto"/>
                <w:sz w:val="24"/>
              </w:rPr>
              <w:t>不组织。</w:t>
            </w:r>
          </w:p>
          <w:p>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☐B组织。</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（1）在评标时安排每个</w:t>
            </w:r>
            <w:r>
              <w:rPr>
                <w:rFonts w:hint="eastAsia" w:ascii="仿宋" w:hAnsi="仿宋" w:eastAsia="仿宋" w:cs="仿宋"/>
                <w:color w:val="auto"/>
                <w:kern w:val="0"/>
                <w:sz w:val="24"/>
                <w:lang w:val="zh-CN"/>
              </w:rPr>
              <w:t>供应商</w:t>
            </w:r>
            <w:r>
              <w:rPr>
                <w:rFonts w:hint="eastAsia" w:ascii="仿宋" w:hAnsi="仿宋" w:eastAsia="仿宋" w:cs="仿宋"/>
                <w:color w:val="auto"/>
                <w:kern w:val="0"/>
                <w:sz w:val="24"/>
              </w:rPr>
              <w:t>进行方案讲解演示。每个</w:t>
            </w:r>
            <w:r>
              <w:rPr>
                <w:rFonts w:hint="eastAsia" w:ascii="仿宋" w:hAnsi="仿宋" w:eastAsia="仿宋" w:cs="仿宋"/>
                <w:color w:val="auto"/>
                <w:kern w:val="0"/>
                <w:sz w:val="24"/>
                <w:lang w:val="zh-CN"/>
              </w:rPr>
              <w:t>供应商</w:t>
            </w:r>
            <w:r>
              <w:rPr>
                <w:rFonts w:hint="eastAsia" w:ascii="仿宋" w:hAnsi="仿宋" w:eastAsia="仿宋" w:cs="仿宋"/>
                <w:color w:val="auto"/>
                <w:kern w:val="0"/>
                <w:sz w:val="24"/>
              </w:rPr>
              <w:t>时间不超过</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分钟，讲解次序以投标文件解密时间先后次序为准，讲解演示人员不超过</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人。讲解演示结束后按要求解答评标委员会提问。</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（2）方案讲解演示可选择以下其中一种方式：</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方式一：政采云平台在线讲解演示。政采云平台在线讲解需</w:t>
            </w:r>
            <w:r>
              <w:rPr>
                <w:rFonts w:hint="eastAsia" w:ascii="仿宋" w:hAnsi="仿宋" w:eastAsia="仿宋" w:cs="仿宋"/>
                <w:color w:val="auto"/>
                <w:kern w:val="0"/>
                <w:sz w:val="24"/>
                <w:lang w:val="zh-CN"/>
              </w:rPr>
              <w:t>供应商</w:t>
            </w:r>
            <w:r>
              <w:rPr>
                <w:rFonts w:hint="eastAsia" w:ascii="仿宋" w:hAnsi="仿宋" w:eastAsia="仿宋" w:cs="仿宋"/>
                <w:color w:val="auto"/>
                <w:kern w:val="0"/>
                <w:sz w:val="24"/>
              </w:rPr>
              <w:t>根据政采云平台操作要求做好准备工作，提前完善软硬件配置环境。</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方式二：交易中心现场讲解演示。现场讲解地点为</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，讲解演示所用电脑等设备由</w:t>
            </w:r>
            <w:r>
              <w:rPr>
                <w:rFonts w:hint="eastAsia" w:ascii="仿宋" w:hAnsi="仿宋" w:eastAsia="仿宋" w:cs="仿宋"/>
                <w:color w:val="auto"/>
                <w:kern w:val="0"/>
                <w:sz w:val="24"/>
                <w:lang w:val="zh-CN"/>
              </w:rPr>
              <w:t>供应商</w:t>
            </w:r>
            <w:r>
              <w:rPr>
                <w:rFonts w:hint="eastAsia" w:ascii="仿宋" w:hAnsi="仿宋" w:eastAsia="仿宋" w:cs="仿宋"/>
                <w:color w:val="auto"/>
                <w:kern w:val="0"/>
                <w:sz w:val="24"/>
              </w:rPr>
              <w:t>自备。现场讲解演示人员进场时提供讲解人员名单（加盖公章）及身份证明，否则不得讲解演示。</w:t>
            </w:r>
          </w:p>
          <w:p>
            <w:pPr>
              <w:snapToGrid w:val="0"/>
              <w:spacing w:line="360" w:lineRule="auto"/>
              <w:rPr>
                <w:rFonts w:ascii="仿宋" w:hAnsi="仿宋" w:eastAsia="仿宋" w:cs="仿宋"/>
                <w:b/>
                <w:color w:val="auto"/>
                <w:kern w:val="0"/>
                <w:sz w:val="24"/>
                <w:lang w:val="zh-CN"/>
              </w:rPr>
            </w:pPr>
            <w:r>
              <w:rPr>
                <w:rFonts w:hint="eastAsia" w:ascii="仿宋" w:hAnsi="仿宋" w:eastAsia="仿宋" w:cs="仿宋"/>
                <w:color w:val="auto"/>
                <w:kern w:val="0"/>
                <w:sz w:val="24"/>
              </w:rPr>
              <w:t>注：因</w:t>
            </w:r>
            <w:r>
              <w:rPr>
                <w:rFonts w:hint="eastAsia" w:ascii="仿宋" w:hAnsi="仿宋" w:eastAsia="仿宋" w:cs="仿宋"/>
                <w:color w:val="auto"/>
                <w:kern w:val="0"/>
                <w:sz w:val="24"/>
                <w:lang w:val="zh-CN"/>
              </w:rPr>
              <w:t>供应商</w:t>
            </w:r>
            <w:r>
              <w:rPr>
                <w:rFonts w:hint="eastAsia" w:ascii="仿宋" w:hAnsi="仿宋" w:eastAsia="仿宋" w:cs="仿宋"/>
                <w:color w:val="auto"/>
                <w:kern w:val="0"/>
                <w:sz w:val="24"/>
              </w:rPr>
              <w:t>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是否允许采购进口产品</w:t>
            </w: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项目属性与核心产品</w:t>
            </w: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仿宋" w:asciiTheme="majorEastAsia" w:hAnsiTheme="majorEastAsia" w:eastAsiaTheme="majorEastAsia"/>
                <w:color w:val="auto"/>
                <w:sz w:val="24"/>
              </w:rPr>
            </w:pPr>
            <w:r>
              <w:rPr>
                <w:rFonts w:cs="仿宋" w:asciiTheme="majorEastAsia" w:hAnsiTheme="majorEastAsia" w:eastAsiaTheme="majorEastAsia"/>
                <w:color w:val="auto"/>
                <w:kern w:val="0"/>
                <w:sz w:val="24"/>
              </w:rPr>
              <w:t></w:t>
            </w:r>
            <w:r>
              <w:rPr>
                <w:rFonts w:hint="eastAsia" w:cs="仿宋" w:asciiTheme="majorEastAsia" w:hAnsiTheme="majorEastAsia" w:eastAsiaTheme="majorEastAsia"/>
                <w:color w:val="auto"/>
                <w:sz w:val="24"/>
              </w:rPr>
              <w:t>货物类，单一产品或</w:t>
            </w:r>
            <w:r>
              <w:rPr>
                <w:rFonts w:hint="eastAsia" w:cs="仿宋" w:asciiTheme="majorEastAsia" w:hAnsiTheme="majorEastAsia" w:eastAsiaTheme="majorEastAsia"/>
                <w:color w:val="auto"/>
                <w:kern w:val="0"/>
                <w:sz w:val="24"/>
              </w:rPr>
              <w:t>核心产品为：</w:t>
            </w:r>
            <w:r>
              <w:rPr>
                <w:rFonts w:hint="eastAsia" w:cs="仿宋" w:asciiTheme="majorEastAsia" w:hAnsiTheme="majorEastAsia" w:eastAsiaTheme="majorEastAsia"/>
                <w:color w:val="auto"/>
                <w:kern w:val="0"/>
                <w:sz w:val="24"/>
                <w:u w:val="single"/>
              </w:rPr>
              <w:t xml:space="preserve">   </w:t>
            </w:r>
            <w:r>
              <w:rPr>
                <w:rFonts w:hint="eastAsia" w:cs="仿宋" w:asciiTheme="majorEastAsia" w:hAnsiTheme="majorEastAsia" w:eastAsiaTheme="majorEastAsia"/>
                <w:color w:val="auto"/>
                <w:kern w:val="0"/>
                <w:sz w:val="24"/>
                <w:u w:val="single"/>
                <w:lang w:val="en-US" w:eastAsia="zh-CN"/>
              </w:rPr>
              <w:t>/</w:t>
            </w:r>
            <w:r>
              <w:rPr>
                <w:rFonts w:hint="eastAsia" w:cs="仿宋" w:asciiTheme="majorEastAsia" w:hAnsiTheme="majorEastAsia" w:eastAsiaTheme="majorEastAsia"/>
                <w:color w:val="auto"/>
                <w:kern w:val="0"/>
                <w:sz w:val="24"/>
                <w:u w:val="single"/>
              </w:rPr>
              <w:t xml:space="preserve">    </w:t>
            </w:r>
            <w:r>
              <w:rPr>
                <w:rFonts w:hint="eastAsia" w:cs="仿宋" w:asciiTheme="majorEastAsia" w:hAnsiTheme="majorEastAsia" w:eastAsiaTheme="majorEastAsia"/>
                <w:color w:val="auto"/>
                <w:sz w:val="24"/>
              </w:rPr>
              <w:t>。</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kern w:val="0"/>
                <w:sz w:val="24"/>
              </w:rPr>
              <w:t>多家</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提供相同品牌产品（单一产品采购项目中的该产品或者非单一产品采购项目的核心产品）且通过资格审查、符合性审查的不同</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参加同一合同项下投标的，按一家</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计算，评审后得分最高的同品牌</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获得中标人推荐资格；评审得分相同的，报价评审得分最高的同品牌</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获得中标人推荐资格；评审得分和报价评审得分均相同的，由采购人或评标委员会采取随机抽取方式确定，其他同品牌</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不作为中标候选人。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标的：</w:t>
            </w:r>
            <w:r>
              <w:rPr>
                <w:rFonts w:hint="eastAsia" w:cs="仿宋" w:asciiTheme="majorEastAsia" w:hAnsiTheme="majorEastAsia" w:eastAsiaTheme="majorEastAsia"/>
                <w:color w:val="auto"/>
                <w:sz w:val="24"/>
                <w:u w:val="single"/>
              </w:rPr>
              <w:t>奉化区柏坑水库扩容工程施工地质咨询服务项目</w:t>
            </w:r>
            <w:r>
              <w:rPr>
                <w:rFonts w:hint="eastAsia" w:cs="仿宋" w:asciiTheme="majorEastAsia" w:hAnsiTheme="majorEastAsia" w:eastAsiaTheme="majorEastAsia"/>
                <w:color w:val="auto"/>
                <w:kern w:val="0"/>
                <w:sz w:val="24"/>
              </w:rPr>
              <w:t>，属于</w:t>
            </w:r>
            <w:r>
              <w:rPr>
                <w:rFonts w:hint="eastAsia" w:asciiTheme="minorEastAsia" w:hAnsiTheme="minorEastAsia" w:eastAsiaTheme="minorEastAsia" w:cstheme="minorEastAsia"/>
                <w:color w:val="auto"/>
                <w:kern w:val="0"/>
                <w:sz w:val="24"/>
                <w:u w:val="single"/>
                <w:lang w:eastAsia="zh-CN"/>
              </w:rPr>
              <w:t>其他未列明</w:t>
            </w:r>
            <w:r>
              <w:rPr>
                <w:rFonts w:hint="eastAsia" w:asciiTheme="minorEastAsia" w:hAnsiTheme="minorEastAsia" w:eastAsiaTheme="minorEastAsia" w:cstheme="minorEastAsia"/>
                <w:color w:val="auto"/>
                <w:kern w:val="0"/>
                <w:sz w:val="24"/>
              </w:rPr>
              <w:t>行业</w:t>
            </w:r>
            <w:r>
              <w:rPr>
                <w:rFonts w:hint="eastAsia" w:cs="仿宋" w:asciiTheme="majorEastAsia" w:hAnsiTheme="majorEastAsia" w:eastAsiaTheme="majorEastAsia"/>
                <w:color w:val="auto"/>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中标服务费</w:t>
            </w:r>
          </w:p>
        </w:tc>
        <w:tc>
          <w:tcPr>
            <w:tcW w:w="666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eastAsia="zh-CN"/>
              </w:rPr>
            </w:pPr>
            <w:r>
              <w:rPr>
                <w:rFonts w:hint="eastAsia" w:ascii="仿宋" w:hAnsi="仿宋" w:eastAsia="仿宋" w:cs="仿宋"/>
                <w:color w:val="auto"/>
                <w:kern w:val="0"/>
                <w:sz w:val="24"/>
                <w:szCs w:val="24"/>
                <w:highlight w:val="none"/>
                <w:lang w:val="en-US" w:eastAsia="zh-CN" w:bidi="ar-SA"/>
              </w:rPr>
              <w:t>☐</w:t>
            </w:r>
            <w:r>
              <w:rPr>
                <w:rFonts w:hint="eastAsia" w:ascii="宋体" w:hAnsi="宋体" w:eastAsia="宋体" w:cs="宋体"/>
                <w:color w:val="auto"/>
                <w:sz w:val="24"/>
                <w:highlight w:val="none"/>
                <w:lang w:eastAsia="zh-CN"/>
              </w:rPr>
              <w:t>无。</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sym w:font="Wingdings" w:char="00FE"/>
            </w:r>
            <w:r>
              <w:rPr>
                <w:rFonts w:hint="eastAsia" w:ascii="宋体" w:hAnsi="宋体" w:eastAsia="宋体" w:cs="宋体"/>
                <w:color w:val="auto"/>
                <w:sz w:val="24"/>
                <w:highlight w:val="none"/>
                <w:lang w:val="en-US" w:eastAsia="zh-CN"/>
              </w:rPr>
              <w:t xml:space="preserve">中标人向采购代理机构支付中标服务费 </w:t>
            </w:r>
            <w:r>
              <w:rPr>
                <w:rFonts w:hint="eastAsia" w:ascii="宋体" w:hAnsi="宋体" w:cs="宋体"/>
                <w:color w:val="auto"/>
                <w:sz w:val="24"/>
                <w:highlight w:val="none"/>
                <w:u w:val="single"/>
                <w:lang w:val="en-US" w:eastAsia="zh-CN"/>
              </w:rPr>
              <w:t>15</w:t>
            </w:r>
            <w:r>
              <w:rPr>
                <w:rFonts w:hint="eastAsia" w:ascii="宋体" w:hAnsi="宋体" w:eastAsia="宋体" w:cs="宋体"/>
                <w:color w:val="auto"/>
                <w:sz w:val="24"/>
                <w:highlight w:val="none"/>
                <w:u w:val="single"/>
                <w:lang w:val="en-US" w:eastAsia="zh-CN"/>
              </w:rPr>
              <w:t>500</w:t>
            </w:r>
            <w:r>
              <w:rPr>
                <w:rFonts w:hint="eastAsia" w:ascii="宋体" w:hAnsi="宋体" w:eastAsia="宋体" w:cs="宋体"/>
                <w:color w:val="auto"/>
                <w:sz w:val="24"/>
                <w:highlight w:val="none"/>
                <w:lang w:val="en-US" w:eastAsia="zh-CN"/>
              </w:rPr>
              <w:t>元。</w:t>
            </w:r>
          </w:p>
          <w:p>
            <w:pPr>
              <w:spacing w:line="360" w:lineRule="auto"/>
              <w:rPr>
                <w:rFonts w:cs="仿宋" w:asciiTheme="majorEastAsia" w:hAnsiTheme="majorEastAsia" w:eastAsiaTheme="majorEastAsia"/>
                <w:snapToGrid w:val="0"/>
                <w:color w:val="auto"/>
                <w:kern w:val="28"/>
                <w:sz w:val="24"/>
              </w:rPr>
            </w:pP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根据国家发改委发改办价格[2003]857号通知和原国家计委计价格[2002]1980号文件规定的服务招标费率标准收取中标服务费，按照中标通知书确定的中标价，向中标供应商收取中标服务费。中标通知书</w:t>
            </w:r>
            <w:r>
              <w:rPr>
                <w:rFonts w:hint="eastAsia" w:ascii="宋体" w:hAnsi="宋体" w:eastAsia="宋体" w:cs="宋体"/>
                <w:color w:val="auto"/>
                <w:sz w:val="24"/>
                <w:highlight w:val="none"/>
                <w:lang w:eastAsia="zh-CN"/>
              </w:rPr>
              <w:t>发出后</w:t>
            </w:r>
            <w:r>
              <w:rPr>
                <w:rFonts w:hint="eastAsia" w:ascii="宋体" w:hAnsi="宋体" w:eastAsia="宋体" w:cs="宋体"/>
                <w:color w:val="auto"/>
                <w:sz w:val="24"/>
                <w:highlight w:val="none"/>
              </w:rPr>
              <w:t>5个工作日内</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中标人</w:t>
            </w:r>
            <w:r>
              <w:rPr>
                <w:rFonts w:hint="eastAsia" w:ascii="宋体" w:hAnsi="宋体" w:eastAsia="宋体" w:cs="宋体"/>
                <w:color w:val="auto"/>
                <w:sz w:val="24"/>
                <w:highlight w:val="none"/>
                <w:lang w:eastAsia="zh-CN"/>
              </w:rPr>
              <w:t>向采购代理机构</w:t>
            </w:r>
            <w:r>
              <w:rPr>
                <w:rFonts w:hint="eastAsia" w:ascii="宋体" w:hAnsi="宋体" w:eastAsia="宋体" w:cs="宋体"/>
                <w:color w:val="auto"/>
                <w:sz w:val="24"/>
                <w:highlight w:val="none"/>
              </w:rPr>
              <w:t>支付中标服务费。</w:t>
            </w:r>
          </w:p>
        </w:tc>
      </w:tr>
    </w:tbl>
    <w:p>
      <w:pPr>
        <w:snapToGrid w:val="0"/>
        <w:spacing w:line="360" w:lineRule="auto"/>
        <w:jc w:val="center"/>
        <w:rPr>
          <w:rFonts w:cs="仿宋" w:asciiTheme="majorEastAsia" w:hAnsiTheme="majorEastAsia" w:eastAsiaTheme="majorEastAsia"/>
          <w:b/>
          <w:color w:val="auto"/>
          <w:sz w:val="32"/>
          <w:szCs w:val="20"/>
        </w:rPr>
      </w:pPr>
    </w:p>
    <w:bookmarkEnd w:id="10"/>
    <w:p>
      <w:pPr>
        <w:spacing w:line="360" w:lineRule="auto"/>
        <w:ind w:firstLine="3845" w:firstLineChars="1197"/>
        <w:outlineLvl w:val="0"/>
        <w:rPr>
          <w:rFonts w:cs="仿宋" w:asciiTheme="majorEastAsia" w:hAnsiTheme="majorEastAsia" w:eastAsiaTheme="majorEastAsia"/>
          <w:b/>
          <w:color w:val="auto"/>
          <w:sz w:val="32"/>
          <w:szCs w:val="20"/>
        </w:rPr>
      </w:pPr>
      <w:bookmarkStart w:id="11" w:name="第三部分"/>
      <w:bookmarkStart w:id="12" w:name="_Toc164416483"/>
      <w:r>
        <w:rPr>
          <w:rFonts w:hint="eastAsia" w:cs="仿宋" w:asciiTheme="majorEastAsia" w:hAnsiTheme="majorEastAsia" w:eastAsiaTheme="majorEastAsia"/>
          <w:b/>
          <w:color w:val="auto"/>
          <w:sz w:val="32"/>
          <w:szCs w:val="20"/>
        </w:rPr>
        <w:t>一、总则</w:t>
      </w:r>
    </w:p>
    <w:p>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适用范围</w:t>
      </w:r>
    </w:p>
    <w:p>
      <w:pPr>
        <w:snapToGrid w:val="0"/>
        <w:spacing w:line="360" w:lineRule="auto"/>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本招标文件适用于该项目的招标、投标、开标、资格审查及信用信息查询、评标、定标、合同、验收等行为（法律、法规另有规定的，从其规定）。</w:t>
      </w:r>
    </w:p>
    <w:p>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定义</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 “采购人”系指招标公告中载明的本项目的采购人。</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 “采购代理机构”系指招标公告中载明的本项目的采购代理机构。</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2.3 “</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”系指是指响应招标、参加投标竞争的法人、其他组织或者自然人。</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2.5“电子签名”系指数据电文中以电子形式所含、所附用于识别签名人身份并表明签名人认可其中内容的数据；“公章”系指单位法定名称章。</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2.6“电子交易平台”是指本项目采购活动所依托的采购云平台（https://www.zcygov.cn/）。</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2.7 “▲” 系指实质性要求条款，“</w:t>
      </w:r>
      <w:r>
        <w:rPr>
          <w:rFonts w:ascii="Wingdings" w:hAnsi="Wingdings" w:eastAsia="仿宋" w:cs="仿宋"/>
          <w:color w:val="auto"/>
          <w:kern w:val="0"/>
          <w:sz w:val="24"/>
          <w:highlight w:val="none"/>
        </w:rPr>
        <w:t></w:t>
      </w:r>
      <w:r>
        <w:rPr>
          <w:rFonts w:hint="eastAsia" w:ascii="仿宋" w:hAnsi="仿宋" w:eastAsia="仿宋" w:cs="仿宋"/>
          <w:color w:val="auto"/>
          <w:kern w:val="0"/>
          <w:sz w:val="24"/>
          <w:highlight w:val="none"/>
        </w:rPr>
        <w:t xml:space="preserve"> </w:t>
      </w:r>
      <w:r>
        <w:rPr>
          <w:rFonts w:hint="eastAsia" w:cs="仿宋" w:asciiTheme="majorEastAsia" w:hAnsiTheme="majorEastAsia" w:eastAsiaTheme="majorEastAsia"/>
          <w:color w:val="auto"/>
          <w:sz w:val="24"/>
        </w:rPr>
        <w:t>” 系指适用本项目的要求，“</w:t>
      </w:r>
      <w:r>
        <w:rPr>
          <w:rFonts w:hint="eastAsia" w:ascii="MS Gothic" w:hAnsi="MS Gothic" w:eastAsia="MS Gothic" w:cs="MS Gothic"/>
          <w:color w:val="auto"/>
          <w:kern w:val="0"/>
          <w:sz w:val="24"/>
        </w:rPr>
        <w:t>☐</w:t>
      </w:r>
      <w:r>
        <w:rPr>
          <w:rFonts w:hint="eastAsia" w:cs="仿宋" w:asciiTheme="majorEastAsia" w:hAnsiTheme="majorEastAsia" w:eastAsiaTheme="majorEastAsia"/>
          <w:color w:val="auto"/>
          <w:sz w:val="24"/>
        </w:rPr>
        <w:t>” 系指不适用本项目的要求。</w:t>
      </w:r>
    </w:p>
    <w:p>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采购项目需要落实的政府采购政策</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3.1 本项目原则上采购本国生产的货物、工程和服务，不允许采购进口产品。除非采购人采购进口产品，已经在采购活动开始前向</w:t>
      </w:r>
      <w:r>
        <w:rPr>
          <w:rFonts w:hint="eastAsia" w:cs="仿宋" w:asciiTheme="majorEastAsia" w:hAnsiTheme="majorEastAsia" w:eastAsiaTheme="majorEastAsia"/>
          <w:color w:val="auto"/>
          <w:sz w:val="24"/>
          <w:lang w:eastAsia="zh-CN"/>
        </w:rPr>
        <w:t>监管部门</w:t>
      </w:r>
      <w:r>
        <w:rPr>
          <w:rFonts w:hint="eastAsia" w:cs="仿宋" w:asciiTheme="majorEastAsia" w:hAnsiTheme="majorEastAsia" w:eastAsiaTheme="majorEastAsia"/>
          <w:color w:val="auto"/>
          <w:sz w:val="24"/>
        </w:rPr>
        <w:t>提出申请并获得</w:t>
      </w:r>
      <w:r>
        <w:rPr>
          <w:rFonts w:hint="eastAsia" w:cs="仿宋" w:asciiTheme="majorEastAsia" w:hAnsiTheme="majorEastAsia" w:eastAsiaTheme="majorEastAsia"/>
          <w:color w:val="auto"/>
          <w:sz w:val="24"/>
          <w:lang w:eastAsia="zh-CN"/>
        </w:rPr>
        <w:t>监管部门</w:t>
      </w:r>
      <w:r>
        <w:rPr>
          <w:rFonts w:hint="eastAsia" w:cs="仿宋" w:asciiTheme="majorEastAsia" w:hAnsiTheme="majorEastAsia" w:eastAsiaTheme="majorEastAsia"/>
          <w:color w:val="auto"/>
          <w:sz w:val="24"/>
        </w:rPr>
        <w:t>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3.2 支持节能产品</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3.3支持中小企业发展</w:t>
      </w:r>
    </w:p>
    <w:p>
      <w:pPr>
        <w:spacing w:line="360" w:lineRule="auto"/>
        <w:ind w:firstLine="480" w:firstLineChars="200"/>
        <w:rPr>
          <w:rFonts w:cs="仿宋" w:asciiTheme="majorEastAsia" w:hAnsiTheme="majorEastAsia" w:eastAsiaTheme="majorEastAsia"/>
          <w:color w:val="auto"/>
          <w:sz w:val="24"/>
          <w:highlight w:val="yellow"/>
        </w:rPr>
      </w:pPr>
      <w:r>
        <w:rPr>
          <w:rFonts w:hint="eastAsia" w:cs="仿宋" w:asciiTheme="majorEastAsia" w:hAnsiTheme="majorEastAsia" w:eastAsiaTheme="maj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符合中小企业划分标准的个体工商户，在政府采购活动中视同中小企业。</w:t>
      </w:r>
    </w:p>
    <w:p>
      <w:pPr>
        <w:widowControl/>
        <w:spacing w:line="360" w:lineRule="auto"/>
        <w:ind w:firstLine="480" w:firstLineChars="200"/>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bCs/>
          <w:color w:val="auto"/>
          <w:sz w:val="24"/>
        </w:rPr>
        <w:t>3.3.2</w:t>
      </w:r>
      <w:r>
        <w:rPr>
          <w:rFonts w:hint="eastAsia" w:cs="仿宋" w:asciiTheme="majorEastAsia" w:hAnsiTheme="majorEastAsia" w:eastAsiaTheme="majorEastAsia"/>
          <w:color w:val="auto"/>
          <w:kern w:val="0"/>
          <w:sz w:val="24"/>
        </w:rPr>
        <w:t>在政府采购活动中，</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提供的货物、工程或者服务符合下列情形的，享受中小企业扶持政策：</w:t>
      </w:r>
    </w:p>
    <w:p>
      <w:pPr>
        <w:widowControl/>
        <w:spacing w:line="360" w:lineRule="auto"/>
        <w:ind w:firstLine="480" w:firstLineChars="200"/>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3.3.2.2在工程采购项目中，工程由中小企业承建，即工程施工单位为中小企业；</w:t>
      </w:r>
    </w:p>
    <w:p>
      <w:pPr>
        <w:widowControl/>
        <w:spacing w:line="360" w:lineRule="auto"/>
        <w:ind w:firstLine="480" w:firstLineChars="200"/>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在货物采购项目中，</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提供的货物既有中小企业制造货物，也有大型企业制造货物的，不享受中小企业扶持政策。</w:t>
      </w:r>
    </w:p>
    <w:p>
      <w:pPr>
        <w:widowControl/>
        <w:spacing w:line="360" w:lineRule="auto"/>
        <w:ind w:firstLine="480" w:firstLineChars="200"/>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3.3.3对于未预留份额专门面向中小企业的政府采购货物或服务项目，以及预留份额政府采购货物或服务项目中的非预留部分标项，对小型和微型企业的投标报价给予</w:t>
      </w:r>
      <w:r>
        <w:rPr>
          <w:rFonts w:hint="eastAsia" w:cs="仿宋" w:asciiTheme="majorEastAsia" w:hAnsiTheme="majorEastAsia" w:eastAsiaTheme="majorEastAsia"/>
          <w:color w:val="auto"/>
          <w:sz w:val="24"/>
          <w:lang w:val="en-US" w:eastAsia="zh-CN"/>
        </w:rPr>
        <w:t>2</w:t>
      </w:r>
      <w:r>
        <w:rPr>
          <w:rFonts w:hint="eastAsia" w:cs="仿宋" w:asciiTheme="majorEastAsia" w:hAnsiTheme="majorEastAsia" w:eastAsiaTheme="majorEastAsia"/>
          <w:color w:val="auto"/>
          <w:sz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3.3.4符合《关于促进残疾人就业政府采购政策的通知》（财库〔2017〕141号）规定的条件并提供《残疾人福利性单位声明函》的残疾人福利性单位视同小型、微型企业；</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3.3.6可享受中小企业扶持政策的</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应按照招标文件格式要求提供《中小企业声明函》，</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cs="仿宋" w:asciiTheme="majorEastAsia" w:hAnsiTheme="majorEastAsia" w:eastAsiaTheme="majorEastAsia"/>
          <w:color w:val="auto"/>
          <w:sz w:val="24"/>
        </w:rPr>
      </w:pPr>
      <w:r>
        <w:rPr>
          <w:rFonts w:hint="eastAsia" w:cs="仿宋" w:asciiTheme="majorEastAsia" w:hAnsiTheme="majorEastAsia" w:eastAsiaTheme="majorEastAsia"/>
          <w:color w:val="auto"/>
          <w:sz w:val="24"/>
        </w:rPr>
        <w:t>3.3.7中小企业享受扶持政策获得政府采购合同的，小微企业不得将合同分包给大中型企业，中型企业不得将合同分包给大型企业。</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3.4支持创新发展</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3.4.1 采购人优先采购被认定为首台套产品和“制造精品”的自主创新产品。</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color w:val="auto"/>
        </w:rPr>
      </w:pPr>
      <w:r>
        <w:rPr>
          <w:rFonts w:hint="eastAsia" w:ascii="宋体" w:hAnsi="宋体" w:cs="宋体"/>
          <w:color w:val="auto"/>
          <w:sz w:val="24"/>
        </w:rPr>
        <w:t>3.4.3根据《关于促进自主创新进一步改进招标采购工作的意见》(甬资交管办〔2019〕 1号)规定，若投标产品列入地级市及以上政府部门重点自主创新产品目录的，相应的资格审查和业绩评分视同完全满足（以投标文件中提供地级市及以上政府部门重点自主创新产品目录证明材料为准）。</w:t>
      </w:r>
    </w:p>
    <w:p>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特别说明</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4.1关于分公司投标</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除银行、保险、石油石化、电力、电信等特殊行业外。法人的分支机构由于不能独立承担民事责任，不能以分支机构的身份参加政府采购，只能以法人身份参加。 </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4.2关于知识产权</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4.2.1 </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承担。</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4.2.2 投标报价应包含所有应向所有权人支付的专利权、商标权或其它知识产权的一切相关费用。</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4.2.3 系统软件、通用软件必须是具有在中国境内的合法使用权或版权的正版软件，涉及到第三方提出侵权或知识产权的起诉及支付版税等费用由</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承担所有责任及费用。</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4.3</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的风险</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4.3.1 </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应详细阅读招标文件中的全部内容和要求，按照招标文件的要求提交投标文件，没有按照招标文件要求提供投标文件和资料导致的风险由</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承担,并对所提供的全部资料的真实性承担法律责任。</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4.3.2 无论因何种原因导致本次采购活动终止致</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损失的，相关责任人均不承担任何责任。</w:t>
      </w:r>
    </w:p>
    <w:p>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询问、质疑、投诉</w:t>
      </w:r>
    </w:p>
    <w:p>
      <w:pP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.1供应商询问</w:t>
      </w:r>
    </w:p>
    <w:p>
      <w:pP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.2供应商质疑</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w:t>
      </w:r>
      <w:r>
        <w:rPr>
          <w:rFonts w:hint="eastAsia" w:cs="仿宋" w:asciiTheme="majorEastAsia" w:hAnsiTheme="majorEastAsia" w:eastAsiaTheme="majorEastAsia"/>
          <w:color w:val="auto"/>
          <w:sz w:val="24"/>
        </w:rPr>
        <w:t>.1提出质疑的供应商应当是参与所质疑项目采购活动的供应商。潜在供应商已依法获取其可质疑的招标文件的，可以对该文件提出质疑。</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w:t>
      </w:r>
      <w:r>
        <w:rPr>
          <w:rFonts w:hint="eastAsia" w:cs="仿宋" w:asciiTheme="majorEastAsia" w:hAnsiTheme="majorEastAsia" w:eastAsiaTheme="majorEastAsia"/>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5.2.2.1对招标文件提出质疑的，质疑期限为供应商获得招标文件之日或者招标文件公告期限届满之日起计算。</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5.2.2.2对采购过程提出质疑的，质疑期限为各采购程序环节结束之日起计算。</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5.2.2.3对采购结果提出质疑的，质疑期限自采购结果公告期限届满之日起计算。</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5.2.2.4对同一采购程序环节的质疑，供应商须一次性提出。</w:t>
      </w:r>
    </w:p>
    <w:p>
      <w:pP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.2.3</w:t>
      </w:r>
      <w:r>
        <w:rPr>
          <w:rFonts w:hint="eastAsia" w:cs="仿宋" w:asciiTheme="majorEastAsia" w:hAnsiTheme="majorEastAsia" w:eastAsiaTheme="majorEastAsia"/>
          <w:color w:val="auto"/>
          <w:sz w:val="24"/>
        </w:rPr>
        <w:t>供应商提出质疑应当提交质疑函和必要的证明材料。质疑函应当包括下列内容：</w:t>
      </w:r>
    </w:p>
    <w:p>
      <w:pP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.2.3.1供应商的姓名或者名称、地址、邮编、联系人及联系电话；</w:t>
      </w:r>
    </w:p>
    <w:p>
      <w:pP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.2.3.2质疑项目的名称、编号；</w:t>
      </w:r>
    </w:p>
    <w:p>
      <w:pP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.2.3.3具体、明确的质疑事项和与质疑事项相关的请求；</w:t>
      </w:r>
    </w:p>
    <w:p>
      <w:pP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.2.3.4事实依据；</w:t>
      </w:r>
    </w:p>
    <w:p>
      <w:pP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.2.3.5必要的法律依据；</w:t>
      </w:r>
    </w:p>
    <w:p>
      <w:pP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.2.3.6提出质疑的日期。</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5.2.3.7对招标文件提出质疑的需要提供在政采云平台获取招标文件的截图。</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供应商提交的质疑函需一式三份。供应商为自然人的，应当由本人签字；供应商为法人或者其他组织的，应当由法定代表人、主要负责人，或者其授权代表签字或者盖章，并加盖公章。</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质疑函范本请到浙江政府采购网下载专区下载。</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w:t>
      </w:r>
      <w:r>
        <w:rPr>
          <w:rFonts w:hint="eastAsia" w:cs="仿宋" w:asciiTheme="majorEastAsia" w:hAnsiTheme="majorEastAsia" w:eastAsiaTheme="majorEastAsia"/>
          <w:color w:val="auto"/>
          <w:sz w:val="24"/>
        </w:rPr>
        <w:t>.4采购人或者采购代理机构应当在收到供应商的书面质疑后七个工作日内作出答复，并以书面形式通知质疑供应商和其他与质疑处理结果有利害关系的政府采购当事人，但答复的内容不得涉及商业秘密。</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w:t>
      </w:r>
      <w:r>
        <w:rPr>
          <w:rFonts w:hint="eastAsia" w:cs="仿宋" w:asciiTheme="majorEastAsia" w:hAnsiTheme="majorEastAsia" w:eastAsiaTheme="majorEastAsia"/>
          <w:color w:val="auto"/>
          <w:sz w:val="24"/>
        </w:rPr>
        <w:t>.5询问或者质疑事项可能影响采购结果的，采购人应当暂停签订合同，已经签订合同的，应当中止履行合同。</w:t>
      </w:r>
    </w:p>
    <w:p>
      <w:pP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.3供应商投诉</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5.3.1质疑供应商对采购人、采购代理机构的答复不满意或者采购人、采购代理机构未在规定的时间内作出答复的，可以在答复期满后十五个工作日内向同级监督管理部门提出投诉。</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5.3.</w:t>
      </w:r>
      <w:r>
        <w:rPr>
          <w:rFonts w:hint="eastAsia" w:cs="仿宋" w:asciiTheme="majorEastAsia" w:hAnsiTheme="majorEastAsia" w:eastAsiaTheme="majorEastAsia"/>
          <w:color w:val="auto"/>
          <w:sz w:val="24"/>
          <w:lang w:val="zh-CN"/>
        </w:rPr>
        <w:t>2</w:t>
      </w:r>
      <w:r>
        <w:rPr>
          <w:rFonts w:hint="eastAsia" w:cs="仿宋" w:asciiTheme="majorEastAsia" w:hAnsiTheme="majorEastAsia" w:eastAsiaTheme="majorEastAsia"/>
          <w:color w:val="auto"/>
          <w:sz w:val="24"/>
        </w:rPr>
        <w:t>供应商投诉的事项不得超出已质疑事项的范围，基于质疑答复内容提出的投诉事项除外。</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5.3.3供应商投诉应当有明确的请求和必要的证明材料。</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5.3.</w:t>
      </w:r>
      <w:r>
        <w:rPr>
          <w:rFonts w:hint="eastAsia" w:cs="仿宋" w:asciiTheme="majorEastAsia" w:hAnsiTheme="majorEastAsia" w:eastAsiaTheme="majorEastAsia"/>
          <w:color w:val="auto"/>
          <w:sz w:val="24"/>
          <w:lang w:val="en-US" w:eastAsia="zh-CN"/>
        </w:rPr>
        <w:t>4</w:t>
      </w:r>
      <w:r>
        <w:rPr>
          <w:rFonts w:hint="eastAsia" w:cs="仿宋" w:asciiTheme="majorEastAsia" w:hAnsiTheme="majorEastAsia" w:eastAsiaTheme="majorEastAsia"/>
          <w:color w:val="auto"/>
          <w:sz w:val="24"/>
        </w:rPr>
        <w:t xml:space="preserve"> 以联合体形式参加政府采购活动的，其投诉应当由组成联合体的所有供应商共同提出。</w:t>
      </w:r>
    </w:p>
    <w:p>
      <w:pPr>
        <w:spacing w:line="360" w:lineRule="auto"/>
        <w:ind w:firstLine="480" w:firstLineChars="200"/>
        <w:rPr>
          <w:rFonts w:cs="仿宋" w:asciiTheme="majorEastAsia" w:hAnsiTheme="majorEastAsia" w:eastAsiaTheme="majorEastAsia"/>
          <w:color w:val="auto"/>
          <w:sz w:val="18"/>
          <w:szCs w:val="18"/>
        </w:rPr>
      </w:pPr>
      <w:r>
        <w:rPr>
          <w:rFonts w:hint="eastAsia" w:cs="仿宋" w:asciiTheme="majorEastAsia" w:hAnsiTheme="majorEastAsia" w:eastAsiaTheme="majorEastAsia"/>
          <w:color w:val="auto"/>
          <w:sz w:val="24"/>
        </w:rPr>
        <w:t>投诉书范本请到浙江政府采购网下载专区下载。</w:t>
      </w:r>
    </w:p>
    <w:p>
      <w:pPr>
        <w:spacing w:line="360" w:lineRule="auto"/>
        <w:jc w:val="center"/>
        <w:outlineLvl w:val="0"/>
        <w:rPr>
          <w:rFonts w:cs="仿宋" w:asciiTheme="majorEastAsia" w:hAnsiTheme="majorEastAsia" w:eastAsiaTheme="majorEastAsia"/>
          <w:b/>
          <w:color w:val="auto"/>
          <w:sz w:val="32"/>
          <w:szCs w:val="20"/>
        </w:rPr>
      </w:pPr>
      <w:r>
        <w:rPr>
          <w:rFonts w:hint="eastAsia" w:cs="仿宋" w:asciiTheme="majorEastAsia" w:hAnsiTheme="majorEastAsia" w:eastAsiaTheme="majorEastAsia"/>
          <w:b/>
          <w:color w:val="auto"/>
          <w:sz w:val="32"/>
          <w:szCs w:val="20"/>
        </w:rPr>
        <w:t xml:space="preserve">      二、招标文件的构成、澄清、修改</w:t>
      </w:r>
    </w:p>
    <w:p>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招标文件的构成</w:t>
      </w:r>
    </w:p>
    <w:p>
      <w:pPr>
        <w:pStyle w:val="11"/>
        <w:spacing w:line="360" w:lineRule="auto"/>
        <w:ind w:firstLine="480" w:firstLineChars="200"/>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6.1 招标文件包括下列文件及附件：</w:t>
      </w:r>
    </w:p>
    <w:p>
      <w:pPr>
        <w:pStyle w:val="11"/>
        <w:spacing w:line="360" w:lineRule="auto"/>
        <w:ind w:firstLine="480" w:firstLineChars="200"/>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6.1.1 招标公告；</w:t>
      </w:r>
    </w:p>
    <w:p>
      <w:pPr>
        <w:pStyle w:val="11"/>
        <w:spacing w:line="360" w:lineRule="auto"/>
        <w:ind w:firstLine="480" w:firstLineChars="200"/>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 xml:space="preserve">6.1.2 </w:t>
      </w:r>
      <w:r>
        <w:rPr>
          <w:rFonts w:hint="eastAsia" w:cs="仿宋" w:asciiTheme="majorEastAsia" w:hAnsiTheme="majorEastAsia" w:eastAsiaTheme="majorEastAsia"/>
          <w:color w:val="auto"/>
          <w:sz w:val="24"/>
          <w:szCs w:val="24"/>
          <w:lang w:val="zh-CN"/>
        </w:rPr>
        <w:t>投标</w:t>
      </w:r>
      <w:r>
        <w:rPr>
          <w:rFonts w:hint="eastAsia" w:cs="仿宋" w:asciiTheme="majorEastAsia" w:hAnsiTheme="majorEastAsia" w:eastAsiaTheme="majorEastAsia"/>
          <w:color w:val="auto"/>
          <w:sz w:val="24"/>
          <w:szCs w:val="24"/>
        </w:rPr>
        <w:t>须知；</w:t>
      </w:r>
    </w:p>
    <w:p>
      <w:pPr>
        <w:pStyle w:val="11"/>
        <w:spacing w:line="360" w:lineRule="auto"/>
        <w:ind w:firstLine="480" w:firstLineChars="200"/>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6.1.3 采购需求；</w:t>
      </w:r>
    </w:p>
    <w:p>
      <w:pPr>
        <w:pStyle w:val="11"/>
        <w:spacing w:line="360" w:lineRule="auto"/>
        <w:ind w:firstLine="480" w:firstLineChars="200"/>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6.1.4 评标办法；</w:t>
      </w:r>
    </w:p>
    <w:p>
      <w:pPr>
        <w:pStyle w:val="11"/>
        <w:spacing w:line="360" w:lineRule="auto"/>
        <w:ind w:firstLine="480" w:firstLineChars="200"/>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6.1.5 拟签订的合同文本；</w:t>
      </w:r>
    </w:p>
    <w:p>
      <w:pPr>
        <w:pStyle w:val="11"/>
        <w:spacing w:line="360" w:lineRule="auto"/>
        <w:ind w:firstLine="480" w:firstLineChars="200"/>
        <w:rPr>
          <w:rFonts w:hint="eastAsia" w:cs="仿宋" w:asciiTheme="majorEastAsia" w:hAnsiTheme="majorEastAsia" w:eastAsiaTheme="majorEastAsia"/>
          <w:color w:val="auto"/>
          <w:sz w:val="24"/>
          <w:szCs w:val="24"/>
          <w:lang w:val="en-US" w:eastAsia="zh-CN"/>
        </w:rPr>
      </w:pPr>
      <w:r>
        <w:rPr>
          <w:rFonts w:hint="eastAsia" w:cs="仿宋" w:asciiTheme="majorEastAsia" w:hAnsiTheme="majorEastAsia" w:eastAsiaTheme="majorEastAsia"/>
          <w:color w:val="auto"/>
          <w:sz w:val="24"/>
          <w:szCs w:val="24"/>
        </w:rPr>
        <w:t>6.1.6 应提交的有关格式范例</w:t>
      </w:r>
      <w:r>
        <w:rPr>
          <w:rFonts w:hint="eastAsia" w:cs="仿宋" w:asciiTheme="majorEastAsia" w:hAnsiTheme="majorEastAsia" w:eastAsiaTheme="majorEastAsia"/>
          <w:color w:val="auto"/>
          <w:sz w:val="24"/>
          <w:szCs w:val="24"/>
          <w:lang w:val="en-US" w:eastAsia="zh-CN"/>
        </w:rPr>
        <w:t xml:space="preserve">； </w:t>
      </w:r>
    </w:p>
    <w:p>
      <w:pPr>
        <w:pStyle w:val="11"/>
        <w:spacing w:line="360" w:lineRule="auto"/>
        <w:ind w:firstLine="480" w:firstLineChars="200"/>
        <w:rPr>
          <w:rFonts w:hint="default" w:cs="仿宋" w:asciiTheme="majorEastAsia" w:hAnsiTheme="majorEastAsia" w:eastAsiaTheme="majorEastAsia"/>
          <w:color w:val="auto"/>
          <w:sz w:val="24"/>
          <w:szCs w:val="24"/>
          <w:highlight w:val="none"/>
          <w:lang w:val="en-US" w:eastAsia="zh-CN"/>
        </w:rPr>
      </w:pPr>
      <w:r>
        <w:rPr>
          <w:rFonts w:hint="eastAsia" w:cs="仿宋" w:asciiTheme="majorEastAsia" w:hAnsiTheme="majorEastAsia" w:eastAsiaTheme="majorEastAsia"/>
          <w:color w:val="auto"/>
          <w:sz w:val="24"/>
          <w:szCs w:val="24"/>
          <w:highlight w:val="none"/>
          <w:lang w:val="en-US" w:eastAsia="zh-CN"/>
        </w:rPr>
        <w:t>6.1.7附件（如有）。</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6.2与本项目有关的</w:t>
      </w:r>
      <w:r>
        <w:rPr>
          <w:rFonts w:hint="eastAsia" w:cs="仿宋" w:asciiTheme="majorEastAsia" w:hAnsiTheme="majorEastAsia" w:eastAsiaTheme="majorEastAsia"/>
          <w:bCs/>
          <w:color w:val="auto"/>
          <w:sz w:val="24"/>
        </w:rPr>
        <w:t>澄清或者修改的内容为招标文件的组成部分</w:t>
      </w:r>
      <w:r>
        <w:rPr>
          <w:rFonts w:hint="eastAsia" w:cs="仿宋" w:asciiTheme="majorEastAsia" w:hAnsiTheme="majorEastAsia" w:eastAsiaTheme="majorEastAsia"/>
          <w:color w:val="auto"/>
          <w:sz w:val="24"/>
        </w:rPr>
        <w:t>。</w:t>
      </w:r>
    </w:p>
    <w:p>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招标文件的澄清、修改</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7.1 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7.2 更正公告为招标文件的组成部分，一经在网站发布，视同已通知所有招标文件的收受人，不再采用其它方式传达相关信息, 若因未能及时了解到上述网站上发布的相关信息而导致的一切后果自行承担。</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7.3 如更正公告有重新发布电子招标文件的，</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应下载最新发布的电子招标文件制作投标文件。</w:t>
      </w:r>
    </w:p>
    <w:p>
      <w:pPr>
        <w:spacing w:line="360" w:lineRule="auto"/>
        <w:ind w:firstLine="480" w:firstLineChars="200"/>
        <w:rPr>
          <w:rFonts w:cs="仿宋" w:asciiTheme="majorEastAsia" w:hAnsiTheme="majorEastAsia" w:eastAsiaTheme="majorEastAsia"/>
          <w:b/>
          <w:color w:val="auto"/>
          <w:sz w:val="30"/>
          <w:szCs w:val="20"/>
        </w:rPr>
      </w:pPr>
      <w:r>
        <w:rPr>
          <w:rFonts w:hint="eastAsia" w:cs="仿宋" w:asciiTheme="majorEastAsia" w:hAnsiTheme="majorEastAsia" w:eastAsiaTheme="majorEastAsia"/>
          <w:color w:val="auto"/>
          <w:sz w:val="24"/>
        </w:rPr>
        <w:t>7.4 已获取招标文件的潜在</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，若有问题需要澄清，应于投标截止时间前，以书面形式向采购代理机构提出。</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在规定的时间内未对招标文件提出疑问、质疑或要求澄清的，将视其为无异议。对招标文件中描述有歧义或前后不一致的地方，评标委员会有权进行评判，但对同一条款的评判应适用于每个</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w:t>
      </w:r>
    </w:p>
    <w:p>
      <w:pPr>
        <w:spacing w:line="360" w:lineRule="auto"/>
        <w:jc w:val="center"/>
        <w:outlineLvl w:val="0"/>
        <w:rPr>
          <w:rFonts w:cs="仿宋" w:asciiTheme="majorEastAsia" w:hAnsiTheme="majorEastAsia" w:eastAsiaTheme="majorEastAsia"/>
          <w:b/>
          <w:color w:val="auto"/>
          <w:sz w:val="30"/>
          <w:szCs w:val="20"/>
        </w:rPr>
      </w:pPr>
      <w:r>
        <w:rPr>
          <w:rFonts w:hint="eastAsia" w:cs="仿宋" w:asciiTheme="majorEastAsia" w:hAnsiTheme="majorEastAsia" w:eastAsiaTheme="majorEastAsia"/>
          <w:b/>
          <w:color w:val="auto"/>
          <w:sz w:val="30"/>
          <w:szCs w:val="20"/>
        </w:rPr>
        <w:br w:type="page"/>
      </w:r>
      <w:r>
        <w:rPr>
          <w:rFonts w:hint="eastAsia" w:cs="仿宋" w:asciiTheme="majorEastAsia" w:hAnsiTheme="majorEastAsia" w:eastAsiaTheme="majorEastAsia"/>
          <w:b/>
          <w:color w:val="auto"/>
          <w:sz w:val="30"/>
          <w:szCs w:val="20"/>
        </w:rPr>
        <w:t>三、投标</w:t>
      </w:r>
    </w:p>
    <w:p>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投标文件的语言</w:t>
      </w:r>
    </w:p>
    <w:p>
      <w:pPr>
        <w:autoSpaceDE w:val="0"/>
        <w:autoSpaceDN w:val="0"/>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投标文件及</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与采购有关的来往通知、函件和文件均应使用中文。</w:t>
      </w:r>
    </w:p>
    <w:p>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投标文件的组成</w:t>
      </w:r>
    </w:p>
    <w:p>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9.1 </w:t>
      </w:r>
      <w:r>
        <w:rPr>
          <w:rFonts w:hint="eastAsia" w:cs="仿宋" w:asciiTheme="majorEastAsia" w:hAnsiTheme="majorEastAsia" w:eastAsiaTheme="majorEastAsia"/>
          <w:b/>
          <w:color w:val="auto"/>
          <w:sz w:val="24"/>
        </w:rPr>
        <w:t>资格文件</w:t>
      </w:r>
      <w:r>
        <w:rPr>
          <w:rFonts w:hint="eastAsia" w:cs="仿宋" w:asciiTheme="majorEastAsia" w:hAnsiTheme="majorEastAsia" w:eastAsiaTheme="majorEastAsia"/>
          <w:color w:val="auto"/>
          <w:sz w:val="24"/>
        </w:rPr>
        <w:t>：</w:t>
      </w:r>
    </w:p>
    <w:p>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9.1.1有效的企业法人营业执照（或事业法人登记证）、其他组织（个体工商户）的营业执照或者民办非企业单位登记证书；</w:t>
      </w:r>
    </w:p>
    <w:p>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9.1.2符合参加政府采购活动应当具备的一般条件的承诺函(格式见第六部分)；</w:t>
      </w:r>
    </w:p>
    <w:p>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9.1.3落实政府采购政策需满足的资格要求（如适用）；</w:t>
      </w:r>
    </w:p>
    <w:p>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9.1.4本项目的特定资格要求。</w:t>
      </w:r>
    </w:p>
    <w:p>
      <w:pPr>
        <w:snapToGrid w:val="0"/>
        <w:spacing w:line="360" w:lineRule="auto"/>
        <w:ind w:firstLine="480" w:firstLineChars="200"/>
        <w:rPr>
          <w:rFonts w:cs="仿宋" w:asciiTheme="majorEastAsia" w:hAnsiTheme="majorEastAsia" w:eastAsiaTheme="majorEastAsia"/>
          <w:b/>
          <w:bCs/>
          <w:color w:val="auto"/>
          <w:sz w:val="24"/>
          <w:lang w:val="zh-CN"/>
        </w:rPr>
      </w:pPr>
      <w:r>
        <w:rPr>
          <w:rFonts w:hint="eastAsia" w:cs="仿宋" w:asciiTheme="majorEastAsia" w:hAnsiTheme="majorEastAsia" w:eastAsiaTheme="majorEastAsia"/>
          <w:color w:val="auto"/>
          <w:sz w:val="24"/>
        </w:rPr>
        <w:t>9</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 xml:space="preserve"> </w:t>
      </w:r>
      <w:r>
        <w:rPr>
          <w:rFonts w:hint="eastAsia" w:cs="仿宋" w:asciiTheme="majorEastAsia" w:hAnsiTheme="majorEastAsia" w:eastAsiaTheme="majorEastAsia"/>
          <w:b/>
          <w:bCs/>
          <w:color w:val="auto"/>
          <w:sz w:val="24"/>
        </w:rPr>
        <w:t>商务技术</w:t>
      </w:r>
      <w:r>
        <w:rPr>
          <w:rFonts w:hint="eastAsia" w:cs="仿宋" w:asciiTheme="majorEastAsia" w:hAnsiTheme="majorEastAsia" w:eastAsiaTheme="majorEastAsia"/>
          <w:b/>
          <w:bCs/>
          <w:color w:val="auto"/>
          <w:sz w:val="24"/>
          <w:lang w:val="zh-CN"/>
        </w:rPr>
        <w:t>文件：</w:t>
      </w:r>
    </w:p>
    <w:p>
      <w:pPr>
        <w:snapToGrid w:val="0"/>
        <w:spacing w:line="360" w:lineRule="auto"/>
        <w:ind w:firstLine="480" w:firstLineChars="200"/>
        <w:rPr>
          <w:rFonts w:hint="eastAsia" w:cs="仿宋" w:asciiTheme="majorEastAsia" w:hAnsiTheme="majorEastAsia" w:eastAsiaTheme="majorEastAsia"/>
          <w:color w:val="auto"/>
          <w:sz w:val="24"/>
          <w:lang w:val="en-US" w:eastAsia="zh-CN"/>
        </w:rPr>
      </w:pPr>
      <w:r>
        <w:rPr>
          <w:rFonts w:hint="eastAsia" w:cs="仿宋" w:asciiTheme="majorEastAsia" w:hAnsiTheme="majorEastAsia" w:eastAsiaTheme="majorEastAsia"/>
          <w:color w:val="auto"/>
          <w:sz w:val="24"/>
          <w:lang w:val="en-US" w:eastAsia="zh-CN"/>
        </w:rPr>
        <w:t>9.2.1评分索引表；</w:t>
      </w:r>
    </w:p>
    <w:p>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w:t>
      </w:r>
      <w:r>
        <w:rPr>
          <w:rFonts w:hint="eastAsia" w:cs="仿宋" w:asciiTheme="majorEastAsia" w:hAnsiTheme="majorEastAsia" w:eastAsiaTheme="majorEastAsia"/>
          <w:color w:val="auto"/>
          <w:sz w:val="24"/>
          <w:lang w:val="en-US" w:eastAsia="zh-CN"/>
        </w:rPr>
        <w:t>2</w:t>
      </w:r>
      <w:r>
        <w:rPr>
          <w:rFonts w:hint="eastAsia" w:cs="仿宋" w:asciiTheme="majorEastAsia" w:hAnsiTheme="majorEastAsia" w:eastAsiaTheme="majorEastAsia"/>
          <w:color w:val="auto"/>
          <w:sz w:val="24"/>
        </w:rPr>
        <w:t xml:space="preserve"> 符合性自查表；</w:t>
      </w:r>
    </w:p>
    <w:p>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w:t>
      </w:r>
      <w:r>
        <w:rPr>
          <w:rFonts w:hint="eastAsia" w:cs="仿宋" w:asciiTheme="majorEastAsia" w:hAnsiTheme="majorEastAsia" w:eastAsiaTheme="majorEastAsia"/>
          <w:color w:val="auto"/>
          <w:sz w:val="24"/>
          <w:lang w:val="en-US" w:eastAsia="zh-CN"/>
        </w:rPr>
        <w:t>3</w:t>
      </w:r>
      <w:r>
        <w:rPr>
          <w:rFonts w:hint="eastAsia" w:cs="仿宋" w:asciiTheme="majorEastAsia" w:hAnsiTheme="majorEastAsia" w:eastAsiaTheme="majorEastAsia"/>
          <w:color w:val="auto"/>
          <w:sz w:val="24"/>
        </w:rPr>
        <w:t xml:space="preserve"> 投标函；</w:t>
      </w:r>
      <w:r>
        <w:rPr>
          <w:rFonts w:hint="eastAsia" w:cs="仿宋" w:asciiTheme="majorEastAsia" w:hAnsiTheme="majorEastAsia" w:eastAsiaTheme="majorEastAsia"/>
          <w:color w:val="auto"/>
          <w:sz w:val="24"/>
          <w:lang w:val="zh-CN"/>
        </w:rPr>
        <w:t xml:space="preserve"> </w:t>
      </w:r>
    </w:p>
    <w:p>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w:t>
      </w:r>
      <w:r>
        <w:rPr>
          <w:rFonts w:hint="eastAsia" w:cs="仿宋" w:asciiTheme="majorEastAsia" w:hAnsiTheme="majorEastAsia" w:eastAsiaTheme="majorEastAsia"/>
          <w:color w:val="auto"/>
          <w:sz w:val="24"/>
          <w:lang w:val="en-US" w:eastAsia="zh-CN"/>
        </w:rPr>
        <w:t>4</w:t>
      </w:r>
      <w:r>
        <w:rPr>
          <w:rFonts w:hint="eastAsia" w:cs="仿宋" w:asciiTheme="majorEastAsia" w:hAnsiTheme="majorEastAsia" w:eastAsiaTheme="majorEastAsia"/>
          <w:color w:val="auto"/>
          <w:sz w:val="24"/>
        </w:rPr>
        <w:t xml:space="preserve"> 授权委托书或法定代表人（单位负责人、自然人本人）身份证明；</w:t>
      </w:r>
    </w:p>
    <w:p>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w:t>
      </w:r>
      <w:r>
        <w:rPr>
          <w:rFonts w:hint="eastAsia" w:cs="仿宋" w:asciiTheme="majorEastAsia" w:hAnsiTheme="majorEastAsia" w:eastAsiaTheme="majorEastAsia"/>
          <w:color w:val="auto"/>
          <w:sz w:val="24"/>
          <w:lang w:val="en-US" w:eastAsia="zh-CN"/>
        </w:rPr>
        <w:t>5</w:t>
      </w:r>
      <w:r>
        <w:rPr>
          <w:rFonts w:hint="eastAsia" w:cs="仿宋" w:asciiTheme="majorEastAsia" w:hAnsiTheme="majorEastAsia" w:eastAsiaTheme="majorEastAsia"/>
          <w:color w:val="auto"/>
          <w:sz w:val="24"/>
        </w:rPr>
        <w:t xml:space="preserve"> 供应商情况表；</w:t>
      </w:r>
    </w:p>
    <w:p>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w:t>
      </w:r>
      <w:r>
        <w:rPr>
          <w:rFonts w:hint="eastAsia" w:cs="仿宋" w:asciiTheme="majorEastAsia" w:hAnsiTheme="majorEastAsia" w:eastAsiaTheme="majorEastAsia"/>
          <w:color w:val="auto"/>
          <w:sz w:val="24"/>
          <w:lang w:val="en-US" w:eastAsia="zh-CN"/>
        </w:rPr>
        <w:t>6</w:t>
      </w:r>
      <w:r>
        <w:rPr>
          <w:rFonts w:hint="eastAsia" w:cs="仿宋" w:asciiTheme="majorEastAsia" w:hAnsiTheme="majorEastAsia" w:eastAsiaTheme="majorEastAsia"/>
          <w:color w:val="auto"/>
          <w:sz w:val="24"/>
        </w:rPr>
        <w:t xml:space="preserve"> 距采购人最近或者能为本项目提供最优服务的网点情况表；</w:t>
      </w:r>
    </w:p>
    <w:p>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lang w:val="en-US" w:eastAsia="zh-CN"/>
        </w:rPr>
        <w:t>7</w:t>
      </w:r>
      <w:r>
        <w:rPr>
          <w:rFonts w:hint="eastAsia" w:cs="仿宋" w:asciiTheme="majorEastAsia" w:hAnsiTheme="majorEastAsia" w:eastAsiaTheme="majorEastAsia"/>
          <w:color w:val="auto"/>
          <w:sz w:val="24"/>
        </w:rPr>
        <w:t xml:space="preserve"> 评标标准相应的商务技术资料；</w:t>
      </w:r>
    </w:p>
    <w:p>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w:t>
      </w:r>
      <w:r>
        <w:rPr>
          <w:rFonts w:hint="eastAsia" w:cs="仿宋" w:asciiTheme="majorEastAsia" w:hAnsiTheme="majorEastAsia" w:eastAsiaTheme="majorEastAsia"/>
          <w:color w:val="auto"/>
          <w:sz w:val="24"/>
          <w:lang w:val="en-US" w:eastAsia="zh-CN"/>
        </w:rPr>
        <w:t>8</w:t>
      </w:r>
      <w:r>
        <w:rPr>
          <w:rFonts w:hint="eastAsia" w:cs="仿宋" w:asciiTheme="majorEastAsia" w:hAnsiTheme="majorEastAsia" w:eastAsiaTheme="majorEastAsia"/>
          <w:color w:val="auto"/>
          <w:sz w:val="24"/>
        </w:rPr>
        <w:t xml:space="preserve"> 商务</w:t>
      </w:r>
      <w:r>
        <w:rPr>
          <w:rFonts w:hint="eastAsia" w:cs="仿宋" w:asciiTheme="majorEastAsia" w:hAnsiTheme="majorEastAsia" w:eastAsiaTheme="majorEastAsia"/>
          <w:color w:val="auto"/>
          <w:sz w:val="24"/>
          <w:lang w:eastAsia="zh-CN"/>
        </w:rPr>
        <w:t>响应</w:t>
      </w:r>
      <w:r>
        <w:rPr>
          <w:rFonts w:hint="eastAsia" w:cs="仿宋" w:asciiTheme="majorEastAsia" w:hAnsiTheme="majorEastAsia" w:eastAsiaTheme="majorEastAsia"/>
          <w:color w:val="auto"/>
          <w:sz w:val="24"/>
        </w:rPr>
        <w:t>表；</w:t>
      </w:r>
    </w:p>
    <w:p>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w:t>
      </w:r>
      <w:r>
        <w:rPr>
          <w:rFonts w:hint="eastAsia" w:cs="仿宋" w:asciiTheme="majorEastAsia" w:hAnsiTheme="majorEastAsia" w:eastAsiaTheme="majorEastAsia"/>
          <w:color w:val="auto"/>
          <w:sz w:val="24"/>
          <w:lang w:val="en-US" w:eastAsia="zh-CN"/>
        </w:rPr>
        <w:t>9</w:t>
      </w:r>
      <w:r>
        <w:rPr>
          <w:rFonts w:hint="eastAsia" w:cs="仿宋" w:asciiTheme="majorEastAsia" w:hAnsiTheme="majorEastAsia" w:eastAsiaTheme="majorEastAsia"/>
          <w:color w:val="auto"/>
          <w:sz w:val="24"/>
        </w:rPr>
        <w:t xml:space="preserve"> 技术</w:t>
      </w:r>
      <w:r>
        <w:rPr>
          <w:rFonts w:hint="eastAsia" w:cs="仿宋" w:asciiTheme="majorEastAsia" w:hAnsiTheme="majorEastAsia" w:eastAsiaTheme="majorEastAsia"/>
          <w:color w:val="auto"/>
          <w:sz w:val="24"/>
          <w:lang w:eastAsia="zh-CN"/>
        </w:rPr>
        <w:t>响应</w:t>
      </w:r>
      <w:r>
        <w:rPr>
          <w:rFonts w:hint="eastAsia" w:cs="仿宋" w:asciiTheme="majorEastAsia" w:hAnsiTheme="majorEastAsia" w:eastAsiaTheme="majorEastAsia"/>
          <w:color w:val="auto"/>
          <w:sz w:val="24"/>
        </w:rPr>
        <w:t>表；</w:t>
      </w:r>
    </w:p>
    <w:p>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w:t>
      </w:r>
      <w:r>
        <w:rPr>
          <w:rFonts w:hint="eastAsia" w:cs="仿宋" w:asciiTheme="majorEastAsia" w:hAnsiTheme="majorEastAsia" w:eastAsiaTheme="majorEastAsia"/>
          <w:color w:val="auto"/>
          <w:sz w:val="24"/>
          <w:lang w:val="en-US" w:eastAsia="zh-CN"/>
        </w:rPr>
        <w:t>10</w:t>
      </w:r>
      <w:r>
        <w:rPr>
          <w:rFonts w:hint="eastAsia" w:cs="仿宋" w:asciiTheme="majorEastAsia" w:hAnsiTheme="majorEastAsia" w:eastAsiaTheme="majorEastAsia"/>
          <w:color w:val="auto"/>
          <w:sz w:val="24"/>
        </w:rPr>
        <w:t xml:space="preserve"> 同类业绩情况一览表；</w:t>
      </w:r>
    </w:p>
    <w:p>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9.2.1</w:t>
      </w:r>
      <w:r>
        <w:rPr>
          <w:rFonts w:hint="eastAsia" w:cs="仿宋" w:asciiTheme="majorEastAsia" w:hAnsiTheme="majorEastAsia" w:eastAsiaTheme="majorEastAsia"/>
          <w:color w:val="auto"/>
          <w:sz w:val="24"/>
          <w:lang w:val="en-US" w:eastAsia="zh-CN"/>
        </w:rPr>
        <w:t>1</w:t>
      </w:r>
      <w:r>
        <w:rPr>
          <w:rFonts w:hint="eastAsia" w:cs="仿宋" w:asciiTheme="majorEastAsia" w:hAnsiTheme="majorEastAsia" w:eastAsiaTheme="majorEastAsia"/>
          <w:color w:val="auto"/>
          <w:sz w:val="24"/>
          <w:lang w:val="zh-CN"/>
        </w:rPr>
        <w:t>政府采购供应商廉洁自律承诺书；</w:t>
      </w:r>
    </w:p>
    <w:p>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9.2.1</w:t>
      </w:r>
      <w:r>
        <w:rPr>
          <w:rFonts w:hint="eastAsia" w:cs="仿宋" w:asciiTheme="majorEastAsia" w:hAnsiTheme="majorEastAsia" w:eastAsiaTheme="majorEastAsia"/>
          <w:color w:val="auto"/>
          <w:sz w:val="24"/>
          <w:lang w:val="en-US" w:eastAsia="zh-CN"/>
        </w:rPr>
        <w:t>2</w:t>
      </w:r>
      <w:r>
        <w:rPr>
          <w:rFonts w:hint="eastAsia" w:cs="仿宋" w:asciiTheme="majorEastAsia" w:hAnsiTheme="majorEastAsia" w:eastAsiaTheme="majorEastAsia"/>
          <w:color w:val="auto"/>
          <w:sz w:val="24"/>
        </w:rPr>
        <w:t>其他资料（如有）。</w:t>
      </w:r>
    </w:p>
    <w:p>
      <w:pPr>
        <w:snapToGrid w:val="0"/>
        <w:spacing w:line="360" w:lineRule="auto"/>
        <w:ind w:firstLine="480" w:firstLineChars="200"/>
        <w:rPr>
          <w:rFonts w:cs="仿宋" w:asciiTheme="majorEastAsia" w:hAnsiTheme="majorEastAsia" w:eastAsiaTheme="majorEastAsia"/>
          <w:color w:val="auto"/>
          <w:sz w:val="24"/>
          <w:u w:val="single"/>
          <w:lang w:val="zh-CN"/>
        </w:rPr>
      </w:pPr>
      <w:r>
        <w:rPr>
          <w:rFonts w:hint="eastAsia" w:cs="仿宋" w:asciiTheme="majorEastAsia" w:hAnsiTheme="majorEastAsia" w:eastAsiaTheme="majorEastAsia"/>
          <w:color w:val="auto"/>
          <w:kern w:val="0"/>
          <w:sz w:val="24"/>
        </w:rPr>
        <w:t>9</w:t>
      </w:r>
      <w:r>
        <w:rPr>
          <w:rFonts w:hint="eastAsia" w:cs="仿宋" w:asciiTheme="majorEastAsia" w:hAnsiTheme="majorEastAsia" w:eastAsiaTheme="majorEastAsia"/>
          <w:color w:val="auto"/>
          <w:kern w:val="0"/>
          <w:sz w:val="24"/>
          <w:lang w:val="zh-CN"/>
        </w:rPr>
        <w:t>.</w:t>
      </w:r>
      <w:r>
        <w:rPr>
          <w:rFonts w:hint="eastAsia" w:cs="仿宋" w:asciiTheme="majorEastAsia" w:hAnsiTheme="majorEastAsia" w:eastAsiaTheme="majorEastAsia"/>
          <w:color w:val="auto"/>
          <w:kern w:val="0"/>
          <w:sz w:val="24"/>
        </w:rPr>
        <w:t xml:space="preserve">3 </w:t>
      </w:r>
      <w:r>
        <w:rPr>
          <w:rFonts w:hint="eastAsia" w:cs="仿宋" w:asciiTheme="majorEastAsia" w:hAnsiTheme="majorEastAsia" w:eastAsiaTheme="majorEastAsia"/>
          <w:b/>
          <w:color w:val="auto"/>
          <w:sz w:val="24"/>
        </w:rPr>
        <w:t>报价文件：</w:t>
      </w:r>
      <w:r>
        <w:rPr>
          <w:rFonts w:hint="eastAsia" w:cs="仿宋" w:asciiTheme="majorEastAsia" w:hAnsiTheme="majorEastAsia" w:eastAsiaTheme="majorEastAsia"/>
          <w:color w:val="auto"/>
          <w:sz w:val="24"/>
        </w:rPr>
        <w:t xml:space="preserve"> </w:t>
      </w:r>
    </w:p>
    <w:p>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9.3.1 开标一览表；</w:t>
      </w:r>
    </w:p>
    <w:p>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9.3.2 投标报价明细表；</w:t>
      </w:r>
    </w:p>
    <w:p>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9.3.3 中小企业声明函（如有）；</w:t>
      </w:r>
    </w:p>
    <w:p>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9.3.4 残疾人福利性单位声明函（如有）；</w:t>
      </w:r>
    </w:p>
    <w:p>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9.3.5 监狱企业的证明文件（如有）；</w:t>
      </w:r>
    </w:p>
    <w:p>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9.3.6 政府采购统计基础信息表；</w:t>
      </w:r>
    </w:p>
    <w:p>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9.3.7其他资料（如有）。</w:t>
      </w:r>
    </w:p>
    <w:p>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投标文件的编制</w:t>
      </w:r>
    </w:p>
    <w:p>
      <w:pPr>
        <w:spacing w:line="360" w:lineRule="auto"/>
        <w:ind w:firstLine="480" w:firstLineChars="200"/>
        <w:rPr>
          <w:rFonts w:cs="仿宋" w:asciiTheme="majorEastAsia" w:hAnsiTheme="majorEastAsia" w:eastAsiaTheme="majorEastAsia"/>
          <w:b/>
          <w:color w:val="auto"/>
          <w:sz w:val="24"/>
        </w:rPr>
      </w:pPr>
      <w:r>
        <w:rPr>
          <w:rFonts w:hint="eastAsia" w:cs="仿宋" w:asciiTheme="majorEastAsia" w:hAnsiTheme="majorEastAsia" w:eastAsiaTheme="majorEastAsia"/>
          <w:color w:val="auto"/>
          <w:kern w:val="0"/>
          <w:sz w:val="24"/>
          <w:lang w:val="zh-CN"/>
        </w:rPr>
        <w:t>1</w:t>
      </w:r>
      <w:r>
        <w:rPr>
          <w:rFonts w:hint="eastAsia" w:cs="仿宋" w:asciiTheme="majorEastAsia" w:hAnsiTheme="majorEastAsia" w:eastAsiaTheme="majorEastAsia"/>
          <w:color w:val="auto"/>
          <w:kern w:val="0"/>
          <w:sz w:val="24"/>
        </w:rPr>
        <w:t>0</w:t>
      </w:r>
      <w:r>
        <w:rPr>
          <w:rFonts w:hint="eastAsia" w:cs="仿宋" w:asciiTheme="majorEastAsia" w:hAnsiTheme="majorEastAsia" w:eastAsiaTheme="majorEastAsia"/>
          <w:color w:val="auto"/>
          <w:kern w:val="0"/>
          <w:sz w:val="24"/>
          <w:lang w:val="zh-CN"/>
        </w:rPr>
        <w:t>.1投标文件分为资格文件、商务技术文件、报价文件三部分。各供应商在编制投标文件时请按照招标文件第六部分规定的格式进行。</w:t>
      </w:r>
      <w:r>
        <w:rPr>
          <w:rFonts w:hint="eastAsia" w:cs="仿宋" w:asciiTheme="majorEastAsia" w:hAnsiTheme="majorEastAsia" w:eastAsiaTheme="majorEastAsia"/>
          <w:color w:val="auto"/>
          <w:kern w:val="0"/>
          <w:sz w:val="24"/>
        </w:rPr>
        <w:t>未有规定格式的资料，</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应自行编制，但至少须包含</w:t>
      </w:r>
      <w:r>
        <w:rPr>
          <w:rFonts w:hint="eastAsia" w:cs="仿宋" w:asciiTheme="majorEastAsia" w:hAnsiTheme="majorEastAsia" w:eastAsiaTheme="majorEastAsia"/>
          <w:color w:val="auto"/>
          <w:kern w:val="0"/>
          <w:sz w:val="24"/>
          <w:lang w:val="en-US" w:eastAsia="zh-CN"/>
        </w:rPr>
        <w:t>9.</w:t>
      </w:r>
      <w:r>
        <w:rPr>
          <w:rFonts w:hint="eastAsia" w:cs="仿宋" w:asciiTheme="majorEastAsia" w:hAnsiTheme="majorEastAsia" w:eastAsiaTheme="majorEastAsia"/>
          <w:color w:val="auto"/>
          <w:kern w:val="0"/>
          <w:sz w:val="24"/>
        </w:rPr>
        <w:t>投标文件组成中的内容。</w:t>
      </w:r>
      <w:r>
        <w:rPr>
          <w:rFonts w:hint="eastAsia" w:cs="仿宋" w:asciiTheme="majorEastAsia" w:hAnsiTheme="majorEastAsia" w:eastAsiaTheme="majorEastAsia"/>
          <w:color w:val="auto"/>
          <w:kern w:val="0"/>
          <w:sz w:val="24"/>
          <w:lang w:val="zh-CN"/>
        </w:rPr>
        <w:t>混乱的编排导致投标文件被误读或评标委员会查找不到有效文件是供应商的风险。</w:t>
      </w:r>
    </w:p>
    <w:p>
      <w:pPr>
        <w:spacing w:line="360" w:lineRule="auto"/>
        <w:ind w:firstLine="480" w:firstLineChars="20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1</w:t>
      </w:r>
      <w:r>
        <w:rPr>
          <w:rFonts w:hint="eastAsia" w:cs="仿宋" w:asciiTheme="majorEastAsia" w:hAnsiTheme="majorEastAsia" w:eastAsiaTheme="majorEastAsia"/>
          <w:color w:val="auto"/>
          <w:kern w:val="0"/>
          <w:sz w:val="24"/>
        </w:rPr>
        <w:t>0</w:t>
      </w:r>
      <w:r>
        <w:rPr>
          <w:rFonts w:hint="eastAsia" w:cs="仿宋" w:asciiTheme="majorEastAsia" w:hAnsiTheme="majorEastAsia" w:eastAsiaTheme="majorEastAsia"/>
          <w:color w:val="auto"/>
          <w:kern w:val="0"/>
          <w:sz w:val="24"/>
          <w:lang w:val="zh-CN"/>
        </w:rPr>
        <w:t>.2供应商进行电子投标应安装客户端软件—“政采云电子交易客户端”，并按照招标文件和电子交易平台的要求编制并加密投标文件。供应商未按规定加密的投标文件，电子交易平台将拒收并提示。</w:t>
      </w:r>
    </w:p>
    <w:p>
      <w:pPr>
        <w:spacing w:line="360" w:lineRule="auto"/>
        <w:ind w:firstLine="480" w:firstLineChars="20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1</w:t>
      </w:r>
      <w:r>
        <w:rPr>
          <w:rFonts w:hint="eastAsia" w:cs="仿宋" w:asciiTheme="majorEastAsia" w:hAnsiTheme="majorEastAsia" w:eastAsiaTheme="majorEastAsia"/>
          <w:color w:val="auto"/>
          <w:kern w:val="0"/>
          <w:sz w:val="24"/>
        </w:rPr>
        <w:t>0</w:t>
      </w:r>
      <w:r>
        <w:rPr>
          <w:rFonts w:hint="eastAsia" w:cs="仿宋" w:asciiTheme="majorEastAsia" w:hAnsiTheme="majorEastAsia" w:eastAsiaTheme="majorEastAsia"/>
          <w:color w:val="auto"/>
          <w:kern w:val="0"/>
          <w:sz w:val="24"/>
          <w:lang w:val="zh-CN"/>
        </w:rPr>
        <w:t>.3使用“政采云电子交易客户端”需要提前申领CA数字证书，申领流程请自行前往“浙江政府采购网-下载专区-电子交易客户端-CA驱动和申领流程”进行查阅。</w:t>
      </w:r>
    </w:p>
    <w:p>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投标文件的签署、盖章</w:t>
      </w:r>
    </w:p>
    <w:p>
      <w:pPr>
        <w:pStyle w:val="36"/>
        <w:snapToGrid w:val="0"/>
        <w:spacing w:before="0"/>
        <w:ind w:firstLine="480"/>
        <w:rPr>
          <w:rFonts w:cs="仿宋" w:asciiTheme="majorEastAsia" w:hAnsiTheme="majorEastAsia" w:eastAsiaTheme="majorEastAsia"/>
          <w:b/>
          <w:color w:val="auto"/>
        </w:rPr>
      </w:pPr>
      <w:r>
        <w:rPr>
          <w:rFonts w:hint="eastAsia" w:cs="仿宋" w:asciiTheme="majorEastAsia" w:hAnsiTheme="majorEastAsia" w:eastAsiaTheme="majorEastAsia"/>
          <w:color w:val="auto"/>
          <w:szCs w:val="24"/>
        </w:rPr>
        <w:t>11.1投标文件按照招标文件第六部分格式要</w:t>
      </w:r>
      <w:r>
        <w:rPr>
          <w:rFonts w:hint="eastAsia" w:cs="仿宋" w:asciiTheme="majorEastAsia" w:hAnsiTheme="majorEastAsia" w:eastAsiaTheme="majorEastAsia"/>
          <w:color w:val="auto"/>
        </w:rPr>
        <w:t>求进行签署、盖章。</w:t>
      </w:r>
      <w:r>
        <w:rPr>
          <w:rFonts w:hint="eastAsia" w:cs="仿宋" w:asciiTheme="majorEastAsia" w:hAnsiTheme="majorEastAsia" w:eastAsiaTheme="majorEastAsia"/>
          <w:b/>
          <w:color w:val="auto"/>
        </w:rPr>
        <w:t>▲供应商的投标文件未按照招标文件要求签署、盖章的，其投标无效</w:t>
      </w:r>
      <w:r>
        <w:rPr>
          <w:rFonts w:hint="eastAsia" w:cs="仿宋" w:asciiTheme="majorEastAsia" w:hAnsiTheme="majorEastAsia" w:eastAsiaTheme="majorEastAsia"/>
          <w:color w:val="auto"/>
          <w:szCs w:val="24"/>
        </w:rPr>
        <w:t>。</w:t>
      </w:r>
    </w:p>
    <w:p>
      <w:pPr>
        <w:pStyle w:val="36"/>
        <w:snapToGrid w:val="0"/>
        <w:spacing w:before="0"/>
        <w:ind w:firstLine="480"/>
        <w:rPr>
          <w:rFonts w:cs="仿宋" w:asciiTheme="majorEastAsia" w:hAnsiTheme="majorEastAsia" w:eastAsiaTheme="majorEastAsia"/>
          <w:color w:val="auto"/>
        </w:rPr>
      </w:pPr>
      <w:r>
        <w:rPr>
          <w:rFonts w:hint="eastAsia" w:cs="仿宋" w:asciiTheme="majorEastAsia" w:hAnsiTheme="majorEastAsia" w:eastAsiaTheme="majorEastAsia"/>
          <w:color w:val="auto"/>
        </w:rPr>
        <w:t>11.2为确保网上操作合法、有效和安全，</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rPr>
        <w:t>应当在投标截止时间前完成在“政府采购云平台”的身份认证，确保在电子投标过程中能够对相关数据电文进行加密和使用电子签名。</w:t>
      </w:r>
    </w:p>
    <w:p>
      <w:pPr>
        <w:pStyle w:val="36"/>
        <w:snapToGrid w:val="0"/>
        <w:spacing w:before="0"/>
        <w:ind w:firstLine="480"/>
        <w:rPr>
          <w:rFonts w:cs="仿宋" w:asciiTheme="majorEastAsia" w:hAnsiTheme="majorEastAsia" w:eastAsiaTheme="majorEastAsia"/>
          <w:color w:val="auto"/>
          <w:szCs w:val="24"/>
        </w:rPr>
      </w:pPr>
      <w:r>
        <w:rPr>
          <w:rFonts w:hint="eastAsia" w:cs="仿宋" w:asciiTheme="majorEastAsia" w:hAnsiTheme="majorEastAsia" w:eastAsiaTheme="majorEastAsia"/>
          <w:color w:val="auto"/>
        </w:rPr>
        <w:t>11.3招标文件对投标文件签署、盖章的要求适用于电子签名。</w:t>
      </w:r>
    </w:p>
    <w:p>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投标文件的提交、补充、修改、撤回</w:t>
      </w:r>
    </w:p>
    <w:p>
      <w:pPr>
        <w:pStyle w:val="36"/>
        <w:ind w:firstLine="480"/>
        <w:rPr>
          <w:rFonts w:cs="仿宋" w:asciiTheme="majorEastAsia" w:hAnsiTheme="majorEastAsia" w:eastAsiaTheme="majorEastAsia"/>
          <w:color w:val="auto"/>
          <w:szCs w:val="24"/>
        </w:rPr>
      </w:pPr>
      <w:r>
        <w:rPr>
          <w:rFonts w:hint="eastAsia" w:cs="仿宋" w:asciiTheme="majorEastAsia" w:hAnsiTheme="majorEastAsia" w:eastAsiaTheme="majorEastAsia"/>
          <w:color w:val="auto"/>
          <w:szCs w:val="24"/>
        </w:rPr>
        <w:t>12.1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36"/>
        <w:spacing w:before="0"/>
        <w:ind w:firstLine="480"/>
        <w:rPr>
          <w:rFonts w:cs="仿宋" w:asciiTheme="majorEastAsia" w:hAnsiTheme="majorEastAsia" w:eastAsiaTheme="majorEastAsia"/>
          <w:color w:val="auto"/>
          <w:szCs w:val="24"/>
        </w:rPr>
      </w:pPr>
      <w:r>
        <w:rPr>
          <w:rFonts w:hint="eastAsia" w:cs="仿宋" w:asciiTheme="majorEastAsia" w:hAnsiTheme="majorEastAsia" w:eastAsiaTheme="majorEastAsia"/>
          <w:color w:val="auto"/>
          <w:szCs w:val="24"/>
        </w:rPr>
        <w:t>12.2电子交易平台收到投标文件，将妥善保存并即时向供应商发出确认回执通知。在投标截止时间前，除供应商补充、修改或者撤回投标文件外，任何单位和个人不得解密或提取投标文件。</w:t>
      </w:r>
    </w:p>
    <w:p>
      <w:pPr>
        <w:pStyle w:val="36"/>
        <w:spacing w:before="0"/>
        <w:ind w:firstLine="480"/>
        <w:rPr>
          <w:rFonts w:cs="仿宋" w:asciiTheme="majorEastAsia" w:hAnsiTheme="majorEastAsia" w:eastAsiaTheme="majorEastAsia"/>
          <w:color w:val="auto"/>
          <w:szCs w:val="24"/>
        </w:rPr>
      </w:pPr>
      <w:r>
        <w:rPr>
          <w:rFonts w:hint="eastAsia" w:cs="仿宋" w:asciiTheme="majorEastAsia" w:hAnsiTheme="majorEastAsia" w:eastAsiaTheme="majorEastAsia"/>
          <w:color w:val="auto"/>
          <w:szCs w:val="24"/>
        </w:rPr>
        <w:t>12.3采购人、采购代理机构可以视情况延长投标文件提交的截止时间。在上述情况下，采购代理机构与</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szCs w:val="24"/>
        </w:rPr>
        <w:t>以前在投标截止期方面的全部权利、责任和义务，将适用于延长至新的投标截止期。</w:t>
      </w:r>
    </w:p>
    <w:p>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投标有效期</w:t>
      </w:r>
    </w:p>
    <w:p>
      <w:pPr>
        <w:spacing w:line="360" w:lineRule="auto"/>
        <w:ind w:firstLine="480" w:firstLineChars="200"/>
        <w:rPr>
          <w:rFonts w:cs="仿宋" w:asciiTheme="majorEastAsia" w:hAnsiTheme="majorEastAsia" w:eastAsiaTheme="majorEastAsia"/>
          <w:b/>
          <w:color w:val="auto"/>
          <w:sz w:val="24"/>
          <w:szCs w:val="21"/>
        </w:rPr>
      </w:pPr>
      <w:r>
        <w:rPr>
          <w:rFonts w:hint="eastAsia" w:cs="仿宋" w:asciiTheme="majorEastAsia" w:hAnsiTheme="majorEastAsia" w:eastAsiaTheme="majorEastAsia"/>
          <w:color w:val="auto"/>
          <w:sz w:val="24"/>
          <w:szCs w:val="20"/>
        </w:rPr>
        <w:t>投标有效期为从提交投标文件的截止之日起90天。▲</w:t>
      </w:r>
      <w:r>
        <w:rPr>
          <w:rFonts w:hint="eastAsia" w:cs="仿宋" w:asciiTheme="majorEastAsia" w:hAnsiTheme="majorEastAsia" w:eastAsiaTheme="majorEastAsia"/>
          <w:b/>
          <w:color w:val="auto"/>
          <w:sz w:val="24"/>
          <w:szCs w:val="20"/>
        </w:rPr>
        <w:t>供应商的投标文件中承</w:t>
      </w:r>
      <w:r>
        <w:rPr>
          <w:rFonts w:hint="eastAsia" w:cs="仿宋" w:asciiTheme="majorEastAsia" w:hAnsiTheme="majorEastAsia" w:eastAsiaTheme="majorEastAsia"/>
          <w:b/>
          <w:color w:val="auto"/>
          <w:sz w:val="24"/>
          <w:szCs w:val="21"/>
        </w:rPr>
        <w:t>诺的投标有效期少于招标文件中载明的投标有效期的，投标无效。</w:t>
      </w:r>
    </w:p>
    <w:p>
      <w:pPr>
        <w:pStyle w:val="36"/>
        <w:spacing w:before="0"/>
        <w:ind w:firstLine="643"/>
        <w:rPr>
          <w:rFonts w:cs="仿宋" w:asciiTheme="majorEastAsia" w:hAnsiTheme="majorEastAsia" w:eastAsiaTheme="majorEastAsia"/>
          <w:b/>
          <w:color w:val="auto"/>
          <w:sz w:val="32"/>
        </w:rPr>
      </w:pPr>
    </w:p>
    <w:p>
      <w:pPr>
        <w:pStyle w:val="36"/>
        <w:spacing w:before="0"/>
        <w:ind w:firstLine="1928" w:firstLineChars="600"/>
        <w:rPr>
          <w:rFonts w:cs="仿宋" w:asciiTheme="majorEastAsia" w:hAnsiTheme="majorEastAsia" w:eastAsiaTheme="majorEastAsia"/>
          <w:b/>
          <w:color w:val="auto"/>
          <w:sz w:val="32"/>
        </w:rPr>
      </w:pPr>
      <w:r>
        <w:rPr>
          <w:rFonts w:hint="eastAsia" w:cs="仿宋" w:asciiTheme="majorEastAsia" w:hAnsiTheme="majorEastAsia" w:eastAsiaTheme="majorEastAsia"/>
          <w:b/>
          <w:color w:val="auto"/>
          <w:sz w:val="32"/>
        </w:rPr>
        <w:t>四、开标、资格审查与信用信息查询</w:t>
      </w:r>
    </w:p>
    <w:p>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 xml:space="preserve">开标 </w:t>
      </w:r>
    </w:p>
    <w:p>
      <w:pPr>
        <w:pStyle w:val="31"/>
        <w:spacing w:before="0" w:line="360" w:lineRule="auto"/>
        <w:ind w:left="0" w:firstLine="480" w:firstLineChars="200"/>
        <w:contextualSpacing/>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14.1采购代理机构按照招标文件规定的时间通过电子交易平台组织开标，所有</w:t>
      </w:r>
      <w:r>
        <w:rPr>
          <w:rFonts w:hint="eastAsia" w:cs="仿宋" w:asciiTheme="majorEastAsia" w:hAnsiTheme="majorEastAsia" w:eastAsiaTheme="majorEastAsia"/>
          <w:color w:val="auto"/>
          <w:sz w:val="24"/>
          <w:lang w:val="zh-CN"/>
        </w:rPr>
        <w:t>供应商</w:t>
      </w:r>
      <w:r>
        <w:rPr>
          <w:rFonts w:hint="eastAsia" w:cs="仿宋" w:asciiTheme="majorEastAsia" w:hAnsiTheme="majorEastAsia" w:eastAsiaTheme="majorEastAsia"/>
          <w:color w:val="auto"/>
          <w:sz w:val="24"/>
        </w:rPr>
        <w:t>均应当准时在线参加。</w:t>
      </w:r>
      <w:r>
        <w:rPr>
          <w:rFonts w:hint="eastAsia" w:cs="仿宋" w:asciiTheme="majorEastAsia" w:hAnsiTheme="majorEastAsia" w:eastAsiaTheme="majorEastAsia"/>
          <w:color w:val="auto"/>
          <w:sz w:val="24"/>
          <w:lang w:val="zh-CN"/>
        </w:rPr>
        <w:t>供应商</w:t>
      </w:r>
      <w:r>
        <w:rPr>
          <w:rFonts w:hint="eastAsia" w:cs="仿宋" w:asciiTheme="majorEastAsia" w:hAnsiTheme="majorEastAsia" w:eastAsiaTheme="majorEastAsia"/>
          <w:color w:val="auto"/>
          <w:sz w:val="24"/>
        </w:rPr>
        <w:t>不足3家的，不得开标。</w:t>
      </w:r>
    </w:p>
    <w:p>
      <w:pPr>
        <w:pStyle w:val="31"/>
        <w:spacing w:before="0" w:line="360" w:lineRule="auto"/>
        <w:ind w:left="0" w:firstLine="240" w:firstLineChars="100"/>
        <w:contextualSpacing/>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14.2开标时，电子交易平台按开标时间自动提取所有投标文件。采购代理机构依托电子交易平台发起开始解密指令，</w:t>
      </w:r>
      <w:r>
        <w:rPr>
          <w:rFonts w:hint="eastAsia" w:cs="仿宋" w:asciiTheme="majorEastAsia" w:hAnsiTheme="majorEastAsia" w:eastAsiaTheme="majorEastAsia"/>
          <w:color w:val="auto"/>
          <w:sz w:val="24"/>
          <w:lang w:val="zh-CN"/>
        </w:rPr>
        <w:t>供应商</w:t>
      </w:r>
      <w:r>
        <w:rPr>
          <w:rFonts w:hint="eastAsia" w:cs="仿宋" w:asciiTheme="majorEastAsia" w:hAnsiTheme="majorEastAsia" w:eastAsiaTheme="majorEastAsia"/>
          <w:color w:val="auto"/>
          <w:sz w:val="24"/>
        </w:rPr>
        <w:t>按照平台提示和招标文件的规定在半小时内完成在线解密。</w:t>
      </w:r>
    </w:p>
    <w:p>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资格审查</w:t>
      </w:r>
    </w:p>
    <w:p>
      <w:pPr>
        <w:pStyle w:val="36"/>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15.1开标后，采购人或采购代理机构依据法律法规和招标文件的规定，对供应商的资格条件进行审查。</w:t>
      </w:r>
    </w:p>
    <w:p>
      <w:pPr>
        <w:pStyle w:val="36"/>
        <w:spacing w:before="0"/>
        <w:ind w:firstLine="480"/>
        <w:rPr>
          <w:rFonts w:cs="仿宋" w:asciiTheme="majorEastAsia" w:hAnsiTheme="majorEastAsia" w:eastAsiaTheme="majorEastAsia"/>
          <w:color w:val="auto"/>
        </w:rPr>
      </w:pPr>
      <w:r>
        <w:rPr>
          <w:rFonts w:hint="eastAsia" w:cs="仿宋" w:asciiTheme="majorEastAsia" w:hAnsiTheme="majorEastAsia" w:eastAsiaTheme="majorEastAsia"/>
          <w:color w:val="auto"/>
          <w:kern w:val="0"/>
          <w:szCs w:val="24"/>
        </w:rPr>
        <w:t>15.</w:t>
      </w:r>
      <w:r>
        <w:rPr>
          <w:rFonts w:hint="eastAsia" w:cs="仿宋" w:asciiTheme="majorEastAsia" w:hAnsiTheme="majorEastAsia" w:eastAsiaTheme="majorEastAsia"/>
          <w:color w:val="auto"/>
        </w:rPr>
        <w:t>2对未通过资格审查的供应商，采购人或采购代理机构告知其未通过的原因。</w:t>
      </w:r>
    </w:p>
    <w:p>
      <w:pPr>
        <w:pStyle w:val="36"/>
        <w:spacing w:before="0"/>
        <w:ind w:firstLine="480"/>
        <w:rPr>
          <w:rFonts w:cs="仿宋" w:asciiTheme="majorEastAsia" w:hAnsiTheme="majorEastAsia" w:eastAsiaTheme="majorEastAsia"/>
          <w:color w:val="auto"/>
        </w:rPr>
      </w:pPr>
      <w:r>
        <w:rPr>
          <w:rFonts w:hint="eastAsia" w:cs="仿宋" w:asciiTheme="majorEastAsia" w:hAnsiTheme="majorEastAsia" w:eastAsiaTheme="majorEastAsia"/>
          <w:color w:val="auto"/>
          <w:kern w:val="0"/>
          <w:szCs w:val="24"/>
        </w:rPr>
        <w:t>15.</w:t>
      </w:r>
      <w:r>
        <w:rPr>
          <w:rFonts w:hint="eastAsia" w:cs="仿宋" w:asciiTheme="majorEastAsia" w:hAnsiTheme="majorEastAsia" w:eastAsiaTheme="majorEastAsia"/>
          <w:color w:val="auto"/>
        </w:rPr>
        <w:t>3合格供应商不足3家的，不再评标。</w:t>
      </w:r>
    </w:p>
    <w:p>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信用信息查询</w:t>
      </w:r>
    </w:p>
    <w:p>
      <w:pPr>
        <w:pStyle w:val="36"/>
        <w:spacing w:before="0"/>
        <w:ind w:firstLine="495" w:firstLineChars="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16.1信用信息查询渠道及截止时间：采购代理机构将通过“信用中国”网站(www.creditchina.gov.cn)、中国政府采购网(www.ccgp.gov.cn)渠道查询供应商投标截止时间当天的信用记录。</w:t>
      </w:r>
    </w:p>
    <w:p>
      <w:pPr>
        <w:pStyle w:val="36"/>
        <w:spacing w:before="0"/>
        <w:ind w:firstLine="495" w:firstLineChars="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16.2信用信息的使用规则：经查询列入失信被执行人名单、重大税收违法案件当事人名单、政府采购严重违法失信行为记录名单的</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将被拒绝参与政府采购活动。</w:t>
      </w:r>
    </w:p>
    <w:p>
      <w:pPr>
        <w:pStyle w:val="36"/>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16.3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 w:asciiTheme="majorEastAsia" w:hAnsiTheme="majorEastAsia" w:eastAsiaTheme="majorEastAsia"/>
          <w:color w:val="auto"/>
        </w:rPr>
        <w:t>。</w:t>
      </w:r>
    </w:p>
    <w:p>
      <w:pPr>
        <w:snapToGrid w:val="0"/>
        <w:spacing w:line="360" w:lineRule="auto"/>
        <w:jc w:val="center"/>
        <w:outlineLvl w:val="0"/>
        <w:rPr>
          <w:rFonts w:cs="仿宋" w:asciiTheme="majorEastAsia" w:hAnsiTheme="majorEastAsia" w:eastAsiaTheme="majorEastAsia"/>
          <w:b/>
          <w:color w:val="auto"/>
          <w:sz w:val="36"/>
          <w:szCs w:val="36"/>
        </w:rPr>
      </w:pPr>
      <w:r>
        <w:rPr>
          <w:rFonts w:hint="eastAsia" w:cs="仿宋" w:asciiTheme="majorEastAsia" w:hAnsiTheme="majorEastAsia" w:eastAsiaTheme="majorEastAsia"/>
          <w:b/>
          <w:color w:val="auto"/>
          <w:sz w:val="36"/>
          <w:szCs w:val="36"/>
        </w:rPr>
        <w:t>五、评标</w:t>
      </w:r>
    </w:p>
    <w:p>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rPr>
      </w:pPr>
      <w:bookmarkStart w:id="13" w:name="_Toc91899903"/>
      <w:r>
        <w:rPr>
          <w:rFonts w:hint="eastAsia" w:cs="仿宋" w:asciiTheme="majorEastAsia" w:hAnsiTheme="majorEastAsia" w:eastAsiaTheme="majorEastAsia"/>
          <w:b/>
          <w:color w:val="auto"/>
          <w:sz w:val="24"/>
        </w:rPr>
        <w:t>评标委员会</w:t>
      </w:r>
    </w:p>
    <w:p>
      <w:pPr>
        <w:pStyle w:val="36"/>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17.1 本次招标依法组建评标委员会。评标委员会由采购人代表和评审专家组成，评审专家从专家库随机抽取。</w:t>
      </w:r>
    </w:p>
    <w:p>
      <w:pPr>
        <w:pStyle w:val="36"/>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17.2 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pPr>
        <w:pStyle w:val="36"/>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17.3 评审专家有下列情形之一的，受到邀请应主动提出回避，采购当事人也可以要求该评审专家回避：</w:t>
      </w:r>
    </w:p>
    <w:p>
      <w:pPr>
        <w:pStyle w:val="36"/>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17.3.1 参加采购活动前三年内，与供应商存在劳动关系，或者担任过供应商的董事、监事，或者是供应商的控股股东或实际控制人；</w:t>
      </w:r>
    </w:p>
    <w:p>
      <w:pPr>
        <w:pStyle w:val="36"/>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17.3.2 与供应商的法定代表人或者负责人有夫妻、直系血亲、三代以内旁系血亲或者近姻亲关系；</w:t>
      </w:r>
    </w:p>
    <w:p>
      <w:pPr>
        <w:pStyle w:val="36"/>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17.3.3 任职单位与参加该采购项目供应商存在行政隶属关系；</w:t>
      </w:r>
    </w:p>
    <w:p>
      <w:pPr>
        <w:pStyle w:val="36"/>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17.3.4 曾经参加过该采购项目的进口产品或招标文件、采购需求、采购方式的论证和咨询服务工作；</w:t>
      </w:r>
    </w:p>
    <w:p>
      <w:pPr>
        <w:pStyle w:val="36"/>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17.3.5 是参加该采购项目供应商的上级主管部门、控股或参股单位的工作人员，或与该供应商存在其他经济利益关系；</w:t>
      </w:r>
    </w:p>
    <w:p>
      <w:pPr>
        <w:pStyle w:val="36"/>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17.3.6 评标委员会成员之间具有配偶、近亲属关系等；</w:t>
      </w:r>
    </w:p>
    <w:p>
      <w:pPr>
        <w:pStyle w:val="36"/>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17.3.7 法律、法规、规章规定应当回避以及其他可能影响政府采购活动公平、公正进行的关系。</w:t>
      </w:r>
    </w:p>
    <w:p>
      <w:pPr>
        <w:pStyle w:val="36"/>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17.4 评标委员会判断投标文件的有效性、合格性和响应情况，仅依据投标人所递交一切文件的真实表述，不受与本项目无直接关联的外部信息、传言而影响自身的专业判断。</w:t>
      </w:r>
    </w:p>
    <w:p>
      <w:pPr>
        <w:pStyle w:val="36"/>
        <w:spacing w:before="0"/>
        <w:ind w:firstLine="480"/>
        <w:rPr>
          <w:rFonts w:asciiTheme="majorEastAsia" w:hAnsiTheme="majorEastAsia" w:eastAsiaTheme="majorEastAsia"/>
          <w:color w:val="auto"/>
        </w:rPr>
      </w:pPr>
      <w:r>
        <w:rPr>
          <w:rFonts w:hint="eastAsia" w:cs="仿宋" w:asciiTheme="majorEastAsia" w:hAnsiTheme="majorEastAsia" w:eastAsiaTheme="majorEastAsia"/>
          <w:color w:val="auto"/>
          <w:kern w:val="0"/>
          <w:szCs w:val="24"/>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评标</w:t>
      </w:r>
    </w:p>
    <w:p>
      <w:pPr>
        <w:pStyle w:val="36"/>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评标委员会将根据招标文件和有关规定，履行评标工作职责，并按照评标方法及评分标准，全面衡量各</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对招标文件的响应情况。对实质上响应招标文件的</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，按照评审因素的量化指标推荐综合得分排名第一的为中标候选人。</w:t>
      </w:r>
    </w:p>
    <w:p>
      <w:pPr>
        <w:pStyle w:val="36"/>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得分相同的，按投标报价由低到高顺序排列。得分且投标报价相同的，投标文件满足招标文件全部实质性要求，且按照评审因素的量化指标评审得分最高的</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为排名第一的中标候选人。</w:t>
      </w:r>
    </w:p>
    <w:p>
      <w:pPr>
        <w:pStyle w:val="36"/>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详见招标文件第四部分评标办法。</w:t>
      </w:r>
    </w:p>
    <w:p>
      <w:pPr>
        <w:spacing w:line="360" w:lineRule="auto"/>
        <w:rPr>
          <w:rFonts w:cs="仿宋" w:asciiTheme="majorEastAsia" w:hAnsiTheme="majorEastAsia" w:eastAsiaTheme="majorEastAsia"/>
          <w:b/>
          <w:color w:val="auto"/>
          <w:sz w:val="24"/>
        </w:rPr>
      </w:pPr>
    </w:p>
    <w:p>
      <w:pPr>
        <w:snapToGrid w:val="0"/>
        <w:spacing w:line="360" w:lineRule="auto"/>
        <w:jc w:val="center"/>
        <w:outlineLvl w:val="0"/>
        <w:rPr>
          <w:rFonts w:cs="仿宋" w:asciiTheme="majorEastAsia" w:hAnsiTheme="majorEastAsia" w:eastAsiaTheme="majorEastAsia"/>
          <w:b/>
          <w:color w:val="auto"/>
          <w:sz w:val="36"/>
          <w:szCs w:val="36"/>
        </w:rPr>
      </w:pPr>
      <w:r>
        <w:rPr>
          <w:rFonts w:hint="eastAsia" w:cs="仿宋" w:asciiTheme="majorEastAsia" w:hAnsiTheme="majorEastAsia" w:eastAsiaTheme="majorEastAsia"/>
          <w:b/>
          <w:color w:val="auto"/>
          <w:sz w:val="36"/>
          <w:szCs w:val="36"/>
        </w:rPr>
        <w:t>六、定 标</w:t>
      </w:r>
    </w:p>
    <w:p>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确定中标供应商</w:t>
      </w:r>
    </w:p>
    <w:p>
      <w:pPr>
        <w:pStyle w:val="36"/>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本项目由评标委员会推荐一个中标候选人，采购人不得在评标委员会推荐的中标候选人以外确定中标候选人。</w:t>
      </w:r>
    </w:p>
    <w:p>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中标通知与中标结果公告</w:t>
      </w:r>
    </w:p>
    <w:p>
      <w:pPr>
        <w:pStyle w:val="36"/>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20.1自中标人确定之日起2个工作日内，采购代理机构通过电子交易平台向中标人发出中标通知书，同时编制发布采购结果公告。采购代理机构也可以以纸质形式进行中标通知。</w:t>
      </w:r>
    </w:p>
    <w:p>
      <w:pPr>
        <w:pStyle w:val="36"/>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20.2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pPr>
        <w:pStyle w:val="36"/>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20.3公告期限为1个工作日。</w:t>
      </w:r>
    </w:p>
    <w:p>
      <w:pPr>
        <w:snapToGrid w:val="0"/>
        <w:spacing w:line="360" w:lineRule="auto"/>
        <w:ind w:left="120" w:leftChars="57" w:firstLine="482" w:firstLineChars="150"/>
        <w:jc w:val="center"/>
        <w:rPr>
          <w:rFonts w:cs="仿宋" w:asciiTheme="majorEastAsia" w:hAnsiTheme="majorEastAsia" w:eastAsiaTheme="majorEastAsia"/>
          <w:b/>
          <w:color w:val="auto"/>
          <w:sz w:val="32"/>
        </w:rPr>
      </w:pPr>
    </w:p>
    <w:p>
      <w:pPr>
        <w:snapToGrid w:val="0"/>
        <w:spacing w:line="360" w:lineRule="auto"/>
        <w:ind w:left="120" w:leftChars="57" w:firstLine="482" w:firstLineChars="150"/>
        <w:jc w:val="center"/>
        <w:rPr>
          <w:rFonts w:cs="仿宋" w:asciiTheme="majorEastAsia" w:hAnsiTheme="majorEastAsia" w:eastAsiaTheme="majorEastAsia"/>
          <w:b/>
          <w:color w:val="auto"/>
          <w:sz w:val="32"/>
        </w:rPr>
      </w:pPr>
      <w:r>
        <w:rPr>
          <w:rFonts w:hint="eastAsia" w:cs="仿宋" w:asciiTheme="majorEastAsia" w:hAnsiTheme="majorEastAsia" w:eastAsiaTheme="majorEastAsia"/>
          <w:b/>
          <w:color w:val="auto"/>
          <w:sz w:val="32"/>
        </w:rPr>
        <w:t>七、合同授予</w:t>
      </w:r>
    </w:p>
    <w:p>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合同授予</w:t>
      </w:r>
    </w:p>
    <w:p>
      <w:pPr>
        <w:pStyle w:val="36"/>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合同主要条款详见第五部分拟签订的合同文本。</w:t>
      </w:r>
    </w:p>
    <w:p>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合同的签订</w:t>
      </w:r>
    </w:p>
    <w:p>
      <w:pPr>
        <w:pStyle w:val="36"/>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22.1 采购人与中标供应商应当通过电子交易平台在中标通知书发出之日起三十日内，按照招标文件及中标供应商的投标文件确定的事项签订采购合同，并在合同签订之日起2个工作日内依法发布合同公告。</w:t>
      </w:r>
    </w:p>
    <w:p>
      <w:pPr>
        <w:pStyle w:val="36"/>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lang w:val="zh-CN"/>
        </w:rPr>
        <w:t>2</w:t>
      </w:r>
      <w:r>
        <w:rPr>
          <w:rFonts w:hint="eastAsia" w:cs="仿宋" w:asciiTheme="majorEastAsia" w:hAnsiTheme="majorEastAsia" w:eastAsiaTheme="majorEastAsia"/>
          <w:color w:val="auto"/>
          <w:kern w:val="0"/>
          <w:szCs w:val="24"/>
        </w:rPr>
        <w:t>2</w:t>
      </w:r>
      <w:r>
        <w:rPr>
          <w:rFonts w:hint="eastAsia" w:cs="仿宋" w:asciiTheme="majorEastAsia" w:hAnsiTheme="majorEastAsia" w:eastAsiaTheme="majorEastAsia"/>
          <w:color w:val="auto"/>
          <w:kern w:val="0"/>
          <w:szCs w:val="24"/>
          <w:lang w:val="zh-CN"/>
        </w:rPr>
        <w:t>.2中标供应商按规定的日期、时间、地点，由法定代表人或其授权代表与采购人代表签订合同。如中标人为联合体的，由联合体成员各方法定代表人或其授权代表与采购人代表签订合同。</w:t>
      </w:r>
    </w:p>
    <w:p>
      <w:pPr>
        <w:pStyle w:val="36"/>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22.3如签订合同并生效后，供应商无故拒绝或延期，除按照合同条款处理外，列入不良行为记录名单，并给予通报。</w:t>
      </w:r>
    </w:p>
    <w:p>
      <w:pPr>
        <w:pStyle w:val="36"/>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22.4中标供应商拒绝与采购人签订合同的，列入不良行为记录名单，采购人、采购代理机构重新开展政府采购活动。</w:t>
      </w:r>
    </w:p>
    <w:p>
      <w:pPr>
        <w:numPr>
          <w:ilvl w:val="0"/>
          <w:numId w:val="1"/>
        </w:numPr>
        <w:adjustRightInd w:val="0"/>
        <w:snapToGrid w:val="0"/>
        <w:spacing w:before="120" w:beforeLines="50" w:line="360" w:lineRule="auto"/>
        <w:ind w:firstLine="482" w:firstLineChars="200"/>
        <w:jc w:val="left"/>
        <w:outlineLvl w:val="1"/>
        <w:rPr>
          <w:rFonts w:hint="eastAsia" w:cs="仿宋" w:asciiTheme="majorEastAsia" w:hAnsiTheme="majorEastAsia" w:eastAsiaTheme="majorEastAsia"/>
          <w:b/>
          <w:bCs/>
          <w:color w:val="auto"/>
          <w:kern w:val="0"/>
          <w:sz w:val="24"/>
          <w:szCs w:val="24"/>
          <w:lang w:val="en-US" w:eastAsia="zh-CN" w:bidi="ar-SA"/>
        </w:rPr>
      </w:pPr>
      <w:r>
        <w:rPr>
          <w:rFonts w:hint="eastAsia" w:cs="仿宋" w:asciiTheme="majorEastAsia" w:hAnsiTheme="majorEastAsia" w:eastAsiaTheme="majorEastAsia"/>
          <w:b/>
          <w:bCs/>
          <w:color w:val="auto"/>
          <w:kern w:val="0"/>
          <w:sz w:val="24"/>
          <w:szCs w:val="24"/>
          <w:lang w:val="en-US" w:eastAsia="zh-CN" w:bidi="ar-SA"/>
        </w:rPr>
        <w:t>投标保证金的交纳与退还</w:t>
      </w:r>
    </w:p>
    <w:p>
      <w:pPr>
        <w:pStyle w:val="36"/>
        <w:spacing w:before="0"/>
        <w:ind w:firstLine="480"/>
        <w:rPr>
          <w:rFonts w:hint="eastAsia" w:eastAsia="宋体" w:cs="仿宋" w:asciiTheme="majorEastAsia" w:hAnsiTheme="majorEastAsia"/>
          <w:b w:val="0"/>
          <w:bCs/>
          <w:color w:val="auto"/>
          <w:kern w:val="0"/>
          <w:szCs w:val="24"/>
          <w:lang w:val="en-US" w:eastAsia="zh-CN"/>
        </w:rPr>
      </w:pPr>
      <w:r>
        <w:rPr>
          <w:rFonts w:hint="eastAsia" w:cs="仿宋" w:asciiTheme="majorEastAsia" w:hAnsiTheme="majorEastAsia" w:eastAsiaTheme="majorEastAsia"/>
          <w:color w:val="auto"/>
          <w:kern w:val="0"/>
          <w:szCs w:val="24"/>
          <w:lang w:val="en-US" w:eastAsia="zh-CN"/>
        </w:rPr>
        <w:t>23.1 ▲投标人须按规定提交投标保证金，</w:t>
      </w:r>
      <w:r>
        <w:rPr>
          <w:rFonts w:hint="eastAsia" w:hAnsi="宋体"/>
          <w:b w:val="0"/>
          <w:bCs/>
          <w:color w:val="auto"/>
          <w:sz w:val="24"/>
        </w:rPr>
        <w:t>超时的作无效标处理</w:t>
      </w:r>
      <w:r>
        <w:rPr>
          <w:rFonts w:hint="eastAsia" w:hAnsi="宋体"/>
          <w:b w:val="0"/>
          <w:bCs/>
          <w:color w:val="auto"/>
          <w:sz w:val="24"/>
          <w:lang w:eastAsia="zh-CN"/>
        </w:rPr>
        <w:t>。</w:t>
      </w:r>
    </w:p>
    <w:p>
      <w:pPr>
        <w:pStyle w:val="36"/>
        <w:spacing w:before="0"/>
        <w:ind w:firstLine="480"/>
        <w:rPr>
          <w:rFonts w:hint="eastAsia" w:cs="仿宋" w:asciiTheme="majorEastAsia" w:hAnsiTheme="majorEastAsia" w:eastAsiaTheme="majorEastAsia"/>
          <w:color w:val="auto"/>
          <w:kern w:val="0"/>
          <w:szCs w:val="24"/>
          <w:lang w:val="en-US" w:eastAsia="zh-CN"/>
        </w:rPr>
      </w:pPr>
      <w:r>
        <w:rPr>
          <w:rFonts w:hint="eastAsia" w:cs="仿宋" w:asciiTheme="majorEastAsia" w:hAnsiTheme="majorEastAsia" w:eastAsiaTheme="majorEastAsia"/>
          <w:color w:val="auto"/>
          <w:kern w:val="0"/>
          <w:szCs w:val="24"/>
          <w:lang w:val="en-US" w:eastAsia="zh-CN"/>
        </w:rPr>
        <w:t>23.2保证金形式：单位网银、转账支票、汇票、汇兑。</w:t>
      </w:r>
    </w:p>
    <w:p>
      <w:pPr>
        <w:pStyle w:val="36"/>
        <w:spacing w:before="0"/>
        <w:ind w:firstLine="480"/>
        <w:rPr>
          <w:rFonts w:hint="eastAsia" w:cs="仿宋" w:asciiTheme="majorEastAsia" w:hAnsiTheme="majorEastAsia" w:eastAsiaTheme="majorEastAsia"/>
          <w:color w:val="auto"/>
          <w:kern w:val="0"/>
          <w:szCs w:val="24"/>
          <w:lang w:val="en-US" w:eastAsia="zh-CN"/>
        </w:rPr>
      </w:pPr>
      <w:r>
        <w:rPr>
          <w:rFonts w:hint="eastAsia" w:cs="仿宋" w:asciiTheme="majorEastAsia" w:hAnsiTheme="majorEastAsia" w:eastAsiaTheme="majorEastAsia"/>
          <w:color w:val="auto"/>
          <w:kern w:val="0"/>
          <w:szCs w:val="24"/>
          <w:lang w:val="en-US" w:eastAsia="zh-CN"/>
        </w:rPr>
        <w:t>23.3未中标人的投标保证金在中标通知书发出后5个工作日内退还。</w:t>
      </w:r>
    </w:p>
    <w:p>
      <w:pPr>
        <w:pStyle w:val="36"/>
        <w:spacing w:before="0"/>
        <w:ind w:firstLine="480"/>
        <w:rPr>
          <w:rFonts w:hint="eastAsia" w:cs="仿宋" w:asciiTheme="majorEastAsia" w:hAnsiTheme="majorEastAsia" w:eastAsiaTheme="majorEastAsia"/>
          <w:color w:val="auto"/>
          <w:kern w:val="0"/>
          <w:szCs w:val="24"/>
          <w:lang w:val="en-US" w:eastAsia="zh-CN"/>
        </w:rPr>
      </w:pPr>
      <w:r>
        <w:rPr>
          <w:rFonts w:hint="eastAsia" w:cs="仿宋" w:asciiTheme="majorEastAsia" w:hAnsiTheme="majorEastAsia" w:eastAsiaTheme="majorEastAsia"/>
          <w:color w:val="auto"/>
          <w:kern w:val="0"/>
          <w:szCs w:val="24"/>
          <w:lang w:val="en-US" w:eastAsia="zh-CN"/>
        </w:rPr>
        <w:t>23.4中标人应在中标通知书发出后按招标文件规定的时间内与招标人签订合同，并交纳招标文件规定的履约保证金，中标人的投标保证金在合同签订后5个工作日内退还。</w:t>
      </w:r>
    </w:p>
    <w:p>
      <w:pPr>
        <w:pStyle w:val="36"/>
        <w:spacing w:before="0"/>
        <w:ind w:firstLine="480"/>
        <w:rPr>
          <w:rFonts w:hint="eastAsia" w:cs="仿宋" w:asciiTheme="majorEastAsia" w:hAnsiTheme="majorEastAsia" w:eastAsiaTheme="majorEastAsia"/>
          <w:color w:val="auto"/>
          <w:kern w:val="0"/>
          <w:szCs w:val="24"/>
          <w:lang w:val="en-US" w:eastAsia="zh-CN"/>
        </w:rPr>
      </w:pPr>
      <w:r>
        <w:rPr>
          <w:rFonts w:hint="eastAsia" w:cs="仿宋" w:asciiTheme="majorEastAsia" w:hAnsiTheme="majorEastAsia" w:eastAsiaTheme="majorEastAsia"/>
          <w:color w:val="auto"/>
          <w:kern w:val="0"/>
          <w:szCs w:val="24"/>
          <w:lang w:val="en-US" w:eastAsia="zh-CN"/>
        </w:rPr>
        <w:t>23.5保证金不计息。</w:t>
      </w:r>
    </w:p>
    <w:p>
      <w:pPr>
        <w:pStyle w:val="36"/>
        <w:spacing w:before="0"/>
        <w:ind w:firstLine="480"/>
        <w:rPr>
          <w:rFonts w:hint="eastAsia" w:cs="仿宋" w:asciiTheme="majorEastAsia" w:hAnsiTheme="majorEastAsia" w:eastAsiaTheme="majorEastAsia"/>
          <w:color w:val="auto"/>
          <w:kern w:val="0"/>
          <w:szCs w:val="24"/>
          <w:lang w:val="en-US" w:eastAsia="zh-CN"/>
        </w:rPr>
      </w:pPr>
      <w:r>
        <w:rPr>
          <w:rFonts w:hint="eastAsia" w:cs="仿宋" w:asciiTheme="majorEastAsia" w:hAnsiTheme="majorEastAsia" w:eastAsiaTheme="majorEastAsia"/>
          <w:color w:val="auto"/>
          <w:kern w:val="0"/>
          <w:szCs w:val="24"/>
          <w:lang w:val="en-US" w:eastAsia="zh-CN"/>
        </w:rPr>
        <w:t>23.6投标人有下列情形之一的，投标保证金将不予退还：</w:t>
      </w:r>
    </w:p>
    <w:p>
      <w:pPr>
        <w:pStyle w:val="36"/>
        <w:spacing w:before="0"/>
        <w:ind w:firstLine="480"/>
        <w:rPr>
          <w:rFonts w:hint="eastAsia" w:cs="仿宋" w:asciiTheme="majorEastAsia" w:hAnsiTheme="majorEastAsia" w:eastAsiaTheme="majorEastAsia"/>
          <w:color w:val="auto"/>
          <w:kern w:val="0"/>
          <w:szCs w:val="24"/>
          <w:lang w:val="en-US" w:eastAsia="zh-CN"/>
        </w:rPr>
      </w:pPr>
      <w:r>
        <w:rPr>
          <w:rFonts w:hint="eastAsia" w:cs="仿宋" w:asciiTheme="majorEastAsia" w:hAnsiTheme="majorEastAsia" w:eastAsiaTheme="majorEastAsia"/>
          <w:color w:val="auto"/>
          <w:kern w:val="0"/>
          <w:szCs w:val="24"/>
          <w:lang w:val="en-US" w:eastAsia="zh-CN"/>
        </w:rPr>
        <w:t>23.6.1投标人在投标有效期内撤回投标文件的；</w:t>
      </w:r>
    </w:p>
    <w:p>
      <w:pPr>
        <w:pStyle w:val="36"/>
        <w:spacing w:before="0"/>
        <w:ind w:firstLine="480"/>
        <w:rPr>
          <w:rFonts w:hint="eastAsia" w:cs="仿宋" w:asciiTheme="majorEastAsia" w:hAnsiTheme="majorEastAsia" w:eastAsiaTheme="majorEastAsia"/>
          <w:color w:val="auto"/>
          <w:kern w:val="0"/>
          <w:szCs w:val="24"/>
          <w:lang w:val="en-US" w:eastAsia="zh-CN"/>
        </w:rPr>
      </w:pPr>
      <w:r>
        <w:rPr>
          <w:rFonts w:hint="eastAsia" w:cs="仿宋" w:asciiTheme="majorEastAsia" w:hAnsiTheme="majorEastAsia" w:eastAsiaTheme="majorEastAsia"/>
          <w:color w:val="auto"/>
          <w:kern w:val="0"/>
          <w:szCs w:val="24"/>
          <w:lang w:val="en-US" w:eastAsia="zh-CN"/>
        </w:rPr>
        <w:t>23.6.2未按规定提交履约保证金的；</w:t>
      </w:r>
    </w:p>
    <w:p>
      <w:pPr>
        <w:pStyle w:val="36"/>
        <w:spacing w:before="0"/>
        <w:ind w:firstLine="480"/>
        <w:rPr>
          <w:rFonts w:hint="eastAsia" w:cs="仿宋" w:asciiTheme="majorEastAsia" w:hAnsiTheme="majorEastAsia" w:eastAsiaTheme="majorEastAsia"/>
          <w:color w:val="auto"/>
          <w:kern w:val="0"/>
          <w:szCs w:val="24"/>
          <w:lang w:val="en-US" w:eastAsia="zh-CN"/>
        </w:rPr>
      </w:pPr>
      <w:r>
        <w:rPr>
          <w:rFonts w:hint="eastAsia" w:cs="仿宋" w:asciiTheme="majorEastAsia" w:hAnsiTheme="majorEastAsia" w:eastAsiaTheme="majorEastAsia"/>
          <w:color w:val="auto"/>
          <w:kern w:val="0"/>
          <w:szCs w:val="24"/>
          <w:lang w:val="en-US" w:eastAsia="zh-CN"/>
        </w:rPr>
        <w:t>23.6.3投标人在投标过程中弄虚作假，提供虚假材料的；</w:t>
      </w:r>
    </w:p>
    <w:p>
      <w:pPr>
        <w:pStyle w:val="36"/>
        <w:spacing w:before="0"/>
        <w:ind w:firstLine="480"/>
        <w:rPr>
          <w:rFonts w:hint="eastAsia" w:cs="仿宋" w:asciiTheme="majorEastAsia" w:hAnsiTheme="majorEastAsia" w:eastAsiaTheme="majorEastAsia"/>
          <w:color w:val="auto"/>
          <w:kern w:val="0"/>
          <w:szCs w:val="24"/>
          <w:lang w:val="en-US" w:eastAsia="zh-CN"/>
        </w:rPr>
      </w:pPr>
      <w:r>
        <w:rPr>
          <w:rFonts w:hint="eastAsia" w:cs="仿宋" w:asciiTheme="majorEastAsia" w:hAnsiTheme="majorEastAsia" w:eastAsiaTheme="majorEastAsia"/>
          <w:color w:val="auto"/>
          <w:kern w:val="0"/>
          <w:szCs w:val="24"/>
          <w:lang w:val="en-US" w:eastAsia="zh-CN"/>
        </w:rPr>
        <w:t>23.6.4中标人无正当理由不与招标人签订合同的；</w:t>
      </w:r>
    </w:p>
    <w:p>
      <w:pPr>
        <w:pStyle w:val="36"/>
        <w:spacing w:before="0"/>
        <w:ind w:firstLine="480"/>
        <w:rPr>
          <w:rFonts w:hint="default" w:cs="仿宋" w:asciiTheme="majorEastAsia" w:hAnsiTheme="majorEastAsia" w:eastAsiaTheme="majorEastAsia"/>
          <w:color w:val="auto"/>
          <w:kern w:val="0"/>
          <w:szCs w:val="24"/>
          <w:lang w:val="en-US" w:eastAsia="zh-CN"/>
        </w:rPr>
      </w:pPr>
      <w:r>
        <w:rPr>
          <w:rFonts w:hint="eastAsia" w:cs="仿宋" w:asciiTheme="majorEastAsia" w:hAnsiTheme="majorEastAsia" w:eastAsiaTheme="majorEastAsia"/>
          <w:color w:val="auto"/>
          <w:kern w:val="0"/>
          <w:szCs w:val="24"/>
          <w:lang w:val="en-US" w:eastAsia="zh-CN"/>
        </w:rPr>
        <w:t>23.6.5其他严重扰乱招投标程序的。</w:t>
      </w:r>
    </w:p>
    <w:p>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履约保证金</w:t>
      </w:r>
    </w:p>
    <w:p>
      <w:pPr>
        <w:tabs>
          <w:tab w:val="left" w:pos="0"/>
        </w:tabs>
        <w:spacing w:line="360" w:lineRule="auto"/>
        <w:ind w:firstLine="482"/>
        <w:rPr>
          <w:rFonts w:cs="仿宋" w:asciiTheme="majorEastAsia" w:hAnsiTheme="majorEastAsia" w:eastAsiaTheme="majorEastAsia"/>
          <w:b/>
          <w:color w:val="auto"/>
          <w:sz w:val="24"/>
        </w:rPr>
      </w:pPr>
      <w:r>
        <w:rPr>
          <w:rFonts w:hint="eastAsia" w:cs="仿宋" w:asciiTheme="majorEastAsia" w:hAnsiTheme="majorEastAsia" w:eastAsiaTheme="majorEastAsia"/>
          <w:color w:val="auto"/>
          <w:kern w:val="0"/>
          <w:sz w:val="24"/>
        </w:rPr>
        <w:t>拟签订的合同文本要求中标供应商提交履约保证金的，供应商应当以支票、汇票、本票或者金融机构、担保机构出具的保函等非现金形式提交</w:t>
      </w:r>
      <w:r>
        <w:rPr>
          <w:rFonts w:hint="eastAsia" w:cs="仿宋" w:asciiTheme="majorEastAsia" w:hAnsiTheme="majorEastAsia" w:eastAsiaTheme="majorEastAsia"/>
          <w:color w:val="auto"/>
          <w:sz w:val="24"/>
        </w:rPr>
        <w:t>。履约保证金的数额不得超过政府采购合同金额的</w:t>
      </w:r>
      <w:r>
        <w:rPr>
          <w:rFonts w:hint="eastAsia" w:cs="仿宋" w:asciiTheme="majorEastAsia" w:hAnsiTheme="majorEastAsia" w:eastAsiaTheme="majorEastAsia"/>
          <w:color w:val="auto"/>
          <w:sz w:val="24"/>
          <w:lang w:val="en-US" w:eastAsia="zh-CN"/>
        </w:rPr>
        <w:t>1</w:t>
      </w:r>
      <w:r>
        <w:rPr>
          <w:rFonts w:hint="eastAsia" w:cs="仿宋" w:asciiTheme="majorEastAsia" w:hAnsiTheme="majorEastAsia" w:eastAsiaTheme="majorEastAsia"/>
          <w:color w:val="auto"/>
          <w:sz w:val="24"/>
        </w:rPr>
        <w:t>%。鼓励和支持供应商以银行、保险公司出具的保函形式提供履约保证金。</w:t>
      </w:r>
      <w:r>
        <w:rPr>
          <w:rFonts w:hint="eastAsia" w:cs="仿宋" w:asciiTheme="majorEastAsia" w:hAnsiTheme="majorEastAsia" w:eastAsiaTheme="majorEastAsia"/>
          <w:b/>
          <w:color w:val="auto"/>
          <w:sz w:val="24"/>
        </w:rPr>
        <w:t>采购人不得拒收履约保函。</w:t>
      </w:r>
    </w:p>
    <w:p>
      <w:pPr>
        <w:snapToGrid w:val="0"/>
        <w:spacing w:line="360" w:lineRule="auto"/>
        <w:ind w:firstLine="3357" w:firstLineChars="1045"/>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32"/>
        </w:rPr>
        <w:t>八、电子交易活动的中止</w:t>
      </w:r>
    </w:p>
    <w:p>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电子交易活动的中止</w:t>
      </w:r>
    </w:p>
    <w:p>
      <w:pPr>
        <w:tabs>
          <w:tab w:val="left" w:pos="0"/>
        </w:tabs>
        <w:spacing w:line="360" w:lineRule="auto"/>
        <w:ind w:firstLine="48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采购过程中出现以下情形，导致电子交易平台无法正常运行，或者无法保证电子交易的公平、公正和安全时，采购代理机构可中止电子交易活动：</w:t>
      </w:r>
    </w:p>
    <w:p>
      <w:pPr>
        <w:pStyle w:val="36"/>
        <w:snapToGrid w:val="0"/>
        <w:spacing w:before="0"/>
        <w:ind w:firstLine="480"/>
        <w:rPr>
          <w:rFonts w:cs="仿宋" w:asciiTheme="majorEastAsia" w:hAnsiTheme="majorEastAsia" w:eastAsiaTheme="majorEastAsia"/>
          <w:color w:val="auto"/>
        </w:rPr>
      </w:pPr>
      <w:r>
        <w:rPr>
          <w:rFonts w:hint="eastAsia" w:cs="仿宋" w:asciiTheme="majorEastAsia" w:hAnsiTheme="majorEastAsia" w:eastAsiaTheme="majorEastAsia"/>
          <w:color w:val="auto"/>
        </w:rPr>
        <w:t>2</w:t>
      </w:r>
      <w:r>
        <w:rPr>
          <w:rFonts w:hint="eastAsia" w:cs="仿宋" w:asciiTheme="majorEastAsia" w:hAnsiTheme="majorEastAsia" w:eastAsiaTheme="majorEastAsia"/>
          <w:color w:val="auto"/>
          <w:lang w:val="en-US" w:eastAsia="zh-CN"/>
        </w:rPr>
        <w:t>5</w:t>
      </w:r>
      <w:r>
        <w:rPr>
          <w:rFonts w:hint="eastAsia" w:cs="仿宋" w:asciiTheme="majorEastAsia" w:hAnsiTheme="majorEastAsia" w:eastAsiaTheme="majorEastAsia"/>
          <w:color w:val="auto"/>
        </w:rPr>
        <w:t xml:space="preserve">.1电子交易平台发生故障而无法登录访问的； </w:t>
      </w:r>
    </w:p>
    <w:p>
      <w:pPr>
        <w:pStyle w:val="36"/>
        <w:snapToGrid w:val="0"/>
        <w:spacing w:before="0"/>
        <w:ind w:firstLine="480"/>
        <w:rPr>
          <w:rFonts w:cs="仿宋" w:asciiTheme="majorEastAsia" w:hAnsiTheme="majorEastAsia" w:eastAsiaTheme="majorEastAsia"/>
          <w:color w:val="auto"/>
        </w:rPr>
      </w:pPr>
      <w:r>
        <w:rPr>
          <w:rFonts w:hint="eastAsia" w:cs="仿宋" w:asciiTheme="majorEastAsia" w:hAnsiTheme="majorEastAsia" w:eastAsiaTheme="majorEastAsia"/>
          <w:color w:val="auto"/>
        </w:rPr>
        <w:t>2</w:t>
      </w:r>
      <w:r>
        <w:rPr>
          <w:rFonts w:hint="eastAsia" w:cs="仿宋" w:asciiTheme="majorEastAsia" w:hAnsiTheme="majorEastAsia" w:eastAsiaTheme="majorEastAsia"/>
          <w:color w:val="auto"/>
          <w:lang w:val="en-US" w:eastAsia="zh-CN"/>
        </w:rPr>
        <w:t>5</w:t>
      </w:r>
      <w:r>
        <w:rPr>
          <w:rFonts w:hint="eastAsia" w:cs="仿宋" w:asciiTheme="majorEastAsia" w:hAnsiTheme="majorEastAsia" w:eastAsiaTheme="majorEastAsia"/>
          <w:color w:val="auto"/>
        </w:rPr>
        <w:t>.2电子交易平台应用或数据库出现错误，不能进行正常操作的；</w:t>
      </w:r>
    </w:p>
    <w:p>
      <w:pPr>
        <w:pStyle w:val="36"/>
        <w:snapToGrid w:val="0"/>
        <w:spacing w:before="0"/>
        <w:ind w:firstLine="480"/>
        <w:rPr>
          <w:rFonts w:cs="仿宋" w:asciiTheme="majorEastAsia" w:hAnsiTheme="majorEastAsia" w:eastAsiaTheme="majorEastAsia"/>
          <w:color w:val="auto"/>
        </w:rPr>
      </w:pPr>
      <w:r>
        <w:rPr>
          <w:rFonts w:hint="eastAsia" w:cs="仿宋" w:asciiTheme="majorEastAsia" w:hAnsiTheme="majorEastAsia" w:eastAsiaTheme="majorEastAsia"/>
          <w:color w:val="auto"/>
        </w:rPr>
        <w:t>2</w:t>
      </w:r>
      <w:r>
        <w:rPr>
          <w:rFonts w:hint="eastAsia" w:cs="仿宋" w:asciiTheme="majorEastAsia" w:hAnsiTheme="majorEastAsia" w:eastAsiaTheme="majorEastAsia"/>
          <w:color w:val="auto"/>
          <w:lang w:val="en-US" w:eastAsia="zh-CN"/>
        </w:rPr>
        <w:t>5</w:t>
      </w:r>
      <w:r>
        <w:rPr>
          <w:rFonts w:hint="eastAsia" w:cs="仿宋" w:asciiTheme="majorEastAsia" w:hAnsiTheme="majorEastAsia" w:eastAsiaTheme="majorEastAsia"/>
          <w:color w:val="auto"/>
        </w:rPr>
        <w:t>.3电子交易平台发现严重安全漏洞，有潜在泄密危险的；</w:t>
      </w:r>
    </w:p>
    <w:p>
      <w:pPr>
        <w:pStyle w:val="36"/>
        <w:snapToGrid w:val="0"/>
        <w:spacing w:before="0"/>
        <w:ind w:firstLine="480"/>
        <w:rPr>
          <w:rFonts w:cs="仿宋" w:asciiTheme="majorEastAsia" w:hAnsiTheme="majorEastAsia" w:eastAsiaTheme="majorEastAsia"/>
          <w:color w:val="auto"/>
        </w:rPr>
      </w:pPr>
      <w:r>
        <w:rPr>
          <w:rFonts w:hint="eastAsia" w:cs="仿宋" w:asciiTheme="majorEastAsia" w:hAnsiTheme="majorEastAsia" w:eastAsiaTheme="majorEastAsia"/>
          <w:color w:val="auto"/>
        </w:rPr>
        <w:t>2</w:t>
      </w:r>
      <w:r>
        <w:rPr>
          <w:rFonts w:hint="eastAsia" w:cs="仿宋" w:asciiTheme="majorEastAsia" w:hAnsiTheme="majorEastAsia" w:eastAsiaTheme="majorEastAsia"/>
          <w:color w:val="auto"/>
          <w:lang w:val="en-US" w:eastAsia="zh-CN"/>
        </w:rPr>
        <w:t>5</w:t>
      </w:r>
      <w:r>
        <w:rPr>
          <w:rFonts w:hint="eastAsia" w:cs="仿宋" w:asciiTheme="majorEastAsia" w:hAnsiTheme="majorEastAsia" w:eastAsiaTheme="majorEastAsia"/>
          <w:color w:val="auto"/>
        </w:rPr>
        <w:t xml:space="preserve">.4病毒发作导致不能进行正常操作的； </w:t>
      </w:r>
    </w:p>
    <w:p>
      <w:pPr>
        <w:pStyle w:val="36"/>
        <w:snapToGrid w:val="0"/>
        <w:spacing w:before="0"/>
        <w:ind w:firstLine="480"/>
        <w:rPr>
          <w:rFonts w:cs="仿宋" w:asciiTheme="majorEastAsia" w:hAnsiTheme="majorEastAsia" w:eastAsiaTheme="majorEastAsia"/>
          <w:color w:val="auto"/>
        </w:rPr>
      </w:pPr>
      <w:r>
        <w:rPr>
          <w:rFonts w:hint="eastAsia" w:cs="仿宋" w:asciiTheme="majorEastAsia" w:hAnsiTheme="majorEastAsia" w:eastAsiaTheme="majorEastAsia"/>
          <w:color w:val="auto"/>
        </w:rPr>
        <w:t>2</w:t>
      </w:r>
      <w:r>
        <w:rPr>
          <w:rFonts w:hint="eastAsia" w:cs="仿宋" w:asciiTheme="majorEastAsia" w:hAnsiTheme="majorEastAsia" w:eastAsiaTheme="majorEastAsia"/>
          <w:color w:val="auto"/>
          <w:lang w:val="en-US" w:eastAsia="zh-CN"/>
        </w:rPr>
        <w:t>5</w:t>
      </w:r>
      <w:r>
        <w:rPr>
          <w:rFonts w:hint="eastAsia" w:cs="仿宋" w:asciiTheme="majorEastAsia" w:hAnsiTheme="majorEastAsia" w:eastAsiaTheme="majorEastAsia"/>
          <w:color w:val="auto"/>
        </w:rPr>
        <w:t>.5其他无法保证电子交易的公平、公正和安全的情况。</w:t>
      </w:r>
    </w:p>
    <w:p>
      <w:pPr>
        <w:tabs>
          <w:tab w:val="left" w:pos="0"/>
        </w:tabs>
        <w:spacing w:line="360" w:lineRule="auto"/>
        <w:ind w:firstLine="480"/>
        <w:rPr>
          <w:rFonts w:cs="仿宋" w:asciiTheme="majorEastAsia" w:hAnsiTheme="majorEastAsia" w:eastAsiaTheme="majorEastAsia"/>
          <w:color w:val="auto"/>
          <w:sz w:val="24"/>
        </w:rPr>
      </w:pPr>
    </w:p>
    <w:p>
      <w:pPr>
        <w:snapToGrid w:val="0"/>
        <w:spacing w:line="360" w:lineRule="auto"/>
        <w:ind w:left="120" w:leftChars="57" w:firstLine="482" w:firstLineChars="150"/>
        <w:jc w:val="center"/>
        <w:rPr>
          <w:rFonts w:cs="仿宋" w:asciiTheme="majorEastAsia" w:hAnsiTheme="majorEastAsia" w:eastAsiaTheme="majorEastAsia"/>
          <w:b/>
          <w:color w:val="auto"/>
          <w:sz w:val="32"/>
        </w:rPr>
      </w:pPr>
      <w:r>
        <w:rPr>
          <w:rFonts w:hint="eastAsia" w:cs="仿宋" w:asciiTheme="majorEastAsia" w:hAnsiTheme="majorEastAsia" w:eastAsiaTheme="majorEastAsia"/>
          <w:b/>
          <w:color w:val="auto"/>
          <w:sz w:val="32"/>
        </w:rPr>
        <w:t>九、验收</w:t>
      </w:r>
    </w:p>
    <w:p>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验收</w:t>
      </w:r>
    </w:p>
    <w:p>
      <w:pPr>
        <w:tabs>
          <w:tab w:val="left" w:pos="0"/>
        </w:tabs>
        <w:spacing w:line="360" w:lineRule="auto"/>
        <w:ind w:firstLine="48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2</w:t>
      </w:r>
      <w:r>
        <w:rPr>
          <w:rFonts w:hint="eastAsia" w:cs="仿宋" w:asciiTheme="majorEastAsia" w:hAnsiTheme="majorEastAsia" w:eastAsiaTheme="majorEastAsia"/>
          <w:color w:val="auto"/>
          <w:kern w:val="0"/>
          <w:sz w:val="24"/>
          <w:lang w:val="en-US" w:eastAsia="zh-CN"/>
        </w:rPr>
        <w:t>6</w:t>
      </w:r>
      <w:r>
        <w:rPr>
          <w:rFonts w:hint="eastAsia" w:cs="仿宋" w:asciiTheme="majorEastAsia" w:hAnsiTheme="majorEastAsia" w:eastAsiaTheme="majorEastAsia"/>
          <w:color w:val="auto"/>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2</w:t>
      </w:r>
      <w:r>
        <w:rPr>
          <w:rFonts w:hint="eastAsia" w:cs="仿宋" w:asciiTheme="majorEastAsia" w:hAnsiTheme="majorEastAsia" w:eastAsiaTheme="majorEastAsia"/>
          <w:color w:val="auto"/>
          <w:kern w:val="0"/>
          <w:sz w:val="24"/>
          <w:lang w:val="en-US" w:eastAsia="zh-CN"/>
        </w:rPr>
        <w:t>6</w:t>
      </w:r>
      <w:r>
        <w:rPr>
          <w:rFonts w:hint="eastAsia" w:cs="仿宋" w:asciiTheme="majorEastAsia" w:hAnsiTheme="majorEastAsia" w:eastAsiaTheme="majorEastAsia"/>
          <w:color w:val="auto"/>
          <w:kern w:val="0"/>
          <w:sz w:val="24"/>
        </w:rPr>
        <w:t>.2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2</w:t>
      </w:r>
      <w:r>
        <w:rPr>
          <w:rFonts w:hint="eastAsia" w:cs="仿宋" w:asciiTheme="majorEastAsia" w:hAnsiTheme="majorEastAsia" w:eastAsiaTheme="majorEastAsia"/>
          <w:color w:val="auto"/>
          <w:kern w:val="0"/>
          <w:sz w:val="24"/>
          <w:lang w:val="en-US" w:eastAsia="zh-CN"/>
        </w:rPr>
        <w:t>6</w:t>
      </w:r>
      <w:r>
        <w:rPr>
          <w:rFonts w:hint="eastAsia" w:cs="仿宋" w:asciiTheme="majorEastAsia" w:hAnsiTheme="majorEastAsia" w:eastAsiaTheme="majorEastAsia"/>
          <w:color w:val="auto"/>
          <w:kern w:val="0"/>
          <w:sz w:val="24"/>
        </w:rPr>
        <w:t>.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w:t>
      </w:r>
      <w:r>
        <w:rPr>
          <w:rFonts w:hint="eastAsia" w:cs="仿宋" w:asciiTheme="majorEastAsia" w:hAnsiTheme="majorEastAsia" w:eastAsiaTheme="majorEastAsia"/>
          <w:color w:val="auto"/>
          <w:kern w:val="0"/>
          <w:sz w:val="24"/>
          <w:lang w:val="en-US" w:eastAsia="zh-CN"/>
        </w:rPr>
        <w:t>监督</w:t>
      </w:r>
      <w:r>
        <w:rPr>
          <w:rFonts w:hint="eastAsia" w:cs="仿宋" w:asciiTheme="majorEastAsia" w:hAnsiTheme="majorEastAsia" w:eastAsiaTheme="majorEastAsia"/>
          <w:color w:val="auto"/>
          <w:kern w:val="0"/>
          <w:sz w:val="24"/>
          <w:lang w:eastAsia="zh-CN"/>
        </w:rPr>
        <w:t>管</w:t>
      </w:r>
      <w:r>
        <w:rPr>
          <w:rFonts w:hint="eastAsia" w:cs="仿宋" w:asciiTheme="majorEastAsia" w:hAnsiTheme="majorEastAsia" w:eastAsiaTheme="majorEastAsia"/>
          <w:color w:val="auto"/>
          <w:kern w:val="0"/>
          <w:sz w:val="24"/>
          <w:lang w:val="en-US" w:eastAsia="zh-CN"/>
        </w:rPr>
        <w:t>理</w:t>
      </w:r>
      <w:r>
        <w:rPr>
          <w:rFonts w:hint="eastAsia" w:cs="仿宋" w:asciiTheme="majorEastAsia" w:hAnsiTheme="majorEastAsia" w:eastAsiaTheme="majorEastAsia"/>
          <w:color w:val="auto"/>
          <w:kern w:val="0"/>
          <w:sz w:val="24"/>
          <w:lang w:eastAsia="zh-CN"/>
        </w:rPr>
        <w:t>部门</w:t>
      </w:r>
      <w:r>
        <w:rPr>
          <w:rFonts w:hint="eastAsia" w:cs="仿宋" w:asciiTheme="majorEastAsia" w:hAnsiTheme="majorEastAsia" w:eastAsiaTheme="majorEastAsia"/>
          <w:color w:val="auto"/>
          <w:kern w:val="0"/>
          <w:sz w:val="24"/>
        </w:rPr>
        <w:t>。</w:t>
      </w:r>
      <w:bookmarkEnd w:id="11"/>
      <w:bookmarkEnd w:id="12"/>
      <w:bookmarkEnd w:id="13"/>
      <w:bookmarkStart w:id="14" w:name="_Hlt68073093"/>
      <w:bookmarkEnd w:id="14"/>
      <w:bookmarkStart w:id="15" w:name="_Hlt75236290"/>
      <w:bookmarkEnd w:id="15"/>
      <w:bookmarkStart w:id="16" w:name="_Hlt68072998"/>
      <w:bookmarkEnd w:id="16"/>
      <w:bookmarkStart w:id="17" w:name="_Hlt74730295"/>
      <w:bookmarkEnd w:id="17"/>
      <w:bookmarkStart w:id="18" w:name="_Hlt74707468"/>
      <w:bookmarkEnd w:id="18"/>
      <w:bookmarkStart w:id="19" w:name="_Hlt75236101"/>
      <w:bookmarkEnd w:id="19"/>
      <w:bookmarkStart w:id="20" w:name="_Hlt74714665"/>
      <w:bookmarkEnd w:id="20"/>
      <w:bookmarkStart w:id="21" w:name="_Hlt68072990"/>
      <w:bookmarkEnd w:id="21"/>
      <w:bookmarkStart w:id="22" w:name="_Hlt68403820"/>
      <w:bookmarkEnd w:id="22"/>
      <w:bookmarkStart w:id="23" w:name="_Hlt68057669"/>
      <w:bookmarkEnd w:id="23"/>
      <w:bookmarkStart w:id="24" w:name="_Hlt74729768"/>
      <w:bookmarkEnd w:id="24"/>
      <w:bookmarkStart w:id="25" w:name="_Hlt75236011"/>
      <w:bookmarkEnd w:id="25"/>
      <w:bookmarkStart w:id="26" w:name="第四部分"/>
    </w:p>
    <w:p>
      <w:pPr>
        <w:spacing w:line="360" w:lineRule="auto"/>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br w:type="page"/>
      </w:r>
    </w:p>
    <w:p>
      <w:pPr>
        <w:tabs>
          <w:tab w:val="left" w:pos="0"/>
        </w:tabs>
        <w:spacing w:line="360" w:lineRule="auto"/>
        <w:jc w:val="center"/>
        <w:rPr>
          <w:rFonts w:cs="仿宋" w:asciiTheme="majorEastAsia" w:hAnsiTheme="majorEastAsia" w:eastAsiaTheme="majorEastAsia"/>
          <w:b/>
          <w:color w:val="auto"/>
          <w:sz w:val="36"/>
          <w:szCs w:val="36"/>
        </w:rPr>
      </w:pPr>
      <w:r>
        <w:rPr>
          <w:rFonts w:hint="eastAsia" w:cs="仿宋" w:asciiTheme="majorEastAsia" w:hAnsiTheme="majorEastAsia" w:eastAsiaTheme="majorEastAsia"/>
          <w:b/>
          <w:color w:val="auto"/>
          <w:sz w:val="36"/>
          <w:szCs w:val="36"/>
        </w:rPr>
        <w:t>第三部分   采购需求</w:t>
      </w:r>
    </w:p>
    <w:p>
      <w:pPr>
        <w:snapToGrid w:val="0"/>
        <w:spacing w:line="360" w:lineRule="auto"/>
        <w:ind w:left="120" w:leftChars="57" w:firstLine="482" w:firstLineChars="150"/>
        <w:jc w:val="center"/>
        <w:rPr>
          <w:rFonts w:ascii="仿宋" w:hAnsi="仿宋" w:eastAsia="仿宋" w:cs="仿宋"/>
          <w:b/>
          <w:color w:val="auto"/>
          <w:sz w:val="32"/>
        </w:rPr>
      </w:pPr>
      <w:bookmarkStart w:id="27" w:name="_Toc500353170"/>
      <w:r>
        <w:rPr>
          <w:rFonts w:hint="eastAsia" w:ascii="仿宋" w:hAnsi="仿宋" w:eastAsia="仿宋" w:cs="仿宋"/>
          <w:b/>
          <w:color w:val="auto"/>
          <w:sz w:val="32"/>
        </w:rPr>
        <w:t>一、项目情况</w:t>
      </w:r>
    </w:p>
    <w:p>
      <w:pPr>
        <w:numPr>
          <w:ilvl w:val="0"/>
          <w:numId w:val="0"/>
        </w:numPr>
        <w:adjustRightInd w:val="0"/>
        <w:snapToGrid w:val="0"/>
        <w:spacing w:before="120" w:beforeLines="50" w:line="360" w:lineRule="auto"/>
        <w:ind w:firstLine="482" w:firstLineChars="200"/>
        <w:jc w:val="left"/>
        <w:outlineLvl w:val="1"/>
        <w:rPr>
          <w:rFonts w:hint="eastAsia" w:ascii="仿宋" w:hAnsi="仿宋" w:eastAsia="仿宋" w:cs="仿宋"/>
          <w:b/>
          <w:color w:val="auto"/>
          <w:sz w:val="24"/>
        </w:rPr>
      </w:pPr>
      <w:r>
        <w:rPr>
          <w:rFonts w:hint="eastAsia" w:ascii="仿宋" w:hAnsi="仿宋" w:eastAsia="仿宋" w:cs="仿宋"/>
          <w:b/>
          <w:color w:val="auto"/>
          <w:sz w:val="24"/>
          <w:lang w:val="en-US" w:eastAsia="zh-CN"/>
        </w:rPr>
        <w:t>1.</w:t>
      </w:r>
      <w:r>
        <w:rPr>
          <w:rFonts w:hint="eastAsia" w:ascii="仿宋" w:hAnsi="仿宋" w:eastAsia="仿宋" w:cs="仿宋"/>
          <w:b/>
          <w:color w:val="auto"/>
          <w:sz w:val="24"/>
        </w:rPr>
        <w:t>项目介绍</w:t>
      </w:r>
    </w:p>
    <w:p>
      <w:pPr>
        <w:numPr>
          <w:ilvl w:val="0"/>
          <w:numId w:val="0"/>
        </w:numPr>
        <w:adjustRightInd w:val="0"/>
        <w:snapToGrid w:val="0"/>
        <w:spacing w:before="120" w:beforeLines="50" w:line="360" w:lineRule="auto"/>
        <w:ind w:firstLine="480" w:firstLineChars="200"/>
        <w:jc w:val="left"/>
        <w:outlineLvl w:val="1"/>
        <w:rPr>
          <w:rFonts w:hint="eastAsia" w:ascii="仿宋" w:hAnsi="仿宋" w:eastAsia="仿宋" w:cs="仿宋"/>
          <w:b w:val="0"/>
          <w:bCs/>
          <w:color w:val="auto"/>
          <w:sz w:val="24"/>
        </w:rPr>
      </w:pPr>
      <w:r>
        <w:rPr>
          <w:rFonts w:hint="eastAsia" w:ascii="仿宋" w:hAnsi="仿宋" w:eastAsia="仿宋" w:cs="仿宋"/>
          <w:b w:val="0"/>
          <w:bCs/>
          <w:color w:val="auto"/>
          <w:sz w:val="24"/>
        </w:rPr>
        <w:t>奉化区柏坑水库扩容工程位于宁波市奉化区县溪主流，横山水库上游的大堰镇柏坑村境内，距奉化主城区约21.2km，有公路通过坝址，交通方便。</w:t>
      </w:r>
    </w:p>
    <w:p>
      <w:pPr>
        <w:numPr>
          <w:ilvl w:val="0"/>
          <w:numId w:val="0"/>
        </w:numPr>
        <w:adjustRightInd w:val="0"/>
        <w:snapToGrid w:val="0"/>
        <w:spacing w:before="120" w:beforeLines="50" w:line="360" w:lineRule="auto"/>
        <w:ind w:firstLine="480" w:firstLineChars="200"/>
        <w:jc w:val="left"/>
        <w:outlineLvl w:val="1"/>
        <w:rPr>
          <w:rFonts w:hint="eastAsia" w:ascii="仿宋" w:hAnsi="仿宋" w:eastAsia="仿宋" w:cs="仿宋"/>
          <w:b w:val="0"/>
          <w:bCs/>
          <w:color w:val="auto"/>
          <w:sz w:val="24"/>
        </w:rPr>
      </w:pPr>
      <w:r>
        <w:rPr>
          <w:rFonts w:hint="eastAsia" w:ascii="仿宋" w:hAnsi="仿宋" w:eastAsia="仿宋" w:cs="仿宋"/>
          <w:b w:val="0"/>
          <w:bCs/>
          <w:color w:val="auto"/>
          <w:sz w:val="24"/>
        </w:rPr>
        <w:t>柏坑水库（扩容后）是一座以供水、防洪为主，兼顾灌溉、生态、发电等综合利用的水利枢纽工程。水库既是保障下游大堰镇防洪安全、缓解横山水库防洪压力的根本性工程，又是满足奉化大堰镇、主城区及宁波中心城区水资源供给保障要求的重要供水水源。</w:t>
      </w:r>
    </w:p>
    <w:p>
      <w:pPr>
        <w:numPr>
          <w:ilvl w:val="0"/>
          <w:numId w:val="0"/>
        </w:numPr>
        <w:adjustRightInd w:val="0"/>
        <w:snapToGrid w:val="0"/>
        <w:spacing w:before="120" w:beforeLines="50" w:line="360" w:lineRule="auto"/>
        <w:ind w:firstLine="480" w:firstLineChars="200"/>
        <w:jc w:val="left"/>
        <w:outlineLvl w:val="1"/>
        <w:rPr>
          <w:rFonts w:hint="eastAsia" w:ascii="仿宋" w:hAnsi="仿宋" w:eastAsia="仿宋" w:cs="仿宋"/>
          <w:b w:val="0"/>
          <w:bCs/>
          <w:color w:val="auto"/>
          <w:sz w:val="24"/>
        </w:rPr>
      </w:pPr>
      <w:r>
        <w:rPr>
          <w:rFonts w:hint="eastAsia" w:ascii="仿宋" w:hAnsi="仿宋" w:eastAsia="仿宋" w:cs="仿宋"/>
          <w:b w:val="0"/>
          <w:bCs/>
          <w:color w:val="auto"/>
          <w:sz w:val="24"/>
        </w:rPr>
        <w:t>根据《防洪标准》（GB50201-2014）以及《水利水电工程等级划分及洪水标准》（SL252-2017），本阶段确定柏坑水库扩容枢纽工程等别为Ⅲ等，水库枢纽工程规模为中型，水电站为小（2）型电站。</w:t>
      </w:r>
    </w:p>
    <w:p>
      <w:pPr>
        <w:numPr>
          <w:ilvl w:val="0"/>
          <w:numId w:val="0"/>
        </w:numPr>
        <w:adjustRightInd w:val="0"/>
        <w:snapToGrid w:val="0"/>
        <w:spacing w:before="120" w:beforeLines="50" w:line="360" w:lineRule="auto"/>
        <w:ind w:firstLine="480" w:firstLineChars="200"/>
        <w:jc w:val="left"/>
        <w:outlineLvl w:val="1"/>
        <w:rPr>
          <w:rFonts w:hint="eastAsia" w:ascii="仿宋" w:hAnsi="仿宋" w:eastAsia="仿宋" w:cs="仿宋"/>
          <w:b w:val="0"/>
          <w:bCs/>
          <w:color w:val="auto"/>
          <w:sz w:val="24"/>
        </w:rPr>
      </w:pPr>
      <w:r>
        <w:rPr>
          <w:rFonts w:hint="eastAsia" w:ascii="仿宋" w:hAnsi="仿宋" w:eastAsia="仿宋" w:cs="仿宋"/>
          <w:b w:val="0"/>
          <w:bCs/>
          <w:color w:val="auto"/>
          <w:sz w:val="24"/>
        </w:rPr>
        <w:t>本阶段确定采用现状坝址拆除重建方案，新坝址布设于现状水库上游150m处，集雨面积54.20km2，总库容3542万m3，其中，兴利库容2500万m3，20年一遇防洪库容627万m3，50年一遇防洪库容1032万m3；溢流坝过水前缘总净宽15m；水库下游大堰镇防洪标准20年一遇，奉化主城区防洪标准50年一遇。</w:t>
      </w:r>
    </w:p>
    <w:p>
      <w:pPr>
        <w:numPr>
          <w:ilvl w:val="0"/>
          <w:numId w:val="0"/>
        </w:numPr>
        <w:adjustRightInd w:val="0"/>
        <w:snapToGrid w:val="0"/>
        <w:spacing w:before="120" w:beforeLines="50" w:line="360" w:lineRule="auto"/>
        <w:ind w:firstLine="480" w:firstLineChars="200"/>
        <w:jc w:val="left"/>
        <w:outlineLvl w:val="1"/>
        <w:rPr>
          <w:rFonts w:hint="eastAsia" w:ascii="仿宋" w:hAnsi="仿宋" w:eastAsia="仿宋" w:cs="仿宋"/>
          <w:b w:val="0"/>
          <w:bCs/>
          <w:color w:val="auto"/>
          <w:sz w:val="24"/>
        </w:rPr>
      </w:pPr>
      <w:r>
        <w:rPr>
          <w:rFonts w:hint="eastAsia" w:ascii="仿宋" w:hAnsi="仿宋" w:eastAsia="仿宋" w:cs="仿宋"/>
          <w:b w:val="0"/>
          <w:bCs/>
          <w:color w:val="auto"/>
          <w:sz w:val="24"/>
        </w:rPr>
        <w:t>柏坑水库枢纽工程主要由拦河坝（包括主坝和副坝）、泄水建筑物、发电引水建筑物、发电厂房、升压站及输水系统等组成。</w:t>
      </w:r>
    </w:p>
    <w:p>
      <w:pPr>
        <w:numPr>
          <w:ilvl w:val="0"/>
          <w:numId w:val="0"/>
        </w:numPr>
        <w:adjustRightInd w:val="0"/>
        <w:snapToGrid w:val="0"/>
        <w:spacing w:before="120" w:beforeLines="50" w:line="360" w:lineRule="auto"/>
        <w:ind w:firstLine="480" w:firstLineChars="200"/>
        <w:jc w:val="left"/>
        <w:outlineLvl w:val="1"/>
        <w:rPr>
          <w:rFonts w:hint="eastAsia" w:ascii="仿宋" w:hAnsi="仿宋" w:eastAsia="仿宋" w:cs="仿宋"/>
          <w:b w:val="0"/>
          <w:bCs/>
          <w:color w:val="auto"/>
          <w:sz w:val="24"/>
        </w:rPr>
      </w:pPr>
      <w:r>
        <w:rPr>
          <w:rFonts w:hint="eastAsia" w:ascii="仿宋" w:hAnsi="仿宋" w:eastAsia="仿宋" w:cs="仿宋"/>
          <w:b w:val="0"/>
          <w:bCs/>
          <w:color w:val="auto"/>
          <w:sz w:val="24"/>
        </w:rPr>
        <w:t>水库正常蓄水位261.44m，拦河坝按100年一遇洪水设计，1000年一遇洪水校核，设计洪水位269.14m，校核洪水位270.04m。</w:t>
      </w:r>
    </w:p>
    <w:p>
      <w:pPr>
        <w:numPr>
          <w:ilvl w:val="0"/>
          <w:numId w:val="0"/>
        </w:numPr>
        <w:adjustRightInd w:val="0"/>
        <w:snapToGrid w:val="0"/>
        <w:spacing w:before="120" w:beforeLines="50" w:line="360" w:lineRule="auto"/>
        <w:ind w:firstLine="480" w:firstLineChars="200"/>
        <w:jc w:val="left"/>
        <w:outlineLvl w:val="1"/>
        <w:rPr>
          <w:rFonts w:hint="eastAsia" w:ascii="仿宋" w:hAnsi="仿宋" w:eastAsia="仿宋" w:cs="仿宋"/>
          <w:b w:val="0"/>
          <w:bCs/>
          <w:color w:val="auto"/>
          <w:sz w:val="24"/>
        </w:rPr>
      </w:pPr>
      <w:r>
        <w:rPr>
          <w:rFonts w:hint="eastAsia" w:ascii="仿宋" w:hAnsi="仿宋" w:eastAsia="仿宋" w:cs="仿宋"/>
          <w:b w:val="0"/>
          <w:bCs/>
          <w:color w:val="auto"/>
          <w:sz w:val="24"/>
        </w:rPr>
        <w:t>主坝由非溢流坝段和溢流坝段两部分组成，副坝坝型为均质土坝。拦河坝主坝坝轴线位于现状柏坑水库拱坝坝址上游约150m处（现状柏坑水库库内），主坝坝型为常态混凝土重力坝，坝顶高程272.0m，上游防浪墙顶高程273.20m，河床段建基面底高程为182.0m，相应的最大坝高为90.0m。</w:t>
      </w:r>
    </w:p>
    <w:p>
      <w:pPr>
        <w:numPr>
          <w:ilvl w:val="0"/>
          <w:numId w:val="0"/>
        </w:numPr>
        <w:adjustRightInd w:val="0"/>
        <w:snapToGrid w:val="0"/>
        <w:spacing w:before="120" w:beforeLines="50" w:line="360" w:lineRule="auto"/>
        <w:ind w:firstLine="482" w:firstLineChars="200"/>
        <w:jc w:val="left"/>
        <w:outlineLvl w:val="1"/>
        <w:rPr>
          <w:rFonts w:ascii="仿宋" w:hAnsi="仿宋" w:eastAsia="仿宋" w:cs="仿宋"/>
          <w:b/>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采购需求</w:t>
      </w:r>
    </w:p>
    <w:p>
      <w:pPr>
        <w:tabs>
          <w:tab w:val="left" w:pos="0"/>
        </w:tabs>
        <w:adjustRightInd w:val="0"/>
        <w:spacing w:line="360" w:lineRule="auto"/>
        <w:ind w:firstLine="480" w:firstLineChars="200"/>
        <w:rPr>
          <w:rFonts w:hint="eastAsia" w:ascii="仿宋" w:hAnsi="仿宋" w:eastAsia="仿宋" w:cs="仿宋"/>
          <w:b w:val="0"/>
          <w:bCs/>
          <w:color w:val="auto"/>
          <w:sz w:val="24"/>
          <w:lang w:eastAsia="zh-CN"/>
        </w:rPr>
      </w:pPr>
      <w:r>
        <w:rPr>
          <w:rFonts w:hint="eastAsia" w:ascii="仿宋" w:hAnsi="仿宋" w:eastAsia="仿宋" w:cs="仿宋"/>
          <w:color w:val="auto"/>
          <w:kern w:val="0"/>
          <w:sz w:val="24"/>
        </w:rPr>
        <w:t>2.1采购内容：</w:t>
      </w:r>
      <w:r>
        <w:rPr>
          <w:rFonts w:hint="eastAsia" w:ascii="仿宋" w:hAnsi="仿宋" w:eastAsia="仿宋" w:cs="仿宋"/>
          <w:b w:val="0"/>
          <w:bCs/>
          <w:color w:val="auto"/>
          <w:sz w:val="24"/>
        </w:rPr>
        <w:t>奉化区柏坑水库扩容工程施工地质咨询服务项目</w:t>
      </w:r>
      <w:r>
        <w:rPr>
          <w:rFonts w:hint="eastAsia" w:ascii="仿宋" w:hAnsi="仿宋" w:eastAsia="仿宋" w:cs="仿宋"/>
          <w:b w:val="0"/>
          <w:bCs/>
          <w:color w:val="auto"/>
          <w:sz w:val="24"/>
          <w:lang w:eastAsia="zh-CN"/>
        </w:rPr>
        <w:t>。</w:t>
      </w:r>
    </w:p>
    <w:p>
      <w:pPr>
        <w:snapToGrid w:val="0"/>
        <w:spacing w:line="360" w:lineRule="auto"/>
        <w:ind w:left="120" w:leftChars="57" w:firstLine="482" w:firstLineChars="150"/>
        <w:jc w:val="center"/>
        <w:rPr>
          <w:rFonts w:ascii="仿宋" w:hAnsi="仿宋" w:eastAsia="仿宋" w:cs="仿宋"/>
          <w:b/>
          <w:color w:val="auto"/>
          <w:sz w:val="32"/>
        </w:rPr>
      </w:pPr>
      <w:r>
        <w:rPr>
          <w:rFonts w:hint="eastAsia" w:ascii="仿宋" w:hAnsi="仿宋" w:eastAsia="仿宋" w:cs="仿宋"/>
          <w:b/>
          <w:color w:val="auto"/>
          <w:sz w:val="32"/>
        </w:rPr>
        <w:t>二、技术要求（服务要求）</w:t>
      </w:r>
    </w:p>
    <w:p>
      <w:pPr>
        <w:tabs>
          <w:tab w:val="left" w:pos="0"/>
        </w:tabs>
        <w:adjustRightIn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1、</w:t>
      </w:r>
      <w:r>
        <w:rPr>
          <w:rFonts w:hint="eastAsia" w:ascii="仿宋" w:hAnsi="仿宋" w:eastAsia="仿宋" w:cs="仿宋"/>
          <w:b w:val="0"/>
          <w:bCs/>
          <w:color w:val="auto"/>
          <w:sz w:val="24"/>
        </w:rPr>
        <w:t>施工地质工作是施工中不可缺少的一项重要工作，是工程建设的重要组成部分，始终贯穿整个施工过程。它即是对前期勘探地质成果的检验与修正，又是在施工中加深，充实地质资料的过程，为优化设计，指导施工提供地质依据。</w:t>
      </w:r>
    </w:p>
    <w:p>
      <w:pPr>
        <w:tabs>
          <w:tab w:val="left" w:pos="0"/>
        </w:tabs>
        <w:adjustRightIn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2、</w:t>
      </w:r>
      <w:r>
        <w:rPr>
          <w:rFonts w:hint="eastAsia" w:ascii="仿宋" w:hAnsi="仿宋" w:eastAsia="仿宋" w:cs="仿宋"/>
          <w:b w:val="0"/>
          <w:bCs/>
          <w:color w:val="auto"/>
          <w:sz w:val="24"/>
        </w:rPr>
        <w:t>根据《水利水电建设工程验收技术鉴定导则》（SL670-2015），水利水电建设工程蓄水安全鉴定和竣工验收技术鉴定需提交施工地质工作报告，根据施工揭示的工程地质和水文地质条件，对照初步设计成果，检查有关水工建筑物地质条件、地质参数变化情况，提出对地质缺陷的处理建议，为工程验收提供相关的地质材料。</w:t>
      </w:r>
    </w:p>
    <w:p>
      <w:pPr>
        <w:tabs>
          <w:tab w:val="left" w:pos="0"/>
        </w:tabs>
        <w:adjustRightIn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3、</w:t>
      </w:r>
      <w:r>
        <w:rPr>
          <w:rFonts w:hint="eastAsia" w:ascii="仿宋" w:hAnsi="仿宋" w:eastAsia="仿宋" w:cs="仿宋"/>
          <w:b w:val="0"/>
          <w:bCs/>
          <w:color w:val="auto"/>
          <w:sz w:val="24"/>
        </w:rPr>
        <w:t>根据《水利水电工程施工地质规程》（SL/T313-2021）、《中小型水利水电工程地质勘察规范》（SL55-2005），水利水电工程应收集施工揭露的地质情况，检验和复核前期地质勘察成果，预测、预报可能出现的地质问题，进行工程地质评价，提出工程处理措施和优化设计建议，为隐蔽工程验收提供地质依据，并参与隐蔽工程验收。</w:t>
      </w:r>
    </w:p>
    <w:p>
      <w:pPr>
        <w:tabs>
          <w:tab w:val="left" w:pos="0"/>
        </w:tabs>
        <w:adjustRightIn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4、</w:t>
      </w:r>
      <w:r>
        <w:rPr>
          <w:rFonts w:hint="eastAsia" w:ascii="仿宋" w:hAnsi="仿宋" w:eastAsia="仿宋" w:cs="仿宋"/>
          <w:b w:val="0"/>
          <w:bCs/>
          <w:color w:val="auto"/>
          <w:sz w:val="24"/>
        </w:rPr>
        <w:t>根据《水利水电工程施工地质规程》（SL/T313-2021）总则1.0.3，施工地质工作应自工程开工起至竣工验收止，贯穿工程施工全过程。</w:t>
      </w:r>
    </w:p>
    <w:p>
      <w:pPr>
        <w:tabs>
          <w:tab w:val="left" w:pos="0"/>
        </w:tabs>
        <w:adjustRightIn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5、</w:t>
      </w:r>
      <w:r>
        <w:rPr>
          <w:rFonts w:hint="eastAsia" w:ascii="仿宋" w:hAnsi="仿宋" w:eastAsia="仿宋" w:cs="仿宋"/>
          <w:b w:val="0"/>
          <w:bCs/>
          <w:color w:val="auto"/>
          <w:sz w:val="24"/>
        </w:rPr>
        <w:t>本工程施工地质的主要工作内容为：</w:t>
      </w:r>
    </w:p>
    <w:p>
      <w:pPr>
        <w:tabs>
          <w:tab w:val="left" w:pos="0"/>
        </w:tabs>
        <w:adjustRightIn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5.1</w:t>
      </w:r>
      <w:r>
        <w:rPr>
          <w:rFonts w:hint="eastAsia" w:ascii="仿宋" w:hAnsi="仿宋" w:eastAsia="仿宋" w:cs="仿宋"/>
          <w:b w:val="0"/>
          <w:bCs/>
          <w:color w:val="auto"/>
          <w:sz w:val="24"/>
        </w:rPr>
        <w:t>复核前期勘察的地质成果和主要结论。</w:t>
      </w:r>
    </w:p>
    <w:p>
      <w:pPr>
        <w:tabs>
          <w:tab w:val="left" w:pos="0"/>
        </w:tabs>
        <w:adjustRightIn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5.2</w:t>
      </w:r>
      <w:r>
        <w:rPr>
          <w:rFonts w:hint="eastAsia" w:ascii="仿宋" w:hAnsi="仿宋" w:eastAsia="仿宋" w:cs="仿宋"/>
          <w:b w:val="0"/>
          <w:bCs/>
          <w:color w:val="auto"/>
          <w:sz w:val="24"/>
        </w:rPr>
        <w:t>进行坝址区地基、围岩、边坡、料场、库岸稳定处理工程、水库防渗等工程的地质工作，进行工程地质评价，提出合理的工程地质建议，并参与验收。</w:t>
      </w:r>
    </w:p>
    <w:p>
      <w:pPr>
        <w:tabs>
          <w:tab w:val="left" w:pos="0"/>
        </w:tabs>
        <w:adjustRightIn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5.3</w:t>
      </w:r>
      <w:r>
        <w:rPr>
          <w:rFonts w:hint="eastAsia" w:ascii="仿宋" w:hAnsi="仿宋" w:eastAsia="仿宋" w:cs="仿宋"/>
          <w:b w:val="0"/>
          <w:bCs/>
          <w:color w:val="auto"/>
          <w:sz w:val="24"/>
        </w:rPr>
        <w:t>参与隧洞围岩分类、确定类别与喷锚支护工作。</w:t>
      </w:r>
    </w:p>
    <w:p>
      <w:pPr>
        <w:tabs>
          <w:tab w:val="left" w:pos="0"/>
        </w:tabs>
        <w:adjustRightIn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5.4</w:t>
      </w:r>
      <w:r>
        <w:rPr>
          <w:rFonts w:hint="eastAsia" w:ascii="仿宋" w:hAnsi="仿宋" w:eastAsia="仿宋" w:cs="仿宋"/>
          <w:b w:val="0"/>
          <w:bCs/>
          <w:color w:val="auto"/>
          <w:sz w:val="24"/>
        </w:rPr>
        <w:t>编录洞室地质展示图（或线状地质素描图）、钻孔柱状图及其他有关地质竣工资料。</w:t>
      </w:r>
    </w:p>
    <w:p>
      <w:pPr>
        <w:tabs>
          <w:tab w:val="left" w:pos="0"/>
        </w:tabs>
        <w:adjustRightIn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5.5</w:t>
      </w:r>
      <w:r>
        <w:rPr>
          <w:rFonts w:hint="eastAsia" w:ascii="仿宋" w:hAnsi="仿宋" w:eastAsia="仿宋" w:cs="仿宋"/>
          <w:b w:val="0"/>
          <w:bCs/>
          <w:color w:val="auto"/>
          <w:sz w:val="24"/>
        </w:rPr>
        <w:t>搜集、提供因地质原因产生的超挖、超填相关地质资料，为工程报量提供依据。</w:t>
      </w:r>
    </w:p>
    <w:p>
      <w:pPr>
        <w:tabs>
          <w:tab w:val="left" w:pos="0"/>
        </w:tabs>
        <w:adjustRightIn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5.6</w:t>
      </w:r>
      <w:r>
        <w:rPr>
          <w:rFonts w:hint="eastAsia" w:ascii="仿宋" w:hAnsi="仿宋" w:eastAsia="仿宋" w:cs="仿宋"/>
          <w:b w:val="0"/>
          <w:bCs/>
          <w:color w:val="auto"/>
          <w:sz w:val="24"/>
        </w:rPr>
        <w:t>施工过程中做好“施工地质日志”，记录有关施工地质事项，特别重大事件。</w:t>
      </w:r>
    </w:p>
    <w:p>
      <w:pPr>
        <w:tabs>
          <w:tab w:val="left" w:pos="0"/>
        </w:tabs>
        <w:adjustRightIn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5.7</w:t>
      </w:r>
      <w:r>
        <w:rPr>
          <w:rFonts w:hint="eastAsia" w:ascii="仿宋" w:hAnsi="仿宋" w:eastAsia="仿宋" w:cs="仿宋"/>
          <w:b w:val="0"/>
          <w:bCs/>
          <w:color w:val="auto"/>
          <w:sz w:val="24"/>
        </w:rPr>
        <w:t>提出工程运行期间与地质相关的监测工作建议。</w:t>
      </w:r>
    </w:p>
    <w:p>
      <w:pPr>
        <w:tabs>
          <w:tab w:val="left" w:pos="0"/>
        </w:tabs>
        <w:adjustRightIn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5.8</w:t>
      </w:r>
      <w:r>
        <w:rPr>
          <w:rFonts w:hint="eastAsia" w:ascii="仿宋" w:hAnsi="仿宋" w:eastAsia="仿宋" w:cs="仿宋"/>
          <w:b w:val="0"/>
          <w:bCs/>
          <w:color w:val="auto"/>
          <w:sz w:val="24"/>
        </w:rPr>
        <w:t>编制施工地质报告，为蓄水安全鉴定，竣工验收提供工程地质依据。</w:t>
      </w:r>
    </w:p>
    <w:p>
      <w:pPr>
        <w:pStyle w:val="2"/>
        <w:rPr>
          <w:color w:val="auto"/>
        </w:rPr>
      </w:pPr>
    </w:p>
    <w:p>
      <w:pPr>
        <w:spacing w:line="240" w:lineRule="atLeast"/>
        <w:jc w:val="center"/>
        <w:rPr>
          <w:rFonts w:ascii="宋体" w:hAnsi="宋体"/>
          <w:b/>
          <w:color w:val="auto"/>
          <w:sz w:val="32"/>
          <w:szCs w:val="32"/>
        </w:rPr>
      </w:pPr>
    </w:p>
    <w:bookmarkEnd w:id="27"/>
    <w:p>
      <w:pPr>
        <w:widowControl/>
        <w:jc w:val="left"/>
        <w:rPr>
          <w:rFonts w:asciiTheme="majorEastAsia" w:hAnsiTheme="majorEastAsia" w:eastAsiaTheme="majorEastAsia"/>
          <w:color w:val="auto"/>
        </w:rPr>
      </w:pPr>
      <w:r>
        <w:rPr>
          <w:rFonts w:asciiTheme="majorEastAsia" w:hAnsiTheme="majorEastAsia" w:eastAsiaTheme="majorEastAsia"/>
          <w:color w:val="auto"/>
        </w:rPr>
        <w:br w:type="page"/>
      </w:r>
    </w:p>
    <w:p>
      <w:pPr>
        <w:widowControl/>
        <w:jc w:val="center"/>
        <w:rPr>
          <w:rFonts w:cs="仿宋" w:asciiTheme="majorEastAsia" w:hAnsiTheme="majorEastAsia" w:eastAsiaTheme="majorEastAsia"/>
          <w:b/>
          <w:color w:val="auto"/>
          <w:sz w:val="32"/>
        </w:rPr>
      </w:pPr>
      <w:r>
        <w:rPr>
          <w:rFonts w:hint="eastAsia" w:cs="仿宋" w:asciiTheme="majorEastAsia" w:hAnsiTheme="majorEastAsia" w:eastAsiaTheme="majorEastAsia"/>
          <w:b/>
          <w:color w:val="auto"/>
          <w:sz w:val="32"/>
        </w:rPr>
        <w:t>三、商务要求</w:t>
      </w:r>
    </w:p>
    <w:tbl>
      <w:tblPr>
        <w:tblStyle w:val="17"/>
        <w:tblW w:w="0" w:type="auto"/>
        <w:tblInd w:w="0" w:type="dxa"/>
        <w:tblLayout w:type="fixed"/>
        <w:tblCellMar>
          <w:top w:w="0" w:type="dxa"/>
          <w:left w:w="108" w:type="dxa"/>
          <w:bottom w:w="0" w:type="dxa"/>
          <w:right w:w="108" w:type="dxa"/>
        </w:tblCellMar>
      </w:tblPr>
      <w:tblGrid>
        <w:gridCol w:w="1936"/>
        <w:gridCol w:w="7186"/>
      </w:tblGrid>
      <w:tr>
        <w:tblPrEx>
          <w:tblCellMar>
            <w:top w:w="0" w:type="dxa"/>
            <w:left w:w="108" w:type="dxa"/>
            <w:bottom w:w="0" w:type="dxa"/>
            <w:right w:w="108" w:type="dxa"/>
          </w:tblCellMar>
        </w:tblPrEx>
        <w:trPr>
          <w:trHeight w:val="359" w:hRule="atLeast"/>
        </w:trPr>
        <w:tc>
          <w:tcPr>
            <w:tcW w:w="1936"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spacing w:line="360" w:lineRule="auto"/>
              <w:jc w:val="center"/>
              <w:rPr>
                <w:rFonts w:ascii="仿宋" w:hAnsi="仿宋" w:eastAsia="仿宋" w:cs="仿宋"/>
                <w:b/>
                <w:bCs/>
                <w:color w:val="auto"/>
                <w:kern w:val="0"/>
                <w:sz w:val="24"/>
              </w:rPr>
            </w:pPr>
            <w:r>
              <w:rPr>
                <w:rFonts w:hint="eastAsia" w:ascii="仿宋" w:hAnsi="仿宋" w:eastAsia="仿宋" w:cs="仿宋"/>
                <w:b/>
                <w:bCs/>
                <w:color w:val="auto"/>
                <w:kern w:val="0"/>
                <w:sz w:val="24"/>
              </w:rPr>
              <w:t>项目</w:t>
            </w:r>
          </w:p>
        </w:tc>
        <w:tc>
          <w:tcPr>
            <w:tcW w:w="7186"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spacing w:line="360" w:lineRule="auto"/>
              <w:jc w:val="center"/>
              <w:rPr>
                <w:rFonts w:ascii="仿宋" w:hAnsi="仿宋" w:eastAsia="仿宋" w:cs="仿宋"/>
                <w:b/>
                <w:bCs/>
                <w:color w:val="auto"/>
                <w:kern w:val="0"/>
                <w:sz w:val="24"/>
              </w:rPr>
            </w:pPr>
            <w:r>
              <w:rPr>
                <w:rFonts w:hint="eastAsia" w:ascii="仿宋" w:hAnsi="仿宋" w:eastAsia="仿宋" w:cs="仿宋"/>
                <w:b/>
                <w:bCs/>
                <w:color w:val="auto"/>
                <w:kern w:val="0"/>
                <w:sz w:val="24"/>
              </w:rPr>
              <w:t>要 求</w:t>
            </w:r>
          </w:p>
        </w:tc>
      </w:tr>
      <w:tr>
        <w:tblPrEx>
          <w:tblCellMar>
            <w:top w:w="0" w:type="dxa"/>
            <w:left w:w="108" w:type="dxa"/>
            <w:bottom w:w="0" w:type="dxa"/>
            <w:right w:w="108" w:type="dxa"/>
          </w:tblCellMar>
        </w:tblPrEx>
        <w:trPr>
          <w:trHeight w:val="469" w:hRule="atLeast"/>
        </w:trPr>
        <w:tc>
          <w:tcPr>
            <w:tcW w:w="1936"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投标报价</w:t>
            </w:r>
          </w:p>
        </w:tc>
        <w:tc>
          <w:tcPr>
            <w:tcW w:w="7186"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完成本项目的所有费用，包括</w:t>
            </w:r>
            <w:r>
              <w:rPr>
                <w:rFonts w:hint="eastAsia" w:ascii="仿宋" w:hAnsi="仿宋" w:eastAsia="仿宋" w:cs="仿宋"/>
                <w:color w:val="auto"/>
                <w:kern w:val="0"/>
                <w:sz w:val="24"/>
                <w:lang w:eastAsia="zh-CN"/>
              </w:rPr>
              <w:t>所需</w:t>
            </w:r>
            <w:r>
              <w:rPr>
                <w:rFonts w:hint="eastAsia" w:ascii="仿宋" w:hAnsi="仿宋" w:eastAsia="仿宋" w:cs="仿宋"/>
                <w:color w:val="auto"/>
                <w:kern w:val="0"/>
                <w:sz w:val="24"/>
              </w:rPr>
              <w:t>设备费、</w:t>
            </w:r>
            <w:r>
              <w:rPr>
                <w:rFonts w:hint="eastAsia" w:ascii="仿宋" w:hAnsi="仿宋" w:eastAsia="仿宋" w:cs="仿宋"/>
                <w:color w:val="auto"/>
                <w:kern w:val="0"/>
                <w:sz w:val="24"/>
                <w:lang w:eastAsia="zh-CN"/>
              </w:rPr>
              <w:t>材料费、</w:t>
            </w:r>
            <w:r>
              <w:rPr>
                <w:rFonts w:hint="eastAsia" w:ascii="仿宋" w:hAnsi="仿宋" w:eastAsia="仿宋" w:cs="仿宋"/>
                <w:color w:val="auto"/>
                <w:kern w:val="0"/>
                <w:sz w:val="24"/>
              </w:rPr>
              <w:t>专用工具费、人工</w:t>
            </w:r>
            <w:r>
              <w:rPr>
                <w:rFonts w:hint="eastAsia" w:ascii="仿宋" w:hAnsi="仿宋" w:eastAsia="仿宋" w:cs="仿宋"/>
                <w:color w:val="auto"/>
                <w:kern w:val="0"/>
                <w:sz w:val="24"/>
                <w:lang w:eastAsia="zh-CN"/>
              </w:rPr>
              <w:t>费、</w:t>
            </w:r>
            <w:r>
              <w:rPr>
                <w:rFonts w:hint="eastAsia" w:ascii="仿宋" w:hAnsi="仿宋" w:eastAsia="仿宋" w:cs="仿宋"/>
                <w:color w:val="auto"/>
                <w:kern w:val="0"/>
                <w:sz w:val="24"/>
              </w:rPr>
              <w:t>差旅费、运输及保险费、</w:t>
            </w:r>
            <w:r>
              <w:rPr>
                <w:rFonts w:hint="eastAsia" w:ascii="仿宋" w:hAnsi="仿宋" w:eastAsia="仿宋" w:cs="仿宋"/>
                <w:color w:val="auto"/>
                <w:kern w:val="0"/>
                <w:sz w:val="24"/>
                <w:lang w:eastAsia="zh-CN"/>
              </w:rPr>
              <w:t>检验试验费、场地费、电费、水费、专家评审费、会议费、报告费、</w:t>
            </w:r>
            <w:r>
              <w:rPr>
                <w:rFonts w:hint="eastAsia" w:ascii="仿宋" w:hAnsi="仿宋" w:eastAsia="仿宋" w:cs="仿宋"/>
                <w:color w:val="auto"/>
                <w:kern w:val="0"/>
                <w:sz w:val="24"/>
              </w:rPr>
              <w:t>税费、中标服务费等一切费用。</w:t>
            </w:r>
          </w:p>
        </w:tc>
      </w:tr>
      <w:tr>
        <w:tblPrEx>
          <w:tblCellMar>
            <w:top w:w="0" w:type="dxa"/>
            <w:left w:w="108" w:type="dxa"/>
            <w:bottom w:w="0" w:type="dxa"/>
            <w:right w:w="108" w:type="dxa"/>
          </w:tblCellMar>
        </w:tblPrEx>
        <w:trPr>
          <w:trHeight w:val="469" w:hRule="atLeast"/>
        </w:trPr>
        <w:tc>
          <w:tcPr>
            <w:tcW w:w="1936"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付款条件</w:t>
            </w:r>
          </w:p>
        </w:tc>
        <w:tc>
          <w:tcPr>
            <w:tcW w:w="7186"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合同签订后7个工作日内支付合同总价的</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eastAsia="zh-CN"/>
              </w:rPr>
              <w:t>0%</w:t>
            </w:r>
            <w:r>
              <w:rPr>
                <w:rFonts w:hint="eastAsia" w:ascii="仿宋" w:hAnsi="仿宋" w:eastAsia="仿宋" w:cs="仿宋"/>
                <w:color w:val="auto"/>
                <w:kern w:val="0"/>
                <w:sz w:val="24"/>
                <w:highlight w:val="none"/>
                <w:lang w:val="en-US" w:eastAsia="zh-CN"/>
              </w:rPr>
              <w:t>，合同签订1年后支付合同总价的15%，之后每半年支付合同总价的15%，至合同期满后一次性付清。</w:t>
            </w:r>
          </w:p>
        </w:tc>
      </w:tr>
      <w:tr>
        <w:tblPrEx>
          <w:tblCellMar>
            <w:top w:w="0" w:type="dxa"/>
            <w:left w:w="108" w:type="dxa"/>
            <w:bottom w:w="0" w:type="dxa"/>
            <w:right w:w="108" w:type="dxa"/>
          </w:tblCellMar>
        </w:tblPrEx>
        <w:trPr>
          <w:trHeight w:val="469" w:hRule="atLeast"/>
        </w:trPr>
        <w:tc>
          <w:tcPr>
            <w:tcW w:w="1936"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履约保证金</w:t>
            </w:r>
          </w:p>
        </w:tc>
        <w:tc>
          <w:tcPr>
            <w:tcW w:w="7186"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spacing w:line="360" w:lineRule="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履约保证金金额：合同金额的</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lang w:eastAsia="zh-CN"/>
              </w:rPr>
              <w:t>；</w:t>
            </w:r>
          </w:p>
          <w:p>
            <w:pPr>
              <w:tabs>
                <w:tab w:val="left" w:pos="0"/>
              </w:tabs>
              <w:adjustRightInd w:val="0"/>
              <w:snapToGrid w:val="0"/>
              <w:spacing w:line="360" w:lineRule="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履约保证金形式：网银转账、支票、汇票、本票或者银行保函等非现金形式提交。</w:t>
            </w:r>
          </w:p>
          <w:p>
            <w:pPr>
              <w:tabs>
                <w:tab w:val="left" w:pos="0"/>
              </w:tabs>
              <w:adjustRightInd w:val="0"/>
              <w:snapToGrid w:val="0"/>
              <w:spacing w:line="360" w:lineRule="auto"/>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eastAsia="zh-CN"/>
              </w:rPr>
              <w:t>在合同签订并生效后</w:t>
            </w:r>
            <w:r>
              <w:rPr>
                <w:rFonts w:hint="eastAsia" w:ascii="仿宋" w:hAnsi="仿宋" w:eastAsia="仿宋" w:cs="仿宋"/>
                <w:color w:val="auto"/>
                <w:kern w:val="0"/>
                <w:sz w:val="24"/>
                <w:lang w:val="en-US" w:eastAsia="zh-CN"/>
              </w:rPr>
              <w:t>7日内提交</w:t>
            </w:r>
            <w:r>
              <w:rPr>
                <w:rFonts w:hint="eastAsia" w:ascii="仿宋" w:hAnsi="仿宋" w:eastAsia="仿宋" w:cs="仿宋"/>
                <w:color w:val="auto"/>
                <w:kern w:val="0"/>
                <w:sz w:val="24"/>
                <w:lang w:eastAsia="zh-CN"/>
              </w:rPr>
              <w:t>。履约保证金在中标人完成合同履约后无息退还（但如中标人未能履行合同规定的任何义务，采购单位有权从履约保证金中得到补偿）。</w:t>
            </w:r>
          </w:p>
        </w:tc>
      </w:tr>
      <w:tr>
        <w:tblPrEx>
          <w:tblCellMar>
            <w:top w:w="0" w:type="dxa"/>
            <w:left w:w="108" w:type="dxa"/>
            <w:bottom w:w="0" w:type="dxa"/>
            <w:right w:w="108" w:type="dxa"/>
          </w:tblCellMar>
        </w:tblPrEx>
        <w:trPr>
          <w:trHeight w:val="469" w:hRule="atLeast"/>
        </w:trPr>
        <w:tc>
          <w:tcPr>
            <w:tcW w:w="1936"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服务期限</w:t>
            </w:r>
          </w:p>
        </w:tc>
        <w:tc>
          <w:tcPr>
            <w:tcW w:w="7186"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spacing w:line="360" w:lineRule="auto"/>
              <w:rPr>
                <w:rFonts w:hint="default" w:ascii="仿宋" w:hAnsi="仿宋" w:eastAsia="仿宋" w:cs="仿宋"/>
                <w:color w:val="auto"/>
                <w:kern w:val="0"/>
                <w:sz w:val="24"/>
                <w:lang w:val="en-US" w:eastAsia="zh-CN"/>
              </w:rPr>
            </w:pPr>
            <w:r>
              <w:rPr>
                <w:rFonts w:hint="eastAsia" w:ascii="仿宋" w:hAnsi="仿宋" w:eastAsia="仿宋" w:cs="仿宋"/>
                <w:b w:val="0"/>
                <w:bCs/>
                <w:color w:val="auto"/>
                <w:sz w:val="24"/>
                <w:lang w:eastAsia="zh-CN"/>
              </w:rPr>
              <w:t>合同签订后</w:t>
            </w:r>
            <w:r>
              <w:rPr>
                <w:rFonts w:hint="eastAsia" w:ascii="仿宋" w:hAnsi="仿宋" w:eastAsia="仿宋" w:cs="仿宋"/>
                <w:b w:val="0"/>
                <w:bCs/>
                <w:color w:val="auto"/>
                <w:sz w:val="24"/>
                <w:lang w:val="en-US" w:eastAsia="zh-CN"/>
              </w:rPr>
              <w:t>36个月。</w:t>
            </w:r>
          </w:p>
        </w:tc>
      </w:tr>
      <w:tr>
        <w:tblPrEx>
          <w:tblCellMar>
            <w:top w:w="0" w:type="dxa"/>
            <w:left w:w="108" w:type="dxa"/>
            <w:bottom w:w="0" w:type="dxa"/>
            <w:right w:w="108" w:type="dxa"/>
          </w:tblCellMar>
        </w:tblPrEx>
        <w:tc>
          <w:tcPr>
            <w:tcW w:w="1936"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合同终止</w:t>
            </w:r>
          </w:p>
        </w:tc>
        <w:tc>
          <w:tcPr>
            <w:tcW w:w="7186"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（一）未能使合同货物达到合同附件规定的技术性能和指标的；</w:t>
            </w:r>
          </w:p>
          <w:p>
            <w:pPr>
              <w:tabs>
                <w:tab w:val="left" w:pos="0"/>
              </w:tabs>
              <w:adjustRightInd w:val="0"/>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（二）未能在合同规定的期限（或采购人同意延长的最终期限）内提供全部或部分货物的；</w:t>
            </w:r>
          </w:p>
          <w:p>
            <w:pPr>
              <w:tabs>
                <w:tab w:val="left" w:pos="0"/>
              </w:tabs>
              <w:adjustRightInd w:val="0"/>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（三）未能履行合同规定的其它义务。</w:t>
            </w:r>
          </w:p>
        </w:tc>
      </w:tr>
      <w:tr>
        <w:tblPrEx>
          <w:tblCellMar>
            <w:top w:w="0" w:type="dxa"/>
            <w:left w:w="108" w:type="dxa"/>
            <w:bottom w:w="0" w:type="dxa"/>
            <w:right w:w="108" w:type="dxa"/>
          </w:tblCellMar>
        </w:tblPrEx>
        <w:tc>
          <w:tcPr>
            <w:tcW w:w="1936"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lang w:eastAsia="zh-CN"/>
              </w:rPr>
              <w:t>其他</w:t>
            </w:r>
          </w:p>
        </w:tc>
        <w:tc>
          <w:tcPr>
            <w:tcW w:w="7186"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spacing w:line="36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1、中标人如须提供施工现场指导，所需所有费用均已包含在投标总价中。</w:t>
            </w:r>
          </w:p>
          <w:p>
            <w:pPr>
              <w:tabs>
                <w:tab w:val="left" w:pos="0"/>
              </w:tabs>
              <w:adjustRightInd w:val="0"/>
              <w:snapToGrid w:val="0"/>
              <w:spacing w:line="36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2、本项目验收所需费用均由中标人承担。</w:t>
            </w:r>
          </w:p>
          <w:p>
            <w:pPr>
              <w:tabs>
                <w:tab w:val="left" w:pos="0"/>
              </w:tabs>
              <w:adjustRightInd w:val="0"/>
              <w:snapToGrid w:val="0"/>
              <w:spacing w:line="360" w:lineRule="auto"/>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如本项目服务期限根据工程进度需提前结束或延长服务期限，乙方需按采购人要求提前结束或继续按合同约定完成相关施工地质咨询服务工作，减少或超出服务期部分按月扣回或支付；月扣回或支付金额=合同金额÷36个月。</w:t>
            </w:r>
          </w:p>
        </w:tc>
      </w:tr>
    </w:tbl>
    <w:p>
      <w:pPr>
        <w:snapToGrid w:val="0"/>
        <w:spacing w:line="360" w:lineRule="auto"/>
        <w:jc w:val="center"/>
        <w:rPr>
          <w:rFonts w:cs="仿宋" w:asciiTheme="majorEastAsia" w:hAnsiTheme="majorEastAsia" w:eastAsiaTheme="majorEastAsia"/>
          <w:b/>
          <w:color w:val="auto"/>
          <w:sz w:val="36"/>
          <w:szCs w:val="36"/>
        </w:rPr>
      </w:pPr>
      <w:r>
        <w:rPr>
          <w:rFonts w:hint="eastAsia" w:cs="仿宋" w:asciiTheme="majorEastAsia" w:hAnsiTheme="majorEastAsia" w:eastAsiaTheme="majorEastAsia"/>
          <w:b/>
          <w:color w:val="auto"/>
          <w:sz w:val="24"/>
        </w:rPr>
        <w:br w:type="page"/>
      </w:r>
      <w:r>
        <w:rPr>
          <w:rFonts w:hint="eastAsia" w:cs="仿宋" w:asciiTheme="majorEastAsia" w:hAnsiTheme="majorEastAsia" w:eastAsiaTheme="majorEastAsia"/>
          <w:b/>
          <w:color w:val="auto"/>
          <w:sz w:val="36"/>
          <w:szCs w:val="36"/>
        </w:rPr>
        <w:t xml:space="preserve">第四部分   </w:t>
      </w:r>
      <w:bookmarkStart w:id="28" w:name="_Toc184313257"/>
      <w:bookmarkEnd w:id="28"/>
      <w:bookmarkStart w:id="29" w:name="_Toc184314449"/>
      <w:bookmarkEnd w:id="29"/>
      <w:bookmarkStart w:id="30" w:name="_Toc184312108"/>
      <w:bookmarkEnd w:id="30"/>
      <w:bookmarkStart w:id="31" w:name="_Toc184314464"/>
      <w:bookmarkEnd w:id="31"/>
      <w:bookmarkStart w:id="32" w:name="_Toc184314422"/>
      <w:bookmarkEnd w:id="32"/>
      <w:bookmarkStart w:id="33" w:name="_Toc184308070"/>
      <w:bookmarkEnd w:id="33"/>
      <w:bookmarkStart w:id="34" w:name="_Toc184308045"/>
      <w:bookmarkEnd w:id="34"/>
      <w:bookmarkStart w:id="35" w:name="_Toc184314423"/>
      <w:bookmarkEnd w:id="35"/>
      <w:bookmarkStart w:id="36" w:name="_Toc184312078"/>
      <w:bookmarkEnd w:id="36"/>
      <w:bookmarkStart w:id="37" w:name="_Toc184313238"/>
      <w:bookmarkEnd w:id="37"/>
      <w:bookmarkStart w:id="38" w:name="_Toc184310298"/>
      <w:bookmarkEnd w:id="38"/>
      <w:bookmarkStart w:id="39" w:name="_Toc184314470"/>
      <w:bookmarkEnd w:id="39"/>
      <w:bookmarkStart w:id="40" w:name="_Toc184308064"/>
      <w:bookmarkEnd w:id="40"/>
      <w:bookmarkStart w:id="41" w:name="_Toc184308094"/>
      <w:bookmarkEnd w:id="41"/>
      <w:bookmarkStart w:id="42" w:name="_Toc184314447"/>
      <w:bookmarkEnd w:id="42"/>
      <w:bookmarkStart w:id="43" w:name="_Toc184312090"/>
      <w:bookmarkEnd w:id="43"/>
      <w:bookmarkStart w:id="44" w:name="_Toc184308073"/>
      <w:bookmarkEnd w:id="44"/>
      <w:bookmarkStart w:id="45" w:name="_Toc184312081"/>
      <w:bookmarkEnd w:id="45"/>
      <w:bookmarkStart w:id="46" w:name="_Toc184312086"/>
      <w:bookmarkEnd w:id="46"/>
      <w:bookmarkStart w:id="47" w:name="_Toc184308060"/>
      <w:bookmarkEnd w:id="47"/>
      <w:bookmarkStart w:id="48" w:name="_Toc184313246"/>
      <w:bookmarkEnd w:id="48"/>
      <w:bookmarkStart w:id="49" w:name="_Toc184308058"/>
      <w:bookmarkEnd w:id="49"/>
      <w:bookmarkStart w:id="50" w:name="_Toc184312100"/>
      <w:bookmarkEnd w:id="50"/>
      <w:bookmarkStart w:id="51" w:name="_Toc184314438"/>
      <w:bookmarkEnd w:id="51"/>
      <w:bookmarkStart w:id="52" w:name="_Toc184310342"/>
      <w:bookmarkEnd w:id="52"/>
      <w:bookmarkStart w:id="53" w:name="_Toc184312110"/>
      <w:bookmarkEnd w:id="53"/>
      <w:bookmarkStart w:id="54" w:name="_Toc184310291"/>
      <w:bookmarkEnd w:id="54"/>
      <w:bookmarkStart w:id="55" w:name="_Toc184310300"/>
      <w:bookmarkEnd w:id="55"/>
      <w:bookmarkStart w:id="56" w:name="_Toc184308043"/>
      <w:bookmarkEnd w:id="56"/>
      <w:bookmarkStart w:id="57" w:name="_Toc184308105"/>
      <w:bookmarkEnd w:id="57"/>
      <w:bookmarkStart w:id="58" w:name="_Toc184313280"/>
      <w:bookmarkEnd w:id="58"/>
      <w:bookmarkStart w:id="59" w:name="_Toc184312120"/>
      <w:bookmarkEnd w:id="59"/>
      <w:bookmarkStart w:id="60" w:name="_Toc184310275"/>
      <w:bookmarkEnd w:id="60"/>
      <w:bookmarkStart w:id="61" w:name="_Toc184308040"/>
      <w:bookmarkEnd w:id="61"/>
      <w:bookmarkStart w:id="62" w:name="_Toc184308082"/>
      <w:bookmarkEnd w:id="62"/>
      <w:bookmarkStart w:id="63" w:name="_Toc184308067"/>
      <w:bookmarkEnd w:id="63"/>
      <w:bookmarkStart w:id="64" w:name="_Toc184308079"/>
      <w:bookmarkEnd w:id="64"/>
      <w:bookmarkStart w:id="65" w:name="_Toc184313279"/>
      <w:bookmarkEnd w:id="65"/>
      <w:bookmarkStart w:id="66" w:name="_Toc184308057"/>
      <w:bookmarkEnd w:id="66"/>
      <w:bookmarkStart w:id="67" w:name="_Toc184310279"/>
      <w:bookmarkEnd w:id="67"/>
      <w:bookmarkStart w:id="68" w:name="_Toc184314467"/>
      <w:bookmarkEnd w:id="68"/>
      <w:bookmarkStart w:id="69" w:name="_Toc184308083"/>
      <w:bookmarkEnd w:id="69"/>
      <w:bookmarkStart w:id="70" w:name="_Toc184312112"/>
      <w:bookmarkEnd w:id="70"/>
      <w:bookmarkStart w:id="71" w:name="_Toc184314426"/>
      <w:bookmarkEnd w:id="71"/>
      <w:bookmarkStart w:id="72" w:name="_Toc184312131"/>
      <w:bookmarkEnd w:id="72"/>
      <w:bookmarkStart w:id="73" w:name="_Toc184314450"/>
      <w:bookmarkEnd w:id="73"/>
      <w:bookmarkStart w:id="74" w:name="_Toc184308048"/>
      <w:bookmarkEnd w:id="74"/>
      <w:bookmarkStart w:id="75" w:name="_Toc184310337"/>
      <w:bookmarkEnd w:id="75"/>
      <w:bookmarkStart w:id="76" w:name="_Toc184310335"/>
      <w:bookmarkEnd w:id="76"/>
      <w:bookmarkStart w:id="77" w:name="_Toc184313248"/>
      <w:bookmarkEnd w:id="77"/>
      <w:bookmarkStart w:id="78" w:name="_Toc184310334"/>
      <w:bookmarkEnd w:id="78"/>
      <w:bookmarkStart w:id="79" w:name="_Toc184310295"/>
      <w:bookmarkEnd w:id="79"/>
      <w:bookmarkStart w:id="80" w:name="_Toc184312075"/>
      <w:bookmarkEnd w:id="80"/>
      <w:bookmarkStart w:id="81" w:name="_Toc184312106"/>
      <w:bookmarkEnd w:id="81"/>
      <w:bookmarkStart w:id="82" w:name="_Toc184310282"/>
      <w:bookmarkEnd w:id="82"/>
      <w:bookmarkStart w:id="83" w:name="_Toc184310293"/>
      <w:bookmarkEnd w:id="83"/>
      <w:bookmarkStart w:id="84" w:name="_Toc184310273"/>
      <w:bookmarkEnd w:id="84"/>
      <w:bookmarkStart w:id="85" w:name="_Toc184312079"/>
      <w:bookmarkEnd w:id="85"/>
      <w:bookmarkStart w:id="86" w:name="_Toc184310287"/>
      <w:bookmarkEnd w:id="86"/>
      <w:bookmarkStart w:id="87" w:name="_Toc184312126"/>
      <w:bookmarkEnd w:id="87"/>
      <w:bookmarkStart w:id="88" w:name="_Toc184312092"/>
      <w:bookmarkEnd w:id="88"/>
      <w:bookmarkStart w:id="89" w:name="_Toc184310324"/>
      <w:bookmarkEnd w:id="89"/>
      <w:bookmarkStart w:id="90" w:name="_Toc184310278"/>
      <w:bookmarkEnd w:id="90"/>
      <w:bookmarkStart w:id="91" w:name="_Toc184310309"/>
      <w:bookmarkEnd w:id="91"/>
      <w:bookmarkStart w:id="92" w:name="_Toc184313254"/>
      <w:bookmarkEnd w:id="92"/>
      <w:bookmarkStart w:id="93" w:name="_Toc184310331"/>
      <w:bookmarkEnd w:id="93"/>
      <w:bookmarkStart w:id="94" w:name="_Toc184313286"/>
      <w:bookmarkEnd w:id="94"/>
      <w:bookmarkStart w:id="95" w:name="_Toc184313251"/>
      <w:bookmarkEnd w:id="95"/>
      <w:bookmarkStart w:id="96" w:name="_Toc184314482"/>
      <w:bookmarkEnd w:id="96"/>
      <w:bookmarkStart w:id="97" w:name="_Toc184310304"/>
      <w:bookmarkEnd w:id="97"/>
      <w:bookmarkStart w:id="98" w:name="_Toc184308041"/>
      <w:bookmarkEnd w:id="98"/>
      <w:bookmarkStart w:id="99" w:name="_Toc184313256"/>
      <w:bookmarkEnd w:id="99"/>
      <w:bookmarkStart w:id="100" w:name="_Toc184308046"/>
      <w:bookmarkEnd w:id="100"/>
      <w:bookmarkStart w:id="101" w:name="_Toc184312107"/>
      <w:bookmarkEnd w:id="101"/>
      <w:bookmarkStart w:id="102" w:name="_Toc184310294"/>
      <w:bookmarkEnd w:id="102"/>
      <w:bookmarkStart w:id="103" w:name="_Toc184310286"/>
      <w:bookmarkEnd w:id="103"/>
      <w:bookmarkStart w:id="104" w:name="_Toc184314454"/>
      <w:bookmarkEnd w:id="104"/>
      <w:bookmarkStart w:id="105" w:name="_Toc184308075"/>
      <w:bookmarkEnd w:id="105"/>
      <w:bookmarkStart w:id="106" w:name="_Toc184308066"/>
      <w:bookmarkEnd w:id="106"/>
      <w:bookmarkStart w:id="107" w:name="_Toc184314431"/>
      <w:bookmarkEnd w:id="107"/>
      <w:bookmarkStart w:id="108" w:name="_Toc184313305"/>
      <w:bookmarkEnd w:id="108"/>
      <w:bookmarkStart w:id="109" w:name="_Toc184313261"/>
      <w:bookmarkEnd w:id="109"/>
      <w:bookmarkStart w:id="110" w:name="_Toc184314472"/>
      <w:bookmarkEnd w:id="110"/>
      <w:bookmarkStart w:id="111" w:name="_Toc184314443"/>
      <w:bookmarkEnd w:id="111"/>
      <w:bookmarkStart w:id="112" w:name="_Toc184308051"/>
      <w:bookmarkEnd w:id="112"/>
      <w:bookmarkStart w:id="113" w:name="_Toc184313253"/>
      <w:bookmarkEnd w:id="113"/>
      <w:bookmarkStart w:id="114" w:name="_Toc184314440"/>
      <w:bookmarkEnd w:id="114"/>
      <w:bookmarkStart w:id="115" w:name="_Toc184313271"/>
      <w:bookmarkEnd w:id="115"/>
      <w:bookmarkStart w:id="116" w:name="_Toc184310302"/>
      <w:bookmarkEnd w:id="116"/>
      <w:bookmarkStart w:id="117" w:name="_Toc184314436"/>
      <w:bookmarkEnd w:id="117"/>
      <w:bookmarkStart w:id="118" w:name="_Toc184310307"/>
      <w:bookmarkEnd w:id="118"/>
      <w:bookmarkStart w:id="119" w:name="_Toc184310319"/>
      <w:bookmarkEnd w:id="119"/>
      <w:bookmarkStart w:id="120" w:name="_Toc184310332"/>
      <w:bookmarkEnd w:id="120"/>
      <w:bookmarkStart w:id="121" w:name="_Toc184314435"/>
      <w:bookmarkEnd w:id="121"/>
      <w:bookmarkStart w:id="122" w:name="_Toc184310322"/>
      <w:bookmarkEnd w:id="122"/>
      <w:bookmarkStart w:id="123" w:name="_Toc184314481"/>
      <w:bookmarkEnd w:id="123"/>
      <w:bookmarkStart w:id="124" w:name="_Toc184313265"/>
      <w:bookmarkEnd w:id="124"/>
      <w:bookmarkStart w:id="125" w:name="_Toc184310314"/>
      <w:bookmarkEnd w:id="125"/>
      <w:bookmarkStart w:id="126" w:name="_Toc184312114"/>
      <w:bookmarkEnd w:id="126"/>
      <w:bookmarkStart w:id="127" w:name="_Toc184313255"/>
      <w:bookmarkEnd w:id="127"/>
      <w:bookmarkStart w:id="128" w:name="_Toc184310343"/>
      <w:bookmarkEnd w:id="128"/>
      <w:bookmarkStart w:id="129" w:name="_Toc184312084"/>
      <w:bookmarkEnd w:id="129"/>
      <w:bookmarkStart w:id="130" w:name="_Toc184308099"/>
      <w:bookmarkEnd w:id="130"/>
      <w:bookmarkStart w:id="131" w:name="_Toc184312138"/>
      <w:bookmarkEnd w:id="131"/>
      <w:bookmarkStart w:id="132" w:name="_Toc184312099"/>
      <w:bookmarkEnd w:id="132"/>
      <w:bookmarkStart w:id="133" w:name="_Toc184313283"/>
      <w:bookmarkEnd w:id="133"/>
      <w:bookmarkStart w:id="134" w:name="_Toc184312103"/>
      <w:bookmarkEnd w:id="134"/>
      <w:bookmarkStart w:id="135" w:name="_Toc184312137"/>
      <w:bookmarkEnd w:id="135"/>
      <w:bookmarkStart w:id="136" w:name="_Toc184308049"/>
      <w:bookmarkEnd w:id="136"/>
      <w:bookmarkStart w:id="137" w:name="_Toc184312072"/>
      <w:bookmarkEnd w:id="137"/>
      <w:bookmarkStart w:id="138" w:name="_Toc184313287"/>
      <w:bookmarkEnd w:id="138"/>
      <w:bookmarkStart w:id="139" w:name="_Toc184312133"/>
      <w:bookmarkEnd w:id="139"/>
      <w:bookmarkStart w:id="140" w:name="_Toc184313306"/>
      <w:bookmarkEnd w:id="140"/>
      <w:bookmarkStart w:id="141" w:name="_Toc184313277"/>
      <w:bookmarkEnd w:id="141"/>
      <w:bookmarkStart w:id="142" w:name="_Toc184312134"/>
      <w:bookmarkEnd w:id="142"/>
      <w:bookmarkStart w:id="143" w:name="_Toc184314429"/>
      <w:bookmarkEnd w:id="143"/>
      <w:bookmarkStart w:id="144" w:name="_Toc184308044"/>
      <w:bookmarkEnd w:id="144"/>
      <w:bookmarkStart w:id="145" w:name="_Toc184312123"/>
      <w:bookmarkEnd w:id="145"/>
      <w:bookmarkStart w:id="146" w:name="_Toc184308088"/>
      <w:bookmarkEnd w:id="146"/>
      <w:bookmarkStart w:id="147" w:name="_Toc184313284"/>
      <w:bookmarkEnd w:id="147"/>
      <w:bookmarkStart w:id="148" w:name="_Toc184313278"/>
      <w:bookmarkEnd w:id="148"/>
      <w:bookmarkStart w:id="149" w:name="_Toc184308055"/>
      <w:bookmarkEnd w:id="149"/>
      <w:bookmarkStart w:id="150" w:name="_Toc184313289"/>
      <w:bookmarkEnd w:id="150"/>
      <w:bookmarkStart w:id="151" w:name="_Toc184312130"/>
      <w:bookmarkEnd w:id="151"/>
      <w:bookmarkStart w:id="152" w:name="_Toc184310274"/>
      <w:bookmarkEnd w:id="152"/>
      <w:bookmarkStart w:id="153" w:name="_Toc184314473"/>
      <w:bookmarkEnd w:id="153"/>
      <w:bookmarkStart w:id="154" w:name="_Toc184312071"/>
      <w:bookmarkEnd w:id="154"/>
      <w:bookmarkStart w:id="155" w:name="_Toc184313244"/>
      <w:bookmarkEnd w:id="155"/>
      <w:bookmarkStart w:id="156" w:name="_Toc184308072"/>
      <w:bookmarkEnd w:id="156"/>
      <w:bookmarkStart w:id="157" w:name="_Toc184314430"/>
      <w:bookmarkEnd w:id="157"/>
      <w:bookmarkStart w:id="158" w:name="_Toc184313291"/>
      <w:bookmarkEnd w:id="158"/>
      <w:bookmarkStart w:id="159" w:name="_Toc184308103"/>
      <w:bookmarkEnd w:id="159"/>
      <w:bookmarkStart w:id="160" w:name="_Toc184314444"/>
      <w:bookmarkEnd w:id="160"/>
      <w:bookmarkStart w:id="161" w:name="_Toc184313241"/>
      <w:bookmarkEnd w:id="161"/>
      <w:bookmarkStart w:id="162" w:name="_Toc184312113"/>
      <w:bookmarkEnd w:id="162"/>
      <w:bookmarkStart w:id="163" w:name="_Toc184312101"/>
      <w:bookmarkEnd w:id="163"/>
      <w:bookmarkStart w:id="164" w:name="_Toc184313272"/>
      <w:bookmarkEnd w:id="164"/>
      <w:bookmarkStart w:id="165" w:name="_Toc184314415"/>
      <w:bookmarkEnd w:id="165"/>
      <w:bookmarkStart w:id="166" w:name="_Toc184308080"/>
      <w:bookmarkEnd w:id="166"/>
      <w:bookmarkStart w:id="167" w:name="_Toc184308108"/>
      <w:bookmarkEnd w:id="167"/>
      <w:bookmarkStart w:id="168" w:name="_Toc184314455"/>
      <w:bookmarkEnd w:id="168"/>
      <w:bookmarkStart w:id="169" w:name="_Toc184313296"/>
      <w:bookmarkEnd w:id="169"/>
      <w:bookmarkStart w:id="170" w:name="_Toc184310276"/>
      <w:bookmarkEnd w:id="170"/>
      <w:bookmarkStart w:id="171" w:name="_Toc184308039"/>
      <w:bookmarkEnd w:id="171"/>
      <w:bookmarkStart w:id="172" w:name="_Toc184314461"/>
      <w:bookmarkEnd w:id="172"/>
      <w:bookmarkStart w:id="173" w:name="_Toc184310311"/>
      <w:bookmarkEnd w:id="173"/>
      <w:bookmarkStart w:id="174" w:name="_Toc184312122"/>
      <w:bookmarkEnd w:id="174"/>
      <w:bookmarkStart w:id="175" w:name="_Toc184313281"/>
      <w:bookmarkEnd w:id="175"/>
      <w:bookmarkStart w:id="176" w:name="_Toc184310320"/>
      <w:bookmarkEnd w:id="176"/>
      <w:bookmarkStart w:id="177" w:name="_Toc184308068"/>
      <w:bookmarkEnd w:id="177"/>
      <w:bookmarkStart w:id="178" w:name="_Toc184313290"/>
      <w:bookmarkEnd w:id="178"/>
      <w:bookmarkStart w:id="179" w:name="_Toc184310326"/>
      <w:bookmarkEnd w:id="179"/>
      <w:bookmarkStart w:id="180" w:name="_Toc184314448"/>
      <w:bookmarkEnd w:id="180"/>
      <w:bookmarkStart w:id="181" w:name="_Toc184314478"/>
      <w:bookmarkEnd w:id="181"/>
      <w:bookmarkStart w:id="182" w:name="_Toc184310312"/>
      <w:bookmarkEnd w:id="182"/>
      <w:bookmarkStart w:id="183" w:name="_Toc184312132"/>
      <w:bookmarkEnd w:id="183"/>
      <w:bookmarkStart w:id="184" w:name="_Toc184313258"/>
      <w:bookmarkEnd w:id="184"/>
      <w:bookmarkStart w:id="185" w:name="_Toc184308096"/>
      <w:bookmarkEnd w:id="185"/>
      <w:bookmarkStart w:id="186" w:name="_Toc184312117"/>
      <w:bookmarkEnd w:id="186"/>
      <w:bookmarkStart w:id="187" w:name="_Toc184312094"/>
      <w:bookmarkEnd w:id="187"/>
      <w:bookmarkStart w:id="188" w:name="_Toc184310340"/>
      <w:bookmarkEnd w:id="188"/>
      <w:bookmarkStart w:id="189" w:name="_Toc184314471"/>
      <w:bookmarkEnd w:id="189"/>
      <w:bookmarkStart w:id="190" w:name="_Toc184308050"/>
      <w:bookmarkEnd w:id="190"/>
      <w:bookmarkStart w:id="191" w:name="_Toc184312125"/>
      <w:bookmarkEnd w:id="191"/>
      <w:bookmarkStart w:id="192" w:name="_Toc184313266"/>
      <w:bookmarkEnd w:id="192"/>
      <w:bookmarkStart w:id="193" w:name="_Toc184314427"/>
      <w:bookmarkEnd w:id="193"/>
      <w:bookmarkStart w:id="194" w:name="_Toc184308036"/>
      <w:bookmarkEnd w:id="194"/>
      <w:bookmarkStart w:id="195" w:name="_Toc184310333"/>
      <w:bookmarkEnd w:id="195"/>
      <w:bookmarkStart w:id="196" w:name="_Toc184308037"/>
      <w:bookmarkEnd w:id="196"/>
      <w:bookmarkStart w:id="197" w:name="_Toc184314434"/>
      <w:bookmarkEnd w:id="197"/>
      <w:bookmarkStart w:id="198" w:name="_Toc184308077"/>
      <w:bookmarkEnd w:id="198"/>
      <w:bookmarkStart w:id="199" w:name="_Toc184310277"/>
      <w:bookmarkEnd w:id="199"/>
      <w:bookmarkStart w:id="200" w:name="_Toc184312119"/>
      <w:bookmarkEnd w:id="200"/>
      <w:bookmarkStart w:id="201" w:name="_Toc184308100"/>
      <w:bookmarkEnd w:id="201"/>
      <w:bookmarkStart w:id="202" w:name="_Toc184312087"/>
      <w:bookmarkEnd w:id="202"/>
      <w:bookmarkStart w:id="203" w:name="_Toc184314468"/>
      <w:bookmarkEnd w:id="203"/>
      <w:bookmarkStart w:id="204" w:name="_Toc184314463"/>
      <w:bookmarkEnd w:id="204"/>
      <w:bookmarkStart w:id="205" w:name="_Toc184310321"/>
      <w:bookmarkEnd w:id="205"/>
      <w:bookmarkStart w:id="206" w:name="_Toc184314475"/>
      <w:bookmarkEnd w:id="206"/>
      <w:bookmarkStart w:id="207" w:name="_Toc184308038"/>
      <w:bookmarkEnd w:id="207"/>
      <w:bookmarkStart w:id="208" w:name="_Toc184313309"/>
      <w:bookmarkEnd w:id="208"/>
      <w:bookmarkStart w:id="209" w:name="_Toc184312121"/>
      <w:bookmarkEnd w:id="209"/>
      <w:bookmarkStart w:id="210" w:name="_Toc184312129"/>
      <w:bookmarkEnd w:id="210"/>
      <w:bookmarkStart w:id="211" w:name="_Toc184312077"/>
      <w:bookmarkEnd w:id="211"/>
      <w:bookmarkStart w:id="212" w:name="_Toc184313303"/>
      <w:bookmarkEnd w:id="212"/>
      <w:bookmarkStart w:id="213" w:name="_Toc184312068"/>
      <w:bookmarkEnd w:id="213"/>
      <w:bookmarkStart w:id="214" w:name="_Toc184312115"/>
      <w:bookmarkEnd w:id="214"/>
      <w:bookmarkStart w:id="215" w:name="_Toc184314479"/>
      <w:bookmarkEnd w:id="215"/>
      <w:bookmarkStart w:id="216" w:name="_Toc184312111"/>
      <w:bookmarkEnd w:id="216"/>
      <w:bookmarkStart w:id="217" w:name="_Toc184312105"/>
      <w:bookmarkEnd w:id="217"/>
      <w:bookmarkStart w:id="218" w:name="_Toc184308061"/>
      <w:bookmarkEnd w:id="218"/>
      <w:bookmarkStart w:id="219" w:name="_Toc184312089"/>
      <w:bookmarkEnd w:id="219"/>
      <w:bookmarkStart w:id="220" w:name="_Toc184308042"/>
      <w:bookmarkEnd w:id="220"/>
      <w:bookmarkStart w:id="221" w:name="_Toc184308085"/>
      <w:bookmarkEnd w:id="221"/>
      <w:bookmarkStart w:id="222" w:name="_Toc184313294"/>
      <w:bookmarkEnd w:id="222"/>
      <w:bookmarkStart w:id="223" w:name="_Toc184310328"/>
      <w:bookmarkEnd w:id="223"/>
      <w:bookmarkStart w:id="224" w:name="_Toc184308101"/>
      <w:bookmarkEnd w:id="224"/>
      <w:bookmarkStart w:id="225" w:name="_Toc184313310"/>
      <w:bookmarkEnd w:id="225"/>
      <w:bookmarkStart w:id="226" w:name="_Toc184313252"/>
      <w:bookmarkEnd w:id="226"/>
      <w:bookmarkStart w:id="227" w:name="_Toc184314445"/>
      <w:bookmarkEnd w:id="227"/>
      <w:bookmarkStart w:id="228" w:name="_Toc184308090"/>
      <w:bookmarkEnd w:id="228"/>
      <w:bookmarkStart w:id="229" w:name="_Toc184310323"/>
      <w:bookmarkEnd w:id="229"/>
      <w:bookmarkStart w:id="230" w:name="_Toc184312096"/>
      <w:bookmarkEnd w:id="230"/>
      <w:bookmarkStart w:id="231" w:name="_Toc184313275"/>
      <w:bookmarkEnd w:id="231"/>
      <w:bookmarkStart w:id="232" w:name="_Toc184308059"/>
      <w:bookmarkEnd w:id="232"/>
      <w:bookmarkStart w:id="233" w:name="_Toc184308106"/>
      <w:bookmarkEnd w:id="233"/>
      <w:bookmarkStart w:id="234" w:name="_Toc184314480"/>
      <w:bookmarkEnd w:id="234"/>
      <w:bookmarkStart w:id="235" w:name="_Toc184312076"/>
      <w:bookmarkEnd w:id="235"/>
      <w:bookmarkStart w:id="236" w:name="_Toc184313240"/>
      <w:bookmarkEnd w:id="236"/>
      <w:bookmarkStart w:id="237" w:name="_Toc184313270"/>
      <w:bookmarkEnd w:id="237"/>
      <w:bookmarkStart w:id="238" w:name="_Toc184310303"/>
      <w:bookmarkEnd w:id="238"/>
      <w:bookmarkStart w:id="239" w:name="_Toc184314462"/>
      <w:bookmarkEnd w:id="239"/>
      <w:bookmarkStart w:id="240" w:name="_Toc184314459"/>
      <w:bookmarkEnd w:id="240"/>
      <w:bookmarkStart w:id="241" w:name="_Toc184313250"/>
      <w:bookmarkEnd w:id="241"/>
      <w:bookmarkStart w:id="242" w:name="_Toc184308071"/>
      <w:bookmarkEnd w:id="242"/>
      <w:bookmarkStart w:id="243" w:name="_Toc184310315"/>
      <w:bookmarkEnd w:id="243"/>
      <w:bookmarkStart w:id="244" w:name="_Toc184313307"/>
      <w:bookmarkEnd w:id="244"/>
      <w:bookmarkStart w:id="245" w:name="_Toc184310290"/>
      <w:bookmarkEnd w:id="245"/>
      <w:bookmarkStart w:id="246" w:name="_Toc184312139"/>
      <w:bookmarkEnd w:id="246"/>
      <w:bookmarkStart w:id="247" w:name="_Toc184310292"/>
      <w:bookmarkEnd w:id="247"/>
      <w:bookmarkStart w:id="248" w:name="_Toc184312124"/>
      <w:bookmarkEnd w:id="248"/>
      <w:bookmarkStart w:id="249" w:name="_Toc184314421"/>
      <w:bookmarkEnd w:id="249"/>
      <w:bookmarkStart w:id="250" w:name="_Toc184308065"/>
      <w:bookmarkEnd w:id="250"/>
      <w:bookmarkStart w:id="251" w:name="_Toc184310296"/>
      <w:bookmarkEnd w:id="251"/>
      <w:bookmarkStart w:id="252" w:name="_Toc184308053"/>
      <w:bookmarkEnd w:id="252"/>
      <w:bookmarkStart w:id="253" w:name="_Toc184310341"/>
      <w:bookmarkEnd w:id="253"/>
      <w:bookmarkStart w:id="254" w:name="_Toc184312109"/>
      <w:bookmarkEnd w:id="254"/>
      <w:bookmarkStart w:id="255" w:name="_Toc184310299"/>
      <w:bookmarkEnd w:id="255"/>
      <w:bookmarkStart w:id="256" w:name="_Toc184308107"/>
      <w:bookmarkEnd w:id="256"/>
      <w:bookmarkStart w:id="257" w:name="_Toc184308062"/>
      <w:bookmarkEnd w:id="257"/>
      <w:bookmarkStart w:id="258" w:name="_Toc184310316"/>
      <w:bookmarkEnd w:id="258"/>
      <w:bookmarkStart w:id="259" w:name="_Toc184314476"/>
      <w:bookmarkEnd w:id="259"/>
      <w:bookmarkStart w:id="260" w:name="_Toc184314453"/>
      <w:bookmarkEnd w:id="260"/>
      <w:bookmarkStart w:id="261" w:name="_Toc184313302"/>
      <w:bookmarkEnd w:id="261"/>
      <w:bookmarkStart w:id="262" w:name="_Toc184313267"/>
      <w:bookmarkEnd w:id="262"/>
      <w:bookmarkStart w:id="263" w:name="_Toc184308084"/>
      <w:bookmarkEnd w:id="263"/>
      <w:bookmarkStart w:id="264" w:name="_Toc184308056"/>
      <w:bookmarkEnd w:id="264"/>
      <w:bookmarkStart w:id="265" w:name="_Toc184313249"/>
      <w:bookmarkEnd w:id="265"/>
      <w:bookmarkStart w:id="266" w:name="_Toc184308104"/>
      <w:bookmarkEnd w:id="266"/>
      <w:bookmarkStart w:id="267" w:name="_Toc184310283"/>
      <w:bookmarkEnd w:id="267"/>
      <w:bookmarkStart w:id="268" w:name="_Toc184314446"/>
      <w:bookmarkEnd w:id="268"/>
      <w:bookmarkStart w:id="269" w:name="_Toc184314451"/>
      <w:bookmarkEnd w:id="269"/>
      <w:bookmarkStart w:id="270" w:name="_Toc184312088"/>
      <w:bookmarkEnd w:id="270"/>
      <w:bookmarkStart w:id="271" w:name="_Toc184314411"/>
      <w:bookmarkEnd w:id="271"/>
      <w:bookmarkStart w:id="272" w:name="_Toc184308047"/>
      <w:bookmarkEnd w:id="272"/>
      <w:bookmarkStart w:id="273" w:name="_Toc184313264"/>
      <w:bookmarkEnd w:id="273"/>
      <w:bookmarkStart w:id="274" w:name="_Toc184313282"/>
      <w:bookmarkEnd w:id="274"/>
      <w:bookmarkStart w:id="275" w:name="_Toc184312083"/>
      <w:bookmarkEnd w:id="275"/>
      <w:bookmarkStart w:id="276" w:name="_Toc184308052"/>
      <w:bookmarkEnd w:id="276"/>
      <w:bookmarkStart w:id="277" w:name="_Toc184314456"/>
      <w:bookmarkEnd w:id="277"/>
      <w:bookmarkStart w:id="278" w:name="_Toc184308086"/>
      <w:bookmarkEnd w:id="278"/>
      <w:bookmarkStart w:id="279" w:name="_Toc184312128"/>
      <w:bookmarkEnd w:id="279"/>
      <w:bookmarkStart w:id="280" w:name="_Toc184308098"/>
      <w:bookmarkEnd w:id="280"/>
      <w:bookmarkStart w:id="281" w:name="_Toc184310310"/>
      <w:bookmarkEnd w:id="281"/>
      <w:bookmarkStart w:id="282" w:name="_Toc184312082"/>
      <w:bookmarkEnd w:id="282"/>
      <w:bookmarkStart w:id="283" w:name="_Toc184314425"/>
      <w:bookmarkEnd w:id="283"/>
      <w:bookmarkStart w:id="284" w:name="_Toc184313298"/>
      <w:bookmarkEnd w:id="284"/>
      <w:bookmarkStart w:id="285" w:name="_Toc184310305"/>
      <w:bookmarkEnd w:id="285"/>
      <w:bookmarkStart w:id="286" w:name="_Toc184314417"/>
      <w:bookmarkEnd w:id="286"/>
      <w:bookmarkStart w:id="287" w:name="_Toc184313276"/>
      <w:bookmarkEnd w:id="287"/>
      <w:bookmarkStart w:id="288" w:name="_Toc184308074"/>
      <w:bookmarkEnd w:id="288"/>
      <w:bookmarkStart w:id="289" w:name="_Toc184314474"/>
      <w:bookmarkEnd w:id="289"/>
      <w:bookmarkStart w:id="290" w:name="_Toc184314441"/>
      <w:bookmarkEnd w:id="290"/>
      <w:bookmarkStart w:id="291" w:name="_Toc184314442"/>
      <w:bookmarkEnd w:id="291"/>
      <w:bookmarkStart w:id="292" w:name="_Toc184308087"/>
      <w:bookmarkEnd w:id="292"/>
      <w:bookmarkStart w:id="293" w:name="_Toc184314418"/>
      <w:bookmarkEnd w:id="293"/>
      <w:bookmarkStart w:id="294" w:name="_Toc184312104"/>
      <w:bookmarkEnd w:id="294"/>
      <w:bookmarkStart w:id="295" w:name="_Toc184314465"/>
      <w:bookmarkEnd w:id="295"/>
      <w:bookmarkStart w:id="296" w:name="_Toc184308095"/>
      <w:bookmarkEnd w:id="296"/>
      <w:bookmarkStart w:id="297" w:name="_Toc184310272"/>
      <w:bookmarkEnd w:id="297"/>
      <w:bookmarkStart w:id="298" w:name="_Toc184314466"/>
      <w:bookmarkEnd w:id="298"/>
      <w:bookmarkStart w:id="299" w:name="_Toc184314414"/>
      <w:bookmarkEnd w:id="299"/>
      <w:bookmarkStart w:id="300" w:name="_Toc184312136"/>
      <w:bookmarkEnd w:id="300"/>
      <w:bookmarkStart w:id="301" w:name="_Toc184310325"/>
      <w:bookmarkEnd w:id="301"/>
      <w:bookmarkStart w:id="302" w:name="_Toc184313292"/>
      <w:bookmarkEnd w:id="302"/>
      <w:bookmarkStart w:id="303" w:name="_Toc184308063"/>
      <w:bookmarkEnd w:id="303"/>
      <w:bookmarkStart w:id="304" w:name="_Toc184308076"/>
      <w:bookmarkEnd w:id="304"/>
      <w:bookmarkStart w:id="305" w:name="_Toc184312102"/>
      <w:bookmarkEnd w:id="305"/>
      <w:bookmarkStart w:id="306" w:name="_Toc184308069"/>
      <w:bookmarkEnd w:id="306"/>
      <w:bookmarkStart w:id="307" w:name="_Toc184312091"/>
      <w:bookmarkEnd w:id="307"/>
      <w:bookmarkStart w:id="308" w:name="_Toc184312085"/>
      <w:bookmarkEnd w:id="308"/>
      <w:bookmarkStart w:id="309" w:name="_Toc184312080"/>
      <w:bookmarkEnd w:id="309"/>
      <w:bookmarkStart w:id="310" w:name="_Toc184314460"/>
      <w:bookmarkEnd w:id="310"/>
      <w:bookmarkStart w:id="311" w:name="_Toc184313269"/>
      <w:bookmarkEnd w:id="311"/>
      <w:bookmarkStart w:id="312" w:name="_Toc184313260"/>
      <w:bookmarkEnd w:id="312"/>
      <w:bookmarkStart w:id="313" w:name="_Toc184312073"/>
      <w:bookmarkEnd w:id="313"/>
      <w:bookmarkStart w:id="314" w:name="_Toc184313285"/>
      <w:bookmarkEnd w:id="314"/>
      <w:bookmarkStart w:id="315" w:name="_Toc184308091"/>
      <w:bookmarkEnd w:id="315"/>
      <w:bookmarkStart w:id="316" w:name="_Toc184314424"/>
      <w:bookmarkEnd w:id="316"/>
      <w:bookmarkStart w:id="317" w:name="_Toc184312070"/>
      <w:bookmarkEnd w:id="317"/>
      <w:bookmarkStart w:id="318" w:name="_Toc184312097"/>
      <w:bookmarkEnd w:id="318"/>
      <w:bookmarkStart w:id="319" w:name="_Toc184314413"/>
      <w:bookmarkEnd w:id="319"/>
      <w:bookmarkStart w:id="320" w:name="_Toc184308092"/>
      <w:bookmarkEnd w:id="320"/>
      <w:bookmarkStart w:id="321" w:name="_Toc184314477"/>
      <w:bookmarkEnd w:id="321"/>
      <w:bookmarkStart w:id="322" w:name="_Toc184313295"/>
      <w:bookmarkEnd w:id="322"/>
      <w:bookmarkStart w:id="323" w:name="_Toc184312127"/>
      <w:bookmarkEnd w:id="323"/>
      <w:bookmarkStart w:id="324" w:name="_Toc184314410"/>
      <w:bookmarkEnd w:id="324"/>
      <w:bookmarkStart w:id="325" w:name="_Toc184313297"/>
      <w:bookmarkEnd w:id="325"/>
      <w:bookmarkStart w:id="326" w:name="_Toc184312069"/>
      <w:bookmarkEnd w:id="326"/>
      <w:bookmarkStart w:id="327" w:name="_Toc184312098"/>
      <w:bookmarkEnd w:id="327"/>
      <w:bookmarkStart w:id="328" w:name="_Toc184313288"/>
      <w:bookmarkEnd w:id="328"/>
      <w:bookmarkStart w:id="329" w:name="_Toc184308093"/>
      <w:bookmarkEnd w:id="329"/>
      <w:bookmarkStart w:id="330" w:name="_Toc184310330"/>
      <w:bookmarkEnd w:id="330"/>
      <w:bookmarkStart w:id="331" w:name="_Toc184310338"/>
      <w:bookmarkEnd w:id="331"/>
      <w:bookmarkStart w:id="332" w:name="_Toc184314433"/>
      <w:bookmarkEnd w:id="332"/>
      <w:bookmarkStart w:id="333" w:name="_Toc184312135"/>
      <w:bookmarkEnd w:id="333"/>
      <w:bookmarkStart w:id="334" w:name="_Toc184313259"/>
      <w:bookmarkEnd w:id="334"/>
      <w:bookmarkStart w:id="335" w:name="_Toc184310329"/>
      <w:bookmarkEnd w:id="335"/>
      <w:bookmarkStart w:id="336" w:name="_Toc184314437"/>
      <w:bookmarkEnd w:id="336"/>
      <w:bookmarkStart w:id="337" w:name="_Toc184310281"/>
      <w:bookmarkEnd w:id="337"/>
      <w:bookmarkStart w:id="338" w:name="_Toc184310306"/>
      <w:bookmarkEnd w:id="338"/>
      <w:bookmarkStart w:id="339" w:name="_Toc184313273"/>
      <w:bookmarkEnd w:id="339"/>
      <w:bookmarkStart w:id="340" w:name="_Toc184313299"/>
      <w:bookmarkEnd w:id="340"/>
      <w:bookmarkStart w:id="341" w:name="_Toc184313245"/>
      <w:bookmarkEnd w:id="341"/>
      <w:bookmarkStart w:id="342" w:name="_Toc184313242"/>
      <w:bookmarkEnd w:id="342"/>
      <w:bookmarkStart w:id="343" w:name="_Toc184308054"/>
      <w:bookmarkEnd w:id="343"/>
      <w:bookmarkStart w:id="344" w:name="_Toc184314458"/>
      <w:bookmarkEnd w:id="344"/>
      <w:bookmarkStart w:id="345" w:name="_Toc184314439"/>
      <w:bookmarkEnd w:id="345"/>
      <w:bookmarkStart w:id="346" w:name="_Toc184310297"/>
      <w:bookmarkEnd w:id="346"/>
      <w:bookmarkStart w:id="347" w:name="_Toc184312116"/>
      <w:bookmarkEnd w:id="347"/>
      <w:bookmarkStart w:id="348" w:name="_Toc184314452"/>
      <w:bookmarkEnd w:id="348"/>
      <w:bookmarkStart w:id="349" w:name="_Toc184313304"/>
      <w:bookmarkEnd w:id="349"/>
      <w:bookmarkStart w:id="350" w:name="_Toc184308089"/>
      <w:bookmarkEnd w:id="350"/>
      <w:bookmarkStart w:id="351" w:name="_Toc184308102"/>
      <w:bookmarkEnd w:id="351"/>
      <w:bookmarkStart w:id="352" w:name="_Toc184310317"/>
      <w:bookmarkEnd w:id="352"/>
      <w:bookmarkStart w:id="353" w:name="_Toc184308078"/>
      <w:bookmarkEnd w:id="353"/>
      <w:bookmarkStart w:id="354" w:name="_Toc184314428"/>
      <w:bookmarkEnd w:id="354"/>
      <w:bookmarkStart w:id="355" w:name="_Toc184314469"/>
      <w:bookmarkEnd w:id="355"/>
      <w:bookmarkStart w:id="356" w:name="_Toc184314412"/>
      <w:bookmarkEnd w:id="356"/>
      <w:bookmarkStart w:id="357" w:name="_Toc184310288"/>
      <w:bookmarkEnd w:id="357"/>
      <w:bookmarkStart w:id="358" w:name="_Toc184308097"/>
      <w:bookmarkEnd w:id="358"/>
      <w:bookmarkStart w:id="359" w:name="_Toc184310327"/>
      <w:bookmarkEnd w:id="359"/>
      <w:bookmarkStart w:id="360" w:name="_Toc184313243"/>
      <w:bookmarkEnd w:id="360"/>
      <w:bookmarkStart w:id="361" w:name="_Toc184310318"/>
      <w:bookmarkEnd w:id="361"/>
      <w:bookmarkStart w:id="362" w:name="_Toc184313308"/>
      <w:bookmarkEnd w:id="362"/>
      <w:bookmarkStart w:id="363" w:name="_Toc184308081"/>
      <w:bookmarkEnd w:id="363"/>
      <w:bookmarkStart w:id="364" w:name="_Toc184314419"/>
      <w:bookmarkEnd w:id="364"/>
      <w:bookmarkStart w:id="365" w:name="_Toc184313262"/>
      <w:bookmarkEnd w:id="365"/>
      <w:bookmarkStart w:id="366" w:name="_Toc184312074"/>
      <w:bookmarkEnd w:id="366"/>
      <w:bookmarkStart w:id="367" w:name="_Toc184313263"/>
      <w:bookmarkEnd w:id="367"/>
      <w:bookmarkStart w:id="368" w:name="_Toc184312118"/>
      <w:bookmarkEnd w:id="368"/>
      <w:bookmarkStart w:id="369" w:name="_Toc184312067"/>
      <w:bookmarkEnd w:id="369"/>
      <w:bookmarkStart w:id="370" w:name="_Toc184312093"/>
      <w:bookmarkEnd w:id="370"/>
      <w:bookmarkStart w:id="371" w:name="_Toc184310289"/>
      <w:bookmarkEnd w:id="371"/>
      <w:bookmarkStart w:id="372" w:name="_Toc184313293"/>
      <w:bookmarkEnd w:id="372"/>
      <w:bookmarkStart w:id="373" w:name="_Toc184314416"/>
      <w:bookmarkEnd w:id="373"/>
      <w:bookmarkStart w:id="374" w:name="_Toc184310284"/>
      <w:bookmarkEnd w:id="374"/>
      <w:bookmarkStart w:id="375" w:name="_Toc184310336"/>
      <w:bookmarkEnd w:id="375"/>
      <w:bookmarkStart w:id="376" w:name="_Toc184310301"/>
      <w:bookmarkEnd w:id="376"/>
      <w:bookmarkStart w:id="377" w:name="_Toc184314457"/>
      <w:bookmarkEnd w:id="377"/>
      <w:bookmarkStart w:id="378" w:name="_Toc184313301"/>
      <w:bookmarkEnd w:id="378"/>
      <w:bookmarkStart w:id="379" w:name="_Toc184312095"/>
      <w:bookmarkEnd w:id="379"/>
      <w:bookmarkStart w:id="380" w:name="_Toc184310280"/>
      <w:bookmarkEnd w:id="380"/>
      <w:bookmarkStart w:id="381" w:name="_Toc184313274"/>
      <w:bookmarkEnd w:id="381"/>
      <w:bookmarkStart w:id="382" w:name="_Toc184314432"/>
      <w:bookmarkEnd w:id="382"/>
      <w:bookmarkStart w:id="383" w:name="_Toc184314420"/>
      <w:bookmarkEnd w:id="383"/>
      <w:bookmarkStart w:id="384" w:name="_Toc184310339"/>
      <w:bookmarkEnd w:id="384"/>
      <w:bookmarkStart w:id="385" w:name="_Toc184310285"/>
      <w:bookmarkEnd w:id="385"/>
      <w:bookmarkStart w:id="386" w:name="_Toc184313300"/>
      <w:bookmarkEnd w:id="386"/>
      <w:bookmarkStart w:id="387" w:name="_Toc184310308"/>
      <w:bookmarkEnd w:id="387"/>
      <w:bookmarkStart w:id="388" w:name="_Toc184313268"/>
      <w:bookmarkEnd w:id="388"/>
      <w:bookmarkStart w:id="389" w:name="_Toc184310344"/>
      <w:bookmarkEnd w:id="389"/>
      <w:bookmarkStart w:id="390" w:name="_Toc184310313"/>
      <w:bookmarkEnd w:id="390"/>
      <w:bookmarkStart w:id="391" w:name="_Toc184313247"/>
      <w:bookmarkEnd w:id="391"/>
      <w:bookmarkStart w:id="392" w:name="_Toc184313239"/>
      <w:bookmarkEnd w:id="392"/>
      <w:r>
        <w:rPr>
          <w:rFonts w:hint="eastAsia" w:cs="仿宋" w:asciiTheme="majorEastAsia" w:hAnsiTheme="majorEastAsia" w:eastAsiaTheme="majorEastAsia"/>
          <w:b/>
          <w:color w:val="auto"/>
          <w:sz w:val="36"/>
          <w:szCs w:val="36"/>
        </w:rPr>
        <w:t>评标办法</w:t>
      </w:r>
    </w:p>
    <w:p>
      <w:pPr>
        <w:snapToGrid w:val="0"/>
        <w:spacing w:line="360" w:lineRule="auto"/>
        <w:jc w:val="center"/>
        <w:rPr>
          <w:rFonts w:cs="仿宋" w:asciiTheme="majorEastAsia" w:hAnsiTheme="majorEastAsia" w:eastAsiaTheme="majorEastAsia"/>
          <w:b/>
          <w:color w:val="auto"/>
          <w:sz w:val="32"/>
          <w:szCs w:val="20"/>
        </w:rPr>
      </w:pPr>
      <w:r>
        <w:rPr>
          <w:rFonts w:hint="eastAsia" w:cs="仿宋" w:asciiTheme="majorEastAsia" w:hAnsiTheme="majorEastAsia" w:eastAsiaTheme="majorEastAsia"/>
          <w:b/>
          <w:color w:val="auto"/>
          <w:sz w:val="32"/>
          <w:szCs w:val="20"/>
        </w:rPr>
        <w:t>评标办法前附表</w:t>
      </w:r>
    </w:p>
    <w:tbl>
      <w:tblPr>
        <w:tblStyle w:val="17"/>
        <w:tblW w:w="9073" w:type="dxa"/>
        <w:tblInd w:w="-34" w:type="dxa"/>
        <w:tblLayout w:type="fixed"/>
        <w:tblCellMar>
          <w:top w:w="0" w:type="dxa"/>
          <w:left w:w="108" w:type="dxa"/>
          <w:bottom w:w="0" w:type="dxa"/>
          <w:right w:w="108" w:type="dxa"/>
        </w:tblCellMar>
      </w:tblPr>
      <w:tblGrid>
        <w:gridCol w:w="702"/>
        <w:gridCol w:w="8371"/>
      </w:tblGrid>
      <w:tr>
        <w:tblPrEx>
          <w:tblCellMar>
            <w:top w:w="0" w:type="dxa"/>
            <w:left w:w="108" w:type="dxa"/>
            <w:bottom w:w="0" w:type="dxa"/>
            <w:right w:w="108" w:type="dxa"/>
          </w:tblCellMar>
        </w:tblPrEx>
        <w:trPr>
          <w:trHeight w:val="448" w:hRule="atLeast"/>
        </w:trPr>
        <w:tc>
          <w:tcPr>
            <w:tcW w:w="9073"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color w:val="auto"/>
                <w:kern w:val="1"/>
                <w:sz w:val="24"/>
              </w:rPr>
            </w:pPr>
            <w:r>
              <w:rPr>
                <w:rFonts w:hint="eastAsia" w:ascii="仿宋" w:hAnsi="仿宋" w:eastAsia="仿宋" w:cs="仿宋"/>
                <w:b/>
                <w:color w:val="auto"/>
                <w:sz w:val="24"/>
              </w:rPr>
              <w:t>评分标准</w:t>
            </w:r>
          </w:p>
        </w:tc>
      </w:tr>
      <w:tr>
        <w:tblPrEx>
          <w:tblCellMar>
            <w:top w:w="0" w:type="dxa"/>
            <w:left w:w="108" w:type="dxa"/>
            <w:bottom w:w="0" w:type="dxa"/>
            <w:right w:w="108" w:type="dxa"/>
          </w:tblCellMar>
        </w:tblPrEx>
        <w:tc>
          <w:tcPr>
            <w:tcW w:w="702" w:type="dxa"/>
            <w:vMerge w:val="restart"/>
            <w:tcBorders>
              <w:top w:val="single" w:color="000000" w:sz="4" w:space="0"/>
              <w:left w:val="single" w:color="000000" w:sz="4" w:space="0"/>
              <w:right w:val="single" w:color="000000" w:sz="4" w:space="0"/>
            </w:tcBorders>
            <w:vAlign w:val="center"/>
          </w:tcPr>
          <w:p>
            <w:pPr>
              <w:keepNext w:val="0"/>
              <w:keepLines w:val="0"/>
              <w:pageBreakBefore w:val="0"/>
              <w:tabs>
                <w:tab w:val="left" w:pos="0"/>
              </w:tabs>
              <w:kinsoku/>
              <w:wordWrap/>
              <w:overflowPunct/>
              <w:topLinePunct w:val="0"/>
              <w:autoSpaceDE/>
              <w:autoSpaceDN/>
              <w:bidi w:val="0"/>
              <w:adjustRightInd w:val="0"/>
              <w:snapToGrid w:val="0"/>
              <w:spacing w:line="300" w:lineRule="auto"/>
              <w:textAlignment w:val="auto"/>
              <w:rPr>
                <w:rFonts w:ascii="仿宋" w:hAnsi="仿宋" w:eastAsia="仿宋" w:cs="仿宋"/>
                <w:color w:val="auto"/>
                <w:kern w:val="0"/>
                <w:sz w:val="24"/>
              </w:rPr>
            </w:pPr>
            <w:r>
              <w:rPr>
                <w:rFonts w:hint="eastAsia" w:ascii="仿宋" w:hAnsi="仿宋" w:eastAsia="仿宋" w:cs="仿宋"/>
                <w:color w:val="auto"/>
                <w:kern w:val="0"/>
                <w:sz w:val="24"/>
              </w:rPr>
              <w:t>商务技术分（</w:t>
            </w:r>
            <w:r>
              <w:rPr>
                <w:rFonts w:hint="eastAsia" w:ascii="仿宋" w:hAnsi="仿宋" w:eastAsia="仿宋" w:cs="仿宋"/>
                <w:color w:val="auto"/>
                <w:kern w:val="0"/>
                <w:sz w:val="24"/>
                <w:lang w:val="en-US" w:eastAsia="zh-CN"/>
              </w:rPr>
              <w:t>9</w:t>
            </w:r>
            <w:r>
              <w:rPr>
                <w:rFonts w:hint="eastAsia" w:ascii="仿宋" w:hAnsi="仿宋" w:eastAsia="仿宋" w:cs="仿宋"/>
                <w:color w:val="auto"/>
                <w:kern w:val="0"/>
                <w:sz w:val="24"/>
              </w:rPr>
              <w:t>0分）</w:t>
            </w:r>
          </w:p>
        </w:tc>
        <w:tc>
          <w:tcPr>
            <w:tcW w:w="83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1、采购内容和需求的响应情况（12分）</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textAlignment w:val="auto"/>
              <w:rPr>
                <w:rFonts w:hint="default" w:ascii="Calibri" w:hAnsi="Calibri" w:eastAsia="仿宋_GB2312" w:cs="Times New Roman"/>
                <w:color w:val="auto"/>
                <w:kern w:val="2"/>
                <w:sz w:val="28"/>
                <w:szCs w:val="24"/>
                <w:lang w:val="en-US" w:eastAsia="zh-CN" w:bidi="ar-SA"/>
              </w:rPr>
            </w:pPr>
            <w:r>
              <w:rPr>
                <w:rFonts w:hint="eastAsia" w:ascii="仿宋" w:hAnsi="仿宋" w:eastAsia="仿宋" w:cs="仿宋"/>
                <w:color w:val="auto"/>
                <w:kern w:val="0"/>
                <w:sz w:val="24"/>
                <w:lang w:val="en-US" w:eastAsia="zh-CN"/>
              </w:rPr>
              <w:t>对招标文件“第三章 采购需求”的响应情况，全部响应无任何负偏离的得12分，每项负偏离扣2分，扣完为止。负偏离6条以上的，其投标文件作无效标处理。</w:t>
            </w:r>
          </w:p>
        </w:tc>
      </w:tr>
      <w:tr>
        <w:tblPrEx>
          <w:tblCellMar>
            <w:top w:w="0" w:type="dxa"/>
            <w:left w:w="108" w:type="dxa"/>
            <w:bottom w:w="0" w:type="dxa"/>
            <w:right w:w="108" w:type="dxa"/>
          </w:tblCellMar>
        </w:tblPrEx>
        <w:trPr>
          <w:trHeight w:val="1581" w:hRule="atLeast"/>
        </w:trPr>
        <w:tc>
          <w:tcPr>
            <w:tcW w:w="702" w:type="dxa"/>
            <w:vMerge w:val="continue"/>
            <w:tcBorders>
              <w:left w:val="single" w:color="000000" w:sz="4" w:space="0"/>
              <w:right w:val="single" w:color="000000" w:sz="4" w:space="0"/>
            </w:tcBorders>
            <w:vAlign w:val="center"/>
          </w:tcPr>
          <w:p>
            <w:pPr>
              <w:keepNext w:val="0"/>
              <w:keepLines w:val="0"/>
              <w:pageBreakBefore w:val="0"/>
              <w:tabs>
                <w:tab w:val="left" w:pos="0"/>
              </w:tabs>
              <w:kinsoku/>
              <w:wordWrap/>
              <w:overflowPunct/>
              <w:topLinePunct w:val="0"/>
              <w:autoSpaceDE/>
              <w:autoSpaceDN/>
              <w:bidi w:val="0"/>
              <w:adjustRightInd w:val="0"/>
              <w:snapToGrid w:val="0"/>
              <w:spacing w:line="300" w:lineRule="auto"/>
              <w:textAlignment w:val="auto"/>
              <w:rPr>
                <w:rFonts w:ascii="仿宋" w:hAnsi="仿宋" w:eastAsia="仿宋" w:cs="仿宋"/>
                <w:color w:val="auto"/>
                <w:kern w:val="0"/>
                <w:sz w:val="24"/>
              </w:rPr>
            </w:pPr>
          </w:p>
        </w:tc>
        <w:tc>
          <w:tcPr>
            <w:tcW w:w="83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ind w:firstLine="0" w:firstLine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2、评标委员会根据供应商提供对本项目的了解和分析等进行综合评议（5分）：</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ind w:firstLine="0" w:firstLine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对项目了解程度深的得5-4分； </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ind w:firstLine="0" w:firstLine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对项目了解程度较深的得3.9-2分； </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对项目了解程度比较片面1.9-0分。</w:t>
            </w:r>
          </w:p>
        </w:tc>
      </w:tr>
      <w:tr>
        <w:tblPrEx>
          <w:tblCellMar>
            <w:top w:w="0" w:type="dxa"/>
            <w:left w:w="108" w:type="dxa"/>
            <w:bottom w:w="0" w:type="dxa"/>
            <w:right w:w="108" w:type="dxa"/>
          </w:tblCellMar>
        </w:tblPrEx>
        <w:tc>
          <w:tcPr>
            <w:tcW w:w="702" w:type="dxa"/>
            <w:vMerge w:val="continue"/>
            <w:tcBorders>
              <w:left w:val="single" w:color="000000" w:sz="4" w:space="0"/>
              <w:right w:val="single" w:color="000000" w:sz="4" w:space="0"/>
            </w:tcBorders>
            <w:vAlign w:val="center"/>
          </w:tcPr>
          <w:p>
            <w:pPr>
              <w:keepNext w:val="0"/>
              <w:keepLines w:val="0"/>
              <w:pageBreakBefore w:val="0"/>
              <w:tabs>
                <w:tab w:val="left" w:pos="0"/>
              </w:tabs>
              <w:kinsoku/>
              <w:wordWrap/>
              <w:overflowPunct/>
              <w:topLinePunct w:val="0"/>
              <w:autoSpaceDE/>
              <w:autoSpaceDN/>
              <w:bidi w:val="0"/>
              <w:adjustRightInd w:val="0"/>
              <w:snapToGrid w:val="0"/>
              <w:spacing w:line="300" w:lineRule="auto"/>
              <w:textAlignment w:val="auto"/>
              <w:rPr>
                <w:rFonts w:ascii="仿宋" w:hAnsi="仿宋" w:eastAsia="仿宋" w:cs="仿宋"/>
                <w:color w:val="auto"/>
                <w:kern w:val="0"/>
                <w:sz w:val="24"/>
              </w:rPr>
            </w:pPr>
          </w:p>
        </w:tc>
        <w:tc>
          <w:tcPr>
            <w:tcW w:w="83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3、评标委员会根据供应商提供的针对本项目的重点难点分析进行综合评议（5分）：</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重点难点分析全面合理，理解透彻，具有针对性的得5-4分；</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重点难点分析基本合理，具有一定针对性的得3.9-2分；</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重点难点分析不够合理，针对性一般的得1.9-0分。</w:t>
            </w:r>
          </w:p>
        </w:tc>
      </w:tr>
      <w:tr>
        <w:tblPrEx>
          <w:tblCellMar>
            <w:top w:w="0" w:type="dxa"/>
            <w:left w:w="108" w:type="dxa"/>
            <w:bottom w:w="0" w:type="dxa"/>
            <w:right w:w="108" w:type="dxa"/>
          </w:tblCellMar>
        </w:tblPrEx>
        <w:tc>
          <w:tcPr>
            <w:tcW w:w="702" w:type="dxa"/>
            <w:vMerge w:val="continue"/>
            <w:tcBorders>
              <w:left w:val="single" w:color="000000" w:sz="4" w:space="0"/>
              <w:right w:val="single" w:color="000000" w:sz="4" w:space="0"/>
            </w:tcBorders>
            <w:vAlign w:val="center"/>
          </w:tcPr>
          <w:p>
            <w:pPr>
              <w:keepNext w:val="0"/>
              <w:keepLines w:val="0"/>
              <w:pageBreakBefore w:val="0"/>
              <w:tabs>
                <w:tab w:val="left" w:pos="0"/>
              </w:tabs>
              <w:kinsoku/>
              <w:wordWrap/>
              <w:overflowPunct/>
              <w:topLinePunct w:val="0"/>
              <w:autoSpaceDE/>
              <w:autoSpaceDN/>
              <w:bidi w:val="0"/>
              <w:adjustRightInd w:val="0"/>
              <w:snapToGrid w:val="0"/>
              <w:spacing w:line="300" w:lineRule="auto"/>
              <w:textAlignment w:val="auto"/>
              <w:rPr>
                <w:rFonts w:ascii="仿宋" w:hAnsi="仿宋" w:eastAsia="仿宋" w:cs="仿宋"/>
                <w:color w:val="auto"/>
                <w:kern w:val="0"/>
                <w:sz w:val="24"/>
              </w:rPr>
            </w:pPr>
          </w:p>
        </w:tc>
        <w:tc>
          <w:tcPr>
            <w:tcW w:w="83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4、评标委员会根据供应商提供的重点难点分析后，提出相应的解决办法及措施的切实可行性等进行综合评议（5分）：</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解决办法及措施全面合理、具有针对性的得5-4分； </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解决办法及措施基本合理、具有一定针对性的得3.9-2分； </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textAlignment w:val="auto"/>
              <w:rPr>
                <w:rFonts w:hint="eastAsia" w:ascii="宋体" w:hAnsi="宋体" w:eastAsia="宋体" w:cs="宋体"/>
                <w:color w:val="auto"/>
                <w:sz w:val="24"/>
                <w:lang w:val="en-US" w:eastAsia="zh-CN"/>
              </w:rPr>
            </w:pPr>
            <w:r>
              <w:rPr>
                <w:rFonts w:hint="eastAsia" w:ascii="仿宋" w:hAnsi="仿宋" w:eastAsia="仿宋" w:cs="仿宋"/>
                <w:color w:val="auto"/>
                <w:kern w:val="0"/>
                <w:sz w:val="24"/>
                <w:lang w:val="en-US" w:eastAsia="zh-CN"/>
              </w:rPr>
              <w:t>解决办法及措施不够合理、针对性一般的得1.9-0分。</w:t>
            </w:r>
          </w:p>
        </w:tc>
      </w:tr>
      <w:tr>
        <w:tblPrEx>
          <w:tblCellMar>
            <w:top w:w="0" w:type="dxa"/>
            <w:left w:w="108" w:type="dxa"/>
            <w:bottom w:w="0" w:type="dxa"/>
            <w:right w:w="108" w:type="dxa"/>
          </w:tblCellMar>
        </w:tblPrEx>
        <w:tc>
          <w:tcPr>
            <w:tcW w:w="702" w:type="dxa"/>
            <w:vMerge w:val="continue"/>
            <w:tcBorders>
              <w:left w:val="single" w:color="000000" w:sz="4" w:space="0"/>
              <w:right w:val="single" w:color="000000" w:sz="4" w:space="0"/>
            </w:tcBorders>
            <w:vAlign w:val="center"/>
          </w:tcPr>
          <w:p>
            <w:pPr>
              <w:keepNext w:val="0"/>
              <w:keepLines w:val="0"/>
              <w:pageBreakBefore w:val="0"/>
              <w:tabs>
                <w:tab w:val="left" w:pos="0"/>
              </w:tabs>
              <w:kinsoku/>
              <w:wordWrap/>
              <w:overflowPunct/>
              <w:topLinePunct w:val="0"/>
              <w:autoSpaceDE/>
              <w:autoSpaceDN/>
              <w:bidi w:val="0"/>
              <w:adjustRightInd w:val="0"/>
              <w:snapToGrid w:val="0"/>
              <w:spacing w:line="300" w:lineRule="auto"/>
              <w:textAlignment w:val="auto"/>
              <w:rPr>
                <w:rFonts w:ascii="仿宋" w:hAnsi="仿宋" w:eastAsia="仿宋" w:cs="仿宋"/>
                <w:color w:val="auto"/>
                <w:kern w:val="0"/>
                <w:sz w:val="24"/>
              </w:rPr>
            </w:pPr>
          </w:p>
        </w:tc>
        <w:tc>
          <w:tcPr>
            <w:tcW w:w="83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ind w:firstLine="0" w:firstLine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5、评标委员会根据供应商提供的服务方案进行综合评议（5分）：</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ind w:firstLine="0" w:firstLine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服务方案完整、详细、完全满足本项目需求的得5-4分； </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ind w:firstLine="0" w:firstLine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服务方案基本完整、细节上略有欠缺，但能基本满足本项目的需求的得3.9-2 分； </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服务方案不完整、或有明显缺漏、无法满足本项目需求的得1.9-0 分。</w:t>
            </w:r>
          </w:p>
        </w:tc>
      </w:tr>
      <w:tr>
        <w:tblPrEx>
          <w:tblCellMar>
            <w:top w:w="0" w:type="dxa"/>
            <w:left w:w="108" w:type="dxa"/>
            <w:bottom w:w="0" w:type="dxa"/>
            <w:right w:w="108" w:type="dxa"/>
          </w:tblCellMar>
        </w:tblPrEx>
        <w:tc>
          <w:tcPr>
            <w:tcW w:w="702" w:type="dxa"/>
            <w:vMerge w:val="continue"/>
            <w:tcBorders>
              <w:left w:val="single" w:color="000000" w:sz="4" w:space="0"/>
              <w:right w:val="single" w:color="000000" w:sz="4" w:space="0"/>
            </w:tcBorders>
            <w:vAlign w:val="center"/>
          </w:tcPr>
          <w:p>
            <w:pPr>
              <w:keepNext w:val="0"/>
              <w:keepLines w:val="0"/>
              <w:pageBreakBefore w:val="0"/>
              <w:tabs>
                <w:tab w:val="left" w:pos="0"/>
              </w:tabs>
              <w:kinsoku/>
              <w:wordWrap/>
              <w:overflowPunct/>
              <w:topLinePunct w:val="0"/>
              <w:autoSpaceDE/>
              <w:autoSpaceDN/>
              <w:bidi w:val="0"/>
              <w:adjustRightInd w:val="0"/>
              <w:snapToGrid w:val="0"/>
              <w:spacing w:line="300" w:lineRule="auto"/>
              <w:textAlignment w:val="auto"/>
              <w:rPr>
                <w:rFonts w:ascii="仿宋" w:hAnsi="仿宋" w:eastAsia="仿宋" w:cs="仿宋"/>
                <w:color w:val="auto"/>
                <w:kern w:val="0"/>
                <w:sz w:val="24"/>
              </w:rPr>
            </w:pPr>
          </w:p>
        </w:tc>
        <w:tc>
          <w:tcPr>
            <w:tcW w:w="83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ind w:firstLine="0" w:firstLine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6、评标委员会根据供应商对本项目的计划进度安排、进度控制、时间节点的把握合理性等进行综合评议（5分）：</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ind w:firstLine="0" w:firstLine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组织和实施计划全面合理、具有针对性的得5-4分； </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ind w:firstLine="0" w:firstLine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组织和实施计划基本合理、具有一定针对性的得3.9-2分； </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组织和实施计划不够合理、针对性一般的得1.9-0分。</w:t>
            </w:r>
          </w:p>
        </w:tc>
      </w:tr>
      <w:tr>
        <w:tblPrEx>
          <w:tblCellMar>
            <w:top w:w="0" w:type="dxa"/>
            <w:left w:w="108" w:type="dxa"/>
            <w:bottom w:w="0" w:type="dxa"/>
            <w:right w:w="108" w:type="dxa"/>
          </w:tblCellMar>
        </w:tblPrEx>
        <w:tc>
          <w:tcPr>
            <w:tcW w:w="702" w:type="dxa"/>
            <w:vMerge w:val="continue"/>
            <w:tcBorders>
              <w:left w:val="single" w:color="000000" w:sz="4" w:space="0"/>
              <w:right w:val="single" w:color="000000" w:sz="4" w:space="0"/>
            </w:tcBorders>
            <w:vAlign w:val="center"/>
          </w:tcPr>
          <w:p>
            <w:pPr>
              <w:keepNext w:val="0"/>
              <w:keepLines w:val="0"/>
              <w:pageBreakBefore w:val="0"/>
              <w:tabs>
                <w:tab w:val="left" w:pos="0"/>
              </w:tabs>
              <w:kinsoku/>
              <w:wordWrap/>
              <w:overflowPunct/>
              <w:topLinePunct w:val="0"/>
              <w:autoSpaceDE/>
              <w:autoSpaceDN/>
              <w:bidi w:val="0"/>
              <w:adjustRightInd w:val="0"/>
              <w:snapToGrid w:val="0"/>
              <w:spacing w:line="300" w:lineRule="auto"/>
              <w:textAlignment w:val="auto"/>
              <w:rPr>
                <w:rFonts w:ascii="仿宋" w:hAnsi="仿宋" w:eastAsia="仿宋" w:cs="仿宋"/>
                <w:color w:val="auto"/>
                <w:kern w:val="0"/>
                <w:sz w:val="24"/>
              </w:rPr>
            </w:pPr>
          </w:p>
        </w:tc>
        <w:tc>
          <w:tcPr>
            <w:tcW w:w="83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ind w:firstLine="0" w:firstLine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7、评标委员会根据供应商对本项目的文明作业措施进行进行综合评议（5分）：</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ind w:firstLine="0" w:firstLine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文明作业措施内容齐全、措施到位的得5-4分； </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ind w:firstLine="0" w:firstLine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文明作业措施相对完整、措施基本可行的得3.9-2分； </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文明作业措施较少、可行性较低的得1.9-0 分</w:t>
            </w:r>
          </w:p>
        </w:tc>
      </w:tr>
      <w:tr>
        <w:tblPrEx>
          <w:tblCellMar>
            <w:top w:w="0" w:type="dxa"/>
            <w:left w:w="108" w:type="dxa"/>
            <w:bottom w:w="0" w:type="dxa"/>
            <w:right w:w="108" w:type="dxa"/>
          </w:tblCellMar>
        </w:tblPrEx>
        <w:tc>
          <w:tcPr>
            <w:tcW w:w="702" w:type="dxa"/>
            <w:vMerge w:val="continue"/>
            <w:tcBorders>
              <w:left w:val="single" w:color="000000" w:sz="4" w:space="0"/>
              <w:right w:val="single" w:color="000000" w:sz="4" w:space="0"/>
            </w:tcBorders>
            <w:vAlign w:val="center"/>
          </w:tcPr>
          <w:p>
            <w:pPr>
              <w:keepNext w:val="0"/>
              <w:keepLines w:val="0"/>
              <w:pageBreakBefore w:val="0"/>
              <w:tabs>
                <w:tab w:val="left" w:pos="0"/>
              </w:tabs>
              <w:kinsoku/>
              <w:wordWrap/>
              <w:overflowPunct/>
              <w:topLinePunct w:val="0"/>
              <w:autoSpaceDE/>
              <w:autoSpaceDN/>
              <w:bidi w:val="0"/>
              <w:adjustRightInd w:val="0"/>
              <w:snapToGrid w:val="0"/>
              <w:spacing w:line="300" w:lineRule="auto"/>
              <w:textAlignment w:val="auto"/>
              <w:rPr>
                <w:rFonts w:ascii="仿宋" w:hAnsi="仿宋" w:eastAsia="仿宋" w:cs="仿宋"/>
                <w:color w:val="auto"/>
                <w:kern w:val="0"/>
                <w:sz w:val="24"/>
              </w:rPr>
            </w:pPr>
          </w:p>
        </w:tc>
        <w:tc>
          <w:tcPr>
            <w:tcW w:w="83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ind w:firstLine="0" w:firstLine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8、评标委员会根据供应商提供的安全生产措施进行综合评议（5分）：</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ind w:firstLine="0" w:firstLine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安全生产措施内容齐全、措施到位的得5-4分； </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ind w:firstLine="0" w:firstLine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安全生产措施相对完整、措施基本可行的得3.9-2分； </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textAlignment w:val="auto"/>
              <w:rPr>
                <w:rFonts w:ascii="仿宋" w:hAnsi="仿宋" w:eastAsia="仿宋" w:cs="仿宋"/>
                <w:color w:val="auto"/>
                <w:kern w:val="0"/>
                <w:sz w:val="24"/>
              </w:rPr>
            </w:pPr>
            <w:r>
              <w:rPr>
                <w:rFonts w:hint="eastAsia" w:ascii="仿宋" w:hAnsi="仿宋" w:eastAsia="仿宋" w:cs="仿宋"/>
                <w:color w:val="auto"/>
                <w:kern w:val="0"/>
                <w:sz w:val="24"/>
                <w:lang w:val="en-US" w:eastAsia="zh-CN"/>
              </w:rPr>
              <w:t>安全生产措施较少、可行性较低的得1.9-0 分</w:t>
            </w:r>
          </w:p>
        </w:tc>
      </w:tr>
      <w:tr>
        <w:tblPrEx>
          <w:tblCellMar>
            <w:top w:w="0" w:type="dxa"/>
            <w:left w:w="108" w:type="dxa"/>
            <w:bottom w:w="0" w:type="dxa"/>
            <w:right w:w="108" w:type="dxa"/>
          </w:tblCellMar>
        </w:tblPrEx>
        <w:tc>
          <w:tcPr>
            <w:tcW w:w="702" w:type="dxa"/>
            <w:vMerge w:val="continue"/>
            <w:tcBorders>
              <w:left w:val="single" w:color="000000" w:sz="4" w:space="0"/>
              <w:right w:val="single" w:color="000000" w:sz="4" w:space="0"/>
            </w:tcBorders>
            <w:vAlign w:val="center"/>
          </w:tcPr>
          <w:p>
            <w:pPr>
              <w:keepNext w:val="0"/>
              <w:keepLines w:val="0"/>
              <w:pageBreakBefore w:val="0"/>
              <w:tabs>
                <w:tab w:val="left" w:pos="0"/>
              </w:tabs>
              <w:kinsoku/>
              <w:wordWrap/>
              <w:overflowPunct/>
              <w:topLinePunct w:val="0"/>
              <w:autoSpaceDE/>
              <w:autoSpaceDN/>
              <w:bidi w:val="0"/>
              <w:adjustRightInd w:val="0"/>
              <w:snapToGrid w:val="0"/>
              <w:spacing w:line="300" w:lineRule="auto"/>
              <w:textAlignment w:val="auto"/>
              <w:rPr>
                <w:rFonts w:ascii="仿宋" w:hAnsi="仿宋" w:eastAsia="仿宋" w:cs="仿宋"/>
                <w:color w:val="auto"/>
                <w:kern w:val="0"/>
                <w:sz w:val="24"/>
              </w:rPr>
            </w:pPr>
          </w:p>
        </w:tc>
        <w:tc>
          <w:tcPr>
            <w:tcW w:w="83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9、评标委员会根据供应商提供的针对本项目制订具体的质量保证措施进行综合评议（5分）：</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ind w:firstLine="0" w:firstLine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质量保证措施内容齐全、措施到位的得5-4分； </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ind w:firstLine="0" w:firstLine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质量保证措施相对完整、措施基本可行的得3.9-2分； </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质量保证措施较少、可行性较低的得1.9-0 分</w:t>
            </w:r>
          </w:p>
        </w:tc>
      </w:tr>
      <w:tr>
        <w:tblPrEx>
          <w:tblCellMar>
            <w:top w:w="0" w:type="dxa"/>
            <w:left w:w="108" w:type="dxa"/>
            <w:bottom w:w="0" w:type="dxa"/>
            <w:right w:w="108" w:type="dxa"/>
          </w:tblCellMar>
        </w:tblPrEx>
        <w:tc>
          <w:tcPr>
            <w:tcW w:w="702" w:type="dxa"/>
            <w:vMerge w:val="continue"/>
            <w:tcBorders>
              <w:left w:val="single" w:color="000000" w:sz="4" w:space="0"/>
              <w:right w:val="single" w:color="000000" w:sz="4" w:space="0"/>
            </w:tcBorders>
            <w:vAlign w:val="center"/>
          </w:tcPr>
          <w:p>
            <w:pPr>
              <w:keepNext w:val="0"/>
              <w:keepLines w:val="0"/>
              <w:pageBreakBefore w:val="0"/>
              <w:tabs>
                <w:tab w:val="left" w:pos="0"/>
              </w:tabs>
              <w:kinsoku/>
              <w:wordWrap/>
              <w:overflowPunct/>
              <w:topLinePunct w:val="0"/>
              <w:autoSpaceDE/>
              <w:autoSpaceDN/>
              <w:bidi w:val="0"/>
              <w:adjustRightInd w:val="0"/>
              <w:snapToGrid w:val="0"/>
              <w:spacing w:line="300" w:lineRule="auto"/>
              <w:textAlignment w:val="auto"/>
              <w:rPr>
                <w:rFonts w:ascii="仿宋" w:hAnsi="仿宋" w:eastAsia="仿宋" w:cs="仿宋"/>
                <w:color w:val="auto"/>
                <w:kern w:val="0"/>
                <w:sz w:val="24"/>
              </w:rPr>
            </w:pPr>
          </w:p>
        </w:tc>
        <w:tc>
          <w:tcPr>
            <w:tcW w:w="83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textAlignment w:val="auto"/>
              <w:rPr>
                <w:rFonts w:hint="eastAsia" w:ascii="仿宋" w:hAnsi="仿宋" w:eastAsia="仿宋" w:cs="仿宋"/>
                <w:color w:val="auto"/>
                <w:kern w:val="0"/>
                <w:sz w:val="24"/>
                <w:lang w:val="en-US" w:eastAsia="zh-CN"/>
              </w:rPr>
            </w:pPr>
            <w:r>
              <w:rPr>
                <w:rFonts w:hint="eastAsia" w:ascii="宋体" w:hAnsi="宋体" w:cs="宋体"/>
                <w:color w:val="auto"/>
                <w:sz w:val="24"/>
                <w:lang w:val="en-US" w:eastAsia="zh-CN"/>
              </w:rPr>
              <w:t>10</w:t>
            </w:r>
            <w:r>
              <w:rPr>
                <w:rFonts w:hint="eastAsia" w:ascii="仿宋" w:hAnsi="仿宋" w:eastAsia="仿宋" w:cs="仿宋"/>
                <w:color w:val="auto"/>
                <w:kern w:val="0"/>
                <w:sz w:val="24"/>
                <w:lang w:val="en-US" w:eastAsia="zh-CN"/>
              </w:rPr>
              <w:t>、评标委员会根据供应商提供的针对本项目设置的管理机构及各部门职责进行综合评议（5分）：</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管理机构设置科学合理、各部门职责划分合理明确得5-4分；</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管理机构设置基本合理、各部门职责划分基本合理得3.9-2分；</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管理机构设置各部门职责划分模糊不清得1.9-0分。</w:t>
            </w:r>
          </w:p>
        </w:tc>
      </w:tr>
      <w:tr>
        <w:tblPrEx>
          <w:tblCellMar>
            <w:top w:w="0" w:type="dxa"/>
            <w:left w:w="108" w:type="dxa"/>
            <w:bottom w:w="0" w:type="dxa"/>
            <w:right w:w="108" w:type="dxa"/>
          </w:tblCellMar>
        </w:tblPrEx>
        <w:tc>
          <w:tcPr>
            <w:tcW w:w="702" w:type="dxa"/>
            <w:vMerge w:val="continue"/>
            <w:tcBorders>
              <w:left w:val="single" w:color="000000" w:sz="4" w:space="0"/>
              <w:right w:val="single" w:color="000000" w:sz="4" w:space="0"/>
            </w:tcBorders>
            <w:vAlign w:val="center"/>
          </w:tcPr>
          <w:p>
            <w:pPr>
              <w:keepNext w:val="0"/>
              <w:keepLines w:val="0"/>
              <w:pageBreakBefore w:val="0"/>
              <w:tabs>
                <w:tab w:val="left" w:pos="0"/>
              </w:tabs>
              <w:kinsoku/>
              <w:wordWrap/>
              <w:overflowPunct/>
              <w:topLinePunct w:val="0"/>
              <w:autoSpaceDE/>
              <w:autoSpaceDN/>
              <w:bidi w:val="0"/>
              <w:adjustRightInd w:val="0"/>
              <w:snapToGrid w:val="0"/>
              <w:spacing w:line="300" w:lineRule="auto"/>
              <w:textAlignment w:val="auto"/>
              <w:rPr>
                <w:rFonts w:ascii="仿宋" w:hAnsi="仿宋" w:eastAsia="仿宋" w:cs="仿宋"/>
                <w:color w:val="auto"/>
                <w:kern w:val="0"/>
                <w:sz w:val="24"/>
              </w:rPr>
            </w:pPr>
          </w:p>
        </w:tc>
        <w:tc>
          <w:tcPr>
            <w:tcW w:w="83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11、评标委员会根据供应商的针对本项目设置的项目负责人进行综合评议（5分）：</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项目负责人</w:t>
            </w:r>
            <w:r>
              <w:rPr>
                <w:rFonts w:hint="eastAsia" w:ascii="仿宋" w:hAnsi="仿宋" w:eastAsia="仿宋" w:cs="仿宋"/>
                <w:color w:val="auto"/>
                <w:kern w:val="0"/>
                <w:sz w:val="24"/>
                <w:lang w:eastAsia="zh-CN"/>
              </w:rPr>
              <w:t>同时</w:t>
            </w:r>
            <w:r>
              <w:rPr>
                <w:rFonts w:hint="eastAsia" w:ascii="仿宋" w:hAnsi="仿宋" w:eastAsia="仿宋" w:cs="仿宋"/>
                <w:color w:val="auto"/>
                <w:kern w:val="0"/>
                <w:sz w:val="24"/>
              </w:rPr>
              <w:t>具有注册土木工程师（水利水电工程</w:t>
            </w:r>
            <w:r>
              <w:rPr>
                <w:rFonts w:hint="eastAsia" w:ascii="仿宋" w:hAnsi="仿宋" w:eastAsia="仿宋" w:cs="仿宋"/>
                <w:color w:val="auto"/>
                <w:kern w:val="0"/>
                <w:sz w:val="24"/>
                <w:lang w:eastAsia="zh-CN"/>
              </w:rPr>
              <w:t>水工</w:t>
            </w:r>
            <w:r>
              <w:rPr>
                <w:rFonts w:hint="eastAsia" w:ascii="仿宋" w:hAnsi="仿宋" w:eastAsia="仿宋" w:cs="仿宋"/>
                <w:color w:val="auto"/>
                <w:kern w:val="0"/>
                <w:sz w:val="24"/>
              </w:rPr>
              <w:t>地质）</w:t>
            </w:r>
            <w:r>
              <w:rPr>
                <w:rFonts w:hint="eastAsia" w:ascii="仿宋" w:hAnsi="仿宋" w:eastAsia="仿宋" w:cs="仿宋"/>
                <w:color w:val="auto"/>
                <w:kern w:val="0"/>
                <w:sz w:val="24"/>
                <w:lang w:eastAsia="zh-CN"/>
              </w:rPr>
              <w:t>和</w:t>
            </w:r>
            <w:r>
              <w:rPr>
                <w:rFonts w:hint="eastAsia" w:ascii="仿宋" w:hAnsi="仿宋" w:eastAsia="仿宋" w:cs="仿宋"/>
                <w:color w:val="auto"/>
                <w:kern w:val="0"/>
                <w:sz w:val="24"/>
              </w:rPr>
              <w:t>注册岩土工程师资格证书</w:t>
            </w:r>
            <w:r>
              <w:rPr>
                <w:rFonts w:hint="eastAsia" w:ascii="仿宋" w:hAnsi="仿宋" w:eastAsia="仿宋" w:cs="仿宋"/>
                <w:color w:val="auto"/>
                <w:kern w:val="0"/>
                <w:sz w:val="24"/>
                <w:lang w:eastAsia="zh-CN"/>
              </w:rPr>
              <w:t>及水利水电类高级工程师及以上职称</w:t>
            </w:r>
            <w:r>
              <w:rPr>
                <w:rFonts w:hint="eastAsia" w:ascii="仿宋" w:hAnsi="仿宋" w:eastAsia="仿宋" w:cs="仿宋"/>
                <w:color w:val="auto"/>
                <w:kern w:val="0"/>
                <w:sz w:val="24"/>
              </w:rPr>
              <w:t>的得2分</w:t>
            </w:r>
            <w:r>
              <w:rPr>
                <w:rFonts w:hint="eastAsia" w:ascii="仿宋" w:hAnsi="仿宋" w:eastAsia="仿宋" w:cs="仿宋"/>
                <w:color w:val="auto"/>
                <w:kern w:val="0"/>
                <w:sz w:val="24"/>
                <w:lang w:val="en-US" w:eastAsia="zh-CN"/>
              </w:rPr>
              <w:t>；</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（2）对拟派项目负责人工作经验进行综合评议（0-3分）。</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注：投标文件中提供相关材料。</w:t>
            </w:r>
          </w:p>
        </w:tc>
      </w:tr>
      <w:tr>
        <w:tblPrEx>
          <w:tblCellMar>
            <w:top w:w="0" w:type="dxa"/>
            <w:left w:w="108" w:type="dxa"/>
            <w:bottom w:w="0" w:type="dxa"/>
            <w:right w:w="108" w:type="dxa"/>
          </w:tblCellMar>
        </w:tblPrEx>
        <w:tc>
          <w:tcPr>
            <w:tcW w:w="702" w:type="dxa"/>
            <w:vMerge w:val="continue"/>
            <w:tcBorders>
              <w:left w:val="single" w:color="000000" w:sz="4" w:space="0"/>
              <w:right w:val="single" w:color="000000" w:sz="4" w:space="0"/>
            </w:tcBorders>
            <w:vAlign w:val="center"/>
          </w:tcPr>
          <w:p>
            <w:pPr>
              <w:keepNext w:val="0"/>
              <w:keepLines w:val="0"/>
              <w:pageBreakBefore w:val="0"/>
              <w:tabs>
                <w:tab w:val="left" w:pos="0"/>
              </w:tabs>
              <w:kinsoku/>
              <w:wordWrap/>
              <w:overflowPunct/>
              <w:topLinePunct w:val="0"/>
              <w:autoSpaceDE/>
              <w:autoSpaceDN/>
              <w:bidi w:val="0"/>
              <w:adjustRightInd w:val="0"/>
              <w:snapToGrid w:val="0"/>
              <w:spacing w:line="300" w:lineRule="auto"/>
              <w:textAlignment w:val="auto"/>
              <w:rPr>
                <w:rFonts w:ascii="仿宋" w:hAnsi="仿宋" w:eastAsia="仿宋" w:cs="仿宋"/>
                <w:color w:val="auto"/>
                <w:kern w:val="0"/>
                <w:sz w:val="24"/>
              </w:rPr>
            </w:pPr>
          </w:p>
        </w:tc>
        <w:tc>
          <w:tcPr>
            <w:tcW w:w="83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12、评标委员会根据供应商的针对本项目设置的团队综合能力进行综合评议（5分）：</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（1）对除项目负责人以外的人员工作经验进行综合评议（0-3分）；</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（2）对除项目负责人以外的人员学历、职业水平进行综合评议（0-2分）。</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注：投标文件中须提供相关证明材料复印件。</w:t>
            </w:r>
          </w:p>
        </w:tc>
      </w:tr>
      <w:tr>
        <w:tblPrEx>
          <w:tblCellMar>
            <w:top w:w="0" w:type="dxa"/>
            <w:left w:w="108" w:type="dxa"/>
            <w:bottom w:w="0" w:type="dxa"/>
            <w:right w:w="108" w:type="dxa"/>
          </w:tblCellMar>
        </w:tblPrEx>
        <w:tc>
          <w:tcPr>
            <w:tcW w:w="702" w:type="dxa"/>
            <w:vMerge w:val="continue"/>
            <w:tcBorders>
              <w:left w:val="single" w:color="000000" w:sz="4" w:space="0"/>
              <w:right w:val="single" w:color="000000" w:sz="4" w:space="0"/>
            </w:tcBorders>
            <w:vAlign w:val="center"/>
          </w:tcPr>
          <w:p>
            <w:pPr>
              <w:keepNext w:val="0"/>
              <w:keepLines w:val="0"/>
              <w:pageBreakBefore w:val="0"/>
              <w:tabs>
                <w:tab w:val="left" w:pos="0"/>
              </w:tabs>
              <w:kinsoku/>
              <w:wordWrap/>
              <w:overflowPunct/>
              <w:topLinePunct w:val="0"/>
              <w:autoSpaceDE/>
              <w:autoSpaceDN/>
              <w:bidi w:val="0"/>
              <w:adjustRightInd w:val="0"/>
              <w:snapToGrid w:val="0"/>
              <w:spacing w:line="300" w:lineRule="auto"/>
              <w:textAlignment w:val="auto"/>
              <w:rPr>
                <w:rFonts w:ascii="仿宋" w:hAnsi="仿宋" w:eastAsia="仿宋" w:cs="仿宋"/>
                <w:color w:val="auto"/>
                <w:kern w:val="0"/>
                <w:sz w:val="24"/>
              </w:rPr>
            </w:pPr>
          </w:p>
        </w:tc>
        <w:tc>
          <w:tcPr>
            <w:tcW w:w="83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textAlignment w:val="auto"/>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13、评标委员会根据供应商针对本项目仪器设备配备进行综合评议（5分）：</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仪器设备配置先进、充足且优于本项目实际需求得5-4分；</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仪器设备配置不够先进、基本充足且基本满足本项目实际需求得3.9-2分；</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仪器设备配置不够充足得1.9-0分。</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备注：投标文件中提供本项目所需仪器设备清单（格式自拟）及相关证明材料。</w:t>
            </w:r>
          </w:p>
        </w:tc>
      </w:tr>
      <w:tr>
        <w:tblPrEx>
          <w:tblCellMar>
            <w:top w:w="0" w:type="dxa"/>
            <w:left w:w="108" w:type="dxa"/>
            <w:bottom w:w="0" w:type="dxa"/>
            <w:right w:w="108" w:type="dxa"/>
          </w:tblCellMar>
        </w:tblPrEx>
        <w:tc>
          <w:tcPr>
            <w:tcW w:w="702" w:type="dxa"/>
            <w:vMerge w:val="continue"/>
            <w:tcBorders>
              <w:left w:val="single" w:color="000000" w:sz="4" w:space="0"/>
              <w:right w:val="single" w:color="000000" w:sz="4" w:space="0"/>
            </w:tcBorders>
            <w:vAlign w:val="center"/>
          </w:tcPr>
          <w:p>
            <w:pPr>
              <w:keepNext w:val="0"/>
              <w:keepLines w:val="0"/>
              <w:pageBreakBefore w:val="0"/>
              <w:tabs>
                <w:tab w:val="left" w:pos="0"/>
              </w:tabs>
              <w:kinsoku/>
              <w:wordWrap/>
              <w:overflowPunct/>
              <w:topLinePunct w:val="0"/>
              <w:autoSpaceDE/>
              <w:autoSpaceDN/>
              <w:bidi w:val="0"/>
              <w:adjustRightInd w:val="0"/>
              <w:snapToGrid w:val="0"/>
              <w:spacing w:line="300" w:lineRule="auto"/>
              <w:textAlignment w:val="auto"/>
              <w:rPr>
                <w:rFonts w:ascii="仿宋" w:hAnsi="仿宋" w:eastAsia="仿宋" w:cs="仿宋"/>
                <w:color w:val="auto"/>
                <w:kern w:val="0"/>
                <w:sz w:val="24"/>
              </w:rPr>
            </w:pPr>
          </w:p>
        </w:tc>
        <w:tc>
          <w:tcPr>
            <w:tcW w:w="83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ind w:firstLine="0" w:firstLine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14评标委员会根据供应商的服务便捷性进行综合评议（5分）：</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ind w:firstLine="0" w:firstLine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较为便捷、完全满足本项目需求的得5-4分； </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ind w:firstLine="0" w:firstLine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便捷性基本满足本项目的需求的得3.9-2分； </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便捷性略有欠缺，或有明显缺漏、无法满足本项目需求的得1.9-0分。</w:t>
            </w:r>
          </w:p>
        </w:tc>
      </w:tr>
      <w:tr>
        <w:tblPrEx>
          <w:tblCellMar>
            <w:top w:w="0" w:type="dxa"/>
            <w:left w:w="108" w:type="dxa"/>
            <w:bottom w:w="0" w:type="dxa"/>
            <w:right w:w="108" w:type="dxa"/>
          </w:tblCellMar>
        </w:tblPrEx>
        <w:tc>
          <w:tcPr>
            <w:tcW w:w="702" w:type="dxa"/>
            <w:vMerge w:val="continue"/>
            <w:tcBorders>
              <w:left w:val="single" w:color="000000" w:sz="4" w:space="0"/>
              <w:right w:val="single" w:color="000000" w:sz="4" w:space="0"/>
            </w:tcBorders>
            <w:vAlign w:val="center"/>
          </w:tcPr>
          <w:p>
            <w:pPr>
              <w:keepNext w:val="0"/>
              <w:keepLines w:val="0"/>
              <w:pageBreakBefore w:val="0"/>
              <w:tabs>
                <w:tab w:val="left" w:pos="0"/>
              </w:tabs>
              <w:kinsoku/>
              <w:wordWrap/>
              <w:overflowPunct/>
              <w:topLinePunct w:val="0"/>
              <w:autoSpaceDE/>
              <w:autoSpaceDN/>
              <w:bidi w:val="0"/>
              <w:adjustRightInd w:val="0"/>
              <w:snapToGrid w:val="0"/>
              <w:spacing w:line="300" w:lineRule="auto"/>
              <w:textAlignment w:val="auto"/>
              <w:rPr>
                <w:rFonts w:ascii="仿宋" w:hAnsi="仿宋" w:eastAsia="仿宋" w:cs="仿宋"/>
                <w:color w:val="auto"/>
                <w:kern w:val="0"/>
                <w:sz w:val="24"/>
              </w:rPr>
            </w:pPr>
          </w:p>
        </w:tc>
        <w:tc>
          <w:tcPr>
            <w:tcW w:w="83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ind w:firstLine="0" w:firstLine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15评标委员会根据投标文件中突发事件的应急抢险方案（包括应急抢险队伍的组织，地质灾害、雨雪天气的预防、抢险措施）进行综合评议（5分）：</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ind w:firstLine="0" w:firstLine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应急预案全面合理、具有针对性的得 5-4分； </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ind w:firstLine="0" w:firstLine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应急预案基本合理、具有一定针对性的得3.9-2 分； </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应急预案不够合理、针对性一般的得1.9-0 分。</w:t>
            </w:r>
          </w:p>
        </w:tc>
      </w:tr>
      <w:tr>
        <w:tblPrEx>
          <w:tblCellMar>
            <w:top w:w="0" w:type="dxa"/>
            <w:left w:w="108" w:type="dxa"/>
            <w:bottom w:w="0" w:type="dxa"/>
            <w:right w:w="108" w:type="dxa"/>
          </w:tblCellMar>
        </w:tblPrEx>
        <w:tc>
          <w:tcPr>
            <w:tcW w:w="702" w:type="dxa"/>
            <w:vMerge w:val="continue"/>
            <w:tcBorders>
              <w:left w:val="single" w:color="000000" w:sz="4" w:space="0"/>
              <w:right w:val="single" w:color="000000" w:sz="4" w:space="0"/>
            </w:tcBorders>
            <w:vAlign w:val="center"/>
          </w:tcPr>
          <w:p>
            <w:pPr>
              <w:keepNext w:val="0"/>
              <w:keepLines w:val="0"/>
              <w:pageBreakBefore w:val="0"/>
              <w:tabs>
                <w:tab w:val="left" w:pos="0"/>
              </w:tabs>
              <w:kinsoku/>
              <w:wordWrap/>
              <w:overflowPunct/>
              <w:topLinePunct w:val="0"/>
              <w:autoSpaceDE/>
              <w:autoSpaceDN/>
              <w:bidi w:val="0"/>
              <w:adjustRightInd w:val="0"/>
              <w:snapToGrid w:val="0"/>
              <w:spacing w:line="300" w:lineRule="auto"/>
              <w:textAlignment w:val="auto"/>
              <w:rPr>
                <w:rFonts w:ascii="仿宋" w:hAnsi="仿宋" w:eastAsia="仿宋" w:cs="仿宋"/>
                <w:color w:val="auto"/>
                <w:kern w:val="0"/>
                <w:sz w:val="24"/>
              </w:rPr>
            </w:pPr>
          </w:p>
        </w:tc>
        <w:tc>
          <w:tcPr>
            <w:tcW w:w="83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16、投标同类案例（1分）</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采购人自2018年1月1日至今承担过类似项目业绩的，每项得1分。最高得1分；</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备注：投标文件需提供合同复印件。时间以合同签订时间为准。未提供不提分。</w:t>
            </w:r>
          </w:p>
        </w:tc>
      </w:tr>
      <w:tr>
        <w:tblPrEx>
          <w:tblCellMar>
            <w:top w:w="0" w:type="dxa"/>
            <w:left w:w="108" w:type="dxa"/>
            <w:bottom w:w="0" w:type="dxa"/>
            <w:right w:w="108" w:type="dxa"/>
          </w:tblCellMar>
        </w:tblPrEx>
        <w:tc>
          <w:tcPr>
            <w:tcW w:w="702" w:type="dxa"/>
            <w:vMerge w:val="continue"/>
            <w:tcBorders>
              <w:left w:val="single" w:color="000000" w:sz="4" w:space="0"/>
              <w:right w:val="single" w:color="000000" w:sz="4" w:space="0"/>
            </w:tcBorders>
            <w:vAlign w:val="center"/>
          </w:tcPr>
          <w:p>
            <w:pPr>
              <w:keepNext w:val="0"/>
              <w:keepLines w:val="0"/>
              <w:pageBreakBefore w:val="0"/>
              <w:tabs>
                <w:tab w:val="left" w:pos="0"/>
              </w:tabs>
              <w:kinsoku/>
              <w:wordWrap/>
              <w:overflowPunct/>
              <w:topLinePunct w:val="0"/>
              <w:autoSpaceDE/>
              <w:autoSpaceDN/>
              <w:bidi w:val="0"/>
              <w:adjustRightInd w:val="0"/>
              <w:snapToGrid w:val="0"/>
              <w:spacing w:line="300" w:lineRule="auto"/>
              <w:textAlignment w:val="auto"/>
              <w:rPr>
                <w:rFonts w:ascii="仿宋" w:hAnsi="仿宋" w:eastAsia="仿宋" w:cs="仿宋"/>
                <w:color w:val="auto"/>
                <w:kern w:val="0"/>
                <w:sz w:val="24"/>
              </w:rPr>
            </w:pPr>
          </w:p>
        </w:tc>
        <w:tc>
          <w:tcPr>
            <w:tcW w:w="83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textAlignment w:val="auto"/>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17、</w:t>
            </w:r>
            <w:r>
              <w:rPr>
                <w:rFonts w:hint="eastAsia" w:ascii="仿宋" w:hAnsi="仿宋" w:eastAsia="仿宋" w:cs="仿宋"/>
                <w:color w:val="auto"/>
                <w:kern w:val="0"/>
                <w:sz w:val="24"/>
                <w:lang w:eastAsia="zh-CN"/>
              </w:rPr>
              <w:t>企业实力（</w:t>
            </w:r>
            <w:r>
              <w:rPr>
                <w:rFonts w:hint="eastAsia" w:ascii="仿宋" w:hAnsi="仿宋" w:eastAsia="仿宋" w:cs="仿宋"/>
                <w:color w:val="auto"/>
                <w:kern w:val="0"/>
                <w:sz w:val="24"/>
                <w:lang w:val="en-US" w:eastAsia="zh-CN"/>
              </w:rPr>
              <w:t>1分）：</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textAlignment w:val="auto"/>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eastAsia="zh-CN"/>
              </w:rPr>
              <w:t>供应商获得过</w:t>
            </w:r>
            <w:r>
              <w:rPr>
                <w:rFonts w:hint="eastAsia" w:ascii="仿宋" w:hAnsi="仿宋" w:eastAsia="仿宋" w:cs="仿宋"/>
                <w:color w:val="auto"/>
                <w:kern w:val="0"/>
                <w:sz w:val="24"/>
                <w:lang w:val="en-US" w:eastAsia="zh-CN"/>
              </w:rPr>
              <w:t>获得过市级及以上政府部门颁发的荣誉的，</w:t>
            </w:r>
            <w:r>
              <w:rPr>
                <w:rFonts w:hint="eastAsia" w:ascii="仿宋" w:hAnsi="仿宋" w:eastAsia="仿宋" w:cs="仿宋"/>
                <w:color w:val="auto"/>
                <w:kern w:val="0"/>
                <w:sz w:val="24"/>
                <w:lang w:eastAsia="zh-CN"/>
              </w:rPr>
              <w:t>每项得</w:t>
            </w:r>
            <w:r>
              <w:rPr>
                <w:rFonts w:hint="eastAsia" w:ascii="仿宋" w:hAnsi="仿宋" w:eastAsia="仿宋" w:cs="仿宋"/>
                <w:color w:val="auto"/>
                <w:kern w:val="0"/>
                <w:sz w:val="24"/>
                <w:lang w:val="en-US" w:eastAsia="zh-CN"/>
              </w:rPr>
              <w:t>0.5</w:t>
            </w:r>
            <w:r>
              <w:rPr>
                <w:rFonts w:hint="eastAsia" w:ascii="仿宋" w:hAnsi="仿宋" w:eastAsia="仿宋" w:cs="仿宋"/>
                <w:color w:val="auto"/>
                <w:kern w:val="0"/>
                <w:sz w:val="24"/>
                <w:lang w:eastAsia="zh-CN"/>
              </w:rPr>
              <w:t>分。最高得</w:t>
            </w:r>
            <w:r>
              <w:rPr>
                <w:rFonts w:hint="eastAsia" w:ascii="仿宋" w:hAnsi="仿宋" w:eastAsia="仿宋" w:cs="仿宋"/>
                <w:color w:val="auto"/>
                <w:kern w:val="0"/>
                <w:sz w:val="24"/>
                <w:lang w:val="en-US" w:eastAsia="zh-CN"/>
              </w:rPr>
              <w:t>1分。</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备注：投标文件中提供相关证明资料。</w:t>
            </w:r>
          </w:p>
        </w:tc>
      </w:tr>
      <w:tr>
        <w:tblPrEx>
          <w:tblCellMar>
            <w:top w:w="0" w:type="dxa"/>
            <w:left w:w="108" w:type="dxa"/>
            <w:bottom w:w="0" w:type="dxa"/>
            <w:right w:w="108" w:type="dxa"/>
          </w:tblCellMar>
        </w:tblPrEx>
        <w:tc>
          <w:tcPr>
            <w:tcW w:w="702" w:type="dxa"/>
            <w:vMerge w:val="continue"/>
            <w:tcBorders>
              <w:left w:val="single" w:color="000000" w:sz="4" w:space="0"/>
              <w:right w:val="single" w:color="000000" w:sz="4" w:space="0"/>
            </w:tcBorders>
            <w:vAlign w:val="center"/>
          </w:tcPr>
          <w:p>
            <w:pPr>
              <w:keepNext w:val="0"/>
              <w:keepLines w:val="0"/>
              <w:pageBreakBefore w:val="0"/>
              <w:tabs>
                <w:tab w:val="left" w:pos="0"/>
              </w:tabs>
              <w:kinsoku/>
              <w:wordWrap/>
              <w:overflowPunct/>
              <w:topLinePunct w:val="0"/>
              <w:autoSpaceDE/>
              <w:autoSpaceDN/>
              <w:bidi w:val="0"/>
              <w:adjustRightInd w:val="0"/>
              <w:snapToGrid w:val="0"/>
              <w:spacing w:line="300" w:lineRule="auto"/>
              <w:textAlignment w:val="auto"/>
              <w:rPr>
                <w:rFonts w:ascii="仿宋" w:hAnsi="仿宋" w:eastAsia="仿宋" w:cs="仿宋"/>
                <w:color w:val="auto"/>
                <w:kern w:val="0"/>
                <w:sz w:val="24"/>
              </w:rPr>
            </w:pPr>
          </w:p>
        </w:tc>
        <w:tc>
          <w:tcPr>
            <w:tcW w:w="83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textAlignment w:val="auto"/>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18、</w:t>
            </w:r>
            <w:r>
              <w:rPr>
                <w:rFonts w:hint="eastAsia" w:ascii="仿宋" w:hAnsi="仿宋" w:eastAsia="仿宋" w:cs="仿宋"/>
                <w:color w:val="auto"/>
                <w:kern w:val="0"/>
                <w:sz w:val="24"/>
              </w:rPr>
              <w:t>合理化建议与承诺（</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分）</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根据</w:t>
            </w:r>
            <w:r>
              <w:rPr>
                <w:rFonts w:hint="eastAsia" w:ascii="仿宋" w:hAnsi="仿宋" w:eastAsia="仿宋" w:cs="仿宋"/>
                <w:color w:val="auto"/>
                <w:kern w:val="0"/>
                <w:sz w:val="24"/>
                <w:lang w:eastAsia="zh-CN"/>
              </w:rPr>
              <w:t>供应商</w:t>
            </w:r>
            <w:r>
              <w:rPr>
                <w:rFonts w:hint="eastAsia" w:ascii="仿宋" w:hAnsi="仿宋" w:eastAsia="仿宋" w:cs="仿宋"/>
                <w:color w:val="auto"/>
                <w:kern w:val="0"/>
                <w:sz w:val="24"/>
              </w:rPr>
              <w:t>提供的合理化建议与承诺，对采购人的项目实施有实际意义的每项得1分，最高</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分。</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未提供或与本项目履约无关的建议与承诺不得分。</w:t>
            </w:r>
          </w:p>
        </w:tc>
      </w:tr>
      <w:tr>
        <w:tblPrEx>
          <w:tblCellMar>
            <w:top w:w="0" w:type="dxa"/>
            <w:left w:w="108" w:type="dxa"/>
            <w:bottom w:w="0" w:type="dxa"/>
            <w:right w:w="108" w:type="dxa"/>
          </w:tblCellMar>
        </w:tblPrEx>
        <w:trPr>
          <w:trHeight w:val="378" w:hRule="atLeast"/>
        </w:trPr>
        <w:tc>
          <w:tcPr>
            <w:tcW w:w="702" w:type="dxa"/>
            <w:vMerge w:val="continue"/>
            <w:tcBorders>
              <w:left w:val="single" w:color="000000" w:sz="4" w:space="0"/>
              <w:bottom w:val="single" w:color="000000" w:sz="4" w:space="0"/>
              <w:right w:val="single" w:color="000000" w:sz="4" w:space="0"/>
            </w:tcBorders>
            <w:vAlign w:val="center"/>
          </w:tcPr>
          <w:p>
            <w:pPr>
              <w:keepNext w:val="0"/>
              <w:keepLines w:val="0"/>
              <w:pageBreakBefore w:val="0"/>
              <w:tabs>
                <w:tab w:val="left" w:pos="0"/>
              </w:tabs>
              <w:kinsoku/>
              <w:wordWrap/>
              <w:overflowPunct/>
              <w:topLinePunct w:val="0"/>
              <w:autoSpaceDE/>
              <w:autoSpaceDN/>
              <w:bidi w:val="0"/>
              <w:adjustRightInd w:val="0"/>
              <w:snapToGrid w:val="0"/>
              <w:spacing w:line="300" w:lineRule="auto"/>
              <w:textAlignment w:val="auto"/>
              <w:rPr>
                <w:rFonts w:ascii="仿宋" w:hAnsi="仿宋" w:eastAsia="仿宋" w:cs="仿宋"/>
                <w:color w:val="auto"/>
                <w:kern w:val="0"/>
                <w:sz w:val="24"/>
              </w:rPr>
            </w:pPr>
          </w:p>
        </w:tc>
        <w:tc>
          <w:tcPr>
            <w:tcW w:w="83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textAlignment w:val="auto"/>
              <w:rPr>
                <w:rFonts w:ascii="仿宋" w:hAnsi="仿宋" w:eastAsia="仿宋" w:cs="仿宋"/>
                <w:color w:val="auto"/>
                <w:kern w:val="0"/>
                <w:sz w:val="24"/>
              </w:rPr>
            </w:pPr>
            <w:r>
              <w:rPr>
                <w:rFonts w:hint="eastAsia" w:ascii="仿宋" w:hAnsi="仿宋" w:eastAsia="仿宋" w:cs="仿宋"/>
                <w:color w:val="auto"/>
                <w:kern w:val="0"/>
                <w:sz w:val="24"/>
                <w:lang w:val="en-US" w:eastAsia="zh-CN"/>
              </w:rPr>
              <w:t>19</w:t>
            </w:r>
            <w:r>
              <w:rPr>
                <w:rFonts w:hint="eastAsia" w:ascii="仿宋" w:hAnsi="仿宋" w:eastAsia="仿宋" w:cs="仿宋"/>
                <w:color w:val="auto"/>
                <w:kern w:val="0"/>
                <w:sz w:val="24"/>
              </w:rPr>
              <w:t>政府采购政策加分（1分）：</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textAlignment w:val="auto"/>
              <w:rPr>
                <w:rFonts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color w:val="auto"/>
                <w:kern w:val="0"/>
                <w:sz w:val="24"/>
                <w:lang w:val="zh-CN"/>
              </w:rPr>
              <w:t>供应商</w:t>
            </w:r>
            <w:r>
              <w:rPr>
                <w:rFonts w:hint="eastAsia" w:ascii="仿宋" w:hAnsi="仿宋" w:eastAsia="仿宋" w:cs="仿宋"/>
                <w:color w:val="auto"/>
                <w:kern w:val="0"/>
                <w:sz w:val="24"/>
              </w:rPr>
              <w:t>是少数民族地区企业的加</w:t>
            </w:r>
            <w:r>
              <w:rPr>
                <w:rFonts w:hint="eastAsia" w:ascii="仿宋" w:hAnsi="仿宋" w:eastAsia="仿宋" w:cs="仿宋"/>
                <w:color w:val="auto"/>
                <w:kern w:val="0"/>
                <w:sz w:val="24"/>
                <w:u w:val="single"/>
                <w:lang w:val="en-US" w:eastAsia="zh-CN"/>
              </w:rPr>
              <w:t>1</w:t>
            </w:r>
            <w:r>
              <w:rPr>
                <w:rFonts w:hint="eastAsia" w:ascii="仿宋" w:hAnsi="仿宋" w:eastAsia="仿宋" w:cs="仿宋"/>
                <w:color w:val="auto"/>
                <w:kern w:val="0"/>
                <w:sz w:val="24"/>
              </w:rPr>
              <w:t>分。</w:t>
            </w:r>
          </w:p>
        </w:tc>
      </w:tr>
      <w:tr>
        <w:tblPrEx>
          <w:tblCellMar>
            <w:top w:w="0" w:type="dxa"/>
            <w:left w:w="108" w:type="dxa"/>
            <w:bottom w:w="0" w:type="dxa"/>
            <w:right w:w="108" w:type="dxa"/>
          </w:tblCellMar>
        </w:tblPrEx>
        <w:trPr>
          <w:trHeight w:val="378" w:hRule="atLeast"/>
        </w:trPr>
        <w:tc>
          <w:tcPr>
            <w:tcW w:w="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left" w:pos="0"/>
              </w:tabs>
              <w:kinsoku/>
              <w:wordWrap/>
              <w:overflowPunct/>
              <w:topLinePunct w:val="0"/>
              <w:autoSpaceDE/>
              <w:autoSpaceDN/>
              <w:bidi w:val="0"/>
              <w:adjustRightInd w:val="0"/>
              <w:snapToGrid w:val="0"/>
              <w:spacing w:line="300" w:lineRule="auto"/>
              <w:textAlignment w:val="auto"/>
              <w:rPr>
                <w:rFonts w:ascii="仿宋" w:hAnsi="仿宋" w:eastAsia="仿宋" w:cs="仿宋"/>
                <w:color w:val="auto"/>
                <w:kern w:val="0"/>
                <w:sz w:val="24"/>
              </w:rPr>
            </w:pPr>
            <w:r>
              <w:rPr>
                <w:rFonts w:hint="eastAsia" w:ascii="仿宋" w:hAnsi="仿宋" w:eastAsia="仿宋" w:cs="仿宋"/>
                <w:color w:val="auto"/>
                <w:kern w:val="0"/>
                <w:sz w:val="24"/>
              </w:rPr>
              <w:t>报价</w:t>
            </w:r>
          </w:p>
          <w:p>
            <w:pPr>
              <w:keepNext w:val="0"/>
              <w:keepLines w:val="0"/>
              <w:pageBreakBefore w:val="0"/>
              <w:tabs>
                <w:tab w:val="left" w:pos="0"/>
              </w:tabs>
              <w:kinsoku/>
              <w:wordWrap/>
              <w:overflowPunct/>
              <w:topLinePunct w:val="0"/>
              <w:autoSpaceDE/>
              <w:autoSpaceDN/>
              <w:bidi w:val="0"/>
              <w:adjustRightInd w:val="0"/>
              <w:snapToGrid w:val="0"/>
              <w:spacing w:line="300" w:lineRule="auto"/>
              <w:textAlignment w:val="auto"/>
              <w:rPr>
                <w:rFonts w:ascii="仿宋" w:hAnsi="仿宋" w:eastAsia="仿宋" w:cs="仿宋"/>
                <w:color w:val="auto"/>
                <w:kern w:val="0"/>
                <w:sz w:val="24"/>
              </w:rPr>
            </w:pPr>
            <w:r>
              <w:rPr>
                <w:rFonts w:hint="eastAsia" w:ascii="仿宋" w:hAnsi="仿宋" w:eastAsia="仿宋" w:cs="仿宋"/>
                <w:color w:val="auto"/>
                <w:kern w:val="0"/>
                <w:sz w:val="24"/>
              </w:rPr>
              <w:t>分（</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0分）</w:t>
            </w:r>
          </w:p>
        </w:tc>
        <w:tc>
          <w:tcPr>
            <w:tcW w:w="83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textAlignment w:val="auto"/>
              <w:rPr>
                <w:rFonts w:ascii="仿宋" w:hAnsi="仿宋" w:eastAsia="仿宋" w:cs="仿宋"/>
                <w:color w:val="auto"/>
                <w:kern w:val="0"/>
                <w:sz w:val="24"/>
              </w:rPr>
            </w:pPr>
            <w:r>
              <w:rPr>
                <w:rFonts w:hint="eastAsia" w:ascii="仿宋" w:hAnsi="仿宋" w:eastAsia="仿宋" w:cs="仿宋"/>
                <w:color w:val="auto"/>
                <w:kern w:val="0"/>
                <w:sz w:val="24"/>
              </w:rPr>
              <w:t>满足招标文件要求且参与评审价格最低为评标基准价，其价格分为满分，其余</w:t>
            </w:r>
            <w:r>
              <w:rPr>
                <w:rFonts w:hint="eastAsia" w:ascii="仿宋" w:hAnsi="仿宋" w:eastAsia="仿宋" w:cs="仿宋"/>
                <w:color w:val="auto"/>
                <w:kern w:val="0"/>
                <w:sz w:val="24"/>
                <w:lang w:val="zh-CN"/>
              </w:rPr>
              <w:t>供应商</w:t>
            </w:r>
            <w:r>
              <w:rPr>
                <w:rFonts w:hint="eastAsia" w:ascii="仿宋" w:hAnsi="仿宋" w:eastAsia="仿宋" w:cs="仿宋"/>
                <w:color w:val="auto"/>
                <w:kern w:val="0"/>
                <w:sz w:val="24"/>
              </w:rPr>
              <w:t>的价格分以下列公式计算：</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textAlignment w:val="auto"/>
              <w:rPr>
                <w:rFonts w:ascii="仿宋" w:hAnsi="仿宋" w:eastAsia="仿宋" w:cs="仿宋"/>
                <w:color w:val="auto"/>
                <w:kern w:val="0"/>
                <w:sz w:val="24"/>
              </w:rPr>
            </w:pPr>
            <w:r>
              <w:rPr>
                <w:rFonts w:hint="eastAsia" w:ascii="仿宋" w:hAnsi="仿宋" w:eastAsia="仿宋" w:cs="仿宋"/>
                <w:color w:val="auto"/>
                <w:kern w:val="0"/>
                <w:sz w:val="24"/>
              </w:rPr>
              <w:t>投标报价得分=（评标基准价/参与评审的价格）×价格权值×100</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auto"/>
              <w:textAlignment w:val="auto"/>
              <w:rPr>
                <w:rFonts w:ascii="仿宋" w:hAnsi="仿宋" w:eastAsia="仿宋" w:cs="仿宋"/>
                <w:color w:val="auto"/>
                <w:kern w:val="0"/>
                <w:sz w:val="24"/>
              </w:rPr>
            </w:pPr>
            <w:r>
              <w:rPr>
                <w:rFonts w:hint="eastAsia" w:ascii="仿宋" w:hAnsi="仿宋" w:eastAsia="仿宋" w:cs="仿宋"/>
                <w:color w:val="auto"/>
                <w:kern w:val="0"/>
                <w:sz w:val="24"/>
              </w:rPr>
              <w:t>参与评审价格=投标价格×（1-价格折扣率）</w:t>
            </w:r>
          </w:p>
        </w:tc>
      </w:tr>
    </w:tbl>
    <w:p>
      <w:pPr>
        <w:keepNext w:val="0"/>
        <w:keepLines w:val="0"/>
        <w:pageBreakBefore w:val="0"/>
        <w:widowControl/>
        <w:kinsoku/>
        <w:wordWrap/>
        <w:overflowPunct/>
        <w:topLinePunct w:val="0"/>
        <w:autoSpaceDE/>
        <w:autoSpaceDN/>
        <w:bidi w:val="0"/>
        <w:spacing w:line="300" w:lineRule="auto"/>
        <w:jc w:val="left"/>
        <w:textAlignment w:val="auto"/>
        <w:rPr>
          <w:rFonts w:eastAsia="仿宋_GB2312"/>
          <w:color w:val="auto"/>
          <w:sz w:val="28"/>
        </w:rPr>
      </w:pPr>
    </w:p>
    <w:p>
      <w:pPr>
        <w:snapToGrid w:val="0"/>
        <w:spacing w:line="360" w:lineRule="auto"/>
        <w:rPr>
          <w:rFonts w:hint="eastAsia" w:cs="仿宋" w:asciiTheme="majorEastAsia" w:hAnsiTheme="majorEastAsia" w:eastAsiaTheme="majorEastAsia"/>
          <w:color w:val="auto"/>
          <w:sz w:val="24"/>
        </w:rPr>
      </w:pPr>
      <w:r>
        <w:rPr>
          <w:rFonts w:hint="eastAsia" w:cs="仿宋" w:asciiTheme="majorEastAsia" w:hAnsiTheme="majorEastAsia" w:eastAsiaTheme="majorEastAsia"/>
          <w:color w:val="auto"/>
          <w:sz w:val="20"/>
          <w:szCs w:val="20"/>
        </w:rPr>
        <w:t> </w:t>
      </w:r>
      <w:r>
        <w:rPr>
          <w:rFonts w:hint="eastAsia" w:cs="仿宋" w:asciiTheme="majorEastAsia" w:hAnsiTheme="majorEastAsia" w:eastAsiaTheme="majorEastAsia"/>
          <w:b/>
          <w:color w:val="auto"/>
          <w:sz w:val="24"/>
        </w:rPr>
        <w:t>备注：</w:t>
      </w:r>
      <w:r>
        <w:rPr>
          <w:rFonts w:hint="eastAsia" w:cs="仿宋" w:asciiTheme="majorEastAsia" w:hAnsiTheme="majorEastAsia" w:eastAsiaTheme="majorEastAsia"/>
          <w:color w:val="auto"/>
          <w:kern w:val="0"/>
          <w:sz w:val="24"/>
          <w:lang w:val="en-US" w:eastAsia="zh-CN"/>
        </w:rPr>
        <w:t>1、</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编制投标文件（商务技术文件部分）时，建议按此目录（序号和内容）提供评标标准相应的商务技术资料。 </w:t>
      </w:r>
    </w:p>
    <w:p>
      <w:pPr>
        <w:keepNext w:val="0"/>
        <w:keepLines w:val="0"/>
        <w:pageBreakBefore w:val="0"/>
        <w:widowControl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评委在上表设定的分值范围内打分(四舍五入保留两位小数)，平均分值计算四舍五入保留两位小数点</w:t>
      </w:r>
      <w:r>
        <w:rPr>
          <w:rFonts w:hint="eastAsia" w:asciiTheme="minorEastAsia" w:hAnsiTheme="minorEastAsia" w:eastAsiaTheme="minorEastAsia" w:cstheme="minorEastAsia"/>
          <w:color w:val="auto"/>
          <w:sz w:val="24"/>
          <w:lang w:eastAsia="zh-CN"/>
        </w:rPr>
        <w:t>。</w:t>
      </w:r>
    </w:p>
    <w:p>
      <w:pPr>
        <w:pStyle w:val="2"/>
        <w:rPr>
          <w:color w:val="auto"/>
        </w:rPr>
      </w:pPr>
    </w:p>
    <w:p>
      <w:pPr>
        <w:snapToGrid w:val="0"/>
        <w:spacing w:line="360" w:lineRule="auto"/>
        <w:ind w:left="120" w:leftChars="57" w:firstLine="482" w:firstLineChars="150"/>
        <w:jc w:val="center"/>
        <w:rPr>
          <w:rFonts w:cs="仿宋" w:asciiTheme="majorEastAsia" w:hAnsiTheme="majorEastAsia" w:eastAsiaTheme="majorEastAsia"/>
          <w:b/>
          <w:color w:val="auto"/>
          <w:sz w:val="32"/>
        </w:rPr>
      </w:pPr>
      <w:r>
        <w:rPr>
          <w:rFonts w:hint="eastAsia" w:cs="仿宋" w:asciiTheme="majorEastAsia" w:hAnsiTheme="majorEastAsia" w:eastAsiaTheme="majorEastAsia"/>
          <w:b/>
          <w:color w:val="auto"/>
          <w:sz w:val="32"/>
        </w:rPr>
        <w:t>一、评标方法</w:t>
      </w:r>
    </w:p>
    <w:p>
      <w:pPr>
        <w:spacing w:line="360" w:lineRule="auto"/>
        <w:ind w:firstLine="472" w:firstLineChars="196"/>
        <w:rPr>
          <w:rFonts w:cs="仿宋" w:asciiTheme="majorEastAsia" w:hAnsiTheme="majorEastAsia" w:eastAsiaTheme="majorEastAsia"/>
          <w:color w:val="auto"/>
          <w:kern w:val="0"/>
          <w:sz w:val="24"/>
        </w:rPr>
      </w:pPr>
      <w:r>
        <w:rPr>
          <w:rFonts w:hint="eastAsia" w:cs="仿宋" w:asciiTheme="majorEastAsia" w:hAnsiTheme="majorEastAsia" w:eastAsiaTheme="majorEastAsia"/>
          <w:b/>
          <w:color w:val="auto"/>
          <w:kern w:val="0"/>
          <w:sz w:val="24"/>
        </w:rPr>
        <w:t>1.本项目采用综合评分法。</w:t>
      </w:r>
      <w:r>
        <w:rPr>
          <w:rFonts w:hint="eastAsia" w:cs="仿宋" w:asciiTheme="majorEastAsia" w:hAnsiTheme="majorEastAsia" w:eastAsiaTheme="majorEastAsia"/>
          <w:color w:val="auto"/>
          <w:kern w:val="0"/>
          <w:sz w:val="24"/>
        </w:rPr>
        <w:t>综合评分法，是指投标文件满足招标文件全部实质性要求，且按照评审因素的量化指标评审得分最高的</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为中标候选人的评标方法。</w:t>
      </w:r>
    </w:p>
    <w:p>
      <w:pPr>
        <w:snapToGrid w:val="0"/>
        <w:spacing w:line="360" w:lineRule="auto"/>
        <w:ind w:left="120" w:leftChars="57" w:firstLine="482" w:firstLineChars="150"/>
        <w:jc w:val="center"/>
        <w:rPr>
          <w:rFonts w:cs="仿宋" w:asciiTheme="majorEastAsia" w:hAnsiTheme="majorEastAsia" w:eastAsiaTheme="majorEastAsia"/>
          <w:b/>
          <w:color w:val="auto"/>
          <w:sz w:val="32"/>
        </w:rPr>
      </w:pPr>
      <w:r>
        <w:rPr>
          <w:rFonts w:hint="eastAsia" w:cs="仿宋" w:asciiTheme="majorEastAsia" w:hAnsiTheme="majorEastAsia" w:eastAsiaTheme="majorEastAsia"/>
          <w:b/>
          <w:color w:val="auto"/>
          <w:sz w:val="32"/>
        </w:rPr>
        <w:t>二、评标标准</w:t>
      </w:r>
    </w:p>
    <w:p>
      <w:pPr>
        <w:spacing w:line="360" w:lineRule="auto"/>
        <w:ind w:firstLine="472" w:firstLineChars="196"/>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2.</w:t>
      </w:r>
      <w:r>
        <w:rPr>
          <w:rFonts w:hint="eastAsia" w:cs="仿宋" w:asciiTheme="majorEastAsia" w:hAnsiTheme="majorEastAsia" w:eastAsiaTheme="majorEastAsia"/>
          <w:color w:val="auto"/>
        </w:rPr>
        <w:t xml:space="preserve"> </w:t>
      </w:r>
      <w:r>
        <w:rPr>
          <w:rFonts w:hint="eastAsia" w:cs="仿宋" w:asciiTheme="majorEastAsia" w:hAnsiTheme="majorEastAsia" w:eastAsiaTheme="majorEastAsia"/>
          <w:b/>
          <w:color w:val="auto"/>
          <w:sz w:val="24"/>
        </w:rPr>
        <w:t>评标标准：</w:t>
      </w:r>
      <w:r>
        <w:rPr>
          <w:rFonts w:hint="eastAsia" w:cs="仿宋" w:asciiTheme="majorEastAsia" w:hAnsiTheme="majorEastAsia" w:eastAsiaTheme="majorEastAsia"/>
          <w:color w:val="auto"/>
          <w:kern w:val="0"/>
          <w:sz w:val="24"/>
        </w:rPr>
        <w:t>见评标办法前附表。</w:t>
      </w:r>
    </w:p>
    <w:p>
      <w:pPr>
        <w:snapToGrid w:val="0"/>
        <w:spacing w:line="360" w:lineRule="auto"/>
        <w:ind w:left="120" w:leftChars="57" w:firstLine="482" w:firstLineChars="150"/>
        <w:jc w:val="center"/>
        <w:rPr>
          <w:rFonts w:cs="仿宋" w:asciiTheme="majorEastAsia" w:hAnsiTheme="majorEastAsia" w:eastAsiaTheme="majorEastAsia"/>
          <w:b/>
          <w:color w:val="auto"/>
          <w:sz w:val="32"/>
        </w:rPr>
      </w:pPr>
      <w:r>
        <w:rPr>
          <w:rFonts w:hint="eastAsia" w:cs="仿宋" w:asciiTheme="majorEastAsia" w:hAnsiTheme="majorEastAsia" w:eastAsiaTheme="majorEastAsia"/>
          <w:b/>
          <w:color w:val="auto"/>
          <w:sz w:val="32"/>
        </w:rPr>
        <w:t>三、评标程序</w:t>
      </w:r>
    </w:p>
    <w:p>
      <w:pPr>
        <w:spacing w:line="360" w:lineRule="auto"/>
        <w:ind w:firstLine="482"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b/>
          <w:color w:val="auto"/>
          <w:kern w:val="0"/>
          <w:sz w:val="24"/>
        </w:rPr>
        <w:t>3.1 符合性审查。</w:t>
      </w:r>
      <w:r>
        <w:rPr>
          <w:rFonts w:hint="eastAsia" w:cs="仿宋" w:asciiTheme="majorEastAsia" w:hAnsiTheme="majorEastAsia" w:eastAsiaTheme="majorEastAsia"/>
          <w:color w:val="auto"/>
          <w:kern w:val="0"/>
          <w:sz w:val="24"/>
        </w:rPr>
        <w:t>评标委员会应当对符合资格的</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的投标文件进行符合性审查，以确定其是否满足招标文件的实质性要求。不满足招标文件的实质性要求的，投标无效。</w:t>
      </w:r>
    </w:p>
    <w:p>
      <w:pPr>
        <w:spacing w:line="360" w:lineRule="auto"/>
        <w:ind w:firstLine="482"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b/>
          <w:color w:val="auto"/>
          <w:kern w:val="0"/>
          <w:sz w:val="24"/>
        </w:rPr>
        <w:t>3.2 商务技术评审。</w:t>
      </w:r>
      <w:r>
        <w:rPr>
          <w:rFonts w:hint="eastAsia" w:cs="仿宋" w:asciiTheme="majorEastAsia" w:hAnsiTheme="majorEastAsia" w:eastAsiaTheme="majorEastAsia"/>
          <w:color w:val="auto"/>
          <w:kern w:val="0"/>
          <w:sz w:val="24"/>
        </w:rPr>
        <w:t>评标委员会应当按照招标文件中规定的评标方法和标准，对符合性审查合格的投标文件进行商务和技术评估。</w:t>
      </w:r>
    </w:p>
    <w:p>
      <w:pPr>
        <w:spacing w:line="360" w:lineRule="auto"/>
        <w:ind w:firstLine="482"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b/>
          <w:color w:val="auto"/>
          <w:kern w:val="0"/>
          <w:sz w:val="24"/>
        </w:rPr>
        <w:t>3.3 汇总商务技术得分。</w:t>
      </w:r>
      <w:r>
        <w:rPr>
          <w:rFonts w:hint="eastAsia" w:cs="仿宋" w:asciiTheme="majorEastAsia" w:hAnsiTheme="majorEastAsia" w:eastAsiaTheme="majorEastAsia"/>
          <w:color w:val="auto"/>
          <w:kern w:val="0"/>
          <w:sz w:val="24"/>
        </w:rPr>
        <w:t>评标委员会各成员应当独立对每个</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的商务和技术文件进行评价，并汇总商务技术得分情况。</w:t>
      </w:r>
    </w:p>
    <w:p>
      <w:pPr>
        <w:spacing w:line="360" w:lineRule="auto"/>
        <w:ind w:firstLine="482" w:firstLineChars="200"/>
        <w:rPr>
          <w:rFonts w:cs="仿宋" w:asciiTheme="majorEastAsia" w:hAnsiTheme="majorEastAsia" w:eastAsiaTheme="majorEastAsia"/>
          <w:b/>
          <w:color w:val="auto"/>
          <w:kern w:val="0"/>
          <w:sz w:val="24"/>
        </w:rPr>
      </w:pPr>
      <w:r>
        <w:rPr>
          <w:rFonts w:hint="eastAsia" w:cs="仿宋" w:asciiTheme="majorEastAsia" w:hAnsiTheme="majorEastAsia" w:eastAsiaTheme="majorEastAsia"/>
          <w:b/>
          <w:color w:val="auto"/>
          <w:kern w:val="0"/>
          <w:sz w:val="24"/>
        </w:rPr>
        <w:t>3.4 报价评审。</w:t>
      </w:r>
    </w:p>
    <w:p>
      <w:pPr>
        <w:pStyle w:val="36"/>
        <w:spacing w:before="0"/>
        <w:ind w:firstLine="480"/>
        <w:rPr>
          <w:rFonts w:cs="仿宋" w:asciiTheme="majorEastAsia" w:hAnsiTheme="majorEastAsia" w:eastAsiaTheme="majorEastAsia"/>
          <w:color w:val="auto"/>
          <w:kern w:val="0"/>
        </w:rPr>
      </w:pPr>
      <w:r>
        <w:rPr>
          <w:rFonts w:hint="eastAsia" w:cs="仿宋" w:asciiTheme="majorEastAsia" w:hAnsiTheme="majorEastAsia" w:eastAsiaTheme="majorEastAsia"/>
          <w:color w:val="auto"/>
          <w:kern w:val="0"/>
        </w:rPr>
        <w:t>3.4.1投标文件报价出现前后不一致的，按照下列规定修正：</w:t>
      </w:r>
    </w:p>
    <w:p>
      <w:pPr>
        <w:pStyle w:val="36"/>
        <w:spacing w:before="0"/>
        <w:ind w:firstLine="480"/>
        <w:rPr>
          <w:rFonts w:cs="仿宋" w:asciiTheme="majorEastAsia" w:hAnsiTheme="majorEastAsia" w:eastAsiaTheme="majorEastAsia"/>
          <w:color w:val="auto"/>
          <w:kern w:val="0"/>
        </w:rPr>
      </w:pPr>
      <w:r>
        <w:rPr>
          <w:rFonts w:hint="eastAsia" w:cs="仿宋" w:asciiTheme="majorEastAsia" w:hAnsiTheme="majorEastAsia" w:eastAsiaTheme="majorEastAsia"/>
          <w:color w:val="auto"/>
          <w:kern w:val="0"/>
        </w:rPr>
        <w:t>3.4.1.1电子交易平台生成的开标记录表(报价表)内容与投标文件中开标一览表(报价表)不一致的，以投标文件中开标一览表(报价表)为准；</w:t>
      </w:r>
    </w:p>
    <w:p>
      <w:pPr>
        <w:pStyle w:val="36"/>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3.4.1.2</w:t>
      </w:r>
      <w:r>
        <w:rPr>
          <w:rFonts w:hint="eastAsia" w:cs="仿宋" w:asciiTheme="majorEastAsia" w:hAnsiTheme="majorEastAsia" w:eastAsiaTheme="majorEastAsia"/>
          <w:color w:val="auto"/>
          <w:kern w:val="0"/>
        </w:rPr>
        <w:t>投标文件中开标一览表(报价表)内容与投标文件中相应内容不一致的，以开标一览表(报价表)为准；</w:t>
      </w:r>
    </w:p>
    <w:p>
      <w:pPr>
        <w:pStyle w:val="36"/>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3.4.1.3 大写金额和小写金额不一致的，以大写金额为准;</w:t>
      </w:r>
    </w:p>
    <w:p>
      <w:pPr>
        <w:pStyle w:val="36"/>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3.4.1.4 单价金额小数点或者百分比有明显错位的，以开标一览表的总价为准，并修改单价;</w:t>
      </w:r>
    </w:p>
    <w:p>
      <w:pPr>
        <w:pStyle w:val="36"/>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3.4.1.5 总价金额与按单价汇总金额不一致的，以单价金额计算结果为准；</w:t>
      </w:r>
    </w:p>
    <w:p>
      <w:pPr>
        <w:pStyle w:val="36"/>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3.4.1.6同时出现两种以上不一致的，按照3.4.1规定的顺序修正。修正后的报价按照财政部第87号令 《政府采购货物和服务招标投标管理办法》第五十一条第二款的规定经</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确认后产生约束力。</w:t>
      </w:r>
    </w:p>
    <w:p>
      <w:pPr>
        <w:snapToGrid w:val="0"/>
        <w:spacing w:line="360" w:lineRule="auto"/>
        <w:ind w:firstLine="480" w:firstLineChars="200"/>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3.4.2投标文件出现不是唯一的、有选择性投标报价的，投标无效。</w:t>
      </w:r>
    </w:p>
    <w:p>
      <w:pPr>
        <w:snapToGrid w:val="0"/>
        <w:spacing w:line="360" w:lineRule="auto"/>
        <w:ind w:firstLine="480" w:firstLineChars="200"/>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3.4.3投标报价超过招标文件中规定的预算金额或者最高限价的，投标无效。</w:t>
      </w:r>
    </w:p>
    <w:p>
      <w:pPr>
        <w:pStyle w:val="36"/>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3.4.4评标委员会认为</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的报价明显低于其他通过符合性审查</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的报价，有可能影响产品质量或者不能诚信履约的，应当要求其在30分钟内提供书面说明，必要时提交相关证明材料;</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不能证明其报价合理性的，评标委员会应当将其作为无效投标处理。</w:t>
      </w:r>
    </w:p>
    <w:p>
      <w:pPr>
        <w:spacing w:line="360" w:lineRule="auto"/>
        <w:ind w:firstLine="482"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b/>
          <w:color w:val="auto"/>
          <w:kern w:val="0"/>
          <w:sz w:val="24"/>
        </w:rPr>
        <w:t>3.5编写评标报告。</w:t>
      </w:r>
      <w:r>
        <w:rPr>
          <w:rFonts w:hint="eastAsia" w:cs="仿宋" w:asciiTheme="majorEastAsia" w:hAnsiTheme="majorEastAsia" w:eastAsiaTheme="majorEastAsia"/>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ind w:left="120" w:leftChars="57" w:firstLine="482" w:firstLineChars="150"/>
        <w:jc w:val="center"/>
        <w:rPr>
          <w:rFonts w:cs="仿宋" w:asciiTheme="majorEastAsia" w:hAnsiTheme="majorEastAsia" w:eastAsiaTheme="majorEastAsia"/>
          <w:b/>
          <w:color w:val="auto"/>
          <w:sz w:val="32"/>
        </w:rPr>
      </w:pPr>
      <w:r>
        <w:rPr>
          <w:rFonts w:hint="eastAsia" w:cs="仿宋" w:asciiTheme="majorEastAsia" w:hAnsiTheme="majorEastAsia" w:eastAsiaTheme="majorEastAsia"/>
          <w:b/>
          <w:color w:val="auto"/>
          <w:sz w:val="32"/>
        </w:rPr>
        <w:t>四、评标中的其他事项</w:t>
      </w:r>
    </w:p>
    <w:p>
      <w:pPr>
        <w:pStyle w:val="36"/>
        <w:spacing w:before="0"/>
        <w:ind w:firstLine="482"/>
        <w:rPr>
          <w:rFonts w:cs="仿宋" w:asciiTheme="majorEastAsia" w:hAnsiTheme="majorEastAsia" w:eastAsiaTheme="majorEastAsia"/>
          <w:color w:val="auto"/>
          <w:kern w:val="0"/>
          <w:szCs w:val="24"/>
        </w:rPr>
      </w:pPr>
      <w:r>
        <w:rPr>
          <w:rFonts w:hint="eastAsia" w:cs="仿宋" w:asciiTheme="majorEastAsia" w:hAnsiTheme="majorEastAsia" w:eastAsiaTheme="majorEastAsia"/>
          <w:b/>
          <w:color w:val="auto"/>
          <w:kern w:val="0"/>
          <w:szCs w:val="24"/>
        </w:rPr>
        <w:t>4.1投标澄清、说明或者补正。</w:t>
      </w:r>
      <w:r>
        <w:rPr>
          <w:rFonts w:hint="eastAsia" w:cs="仿宋" w:asciiTheme="majorEastAsia" w:hAnsiTheme="majorEastAsia" w:eastAsiaTheme="majorEastAsia"/>
          <w:color w:val="auto"/>
          <w:kern w:val="0"/>
          <w:szCs w:val="24"/>
        </w:rPr>
        <w:t>对于投标文件中含义不明确、同类问题表述不一致或者有明显文字和计算错误的内容需要</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作出必要的澄清、说明或者补正的，评标委员会和</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通过电子交易平台交换数据电文，</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提交使用电子签名的相关数据电文或通过平台上传加盖公章的扫描件。给予</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提交澄清、说明或补正的时间不得少于半小时，</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已经明确表示澄清说明或补正完毕的除外。</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的澄清、说明或者补正不得超出投标文件的范围或者改变投标文件的实质性内容。</w:t>
      </w:r>
    </w:p>
    <w:p>
      <w:pPr>
        <w:pStyle w:val="9"/>
        <w:spacing w:line="360" w:lineRule="auto"/>
        <w:ind w:firstLine="482"/>
        <w:rPr>
          <w:rFonts w:cs="仿宋" w:asciiTheme="majorEastAsia" w:hAnsiTheme="majorEastAsia" w:eastAsiaTheme="majorEastAsia"/>
          <w:color w:val="auto"/>
          <w:szCs w:val="21"/>
        </w:rPr>
      </w:pPr>
      <w:r>
        <w:rPr>
          <w:rFonts w:hint="eastAsia" w:cs="仿宋" w:asciiTheme="majorEastAsia" w:hAnsiTheme="majorEastAsia" w:eastAsiaTheme="majorEastAsia"/>
          <w:b/>
          <w:color w:val="auto"/>
          <w:kern w:val="0"/>
        </w:rPr>
        <w:t>4.2投标无效的情形。</w:t>
      </w:r>
    </w:p>
    <w:p>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4.2.1 没有响应招标文件实质性要求的投标将被视为无效投标。</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不得通过修正或撤</w:t>
      </w:r>
      <w:r>
        <w:rPr>
          <w:rFonts w:hint="eastAsia" w:cs="仿宋" w:asciiTheme="majorEastAsia" w:hAnsiTheme="majorEastAsia" w:eastAsiaTheme="majorEastAsia"/>
          <w:color w:val="auto"/>
          <w:kern w:val="0"/>
          <w:sz w:val="24"/>
          <w:lang w:val="en-US" w:eastAsia="zh-CN"/>
        </w:rPr>
        <w:t>销</w:t>
      </w:r>
      <w:r>
        <w:rPr>
          <w:rFonts w:hint="eastAsia" w:cs="仿宋" w:asciiTheme="majorEastAsia" w:hAnsiTheme="majorEastAsia" w:eastAsiaTheme="majorEastAsia"/>
          <w:color w:val="auto"/>
          <w:kern w:val="0"/>
          <w:sz w:val="24"/>
        </w:rPr>
        <w:t>不合要求的偏离或保留从而使其投标成为实质上响应的投标，但经评标委员会认定属于</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修改、补正投标文件后，不影响评标委员会对其投标文件所作的评价和评分结果。</w:t>
      </w:r>
    </w:p>
    <w:p>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4.2.2 在电子开评标时，如发现下列情形之一的，将被视为无效投标文件：</w:t>
      </w:r>
    </w:p>
    <w:p>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4.2.2.1电子投标文件解密失败的；</w:t>
      </w:r>
    </w:p>
    <w:p>
      <w:pPr>
        <w:spacing w:line="360" w:lineRule="auto"/>
        <w:ind w:firstLine="480" w:firstLineChars="200"/>
        <w:rPr>
          <w:rFonts w:hint="eastAsia"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4.2.2.2投标文件未按招标文件要求加密、签字、盖章的；</w:t>
      </w:r>
    </w:p>
    <w:p>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 在资格审查、符合性审查和商务评审时，如发现下列情形之一的，将被视为无效投标文件：</w:t>
      </w:r>
    </w:p>
    <w:p>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4.2.3.1 资格证明文件不全的或者不符合招标文件标明的资格要求的；</w:t>
      </w:r>
    </w:p>
    <w:p>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4.2.3.2 投标文件未按招标文件要求签署、盖章的；</w:t>
      </w:r>
    </w:p>
    <w:p>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4.2.3.3 投标文件格式不规范、项目不齐全或者内容虚假的；</w:t>
      </w:r>
    </w:p>
    <w:p>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4.2.3.4 投标文件的实质性内容未使用中文表述、意思表述不明确、前后矛盾或者使用计量单位不符合招标文件要求的（经评标委员会认定并允许其当场更正的笔误除外）；</w:t>
      </w:r>
    </w:p>
    <w:p>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4.2.3.5 投标有效期、交货时间、质保期等商务条款不能满足招标文件要求的；</w:t>
      </w:r>
    </w:p>
    <w:p>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4.2.3.6 带“▲”的条款不能满足招标文件要求、未实质性响应招标文件要求或者投标文件有采购人不能接受的附加条件的；</w:t>
      </w:r>
    </w:p>
    <w:p>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4.2.3.7 单位负责人为同一人或者存在直接控股、管理关系的不同供应商参加同一合同项下的政府采购活动的；</w:t>
      </w:r>
    </w:p>
    <w:p>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4.2.3.8 为采购项目提供整体设计、规范编制或者项目管理、监理、检测等服务的供应商参加该采购项目的其他采购活动的；</w:t>
      </w:r>
    </w:p>
    <w:p>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4.2.3.9 商务技术文件中出现本项目投标报价或单价的。</w:t>
      </w:r>
    </w:p>
    <w:p>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4.3.在技术评审时，如发现下列情形之一的，将被视为无效投标文件：</w:t>
      </w:r>
    </w:p>
    <w:p>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4.3.1未提供或未如实提供投标货物的技术参数，或者投标文件标明的响应或偏离与事实不符或虚假投标的；</w:t>
      </w:r>
    </w:p>
    <w:p>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4.3.2 明显不符合招标文件要求的规格型号、质量标准，或者与招标文件中标“▲”的技术指标、主要功能项目发生实质性偏离的；</w:t>
      </w:r>
    </w:p>
    <w:p>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4.3.3 允许偏离的技术、性能指标或辅助功能项目发生负偏离达</w:t>
      </w:r>
      <w:r>
        <w:rPr>
          <w:rFonts w:hint="eastAsia" w:cs="仿宋" w:asciiTheme="majorEastAsia" w:hAnsiTheme="majorEastAsia" w:eastAsiaTheme="majorEastAsia"/>
          <w:color w:val="auto"/>
          <w:kern w:val="0"/>
          <w:sz w:val="24"/>
          <w:lang w:val="en-US" w:eastAsia="zh-CN"/>
        </w:rPr>
        <w:t>6</w:t>
      </w:r>
      <w:r>
        <w:rPr>
          <w:rFonts w:hint="eastAsia" w:cs="仿宋" w:asciiTheme="majorEastAsia" w:hAnsiTheme="majorEastAsia" w:eastAsiaTheme="majorEastAsia"/>
          <w:color w:val="auto"/>
          <w:kern w:val="0"/>
          <w:sz w:val="24"/>
        </w:rPr>
        <w:t>项（含）以上的；</w:t>
      </w:r>
    </w:p>
    <w:p>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4.3.4 投标技术方案不明确，存在一个或一个以上备选（替代）投标方案的；</w:t>
      </w:r>
    </w:p>
    <w:p>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4.3.5 与其他参加本次投标</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的投标文件（技术文件）的文字表述内容差错相同2处以上的；</w:t>
      </w:r>
    </w:p>
    <w:p>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4.4 在报价评审时，如发现下列情形之一的，投标文件将被视为无效：</w:t>
      </w:r>
    </w:p>
    <w:p>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4.4.1 未采用人民币报价或者未按照招标文件标明的币种报价的；</w:t>
      </w:r>
    </w:p>
    <w:p>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4.4.2 报价超出最高限价，或者超出采购预算金额的；</w:t>
      </w:r>
    </w:p>
    <w:p>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4.4.3 投标报价具有选择性的；</w:t>
      </w:r>
    </w:p>
    <w:p>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4.4.4 投标报价中出现缺项、漏项或被评标委员会认定为有可能影响产品质量或者不能诚信履约的且不能在合理的时间内证明其报价合理性的；</w:t>
      </w:r>
    </w:p>
    <w:p>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4.4.5供应商对根据修正原则修正后的报价不确认的。</w:t>
      </w:r>
    </w:p>
    <w:p>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4.5其他无效情形：</w:t>
      </w:r>
    </w:p>
    <w:p>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4.5.1 不同</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的投标文件出自同一终端设备或在相同Internet主机分配地址（相同IP地址）进行网上报名、投标的；</w:t>
      </w:r>
    </w:p>
    <w:p>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4.5.2 法律、法规、规章（适用本市的）及省级以上规范性文件（适用本市的）规定的其他无效情形。</w:t>
      </w:r>
    </w:p>
    <w:p>
      <w:pPr>
        <w:pStyle w:val="9"/>
        <w:snapToGrid w:val="0"/>
        <w:spacing w:line="360" w:lineRule="auto"/>
        <w:ind w:firstLine="482"/>
        <w:rPr>
          <w:rFonts w:cs="仿宋" w:asciiTheme="majorEastAsia" w:hAnsiTheme="majorEastAsia" w:eastAsiaTheme="majorEastAsia"/>
          <w:color w:val="auto"/>
        </w:rPr>
      </w:pPr>
      <w:r>
        <w:rPr>
          <w:rFonts w:hint="eastAsia" w:cs="仿宋" w:asciiTheme="majorEastAsia" w:hAnsiTheme="majorEastAsia" w:eastAsiaTheme="majorEastAsia"/>
          <w:b/>
          <w:color w:val="auto"/>
        </w:rPr>
        <w:t>5.废标。</w:t>
      </w:r>
      <w:r>
        <w:rPr>
          <w:rFonts w:hint="eastAsia" w:cs="仿宋" w:asciiTheme="majorEastAsia" w:hAnsiTheme="majorEastAsia" w:eastAsiaTheme="majorEastAsia"/>
          <w:color w:val="auto"/>
        </w:rPr>
        <w:t>根据《中华人民共和国政府采购法》第三十六条之规定，在采购中，出现下列情形之一的，应予废标：</w:t>
      </w:r>
    </w:p>
    <w:p>
      <w:pPr>
        <w:pStyle w:val="9"/>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5.1符合专业条件的供应商或者对招标文件作实质响应的供应商不足3家的；</w:t>
      </w:r>
    </w:p>
    <w:p>
      <w:pPr>
        <w:pStyle w:val="9"/>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5.2出现影响采购公正的违法、违规行为的；</w:t>
      </w:r>
    </w:p>
    <w:p>
      <w:pPr>
        <w:pStyle w:val="9"/>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5.3</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rPr>
        <w:t>的报价均超过了采购预算，采购人不能支付的；</w:t>
      </w:r>
    </w:p>
    <w:p>
      <w:pPr>
        <w:pStyle w:val="9"/>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5.4因重大变故，采购任务取消的。</w:t>
      </w:r>
    </w:p>
    <w:p>
      <w:pPr>
        <w:pStyle w:val="9"/>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废标后，采购代理机构应当将废标理由通知所有</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rPr>
        <w:t>。</w:t>
      </w:r>
    </w:p>
    <w:p>
      <w:pPr>
        <w:pStyle w:val="9"/>
        <w:snapToGrid w:val="0"/>
        <w:spacing w:line="360" w:lineRule="auto"/>
        <w:ind w:firstLine="482"/>
        <w:rPr>
          <w:rFonts w:cs="仿宋" w:asciiTheme="majorEastAsia" w:hAnsiTheme="majorEastAsia" w:eastAsiaTheme="majorEastAsia"/>
          <w:color w:val="auto"/>
        </w:rPr>
      </w:pPr>
      <w:r>
        <w:rPr>
          <w:rFonts w:hint="eastAsia" w:cs="仿宋" w:asciiTheme="majorEastAsia" w:hAnsiTheme="majorEastAsia" w:eastAsiaTheme="majorEastAsia"/>
          <w:b/>
          <w:color w:val="auto"/>
        </w:rPr>
        <w:t>6.修改招标文件，重新组织采购活动。</w:t>
      </w:r>
      <w:r>
        <w:rPr>
          <w:rFonts w:hint="eastAsia" w:cs="仿宋" w:asciiTheme="majorEastAsia" w:hAnsiTheme="majorEastAsia" w:eastAsiaTheme="majorEastAsia"/>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9"/>
        <w:adjustRightInd w:val="0"/>
        <w:snapToGrid w:val="0"/>
        <w:spacing w:line="360" w:lineRule="auto"/>
        <w:ind w:firstLine="482"/>
        <w:rPr>
          <w:rFonts w:cs="仿宋" w:asciiTheme="majorEastAsia" w:hAnsiTheme="majorEastAsia" w:eastAsiaTheme="majorEastAsia"/>
          <w:color w:val="auto"/>
        </w:rPr>
      </w:pPr>
      <w:r>
        <w:rPr>
          <w:rFonts w:hint="eastAsia" w:cs="仿宋" w:asciiTheme="majorEastAsia" w:hAnsiTheme="majorEastAsia" w:eastAsiaTheme="majorEastAsia"/>
          <w:b/>
          <w:color w:val="auto"/>
          <w:kern w:val="0"/>
        </w:rPr>
        <w:t>7.重新开展采购。</w:t>
      </w:r>
      <w:r>
        <w:rPr>
          <w:rFonts w:hint="eastAsia" w:cs="仿宋" w:asciiTheme="majorEastAsia" w:hAnsiTheme="majorEastAsia" w:eastAsiaTheme="majorEastAsia"/>
          <w:color w:val="auto"/>
        </w:rPr>
        <w:t>有政府采购法第七十一条、第七十二条规定的违法行为之一，影响或者可能影响中标、成交结果的，依照下列规定处理：</w:t>
      </w:r>
    </w:p>
    <w:p>
      <w:pPr>
        <w:pStyle w:val="9"/>
        <w:adjustRightInd w:val="0"/>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7.1未确定中标或者中标人的，终止本次政府采购活动，重新开展政府采购活动。</w:t>
      </w:r>
    </w:p>
    <w:p>
      <w:pPr>
        <w:pStyle w:val="9"/>
        <w:adjustRightInd w:val="0"/>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7.2已确定中标或者中标人但尚未签订政府采购合同的，中标或者成交结果无效，重新开展政府采购活动。</w:t>
      </w:r>
    </w:p>
    <w:p>
      <w:pPr>
        <w:pStyle w:val="9"/>
        <w:adjustRightInd w:val="0"/>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7.3政府采购合同已签订但尚未履行的，撤销合同，重新开展政府采购活动。</w:t>
      </w:r>
    </w:p>
    <w:p>
      <w:pPr>
        <w:pStyle w:val="9"/>
        <w:adjustRightInd w:val="0"/>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7.4政府采购合同已经履行，给采购人、供应商造成损失的，由责任人承担赔偿责任。</w:t>
      </w:r>
    </w:p>
    <w:p>
      <w:pPr>
        <w:pStyle w:val="9"/>
        <w:adjustRightInd w:val="0"/>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7.5政府采购当事人有其他违反政府采购法</w:t>
      </w:r>
      <w:r>
        <w:rPr>
          <w:rFonts w:hint="eastAsia" w:cs="仿宋" w:asciiTheme="majorEastAsia" w:hAnsiTheme="majorEastAsia" w:eastAsiaTheme="majorEastAsia"/>
          <w:color w:val="auto"/>
          <w:kern w:val="0"/>
        </w:rPr>
        <w:t>或者政府采购法实施条例等法律法规规定</w:t>
      </w:r>
      <w:r>
        <w:rPr>
          <w:rFonts w:hint="eastAsia" w:cs="仿宋" w:asciiTheme="majorEastAsia" w:hAnsiTheme="majorEastAsia" w:eastAsiaTheme="majorEastAsia"/>
          <w:color w:val="auto"/>
        </w:rPr>
        <w:t>的行为，经改正后仍然影响或者可能影响中标、成交结果或者依法被认定为中标、成交无效的，依照7.1-7.4规定处理。</w:t>
      </w:r>
      <w:bookmarkEnd w:id="26"/>
      <w:bookmarkStart w:id="393" w:name="第五部分"/>
      <w:bookmarkStart w:id="394" w:name="_Toc86217003"/>
    </w:p>
    <w:p>
      <w:pPr>
        <w:spacing w:line="360" w:lineRule="auto"/>
        <w:rPr>
          <w:rFonts w:cs="仿宋" w:asciiTheme="majorEastAsia" w:hAnsiTheme="majorEastAsia" w:eastAsiaTheme="majorEastAsia"/>
          <w:b/>
          <w:color w:val="auto"/>
          <w:sz w:val="36"/>
          <w:szCs w:val="36"/>
        </w:rPr>
      </w:pPr>
    </w:p>
    <w:p>
      <w:pPr>
        <w:pStyle w:val="9"/>
        <w:numPr>
          <w:ilvl w:val="0"/>
          <w:numId w:val="2"/>
        </w:numPr>
        <w:adjustRightInd w:val="0"/>
        <w:snapToGrid w:val="0"/>
        <w:spacing w:line="360" w:lineRule="auto"/>
        <w:ind w:firstLine="0" w:firstLineChars="0"/>
        <w:jc w:val="center"/>
        <w:rPr>
          <w:rFonts w:cs="仿宋" w:asciiTheme="majorEastAsia" w:hAnsiTheme="majorEastAsia" w:eastAsiaTheme="majorEastAsia"/>
          <w:b/>
          <w:color w:val="auto"/>
          <w:sz w:val="36"/>
          <w:szCs w:val="36"/>
        </w:rPr>
      </w:pPr>
      <w:r>
        <w:rPr>
          <w:rFonts w:hint="eastAsia" w:cs="仿宋" w:asciiTheme="majorEastAsia" w:hAnsiTheme="majorEastAsia" w:eastAsiaTheme="majorEastAsia"/>
          <w:b/>
          <w:color w:val="auto"/>
          <w:sz w:val="36"/>
          <w:szCs w:val="36"/>
        </w:rPr>
        <w:br w:type="page"/>
      </w:r>
      <w:r>
        <w:rPr>
          <w:rFonts w:hint="eastAsia" w:cs="仿宋" w:asciiTheme="majorEastAsia" w:hAnsiTheme="majorEastAsia" w:eastAsiaTheme="majorEastAsia"/>
          <w:b/>
          <w:color w:val="auto"/>
          <w:sz w:val="36"/>
          <w:szCs w:val="36"/>
        </w:rPr>
        <w:t>拟签订的合同文本</w:t>
      </w:r>
    </w:p>
    <w:p>
      <w:pPr>
        <w:pStyle w:val="9"/>
        <w:adjustRightInd w:val="0"/>
        <w:snapToGrid w:val="0"/>
        <w:spacing w:line="360" w:lineRule="auto"/>
        <w:ind w:firstLine="0" w:firstLineChars="0"/>
        <w:rPr>
          <w:rFonts w:cs="仿宋" w:asciiTheme="majorEastAsia" w:hAnsiTheme="majorEastAsia" w:eastAsiaTheme="majorEastAsia"/>
          <w:b/>
          <w:color w:val="auto"/>
          <w:sz w:val="36"/>
          <w:szCs w:val="36"/>
        </w:rPr>
      </w:pPr>
    </w:p>
    <w:p>
      <w:pPr>
        <w:spacing w:line="36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w:t>
      </w:r>
      <w:r>
        <w:rPr>
          <w:rFonts w:hint="eastAsia" w:ascii="仿宋" w:hAnsi="仿宋" w:eastAsia="仿宋" w:cs="仿宋"/>
          <w:b/>
          <w:color w:val="auto"/>
          <w:sz w:val="36"/>
          <w:szCs w:val="36"/>
          <w:lang w:eastAsia="zh-CN"/>
        </w:rPr>
        <w:t>服务</w:t>
      </w:r>
      <w:r>
        <w:rPr>
          <w:rFonts w:hint="eastAsia" w:ascii="仿宋" w:hAnsi="仿宋" w:eastAsia="仿宋" w:cs="仿宋"/>
          <w:b/>
          <w:color w:val="auto"/>
          <w:sz w:val="36"/>
          <w:szCs w:val="36"/>
        </w:rPr>
        <w:t>类）</w:t>
      </w:r>
    </w:p>
    <w:p>
      <w:pPr>
        <w:pStyle w:val="37"/>
        <w:spacing w:line="360" w:lineRule="auto"/>
        <w:ind w:left="0" w:leftChars="0" w:firstLine="0" w:firstLineChars="0"/>
        <w:rPr>
          <w:rFonts w:hint="eastAsia" w:ascii="仿宋" w:hAnsi="仿宋" w:eastAsia="仿宋" w:cs="仿宋"/>
          <w:color w:val="auto"/>
          <w:szCs w:val="24"/>
        </w:rPr>
      </w:pPr>
    </w:p>
    <w:p>
      <w:pPr>
        <w:pStyle w:val="37"/>
        <w:spacing w:line="360" w:lineRule="auto"/>
        <w:rPr>
          <w:rFonts w:hint="eastAsia" w:ascii="仿宋" w:hAnsi="仿宋" w:eastAsia="仿宋" w:cs="仿宋"/>
          <w:color w:val="auto"/>
          <w:szCs w:val="24"/>
        </w:rPr>
      </w:pPr>
    </w:p>
    <w:p>
      <w:pPr>
        <w:pStyle w:val="37"/>
        <w:spacing w:line="360" w:lineRule="auto"/>
        <w:ind w:left="0" w:leftChars="0" w:firstLine="0" w:firstLineChars="0"/>
        <w:rPr>
          <w:rFonts w:hint="eastAsia" w:ascii="仿宋" w:hAnsi="仿宋" w:eastAsia="仿宋" w:cs="仿宋"/>
          <w:color w:val="auto"/>
          <w:szCs w:val="24"/>
        </w:rPr>
      </w:pPr>
    </w:p>
    <w:p>
      <w:pPr>
        <w:spacing w:before="120" w:line="360" w:lineRule="auto"/>
        <w:rPr>
          <w:rFonts w:hint="eastAsia" w:ascii="仿宋" w:hAnsi="仿宋" w:eastAsia="仿宋" w:cs="仿宋"/>
          <w:color w:val="auto"/>
          <w:sz w:val="24"/>
        </w:rPr>
      </w:pPr>
    </w:p>
    <w:p>
      <w:pPr>
        <w:spacing w:before="120" w:line="360" w:lineRule="auto"/>
        <w:ind w:left="960" w:firstLine="720" w:firstLineChars="300"/>
        <w:rPr>
          <w:rFonts w:hint="eastAsia"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pPr>
        <w:pStyle w:val="29"/>
        <w:spacing w:before="120" w:line="360" w:lineRule="auto"/>
        <w:rPr>
          <w:rFonts w:hint="eastAsia" w:ascii="仿宋" w:hAnsi="仿宋" w:eastAsia="仿宋" w:cs="仿宋"/>
          <w:color w:val="auto"/>
          <w:szCs w:val="24"/>
        </w:rPr>
      </w:pPr>
    </w:p>
    <w:p>
      <w:pPr>
        <w:pStyle w:val="29"/>
        <w:spacing w:before="120" w:line="360" w:lineRule="auto"/>
        <w:rPr>
          <w:rFonts w:hint="eastAsia" w:ascii="仿宋" w:hAnsi="仿宋" w:eastAsia="仿宋" w:cs="仿宋"/>
          <w:color w:val="auto"/>
          <w:szCs w:val="24"/>
        </w:rPr>
      </w:pPr>
    </w:p>
    <w:p>
      <w:pPr>
        <w:spacing w:line="360" w:lineRule="auto"/>
        <w:rPr>
          <w:rFonts w:hint="eastAsia" w:ascii="仿宋" w:hAnsi="仿宋" w:eastAsia="仿宋" w:cs="仿宋"/>
          <w:color w:val="auto"/>
          <w:sz w:val="24"/>
        </w:rPr>
      </w:pPr>
    </w:p>
    <w:p>
      <w:pPr>
        <w:spacing w:before="120" w:line="600" w:lineRule="auto"/>
        <w:ind w:left="960" w:firstLine="720" w:firstLineChars="300"/>
        <w:rPr>
          <w:rFonts w:hint="eastAsia" w:ascii="仿宋" w:hAnsi="仿宋" w:eastAsia="仿宋" w:cs="仿宋"/>
          <w:color w:val="auto"/>
          <w:sz w:val="24"/>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pPr>
        <w:spacing w:before="120" w:line="600" w:lineRule="auto"/>
        <w:ind w:left="960" w:firstLine="720" w:firstLineChars="300"/>
        <w:rPr>
          <w:rFonts w:hint="eastAsia" w:ascii="仿宋" w:hAnsi="仿宋" w:eastAsia="仿宋" w:cs="仿宋"/>
          <w:color w:val="auto"/>
          <w:sz w:val="24"/>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pPr>
        <w:spacing w:before="120" w:line="600" w:lineRule="auto"/>
        <w:ind w:firstLine="1680" w:firstLineChars="700"/>
        <w:rPr>
          <w:rFonts w:hint="eastAsia" w:ascii="仿宋" w:hAnsi="仿宋" w:eastAsia="仿宋" w:cs="仿宋"/>
          <w:color w:val="auto"/>
          <w:sz w:val="24"/>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pPr>
        <w:spacing w:before="120" w:line="600" w:lineRule="auto"/>
        <w:ind w:firstLine="1680" w:firstLineChars="700"/>
        <w:rPr>
          <w:rFonts w:hint="eastAsia" w:ascii="仿宋" w:hAnsi="仿宋" w:eastAsia="仿宋" w:cs="仿宋"/>
          <w:color w:val="auto"/>
          <w:sz w:val="24"/>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u w:val="single"/>
          <w:lang w:val="zh-CN"/>
        </w:rPr>
        <w:br w:type="page"/>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u w:val="single"/>
          <w:lang w:val="zh-CN"/>
        </w:rPr>
        <w:t xml:space="preserve">   （采购人）   </w:t>
      </w:r>
      <w:r>
        <w:rPr>
          <w:rFonts w:hint="eastAsia" w:ascii="仿宋" w:hAnsi="仿宋" w:eastAsia="仿宋" w:cs="仿宋"/>
          <w:color w:val="auto"/>
          <w:sz w:val="24"/>
          <w:lang w:val="zh-CN"/>
        </w:rPr>
        <w:t>以</w:t>
      </w:r>
      <w:r>
        <w:rPr>
          <w:rFonts w:hint="eastAsia" w:ascii="仿宋" w:hAnsi="仿宋" w:eastAsia="仿宋" w:cs="仿宋"/>
          <w:color w:val="auto"/>
          <w:sz w:val="24"/>
          <w:u w:val="single"/>
          <w:lang w:val="zh-CN"/>
        </w:rPr>
        <w:t xml:space="preserve">   （政府采购方式）  </w:t>
      </w:r>
      <w:r>
        <w:rPr>
          <w:rFonts w:hint="eastAsia" w:ascii="仿宋" w:hAnsi="仿宋" w:eastAsia="仿宋" w:cs="仿宋"/>
          <w:color w:val="auto"/>
          <w:sz w:val="24"/>
          <w:lang w:val="zh-CN"/>
        </w:rPr>
        <w:t>对</w:t>
      </w:r>
      <w:r>
        <w:rPr>
          <w:rFonts w:hint="eastAsia" w:ascii="仿宋" w:hAnsi="仿宋" w:eastAsia="仿宋" w:cs="仿宋"/>
          <w:color w:val="auto"/>
          <w:sz w:val="24"/>
          <w:u w:val="single"/>
          <w:lang w:val="zh-CN"/>
        </w:rPr>
        <w:t xml:space="preserve">   （同前页项目名称）   </w:t>
      </w:r>
      <w:r>
        <w:rPr>
          <w:rFonts w:hint="eastAsia" w:ascii="仿宋" w:hAnsi="仿宋" w:eastAsia="仿宋" w:cs="仿宋"/>
          <w:color w:val="auto"/>
          <w:sz w:val="24"/>
          <w:lang w:val="zh-CN"/>
        </w:rPr>
        <w:t>项目进行了采购。经</w:t>
      </w:r>
      <w:r>
        <w:rPr>
          <w:rFonts w:hint="eastAsia" w:ascii="仿宋" w:hAnsi="仿宋" w:eastAsia="仿宋" w:cs="仿宋"/>
          <w:color w:val="auto"/>
          <w:sz w:val="24"/>
          <w:u w:val="single"/>
          <w:lang w:val="zh-CN"/>
        </w:rPr>
        <w:t xml:space="preserve">   （相关评定主体名称）   </w:t>
      </w:r>
      <w:r>
        <w:rPr>
          <w:rFonts w:hint="eastAsia" w:ascii="仿宋" w:hAnsi="仿宋" w:eastAsia="仿宋" w:cs="仿宋"/>
          <w:color w:val="auto"/>
          <w:sz w:val="24"/>
          <w:lang w:val="zh-CN"/>
        </w:rPr>
        <w:t>评定，</w:t>
      </w:r>
      <w:r>
        <w:rPr>
          <w:rFonts w:hint="eastAsia" w:ascii="仿宋" w:hAnsi="仿宋" w:eastAsia="仿宋" w:cs="仿宋"/>
          <w:color w:val="auto"/>
          <w:sz w:val="24"/>
          <w:u w:val="single"/>
          <w:lang w:val="zh-CN"/>
        </w:rPr>
        <w:t xml:space="preserve">   （中标供应商名称）</w:t>
      </w:r>
      <w:r>
        <w:rPr>
          <w:rFonts w:hint="eastAsia" w:ascii="仿宋" w:hAnsi="仿宋" w:eastAsia="仿宋" w:cs="仿宋"/>
          <w:color w:val="auto"/>
          <w:sz w:val="24"/>
          <w:lang w:val="zh-CN"/>
        </w:rPr>
        <w:t>为该项目中标供应商。现于中标通知书发出之日起三十日内，按照采购文件确定的事项签订本合同。</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（中标供应商名称）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rPr>
      </w:pPr>
      <w:r>
        <w:rPr>
          <w:rFonts w:hint="eastAsia" w:ascii="仿宋" w:hAnsi="仿宋" w:eastAsia="仿宋" w:cs="仿宋"/>
          <w:b/>
          <w:color w:val="auto"/>
          <w:sz w:val="24"/>
        </w:rPr>
        <w:t>1 定义</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本合同中的下列词语应按以下内容进行解释：</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 “合同”系指采购人和中标供应商签订的载明双方当事人所达成的协议，并包括所有的附件、附录和构成合同的其他文件。</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1.2 “合同价”系指根据合同约定，中标供应商在完全履行合同义务后，采购人应支付给中标供应商的价格。</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1.3 “</w:t>
      </w:r>
      <w:r>
        <w:rPr>
          <w:rFonts w:hint="eastAsia" w:ascii="仿宋" w:hAnsi="仿宋" w:eastAsia="仿宋" w:cs="仿宋"/>
          <w:color w:val="auto"/>
          <w:sz w:val="24"/>
          <w:lang w:eastAsia="zh-CN"/>
        </w:rPr>
        <w:t>服务</w:t>
      </w:r>
      <w:r>
        <w:rPr>
          <w:rFonts w:hint="eastAsia" w:ascii="仿宋" w:hAnsi="仿宋" w:eastAsia="仿宋" w:cs="仿宋"/>
          <w:color w:val="auto"/>
          <w:sz w:val="24"/>
        </w:rPr>
        <w:t>”系指中标供应商根据合同约定应</w:t>
      </w:r>
      <w:r>
        <w:rPr>
          <w:rFonts w:hint="eastAsia" w:ascii="仿宋" w:hAnsi="仿宋" w:eastAsia="仿宋" w:cs="仿宋"/>
          <w:color w:val="auto"/>
          <w:sz w:val="24"/>
          <w:lang w:eastAsia="zh-CN"/>
        </w:rPr>
        <w:t>为</w:t>
      </w:r>
      <w:r>
        <w:rPr>
          <w:rFonts w:hint="eastAsia" w:ascii="仿宋" w:hAnsi="仿宋" w:eastAsia="仿宋" w:cs="仿宋"/>
          <w:color w:val="auto"/>
          <w:sz w:val="24"/>
        </w:rPr>
        <w:t>采购人</w:t>
      </w:r>
      <w:r>
        <w:rPr>
          <w:rFonts w:hint="eastAsia" w:ascii="仿宋" w:hAnsi="仿宋" w:eastAsia="仿宋" w:cs="仿宋"/>
          <w:color w:val="auto"/>
          <w:sz w:val="24"/>
          <w:lang w:eastAsia="zh-CN"/>
        </w:rPr>
        <w:t>提供</w:t>
      </w:r>
      <w:r>
        <w:rPr>
          <w:rFonts w:hint="eastAsia" w:ascii="仿宋" w:hAnsi="仿宋" w:eastAsia="仿宋" w:cs="仿宋"/>
          <w:color w:val="auto"/>
          <w:sz w:val="24"/>
        </w:rPr>
        <w:t>的一切</w:t>
      </w:r>
      <w:r>
        <w:rPr>
          <w:rFonts w:hint="eastAsia" w:ascii="仿宋" w:hAnsi="仿宋" w:eastAsia="仿宋" w:cs="仿宋"/>
          <w:color w:val="auto"/>
          <w:sz w:val="24"/>
          <w:lang w:eastAsia="zh-CN"/>
        </w:rPr>
        <w:t>服务</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1.4 “甲方”系指与中标供应商签署合同的采购人；采购人委托采购代理机构代表其与乙方签订合同的，采购人的授权委托书作为合同附件。</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1.5 “乙方”系指根据合同约定</w:t>
      </w:r>
      <w:r>
        <w:rPr>
          <w:rFonts w:hint="eastAsia" w:ascii="仿宋" w:hAnsi="仿宋" w:eastAsia="仿宋" w:cs="仿宋"/>
          <w:color w:val="auto"/>
          <w:sz w:val="24"/>
          <w:lang w:eastAsia="zh-CN"/>
        </w:rPr>
        <w:t>提供服务</w:t>
      </w:r>
      <w:r>
        <w:rPr>
          <w:rFonts w:hint="eastAsia" w:ascii="仿宋" w:hAnsi="仿宋" w:eastAsia="仿宋" w:cs="仿宋"/>
          <w:color w:val="auto"/>
          <w:sz w:val="24"/>
        </w:rPr>
        <w:t>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1.6 “现场”系指合同约定</w:t>
      </w:r>
      <w:r>
        <w:rPr>
          <w:rFonts w:hint="eastAsia" w:ascii="仿宋" w:hAnsi="仿宋" w:eastAsia="仿宋" w:cs="仿宋"/>
          <w:color w:val="auto"/>
          <w:sz w:val="24"/>
          <w:lang w:eastAsia="zh-CN"/>
        </w:rPr>
        <w:t>中标供应商为采购人提供服务的</w:t>
      </w:r>
      <w:r>
        <w:rPr>
          <w:rFonts w:hint="eastAsia" w:ascii="仿宋" w:hAnsi="仿宋" w:eastAsia="仿宋" w:cs="仿宋"/>
          <w:color w:val="auto"/>
          <w:sz w:val="24"/>
        </w:rPr>
        <w:t>地点。</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 xml:space="preserve"> 合同组成部分</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.1 本合同及其</w:t>
      </w:r>
      <w:r>
        <w:rPr>
          <w:rFonts w:hint="eastAsia" w:ascii="仿宋" w:hAnsi="仿宋" w:eastAsia="仿宋" w:cs="仿宋"/>
          <w:color w:val="auto"/>
          <w:sz w:val="24"/>
          <w:lang w:eastAsia="zh-CN"/>
        </w:rPr>
        <w:t>附件、</w:t>
      </w:r>
      <w:r>
        <w:rPr>
          <w:rFonts w:hint="eastAsia" w:ascii="仿宋" w:hAnsi="仿宋" w:eastAsia="仿宋" w:cs="仿宋"/>
          <w:color w:val="auto"/>
          <w:sz w:val="24"/>
        </w:rPr>
        <w:t>补充合同、变更协议；</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.2 中标通知书；</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.3 投标文件（含澄清或者说明文件）；</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.4 招标文件（含澄清或者修改文件）；</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.5 其他相关采购文件。</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lang w:eastAsia="zh-CN"/>
        </w:rPr>
      </w:pPr>
      <w:r>
        <w:rPr>
          <w:rFonts w:hint="eastAsia" w:ascii="仿宋" w:hAnsi="仿宋" w:eastAsia="仿宋" w:cs="仿宋"/>
          <w:b/>
          <w:color w:val="auto"/>
          <w:sz w:val="24"/>
          <w:lang w:val="en-US" w:eastAsia="zh-CN"/>
        </w:rPr>
        <w:t>3</w:t>
      </w:r>
      <w:r>
        <w:rPr>
          <w:rFonts w:hint="eastAsia" w:ascii="仿宋" w:hAnsi="仿宋" w:eastAsia="仿宋" w:cs="仿宋"/>
          <w:b/>
          <w:color w:val="auto"/>
          <w:sz w:val="24"/>
        </w:rPr>
        <w:t xml:space="preserve"> </w:t>
      </w:r>
      <w:r>
        <w:rPr>
          <w:rFonts w:hint="eastAsia" w:ascii="仿宋" w:hAnsi="仿宋" w:eastAsia="仿宋" w:cs="仿宋"/>
          <w:b/>
          <w:color w:val="auto"/>
          <w:sz w:val="24"/>
          <w:lang w:eastAsia="zh-CN"/>
        </w:rPr>
        <w:t>服务内容（与招标文件一致）</w:t>
      </w:r>
    </w:p>
    <w:p>
      <w:pP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lang w:val="en-US" w:eastAsia="zh-CN"/>
        </w:rPr>
        <w:t>3</w:t>
      </w:r>
      <w:r>
        <w:rPr>
          <w:rFonts w:hint="eastAsia" w:ascii="仿宋" w:hAnsi="仿宋" w:eastAsia="仿宋" w:cs="仿宋"/>
          <w:color w:val="auto"/>
          <w:sz w:val="24"/>
        </w:rPr>
        <w:t xml:space="preserve">.1 </w:t>
      </w:r>
      <w:r>
        <w:rPr>
          <w:rFonts w:hint="eastAsia" w:ascii="仿宋" w:hAnsi="仿宋" w:eastAsia="仿宋" w:cs="仿宋"/>
          <w:color w:val="auto"/>
          <w:sz w:val="24"/>
          <w:lang w:eastAsia="zh-CN"/>
        </w:rPr>
        <w:t>服务内容</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lang w:val="en-US" w:eastAsia="zh-CN"/>
        </w:rPr>
        <w:t>3</w:t>
      </w:r>
      <w:r>
        <w:rPr>
          <w:rFonts w:hint="eastAsia" w:ascii="仿宋" w:hAnsi="仿宋" w:eastAsia="仿宋" w:cs="仿宋"/>
          <w:color w:val="auto"/>
          <w:sz w:val="24"/>
        </w:rPr>
        <w:t xml:space="preserve">.2 </w:t>
      </w:r>
      <w:r>
        <w:rPr>
          <w:rFonts w:hint="eastAsia" w:ascii="仿宋" w:hAnsi="仿宋" w:eastAsia="仿宋" w:cs="仿宋"/>
          <w:color w:val="auto"/>
          <w:sz w:val="24"/>
          <w:lang w:eastAsia="zh-CN"/>
        </w:rPr>
        <w:t>服务要求与标准</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 xml:space="preserve">.3 </w:t>
      </w:r>
      <w:r>
        <w:rPr>
          <w:rFonts w:hint="eastAsia" w:ascii="仿宋" w:hAnsi="仿宋" w:eastAsia="仿宋" w:cs="仿宋"/>
          <w:color w:val="auto"/>
          <w:sz w:val="24"/>
          <w:lang w:eastAsia="zh-CN"/>
        </w:rPr>
        <w:t>服务成果</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rPr>
      </w:pPr>
      <w:r>
        <w:rPr>
          <w:rFonts w:hint="eastAsia" w:ascii="仿宋" w:hAnsi="仿宋" w:eastAsia="仿宋" w:cs="仿宋"/>
          <w:b/>
          <w:color w:val="auto"/>
          <w:sz w:val="24"/>
          <w:lang w:val="en-US" w:eastAsia="zh-CN"/>
        </w:rPr>
        <w:t>4</w:t>
      </w:r>
      <w:r>
        <w:rPr>
          <w:rFonts w:hint="eastAsia" w:ascii="仿宋" w:hAnsi="仿宋" w:eastAsia="仿宋" w:cs="仿宋"/>
          <w:b/>
          <w:color w:val="auto"/>
          <w:sz w:val="24"/>
        </w:rPr>
        <w:t xml:space="preserve"> 价款</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本合同总价为：￥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pP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分项价格：</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3"/>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3"/>
              <w:spacing w:line="360" w:lineRule="auto"/>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3"/>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3"/>
              <w:spacing w:line="360" w:lineRule="auto"/>
              <w:ind w:firstLine="200"/>
              <w:jc w:val="center"/>
              <w:rPr>
                <w:rFonts w:hint="eastAsia"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3"/>
              <w:spacing w:line="360" w:lineRule="auto"/>
              <w:ind w:firstLine="200"/>
              <w:jc w:val="center"/>
              <w:rPr>
                <w:rFonts w:hint="eastAsia"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3"/>
              <w:spacing w:line="360" w:lineRule="auto"/>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3"/>
              <w:spacing w:line="360" w:lineRule="auto"/>
              <w:ind w:firstLine="200"/>
              <w:jc w:val="center"/>
              <w:rPr>
                <w:rFonts w:hint="eastAsia"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3"/>
              <w:spacing w:line="360" w:lineRule="auto"/>
              <w:ind w:firstLine="200"/>
              <w:jc w:val="center"/>
              <w:rPr>
                <w:rFonts w:hint="eastAsia"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3"/>
              <w:spacing w:line="360" w:lineRule="auto"/>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3"/>
              <w:spacing w:line="360" w:lineRule="auto"/>
              <w:ind w:firstLine="200"/>
              <w:jc w:val="center"/>
              <w:rPr>
                <w:rFonts w:hint="eastAsia"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3"/>
              <w:spacing w:line="360" w:lineRule="auto"/>
              <w:ind w:firstLine="200"/>
              <w:jc w:val="center"/>
              <w:rPr>
                <w:rFonts w:hint="eastAsia"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3"/>
              <w:spacing w:line="360" w:lineRule="auto"/>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3"/>
              <w:spacing w:line="360" w:lineRule="auto"/>
              <w:ind w:firstLine="200"/>
              <w:jc w:val="center"/>
              <w:rPr>
                <w:rFonts w:hint="eastAsia"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3"/>
              <w:spacing w:line="360" w:lineRule="auto"/>
              <w:ind w:firstLine="200"/>
              <w:jc w:val="center"/>
              <w:rPr>
                <w:rFonts w:hint="eastAsia"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3"/>
              <w:spacing w:line="360" w:lineRule="auto"/>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pPr>
              <w:pStyle w:val="33"/>
              <w:spacing w:line="360" w:lineRule="auto"/>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3"/>
              <w:spacing w:line="360" w:lineRule="auto"/>
              <w:ind w:firstLine="200"/>
              <w:jc w:val="center"/>
              <w:rPr>
                <w:rFonts w:hint="eastAsia" w:ascii="仿宋" w:hAnsi="仿宋" w:eastAsia="仿宋" w:cs="仿宋"/>
                <w:color w:val="auto"/>
                <w:sz w:val="24"/>
                <w:szCs w:val="24"/>
              </w:rPr>
            </w:pPr>
          </w:p>
        </w:tc>
      </w:tr>
    </w:tbl>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rPr>
      </w:pPr>
      <w:r>
        <w:rPr>
          <w:rFonts w:hint="eastAsia" w:ascii="仿宋" w:hAnsi="仿宋" w:eastAsia="仿宋" w:cs="仿宋"/>
          <w:b/>
          <w:color w:val="auto"/>
          <w:sz w:val="24"/>
          <w:lang w:val="en-US" w:eastAsia="zh-CN"/>
        </w:rPr>
        <w:t>5</w:t>
      </w:r>
      <w:r>
        <w:rPr>
          <w:rFonts w:hint="eastAsia" w:ascii="仿宋" w:hAnsi="仿宋" w:eastAsia="仿宋" w:cs="仿宋"/>
          <w:b/>
          <w:color w:val="auto"/>
          <w:sz w:val="24"/>
        </w:rPr>
        <w:t xml:space="preserve"> 付款方式、时间和条件</w:t>
      </w:r>
    </w:p>
    <w:p>
      <w:pPr>
        <w:pStyle w:val="32"/>
        <w:spacing w:before="0" w:beforeAutospacing="0" w:after="0" w:afterAutospacing="0" w:line="360" w:lineRule="auto"/>
        <w:ind w:firstLine="480"/>
        <w:rPr>
          <w:rFonts w:hint="eastAsia" w:ascii="仿宋" w:hAnsi="仿宋" w:eastAsia="仿宋" w:cs="仿宋"/>
          <w:b/>
          <w:bCs/>
          <w:i/>
          <w:iCs/>
          <w:color w:val="auto"/>
          <w:kern w:val="2"/>
          <w:sz w:val="24"/>
          <w:szCs w:val="24"/>
          <w:u w:val="single"/>
          <w:lang w:val="en-US" w:eastAsia="zh-CN" w:bidi="ar-SA"/>
        </w:rPr>
      </w:pPr>
      <w:r>
        <w:rPr>
          <w:rFonts w:hint="eastAsia" w:ascii="仿宋" w:hAnsi="仿宋" w:eastAsia="仿宋" w:cs="仿宋"/>
          <w:color w:val="auto"/>
          <w:kern w:val="2"/>
          <w:sz w:val="24"/>
          <w:szCs w:val="24"/>
          <w:lang w:val="en-US" w:eastAsia="zh-CN" w:bidi="ar-SA"/>
        </w:rPr>
        <w:t>5.1 资金支付的方式、时间和条件：</w:t>
      </w:r>
      <w:r>
        <w:rPr>
          <w:rFonts w:hint="eastAsia" w:ascii="仿宋" w:hAnsi="仿宋" w:eastAsia="仿宋" w:cs="仿宋"/>
          <w:b/>
          <w:bCs/>
          <w:i/>
          <w:iCs/>
          <w:color w:val="auto"/>
          <w:kern w:val="2"/>
          <w:sz w:val="24"/>
          <w:szCs w:val="24"/>
          <w:u w:val="single"/>
          <w:lang w:val="en-US" w:eastAsia="zh-CN" w:bidi="ar-SA"/>
        </w:rPr>
        <w:t xml:space="preserve">                       </w:t>
      </w:r>
    </w:p>
    <w:p>
      <w:pPr>
        <w:pStyle w:val="32"/>
        <w:spacing w:before="0" w:beforeAutospacing="0" w:after="0" w:afterAutospacing="0" w:line="360" w:lineRule="auto"/>
        <w:ind w:firstLine="48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5.2 乙方收款账户：</w:t>
      </w:r>
    </w:p>
    <w:p>
      <w:pPr>
        <w:autoSpaceDE w:val="0"/>
        <w:autoSpaceDN w:val="0"/>
        <w:spacing w:line="360" w:lineRule="auto"/>
        <w:ind w:leftChars="700"/>
        <w:rPr>
          <w:rFonts w:hint="eastAsia" w:ascii="仿宋" w:hAnsi="仿宋" w:eastAsia="仿宋" w:cs="仿宋"/>
          <w:color w:val="auto"/>
          <w:sz w:val="24"/>
        </w:rPr>
      </w:pPr>
      <w:r>
        <w:rPr>
          <w:rFonts w:hint="eastAsia" w:ascii="仿宋" w:hAnsi="仿宋" w:eastAsia="仿宋" w:cs="仿宋"/>
          <w:color w:val="auto"/>
          <w:sz w:val="24"/>
        </w:rPr>
        <w:t>开户银行：</w:t>
      </w:r>
      <w:r>
        <w:rPr>
          <w:rFonts w:hint="eastAsia" w:ascii="仿宋" w:hAnsi="仿宋" w:eastAsia="仿宋" w:cs="仿宋"/>
          <w:b/>
          <w:bCs/>
          <w:i/>
          <w:iCs/>
          <w:color w:val="auto"/>
          <w:kern w:val="2"/>
          <w:sz w:val="24"/>
          <w:szCs w:val="24"/>
          <w:u w:val="single"/>
          <w:lang w:val="en-US" w:eastAsia="zh-CN" w:bidi="ar-SA"/>
        </w:rPr>
        <w:t xml:space="preserve">                          </w:t>
      </w:r>
      <w:r>
        <w:rPr>
          <w:rFonts w:hint="eastAsia" w:ascii="仿宋" w:hAnsi="仿宋" w:eastAsia="仿宋" w:cs="仿宋"/>
          <w:color w:val="auto"/>
          <w:sz w:val="24"/>
        </w:rPr>
        <w:t xml:space="preserve">                          </w:t>
      </w:r>
    </w:p>
    <w:p>
      <w:pPr>
        <w:autoSpaceDE w:val="0"/>
        <w:autoSpaceDN w:val="0"/>
        <w:spacing w:line="360" w:lineRule="auto"/>
        <w:ind w:leftChars="700"/>
        <w:rPr>
          <w:rFonts w:hint="eastAsia" w:ascii="仿宋" w:hAnsi="仿宋" w:eastAsia="仿宋" w:cs="仿宋"/>
          <w:color w:val="auto"/>
          <w:sz w:val="24"/>
        </w:rPr>
      </w:pPr>
      <w:r>
        <w:rPr>
          <w:rFonts w:hint="eastAsia" w:ascii="仿宋" w:hAnsi="仿宋" w:eastAsia="仿宋" w:cs="仿宋"/>
          <w:color w:val="auto"/>
          <w:sz w:val="24"/>
        </w:rPr>
        <w:t>开户名称：</w:t>
      </w:r>
      <w:r>
        <w:rPr>
          <w:rFonts w:hint="eastAsia" w:ascii="仿宋" w:hAnsi="仿宋" w:eastAsia="仿宋" w:cs="仿宋"/>
          <w:b/>
          <w:bCs/>
          <w:i/>
          <w:iCs/>
          <w:color w:val="auto"/>
          <w:kern w:val="2"/>
          <w:sz w:val="24"/>
          <w:szCs w:val="24"/>
          <w:u w:val="single"/>
          <w:lang w:val="en-US" w:eastAsia="zh-CN" w:bidi="ar-SA"/>
        </w:rPr>
        <w:t xml:space="preserve">                          </w:t>
      </w:r>
      <w:r>
        <w:rPr>
          <w:rFonts w:hint="eastAsia" w:ascii="仿宋" w:hAnsi="仿宋" w:eastAsia="仿宋" w:cs="仿宋"/>
          <w:color w:val="auto"/>
          <w:sz w:val="24"/>
        </w:rPr>
        <w:t xml:space="preserve">                             </w:t>
      </w:r>
    </w:p>
    <w:p>
      <w:pPr>
        <w:autoSpaceDE w:val="0"/>
        <w:autoSpaceDN w:val="0"/>
        <w:spacing w:line="360" w:lineRule="auto"/>
        <w:ind w:leftChars="7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开户账号：</w:t>
      </w:r>
      <w:r>
        <w:rPr>
          <w:rFonts w:hint="eastAsia" w:ascii="仿宋" w:hAnsi="仿宋" w:eastAsia="仿宋" w:cs="仿宋"/>
          <w:b/>
          <w:bCs/>
          <w:i/>
          <w:iCs/>
          <w:color w:val="auto"/>
          <w:kern w:val="2"/>
          <w:sz w:val="24"/>
          <w:szCs w:val="24"/>
          <w:u w:val="single"/>
          <w:lang w:val="en-US" w:eastAsia="zh-CN" w:bidi="ar-SA"/>
        </w:rPr>
        <w:t xml:space="preserve">                          </w:t>
      </w:r>
      <w:r>
        <w:rPr>
          <w:rFonts w:hint="eastAsia" w:ascii="仿宋" w:hAnsi="仿宋" w:eastAsia="仿宋" w:cs="仿宋"/>
          <w:color w:val="auto"/>
          <w:sz w:val="24"/>
          <w:lang w:val="zh-CN"/>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lang w:eastAsia="zh-CN"/>
        </w:rPr>
      </w:pPr>
      <w:r>
        <w:rPr>
          <w:rFonts w:hint="eastAsia" w:ascii="仿宋" w:hAnsi="仿宋" w:eastAsia="仿宋" w:cs="仿宋"/>
          <w:b/>
          <w:color w:val="auto"/>
          <w:sz w:val="24"/>
          <w:lang w:val="en-US" w:eastAsia="zh-CN"/>
        </w:rPr>
        <w:t>6</w:t>
      </w:r>
      <w:r>
        <w:rPr>
          <w:rFonts w:hint="eastAsia" w:ascii="仿宋" w:hAnsi="仿宋" w:eastAsia="仿宋" w:cs="仿宋"/>
          <w:b/>
          <w:color w:val="auto"/>
          <w:sz w:val="24"/>
        </w:rPr>
        <w:t xml:space="preserve"> </w:t>
      </w:r>
      <w:r>
        <w:rPr>
          <w:rFonts w:hint="eastAsia" w:ascii="仿宋" w:hAnsi="仿宋" w:eastAsia="仿宋" w:cs="仿宋"/>
          <w:b/>
          <w:color w:val="auto"/>
          <w:sz w:val="24"/>
          <w:lang w:eastAsia="zh-CN"/>
        </w:rPr>
        <w:t>服务期限</w:t>
      </w:r>
      <w:r>
        <w:rPr>
          <w:rFonts w:hint="eastAsia" w:ascii="仿宋" w:hAnsi="仿宋" w:eastAsia="仿宋" w:cs="仿宋"/>
          <w:b/>
          <w:color w:val="auto"/>
          <w:sz w:val="24"/>
        </w:rPr>
        <w:t>、地点和</w:t>
      </w:r>
      <w:r>
        <w:rPr>
          <w:rFonts w:hint="eastAsia" w:ascii="仿宋" w:hAnsi="仿宋" w:eastAsia="仿宋" w:cs="仿宋"/>
          <w:b/>
          <w:color w:val="auto"/>
          <w:sz w:val="24"/>
          <w:lang w:eastAsia="zh-CN"/>
        </w:rPr>
        <w:t>服务人员要求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lang w:val="en-US" w:eastAsia="zh-CN"/>
        </w:rPr>
        <w:t>6</w:t>
      </w:r>
      <w:r>
        <w:rPr>
          <w:rFonts w:hint="eastAsia" w:ascii="仿宋" w:hAnsi="仿宋" w:eastAsia="仿宋" w:cs="仿宋"/>
          <w:color w:val="auto"/>
          <w:sz w:val="24"/>
        </w:rPr>
        <w:t xml:space="preserve">.1 </w:t>
      </w:r>
      <w:r>
        <w:rPr>
          <w:rFonts w:hint="eastAsia" w:ascii="仿宋" w:hAnsi="仿宋" w:eastAsia="仿宋" w:cs="仿宋"/>
          <w:color w:val="auto"/>
          <w:sz w:val="24"/>
          <w:lang w:eastAsia="zh-CN"/>
        </w:rPr>
        <w:t>服务</w:t>
      </w:r>
      <w:r>
        <w:rPr>
          <w:rFonts w:hint="eastAsia" w:ascii="仿宋" w:hAnsi="仿宋" w:eastAsia="仿宋" w:cs="仿宋"/>
          <w:color w:val="auto"/>
          <w:sz w:val="24"/>
        </w:rPr>
        <w:t>期限：</w:t>
      </w:r>
      <w:r>
        <w:rPr>
          <w:rFonts w:hint="eastAsia" w:ascii="仿宋" w:hAnsi="仿宋" w:eastAsia="仿宋" w:cs="仿宋"/>
          <w:b/>
          <w:i/>
          <w:color w:val="auto"/>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6</w:t>
      </w:r>
      <w:r>
        <w:rPr>
          <w:rFonts w:hint="eastAsia" w:ascii="仿宋" w:hAnsi="仿宋" w:eastAsia="仿宋" w:cs="仿宋"/>
          <w:color w:val="auto"/>
          <w:sz w:val="24"/>
        </w:rPr>
        <w:t xml:space="preserve">.2 </w:t>
      </w:r>
      <w:r>
        <w:rPr>
          <w:rFonts w:hint="eastAsia" w:ascii="仿宋" w:hAnsi="仿宋" w:eastAsia="仿宋" w:cs="仿宋"/>
          <w:color w:val="auto"/>
          <w:sz w:val="24"/>
          <w:lang w:eastAsia="zh-CN"/>
        </w:rPr>
        <w:t>服务</w:t>
      </w:r>
      <w:r>
        <w:rPr>
          <w:rFonts w:hint="eastAsia" w:ascii="仿宋" w:hAnsi="仿宋" w:eastAsia="仿宋" w:cs="仿宋"/>
          <w:color w:val="auto"/>
          <w:sz w:val="24"/>
        </w:rPr>
        <w:t>地点：</w:t>
      </w:r>
      <w:r>
        <w:rPr>
          <w:rFonts w:hint="eastAsia" w:ascii="仿宋" w:hAnsi="仿宋" w:eastAsia="仿宋" w:cs="仿宋"/>
          <w:b/>
          <w:i/>
          <w:color w:val="auto"/>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rPr>
      </w:pPr>
      <w:r>
        <w:rPr>
          <w:rFonts w:hint="eastAsia" w:ascii="仿宋" w:hAnsi="仿宋" w:eastAsia="仿宋" w:cs="仿宋"/>
          <w:color w:val="auto"/>
          <w:sz w:val="24"/>
          <w:lang w:val="en-US" w:eastAsia="zh-CN"/>
        </w:rPr>
        <w:t>6</w:t>
      </w:r>
      <w:r>
        <w:rPr>
          <w:rFonts w:hint="eastAsia" w:ascii="仿宋" w:hAnsi="仿宋" w:eastAsia="仿宋" w:cs="仿宋"/>
          <w:color w:val="auto"/>
          <w:sz w:val="24"/>
        </w:rPr>
        <w:t xml:space="preserve">.3 </w:t>
      </w:r>
      <w:r>
        <w:rPr>
          <w:rFonts w:hint="eastAsia" w:ascii="仿宋" w:hAnsi="仿宋" w:eastAsia="仿宋" w:cs="仿宋"/>
          <w:color w:val="auto"/>
          <w:sz w:val="24"/>
          <w:lang w:eastAsia="zh-CN"/>
        </w:rPr>
        <w:t>服务人员</w:t>
      </w:r>
      <w:r>
        <w:rPr>
          <w:rFonts w:hint="eastAsia" w:ascii="仿宋" w:hAnsi="仿宋" w:eastAsia="仿宋" w:cs="仿宋"/>
          <w:color w:val="auto"/>
          <w:sz w:val="24"/>
        </w:rPr>
        <w:t>：</w:t>
      </w:r>
      <w:r>
        <w:rPr>
          <w:rFonts w:hint="eastAsia" w:ascii="仿宋" w:hAnsi="仿宋" w:eastAsia="仿宋" w:cs="仿宋"/>
          <w:b/>
          <w:i/>
          <w:color w:val="auto"/>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rPr>
      </w:pPr>
      <w:r>
        <w:rPr>
          <w:rFonts w:hint="eastAsia" w:ascii="仿宋" w:hAnsi="仿宋" w:eastAsia="仿宋" w:cs="仿宋"/>
          <w:b/>
          <w:color w:val="auto"/>
          <w:sz w:val="24"/>
          <w:lang w:val="en-US" w:eastAsia="zh-CN"/>
        </w:rPr>
        <w:t>7</w:t>
      </w:r>
      <w:r>
        <w:rPr>
          <w:rFonts w:hint="eastAsia" w:ascii="仿宋" w:hAnsi="仿宋" w:eastAsia="仿宋" w:cs="仿宋"/>
          <w:b/>
          <w:color w:val="auto"/>
          <w:sz w:val="24"/>
        </w:rPr>
        <w:t xml:space="preserve"> 技术规范</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eastAsia="zh-CN"/>
        </w:rPr>
        <w:t>服务</w:t>
      </w:r>
      <w:r>
        <w:rPr>
          <w:rFonts w:hint="eastAsia" w:ascii="仿宋" w:hAnsi="仿宋" w:eastAsia="仿宋" w:cs="仿宋"/>
          <w:color w:val="auto"/>
          <w:sz w:val="24"/>
        </w:rPr>
        <w:t>所应遵守的技术规范应与</w:t>
      </w:r>
      <w:r>
        <w:rPr>
          <w:rFonts w:hint="eastAsia" w:ascii="仿宋" w:hAnsi="仿宋" w:eastAsia="仿宋" w:cs="仿宋"/>
          <w:color w:val="auto"/>
          <w:sz w:val="24"/>
          <w:lang w:eastAsia="zh-CN"/>
        </w:rPr>
        <w:t>招标文件</w:t>
      </w:r>
      <w:r>
        <w:rPr>
          <w:rFonts w:hint="eastAsia" w:ascii="仿宋" w:hAnsi="仿宋" w:eastAsia="仿宋" w:cs="仿宋"/>
          <w:color w:val="auto"/>
          <w:sz w:val="24"/>
        </w:rPr>
        <w:t>规定的技术规范和技术规范附件(如果有的话)及其技术规范偏差表(如果被甲方接受的话)相一致；如果</w:t>
      </w:r>
      <w:r>
        <w:rPr>
          <w:rFonts w:hint="eastAsia" w:ascii="仿宋" w:hAnsi="仿宋" w:eastAsia="仿宋" w:cs="仿宋"/>
          <w:color w:val="auto"/>
          <w:sz w:val="24"/>
          <w:lang w:eastAsia="zh-CN"/>
        </w:rPr>
        <w:t>招标文件</w:t>
      </w:r>
      <w:r>
        <w:rPr>
          <w:rFonts w:hint="eastAsia" w:ascii="仿宋" w:hAnsi="仿宋" w:eastAsia="仿宋" w:cs="仿宋"/>
          <w:color w:val="auto"/>
          <w:sz w:val="24"/>
        </w:rPr>
        <w:t>中没有技术规范的相应说明，那么应以国家有关部门最新颁布的相应标准和规范为准。</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rPr>
      </w:pPr>
      <w:r>
        <w:rPr>
          <w:rFonts w:hint="eastAsia" w:ascii="仿宋" w:hAnsi="仿宋" w:eastAsia="仿宋" w:cs="仿宋"/>
          <w:b/>
          <w:color w:val="auto"/>
          <w:sz w:val="24"/>
          <w:lang w:val="en-US" w:eastAsia="zh-CN"/>
        </w:rPr>
        <w:t>8</w:t>
      </w:r>
      <w:r>
        <w:rPr>
          <w:rFonts w:hint="eastAsia" w:ascii="仿宋" w:hAnsi="仿宋" w:eastAsia="仿宋" w:cs="仿宋"/>
          <w:b/>
          <w:color w:val="auto"/>
          <w:sz w:val="24"/>
        </w:rPr>
        <w:t xml:space="preserve"> 知识产权</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8</w:t>
      </w:r>
      <w:r>
        <w:rPr>
          <w:rFonts w:hint="eastAsia" w:ascii="仿宋" w:hAnsi="仿宋" w:eastAsia="仿宋" w:cs="仿宋"/>
          <w:color w:val="auto"/>
          <w:sz w:val="24"/>
        </w:rPr>
        <w:t>.1 乙方应保证甲方在使用</w:t>
      </w:r>
      <w:r>
        <w:rPr>
          <w:rFonts w:hint="eastAsia" w:ascii="仿宋" w:hAnsi="仿宋" w:eastAsia="仿宋" w:cs="仿宋"/>
          <w:color w:val="auto"/>
          <w:sz w:val="24"/>
          <w:lang w:eastAsia="zh-CN"/>
        </w:rPr>
        <w:t>服务成果</w:t>
      </w:r>
      <w:r>
        <w:rPr>
          <w:rFonts w:hint="eastAsia" w:ascii="仿宋" w:hAnsi="仿宋" w:eastAsia="仿宋" w:cs="仿宋"/>
          <w:color w:val="auto"/>
          <w:sz w:val="24"/>
        </w:rPr>
        <w:t>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8</w:t>
      </w:r>
      <w:r>
        <w:rPr>
          <w:rFonts w:hint="eastAsia" w:ascii="仿宋" w:hAnsi="仿宋" w:eastAsia="仿宋" w:cs="仿宋"/>
          <w:color w:val="auto"/>
          <w:sz w:val="24"/>
        </w:rPr>
        <w:t>.2具有知识产权的计算机软件等</w:t>
      </w:r>
      <w:r>
        <w:rPr>
          <w:rFonts w:hint="eastAsia" w:ascii="仿宋" w:hAnsi="仿宋" w:eastAsia="仿宋" w:cs="仿宋"/>
          <w:color w:val="auto"/>
          <w:sz w:val="24"/>
          <w:lang w:eastAsia="zh-CN"/>
        </w:rPr>
        <w:t>服务</w:t>
      </w:r>
      <w:r>
        <w:rPr>
          <w:rFonts w:hint="eastAsia" w:ascii="仿宋" w:hAnsi="仿宋" w:eastAsia="仿宋" w:cs="仿宋"/>
          <w:color w:val="auto"/>
          <w:sz w:val="24"/>
        </w:rPr>
        <w:t>的知识产权归属，</w:t>
      </w:r>
      <w:r>
        <w:rPr>
          <w:rFonts w:hint="eastAsia" w:ascii="仿宋" w:hAnsi="仿宋" w:eastAsia="仿宋" w:cs="仿宋"/>
          <w:color w:val="auto"/>
          <w:sz w:val="24"/>
          <w:lang w:eastAsia="zh-CN"/>
        </w:rPr>
        <w:t>除合同另有规定外，归甲方所有</w:t>
      </w:r>
      <w:r>
        <w:rPr>
          <w:rFonts w:hint="eastAsia" w:ascii="仿宋" w:hAnsi="仿宋" w:eastAsia="仿宋" w:cs="仿宋"/>
          <w:color w:val="auto"/>
          <w:sz w:val="24"/>
        </w:rPr>
        <w:t>。</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rPr>
      </w:pPr>
      <w:r>
        <w:rPr>
          <w:rFonts w:hint="eastAsia" w:ascii="仿宋" w:hAnsi="仿宋" w:eastAsia="仿宋" w:cs="仿宋"/>
          <w:b/>
          <w:color w:val="auto"/>
          <w:sz w:val="24"/>
          <w:lang w:val="en-US" w:eastAsia="zh-CN"/>
        </w:rPr>
        <w:t>9</w:t>
      </w:r>
      <w:r>
        <w:rPr>
          <w:rFonts w:hint="eastAsia" w:ascii="仿宋" w:hAnsi="仿宋" w:eastAsia="仿宋" w:cs="仿宋"/>
          <w:b/>
          <w:color w:val="auto"/>
          <w:sz w:val="24"/>
        </w:rPr>
        <w:t xml:space="preserve"> 包装和装运</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9</w:t>
      </w:r>
      <w:r>
        <w:rPr>
          <w:rFonts w:hint="eastAsia" w:ascii="仿宋" w:hAnsi="仿宋" w:eastAsia="仿宋" w:cs="仿宋"/>
          <w:color w:val="auto"/>
          <w:sz w:val="24"/>
        </w:rPr>
        <w:t>.1乙方</w:t>
      </w:r>
      <w:r>
        <w:rPr>
          <w:rFonts w:hint="eastAsia" w:ascii="仿宋" w:hAnsi="仿宋" w:eastAsia="仿宋" w:cs="仿宋"/>
          <w:color w:val="auto"/>
          <w:sz w:val="24"/>
          <w:lang w:eastAsia="zh-CN"/>
        </w:rPr>
        <w:t>为履行服务合同提供</w:t>
      </w:r>
      <w:r>
        <w:rPr>
          <w:rFonts w:hint="eastAsia" w:ascii="仿宋" w:hAnsi="仿宋" w:eastAsia="仿宋" w:cs="仿宋"/>
          <w:color w:val="auto"/>
          <w:sz w:val="24"/>
        </w:rPr>
        <w:t>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lang w:val="en-US" w:eastAsia="zh-CN"/>
        </w:rPr>
        <w:t>9</w:t>
      </w:r>
      <w:r>
        <w:rPr>
          <w:rFonts w:hint="eastAsia" w:ascii="仿宋" w:hAnsi="仿宋" w:eastAsia="仿宋" w:cs="仿宋"/>
          <w:color w:val="auto"/>
          <w:sz w:val="24"/>
        </w:rPr>
        <w:t xml:space="preserve">.2乙方提供产品及相关快递服务的具体包装要求应符合《商品包装政府采购需求标准（试行）》《快递包装政府采购需求标准（试行）》，并作为履约验收的内容，必要时甲方可以要求乙方在履约验收环节出具检测报告。 </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lang w:eastAsia="zh-CN"/>
        </w:rPr>
      </w:pPr>
      <w:r>
        <w:rPr>
          <w:rFonts w:hint="eastAsia" w:ascii="仿宋" w:hAnsi="仿宋" w:eastAsia="仿宋" w:cs="仿宋"/>
          <w:b/>
          <w:color w:val="auto"/>
          <w:sz w:val="24"/>
          <w:lang w:val="en-US" w:eastAsia="zh-CN"/>
        </w:rPr>
        <w:t>10</w:t>
      </w:r>
      <w:r>
        <w:rPr>
          <w:rFonts w:hint="eastAsia" w:ascii="仿宋" w:hAnsi="仿宋" w:eastAsia="仿宋" w:cs="仿宋"/>
          <w:b/>
          <w:color w:val="auto"/>
          <w:sz w:val="24"/>
        </w:rPr>
        <w:t xml:space="preserve"> 履约保证金</w:t>
      </w:r>
      <w:r>
        <w:rPr>
          <w:rFonts w:hint="eastAsia" w:ascii="仿宋" w:hAnsi="仿宋" w:eastAsia="仿宋" w:cs="仿宋"/>
          <w:b/>
          <w:color w:val="auto"/>
          <w:sz w:val="24"/>
          <w:lang w:eastAsia="zh-CN"/>
        </w:rPr>
        <w:t>（服务类项目根据考核结果按月或按季支付的项目可不设）</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10.1 招标文件要求乙方提交履约保证金的，乙方应按</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方式（可以支票、汇票、本票或者银行保函等非现金形式），在合同签订并生效后</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日内提交不超过合同金额1%的履约保证金。</w:t>
      </w:r>
    </w:p>
    <w:p>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10</w:t>
      </w:r>
      <w:r>
        <w:rPr>
          <w:rFonts w:hint="eastAsia" w:ascii="仿宋" w:hAnsi="仿宋" w:eastAsia="仿宋" w:cs="仿宋"/>
          <w:color w:val="auto"/>
          <w:sz w:val="24"/>
        </w:rPr>
        <w:t>.2  履约保证金在</w:t>
      </w:r>
      <w:r>
        <w:rPr>
          <w:rFonts w:hint="eastAsia" w:ascii="仿宋" w:hAnsi="仿宋" w:eastAsia="仿宋" w:cs="仿宋"/>
          <w:b/>
          <w:i/>
          <w:color w:val="auto"/>
          <w:u w:val="single"/>
          <w:lang w:val="en-US" w:eastAsia="zh-CN"/>
        </w:rPr>
        <w:t xml:space="preserve">              </w:t>
      </w:r>
      <w:r>
        <w:rPr>
          <w:rFonts w:hint="eastAsia" w:ascii="仿宋" w:hAnsi="仿宋" w:eastAsia="仿宋" w:cs="仿宋"/>
          <w:color w:val="auto"/>
          <w:sz w:val="24"/>
          <w:lang w:val="en-US" w:eastAsia="zh-CN"/>
        </w:rPr>
        <w:t>（合同规定的履约</w:t>
      </w:r>
      <w:r>
        <w:rPr>
          <w:rFonts w:hint="eastAsia" w:ascii="仿宋" w:hAnsi="仿宋" w:eastAsia="仿宋" w:cs="仿宋"/>
          <w:color w:val="auto"/>
          <w:sz w:val="24"/>
          <w:lang w:eastAsia="zh-CN"/>
        </w:rPr>
        <w:t>时</w:t>
      </w:r>
      <w:r>
        <w:rPr>
          <w:rFonts w:hint="eastAsia" w:ascii="仿宋" w:hAnsi="仿宋" w:eastAsia="仿宋" w:cs="仿宋"/>
          <w:color w:val="auto"/>
          <w:sz w:val="24"/>
        </w:rPr>
        <w:t>间</w:t>
      </w:r>
      <w:r>
        <w:rPr>
          <w:rFonts w:hint="eastAsia" w:ascii="仿宋" w:hAnsi="仿宋" w:eastAsia="仿宋" w:cs="仿宋"/>
          <w:color w:val="auto"/>
          <w:sz w:val="24"/>
          <w:lang w:eastAsia="zh-CN"/>
        </w:rPr>
        <w:t>）</w:t>
      </w:r>
      <w:r>
        <w:rPr>
          <w:rFonts w:hint="eastAsia" w:ascii="仿宋" w:hAnsi="仿宋" w:eastAsia="仿宋" w:cs="仿宋"/>
          <w:color w:val="auto"/>
          <w:sz w:val="24"/>
        </w:rPr>
        <w:t>内不予退还。乙方在前述约定期间届满前能履行完合同约定义务事项的，甲方在前述约定期间届满之日起</w:t>
      </w:r>
      <w:r>
        <w:rPr>
          <w:rFonts w:hint="eastAsia" w:ascii="仿宋" w:hAnsi="仿宋" w:eastAsia="仿宋" w:cs="仿宋"/>
          <w:color w:val="auto"/>
          <w:sz w:val="24"/>
          <w:u w:val="single"/>
        </w:rPr>
        <w:t xml:space="preserve"> 5 </w:t>
      </w:r>
      <w:r>
        <w:rPr>
          <w:rFonts w:hint="eastAsia" w:ascii="仿宋" w:hAnsi="仿宋" w:eastAsia="仿宋" w:cs="仿宋"/>
          <w:color w:val="auto"/>
          <w:sz w:val="24"/>
        </w:rPr>
        <w:t>个工作日内，将履约保证金</w:t>
      </w:r>
      <w:r>
        <w:rPr>
          <w:rFonts w:hint="eastAsia" w:ascii="仿宋" w:hAnsi="仿宋" w:eastAsia="仿宋" w:cs="仿宋"/>
          <w:color w:val="auto"/>
          <w:sz w:val="24"/>
          <w:lang w:eastAsia="zh-CN"/>
        </w:rPr>
        <w:t>无息</w:t>
      </w:r>
      <w:r>
        <w:rPr>
          <w:rFonts w:hint="eastAsia" w:ascii="仿宋" w:hAnsi="仿宋" w:eastAsia="仿宋" w:cs="仿宋"/>
          <w:color w:val="auto"/>
          <w:sz w:val="24"/>
        </w:rPr>
        <w:t>退还乙方</w:t>
      </w:r>
      <w:r>
        <w:rPr>
          <w:rFonts w:hint="eastAsia" w:ascii="仿宋" w:hAnsi="仿宋" w:eastAsia="仿宋" w:cs="仿宋"/>
          <w:color w:val="auto"/>
          <w:sz w:val="24"/>
          <w:lang w:eastAsia="zh-CN"/>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10</w:t>
      </w:r>
      <w:r>
        <w:rPr>
          <w:rFonts w:hint="eastAsia" w:ascii="仿宋" w:hAnsi="仿宋" w:eastAsia="仿宋" w:cs="仿宋"/>
          <w:color w:val="auto"/>
          <w:sz w:val="24"/>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rPr>
      </w:pPr>
      <w:r>
        <w:rPr>
          <w:rFonts w:hint="eastAsia" w:ascii="仿宋" w:hAnsi="仿宋" w:eastAsia="仿宋" w:cs="仿宋"/>
          <w:b/>
          <w:color w:val="auto"/>
          <w:sz w:val="24"/>
          <w:lang w:val="en-US" w:eastAsia="zh-CN"/>
        </w:rPr>
        <w:t>11</w:t>
      </w:r>
      <w:r>
        <w:rPr>
          <w:rFonts w:hint="eastAsia" w:ascii="仿宋" w:hAnsi="仿宋" w:eastAsia="仿宋" w:cs="仿宋"/>
          <w:b/>
          <w:color w:val="auto"/>
          <w:sz w:val="24"/>
        </w:rPr>
        <w:t xml:space="preserve"> </w:t>
      </w:r>
      <w:r>
        <w:rPr>
          <w:rFonts w:hint="eastAsia" w:ascii="仿宋" w:hAnsi="仿宋" w:eastAsia="仿宋" w:cs="仿宋"/>
          <w:b/>
          <w:color w:val="auto"/>
          <w:sz w:val="24"/>
          <w:lang w:eastAsia="zh-CN"/>
        </w:rPr>
        <w:t>定期考核</w:t>
      </w:r>
      <w:r>
        <w:rPr>
          <w:rFonts w:hint="eastAsia" w:ascii="仿宋" w:hAnsi="仿宋" w:eastAsia="仿宋" w:cs="仿宋"/>
          <w:b/>
          <w:color w:val="auto"/>
          <w:sz w:val="24"/>
        </w:rPr>
        <w:t>和问题反馈</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11</w:t>
      </w:r>
      <w:r>
        <w:rPr>
          <w:rFonts w:hint="eastAsia" w:ascii="仿宋" w:hAnsi="仿宋" w:eastAsia="仿宋" w:cs="仿宋"/>
          <w:color w:val="auto"/>
          <w:sz w:val="24"/>
        </w:rPr>
        <w:t>.1甲方有权</w:t>
      </w:r>
      <w:r>
        <w:rPr>
          <w:rFonts w:hint="eastAsia" w:ascii="仿宋" w:hAnsi="仿宋" w:eastAsia="仿宋" w:cs="仿宋"/>
          <w:color w:val="auto"/>
          <w:sz w:val="24"/>
          <w:lang w:eastAsia="zh-CN"/>
        </w:rPr>
        <w:t>定期</w:t>
      </w:r>
      <w:r>
        <w:rPr>
          <w:rFonts w:hint="eastAsia" w:ascii="仿宋" w:hAnsi="仿宋" w:eastAsia="仿宋" w:cs="仿宋"/>
          <w:color w:val="auto"/>
          <w:sz w:val="24"/>
        </w:rPr>
        <w:t>对乙方</w:t>
      </w:r>
      <w:r>
        <w:rPr>
          <w:rFonts w:hint="eastAsia" w:ascii="仿宋" w:hAnsi="仿宋" w:eastAsia="仿宋" w:cs="仿宋"/>
          <w:color w:val="auto"/>
          <w:sz w:val="24"/>
          <w:lang w:eastAsia="zh-CN"/>
        </w:rPr>
        <w:t>提供的服务</w:t>
      </w:r>
      <w:r>
        <w:rPr>
          <w:rFonts w:hint="eastAsia" w:ascii="仿宋" w:hAnsi="仿宋" w:eastAsia="仿宋" w:cs="仿宋"/>
          <w:color w:val="auto"/>
          <w:sz w:val="24"/>
        </w:rPr>
        <w:t>履约</w:t>
      </w:r>
      <w:r>
        <w:rPr>
          <w:rFonts w:hint="eastAsia" w:ascii="仿宋" w:hAnsi="仿宋" w:eastAsia="仿宋" w:cs="仿宋"/>
          <w:color w:val="auto"/>
          <w:sz w:val="24"/>
          <w:lang w:eastAsia="zh-CN"/>
        </w:rPr>
        <w:t>情况进行</w:t>
      </w:r>
      <w:r>
        <w:rPr>
          <w:rFonts w:hint="eastAsia" w:ascii="仿宋" w:hAnsi="仿宋" w:eastAsia="仿宋" w:cs="仿宋"/>
          <w:color w:val="auto"/>
          <w:sz w:val="24"/>
        </w:rPr>
        <w:t>检查</w:t>
      </w:r>
      <w:r>
        <w:rPr>
          <w:rFonts w:hint="eastAsia" w:ascii="仿宋" w:hAnsi="仿宋" w:eastAsia="仿宋" w:cs="仿宋"/>
          <w:color w:val="auto"/>
          <w:sz w:val="24"/>
          <w:lang w:eastAsia="zh-CN"/>
        </w:rPr>
        <w:t>与考核（考核标准见附件）</w:t>
      </w:r>
      <w:r>
        <w:rPr>
          <w:rFonts w:hint="eastAsia" w:ascii="仿宋" w:hAnsi="仿宋" w:eastAsia="仿宋" w:cs="仿宋"/>
          <w:color w:val="auto"/>
          <w:sz w:val="24"/>
        </w:rPr>
        <w:t>，以确保乙方</w:t>
      </w:r>
      <w:r>
        <w:rPr>
          <w:rFonts w:hint="eastAsia" w:ascii="仿宋" w:hAnsi="仿宋" w:eastAsia="仿宋" w:cs="仿宋"/>
          <w:color w:val="auto"/>
          <w:sz w:val="24"/>
          <w:lang w:eastAsia="zh-CN"/>
        </w:rPr>
        <w:t>所提供的服务</w:t>
      </w:r>
      <w:r>
        <w:rPr>
          <w:rFonts w:hint="eastAsia" w:ascii="仿宋" w:hAnsi="仿宋" w:eastAsia="仿宋" w:cs="仿宋"/>
          <w:color w:val="auto"/>
          <w:sz w:val="24"/>
        </w:rPr>
        <w:t>能够依约满足甲方之项目需求，但不得因履约检查妨碍乙方的正常工作，乙方应予积极配合；</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11</w:t>
      </w:r>
      <w:r>
        <w:rPr>
          <w:rFonts w:hint="eastAsia" w:ascii="仿宋" w:hAnsi="仿宋" w:eastAsia="仿宋" w:cs="仿宋"/>
          <w:color w:val="auto"/>
          <w:sz w:val="24"/>
        </w:rPr>
        <w:t>.2 合同履行期间，甲方有权将履行过程中出现的问题反馈给乙方，双方当事人应以书面形式约定需要完善和改进的内容。</w:t>
      </w:r>
    </w:p>
    <w:p>
      <w:pPr>
        <w:spacing w:line="360" w:lineRule="auto"/>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lang w:val="en-US" w:eastAsia="zh-CN"/>
        </w:rPr>
        <w:t xml:space="preserve">12 </w:t>
      </w:r>
      <w:r>
        <w:rPr>
          <w:rFonts w:hint="eastAsia" w:ascii="仿宋" w:hAnsi="仿宋" w:eastAsia="仿宋" w:cs="仿宋"/>
          <w:b/>
          <w:color w:val="auto"/>
          <w:sz w:val="24"/>
          <w:lang w:eastAsia="zh-CN"/>
        </w:rPr>
        <w:t>项目</w:t>
      </w:r>
      <w:r>
        <w:rPr>
          <w:rFonts w:hint="eastAsia" w:ascii="仿宋" w:hAnsi="仿宋" w:eastAsia="仿宋" w:cs="仿宋"/>
          <w:b/>
          <w:color w:val="auto"/>
          <w:sz w:val="24"/>
        </w:rPr>
        <w:t>验收</w:t>
      </w:r>
    </w:p>
    <w:p>
      <w:pPr>
        <w:tabs>
          <w:tab w:val="left" w:pos="360"/>
          <w:tab w:val="left" w:pos="540"/>
          <w:tab w:val="left" w:pos="108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12</w:t>
      </w:r>
      <w:r>
        <w:rPr>
          <w:rFonts w:hint="eastAsia" w:ascii="仿宋" w:hAnsi="仿宋" w:eastAsia="仿宋" w:cs="仿宋"/>
          <w:color w:val="auto"/>
          <w:sz w:val="24"/>
        </w:rPr>
        <w:t>.1合同期满或者履行完毕后，甲方</w:t>
      </w:r>
      <w:r>
        <w:rPr>
          <w:rFonts w:hint="eastAsia" w:ascii="仿宋" w:hAnsi="仿宋" w:eastAsia="仿宋" w:cs="仿宋"/>
          <w:color w:val="auto"/>
          <w:sz w:val="24"/>
          <w:lang w:eastAsia="zh-CN"/>
        </w:rPr>
        <w:t>应当</w:t>
      </w:r>
      <w:r>
        <w:rPr>
          <w:rFonts w:hint="eastAsia" w:ascii="仿宋" w:hAnsi="仿宋" w:eastAsia="仿宋" w:cs="仿宋"/>
          <w:color w:val="auto"/>
          <w:sz w:val="24"/>
        </w:rPr>
        <w:t>组织（包括依法邀请国家认可的质量检测机构参加）对乙方履约的验收，即：按照合同约定的技术、服务、安全标准，组织对每一项技术、服务、安全标准的履约情况的验收，并出具验收书。</w:t>
      </w:r>
    </w:p>
    <w:p>
      <w:pPr>
        <w:spacing w:line="360" w:lineRule="auto"/>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lang w:val="en-US" w:eastAsia="zh-CN"/>
        </w:rPr>
        <w:t>13</w:t>
      </w:r>
      <w:r>
        <w:rPr>
          <w:rFonts w:hint="eastAsia" w:ascii="仿宋" w:hAnsi="仿宋" w:eastAsia="仿宋" w:cs="仿宋"/>
          <w:b/>
          <w:color w:val="auto"/>
          <w:sz w:val="24"/>
        </w:rPr>
        <w:t xml:space="preserve"> 技术资料和保密义务</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13</w:t>
      </w:r>
      <w:r>
        <w:rPr>
          <w:rFonts w:hint="eastAsia" w:ascii="仿宋" w:hAnsi="仿宋" w:eastAsia="仿宋" w:cs="仿宋"/>
          <w:color w:val="auto"/>
          <w:sz w:val="24"/>
        </w:rPr>
        <w:t>.1 乙方有权依据合同约定和项目需要，向甲方了解有关情况，调阅有关资料等，甲方应予积极配合；</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13</w:t>
      </w:r>
      <w:r>
        <w:rPr>
          <w:rFonts w:hint="eastAsia" w:ascii="仿宋" w:hAnsi="仿宋" w:eastAsia="仿宋" w:cs="仿宋"/>
          <w:color w:val="auto"/>
          <w:sz w:val="24"/>
        </w:rPr>
        <w:t>.2 乙方有义务妥善保管和保护由甲方提供的前款信息和资料等；</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13</w:t>
      </w:r>
      <w:r>
        <w:rPr>
          <w:rFonts w:hint="eastAsia" w:ascii="仿宋" w:hAnsi="仿宋" w:eastAsia="仿宋" w:cs="仿宋"/>
          <w:color w:val="auto"/>
          <w:sz w:val="24"/>
        </w:rPr>
        <w:t>.3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lang w:val="en-US" w:eastAsia="zh-CN"/>
        </w:rPr>
        <w:t>14</w:t>
      </w:r>
      <w:r>
        <w:rPr>
          <w:rFonts w:hint="eastAsia" w:ascii="仿宋" w:hAnsi="仿宋" w:eastAsia="仿宋" w:cs="仿宋"/>
          <w:b/>
          <w:color w:val="auto"/>
          <w:sz w:val="24"/>
        </w:rPr>
        <w:t xml:space="preserve"> 质量保证</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14</w:t>
      </w:r>
      <w:r>
        <w:rPr>
          <w:rFonts w:hint="eastAsia" w:ascii="仿宋" w:hAnsi="仿宋" w:eastAsia="仿宋" w:cs="仿宋"/>
          <w:color w:val="auto"/>
          <w:sz w:val="24"/>
        </w:rPr>
        <w:t>.1 乙方应建立和完善履行合同的内部质量保证体系，并提供相关内部规章制度给甲方，以便甲方进行监督检查；</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14</w:t>
      </w:r>
      <w:r>
        <w:rPr>
          <w:rFonts w:hint="eastAsia" w:ascii="仿宋" w:hAnsi="仿宋" w:eastAsia="仿宋" w:cs="仿宋"/>
          <w:color w:val="auto"/>
          <w:sz w:val="24"/>
        </w:rPr>
        <w:t>.2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lang w:val="en-US" w:eastAsia="zh-CN"/>
        </w:rPr>
        <w:t>15</w:t>
      </w:r>
      <w:r>
        <w:rPr>
          <w:rFonts w:hint="eastAsia" w:ascii="仿宋" w:hAnsi="仿宋" w:eastAsia="仿宋" w:cs="仿宋"/>
          <w:b/>
          <w:color w:val="auto"/>
          <w:sz w:val="24"/>
        </w:rPr>
        <w:t xml:space="preserve"> </w:t>
      </w:r>
      <w:r>
        <w:rPr>
          <w:rFonts w:hint="eastAsia" w:ascii="仿宋" w:hAnsi="仿宋" w:eastAsia="仿宋" w:cs="仿宋"/>
          <w:b/>
          <w:color w:val="auto"/>
          <w:sz w:val="24"/>
          <w:lang w:eastAsia="zh-CN"/>
        </w:rPr>
        <w:t>履约</w:t>
      </w:r>
      <w:r>
        <w:rPr>
          <w:rFonts w:hint="eastAsia" w:ascii="仿宋" w:hAnsi="仿宋" w:eastAsia="仿宋" w:cs="仿宋"/>
          <w:b/>
          <w:color w:val="auto"/>
          <w:sz w:val="24"/>
        </w:rPr>
        <w:t>的风险负担</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lang w:eastAsia="zh-CN"/>
        </w:rPr>
        <w:t>在履行合同时，乙方服务人员及设备的相关</w:t>
      </w:r>
      <w:r>
        <w:rPr>
          <w:rFonts w:hint="eastAsia" w:ascii="仿宋" w:hAnsi="仿宋" w:eastAsia="仿宋" w:cs="仿宋"/>
          <w:color w:val="auto"/>
          <w:sz w:val="24"/>
        </w:rPr>
        <w:t>风险</w:t>
      </w:r>
      <w:r>
        <w:rPr>
          <w:rFonts w:hint="eastAsia" w:ascii="仿宋" w:hAnsi="仿宋" w:eastAsia="仿宋" w:cs="仿宋"/>
          <w:color w:val="auto"/>
          <w:sz w:val="24"/>
          <w:lang w:eastAsia="zh-CN"/>
        </w:rPr>
        <w:t>均由乙方自行承担</w:t>
      </w:r>
      <w:r>
        <w:rPr>
          <w:rFonts w:hint="eastAsia" w:ascii="仿宋" w:hAnsi="仿宋" w:eastAsia="仿宋" w:cs="仿宋"/>
          <w:color w:val="auto"/>
          <w:sz w:val="24"/>
        </w:rPr>
        <w:t>。</w:t>
      </w:r>
    </w:p>
    <w:p>
      <w:pPr>
        <w:spacing w:line="360" w:lineRule="auto"/>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lang w:val="en-US" w:eastAsia="zh-CN"/>
        </w:rPr>
        <w:t>16</w:t>
      </w:r>
      <w:r>
        <w:rPr>
          <w:rFonts w:hint="eastAsia" w:ascii="仿宋" w:hAnsi="仿宋" w:eastAsia="仿宋" w:cs="仿宋"/>
          <w:b/>
          <w:color w:val="auto"/>
          <w:sz w:val="24"/>
        </w:rPr>
        <w:t xml:space="preserve"> 延迟交货</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在合同履行过程中，如果乙方遇到不能按时</w:t>
      </w:r>
      <w:r>
        <w:rPr>
          <w:rFonts w:hint="eastAsia" w:ascii="仿宋" w:hAnsi="仿宋" w:eastAsia="仿宋" w:cs="仿宋"/>
          <w:color w:val="auto"/>
          <w:sz w:val="24"/>
          <w:lang w:eastAsia="zh-CN"/>
        </w:rPr>
        <w:t>完成服务</w:t>
      </w:r>
      <w:r>
        <w:rPr>
          <w:rFonts w:hint="eastAsia" w:ascii="仿宋" w:hAnsi="仿宋" w:eastAsia="仿宋" w:cs="仿宋"/>
          <w:color w:val="auto"/>
          <w:sz w:val="24"/>
        </w:rPr>
        <w:t>的情况，应及时以书面形式将不能按时</w:t>
      </w:r>
      <w:r>
        <w:rPr>
          <w:rFonts w:hint="eastAsia" w:ascii="仿宋" w:hAnsi="仿宋" w:eastAsia="仿宋" w:cs="仿宋"/>
          <w:color w:val="auto"/>
          <w:sz w:val="24"/>
          <w:lang w:eastAsia="zh-CN"/>
        </w:rPr>
        <w:t>完成</w:t>
      </w:r>
      <w:r>
        <w:rPr>
          <w:rFonts w:hint="eastAsia" w:ascii="仿宋" w:hAnsi="仿宋" w:eastAsia="仿宋" w:cs="仿宋"/>
          <w:color w:val="auto"/>
          <w:sz w:val="24"/>
        </w:rPr>
        <w:t>的理由、预期延误时间通知甲方；甲方收到乙方通知后，认为其理由正当的，可以书面形式酌情同意乙方可以延长交货的具体时间。</w:t>
      </w:r>
    </w:p>
    <w:p>
      <w:pPr>
        <w:spacing w:line="360" w:lineRule="auto"/>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lang w:val="en-US" w:eastAsia="zh-CN"/>
        </w:rPr>
        <w:t>17</w:t>
      </w:r>
      <w:r>
        <w:rPr>
          <w:rFonts w:hint="eastAsia" w:ascii="仿宋" w:hAnsi="仿宋" w:eastAsia="仿宋" w:cs="仿宋"/>
          <w:b/>
          <w:color w:val="auto"/>
          <w:sz w:val="24"/>
        </w:rPr>
        <w:t xml:space="preserve"> 合同变更</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lang w:val="en-US" w:eastAsia="zh-CN"/>
        </w:rPr>
        <w:t>18</w:t>
      </w:r>
      <w:r>
        <w:rPr>
          <w:rFonts w:hint="eastAsia" w:ascii="仿宋" w:hAnsi="仿宋" w:eastAsia="仿宋" w:cs="仿宋"/>
          <w:b/>
          <w:color w:val="auto"/>
          <w:sz w:val="24"/>
        </w:rPr>
        <w:t xml:space="preserve"> 合同转让和分包</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18</w:t>
      </w:r>
      <w:r>
        <w:rPr>
          <w:rFonts w:hint="eastAsia" w:ascii="仿宋" w:hAnsi="仿宋" w:eastAsia="仿宋" w:cs="仿宋"/>
          <w:color w:val="auto"/>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18</w:t>
      </w:r>
      <w:r>
        <w:rPr>
          <w:rFonts w:hint="eastAsia" w:ascii="仿宋" w:hAnsi="仿宋" w:eastAsia="仿宋" w:cs="仿宋"/>
          <w:color w:val="auto"/>
          <w:sz w:val="24"/>
        </w:rPr>
        <w:t>.2乙方采取分包方式履行合同的，</w:t>
      </w:r>
      <w:r>
        <w:rPr>
          <w:rFonts w:hint="eastAsia" w:ascii="仿宋" w:hAnsi="仿宋" w:eastAsia="仿宋" w:cs="仿宋"/>
          <w:color w:val="auto"/>
          <w:sz w:val="24"/>
          <w:lang w:eastAsia="zh-CN"/>
        </w:rPr>
        <w:t>由</w:t>
      </w:r>
      <w:r>
        <w:rPr>
          <w:rFonts w:hint="eastAsia" w:ascii="仿宋" w:hAnsi="仿宋" w:eastAsia="仿宋" w:cs="仿宋"/>
          <w:color w:val="auto"/>
          <w:sz w:val="24"/>
        </w:rPr>
        <w:t>乙方向分包供应商支付款项</w:t>
      </w:r>
      <w:r>
        <w:rPr>
          <w:rFonts w:hint="eastAsia" w:ascii="仿宋" w:hAnsi="仿宋" w:eastAsia="仿宋" w:cs="仿宋"/>
          <w:color w:val="auto"/>
          <w:sz w:val="24"/>
          <w:lang w:eastAsia="zh-CN"/>
        </w:rPr>
        <w:t>，但不得因分包影响履行合同义务</w:t>
      </w:r>
      <w:r>
        <w:rPr>
          <w:rFonts w:hint="eastAsia" w:ascii="仿宋" w:hAnsi="仿宋" w:eastAsia="仿宋" w:cs="仿宋"/>
          <w:color w:val="auto"/>
          <w:sz w:val="24"/>
        </w:rPr>
        <w:t>。</w:t>
      </w:r>
    </w:p>
    <w:p>
      <w:pPr>
        <w:spacing w:line="360" w:lineRule="auto"/>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lang w:val="en-US" w:eastAsia="zh-CN"/>
        </w:rPr>
        <w:t>19</w:t>
      </w:r>
      <w:r>
        <w:rPr>
          <w:rFonts w:hint="eastAsia" w:ascii="仿宋" w:hAnsi="仿宋" w:eastAsia="仿宋" w:cs="仿宋"/>
          <w:b/>
          <w:color w:val="auto"/>
          <w:sz w:val="24"/>
        </w:rPr>
        <w:t xml:space="preserve"> 违约责任</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19</w:t>
      </w:r>
      <w:r>
        <w:rPr>
          <w:rFonts w:hint="eastAsia" w:ascii="仿宋" w:hAnsi="仿宋" w:eastAsia="仿宋" w:cs="仿宋"/>
          <w:color w:val="auto"/>
          <w:sz w:val="24"/>
        </w:rPr>
        <w:t>.1 除不可抗力外，如果乙方</w:t>
      </w:r>
      <w:r>
        <w:rPr>
          <w:rFonts w:hint="eastAsia" w:ascii="仿宋" w:hAnsi="仿宋" w:eastAsia="仿宋" w:cs="仿宋"/>
          <w:color w:val="auto"/>
          <w:sz w:val="24"/>
          <w:lang w:eastAsia="zh-CN"/>
        </w:rPr>
        <w:t>拒绝履行合同，或</w:t>
      </w:r>
      <w:r>
        <w:rPr>
          <w:rFonts w:hint="eastAsia" w:ascii="仿宋" w:hAnsi="仿宋" w:eastAsia="仿宋" w:cs="仿宋"/>
          <w:color w:val="auto"/>
          <w:sz w:val="24"/>
        </w:rPr>
        <w:t>没有按照本合同约定的期限、</w:t>
      </w:r>
      <w:r>
        <w:rPr>
          <w:rFonts w:hint="eastAsia" w:ascii="仿宋" w:hAnsi="仿宋" w:eastAsia="仿宋" w:cs="仿宋"/>
          <w:color w:val="auto"/>
          <w:sz w:val="24"/>
          <w:lang w:eastAsia="zh-CN"/>
        </w:rPr>
        <w:t>标准</w:t>
      </w:r>
      <w:r>
        <w:rPr>
          <w:rFonts w:hint="eastAsia" w:ascii="仿宋" w:hAnsi="仿宋" w:eastAsia="仿宋" w:cs="仿宋"/>
          <w:color w:val="auto"/>
          <w:sz w:val="24"/>
        </w:rPr>
        <w:t>和</w:t>
      </w:r>
      <w:r>
        <w:rPr>
          <w:rFonts w:hint="eastAsia" w:ascii="仿宋" w:hAnsi="仿宋" w:eastAsia="仿宋" w:cs="仿宋"/>
          <w:color w:val="auto"/>
          <w:sz w:val="24"/>
          <w:lang w:eastAsia="zh-CN"/>
        </w:rPr>
        <w:t>成果展现方式完成服务</w:t>
      </w:r>
      <w:r>
        <w:rPr>
          <w:rFonts w:hint="eastAsia" w:ascii="仿宋" w:hAnsi="仿宋" w:eastAsia="仿宋" w:cs="仿宋"/>
          <w:color w:val="auto"/>
          <w:sz w:val="24"/>
        </w:rPr>
        <w:t>，那么甲方可要求乙方支付违约金，违约金按每日</w:t>
      </w:r>
      <w:r>
        <w:rPr>
          <w:rFonts w:hint="eastAsia" w:ascii="仿宋" w:hAnsi="仿宋" w:eastAsia="仿宋" w:cs="仿宋"/>
          <w:color w:val="auto"/>
          <w:sz w:val="24"/>
          <w:lang w:eastAsia="zh-CN"/>
        </w:rPr>
        <w:t>计合同总价</w:t>
      </w:r>
      <w:r>
        <w:rPr>
          <w:rFonts w:hint="eastAsia" w:ascii="仿宋" w:hAnsi="仿宋" w:eastAsia="仿宋" w:cs="仿宋"/>
          <w:color w:val="auto"/>
          <w:sz w:val="24"/>
        </w:rPr>
        <w:t>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%，最高限额为本合同总价的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1</w:t>
      </w:r>
      <w:r>
        <w:rPr>
          <w:rFonts w:hint="eastAsia" w:ascii="仿宋" w:hAnsi="仿宋" w:eastAsia="仿宋" w:cs="仿宋"/>
          <w:color w:val="auto"/>
          <w:sz w:val="24"/>
          <w:u w:val="single"/>
        </w:rPr>
        <w:t xml:space="preserve">0  </w:t>
      </w:r>
      <w:r>
        <w:rPr>
          <w:rFonts w:hint="eastAsia" w:ascii="仿宋" w:hAnsi="仿宋" w:eastAsia="仿宋" w:cs="仿宋"/>
          <w:color w:val="auto"/>
          <w:sz w:val="24"/>
        </w:rPr>
        <w:t>%；迟延</w:t>
      </w:r>
      <w:r>
        <w:rPr>
          <w:rFonts w:hint="eastAsia" w:ascii="仿宋" w:hAnsi="仿宋" w:eastAsia="仿宋" w:cs="仿宋"/>
          <w:color w:val="auto"/>
          <w:sz w:val="24"/>
          <w:lang w:eastAsia="zh-CN"/>
        </w:rPr>
        <w:t>完成服务</w:t>
      </w:r>
      <w:r>
        <w:rPr>
          <w:rFonts w:hint="eastAsia" w:ascii="仿宋" w:hAnsi="仿宋" w:eastAsia="仿宋" w:cs="仿宋"/>
          <w:color w:val="auto"/>
          <w:sz w:val="24"/>
        </w:rPr>
        <w:t>的违约金计算数额达到前述最高限额之日起，甲方有权在要求乙方支付违约金的同时，书面通知乙方解除本合同；</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19</w:t>
      </w:r>
      <w:r>
        <w:rPr>
          <w:rFonts w:hint="eastAsia" w:ascii="仿宋" w:hAnsi="仿宋" w:eastAsia="仿宋" w:cs="仿宋"/>
          <w:color w:val="auto"/>
          <w:sz w:val="24"/>
        </w:rPr>
        <w:t>.2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1</w:t>
      </w:r>
      <w:r>
        <w:rPr>
          <w:rFonts w:hint="eastAsia" w:ascii="仿宋" w:hAnsi="仿宋" w:eastAsia="仿宋" w:cs="仿宋"/>
          <w:color w:val="auto"/>
          <w:sz w:val="24"/>
          <w:u w:val="single"/>
        </w:rPr>
        <w:t xml:space="preserve">0   </w:t>
      </w:r>
      <w:r>
        <w:rPr>
          <w:rFonts w:hint="eastAsia" w:ascii="仿宋" w:hAnsi="仿宋" w:eastAsia="仿宋" w:cs="仿宋"/>
          <w:color w:val="auto"/>
          <w:sz w:val="24"/>
        </w:rPr>
        <w:t>%；迟延付款的违约金计算数额达到前述最高限额之日起，乙方有权在要求甲方支付违约金的同时，书面通知甲方解除本合同；</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19</w:t>
      </w:r>
      <w:r>
        <w:rPr>
          <w:rFonts w:hint="eastAsia" w:ascii="仿宋" w:hAnsi="仿宋" w:eastAsia="仿宋" w:cs="仿宋"/>
          <w:color w:val="auto"/>
          <w:sz w:val="24"/>
        </w:rPr>
        <w:t>.3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19</w:t>
      </w:r>
      <w:r>
        <w:rPr>
          <w:rFonts w:hint="eastAsia" w:ascii="仿宋" w:hAnsi="仿宋" w:eastAsia="仿宋" w:cs="仿宋"/>
          <w:color w:val="auto"/>
          <w:sz w:val="24"/>
        </w:rPr>
        <w:t>.4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19</w:t>
      </w:r>
      <w:r>
        <w:rPr>
          <w:rFonts w:hint="eastAsia" w:ascii="仿宋" w:hAnsi="仿宋" w:eastAsia="仿宋" w:cs="仿宋"/>
          <w:color w:val="auto"/>
          <w:sz w:val="24"/>
        </w:rPr>
        <w:t>.5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19</w:t>
      </w:r>
      <w:r>
        <w:rPr>
          <w:rFonts w:hint="eastAsia" w:ascii="仿宋" w:hAnsi="仿宋" w:eastAsia="仿宋" w:cs="仿宋"/>
          <w:color w:val="auto"/>
          <w:sz w:val="24"/>
        </w:rPr>
        <w:t>.6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lang w:val="en-US" w:eastAsia="zh-CN"/>
        </w:rPr>
        <w:t xml:space="preserve">20 </w:t>
      </w:r>
      <w:r>
        <w:rPr>
          <w:rFonts w:hint="eastAsia" w:ascii="仿宋" w:hAnsi="仿宋" w:eastAsia="仿宋" w:cs="仿宋"/>
          <w:b/>
          <w:color w:val="auto"/>
          <w:sz w:val="24"/>
        </w:rPr>
        <w:t>不可抗力</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20</w:t>
      </w:r>
      <w:r>
        <w:rPr>
          <w:rFonts w:hint="eastAsia" w:ascii="仿宋" w:hAnsi="仿宋" w:eastAsia="仿宋" w:cs="仿宋"/>
          <w:color w:val="auto"/>
          <w:sz w:val="24"/>
        </w:rPr>
        <w:t>.1如果任何一方遭遇法律规定的不可抗力，致使合同履行受阻时，履行合同的期限应予延长，延长的期限应相当于不可抗力所影响的时间；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20</w:t>
      </w:r>
      <w:r>
        <w:rPr>
          <w:rFonts w:hint="eastAsia" w:ascii="仿宋" w:hAnsi="仿宋" w:eastAsia="仿宋" w:cs="仿宋"/>
          <w:color w:val="auto"/>
          <w:sz w:val="24"/>
        </w:rPr>
        <w:t>.2 因不可抗力致使不能实现合同目的的，当事人可以解除合同；</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20</w:t>
      </w:r>
      <w:r>
        <w:rPr>
          <w:rFonts w:hint="eastAsia" w:ascii="仿宋" w:hAnsi="仿宋" w:eastAsia="仿宋" w:cs="仿宋"/>
          <w:color w:val="auto"/>
          <w:sz w:val="24"/>
        </w:rPr>
        <w:t>.3 因不可抗力致使合同有变更必要的，双方当事人应在不可抗力</w:t>
      </w:r>
      <w:r>
        <w:rPr>
          <w:rFonts w:hint="eastAsia" w:ascii="仿宋" w:hAnsi="仿宋" w:eastAsia="仿宋" w:cs="仿宋"/>
          <w:color w:val="auto"/>
          <w:sz w:val="24"/>
          <w:lang w:eastAsia="zh-CN"/>
        </w:rPr>
        <w:t>发生后</w:t>
      </w:r>
      <w:r>
        <w:rPr>
          <w:rFonts w:hint="eastAsia" w:ascii="仿宋" w:hAnsi="仿宋" w:eastAsia="仿宋" w:cs="仿宋"/>
          <w:color w:val="auto"/>
          <w:sz w:val="24"/>
          <w:u w:val="single"/>
          <w:lang w:val="en-US" w:eastAsia="zh-CN"/>
        </w:rPr>
        <w:t xml:space="preserve"> 10 </w:t>
      </w:r>
      <w:r>
        <w:rPr>
          <w:rFonts w:hint="eastAsia" w:ascii="仿宋" w:hAnsi="仿宋" w:eastAsia="仿宋" w:cs="仿宋"/>
          <w:color w:val="auto"/>
          <w:sz w:val="24"/>
          <w:lang w:eastAsia="zh-CN"/>
        </w:rPr>
        <w:t>日</w:t>
      </w:r>
      <w:r>
        <w:rPr>
          <w:rFonts w:hint="eastAsia" w:ascii="仿宋" w:hAnsi="仿宋" w:eastAsia="仿宋" w:cs="仿宋"/>
          <w:color w:val="auto"/>
          <w:sz w:val="24"/>
        </w:rPr>
        <w:t>内以书面形式变更合同；</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20</w:t>
      </w:r>
      <w:r>
        <w:rPr>
          <w:rFonts w:hint="eastAsia" w:ascii="仿宋" w:hAnsi="仿宋" w:eastAsia="仿宋" w:cs="仿宋"/>
          <w:color w:val="auto"/>
          <w:sz w:val="24"/>
        </w:rPr>
        <w:t>.4受不可抗力影响的一方在不可抗力发生后，应在</w:t>
      </w:r>
      <w:r>
        <w:rPr>
          <w:rFonts w:hint="eastAsia" w:ascii="仿宋" w:hAnsi="仿宋" w:eastAsia="仿宋" w:cs="仿宋"/>
          <w:color w:val="auto"/>
          <w:sz w:val="24"/>
          <w:u w:val="single"/>
          <w:lang w:val="en-US" w:eastAsia="zh-CN"/>
        </w:rPr>
        <w:t xml:space="preserve">  5  </w:t>
      </w:r>
      <w:r>
        <w:rPr>
          <w:rFonts w:hint="eastAsia" w:ascii="仿宋" w:hAnsi="仿宋" w:eastAsia="仿宋" w:cs="仿宋"/>
          <w:color w:val="auto"/>
          <w:sz w:val="24"/>
          <w:lang w:eastAsia="zh-CN"/>
        </w:rPr>
        <w:t>日</w:t>
      </w:r>
      <w:r>
        <w:rPr>
          <w:rFonts w:hint="eastAsia" w:ascii="仿宋" w:hAnsi="仿宋" w:eastAsia="仿宋" w:cs="仿宋"/>
          <w:color w:val="auto"/>
          <w:sz w:val="24"/>
        </w:rPr>
        <w:t>内以书面形式通知对方当事人，并在</w:t>
      </w:r>
      <w:r>
        <w:rPr>
          <w:rFonts w:hint="eastAsia" w:ascii="仿宋" w:hAnsi="仿宋" w:eastAsia="仿宋" w:cs="仿宋"/>
          <w:color w:val="auto"/>
          <w:sz w:val="24"/>
          <w:u w:val="single"/>
          <w:lang w:val="en-US" w:eastAsia="zh-CN"/>
        </w:rPr>
        <w:t xml:space="preserve">  15  </w:t>
      </w:r>
      <w:r>
        <w:rPr>
          <w:rFonts w:hint="eastAsia" w:ascii="仿宋" w:hAnsi="仿宋" w:eastAsia="仿宋" w:cs="仿宋"/>
          <w:color w:val="auto"/>
          <w:sz w:val="24"/>
          <w:lang w:eastAsia="zh-CN"/>
        </w:rPr>
        <w:t>日</w:t>
      </w:r>
      <w:r>
        <w:rPr>
          <w:rFonts w:hint="eastAsia" w:ascii="仿宋" w:hAnsi="仿宋" w:eastAsia="仿宋" w:cs="仿宋"/>
          <w:color w:val="auto"/>
          <w:sz w:val="24"/>
        </w:rPr>
        <w:t>内，将有关部门出具的证明文件送达对方当事人。</w:t>
      </w:r>
    </w:p>
    <w:p>
      <w:pPr>
        <w:spacing w:line="360" w:lineRule="auto"/>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lang w:val="en-US" w:eastAsia="zh-CN"/>
        </w:rPr>
        <w:t xml:space="preserve">21 </w:t>
      </w:r>
      <w:r>
        <w:rPr>
          <w:rFonts w:hint="eastAsia" w:ascii="仿宋" w:hAnsi="仿宋" w:eastAsia="仿宋" w:cs="仿宋"/>
          <w:b/>
          <w:color w:val="auto"/>
          <w:sz w:val="24"/>
        </w:rPr>
        <w:t>税费</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与合同有关的一切税费，均按照中华人民共和国法律的相关规定。</w:t>
      </w:r>
    </w:p>
    <w:p>
      <w:pPr>
        <w:spacing w:line="360" w:lineRule="auto"/>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b/>
          <w:color w:val="auto"/>
          <w:sz w:val="24"/>
          <w:lang w:val="en-US" w:eastAsia="zh-CN"/>
        </w:rPr>
        <w:t xml:space="preserve">2 </w:t>
      </w:r>
      <w:r>
        <w:rPr>
          <w:rFonts w:hint="eastAsia" w:ascii="仿宋" w:hAnsi="仿宋" w:eastAsia="仿宋" w:cs="仿宋"/>
          <w:b/>
          <w:color w:val="auto"/>
          <w:sz w:val="24"/>
        </w:rPr>
        <w:t>乙方破产</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lang w:val="en-US" w:eastAsia="zh-CN"/>
        </w:rPr>
        <w:t>23</w:t>
      </w:r>
      <w:r>
        <w:rPr>
          <w:rFonts w:hint="eastAsia" w:ascii="仿宋" w:hAnsi="仿宋" w:eastAsia="仿宋" w:cs="仿宋"/>
          <w:b/>
          <w:color w:val="auto"/>
          <w:sz w:val="24"/>
        </w:rPr>
        <w:t xml:space="preserve"> 合同争议的解决</w:t>
      </w:r>
    </w:p>
    <w:p>
      <w:pPr>
        <w:keepNext w:val="0"/>
        <w:keepLines w:val="0"/>
        <w:pageBreakBefore w:val="0"/>
        <w:widowControl w:val="0"/>
        <w:kinsoku/>
        <w:wordWrap/>
        <w:overflowPunct/>
        <w:topLinePunct w:val="0"/>
        <w:autoSpaceDE/>
        <w:autoSpaceDN/>
        <w:bidi w:val="0"/>
        <w:adjustRightInd w:val="0"/>
        <w:snapToGrid/>
        <w:spacing w:line="360" w:lineRule="auto"/>
        <w:ind w:right="0" w:rightChars="0"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本合同履行过程中发生的任何争议，双方当事人均可通过和解或者调解解决；不愿和解、调解或者和解、调解不成的，可以</w:t>
      </w:r>
      <w:r>
        <w:rPr>
          <w:rFonts w:hint="eastAsia" w:ascii="仿宋" w:hAnsi="仿宋" w:eastAsia="仿宋" w:cs="仿宋"/>
          <w:color w:val="auto"/>
          <w:sz w:val="24"/>
          <w:lang w:eastAsia="zh-CN"/>
        </w:rPr>
        <w:t>向宁波市奉化区人民法院提起诉讼。</w:t>
      </w:r>
    </w:p>
    <w:p>
      <w:pPr>
        <w:spacing w:line="360" w:lineRule="auto"/>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lang w:val="en-US" w:eastAsia="zh-CN"/>
        </w:rPr>
        <w:t>24</w:t>
      </w:r>
      <w:r>
        <w:rPr>
          <w:rFonts w:hint="eastAsia" w:ascii="仿宋" w:hAnsi="仿宋" w:eastAsia="仿宋" w:cs="仿宋"/>
          <w:b/>
          <w:color w:val="auto"/>
          <w:sz w:val="24"/>
        </w:rPr>
        <w:t xml:space="preserve"> 合同中止、终止</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4</w:t>
      </w:r>
      <w:r>
        <w:rPr>
          <w:rFonts w:hint="eastAsia" w:ascii="仿宋" w:hAnsi="仿宋" w:eastAsia="仿宋" w:cs="仿宋"/>
          <w:color w:val="auto"/>
          <w:sz w:val="24"/>
        </w:rPr>
        <w:t>.1 双方当事人不得擅自中止或者终止合同；</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4</w:t>
      </w:r>
      <w:r>
        <w:rPr>
          <w:rFonts w:hint="eastAsia" w:ascii="仿宋" w:hAnsi="仿宋" w:eastAsia="仿宋" w:cs="仿宋"/>
          <w:color w:val="auto"/>
          <w:sz w:val="24"/>
        </w:rPr>
        <w:t>.2合同继续履行将损害国家利益和社会公共利益的，双方当事人应当中止或者终止合同。有过错的一方应当承担赔偿责任，双方当事人都有过错的，各自承担相应的责任。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b/>
          <w:color w:val="auto"/>
          <w:sz w:val="24"/>
          <w:lang w:val="en-US" w:eastAsia="zh-CN"/>
        </w:rPr>
        <w:t>5</w:t>
      </w:r>
      <w:r>
        <w:rPr>
          <w:rFonts w:hint="eastAsia" w:ascii="仿宋" w:hAnsi="仿宋" w:eastAsia="仿宋" w:cs="仿宋"/>
          <w:b/>
          <w:color w:val="auto"/>
          <w:sz w:val="24"/>
        </w:rPr>
        <w:t xml:space="preserve"> 通知和送达</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5</w:t>
      </w:r>
      <w:r>
        <w:rPr>
          <w:rFonts w:hint="eastAsia" w:ascii="仿宋" w:hAnsi="仿宋" w:eastAsia="仿宋" w:cs="仿宋"/>
          <w:color w:val="auto"/>
          <w:sz w:val="24"/>
        </w:rPr>
        <w:t xml:space="preserve">.1任何一方因履行合同而以合同第一部分尾部所列明的传真或电子邮件 </w:t>
      </w:r>
      <w:r>
        <w:rPr>
          <w:rFonts w:hint="eastAsia" w:ascii="仿宋" w:hAnsi="仿宋" w:eastAsia="仿宋" w:cs="仿宋"/>
          <w:color w:val="auto"/>
          <w:sz w:val="24"/>
          <w:u w:val="single"/>
        </w:rPr>
        <w:t xml:space="preserve">       </w:t>
      </w:r>
      <w:r>
        <w:rPr>
          <w:rFonts w:hint="eastAsia" w:ascii="仿宋" w:hAnsi="仿宋" w:eastAsia="仿宋" w:cs="仿宋"/>
          <w:color w:val="auto"/>
          <w:sz w:val="24"/>
        </w:rPr>
        <w:t>发出的所有通知、文件、材料，均视为已向对方当事人送达；任何一方变更上述送达方式或者地址的，应于</w:t>
      </w:r>
      <w:r>
        <w:rPr>
          <w:rFonts w:hint="eastAsia" w:ascii="仿宋" w:hAnsi="仿宋" w:eastAsia="仿宋" w:cs="仿宋"/>
          <w:color w:val="auto"/>
          <w:sz w:val="24"/>
          <w:u w:val="single"/>
        </w:rPr>
        <w:t>3</w:t>
      </w:r>
      <w:r>
        <w:rPr>
          <w:rFonts w:hint="eastAsia" w:ascii="仿宋" w:hAnsi="仿宋" w:eastAsia="仿宋" w:cs="仿宋"/>
          <w:color w:val="auto"/>
          <w:sz w:val="24"/>
        </w:rPr>
        <w:t>个工作日内书面通知对方当事人，在对方当事人收到有关变更通知之前，变更前的约定送达方式或者地址仍视为有效。</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5</w:t>
      </w:r>
      <w:r>
        <w:rPr>
          <w:rFonts w:hint="eastAsia" w:ascii="仿宋" w:hAnsi="仿宋" w:eastAsia="仿宋" w:cs="仿宋"/>
          <w:color w:val="auto"/>
          <w:sz w:val="24"/>
        </w:rPr>
        <w:t>.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360" w:lineRule="auto"/>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lang w:val="en-US" w:eastAsia="zh-CN"/>
        </w:rPr>
        <w:t>26</w:t>
      </w:r>
      <w:r>
        <w:rPr>
          <w:rFonts w:hint="eastAsia" w:ascii="仿宋" w:hAnsi="仿宋" w:eastAsia="仿宋" w:cs="仿宋"/>
          <w:b/>
          <w:color w:val="auto"/>
          <w:sz w:val="24"/>
        </w:rPr>
        <w:t xml:space="preserve"> 计量单位</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除技术规范中另有规定外,合同的计量单位均使用国家法定计量单位。</w:t>
      </w:r>
    </w:p>
    <w:p>
      <w:pPr>
        <w:spacing w:line="360" w:lineRule="auto"/>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b/>
          <w:color w:val="auto"/>
          <w:sz w:val="24"/>
          <w:lang w:val="en-US" w:eastAsia="zh-CN"/>
        </w:rPr>
        <w:t>7</w:t>
      </w:r>
      <w:r>
        <w:rPr>
          <w:rFonts w:hint="eastAsia" w:ascii="仿宋" w:hAnsi="仿宋" w:eastAsia="仿宋" w:cs="仿宋"/>
          <w:b/>
          <w:color w:val="auto"/>
          <w:sz w:val="24"/>
        </w:rPr>
        <w:t>合同使用的文字和适用的法律</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7</w:t>
      </w:r>
      <w:r>
        <w:rPr>
          <w:rFonts w:hint="eastAsia" w:ascii="仿宋" w:hAnsi="仿宋" w:eastAsia="仿宋" w:cs="仿宋"/>
          <w:color w:val="auto"/>
          <w:sz w:val="24"/>
        </w:rPr>
        <w:t>.1 合同使用汉语书就、变更和解释；</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7</w:t>
      </w:r>
      <w:r>
        <w:rPr>
          <w:rFonts w:hint="eastAsia" w:ascii="仿宋" w:hAnsi="仿宋" w:eastAsia="仿宋" w:cs="仿宋"/>
          <w:color w:val="auto"/>
          <w:sz w:val="24"/>
        </w:rPr>
        <w:t>.2 合同适用中华人民共和国法律。</w:t>
      </w:r>
    </w:p>
    <w:p>
      <w:pPr>
        <w:spacing w:line="360" w:lineRule="auto"/>
        <w:ind w:firstLine="482" w:firstLineChars="200"/>
        <w:outlineLvl w:val="0"/>
        <w:rPr>
          <w:rFonts w:hint="eastAsia" w:ascii="仿宋" w:hAnsi="仿宋" w:eastAsia="仿宋" w:cs="仿宋"/>
          <w:b/>
          <w:color w:val="auto"/>
          <w:sz w:val="24"/>
          <w:lang w:eastAsia="zh-CN"/>
        </w:rPr>
      </w:pPr>
      <w:r>
        <w:rPr>
          <w:rFonts w:hint="eastAsia" w:ascii="仿宋" w:hAnsi="仿宋" w:eastAsia="仿宋" w:cs="仿宋"/>
          <w:b/>
          <w:color w:val="auto"/>
          <w:sz w:val="24"/>
        </w:rPr>
        <w:t>2</w:t>
      </w:r>
      <w:r>
        <w:rPr>
          <w:rFonts w:hint="eastAsia" w:ascii="仿宋" w:hAnsi="仿宋" w:eastAsia="仿宋" w:cs="仿宋"/>
          <w:b/>
          <w:color w:val="auto"/>
          <w:sz w:val="24"/>
          <w:lang w:val="en-US" w:eastAsia="zh-CN"/>
        </w:rPr>
        <w:t>8</w:t>
      </w:r>
      <w:r>
        <w:rPr>
          <w:rFonts w:hint="eastAsia" w:ascii="仿宋" w:hAnsi="仿宋" w:eastAsia="仿宋" w:cs="仿宋"/>
          <w:b/>
          <w:color w:val="auto"/>
          <w:sz w:val="24"/>
        </w:rPr>
        <w:t>合同</w:t>
      </w:r>
      <w:r>
        <w:rPr>
          <w:rFonts w:hint="eastAsia" w:ascii="仿宋" w:hAnsi="仿宋" w:eastAsia="仿宋" w:cs="仿宋"/>
          <w:b/>
          <w:color w:val="auto"/>
          <w:sz w:val="24"/>
          <w:lang w:eastAsia="zh-CN"/>
        </w:rPr>
        <w:t>效力</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eastAsia="zh-CN"/>
        </w:rPr>
        <w:t>本</w:t>
      </w:r>
      <w:r>
        <w:rPr>
          <w:rFonts w:hint="eastAsia" w:ascii="仿宋" w:hAnsi="仿宋" w:eastAsia="仿宋" w:cs="仿宋"/>
          <w:color w:val="auto"/>
          <w:sz w:val="24"/>
        </w:rPr>
        <w:t>合同</w:t>
      </w:r>
      <w:r>
        <w:rPr>
          <w:rFonts w:hint="eastAsia" w:ascii="仿宋" w:hAnsi="仿宋" w:eastAsia="仿宋" w:cs="仿宋"/>
          <w:color w:val="auto"/>
          <w:sz w:val="24"/>
          <w:lang w:eastAsia="zh-CN"/>
        </w:rPr>
        <w:t>一式四份</w:t>
      </w:r>
      <w:r>
        <w:rPr>
          <w:rFonts w:hint="eastAsia" w:ascii="仿宋" w:hAnsi="仿宋" w:eastAsia="仿宋" w:cs="仿宋"/>
          <w:color w:val="auto"/>
          <w:sz w:val="24"/>
        </w:rPr>
        <w:t>，</w:t>
      </w:r>
      <w:r>
        <w:rPr>
          <w:rFonts w:hint="eastAsia" w:ascii="仿宋" w:hAnsi="仿宋" w:eastAsia="仿宋" w:cs="仿宋"/>
          <w:color w:val="auto"/>
          <w:sz w:val="24"/>
          <w:lang w:eastAsia="zh-CN"/>
        </w:rPr>
        <w:t>甲乙双方各两份，</w:t>
      </w:r>
      <w:r>
        <w:rPr>
          <w:rFonts w:hint="eastAsia" w:ascii="仿宋" w:hAnsi="仿宋" w:eastAsia="仿宋" w:cs="仿宋"/>
          <w:color w:val="auto"/>
          <w:sz w:val="24"/>
        </w:rPr>
        <w:t>每份均具有同等法律效力。本合同自双方当事人盖章或者签字时生效。</w:t>
      </w:r>
    </w:p>
    <w:p>
      <w:pPr>
        <w:autoSpaceDE w:val="0"/>
        <w:autoSpaceDN w:val="0"/>
        <w:spacing w:line="360" w:lineRule="auto"/>
        <w:rPr>
          <w:rFonts w:hint="eastAsia" w:ascii="仿宋" w:hAnsi="仿宋" w:eastAsia="仿宋" w:cs="仿宋"/>
          <w:color w:val="auto"/>
          <w:sz w:val="24"/>
          <w:lang w:val="zh-CN"/>
        </w:rPr>
      </w:pPr>
    </w:p>
    <w:p>
      <w:pPr>
        <w:autoSpaceDE w:val="0"/>
        <w:autoSpaceDN w:val="0"/>
        <w:spacing w:line="360" w:lineRule="auto"/>
        <w:rPr>
          <w:rFonts w:hint="eastAsia" w:ascii="仿宋" w:hAnsi="仿宋" w:eastAsia="仿宋" w:cs="仿宋"/>
          <w:b/>
          <w:color w:val="auto"/>
          <w:sz w:val="24"/>
          <w:lang w:val="zh-CN"/>
        </w:rPr>
      </w:pPr>
    </w:p>
    <w:p>
      <w:pPr>
        <w:autoSpaceDE w:val="0"/>
        <w:autoSpaceDN w:val="0"/>
        <w:spacing w:line="360" w:lineRule="auto"/>
        <w:rPr>
          <w:rFonts w:hint="eastAsia" w:ascii="仿宋" w:hAnsi="仿宋" w:eastAsia="仿宋" w:cs="仿宋"/>
          <w:color w:val="auto"/>
          <w:sz w:val="24"/>
          <w:lang w:val="zh-CN"/>
        </w:rPr>
      </w:pPr>
      <w:r>
        <w:rPr>
          <w:rFonts w:hint="eastAsia" w:ascii="仿宋" w:hAnsi="仿宋" w:eastAsia="仿宋" w:cs="仿宋"/>
          <w:b/>
          <w:color w:val="auto"/>
          <w:sz w:val="24"/>
          <w:lang w:val="zh-CN"/>
        </w:rPr>
        <w:t>甲方名称（公章）</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乙方名称（公章）</w:t>
      </w:r>
      <w:r>
        <w:rPr>
          <w:rFonts w:hint="eastAsia" w:ascii="仿宋" w:hAnsi="仿宋" w:eastAsia="仿宋" w:cs="仿宋"/>
          <w:color w:val="auto"/>
          <w:sz w:val="24"/>
          <w:lang w:val="zh-CN"/>
        </w:rPr>
        <w:t>：</w:t>
      </w:r>
    </w:p>
    <w:p>
      <w:pPr>
        <w:autoSpaceDE w:val="0"/>
        <w:autoSpaceDN w:val="0"/>
        <w:spacing w:line="360" w:lineRule="auto"/>
        <w:rPr>
          <w:rFonts w:hint="eastAsia" w:ascii="仿宋" w:hAnsi="仿宋" w:eastAsia="仿宋" w:cs="仿宋"/>
          <w:color w:val="auto"/>
          <w:sz w:val="24"/>
          <w:lang w:val="zh-CN"/>
        </w:rPr>
      </w:pPr>
    </w:p>
    <w:p>
      <w:pPr>
        <w:autoSpaceDE w:val="0"/>
        <w:autoSpaceDN w:val="0"/>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pPr>
        <w:autoSpaceDE w:val="0"/>
        <w:autoSpaceDN w:val="0"/>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住所：                                   住所：</w:t>
      </w:r>
    </w:p>
    <w:p>
      <w:pPr>
        <w:autoSpaceDE w:val="0"/>
        <w:autoSpaceDN w:val="0"/>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法定代表人或授权代表（签字）：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val="zh-CN"/>
        </w:rPr>
        <w:t xml:space="preserve"> 法定代表人或授权代表（签字）: </w:t>
      </w:r>
    </w:p>
    <w:p>
      <w:pPr>
        <w:autoSpaceDE w:val="0"/>
        <w:autoSpaceDN w:val="0"/>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联系人：                                 联系人：</w:t>
      </w:r>
    </w:p>
    <w:p>
      <w:pPr>
        <w:autoSpaceDE w:val="0"/>
        <w:autoSpaceDN w:val="0"/>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pPr>
        <w:autoSpaceDE w:val="0"/>
        <w:autoSpaceDN w:val="0"/>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邮政编码：                               邮政编码：</w:t>
      </w:r>
    </w:p>
    <w:p>
      <w:pPr>
        <w:autoSpaceDE w:val="0"/>
        <w:autoSpaceDN w:val="0"/>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pPr>
        <w:autoSpaceDE w:val="0"/>
        <w:autoSpaceDN w:val="0"/>
        <w:spacing w:line="360" w:lineRule="auto"/>
        <w:rPr>
          <w:rFonts w:hint="eastAsia" w:ascii="仿宋" w:hAnsi="仿宋" w:eastAsia="仿宋" w:cs="仿宋"/>
          <w:color w:val="auto"/>
          <w:sz w:val="24"/>
        </w:rPr>
      </w:pPr>
      <w:r>
        <w:rPr>
          <w:rFonts w:hint="eastAsia" w:ascii="仿宋" w:hAnsi="仿宋" w:eastAsia="仿宋" w:cs="仿宋"/>
          <w:color w:val="auto"/>
          <w:sz w:val="24"/>
          <w:lang w:val="zh-CN"/>
        </w:rPr>
        <w:t>传真:                                    传真:</w:t>
      </w:r>
    </w:p>
    <w:p>
      <w:pPr>
        <w:pStyle w:val="2"/>
        <w:spacing w:line="360" w:lineRule="auto"/>
        <w:rPr>
          <w:rFonts w:hint="eastAsia" w:ascii="仿宋" w:hAnsi="仿宋" w:eastAsia="仿宋" w:cs="仿宋"/>
          <w:color w:val="auto"/>
          <w:sz w:val="24"/>
        </w:rPr>
      </w:pPr>
    </w:p>
    <w:p>
      <w:pPr>
        <w:pStyle w:val="2"/>
        <w:spacing w:line="360" w:lineRule="auto"/>
        <w:ind w:left="0" w:leftChars="0" w:firstLine="0" w:firstLineChars="0"/>
        <w:rPr>
          <w:rFonts w:hint="eastAsia" w:ascii="仿宋" w:hAnsi="仿宋" w:eastAsia="仿宋" w:cs="仿宋"/>
          <w:b/>
          <w:bCs/>
          <w:color w:val="auto"/>
          <w:sz w:val="24"/>
          <w:lang w:val="zh-CN"/>
        </w:rPr>
      </w:pPr>
      <w:r>
        <w:rPr>
          <w:rFonts w:hint="eastAsia" w:ascii="仿宋" w:hAnsi="仿宋" w:eastAsia="仿宋" w:cs="仿宋"/>
          <w:b/>
          <w:bCs/>
          <w:color w:val="auto"/>
          <w:sz w:val="24"/>
          <w:lang w:eastAsia="zh-CN"/>
        </w:rPr>
        <w:t>见证人：采购代理机构名称</w:t>
      </w:r>
    </w:p>
    <w:p>
      <w:pPr>
        <w:autoSpaceDE w:val="0"/>
        <w:autoSpaceDN w:val="0"/>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住所：                             </w:t>
      </w:r>
    </w:p>
    <w:p>
      <w:pPr>
        <w:autoSpaceDE w:val="0"/>
        <w:autoSpaceDN w:val="0"/>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法定代表人或授权代表（签字）：       </w:t>
      </w:r>
      <w:r>
        <w:rPr>
          <w:rFonts w:hint="eastAsia" w:ascii="仿宋" w:hAnsi="仿宋" w:eastAsia="仿宋" w:cs="仿宋"/>
          <w:color w:val="auto"/>
          <w:sz w:val="24"/>
          <w:lang w:val="en-US" w:eastAsia="zh-CN"/>
        </w:rPr>
        <w:t xml:space="preserve"> </w:t>
      </w:r>
    </w:p>
    <w:p>
      <w:pPr>
        <w:autoSpaceDE w:val="0"/>
        <w:autoSpaceDN w:val="0"/>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联系人：                                                                    </w:t>
      </w:r>
    </w:p>
    <w:p>
      <w:pPr>
        <w:pStyle w:val="2"/>
        <w:ind w:left="0" w:leftChars="0" w:firstLine="0" w:firstLineChars="0"/>
        <w:rPr>
          <w:rFonts w:hint="default"/>
          <w:color w:val="auto"/>
          <w:lang w:val="en-US" w:eastAsia="zh-CN"/>
        </w:rPr>
      </w:pPr>
      <w:r>
        <w:rPr>
          <w:rFonts w:hint="eastAsia" w:ascii="仿宋" w:hAnsi="仿宋" w:eastAsia="仿宋" w:cs="仿宋"/>
          <w:color w:val="auto"/>
          <w:sz w:val="24"/>
          <w:lang w:val="zh-CN"/>
        </w:rPr>
        <w:t xml:space="preserve">电话:                    </w:t>
      </w:r>
    </w:p>
    <w:p>
      <w:pPr>
        <w:rPr>
          <w:rFonts w:cs="仿宋" w:asciiTheme="majorEastAsia" w:hAnsiTheme="majorEastAsia" w:eastAsiaTheme="majorEastAsia"/>
          <w:b/>
          <w:color w:val="auto"/>
          <w:sz w:val="24"/>
        </w:rPr>
      </w:pPr>
      <w:r>
        <w:rPr>
          <w:rFonts w:cs="仿宋" w:asciiTheme="majorEastAsia" w:hAnsiTheme="majorEastAsia" w:eastAsiaTheme="majorEastAsia"/>
          <w:b/>
          <w:color w:val="auto"/>
          <w:sz w:val="24"/>
        </w:rPr>
        <w:br w:type="page"/>
      </w:r>
    </w:p>
    <w:p>
      <w:pPr>
        <w:spacing w:line="360" w:lineRule="auto"/>
        <w:ind w:left="720" w:firstLine="723" w:firstLineChars="200"/>
        <w:outlineLvl w:val="0"/>
        <w:rPr>
          <w:rFonts w:cs="仿宋" w:asciiTheme="majorEastAsia" w:hAnsiTheme="majorEastAsia" w:eastAsiaTheme="majorEastAsia"/>
          <w:b/>
          <w:color w:val="auto"/>
          <w:sz w:val="36"/>
          <w:szCs w:val="20"/>
        </w:rPr>
      </w:pPr>
      <w:r>
        <w:rPr>
          <w:rFonts w:hint="eastAsia" w:cs="仿宋" w:asciiTheme="majorEastAsia" w:hAnsiTheme="majorEastAsia" w:eastAsiaTheme="majorEastAsia"/>
          <w:b/>
          <w:color w:val="auto"/>
          <w:sz w:val="36"/>
          <w:szCs w:val="20"/>
        </w:rPr>
        <w:t>第六部分</w:t>
      </w:r>
      <w:bookmarkEnd w:id="393"/>
      <w:r>
        <w:rPr>
          <w:rFonts w:hint="eastAsia" w:cs="仿宋" w:asciiTheme="majorEastAsia" w:hAnsiTheme="majorEastAsia" w:eastAsiaTheme="majorEastAsia"/>
          <w:b/>
          <w:color w:val="auto"/>
          <w:sz w:val="36"/>
          <w:szCs w:val="20"/>
        </w:rPr>
        <w:t xml:space="preserve"> </w:t>
      </w:r>
      <w:bookmarkEnd w:id="394"/>
      <w:r>
        <w:rPr>
          <w:rFonts w:hint="eastAsia" w:cs="仿宋" w:asciiTheme="majorEastAsia" w:hAnsiTheme="majorEastAsia" w:eastAsiaTheme="majorEastAsia"/>
          <w:b/>
          <w:color w:val="auto"/>
          <w:sz w:val="36"/>
          <w:szCs w:val="20"/>
        </w:rPr>
        <w:t>应提交的有关格式范例</w:t>
      </w:r>
    </w:p>
    <w:p>
      <w:pPr>
        <w:spacing w:line="360" w:lineRule="auto"/>
        <w:jc w:val="center"/>
        <w:outlineLvl w:val="0"/>
        <w:rPr>
          <w:rFonts w:cs="仿宋" w:asciiTheme="majorEastAsia" w:hAnsiTheme="majorEastAsia" w:eastAsiaTheme="majorEastAsia"/>
          <w:b/>
          <w:color w:val="auto"/>
          <w:kern w:val="0"/>
          <w:sz w:val="36"/>
          <w:szCs w:val="36"/>
        </w:rPr>
      </w:pPr>
    </w:p>
    <w:p>
      <w:pPr>
        <w:spacing w:line="360" w:lineRule="auto"/>
        <w:jc w:val="center"/>
        <w:outlineLvl w:val="0"/>
        <w:rPr>
          <w:rFonts w:cs="仿宋" w:asciiTheme="majorEastAsia" w:hAnsiTheme="majorEastAsia" w:eastAsiaTheme="majorEastAsia"/>
          <w:b/>
          <w:color w:val="auto"/>
          <w:kern w:val="0"/>
          <w:sz w:val="36"/>
          <w:szCs w:val="36"/>
        </w:rPr>
      </w:pPr>
      <w:r>
        <w:rPr>
          <w:rFonts w:hint="eastAsia" w:cs="仿宋" w:asciiTheme="majorEastAsia" w:hAnsiTheme="majorEastAsia" w:eastAsiaTheme="majorEastAsia"/>
          <w:b/>
          <w:color w:val="auto"/>
          <w:kern w:val="0"/>
          <w:sz w:val="36"/>
          <w:szCs w:val="36"/>
        </w:rPr>
        <w:t>资格文件部分</w:t>
      </w:r>
    </w:p>
    <w:p>
      <w:pPr>
        <w:spacing w:line="360" w:lineRule="auto"/>
        <w:jc w:val="center"/>
        <w:outlineLvl w:val="0"/>
        <w:rPr>
          <w:rFonts w:cs="仿宋" w:asciiTheme="majorEastAsia" w:hAnsiTheme="majorEastAsia" w:eastAsiaTheme="majorEastAsia"/>
          <w:b/>
          <w:color w:val="auto"/>
          <w:kern w:val="0"/>
          <w:sz w:val="36"/>
          <w:szCs w:val="36"/>
        </w:rPr>
      </w:pPr>
      <w:r>
        <w:rPr>
          <w:rFonts w:hint="eastAsia" w:cs="仿宋" w:asciiTheme="majorEastAsia" w:hAnsiTheme="majorEastAsia" w:eastAsiaTheme="majorEastAsia"/>
          <w:b/>
          <w:color w:val="auto"/>
          <w:kern w:val="0"/>
          <w:sz w:val="36"/>
          <w:szCs w:val="36"/>
        </w:rPr>
        <w:t>目录</w:t>
      </w:r>
    </w:p>
    <w:p>
      <w:pPr>
        <w:spacing w:line="360" w:lineRule="auto"/>
        <w:jc w:val="center"/>
        <w:outlineLvl w:val="0"/>
        <w:rPr>
          <w:rFonts w:cs="仿宋" w:asciiTheme="majorEastAsia" w:hAnsiTheme="majorEastAsia" w:eastAsiaTheme="majorEastAsia"/>
          <w:b/>
          <w:color w:val="auto"/>
          <w:kern w:val="0"/>
          <w:sz w:val="36"/>
          <w:szCs w:val="36"/>
        </w:rPr>
      </w:pPr>
    </w:p>
    <w:p>
      <w:pPr>
        <w:adjustRightInd w:val="0"/>
        <w:snapToGrid w:val="0"/>
        <w:spacing w:line="360" w:lineRule="auto"/>
        <w:ind w:left="420" w:leftChars="200" w:firstLine="560" w:firstLineChars="2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1 有效的企业法人营业执照（或事业法人登记证）、其他组织（个体工商户）的营业执照或者民办非企业单位登记证书；</w:t>
      </w:r>
    </w:p>
    <w:p>
      <w:pPr>
        <w:adjustRightInd w:val="0"/>
        <w:snapToGrid w:val="0"/>
        <w:spacing w:line="360" w:lineRule="auto"/>
        <w:ind w:left="420" w:leftChars="200" w:firstLine="560" w:firstLineChars="2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2 符合参加政府采购活动应当具备的一般条件的承诺函；</w:t>
      </w:r>
    </w:p>
    <w:p>
      <w:pPr>
        <w:adjustRightInd w:val="0"/>
        <w:snapToGrid w:val="0"/>
        <w:spacing w:line="360" w:lineRule="auto"/>
        <w:ind w:left="420" w:leftChars="200" w:firstLine="560" w:firstLineChars="2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3 落实政府采购政策需满足的资格要求；</w:t>
      </w:r>
    </w:p>
    <w:p>
      <w:pPr>
        <w:adjustRightInd w:val="0"/>
        <w:snapToGrid w:val="0"/>
        <w:spacing w:line="360" w:lineRule="auto"/>
        <w:ind w:left="420" w:leftChars="200" w:firstLine="560" w:firstLineChars="2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4 本项目的特定资格要求。</w:t>
      </w:r>
    </w:p>
    <w:p>
      <w:pPr>
        <w:pStyle w:val="2"/>
        <w:spacing w:line="360" w:lineRule="auto"/>
        <w:ind w:firstLine="480"/>
        <w:rPr>
          <w:rFonts w:cs="仿宋" w:asciiTheme="majorEastAsia" w:hAnsiTheme="majorEastAsia" w:eastAsiaTheme="majorEastAsia"/>
          <w:color w:val="auto"/>
          <w:sz w:val="24"/>
        </w:rPr>
      </w:pPr>
    </w:p>
    <w:p>
      <w:pPr>
        <w:spacing w:line="360" w:lineRule="auto"/>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rPr>
        <w:br w:type="page"/>
      </w:r>
    </w:p>
    <w:p>
      <w:pPr>
        <w:snapToGrid w:val="0"/>
        <w:spacing w:line="360" w:lineRule="auto"/>
        <w:ind w:right="480"/>
        <w:jc w:val="center"/>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rPr>
        <w:t>一、 符合参加政府采购活动应当具备的一般条件的承诺函</w:t>
      </w:r>
    </w:p>
    <w:p>
      <w:pPr>
        <w:snapToGrid w:val="0"/>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（采购人）、（采购代理机构）：</w:t>
      </w:r>
    </w:p>
    <w:p>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我方参与（项目名称）【招标编号：（采购编号）】政府采购活动，郑重承诺：</w:t>
      </w:r>
    </w:p>
    <w:p>
      <w:pPr>
        <w:snapToGrid w:val="0"/>
        <w:spacing w:line="360" w:lineRule="auto"/>
        <w:ind w:firstLine="360" w:firstLineChars="15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（一）具备《中华人民共和国政府采购法》第二十二条第一款规定的条件：</w:t>
      </w:r>
    </w:p>
    <w:p>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1、具有独立承担民事责任的能力；</w:t>
      </w:r>
    </w:p>
    <w:p>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2、具有良好的商业信誉和健全的财务会计制度； </w:t>
      </w:r>
    </w:p>
    <w:p>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3、具有履行合同所必需的设备和专业技术能力；</w:t>
      </w:r>
    </w:p>
    <w:p>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4、有依法缴纳税收和社会保障资金的良好记录；</w:t>
      </w:r>
    </w:p>
    <w:p>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5、参加政府采购活动前三年内，在经营活动中没有重大违法记录；</w:t>
      </w:r>
    </w:p>
    <w:p>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6、具有法律、行政法规规定的其他条件。</w:t>
      </w:r>
    </w:p>
    <w:p>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（三）不存在以下情况：</w:t>
      </w:r>
    </w:p>
    <w:p>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cs="仿宋" w:asciiTheme="majorEastAsia" w:hAnsiTheme="majorEastAsia" w:eastAsiaTheme="majorEastAsia"/>
          <w:color w:val="auto"/>
          <w:kern w:val="0"/>
          <w:sz w:val="24"/>
          <w:lang w:val="zh-CN"/>
        </w:rPr>
      </w:pPr>
    </w:p>
    <w:p>
      <w:pPr>
        <w:snapToGrid w:val="0"/>
        <w:spacing w:line="360" w:lineRule="auto"/>
        <w:ind w:firstLine="5520" w:firstLineChars="2300"/>
        <w:rPr>
          <w:rFonts w:cs="仿宋" w:asciiTheme="majorEastAsia" w:hAnsiTheme="majorEastAsia" w:eastAsiaTheme="majorEastAsia"/>
          <w:color w:val="auto"/>
          <w:kern w:val="0"/>
          <w:sz w:val="24"/>
          <w:lang w:val="zh-CN"/>
        </w:rPr>
      </w:pPr>
    </w:p>
    <w:p>
      <w:pPr>
        <w:spacing w:line="360" w:lineRule="auto"/>
        <w:ind w:right="420" w:firstLine="5250" w:firstLineChars="2500"/>
        <w:rPr>
          <w:rFonts w:ascii="宋体" w:hAnsi="宋体" w:cs="宋体"/>
          <w:color w:val="auto"/>
        </w:rPr>
      </w:pPr>
      <w:r>
        <w:rPr>
          <w:rFonts w:hint="eastAsia" w:ascii="宋体" w:hAnsi="宋体" w:cs="宋体"/>
          <w:color w:val="auto"/>
        </w:rPr>
        <w:t xml:space="preserve">法定代表人（签名或印章）：     </w:t>
      </w:r>
    </w:p>
    <w:p>
      <w:pPr>
        <w:spacing w:line="360" w:lineRule="auto"/>
        <w:ind w:right="420" w:firstLine="5460" w:firstLineChars="2600"/>
        <w:rPr>
          <w:rFonts w:ascii="宋体" w:hAnsi="宋体" w:cs="宋体"/>
          <w:color w:val="auto"/>
        </w:rPr>
      </w:pPr>
      <w:r>
        <w:rPr>
          <w:rFonts w:hint="eastAsia" w:ascii="宋体" w:hAnsi="宋体" w:cs="宋体"/>
          <w:color w:val="auto"/>
        </w:rPr>
        <w:t xml:space="preserve">投标人（盖章）：   </w:t>
      </w:r>
    </w:p>
    <w:p>
      <w:pPr>
        <w:spacing w:line="360" w:lineRule="auto"/>
        <w:ind w:right="420" w:firstLine="5355" w:firstLineChars="2550"/>
        <w:rPr>
          <w:rFonts w:ascii="宋体" w:hAnsi="宋体" w:cs="宋体"/>
          <w:color w:val="auto"/>
        </w:rPr>
      </w:pPr>
      <w:r>
        <w:rPr>
          <w:rFonts w:hint="eastAsia" w:ascii="宋体" w:hAnsi="宋体" w:cs="宋体"/>
          <w:color w:val="auto"/>
        </w:rPr>
        <w:t xml:space="preserve"> 年    月    日</w:t>
      </w:r>
    </w:p>
    <w:p>
      <w:pPr>
        <w:snapToGrid w:val="0"/>
        <w:spacing w:line="360" w:lineRule="auto"/>
        <w:ind w:right="480"/>
        <w:jc w:val="center"/>
        <w:rPr>
          <w:rFonts w:cs="仿宋" w:asciiTheme="majorEastAsia" w:hAnsiTheme="majorEastAsia" w:eastAsiaTheme="majorEastAsia"/>
          <w:b/>
          <w:color w:val="auto"/>
          <w:kern w:val="0"/>
          <w:sz w:val="32"/>
          <w:szCs w:val="32"/>
        </w:rPr>
      </w:pPr>
    </w:p>
    <w:p>
      <w:pPr>
        <w:spacing w:line="360" w:lineRule="auto"/>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rPr>
        <w:br w:type="page"/>
      </w:r>
    </w:p>
    <w:p>
      <w:pPr>
        <w:snapToGrid w:val="0"/>
        <w:spacing w:line="360" w:lineRule="auto"/>
        <w:ind w:right="480"/>
        <w:jc w:val="center"/>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rPr>
        <w:t>二、落实政府采购政策需满足的资格要求</w:t>
      </w:r>
    </w:p>
    <w:p>
      <w:pP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A</w:t>
      </w:r>
      <w:r>
        <w:rPr>
          <w:rFonts w:hint="eastAsia" w:cs="仿宋" w:asciiTheme="majorEastAsia" w:hAnsiTheme="majorEastAsia" w:eastAsiaTheme="majorEastAsia"/>
          <w:color w:val="auto"/>
          <w:sz w:val="24"/>
        </w:rPr>
        <w:t xml:space="preserve">.专门面向中小企业，货物全部由符合政策要求的中小企业（或小微企业）制造或者服务全部由符合政策要求的中小企业（或小微企业）承接的，提供相应的中小企业声明函。 </w:t>
      </w:r>
    </w:p>
    <w:p>
      <w:pPr>
        <w:widowControl/>
        <w:spacing w:line="360" w:lineRule="auto"/>
        <w:ind w:firstLine="480"/>
        <w:jc w:val="left"/>
        <w:rPr>
          <w:rFonts w:cs="仿宋" w:asciiTheme="majorEastAsia" w:hAnsiTheme="majorEastAsia" w:eastAsiaTheme="majorEastAsia"/>
          <w:color w:val="auto"/>
          <w:sz w:val="24"/>
        </w:rPr>
      </w:pPr>
    </w:p>
    <w:p>
      <w:pPr>
        <w:widowControl/>
        <w:spacing w:line="360" w:lineRule="auto"/>
        <w:ind w:firstLine="472" w:firstLineChars="196"/>
        <w:jc w:val="left"/>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B.</w:t>
      </w:r>
      <w:r>
        <w:rPr>
          <w:rFonts w:hint="eastAsia" w:cs="仿宋" w:asciiTheme="majorEastAsia" w:hAnsiTheme="majorEastAsia" w:eastAsiaTheme="majorEastAsia"/>
          <w:color w:val="auto"/>
          <w:sz w:val="24"/>
        </w:rPr>
        <w:t>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pacing w:line="360" w:lineRule="auto"/>
        <w:jc w:val="center"/>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lang w:val="zh-CN"/>
        </w:rPr>
        <w:br w:type="page"/>
      </w:r>
      <w:r>
        <w:rPr>
          <w:rFonts w:hint="eastAsia" w:cs="仿宋" w:asciiTheme="majorEastAsia" w:hAnsiTheme="majorEastAsia" w:eastAsiaTheme="majorEastAsia"/>
          <w:b/>
          <w:color w:val="auto"/>
          <w:kern w:val="0"/>
          <w:sz w:val="32"/>
          <w:szCs w:val="32"/>
        </w:rPr>
        <w:t>三、本项目的特定资格要求</w:t>
      </w:r>
    </w:p>
    <w:p>
      <w:pPr>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（根据招标公告本项目的特定资格要求提供相应的材料；未要求的，无需提供）</w:t>
      </w:r>
    </w:p>
    <w:p>
      <w:pPr>
        <w:spacing w:line="360" w:lineRule="auto"/>
        <w:rPr>
          <w:rFonts w:cs="仿宋" w:asciiTheme="majorEastAsia" w:hAnsiTheme="majorEastAsia" w:eastAsiaTheme="majorEastAsia"/>
          <w:color w:val="auto"/>
        </w:rPr>
      </w:pPr>
    </w:p>
    <w:p>
      <w:pPr>
        <w:snapToGrid w:val="0"/>
        <w:spacing w:line="360" w:lineRule="auto"/>
        <w:ind w:right="480"/>
        <w:jc w:val="center"/>
        <w:rPr>
          <w:rFonts w:cs="仿宋" w:asciiTheme="majorEastAsia" w:hAnsiTheme="majorEastAsia" w:eastAsiaTheme="majorEastAsia"/>
          <w:b/>
          <w:color w:val="auto"/>
          <w:kern w:val="0"/>
          <w:sz w:val="32"/>
          <w:szCs w:val="32"/>
        </w:rPr>
      </w:pPr>
    </w:p>
    <w:p>
      <w:pPr>
        <w:snapToGrid w:val="0"/>
        <w:spacing w:line="360" w:lineRule="auto"/>
        <w:ind w:right="480"/>
        <w:jc w:val="center"/>
        <w:rPr>
          <w:rFonts w:cs="仿宋" w:asciiTheme="majorEastAsia" w:hAnsiTheme="majorEastAsia" w:eastAsiaTheme="majorEastAsia"/>
          <w:b/>
          <w:color w:val="auto"/>
          <w:kern w:val="0"/>
          <w:sz w:val="32"/>
          <w:szCs w:val="32"/>
        </w:rPr>
      </w:pPr>
    </w:p>
    <w:p>
      <w:pPr>
        <w:snapToGrid w:val="0"/>
        <w:spacing w:line="360" w:lineRule="auto"/>
        <w:ind w:right="480"/>
        <w:jc w:val="center"/>
        <w:rPr>
          <w:rFonts w:cs="仿宋" w:asciiTheme="majorEastAsia" w:hAnsiTheme="majorEastAsia" w:eastAsiaTheme="majorEastAsia"/>
          <w:b/>
          <w:color w:val="auto"/>
          <w:kern w:val="0"/>
          <w:sz w:val="32"/>
          <w:szCs w:val="32"/>
        </w:rPr>
      </w:pPr>
    </w:p>
    <w:p>
      <w:pPr>
        <w:snapToGrid w:val="0"/>
        <w:spacing w:line="360" w:lineRule="auto"/>
        <w:ind w:right="480"/>
        <w:jc w:val="center"/>
        <w:rPr>
          <w:rFonts w:cs="仿宋" w:asciiTheme="majorEastAsia" w:hAnsiTheme="majorEastAsia" w:eastAsiaTheme="majorEastAsia"/>
          <w:b/>
          <w:color w:val="auto"/>
          <w:kern w:val="0"/>
          <w:sz w:val="32"/>
          <w:szCs w:val="32"/>
        </w:rPr>
      </w:pPr>
    </w:p>
    <w:p>
      <w:pPr>
        <w:snapToGrid w:val="0"/>
        <w:spacing w:line="360" w:lineRule="auto"/>
        <w:ind w:right="480"/>
        <w:jc w:val="center"/>
        <w:rPr>
          <w:rFonts w:cs="仿宋" w:asciiTheme="majorEastAsia" w:hAnsiTheme="majorEastAsia" w:eastAsiaTheme="majorEastAsia"/>
          <w:b/>
          <w:color w:val="auto"/>
          <w:kern w:val="0"/>
          <w:sz w:val="32"/>
          <w:szCs w:val="32"/>
        </w:rPr>
      </w:pPr>
    </w:p>
    <w:p>
      <w:pPr>
        <w:snapToGrid w:val="0"/>
        <w:spacing w:line="360" w:lineRule="auto"/>
        <w:ind w:right="480"/>
        <w:jc w:val="center"/>
        <w:rPr>
          <w:rFonts w:cs="仿宋" w:asciiTheme="majorEastAsia" w:hAnsiTheme="majorEastAsia" w:eastAsiaTheme="majorEastAsia"/>
          <w:b/>
          <w:color w:val="auto"/>
          <w:kern w:val="0"/>
          <w:sz w:val="32"/>
          <w:szCs w:val="32"/>
        </w:rPr>
      </w:pPr>
    </w:p>
    <w:p>
      <w:pPr>
        <w:spacing w:line="360" w:lineRule="auto"/>
        <w:jc w:val="center"/>
        <w:outlineLvl w:val="0"/>
        <w:rPr>
          <w:rFonts w:cs="仿宋" w:asciiTheme="majorEastAsia" w:hAnsiTheme="majorEastAsia" w:eastAsiaTheme="majorEastAsia"/>
          <w:b/>
          <w:color w:val="auto"/>
          <w:kern w:val="0"/>
          <w:sz w:val="36"/>
          <w:szCs w:val="36"/>
        </w:rPr>
      </w:pPr>
    </w:p>
    <w:p>
      <w:pPr>
        <w:snapToGrid w:val="0"/>
        <w:spacing w:line="360" w:lineRule="auto"/>
        <w:ind w:right="480"/>
        <w:jc w:val="center"/>
        <w:rPr>
          <w:rFonts w:cs="仿宋" w:asciiTheme="majorEastAsia" w:hAnsiTheme="majorEastAsia" w:eastAsiaTheme="majorEastAsia"/>
          <w:b/>
          <w:color w:val="auto"/>
          <w:kern w:val="0"/>
          <w:sz w:val="32"/>
          <w:szCs w:val="32"/>
        </w:rPr>
      </w:pPr>
    </w:p>
    <w:p>
      <w:pPr>
        <w:spacing w:line="360" w:lineRule="auto"/>
        <w:jc w:val="center"/>
        <w:outlineLvl w:val="0"/>
        <w:rPr>
          <w:rFonts w:cs="仿宋" w:asciiTheme="majorEastAsia" w:hAnsiTheme="majorEastAsia" w:eastAsiaTheme="majorEastAsia"/>
          <w:b/>
          <w:color w:val="auto"/>
          <w:kern w:val="0"/>
          <w:sz w:val="36"/>
          <w:szCs w:val="36"/>
        </w:rPr>
      </w:pPr>
    </w:p>
    <w:p>
      <w:pPr>
        <w:snapToGrid w:val="0"/>
        <w:spacing w:line="360" w:lineRule="auto"/>
        <w:ind w:right="480"/>
        <w:jc w:val="center"/>
        <w:rPr>
          <w:rFonts w:cs="仿宋" w:asciiTheme="majorEastAsia" w:hAnsiTheme="majorEastAsia" w:eastAsiaTheme="majorEastAsia"/>
          <w:b/>
          <w:color w:val="auto"/>
          <w:kern w:val="0"/>
          <w:sz w:val="32"/>
          <w:szCs w:val="32"/>
        </w:rPr>
      </w:pPr>
    </w:p>
    <w:p>
      <w:pPr>
        <w:spacing w:line="360" w:lineRule="auto"/>
        <w:jc w:val="center"/>
        <w:outlineLvl w:val="0"/>
        <w:rPr>
          <w:rFonts w:cs="仿宋" w:asciiTheme="majorEastAsia" w:hAnsiTheme="majorEastAsia" w:eastAsiaTheme="majorEastAsia"/>
          <w:b/>
          <w:color w:val="auto"/>
          <w:kern w:val="0"/>
          <w:sz w:val="36"/>
          <w:szCs w:val="36"/>
        </w:rPr>
      </w:pPr>
    </w:p>
    <w:p>
      <w:pPr>
        <w:spacing w:line="360" w:lineRule="auto"/>
        <w:rPr>
          <w:rFonts w:cs="仿宋" w:asciiTheme="majorEastAsia" w:hAnsiTheme="majorEastAsia" w:eastAsiaTheme="majorEastAsia"/>
          <w:b/>
          <w:color w:val="auto"/>
          <w:kern w:val="0"/>
          <w:sz w:val="36"/>
          <w:szCs w:val="36"/>
        </w:rPr>
      </w:pPr>
      <w:r>
        <w:rPr>
          <w:rFonts w:hint="eastAsia" w:cs="仿宋" w:asciiTheme="majorEastAsia" w:hAnsiTheme="majorEastAsia" w:eastAsiaTheme="majorEastAsia"/>
          <w:b/>
          <w:color w:val="auto"/>
          <w:kern w:val="0"/>
          <w:sz w:val="36"/>
          <w:szCs w:val="36"/>
        </w:rPr>
        <w:br w:type="page"/>
      </w:r>
    </w:p>
    <w:p>
      <w:pPr>
        <w:spacing w:line="360" w:lineRule="auto"/>
        <w:ind w:right="420"/>
        <w:jc w:val="center"/>
        <w:rPr>
          <w:rFonts w:cs="仿宋" w:asciiTheme="majorEastAsia" w:hAnsiTheme="majorEastAsia" w:eastAsiaTheme="majorEastAsia"/>
          <w:b/>
          <w:color w:val="auto"/>
          <w:kern w:val="0"/>
          <w:sz w:val="36"/>
          <w:szCs w:val="36"/>
        </w:rPr>
      </w:pPr>
      <w:r>
        <w:rPr>
          <w:rFonts w:hint="eastAsia" w:cs="仿宋" w:asciiTheme="majorEastAsia" w:hAnsiTheme="majorEastAsia" w:eastAsiaTheme="majorEastAsia"/>
          <w:b/>
          <w:color w:val="auto"/>
          <w:kern w:val="0"/>
          <w:sz w:val="36"/>
          <w:szCs w:val="36"/>
        </w:rPr>
        <w:t>商务技术文件部分</w:t>
      </w:r>
    </w:p>
    <w:p>
      <w:pPr>
        <w:spacing w:line="360" w:lineRule="auto"/>
        <w:jc w:val="center"/>
        <w:outlineLvl w:val="0"/>
        <w:rPr>
          <w:rFonts w:cs="仿宋" w:asciiTheme="majorEastAsia" w:hAnsiTheme="majorEastAsia" w:eastAsiaTheme="majorEastAsia"/>
          <w:b/>
          <w:color w:val="auto"/>
          <w:kern w:val="0"/>
          <w:sz w:val="24"/>
        </w:rPr>
      </w:pPr>
    </w:p>
    <w:p>
      <w:pPr>
        <w:spacing w:line="360" w:lineRule="auto"/>
        <w:ind w:left="3990" w:leftChars="1900"/>
        <w:outlineLvl w:val="0"/>
        <w:rPr>
          <w:rFonts w:cs="仿宋" w:asciiTheme="majorEastAsia" w:hAnsiTheme="majorEastAsia" w:eastAsiaTheme="majorEastAsia"/>
          <w:b/>
          <w:color w:val="auto"/>
          <w:kern w:val="0"/>
          <w:sz w:val="28"/>
          <w:szCs w:val="28"/>
        </w:rPr>
      </w:pPr>
      <w:r>
        <w:rPr>
          <w:rFonts w:hint="eastAsia" w:cs="仿宋" w:asciiTheme="majorEastAsia" w:hAnsiTheme="majorEastAsia" w:eastAsiaTheme="majorEastAsia"/>
          <w:b/>
          <w:color w:val="auto"/>
          <w:kern w:val="0"/>
          <w:sz w:val="28"/>
          <w:szCs w:val="28"/>
        </w:rPr>
        <w:t>目 录</w:t>
      </w:r>
    </w:p>
    <w:p>
      <w:pPr>
        <w:snapToGrid w:val="0"/>
        <w:spacing w:line="360" w:lineRule="auto"/>
        <w:ind w:firstLine="960" w:firstLineChars="400"/>
        <w:rPr>
          <w:rFonts w:cs="仿宋" w:asciiTheme="majorEastAsia" w:hAnsiTheme="majorEastAsia" w:eastAsiaTheme="majorEastAsia"/>
          <w:color w:val="auto"/>
          <w:sz w:val="24"/>
        </w:rPr>
      </w:pPr>
    </w:p>
    <w:p>
      <w:pPr>
        <w:adjustRightInd w:val="0"/>
        <w:snapToGrid w:val="0"/>
        <w:spacing w:line="360" w:lineRule="auto"/>
        <w:ind w:firstLine="840" w:firstLineChars="300"/>
        <w:rPr>
          <w:rFonts w:hint="eastAsia" w:cs="仿宋" w:asciiTheme="majorEastAsia" w:hAnsiTheme="majorEastAsia" w:eastAsiaTheme="majorEastAsia"/>
          <w:color w:val="auto"/>
          <w:sz w:val="28"/>
          <w:szCs w:val="28"/>
        </w:rPr>
      </w:pPr>
      <w:r>
        <w:rPr>
          <w:rFonts w:hint="eastAsia" w:asciiTheme="minorEastAsia" w:hAnsiTheme="minorEastAsia" w:eastAsiaTheme="minorEastAsia" w:cstheme="minorEastAsia"/>
          <w:color w:val="auto"/>
          <w:sz w:val="28"/>
          <w:szCs w:val="28"/>
        </w:rPr>
        <w:t xml:space="preserve">1 </w:t>
      </w:r>
      <w:r>
        <w:rPr>
          <w:rFonts w:hint="eastAsia" w:asciiTheme="minorEastAsia" w:hAnsiTheme="minorEastAsia" w:eastAsiaTheme="minorEastAsia" w:cstheme="minorEastAsia"/>
          <w:color w:val="auto"/>
          <w:sz w:val="28"/>
          <w:szCs w:val="28"/>
          <w:lang w:val="en-US" w:eastAsia="zh-CN"/>
        </w:rPr>
        <w:t>评分索引表；</w:t>
      </w:r>
    </w:p>
    <w:p>
      <w:pP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lang w:val="en-US" w:eastAsia="zh-CN"/>
        </w:rPr>
        <w:t>2</w:t>
      </w:r>
      <w:r>
        <w:rPr>
          <w:rFonts w:hint="eastAsia" w:cs="仿宋" w:asciiTheme="majorEastAsia" w:hAnsiTheme="majorEastAsia" w:eastAsiaTheme="majorEastAsia"/>
          <w:color w:val="auto"/>
          <w:sz w:val="28"/>
          <w:szCs w:val="28"/>
        </w:rPr>
        <w:t xml:space="preserve"> 符合性自查表；</w:t>
      </w:r>
    </w:p>
    <w:p>
      <w:pP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lang w:val="en-US" w:eastAsia="zh-CN"/>
        </w:rPr>
        <w:t>3</w:t>
      </w:r>
      <w:r>
        <w:rPr>
          <w:rFonts w:hint="eastAsia" w:cs="仿宋" w:asciiTheme="majorEastAsia" w:hAnsiTheme="majorEastAsia" w:eastAsiaTheme="majorEastAsia"/>
          <w:color w:val="auto"/>
          <w:sz w:val="28"/>
          <w:szCs w:val="28"/>
        </w:rPr>
        <w:t xml:space="preserve"> 投标函；</w:t>
      </w:r>
      <w:r>
        <w:rPr>
          <w:rFonts w:hint="eastAsia" w:cs="仿宋" w:asciiTheme="majorEastAsia" w:hAnsiTheme="majorEastAsia" w:eastAsiaTheme="majorEastAsia"/>
          <w:color w:val="auto"/>
          <w:sz w:val="28"/>
          <w:szCs w:val="28"/>
          <w:lang w:val="zh-CN"/>
        </w:rPr>
        <w:t xml:space="preserve"> </w:t>
      </w:r>
    </w:p>
    <w:p>
      <w:pP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lang w:val="en-US" w:eastAsia="zh-CN"/>
        </w:rPr>
        <w:t>4</w:t>
      </w:r>
      <w:r>
        <w:rPr>
          <w:rFonts w:hint="eastAsia" w:cs="仿宋" w:asciiTheme="majorEastAsia" w:hAnsiTheme="majorEastAsia" w:eastAsiaTheme="majorEastAsia"/>
          <w:color w:val="auto"/>
          <w:sz w:val="28"/>
          <w:szCs w:val="28"/>
        </w:rPr>
        <w:t xml:space="preserve"> 授权委托书；</w:t>
      </w:r>
    </w:p>
    <w:p>
      <w:pP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lang w:val="en-US" w:eastAsia="zh-CN"/>
        </w:rPr>
        <w:t>5</w:t>
      </w:r>
      <w:r>
        <w:rPr>
          <w:rFonts w:hint="eastAsia" w:cs="仿宋" w:asciiTheme="majorEastAsia" w:hAnsiTheme="majorEastAsia" w:eastAsiaTheme="majorEastAsia"/>
          <w:color w:val="auto"/>
          <w:sz w:val="28"/>
          <w:szCs w:val="28"/>
        </w:rPr>
        <w:t xml:space="preserve"> 供应商情况表；</w:t>
      </w:r>
    </w:p>
    <w:p>
      <w:pP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lang w:val="en-US" w:eastAsia="zh-CN"/>
        </w:rPr>
        <w:t>6</w:t>
      </w:r>
      <w:r>
        <w:rPr>
          <w:rFonts w:hint="eastAsia" w:cs="仿宋" w:asciiTheme="majorEastAsia" w:hAnsiTheme="majorEastAsia" w:eastAsiaTheme="majorEastAsia"/>
          <w:color w:val="auto"/>
          <w:sz w:val="28"/>
          <w:szCs w:val="28"/>
        </w:rPr>
        <w:t xml:space="preserve"> 距采购人最近或者能为本项目提供最优服务的网点情况表；</w:t>
      </w:r>
    </w:p>
    <w:p>
      <w:pP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lang w:val="en-US" w:eastAsia="zh-CN"/>
        </w:rPr>
        <w:t>7</w:t>
      </w:r>
      <w:r>
        <w:rPr>
          <w:rFonts w:hint="eastAsia" w:cs="仿宋" w:asciiTheme="majorEastAsia" w:hAnsiTheme="majorEastAsia" w:eastAsiaTheme="majorEastAsia"/>
          <w:color w:val="auto"/>
          <w:sz w:val="28"/>
          <w:szCs w:val="28"/>
        </w:rPr>
        <w:t xml:space="preserve"> 评标标准相应的商务技术资料；</w:t>
      </w:r>
    </w:p>
    <w:p>
      <w:pP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lang w:val="en-US" w:eastAsia="zh-CN"/>
        </w:rPr>
        <w:t>8</w:t>
      </w:r>
      <w:r>
        <w:rPr>
          <w:rFonts w:hint="eastAsia" w:cs="仿宋" w:asciiTheme="majorEastAsia" w:hAnsiTheme="majorEastAsia" w:eastAsiaTheme="majorEastAsia"/>
          <w:color w:val="auto"/>
          <w:sz w:val="28"/>
          <w:szCs w:val="28"/>
        </w:rPr>
        <w:t xml:space="preserve"> 商务</w:t>
      </w:r>
      <w:r>
        <w:rPr>
          <w:rFonts w:hint="eastAsia" w:cs="仿宋" w:asciiTheme="majorEastAsia" w:hAnsiTheme="majorEastAsia" w:eastAsiaTheme="majorEastAsia"/>
          <w:color w:val="auto"/>
          <w:sz w:val="28"/>
          <w:szCs w:val="28"/>
          <w:lang w:eastAsia="zh-CN"/>
        </w:rPr>
        <w:t>响应</w:t>
      </w:r>
      <w:r>
        <w:rPr>
          <w:rFonts w:hint="eastAsia" w:cs="仿宋" w:asciiTheme="majorEastAsia" w:hAnsiTheme="majorEastAsia" w:eastAsiaTheme="majorEastAsia"/>
          <w:color w:val="auto"/>
          <w:sz w:val="28"/>
          <w:szCs w:val="28"/>
        </w:rPr>
        <w:t>表；</w:t>
      </w:r>
    </w:p>
    <w:p>
      <w:pP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lang w:val="en-US" w:eastAsia="zh-CN"/>
        </w:rPr>
        <w:t>9</w:t>
      </w:r>
      <w:r>
        <w:rPr>
          <w:rFonts w:hint="eastAsia" w:cs="仿宋" w:asciiTheme="majorEastAsia" w:hAnsiTheme="majorEastAsia" w:eastAsiaTheme="majorEastAsia"/>
          <w:color w:val="auto"/>
          <w:sz w:val="28"/>
          <w:szCs w:val="28"/>
        </w:rPr>
        <w:t xml:space="preserve"> 技术</w:t>
      </w:r>
      <w:r>
        <w:rPr>
          <w:rFonts w:hint="eastAsia" w:cs="仿宋" w:asciiTheme="majorEastAsia" w:hAnsiTheme="majorEastAsia" w:eastAsiaTheme="majorEastAsia"/>
          <w:color w:val="auto"/>
          <w:sz w:val="28"/>
          <w:szCs w:val="28"/>
          <w:lang w:eastAsia="zh-CN"/>
        </w:rPr>
        <w:t>响应</w:t>
      </w:r>
      <w:r>
        <w:rPr>
          <w:rFonts w:hint="eastAsia" w:cs="仿宋" w:asciiTheme="majorEastAsia" w:hAnsiTheme="majorEastAsia" w:eastAsiaTheme="majorEastAsia"/>
          <w:color w:val="auto"/>
          <w:sz w:val="28"/>
          <w:szCs w:val="28"/>
        </w:rPr>
        <w:t>表；</w:t>
      </w:r>
    </w:p>
    <w:p>
      <w:pP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lang w:val="en-US" w:eastAsia="zh-CN"/>
        </w:rPr>
        <w:t>10</w:t>
      </w:r>
      <w:r>
        <w:rPr>
          <w:rFonts w:hint="eastAsia" w:cs="仿宋" w:asciiTheme="majorEastAsia" w:hAnsiTheme="majorEastAsia" w:eastAsiaTheme="majorEastAsia"/>
          <w:color w:val="auto"/>
          <w:sz w:val="28"/>
          <w:szCs w:val="28"/>
        </w:rPr>
        <w:t xml:space="preserve"> 同类业绩情况一览表；</w:t>
      </w:r>
    </w:p>
    <w:p>
      <w:pPr>
        <w:adjustRightInd w:val="0"/>
        <w:snapToGrid w:val="0"/>
        <w:spacing w:line="360" w:lineRule="auto"/>
        <w:ind w:firstLine="840" w:firstLineChars="300"/>
        <w:rPr>
          <w:rFonts w:cs="仿宋" w:asciiTheme="majorEastAsia" w:hAnsiTheme="majorEastAsia" w:eastAsiaTheme="majorEastAsia"/>
          <w:color w:val="auto"/>
          <w:sz w:val="28"/>
          <w:szCs w:val="28"/>
          <w:lang w:val="zh-CN"/>
        </w:rPr>
      </w:pPr>
      <w:r>
        <w:rPr>
          <w:rFonts w:hint="eastAsia" w:cs="仿宋" w:asciiTheme="majorEastAsia" w:hAnsiTheme="majorEastAsia" w:eastAsiaTheme="majorEastAsia"/>
          <w:color w:val="auto"/>
          <w:sz w:val="28"/>
          <w:szCs w:val="28"/>
        </w:rPr>
        <w:t>1</w:t>
      </w:r>
      <w:r>
        <w:rPr>
          <w:rFonts w:hint="eastAsia" w:cs="仿宋" w:asciiTheme="majorEastAsia" w:hAnsiTheme="majorEastAsia" w:eastAsiaTheme="majorEastAsia"/>
          <w:color w:val="auto"/>
          <w:sz w:val="28"/>
          <w:szCs w:val="28"/>
          <w:lang w:val="en-US" w:eastAsia="zh-CN"/>
        </w:rPr>
        <w:t>1</w:t>
      </w:r>
      <w:r>
        <w:rPr>
          <w:rFonts w:hint="eastAsia" w:cs="仿宋" w:asciiTheme="majorEastAsia" w:hAnsiTheme="majorEastAsia" w:eastAsiaTheme="majorEastAsia"/>
          <w:color w:val="auto"/>
          <w:sz w:val="28"/>
          <w:szCs w:val="28"/>
        </w:rPr>
        <w:t xml:space="preserve"> </w:t>
      </w:r>
      <w:r>
        <w:rPr>
          <w:rFonts w:hint="eastAsia" w:cs="仿宋" w:asciiTheme="majorEastAsia" w:hAnsiTheme="majorEastAsia" w:eastAsiaTheme="majorEastAsia"/>
          <w:color w:val="auto"/>
          <w:sz w:val="28"/>
          <w:szCs w:val="28"/>
          <w:lang w:val="zh-CN"/>
        </w:rPr>
        <w:t>政府采购供应商廉洁自律承诺书；</w:t>
      </w:r>
    </w:p>
    <w:p>
      <w:pP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1</w:t>
      </w:r>
      <w:r>
        <w:rPr>
          <w:rFonts w:hint="eastAsia" w:cs="仿宋" w:asciiTheme="majorEastAsia" w:hAnsiTheme="majorEastAsia" w:eastAsiaTheme="majorEastAsia"/>
          <w:color w:val="auto"/>
          <w:sz w:val="28"/>
          <w:szCs w:val="28"/>
          <w:lang w:val="en-US" w:eastAsia="zh-CN"/>
        </w:rPr>
        <w:t>2</w:t>
      </w:r>
      <w:r>
        <w:rPr>
          <w:rFonts w:hint="eastAsia" w:cs="仿宋" w:asciiTheme="majorEastAsia" w:hAnsiTheme="majorEastAsia" w:eastAsiaTheme="majorEastAsia"/>
          <w:color w:val="auto"/>
          <w:sz w:val="28"/>
          <w:szCs w:val="28"/>
        </w:rPr>
        <w:t xml:space="preserve"> 其他资料。</w:t>
      </w:r>
    </w:p>
    <w:p>
      <w:pPr>
        <w:snapToGrid w:val="0"/>
        <w:spacing w:line="360" w:lineRule="auto"/>
        <w:outlineLvl w:val="0"/>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color w:val="auto"/>
          <w:kern w:val="0"/>
          <w:sz w:val="24"/>
        </w:rPr>
        <w:br w:type="page"/>
      </w:r>
    </w:p>
    <w:p>
      <w:pPr>
        <w:keepNext w:val="0"/>
        <w:keepLines w:val="0"/>
        <w:pageBreakBefore w:val="0"/>
        <w:widowControl w:val="0"/>
        <w:numPr>
          <w:ilvl w:val="0"/>
          <w:numId w:val="0"/>
        </w:numPr>
        <w:kinsoku/>
        <w:wordWrap/>
        <w:overflowPunct/>
        <w:topLinePunct w:val="0"/>
        <w:bidi w:val="0"/>
        <w:snapToGrid w:val="0"/>
        <w:spacing w:line="360" w:lineRule="auto"/>
        <w:jc w:val="center"/>
        <w:textAlignment w:val="auto"/>
        <w:outlineLvl w:val="0"/>
        <w:rPr>
          <w:rFonts w:hint="eastAsia" w:asciiTheme="minorEastAsia" w:hAnsiTheme="minorEastAsia" w:eastAsiaTheme="minorEastAsia" w:cstheme="minorEastAsia"/>
          <w:b/>
          <w:color w:val="auto"/>
          <w:kern w:val="0"/>
          <w:sz w:val="32"/>
          <w:szCs w:val="32"/>
          <w:lang w:eastAsia="zh-CN"/>
        </w:rPr>
      </w:pPr>
      <w:r>
        <w:rPr>
          <w:rFonts w:hint="eastAsia" w:asciiTheme="minorEastAsia" w:hAnsiTheme="minorEastAsia" w:eastAsiaTheme="minorEastAsia" w:cstheme="minorEastAsia"/>
          <w:b/>
          <w:color w:val="auto"/>
          <w:kern w:val="0"/>
          <w:sz w:val="32"/>
          <w:szCs w:val="32"/>
          <w:lang w:eastAsia="zh-CN"/>
        </w:rPr>
        <w:t>一、评分索引表</w:t>
      </w:r>
    </w:p>
    <w:p>
      <w:pPr>
        <w:keepNext w:val="0"/>
        <w:keepLines w:val="0"/>
        <w:pageBreakBefore w:val="0"/>
        <w:widowControl w:val="0"/>
        <w:kinsoku/>
        <w:wordWrap/>
        <w:overflowPunct/>
        <w:topLinePunct w:val="0"/>
        <w:bidi w:val="0"/>
        <w:snapToGrid w:val="0"/>
        <w:spacing w:before="50" w:after="50" w:line="360" w:lineRule="auto"/>
        <w:textAlignment w:val="auto"/>
        <w:rPr>
          <w:rFonts w:hint="eastAsia" w:asciiTheme="minorEastAsia" w:hAnsiTheme="minorEastAsia" w:eastAsiaTheme="minorEastAsia" w:cstheme="minorEastAsia"/>
          <w:b/>
          <w:color w:val="auto"/>
          <w:sz w:val="24"/>
          <w:highlight w:val="none"/>
          <w:u w:val="single"/>
        </w:rPr>
      </w:pPr>
      <w:r>
        <w:rPr>
          <w:rFonts w:hint="eastAsia" w:asciiTheme="minorEastAsia" w:hAnsiTheme="minorEastAsia" w:eastAsiaTheme="minorEastAsia" w:cstheme="minorEastAsia"/>
          <w:b/>
          <w:color w:val="auto"/>
          <w:sz w:val="24"/>
          <w:highlight w:val="none"/>
        </w:rPr>
        <w:t>投标单位名称：</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5913"/>
        <w:gridCol w:w="1276"/>
        <w:gridCol w:w="1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widowControl w:val="0"/>
              <w:kinsoku/>
              <w:wordWrap/>
              <w:overflowPunct/>
              <w:topLinePunct w:val="0"/>
              <w:bidi w:val="0"/>
              <w:spacing w:after="0"/>
              <w:ind w:left="0" w:leftChars="0"/>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序号</w:t>
            </w:r>
          </w:p>
        </w:tc>
        <w:tc>
          <w:tcPr>
            <w:tcW w:w="5913"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widowControl w:val="0"/>
              <w:kinsoku/>
              <w:wordWrap/>
              <w:overflowPunct/>
              <w:topLinePunct w:val="0"/>
              <w:bidi w:val="0"/>
              <w:spacing w:after="0"/>
              <w:ind w:left="0" w:leftChars="0"/>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评分标准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widowControl w:val="0"/>
              <w:kinsoku/>
              <w:wordWrap/>
              <w:overflowPunct/>
              <w:topLinePunct w:val="0"/>
              <w:bidi w:val="0"/>
              <w:spacing w:after="0"/>
              <w:ind w:left="0" w:leftChars="0"/>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页码</w:t>
            </w:r>
          </w:p>
        </w:tc>
        <w:tc>
          <w:tcPr>
            <w:tcW w:w="1018"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widowControl w:val="0"/>
              <w:kinsoku/>
              <w:wordWrap/>
              <w:overflowPunct/>
              <w:topLinePunct w:val="0"/>
              <w:bidi w:val="0"/>
              <w:spacing w:after="0"/>
              <w:ind w:left="0" w:leftChars="0"/>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自评分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591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（报价除外）</w:t>
            </w:r>
          </w:p>
        </w:tc>
        <w:tc>
          <w:tcPr>
            <w:tcW w:w="127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Cs/>
                <w:color w:val="auto"/>
                <w:sz w:val="24"/>
                <w:highlight w:val="none"/>
              </w:rPr>
            </w:pPr>
          </w:p>
        </w:tc>
        <w:tc>
          <w:tcPr>
            <w:tcW w:w="1018" w:type="dxa"/>
            <w:tcBorders>
              <w:top w:val="single" w:color="auto" w:sz="4" w:space="0"/>
              <w:left w:val="single" w:color="auto" w:sz="4" w:space="0"/>
              <w:right w:val="single" w:color="auto" w:sz="4" w:space="0"/>
            </w:tcBorders>
            <w:noWrap w:val="0"/>
            <w:vAlign w:val="top"/>
          </w:tcPr>
          <w:p>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591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color w:val="auto"/>
                <w:kern w:val="0"/>
                <w:sz w:val="24"/>
                <w:highlight w:val="none"/>
              </w:rPr>
            </w:pPr>
          </w:p>
        </w:tc>
        <w:tc>
          <w:tcPr>
            <w:tcW w:w="127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Cs/>
                <w:color w:val="auto"/>
                <w:sz w:val="24"/>
                <w:highlight w:val="none"/>
              </w:rPr>
            </w:pPr>
          </w:p>
        </w:tc>
        <w:tc>
          <w:tcPr>
            <w:tcW w:w="1018" w:type="dxa"/>
            <w:tcBorders>
              <w:top w:val="single" w:color="auto" w:sz="4" w:space="0"/>
              <w:left w:val="single" w:color="auto" w:sz="4" w:space="0"/>
              <w:right w:val="single" w:color="auto" w:sz="4" w:space="0"/>
            </w:tcBorders>
            <w:noWrap w:val="0"/>
            <w:vAlign w:val="top"/>
          </w:tcPr>
          <w:p>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3"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textAlignment w:val="auto"/>
              <w:rPr>
                <w:rFonts w:hint="eastAsia" w:asciiTheme="minorEastAsia" w:hAnsiTheme="minorEastAsia" w:eastAsiaTheme="minorEastAsia" w:cstheme="minorEastAsia"/>
                <w:color w:val="auto"/>
                <w:sz w:val="24"/>
                <w:highlight w:val="none"/>
              </w:rPr>
            </w:pPr>
          </w:p>
        </w:tc>
        <w:tc>
          <w:tcPr>
            <w:tcW w:w="5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ind w:left="55" w:leftChars="26"/>
              <w:textAlignment w:val="auto"/>
              <w:rPr>
                <w:rFonts w:hint="eastAsia" w:asciiTheme="minorEastAsia" w:hAnsiTheme="minorEastAsia" w:eastAsiaTheme="minorEastAsia" w:cstheme="minorEastAsia"/>
                <w:color w:val="auto"/>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Cs/>
                <w:color w:val="auto"/>
                <w:sz w:val="24"/>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textAlignment w:val="auto"/>
              <w:rPr>
                <w:rFonts w:hint="eastAsia" w:asciiTheme="minorEastAsia" w:hAnsiTheme="minorEastAsia" w:eastAsiaTheme="minorEastAsia" w:cstheme="minorEastAsia"/>
                <w:b/>
                <w:color w:val="auto"/>
                <w:sz w:val="24"/>
                <w:highlight w:val="none"/>
              </w:rPr>
            </w:pPr>
          </w:p>
        </w:tc>
        <w:tc>
          <w:tcPr>
            <w:tcW w:w="5913"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widowControl w:val="0"/>
              <w:kinsoku/>
              <w:wordWrap/>
              <w:overflowPunct/>
              <w:topLinePunct w:val="0"/>
              <w:bidi w:val="0"/>
              <w:textAlignment w:val="auto"/>
              <w:rPr>
                <w:rFonts w:hint="eastAsia" w:asciiTheme="minorEastAsia" w:hAnsiTheme="minorEastAsia" w:eastAsiaTheme="minorEastAsia" w:cstheme="minorEastAsia"/>
                <w:b/>
                <w:color w:val="auto"/>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
                <w:color w:val="auto"/>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textAlignment w:val="auto"/>
              <w:rPr>
                <w:rFonts w:hint="eastAsia" w:asciiTheme="minorEastAsia" w:hAnsiTheme="minorEastAsia" w:eastAsiaTheme="minorEastAsia" w:cstheme="minorEastAsia"/>
                <w:color w:val="auto"/>
                <w:sz w:val="24"/>
                <w:highlight w:val="none"/>
              </w:rPr>
            </w:pPr>
          </w:p>
        </w:tc>
        <w:tc>
          <w:tcPr>
            <w:tcW w:w="5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20" w:lineRule="exact"/>
              <w:textAlignment w:val="auto"/>
              <w:rPr>
                <w:rFonts w:hint="eastAsia" w:asciiTheme="minorEastAsia" w:hAnsiTheme="minorEastAsia" w:eastAsiaTheme="minorEastAsia" w:cstheme="minorEastAsia"/>
                <w:color w:val="auto"/>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Cs/>
                <w:color w:val="auto"/>
                <w:sz w:val="24"/>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textAlignment w:val="auto"/>
              <w:rPr>
                <w:rFonts w:hint="eastAsia" w:asciiTheme="minorEastAsia" w:hAnsiTheme="minorEastAsia" w:eastAsiaTheme="minorEastAsia" w:cstheme="minorEastAsia"/>
                <w:color w:val="auto"/>
                <w:sz w:val="24"/>
                <w:highlight w:val="none"/>
              </w:rPr>
            </w:pPr>
          </w:p>
        </w:tc>
        <w:tc>
          <w:tcPr>
            <w:tcW w:w="5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textAlignment w:val="auto"/>
              <w:rPr>
                <w:rFonts w:hint="eastAsia" w:asciiTheme="minorEastAsia" w:hAnsiTheme="minorEastAsia" w:eastAsiaTheme="minorEastAsia" w:cstheme="minorEastAsia"/>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color w:val="auto"/>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textAlignment w:val="auto"/>
              <w:rPr>
                <w:rFonts w:hint="eastAsia" w:asciiTheme="minorEastAsia" w:hAnsiTheme="minorEastAsia" w:eastAsiaTheme="minorEastAsia" w:cstheme="minorEastAsia"/>
                <w:color w:val="auto"/>
                <w:sz w:val="24"/>
                <w:highlight w:val="none"/>
              </w:rPr>
            </w:pPr>
          </w:p>
        </w:tc>
        <w:tc>
          <w:tcPr>
            <w:tcW w:w="5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textAlignment w:val="auto"/>
              <w:rPr>
                <w:rFonts w:hint="eastAsia" w:asciiTheme="minorEastAsia" w:hAnsiTheme="minorEastAsia" w:eastAsiaTheme="minorEastAsia" w:cstheme="minorEastAsia"/>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color w:val="auto"/>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3"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textAlignment w:val="auto"/>
              <w:rPr>
                <w:rFonts w:hint="eastAsia" w:asciiTheme="minorEastAsia" w:hAnsiTheme="minorEastAsia" w:eastAsiaTheme="minorEastAsia" w:cstheme="minorEastAsia"/>
                <w:color w:val="auto"/>
                <w:sz w:val="24"/>
                <w:highlight w:val="none"/>
              </w:rPr>
            </w:pPr>
          </w:p>
        </w:tc>
        <w:tc>
          <w:tcPr>
            <w:tcW w:w="5913"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widowControl w:val="0"/>
              <w:kinsoku/>
              <w:wordWrap/>
              <w:overflowPunct/>
              <w:topLinePunct w:val="0"/>
              <w:bidi w:val="0"/>
              <w:textAlignment w:val="auto"/>
              <w:rPr>
                <w:rFonts w:hint="eastAsia" w:asciiTheme="minorEastAsia" w:hAnsiTheme="minorEastAsia" w:eastAsiaTheme="minorEastAsia" w:cstheme="minorEastAsia"/>
                <w:color w:val="auto"/>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
                <w:color w:val="auto"/>
                <w:sz w:val="24"/>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3"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textAlignment w:val="auto"/>
              <w:rPr>
                <w:rFonts w:hint="eastAsia" w:asciiTheme="minorEastAsia" w:hAnsiTheme="minorEastAsia" w:eastAsiaTheme="minorEastAsia" w:cstheme="minorEastAsia"/>
                <w:color w:val="auto"/>
                <w:sz w:val="24"/>
                <w:highlight w:val="none"/>
              </w:rPr>
            </w:pPr>
          </w:p>
        </w:tc>
        <w:tc>
          <w:tcPr>
            <w:tcW w:w="5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textAlignment w:val="auto"/>
              <w:rPr>
                <w:rFonts w:hint="eastAsia" w:asciiTheme="minorEastAsia" w:hAnsiTheme="minorEastAsia" w:eastAsiaTheme="minorEastAsia" w:cstheme="minorEastAsia"/>
                <w:bCs/>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Cs/>
                <w:color w:val="auto"/>
                <w:sz w:val="24"/>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textAlignment w:val="auto"/>
              <w:rPr>
                <w:rFonts w:hint="eastAsia" w:asciiTheme="minorEastAsia" w:hAnsiTheme="minorEastAsia" w:eastAsiaTheme="minorEastAsia" w:cstheme="minorEastAsia"/>
                <w:color w:val="auto"/>
                <w:sz w:val="24"/>
                <w:highlight w:val="none"/>
              </w:rPr>
            </w:pPr>
          </w:p>
        </w:tc>
        <w:tc>
          <w:tcPr>
            <w:tcW w:w="5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textAlignment w:val="auto"/>
              <w:rPr>
                <w:rFonts w:hint="eastAsia" w:asciiTheme="minorEastAsia" w:hAnsiTheme="minorEastAsia" w:eastAsiaTheme="minorEastAsia" w:cstheme="minorEastAsia"/>
                <w:bCs/>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Cs/>
                <w:color w:val="auto"/>
                <w:sz w:val="24"/>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textAlignment w:val="auto"/>
              <w:rPr>
                <w:rFonts w:hint="eastAsia" w:asciiTheme="minorEastAsia" w:hAnsiTheme="minorEastAsia" w:eastAsiaTheme="minorEastAsia" w:cstheme="minorEastAsia"/>
                <w:color w:val="auto"/>
                <w:sz w:val="24"/>
                <w:highlight w:val="none"/>
              </w:rPr>
            </w:pPr>
          </w:p>
        </w:tc>
        <w:tc>
          <w:tcPr>
            <w:tcW w:w="5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textAlignment w:val="auto"/>
              <w:rPr>
                <w:rFonts w:hint="eastAsia" w:asciiTheme="minorEastAsia" w:hAnsiTheme="minorEastAsia" w:eastAsiaTheme="minorEastAsia" w:cstheme="minorEastAsia"/>
                <w:bCs/>
                <w:color w:val="auto"/>
                <w:sz w:val="24"/>
                <w:highlight w:val="none"/>
              </w:rPr>
            </w:pPr>
          </w:p>
        </w:tc>
        <w:tc>
          <w:tcPr>
            <w:tcW w:w="127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Cs/>
                <w:color w:val="auto"/>
                <w:sz w:val="24"/>
                <w:highlight w:val="none"/>
              </w:rPr>
            </w:pPr>
          </w:p>
        </w:tc>
        <w:tc>
          <w:tcPr>
            <w:tcW w:w="1018" w:type="dxa"/>
            <w:tcBorders>
              <w:top w:val="single" w:color="auto" w:sz="4" w:space="0"/>
              <w:left w:val="single" w:color="auto" w:sz="4" w:space="0"/>
              <w:right w:val="single" w:color="auto" w:sz="4" w:space="0"/>
            </w:tcBorders>
            <w:noWrap w:val="0"/>
            <w:vAlign w:val="top"/>
          </w:tcPr>
          <w:p>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Cs/>
                <w:color w:val="auto"/>
                <w:sz w:val="24"/>
                <w:highlight w:val="none"/>
              </w:rPr>
            </w:pPr>
          </w:p>
        </w:tc>
      </w:tr>
    </w:tbl>
    <w:p>
      <w:pPr>
        <w:keepNext w:val="0"/>
        <w:keepLines w:val="0"/>
        <w:pageBreakBefore w:val="0"/>
        <w:widowControl w:val="0"/>
        <w:numPr>
          <w:ilvl w:val="0"/>
          <w:numId w:val="0"/>
        </w:numPr>
        <w:kinsoku/>
        <w:wordWrap/>
        <w:overflowPunct/>
        <w:topLinePunct w:val="0"/>
        <w:bidi w:val="0"/>
        <w:snapToGrid w:val="0"/>
        <w:spacing w:line="360" w:lineRule="auto"/>
        <w:jc w:val="both"/>
        <w:textAlignment w:val="auto"/>
        <w:outlineLvl w:val="0"/>
        <w:rPr>
          <w:rFonts w:hint="eastAsia" w:asciiTheme="minorEastAsia" w:hAnsiTheme="minorEastAsia" w:eastAsiaTheme="minorEastAsia" w:cstheme="minorEastAsia"/>
          <w:b/>
          <w:color w:val="auto"/>
          <w:kern w:val="0"/>
          <w:sz w:val="32"/>
          <w:szCs w:val="32"/>
        </w:rPr>
      </w:pPr>
    </w:p>
    <w:p>
      <w:pPr>
        <w:numPr>
          <w:ilvl w:val="0"/>
          <w:numId w:val="0"/>
        </w:numPr>
        <w:snapToGrid w:val="0"/>
        <w:spacing w:line="360" w:lineRule="auto"/>
        <w:jc w:val="both"/>
        <w:outlineLvl w:val="0"/>
        <w:rPr>
          <w:rFonts w:cs="仿宋" w:asciiTheme="majorEastAsia" w:hAnsiTheme="majorEastAsia" w:eastAsiaTheme="majorEastAsia"/>
          <w:b/>
          <w:color w:val="auto"/>
          <w:kern w:val="0"/>
          <w:sz w:val="32"/>
          <w:szCs w:val="32"/>
        </w:rPr>
      </w:pPr>
    </w:p>
    <w:p>
      <w:pPr>
        <w:pStyle w:val="2"/>
        <w:rPr>
          <w:rFonts w:cs="仿宋" w:asciiTheme="majorEastAsia" w:hAnsiTheme="majorEastAsia" w:eastAsiaTheme="majorEastAsia"/>
          <w:b/>
          <w:color w:val="auto"/>
          <w:kern w:val="0"/>
          <w:sz w:val="32"/>
          <w:szCs w:val="32"/>
        </w:rPr>
      </w:pPr>
    </w:p>
    <w:p>
      <w:pPr>
        <w:pStyle w:val="2"/>
        <w:rPr>
          <w:rFonts w:cs="仿宋" w:asciiTheme="majorEastAsia" w:hAnsiTheme="majorEastAsia" w:eastAsiaTheme="majorEastAsia"/>
          <w:b/>
          <w:color w:val="auto"/>
          <w:kern w:val="0"/>
          <w:sz w:val="32"/>
          <w:szCs w:val="32"/>
        </w:rPr>
      </w:pPr>
    </w:p>
    <w:p>
      <w:pPr>
        <w:pStyle w:val="2"/>
        <w:rPr>
          <w:rFonts w:cs="仿宋" w:asciiTheme="majorEastAsia" w:hAnsiTheme="majorEastAsia" w:eastAsiaTheme="majorEastAsia"/>
          <w:b/>
          <w:color w:val="auto"/>
          <w:kern w:val="0"/>
          <w:sz w:val="32"/>
          <w:szCs w:val="32"/>
        </w:rPr>
      </w:pPr>
    </w:p>
    <w:p>
      <w:pPr>
        <w:pStyle w:val="2"/>
        <w:rPr>
          <w:rFonts w:cs="仿宋" w:asciiTheme="majorEastAsia" w:hAnsiTheme="majorEastAsia" w:eastAsiaTheme="majorEastAsia"/>
          <w:b/>
          <w:color w:val="auto"/>
          <w:kern w:val="0"/>
          <w:sz w:val="32"/>
          <w:szCs w:val="32"/>
        </w:rPr>
      </w:pPr>
    </w:p>
    <w:p>
      <w:pPr>
        <w:pStyle w:val="2"/>
        <w:rPr>
          <w:rFonts w:cs="仿宋" w:asciiTheme="majorEastAsia" w:hAnsiTheme="majorEastAsia" w:eastAsiaTheme="majorEastAsia"/>
          <w:b/>
          <w:color w:val="auto"/>
          <w:kern w:val="0"/>
          <w:sz w:val="32"/>
          <w:szCs w:val="32"/>
        </w:rPr>
      </w:pPr>
    </w:p>
    <w:p>
      <w:pPr>
        <w:pStyle w:val="2"/>
        <w:rPr>
          <w:rFonts w:cs="仿宋" w:asciiTheme="majorEastAsia" w:hAnsiTheme="majorEastAsia" w:eastAsiaTheme="majorEastAsia"/>
          <w:b/>
          <w:color w:val="auto"/>
          <w:kern w:val="0"/>
          <w:sz w:val="32"/>
          <w:szCs w:val="32"/>
        </w:rPr>
      </w:pPr>
    </w:p>
    <w:p>
      <w:pPr>
        <w:pStyle w:val="2"/>
        <w:rPr>
          <w:rFonts w:cs="仿宋" w:asciiTheme="majorEastAsia" w:hAnsiTheme="majorEastAsia" w:eastAsiaTheme="majorEastAsia"/>
          <w:b/>
          <w:color w:val="auto"/>
          <w:kern w:val="0"/>
          <w:sz w:val="32"/>
          <w:szCs w:val="32"/>
        </w:rPr>
      </w:pPr>
    </w:p>
    <w:p>
      <w:pPr>
        <w:pStyle w:val="2"/>
        <w:rPr>
          <w:rFonts w:cs="仿宋" w:asciiTheme="majorEastAsia" w:hAnsiTheme="majorEastAsia" w:eastAsiaTheme="majorEastAsia"/>
          <w:b/>
          <w:color w:val="auto"/>
          <w:kern w:val="0"/>
          <w:sz w:val="32"/>
          <w:szCs w:val="32"/>
        </w:rPr>
      </w:pPr>
    </w:p>
    <w:p>
      <w:pPr>
        <w:pStyle w:val="2"/>
        <w:rPr>
          <w:rFonts w:cs="仿宋" w:asciiTheme="majorEastAsia" w:hAnsiTheme="majorEastAsia" w:eastAsiaTheme="majorEastAsia"/>
          <w:b/>
          <w:color w:val="auto"/>
          <w:kern w:val="0"/>
          <w:sz w:val="32"/>
          <w:szCs w:val="32"/>
        </w:rPr>
      </w:pPr>
    </w:p>
    <w:p>
      <w:pPr>
        <w:pStyle w:val="2"/>
        <w:rPr>
          <w:rFonts w:cs="仿宋" w:asciiTheme="majorEastAsia" w:hAnsiTheme="majorEastAsia" w:eastAsiaTheme="majorEastAsia"/>
          <w:b/>
          <w:color w:val="auto"/>
          <w:kern w:val="0"/>
          <w:sz w:val="32"/>
          <w:szCs w:val="32"/>
        </w:rPr>
      </w:pPr>
    </w:p>
    <w:p>
      <w:pPr>
        <w:numPr>
          <w:ilvl w:val="0"/>
          <w:numId w:val="0"/>
        </w:numPr>
        <w:snapToGrid w:val="0"/>
        <w:spacing w:line="360" w:lineRule="auto"/>
        <w:jc w:val="center"/>
        <w:outlineLvl w:val="0"/>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lang w:eastAsia="zh-CN"/>
        </w:rPr>
        <w:t>二、</w:t>
      </w:r>
      <w:r>
        <w:rPr>
          <w:rFonts w:hint="eastAsia" w:cs="仿宋" w:asciiTheme="majorEastAsia" w:hAnsiTheme="majorEastAsia" w:eastAsiaTheme="majorEastAsia"/>
          <w:b/>
          <w:color w:val="auto"/>
          <w:kern w:val="0"/>
          <w:sz w:val="32"/>
          <w:szCs w:val="32"/>
        </w:rPr>
        <w:t>符合性自查表</w:t>
      </w:r>
    </w:p>
    <w:tbl>
      <w:tblPr>
        <w:tblStyle w:val="17"/>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103"/>
        <w:gridCol w:w="2518"/>
        <w:gridCol w:w="1185"/>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08" w:type="dxa"/>
            <w:vAlign w:val="center"/>
          </w:tcPr>
          <w:p>
            <w:pP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序号</w:t>
            </w:r>
          </w:p>
        </w:tc>
        <w:tc>
          <w:tcPr>
            <w:tcW w:w="4103" w:type="dxa"/>
            <w:vAlign w:val="center"/>
          </w:tcPr>
          <w:p>
            <w:pP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实质性要求</w:t>
            </w:r>
          </w:p>
        </w:tc>
        <w:tc>
          <w:tcPr>
            <w:tcW w:w="2518" w:type="dxa"/>
            <w:vAlign w:val="center"/>
          </w:tcPr>
          <w:p>
            <w:pP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需要提供的符合性审查资料</w:t>
            </w:r>
          </w:p>
        </w:tc>
        <w:tc>
          <w:tcPr>
            <w:tcW w:w="1185" w:type="dxa"/>
            <w:vAlign w:val="center"/>
          </w:tcPr>
          <w:p>
            <w:pP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自查结论</w:t>
            </w:r>
          </w:p>
        </w:tc>
        <w:tc>
          <w:tcPr>
            <w:tcW w:w="1785" w:type="dxa"/>
            <w:vAlign w:val="center"/>
          </w:tcPr>
          <w:p>
            <w:pP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投标文件中的</w:t>
            </w:r>
          </w:p>
          <w:p>
            <w:pP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pPr>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w:t>
            </w:r>
          </w:p>
        </w:tc>
        <w:tc>
          <w:tcPr>
            <w:tcW w:w="4103" w:type="dxa"/>
            <w:vAlign w:val="center"/>
          </w:tcPr>
          <w:p>
            <w:pP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投标文件按照招标文件要求签署、盖章。</w:t>
            </w:r>
          </w:p>
        </w:tc>
        <w:tc>
          <w:tcPr>
            <w:tcW w:w="2518" w:type="dxa"/>
            <w:vAlign w:val="center"/>
          </w:tcPr>
          <w:p>
            <w:pP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需要使用电子签名或者签字盖章的投标文件的组成部分</w:t>
            </w:r>
          </w:p>
        </w:tc>
        <w:tc>
          <w:tcPr>
            <w:tcW w:w="1185" w:type="dxa"/>
            <w:vAlign w:val="center"/>
          </w:tcPr>
          <w:p>
            <w:pP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□通过 </w:t>
            </w:r>
          </w:p>
          <w:p>
            <w:pP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□不通过</w:t>
            </w:r>
          </w:p>
        </w:tc>
        <w:tc>
          <w:tcPr>
            <w:tcW w:w="1785" w:type="dxa"/>
            <w:vAlign w:val="center"/>
          </w:tcPr>
          <w:p>
            <w:pPr>
              <w:spacing w:line="360" w:lineRule="auto"/>
              <w:rPr>
                <w:rFonts w:cs="仿宋" w:asciiTheme="majorEastAsia" w:hAnsiTheme="majorEastAsia" w:eastAsiaTheme="majorEastAsia"/>
                <w:color w:val="auto"/>
                <w:sz w:val="24"/>
              </w:rPr>
            </w:pPr>
          </w:p>
          <w:p>
            <w:pP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见投标文件</w:t>
            </w:r>
          </w:p>
          <w:p>
            <w:pPr>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sz w:val="24"/>
              </w:rPr>
              <w:t>第</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pPr>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w:t>
            </w:r>
          </w:p>
        </w:tc>
        <w:tc>
          <w:tcPr>
            <w:tcW w:w="4103" w:type="dxa"/>
            <w:vAlign w:val="center"/>
          </w:tcPr>
          <w:p>
            <w:pP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投标文件中承诺的投标有效期不少于招标文件中载明的投标有效期。</w:t>
            </w:r>
          </w:p>
        </w:tc>
        <w:tc>
          <w:tcPr>
            <w:tcW w:w="2518" w:type="dxa"/>
            <w:vAlign w:val="center"/>
          </w:tcPr>
          <w:p>
            <w:pP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投标函</w:t>
            </w:r>
          </w:p>
        </w:tc>
        <w:tc>
          <w:tcPr>
            <w:tcW w:w="1185" w:type="dxa"/>
            <w:vAlign w:val="center"/>
          </w:tcPr>
          <w:p>
            <w:pP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□通过 </w:t>
            </w:r>
          </w:p>
          <w:p>
            <w:pP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□不通过</w:t>
            </w:r>
          </w:p>
        </w:tc>
        <w:tc>
          <w:tcPr>
            <w:tcW w:w="1785" w:type="dxa"/>
            <w:vAlign w:val="center"/>
          </w:tcPr>
          <w:p>
            <w:pPr>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sz w:val="24"/>
              </w:rPr>
              <w:t>见投标文件第</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608" w:type="dxa"/>
            <w:vAlign w:val="center"/>
          </w:tcPr>
          <w:p>
            <w:pPr>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w:t>
            </w:r>
          </w:p>
        </w:tc>
        <w:tc>
          <w:tcPr>
            <w:tcW w:w="4103" w:type="dxa"/>
            <w:vAlign w:val="center"/>
          </w:tcPr>
          <w:p>
            <w:pP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投标文件满足招标文件的其它实质性要求。</w:t>
            </w:r>
          </w:p>
        </w:tc>
        <w:tc>
          <w:tcPr>
            <w:tcW w:w="2518" w:type="dxa"/>
            <w:vAlign w:val="center"/>
          </w:tcPr>
          <w:p>
            <w:pP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kern w:val="0"/>
                <w:sz w:val="24"/>
              </w:rPr>
              <w:t>招标文件其它实质性要求相应的材料（“▲” 系指实质性要求条款，招标文件无其它实质性要求的，无需提供）</w:t>
            </w:r>
          </w:p>
        </w:tc>
        <w:tc>
          <w:tcPr>
            <w:tcW w:w="1185" w:type="dxa"/>
            <w:vAlign w:val="center"/>
          </w:tcPr>
          <w:p>
            <w:pP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□通过 </w:t>
            </w:r>
          </w:p>
          <w:p>
            <w:pP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□不通过</w:t>
            </w:r>
          </w:p>
        </w:tc>
        <w:tc>
          <w:tcPr>
            <w:tcW w:w="1785" w:type="dxa"/>
            <w:vAlign w:val="center"/>
          </w:tcPr>
          <w:p>
            <w:pPr>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sz w:val="24"/>
              </w:rPr>
              <w:t>见投标文件第</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pPr>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w:t>
            </w:r>
          </w:p>
        </w:tc>
        <w:tc>
          <w:tcPr>
            <w:tcW w:w="4103" w:type="dxa"/>
            <w:vAlign w:val="center"/>
          </w:tcPr>
          <w:p>
            <w:pPr>
              <w:snapToGrid w:val="0"/>
              <w:spacing w:line="360" w:lineRule="auto"/>
              <w:jc w:val="left"/>
              <w:rPr>
                <w:rFonts w:cs="仿宋" w:asciiTheme="majorEastAsia" w:hAnsiTheme="majorEastAsia" w:eastAsiaTheme="majorEastAsia"/>
                <w:bCs/>
                <w:color w:val="auto"/>
                <w:sz w:val="24"/>
              </w:rPr>
            </w:pPr>
            <w:r>
              <w:rPr>
                <w:rFonts w:hint="eastAsia" w:cs="仿宋" w:asciiTheme="majorEastAsia" w:hAnsiTheme="majorEastAsia" w:eastAsiaTheme="majorEastAsia"/>
                <w:bCs/>
                <w:color w:val="auto"/>
                <w:sz w:val="24"/>
              </w:rPr>
              <w:t>投标文件没有招标文件中规定的其它无效投标条款的。</w:t>
            </w:r>
          </w:p>
        </w:tc>
        <w:tc>
          <w:tcPr>
            <w:tcW w:w="2518" w:type="dxa"/>
            <w:vAlign w:val="center"/>
          </w:tcPr>
          <w:p>
            <w:pPr>
              <w:spacing w:line="360" w:lineRule="auto"/>
              <w:rPr>
                <w:rFonts w:cs="仿宋" w:asciiTheme="majorEastAsia" w:hAnsiTheme="majorEastAsia" w:eastAsiaTheme="majorEastAsia"/>
                <w:color w:val="auto"/>
                <w:kern w:val="0"/>
                <w:sz w:val="24"/>
              </w:rPr>
            </w:pPr>
          </w:p>
        </w:tc>
        <w:tc>
          <w:tcPr>
            <w:tcW w:w="1185" w:type="dxa"/>
            <w:vAlign w:val="center"/>
          </w:tcPr>
          <w:p>
            <w:pP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□通过 </w:t>
            </w:r>
          </w:p>
          <w:p>
            <w:pP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sym w:font="Wingdings 2" w:char="00A3"/>
            </w:r>
            <w:r>
              <w:rPr>
                <w:rFonts w:hint="eastAsia" w:cs="仿宋" w:asciiTheme="majorEastAsia" w:hAnsiTheme="majorEastAsia" w:eastAsiaTheme="majorEastAsia"/>
                <w:color w:val="auto"/>
                <w:sz w:val="24"/>
              </w:rPr>
              <w:t>不通过</w:t>
            </w:r>
          </w:p>
        </w:tc>
        <w:tc>
          <w:tcPr>
            <w:tcW w:w="1785" w:type="dxa"/>
            <w:vAlign w:val="center"/>
          </w:tcPr>
          <w:p>
            <w:pP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见投标文件第</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pPr>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w:t>
            </w:r>
          </w:p>
        </w:tc>
        <w:tc>
          <w:tcPr>
            <w:tcW w:w="4103" w:type="dxa"/>
            <w:vAlign w:val="center"/>
          </w:tcPr>
          <w:p>
            <w:pPr>
              <w:snapToGrid w:val="0"/>
              <w:spacing w:line="360" w:lineRule="auto"/>
              <w:jc w:val="left"/>
              <w:rPr>
                <w:rFonts w:cs="仿宋" w:asciiTheme="majorEastAsia" w:hAnsiTheme="majorEastAsia" w:eastAsiaTheme="majorEastAsia"/>
                <w:bCs/>
                <w:color w:val="auto"/>
                <w:sz w:val="24"/>
              </w:rPr>
            </w:pPr>
            <w:r>
              <w:rPr>
                <w:rFonts w:hint="eastAsia" w:cs="仿宋" w:asciiTheme="majorEastAsia" w:hAnsiTheme="majorEastAsia" w:eastAsiaTheme="majorEastAsia"/>
                <w:bCs/>
                <w:color w:val="auto"/>
                <w:sz w:val="24"/>
              </w:rPr>
              <w:t>按有关法律、法规、规章不属于投标无效的。</w:t>
            </w:r>
          </w:p>
        </w:tc>
        <w:tc>
          <w:tcPr>
            <w:tcW w:w="2518" w:type="dxa"/>
            <w:vAlign w:val="center"/>
          </w:tcPr>
          <w:p>
            <w:pPr>
              <w:spacing w:line="360" w:lineRule="auto"/>
              <w:rPr>
                <w:rFonts w:cs="仿宋" w:asciiTheme="majorEastAsia" w:hAnsiTheme="majorEastAsia" w:eastAsiaTheme="majorEastAsia"/>
                <w:color w:val="auto"/>
                <w:kern w:val="0"/>
                <w:sz w:val="24"/>
              </w:rPr>
            </w:pPr>
          </w:p>
        </w:tc>
        <w:tc>
          <w:tcPr>
            <w:tcW w:w="1185" w:type="dxa"/>
            <w:vAlign w:val="center"/>
          </w:tcPr>
          <w:p>
            <w:pP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□通过 </w:t>
            </w:r>
          </w:p>
          <w:p>
            <w:pP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□不通过</w:t>
            </w:r>
          </w:p>
        </w:tc>
        <w:tc>
          <w:tcPr>
            <w:tcW w:w="1785" w:type="dxa"/>
            <w:vAlign w:val="center"/>
          </w:tcPr>
          <w:p>
            <w:pP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见投标文件第</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08" w:type="dxa"/>
            <w:vAlign w:val="center"/>
          </w:tcPr>
          <w:p>
            <w:pPr>
              <w:spacing w:line="360" w:lineRule="auto"/>
              <w:jc w:val="center"/>
              <w:rPr>
                <w:rFonts w:cs="仿宋" w:asciiTheme="majorEastAsia" w:hAnsiTheme="majorEastAsia" w:eastAsiaTheme="majorEastAsia"/>
                <w:color w:val="auto"/>
                <w:sz w:val="24"/>
              </w:rPr>
            </w:pPr>
          </w:p>
        </w:tc>
        <w:tc>
          <w:tcPr>
            <w:tcW w:w="4103" w:type="dxa"/>
            <w:vAlign w:val="center"/>
          </w:tcPr>
          <w:p>
            <w:pP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w:t>
            </w:r>
          </w:p>
        </w:tc>
        <w:tc>
          <w:tcPr>
            <w:tcW w:w="2518" w:type="dxa"/>
            <w:vAlign w:val="center"/>
          </w:tcPr>
          <w:p>
            <w:pPr>
              <w:spacing w:line="360" w:lineRule="auto"/>
              <w:rPr>
                <w:rFonts w:cs="仿宋" w:asciiTheme="majorEastAsia" w:hAnsiTheme="majorEastAsia" w:eastAsiaTheme="majorEastAsia"/>
                <w:color w:val="auto"/>
                <w:kern w:val="0"/>
                <w:sz w:val="24"/>
              </w:rPr>
            </w:pPr>
          </w:p>
        </w:tc>
        <w:tc>
          <w:tcPr>
            <w:tcW w:w="1185" w:type="dxa"/>
          </w:tcPr>
          <w:p>
            <w:pPr>
              <w:spacing w:line="360" w:lineRule="auto"/>
              <w:rPr>
                <w:rFonts w:cs="仿宋" w:asciiTheme="majorEastAsia" w:hAnsiTheme="majorEastAsia" w:eastAsiaTheme="majorEastAsia"/>
                <w:color w:val="auto"/>
                <w:sz w:val="24"/>
              </w:rPr>
            </w:pPr>
          </w:p>
        </w:tc>
        <w:tc>
          <w:tcPr>
            <w:tcW w:w="1785" w:type="dxa"/>
            <w:vAlign w:val="center"/>
          </w:tcPr>
          <w:p>
            <w:pPr>
              <w:spacing w:line="360" w:lineRule="auto"/>
              <w:rPr>
                <w:rFonts w:cs="仿宋" w:asciiTheme="majorEastAsia" w:hAnsiTheme="majorEastAsia" w:eastAsiaTheme="majorEastAsia"/>
                <w:color w:val="auto"/>
                <w:sz w:val="24"/>
              </w:rPr>
            </w:pPr>
          </w:p>
        </w:tc>
      </w:tr>
    </w:tbl>
    <w:p>
      <w:pPr>
        <w:snapToGrid w:val="0"/>
        <w:spacing w:line="360" w:lineRule="auto"/>
        <w:jc w:val="left"/>
        <w:rPr>
          <w:rFonts w:cs="仿宋" w:asciiTheme="majorEastAsia" w:hAnsiTheme="majorEastAsia" w:eastAsiaTheme="majorEastAsia"/>
          <w:b/>
          <w:color w:val="auto"/>
          <w:sz w:val="32"/>
          <w:szCs w:val="32"/>
        </w:rPr>
      </w:pPr>
      <w:r>
        <w:rPr>
          <w:rFonts w:hint="eastAsia" w:cs="仿宋" w:asciiTheme="majorEastAsia" w:hAnsiTheme="majorEastAsia" w:eastAsiaTheme="majorEastAsia"/>
          <w:b/>
          <w:color w:val="auto"/>
          <w:sz w:val="24"/>
        </w:rPr>
        <w:t xml:space="preserve">备注：投标人自查表将作为投标投标人有效性审查的重要内容之一，投标投标人必须严格按照其内容及序列要求在投标文件中对应如实提供，对资格性证明文件的任何缺漏和不符合项将会直接导致投标无效！ </w:t>
      </w:r>
    </w:p>
    <w:p>
      <w:pPr>
        <w:numPr>
          <w:ilvl w:val="0"/>
          <w:numId w:val="0"/>
        </w:numPr>
        <w:snapToGrid w:val="0"/>
        <w:spacing w:line="360" w:lineRule="auto"/>
        <w:jc w:val="center"/>
        <w:outlineLvl w:val="0"/>
        <w:rPr>
          <w:rFonts w:cs="仿宋" w:asciiTheme="majorEastAsia" w:hAnsiTheme="majorEastAsia" w:eastAsiaTheme="majorEastAsia"/>
          <w:b/>
          <w:color w:val="auto"/>
          <w:sz w:val="32"/>
          <w:szCs w:val="32"/>
        </w:rPr>
      </w:pPr>
      <w:r>
        <w:rPr>
          <w:rFonts w:hint="eastAsia" w:cs="仿宋" w:asciiTheme="majorEastAsia" w:hAnsiTheme="majorEastAsia" w:eastAsiaTheme="majorEastAsia"/>
          <w:b/>
          <w:color w:val="auto"/>
          <w:kern w:val="0"/>
          <w:sz w:val="32"/>
          <w:szCs w:val="32"/>
        </w:rPr>
        <w:br w:type="page"/>
      </w:r>
      <w:r>
        <w:rPr>
          <w:rFonts w:hint="eastAsia" w:cs="仿宋" w:asciiTheme="majorEastAsia" w:hAnsiTheme="majorEastAsia" w:eastAsiaTheme="majorEastAsia"/>
          <w:b/>
          <w:color w:val="auto"/>
          <w:kern w:val="0"/>
          <w:sz w:val="32"/>
          <w:szCs w:val="32"/>
          <w:lang w:eastAsia="zh-CN"/>
        </w:rPr>
        <w:t>三、</w:t>
      </w:r>
      <w:r>
        <w:rPr>
          <w:rFonts w:hint="eastAsia" w:cs="仿宋" w:asciiTheme="majorEastAsia" w:hAnsiTheme="majorEastAsia" w:eastAsiaTheme="majorEastAsia"/>
          <w:b/>
          <w:color w:val="auto"/>
          <w:kern w:val="0"/>
          <w:sz w:val="32"/>
          <w:szCs w:val="32"/>
        </w:rPr>
        <w:t>投标</w:t>
      </w:r>
      <w:r>
        <w:rPr>
          <w:rFonts w:hint="eastAsia" w:cs="仿宋" w:asciiTheme="majorEastAsia" w:hAnsiTheme="majorEastAsia" w:eastAsiaTheme="majorEastAsia"/>
          <w:b/>
          <w:color w:val="auto"/>
          <w:sz w:val="32"/>
          <w:szCs w:val="32"/>
        </w:rPr>
        <w:t>函</w:t>
      </w:r>
    </w:p>
    <w:p>
      <w:pPr>
        <w:snapToGrid w:val="0"/>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（采购人）、（采购代理机构）：</w:t>
      </w:r>
    </w:p>
    <w:p>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我方参加你方组织的（项目名称）【招标编号：（采购编号）】招标的有关活动，并对此项目进行投标。为此：</w:t>
      </w:r>
    </w:p>
    <w:p>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1、我方承诺投标有效期从提交投标文件的截止之日起</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天（不少于90天）</w:t>
      </w:r>
      <w:r>
        <w:rPr>
          <w:rFonts w:hint="eastAsia" w:cs="仿宋" w:asciiTheme="majorEastAsia" w:hAnsiTheme="majorEastAsia" w:eastAsiaTheme="majorEastAsia"/>
          <w:color w:val="auto"/>
        </w:rPr>
        <w:t>，</w:t>
      </w:r>
      <w:r>
        <w:rPr>
          <w:rFonts w:hint="eastAsia" w:cs="仿宋" w:asciiTheme="majorEastAsia" w:hAnsiTheme="majorEastAsia" w:eastAsiaTheme="majorEastAsia"/>
          <w:color w:val="auto"/>
          <w:sz w:val="24"/>
        </w:rPr>
        <w:t>本投标文件在投标有效期满之前均具有约束力。</w:t>
      </w:r>
    </w:p>
    <w:p>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2、我方的投标文件包括以下内容：</w:t>
      </w:r>
    </w:p>
    <w:p>
      <w:pPr>
        <w:snapToGrid w:val="0"/>
        <w:spacing w:line="360" w:lineRule="auto"/>
        <w:ind w:left="210" w:leftChars="1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2.1资格文件：</w:t>
      </w:r>
    </w:p>
    <w:p>
      <w:pP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2.1.1有效的企业法人营业执照（或事业法人登记证）、其他组织（个体工商户）的营业执照或者民办非企业单位登记证书；</w:t>
      </w:r>
    </w:p>
    <w:p>
      <w:pP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2.1.2符合参加政府采购活动应当具备的一般条件的承诺函；</w:t>
      </w:r>
    </w:p>
    <w:p>
      <w:pPr>
        <w:snapToGrid w:val="0"/>
        <w:spacing w:line="360" w:lineRule="auto"/>
        <w:ind w:firstLine="960" w:firstLineChars="4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2.1.3落实政府采购政策需满足的资格要求（如果有）；</w:t>
      </w:r>
    </w:p>
    <w:p>
      <w:pPr>
        <w:snapToGrid w:val="0"/>
        <w:spacing w:line="360" w:lineRule="auto"/>
        <w:ind w:firstLine="960" w:firstLineChars="400"/>
        <w:rPr>
          <w:rFonts w:cs="仿宋" w:asciiTheme="majorEastAsia" w:hAnsiTheme="majorEastAsia" w:eastAsiaTheme="majorEastAsia"/>
          <w:color w:val="auto"/>
        </w:rPr>
      </w:pPr>
      <w:r>
        <w:rPr>
          <w:rFonts w:hint="eastAsia" w:cs="仿宋" w:asciiTheme="majorEastAsia" w:hAnsiTheme="majorEastAsia" w:eastAsiaTheme="majorEastAsia"/>
          <w:color w:val="auto"/>
          <w:sz w:val="24"/>
        </w:rPr>
        <w:t>2.1.</w:t>
      </w:r>
      <w:r>
        <w:rPr>
          <w:rFonts w:hint="eastAsia" w:cs="仿宋" w:asciiTheme="majorEastAsia" w:hAnsiTheme="majorEastAsia" w:eastAsiaTheme="majorEastAsia"/>
          <w:color w:val="auto"/>
          <w:sz w:val="24"/>
          <w:lang w:val="en-US" w:eastAsia="zh-CN"/>
        </w:rPr>
        <w:t>4</w:t>
      </w:r>
      <w:r>
        <w:rPr>
          <w:rFonts w:hint="eastAsia" w:cs="仿宋" w:asciiTheme="majorEastAsia" w:hAnsiTheme="majorEastAsia" w:eastAsiaTheme="majorEastAsia"/>
          <w:color w:val="auto"/>
          <w:sz w:val="24"/>
        </w:rPr>
        <w:t>本项目的特定资格要求。</w:t>
      </w:r>
    </w:p>
    <w:p>
      <w:pPr>
        <w:snapToGrid w:val="0"/>
        <w:spacing w:line="360" w:lineRule="auto"/>
        <w:ind w:left="210" w:leftChars="100"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 xml:space="preserve"> </w:t>
      </w:r>
      <w:r>
        <w:rPr>
          <w:rFonts w:hint="eastAsia" w:cs="仿宋" w:asciiTheme="majorEastAsia" w:hAnsiTheme="majorEastAsia" w:eastAsiaTheme="majorEastAsia"/>
          <w:color w:val="auto"/>
          <w:sz w:val="24"/>
        </w:rPr>
        <w:t>商务技术</w:t>
      </w:r>
      <w:r>
        <w:rPr>
          <w:rFonts w:hint="eastAsia" w:cs="仿宋" w:asciiTheme="majorEastAsia" w:hAnsiTheme="majorEastAsia" w:eastAsiaTheme="majorEastAsia"/>
          <w:color w:val="auto"/>
          <w:sz w:val="24"/>
          <w:lang w:val="zh-CN"/>
        </w:rPr>
        <w:t>文件：</w:t>
      </w:r>
    </w:p>
    <w:p>
      <w:pPr>
        <w:keepNext w:val="0"/>
        <w:keepLines w:val="0"/>
        <w:pageBreakBefore w:val="0"/>
        <w:widowControl w:val="0"/>
        <w:kinsoku/>
        <w:wordWrap/>
        <w:overflowPunct/>
        <w:topLinePunct w:val="0"/>
        <w:bidi w:val="0"/>
        <w:snapToGrid w:val="0"/>
        <w:spacing w:line="360" w:lineRule="auto"/>
        <w:ind w:left="420" w:leftChars="200"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2.2.1 评分索引表；</w:t>
      </w:r>
    </w:p>
    <w:p>
      <w:pPr>
        <w:keepNext w:val="0"/>
        <w:keepLines w:val="0"/>
        <w:pageBreakBefore w:val="0"/>
        <w:widowControl w:val="0"/>
        <w:kinsoku/>
        <w:wordWrap/>
        <w:overflowPunct/>
        <w:topLinePunct w:val="0"/>
        <w:bidi w:val="0"/>
        <w:snapToGrid w:val="0"/>
        <w:spacing w:line="360" w:lineRule="auto"/>
        <w:ind w:left="420" w:leftChars="200"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w:t>
      </w: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 xml:space="preserve"> 符合性自查表；</w:t>
      </w:r>
    </w:p>
    <w:p>
      <w:pPr>
        <w:keepNext w:val="0"/>
        <w:keepLines w:val="0"/>
        <w:pageBreakBefore w:val="0"/>
        <w:widowControl w:val="0"/>
        <w:kinsoku/>
        <w:wordWrap/>
        <w:overflowPunct/>
        <w:topLinePunct w:val="0"/>
        <w:bidi w:val="0"/>
        <w:snapToGrid w:val="0"/>
        <w:spacing w:line="360" w:lineRule="auto"/>
        <w:ind w:left="420" w:leftChars="200" w:firstLine="480" w:firstLineChars="200"/>
        <w:textAlignment w:val="auto"/>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sz w:val="24"/>
        </w:rPr>
        <w:t>2.2.</w:t>
      </w:r>
      <w:r>
        <w:rPr>
          <w:rFonts w:hint="eastAsia" w:asciiTheme="minorEastAsia" w:hAnsiTheme="minorEastAsia" w:eastAsiaTheme="minorEastAsia" w:cstheme="minorEastAsia"/>
          <w:color w:val="auto"/>
          <w:sz w:val="24"/>
          <w:lang w:val="en-US" w:eastAsia="zh-CN"/>
        </w:rPr>
        <w:t>3</w:t>
      </w:r>
      <w:r>
        <w:rPr>
          <w:rFonts w:hint="eastAsia" w:asciiTheme="minorEastAsia" w:hAnsiTheme="minorEastAsia" w:eastAsiaTheme="minorEastAsia" w:cstheme="minorEastAsia"/>
          <w:color w:val="auto"/>
          <w:sz w:val="24"/>
        </w:rPr>
        <w:t xml:space="preserve"> 投标函；</w:t>
      </w:r>
      <w:r>
        <w:rPr>
          <w:rFonts w:hint="eastAsia" w:asciiTheme="minorEastAsia" w:hAnsiTheme="minorEastAsia" w:eastAsiaTheme="minorEastAsia" w:cstheme="minorEastAsia"/>
          <w:color w:val="auto"/>
          <w:sz w:val="24"/>
          <w:lang w:val="zh-CN"/>
        </w:rPr>
        <w:t xml:space="preserve"> </w:t>
      </w:r>
    </w:p>
    <w:p>
      <w:pPr>
        <w:keepNext w:val="0"/>
        <w:keepLines w:val="0"/>
        <w:pageBreakBefore w:val="0"/>
        <w:widowControl w:val="0"/>
        <w:kinsoku/>
        <w:wordWrap/>
        <w:overflowPunct/>
        <w:topLinePunct w:val="0"/>
        <w:bidi w:val="0"/>
        <w:snapToGrid w:val="0"/>
        <w:spacing w:line="360" w:lineRule="auto"/>
        <w:ind w:left="420" w:leftChars="200"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w:t>
      </w:r>
      <w:r>
        <w:rPr>
          <w:rFonts w:hint="eastAsia" w:asciiTheme="minorEastAsia" w:hAnsiTheme="minorEastAsia" w:eastAsiaTheme="minorEastAsia" w:cstheme="minorEastAsia"/>
          <w:color w:val="auto"/>
          <w:sz w:val="24"/>
          <w:lang w:val="en-US" w:eastAsia="zh-CN"/>
        </w:rPr>
        <w:t>4</w:t>
      </w:r>
      <w:r>
        <w:rPr>
          <w:rFonts w:hint="eastAsia" w:asciiTheme="minorEastAsia" w:hAnsiTheme="minorEastAsia" w:eastAsiaTheme="minorEastAsia" w:cstheme="minorEastAsia"/>
          <w:color w:val="auto"/>
          <w:sz w:val="24"/>
        </w:rPr>
        <w:t xml:space="preserve"> 授权委托书；</w:t>
      </w:r>
    </w:p>
    <w:p>
      <w:pPr>
        <w:keepNext w:val="0"/>
        <w:keepLines w:val="0"/>
        <w:pageBreakBefore w:val="0"/>
        <w:widowControl w:val="0"/>
        <w:kinsoku/>
        <w:wordWrap/>
        <w:overflowPunct/>
        <w:topLinePunct w:val="0"/>
        <w:bidi w:val="0"/>
        <w:snapToGrid w:val="0"/>
        <w:spacing w:line="360" w:lineRule="auto"/>
        <w:ind w:left="420" w:leftChars="200"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w:t>
      </w:r>
      <w:r>
        <w:rPr>
          <w:rFonts w:hint="eastAsia" w:asciiTheme="minorEastAsia" w:hAnsiTheme="minorEastAsia" w:eastAsiaTheme="minorEastAsia" w:cstheme="minorEastAsia"/>
          <w:color w:val="auto"/>
          <w:sz w:val="24"/>
          <w:lang w:val="en-US" w:eastAsia="zh-CN"/>
        </w:rPr>
        <w:t>5</w:t>
      </w:r>
      <w:r>
        <w:rPr>
          <w:rFonts w:hint="eastAsia" w:asciiTheme="minorEastAsia" w:hAnsiTheme="minorEastAsia" w:eastAsiaTheme="minorEastAsia" w:cstheme="minorEastAsia"/>
          <w:color w:val="auto"/>
          <w:sz w:val="24"/>
        </w:rPr>
        <w:t xml:space="preserve"> 供应商情况表；</w:t>
      </w:r>
    </w:p>
    <w:p>
      <w:pPr>
        <w:keepNext w:val="0"/>
        <w:keepLines w:val="0"/>
        <w:pageBreakBefore w:val="0"/>
        <w:widowControl w:val="0"/>
        <w:kinsoku/>
        <w:wordWrap/>
        <w:overflowPunct/>
        <w:topLinePunct w:val="0"/>
        <w:bidi w:val="0"/>
        <w:snapToGrid w:val="0"/>
        <w:spacing w:line="360" w:lineRule="auto"/>
        <w:ind w:left="420" w:leftChars="200"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w:t>
      </w:r>
      <w:r>
        <w:rPr>
          <w:rFonts w:hint="eastAsia" w:asciiTheme="minorEastAsia" w:hAnsiTheme="minorEastAsia" w:eastAsiaTheme="minorEastAsia" w:cstheme="minorEastAsia"/>
          <w:color w:val="auto"/>
          <w:sz w:val="24"/>
          <w:lang w:val="en-US" w:eastAsia="zh-CN"/>
        </w:rPr>
        <w:t>6</w:t>
      </w:r>
      <w:r>
        <w:rPr>
          <w:rFonts w:hint="eastAsia" w:asciiTheme="minorEastAsia" w:hAnsiTheme="minorEastAsia" w:eastAsiaTheme="minorEastAsia" w:cstheme="minorEastAsia"/>
          <w:color w:val="auto"/>
          <w:sz w:val="24"/>
        </w:rPr>
        <w:t xml:space="preserve"> 距采购人最近或者能为本项目提供最优服务的网点情况表；</w:t>
      </w:r>
    </w:p>
    <w:p>
      <w:pPr>
        <w:keepNext w:val="0"/>
        <w:keepLines w:val="0"/>
        <w:pageBreakBefore w:val="0"/>
        <w:widowControl w:val="0"/>
        <w:kinsoku/>
        <w:wordWrap/>
        <w:overflowPunct/>
        <w:topLinePunct w:val="0"/>
        <w:bidi w:val="0"/>
        <w:snapToGrid w:val="0"/>
        <w:spacing w:line="360" w:lineRule="auto"/>
        <w:ind w:left="420" w:leftChars="200"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w:t>
      </w:r>
      <w:r>
        <w:rPr>
          <w:rFonts w:hint="eastAsia" w:asciiTheme="minorEastAsia" w:hAnsiTheme="minorEastAsia" w:eastAsiaTheme="minorEastAsia" w:cstheme="minorEastAsia"/>
          <w:color w:val="auto"/>
          <w:sz w:val="24"/>
          <w:lang w:val="en-US" w:eastAsia="zh-CN"/>
        </w:rPr>
        <w:t>7</w:t>
      </w:r>
      <w:r>
        <w:rPr>
          <w:rFonts w:hint="eastAsia" w:asciiTheme="minorEastAsia" w:hAnsiTheme="minorEastAsia" w:eastAsiaTheme="minorEastAsia" w:cstheme="minorEastAsia"/>
          <w:color w:val="auto"/>
          <w:sz w:val="24"/>
        </w:rPr>
        <w:t xml:space="preserve"> 评标标准相应的商务技术资料；</w:t>
      </w:r>
    </w:p>
    <w:p>
      <w:pPr>
        <w:keepNext w:val="0"/>
        <w:keepLines w:val="0"/>
        <w:pageBreakBefore w:val="0"/>
        <w:widowControl w:val="0"/>
        <w:kinsoku/>
        <w:wordWrap/>
        <w:overflowPunct/>
        <w:topLinePunct w:val="0"/>
        <w:bidi w:val="0"/>
        <w:snapToGrid w:val="0"/>
        <w:spacing w:line="360" w:lineRule="auto"/>
        <w:ind w:left="420" w:leftChars="200"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lang w:val="en-US" w:eastAsia="zh-CN"/>
        </w:rPr>
        <w:t>8</w:t>
      </w:r>
      <w:r>
        <w:rPr>
          <w:rFonts w:hint="eastAsia" w:asciiTheme="minorEastAsia" w:hAnsiTheme="minorEastAsia" w:eastAsiaTheme="minorEastAsia" w:cstheme="minorEastAsia"/>
          <w:color w:val="auto"/>
          <w:sz w:val="24"/>
        </w:rPr>
        <w:t xml:space="preserve"> 商务</w:t>
      </w:r>
      <w:r>
        <w:rPr>
          <w:rFonts w:hint="eastAsia" w:asciiTheme="minorEastAsia" w:hAnsiTheme="minorEastAsia" w:eastAsiaTheme="minorEastAsia" w:cstheme="minorEastAsia"/>
          <w:color w:val="auto"/>
          <w:sz w:val="24"/>
          <w:lang w:eastAsia="zh-CN"/>
        </w:rPr>
        <w:t>响应</w:t>
      </w:r>
      <w:r>
        <w:rPr>
          <w:rFonts w:hint="eastAsia" w:asciiTheme="minorEastAsia" w:hAnsiTheme="minorEastAsia" w:eastAsiaTheme="minorEastAsia" w:cstheme="minorEastAsia"/>
          <w:color w:val="auto"/>
          <w:sz w:val="24"/>
        </w:rPr>
        <w:t>表；</w:t>
      </w:r>
    </w:p>
    <w:p>
      <w:pPr>
        <w:keepNext w:val="0"/>
        <w:keepLines w:val="0"/>
        <w:pageBreakBefore w:val="0"/>
        <w:widowControl w:val="0"/>
        <w:kinsoku/>
        <w:wordWrap/>
        <w:overflowPunct/>
        <w:topLinePunct w:val="0"/>
        <w:bidi w:val="0"/>
        <w:snapToGrid w:val="0"/>
        <w:spacing w:line="360" w:lineRule="auto"/>
        <w:ind w:left="420" w:leftChars="200"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lang w:val="en-US" w:eastAsia="zh-CN"/>
        </w:rPr>
        <w:t>9</w:t>
      </w:r>
      <w:r>
        <w:rPr>
          <w:rFonts w:hint="eastAsia" w:asciiTheme="minorEastAsia" w:hAnsiTheme="minorEastAsia" w:eastAsiaTheme="minorEastAsia" w:cstheme="minorEastAsia"/>
          <w:color w:val="auto"/>
          <w:sz w:val="24"/>
        </w:rPr>
        <w:t xml:space="preserve"> 技术</w:t>
      </w:r>
      <w:r>
        <w:rPr>
          <w:rFonts w:hint="eastAsia" w:asciiTheme="minorEastAsia" w:hAnsiTheme="minorEastAsia" w:eastAsiaTheme="minorEastAsia" w:cstheme="minorEastAsia"/>
          <w:color w:val="auto"/>
          <w:sz w:val="24"/>
          <w:lang w:eastAsia="zh-CN"/>
        </w:rPr>
        <w:t>响应</w:t>
      </w:r>
      <w:r>
        <w:rPr>
          <w:rFonts w:hint="eastAsia" w:asciiTheme="minorEastAsia" w:hAnsiTheme="minorEastAsia" w:eastAsiaTheme="minorEastAsia" w:cstheme="minorEastAsia"/>
          <w:color w:val="auto"/>
          <w:sz w:val="24"/>
        </w:rPr>
        <w:t>表；</w:t>
      </w:r>
    </w:p>
    <w:p>
      <w:pPr>
        <w:keepNext w:val="0"/>
        <w:keepLines w:val="0"/>
        <w:pageBreakBefore w:val="0"/>
        <w:widowControl w:val="0"/>
        <w:kinsoku/>
        <w:wordWrap/>
        <w:overflowPunct/>
        <w:topLinePunct w:val="0"/>
        <w:bidi w:val="0"/>
        <w:snapToGrid w:val="0"/>
        <w:spacing w:line="360" w:lineRule="auto"/>
        <w:ind w:left="420" w:leftChars="200"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lang w:val="en-US" w:eastAsia="zh-CN"/>
        </w:rPr>
        <w:t>10</w:t>
      </w:r>
      <w:r>
        <w:rPr>
          <w:rFonts w:hint="eastAsia" w:asciiTheme="minorEastAsia" w:hAnsiTheme="minorEastAsia" w:eastAsiaTheme="minorEastAsia" w:cstheme="minorEastAsia"/>
          <w:color w:val="auto"/>
          <w:sz w:val="24"/>
        </w:rPr>
        <w:t xml:space="preserve"> 同类业绩情况一览表；</w:t>
      </w:r>
    </w:p>
    <w:p>
      <w:pPr>
        <w:keepNext w:val="0"/>
        <w:keepLines w:val="0"/>
        <w:pageBreakBefore w:val="0"/>
        <w:widowControl w:val="0"/>
        <w:kinsoku/>
        <w:wordWrap/>
        <w:overflowPunct/>
        <w:topLinePunct w:val="0"/>
        <w:bidi w:val="0"/>
        <w:snapToGrid w:val="0"/>
        <w:spacing w:line="360" w:lineRule="auto"/>
        <w:ind w:left="420" w:leftChars="200" w:firstLine="480" w:firstLineChars="200"/>
        <w:textAlignment w:val="auto"/>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rPr>
        <w:t>2.2.1</w:t>
      </w:r>
      <w:r>
        <w:rPr>
          <w:rFonts w:hint="eastAsia" w:asciiTheme="minorEastAsia" w:hAnsiTheme="minorEastAsia" w:eastAsiaTheme="minorEastAsia" w:cstheme="minorEastAsia"/>
          <w:color w:val="auto"/>
          <w:sz w:val="24"/>
          <w:lang w:val="en-US" w:eastAsia="zh-CN"/>
        </w:rPr>
        <w:t xml:space="preserve">1 </w:t>
      </w:r>
      <w:r>
        <w:rPr>
          <w:rFonts w:hint="eastAsia" w:asciiTheme="minorEastAsia" w:hAnsiTheme="minorEastAsia" w:eastAsiaTheme="minorEastAsia" w:cstheme="minorEastAsia"/>
          <w:color w:val="auto"/>
          <w:sz w:val="24"/>
          <w:lang w:val="zh-CN"/>
        </w:rPr>
        <w:t>政府采购供应商廉洁自律承诺书；</w:t>
      </w:r>
    </w:p>
    <w:p>
      <w:pPr>
        <w:keepNext w:val="0"/>
        <w:keepLines w:val="0"/>
        <w:pageBreakBefore w:val="0"/>
        <w:widowControl w:val="0"/>
        <w:kinsoku/>
        <w:wordWrap/>
        <w:overflowPunct/>
        <w:topLinePunct w:val="0"/>
        <w:bidi w:val="0"/>
        <w:snapToGrid w:val="0"/>
        <w:spacing w:line="360" w:lineRule="auto"/>
        <w:ind w:left="420" w:leftChars="20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2.2.1</w:t>
      </w: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 xml:space="preserve"> 其他资料。</w:t>
      </w:r>
    </w:p>
    <w:p>
      <w:pPr>
        <w:snapToGrid w:val="0"/>
        <w:spacing w:line="360" w:lineRule="auto"/>
        <w:ind w:left="210" w:leftChars="1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3报价文件</w:t>
      </w:r>
    </w:p>
    <w:p>
      <w:pPr>
        <w:snapToGrid w:val="0"/>
        <w:spacing w:line="360" w:lineRule="auto"/>
        <w:ind w:firstLine="960" w:firstLineChars="4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2.3.1 开标一览表；</w:t>
      </w:r>
    </w:p>
    <w:p>
      <w:pPr>
        <w:snapToGrid w:val="0"/>
        <w:spacing w:line="360" w:lineRule="auto"/>
        <w:ind w:firstLine="960" w:firstLineChars="4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2.3.2投标报价明细表；</w:t>
      </w:r>
    </w:p>
    <w:p>
      <w:pPr>
        <w:snapToGrid w:val="0"/>
        <w:spacing w:line="360" w:lineRule="auto"/>
        <w:ind w:firstLine="960" w:firstLineChars="4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2.3.3 中小企业声明函（如有）；</w:t>
      </w:r>
    </w:p>
    <w:p>
      <w:pPr>
        <w:snapToGrid w:val="0"/>
        <w:spacing w:line="360" w:lineRule="auto"/>
        <w:ind w:firstLine="960" w:firstLineChars="4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2.3.4 残疾人福利性单位声明函（如有）；</w:t>
      </w:r>
    </w:p>
    <w:p>
      <w:pPr>
        <w:snapToGrid w:val="0"/>
        <w:spacing w:line="360" w:lineRule="auto"/>
        <w:ind w:firstLine="960" w:firstLineChars="4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2.3.5 监狱企业的证明文件（如有）；</w:t>
      </w:r>
    </w:p>
    <w:p>
      <w:pPr>
        <w:snapToGrid w:val="0"/>
        <w:spacing w:line="360" w:lineRule="auto"/>
        <w:ind w:firstLine="960" w:firstLineChars="4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2.3.6 政府采购统计基础信息表。</w:t>
      </w:r>
    </w:p>
    <w:p>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3、我方承诺除商务技术</w:t>
      </w:r>
      <w:r>
        <w:rPr>
          <w:rFonts w:hint="eastAsia" w:cs="仿宋" w:asciiTheme="majorEastAsia" w:hAnsiTheme="majorEastAsia" w:eastAsiaTheme="majorEastAsia"/>
          <w:color w:val="auto"/>
          <w:sz w:val="24"/>
          <w:lang w:eastAsia="zh-CN"/>
        </w:rPr>
        <w:t>响应</w:t>
      </w:r>
      <w:r>
        <w:rPr>
          <w:rFonts w:hint="eastAsia" w:cs="仿宋" w:asciiTheme="majorEastAsia" w:hAnsiTheme="majorEastAsia" w:eastAsiaTheme="majorEastAsia"/>
          <w:color w:val="auto"/>
          <w:sz w:val="24"/>
        </w:rPr>
        <w:t>表列出的偏离外，我方响应招标文件的全部要求。</w:t>
      </w:r>
    </w:p>
    <w:p>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4、如我方中标，我方承诺：</w:t>
      </w:r>
    </w:p>
    <w:p>
      <w:pPr>
        <w:snapToGrid w:val="0"/>
        <w:spacing w:line="360" w:lineRule="auto"/>
        <w:ind w:left="210" w:leftChars="1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4.2在签订合同时不向你方提出附加条件； </w:t>
      </w:r>
    </w:p>
    <w:p>
      <w:pPr>
        <w:snapToGrid w:val="0"/>
        <w:spacing w:line="360" w:lineRule="auto"/>
        <w:ind w:left="210" w:leftChars="1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4.3按照招标文件要求提交履约保证金； </w:t>
      </w:r>
    </w:p>
    <w:p>
      <w:pPr>
        <w:snapToGrid w:val="0"/>
        <w:spacing w:line="360" w:lineRule="auto"/>
        <w:ind w:left="210" w:leftChars="1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4.4在合同约定的期限内完成合同规定的全部义务。 </w:t>
      </w:r>
    </w:p>
    <w:p>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5、其他补充说明: </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 xml:space="preserve"> 。</w:t>
      </w:r>
    </w:p>
    <w:p>
      <w:pPr>
        <w:spacing w:line="360" w:lineRule="auto"/>
        <w:ind w:firstLine="3600" w:firstLineChars="1500"/>
        <w:rPr>
          <w:rFonts w:cs="仿宋" w:asciiTheme="majorEastAsia" w:hAnsiTheme="majorEastAsia" w:eastAsiaTheme="majorEastAsia"/>
          <w:color w:val="auto"/>
          <w:sz w:val="24"/>
        </w:rPr>
      </w:pPr>
    </w:p>
    <w:p>
      <w:pPr>
        <w:spacing w:line="360" w:lineRule="auto"/>
        <w:ind w:firstLine="3600" w:firstLineChars="1500"/>
        <w:rPr>
          <w:rFonts w:cs="仿宋" w:asciiTheme="majorEastAsia" w:hAnsiTheme="majorEastAsia" w:eastAsiaTheme="majorEastAsia"/>
          <w:color w:val="auto"/>
          <w:sz w:val="24"/>
        </w:rPr>
      </w:pPr>
    </w:p>
    <w:p>
      <w:pPr>
        <w:spacing w:line="360" w:lineRule="auto"/>
        <w:ind w:right="420" w:firstLine="5250" w:firstLineChars="2500"/>
        <w:rPr>
          <w:rFonts w:ascii="宋体" w:hAnsi="宋体" w:cs="宋体"/>
          <w:color w:val="auto"/>
        </w:rPr>
      </w:pPr>
      <w:r>
        <w:rPr>
          <w:rFonts w:hint="eastAsia" w:ascii="宋体" w:hAnsi="宋体" w:cs="宋体"/>
          <w:color w:val="auto"/>
        </w:rPr>
        <w:t xml:space="preserve">法定代表人（签名或印章）：     </w:t>
      </w:r>
    </w:p>
    <w:p>
      <w:pPr>
        <w:spacing w:line="360" w:lineRule="auto"/>
        <w:ind w:right="420" w:firstLine="5460" w:firstLineChars="2600"/>
        <w:rPr>
          <w:rFonts w:ascii="宋体" w:hAnsi="宋体" w:cs="宋体"/>
          <w:color w:val="auto"/>
        </w:rPr>
      </w:pPr>
      <w:r>
        <w:rPr>
          <w:rFonts w:hint="eastAsia" w:ascii="宋体" w:hAnsi="宋体" w:cs="宋体"/>
          <w:color w:val="auto"/>
        </w:rPr>
        <w:t xml:space="preserve">投标人（盖章）：   </w:t>
      </w:r>
    </w:p>
    <w:p>
      <w:pPr>
        <w:spacing w:line="360" w:lineRule="auto"/>
        <w:ind w:right="420" w:firstLine="5355" w:firstLineChars="2550"/>
        <w:rPr>
          <w:rFonts w:ascii="宋体" w:hAnsi="宋体" w:cs="宋体"/>
          <w:color w:val="auto"/>
        </w:rPr>
      </w:pPr>
      <w:r>
        <w:rPr>
          <w:rFonts w:hint="eastAsia" w:ascii="宋体" w:hAnsi="宋体" w:cs="宋体"/>
          <w:color w:val="auto"/>
        </w:rPr>
        <w:t xml:space="preserve"> 年    月    日</w:t>
      </w:r>
    </w:p>
    <w:p>
      <w:pPr>
        <w:spacing w:line="360" w:lineRule="auto"/>
        <w:jc w:val="center"/>
        <w:rPr>
          <w:rFonts w:cs="仿宋" w:asciiTheme="majorEastAsia" w:hAnsiTheme="majorEastAsia" w:eastAsiaTheme="majorEastAsia"/>
          <w:b/>
          <w:color w:val="auto"/>
          <w:kern w:val="0"/>
          <w:sz w:val="32"/>
          <w:szCs w:val="32"/>
        </w:rPr>
      </w:pPr>
    </w:p>
    <w:p>
      <w:pPr>
        <w:spacing w:line="360" w:lineRule="auto"/>
        <w:jc w:val="center"/>
        <w:rPr>
          <w:rFonts w:cs="仿宋" w:asciiTheme="majorEastAsia" w:hAnsiTheme="majorEastAsia" w:eastAsiaTheme="majorEastAsia"/>
          <w:b/>
          <w:color w:val="auto"/>
          <w:kern w:val="0"/>
          <w:sz w:val="32"/>
          <w:szCs w:val="32"/>
          <w:lang w:val="zh-CN"/>
        </w:rPr>
      </w:pPr>
    </w:p>
    <w:p>
      <w:pPr>
        <w:spacing w:line="360" w:lineRule="auto"/>
        <w:rPr>
          <w:rFonts w:cs="仿宋" w:asciiTheme="majorEastAsia" w:hAnsiTheme="majorEastAsia" w:eastAsiaTheme="majorEastAsia"/>
          <w:b/>
          <w:color w:val="auto"/>
          <w:sz w:val="32"/>
          <w:szCs w:val="32"/>
        </w:rPr>
      </w:pPr>
      <w:bookmarkStart w:id="395" w:name="_Toc483379796"/>
      <w:bookmarkStart w:id="396" w:name="_Toc14746861"/>
      <w:bookmarkStart w:id="397" w:name="_Toc110393361"/>
      <w:bookmarkStart w:id="398" w:name="_Toc225223761"/>
      <w:bookmarkStart w:id="399" w:name="_Toc479927873"/>
      <w:bookmarkStart w:id="400" w:name="_Toc488936100"/>
    </w:p>
    <w:p>
      <w:pPr>
        <w:numPr>
          <w:ilvl w:val="0"/>
          <w:numId w:val="0"/>
        </w:numPr>
        <w:snapToGrid w:val="0"/>
        <w:spacing w:line="360" w:lineRule="auto"/>
        <w:jc w:val="center"/>
        <w:outlineLvl w:val="0"/>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kern w:val="0"/>
          <w:sz w:val="32"/>
          <w:szCs w:val="32"/>
          <w:lang w:val="zh-CN"/>
        </w:rPr>
        <w:br w:type="page"/>
      </w:r>
      <w:r>
        <w:rPr>
          <w:rFonts w:hint="eastAsia" w:cs="仿宋" w:asciiTheme="majorEastAsia" w:hAnsiTheme="majorEastAsia" w:eastAsiaTheme="majorEastAsia"/>
          <w:b/>
          <w:color w:val="auto"/>
          <w:kern w:val="0"/>
          <w:sz w:val="32"/>
          <w:szCs w:val="32"/>
          <w:lang w:val="zh-CN"/>
        </w:rPr>
        <w:t>四、授权委托书</w:t>
      </w:r>
    </w:p>
    <w:p>
      <w:pPr>
        <w:jc w:val="left"/>
        <w:rPr>
          <w:rFonts w:ascii="宋体" w:hAnsi="宋体" w:cs="宋体"/>
          <w:b/>
          <w:color w:val="auto"/>
          <w:sz w:val="32"/>
          <w:szCs w:val="32"/>
        </w:rPr>
      </w:pPr>
      <w:r>
        <w:rPr>
          <w:rFonts w:hint="eastAsia" w:cs="仿宋" w:asciiTheme="majorEastAsia" w:hAnsiTheme="majorEastAsia" w:eastAsiaTheme="majorEastAsia"/>
          <w:color w:val="auto"/>
          <w:sz w:val="24"/>
        </w:rPr>
        <w:t xml:space="preserve">                           </w:t>
      </w:r>
      <w:r>
        <w:rPr>
          <w:rFonts w:hint="eastAsia" w:ascii="宋体" w:hAnsi="宋体" w:cs="宋体"/>
          <w:b/>
          <w:color w:val="auto"/>
          <w:sz w:val="32"/>
          <w:szCs w:val="32"/>
        </w:rPr>
        <w:t>法定代表人授权委托书</w:t>
      </w:r>
    </w:p>
    <w:p>
      <w:pPr>
        <w:jc w:val="center"/>
        <w:rPr>
          <w:rFonts w:ascii="宋体" w:hAnsi="宋体" w:cs="宋体"/>
          <w:b/>
          <w:color w:val="auto"/>
          <w:sz w:val="32"/>
          <w:szCs w:val="32"/>
        </w:rPr>
      </w:pPr>
      <w:r>
        <w:rPr>
          <w:rFonts w:hint="eastAsia" w:ascii="宋体" w:hAnsi="宋体" w:cs="宋体"/>
          <w:bCs/>
          <w:color w:val="auto"/>
          <w:sz w:val="24"/>
        </w:rPr>
        <w:t>（法定代表人来投标的，此表不用）</w:t>
      </w:r>
    </w:p>
    <w:p>
      <w:pPr>
        <w:snapToGrid w:val="0"/>
        <w:spacing w:line="360" w:lineRule="auto"/>
        <w:rPr>
          <w:rFonts w:ascii="宋体" w:hAnsi="宋体" w:cs="宋体"/>
          <w:bCs/>
          <w:color w:val="auto"/>
          <w:sz w:val="24"/>
        </w:rPr>
      </w:pPr>
    </w:p>
    <w:p>
      <w:pPr>
        <w:snapToGrid w:val="0"/>
        <w:spacing w:line="360" w:lineRule="auto"/>
        <w:rPr>
          <w:rFonts w:ascii="宋体" w:hAnsi="宋体" w:cs="宋体"/>
          <w:color w:val="auto"/>
          <w:szCs w:val="21"/>
        </w:rPr>
      </w:pPr>
      <w:r>
        <w:rPr>
          <w:rFonts w:hint="eastAsia" w:ascii="宋体" w:hAnsi="宋体" w:cs="宋体"/>
          <w:bCs/>
          <w:color w:val="auto"/>
          <w:szCs w:val="21"/>
        </w:rPr>
        <w:t>致：</w:t>
      </w:r>
      <w:r>
        <w:rPr>
          <w:rFonts w:hint="eastAsia" w:ascii="宋体" w:hAnsi="宋体" w:cs="宋体"/>
          <w:color w:val="auto"/>
          <w:szCs w:val="21"/>
          <w:u w:val="single"/>
        </w:rPr>
        <w:t xml:space="preserve">              </w:t>
      </w:r>
      <w:r>
        <w:rPr>
          <w:rFonts w:hint="eastAsia" w:ascii="宋体" w:hAnsi="宋体" w:cs="宋体"/>
          <w:color w:val="auto"/>
          <w:szCs w:val="21"/>
        </w:rPr>
        <w:t>（采购单位名称）</w:t>
      </w:r>
      <w:r>
        <w:rPr>
          <w:rFonts w:hint="eastAsia" w:ascii="宋体" w:hAnsi="宋体" w:cs="宋体"/>
          <w:b/>
          <w:bCs/>
          <w:color w:val="auto"/>
          <w:szCs w:val="21"/>
        </w:rPr>
        <w:t xml:space="preserve">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u w:val="single"/>
        </w:rPr>
      </w:pPr>
      <w:r>
        <w:rPr>
          <w:rFonts w:hint="eastAsia" w:ascii="宋体" w:hAnsi="宋体" w:cs="宋体"/>
          <w:color w:val="auto"/>
          <w:szCs w:val="21"/>
        </w:rPr>
        <w:t>我</w:t>
      </w:r>
      <w:r>
        <w:rPr>
          <w:rFonts w:hint="eastAsia" w:ascii="宋体" w:hAnsi="宋体" w:cs="宋体"/>
          <w:color w:val="auto"/>
          <w:szCs w:val="21"/>
          <w:u w:val="single"/>
        </w:rPr>
        <w:t xml:space="preserve">          </w:t>
      </w:r>
      <w:r>
        <w:rPr>
          <w:rFonts w:hint="eastAsia" w:ascii="宋体" w:hAnsi="宋体" w:cs="宋体"/>
          <w:color w:val="auto"/>
          <w:szCs w:val="21"/>
        </w:rPr>
        <w:t>（姓名）系</w:t>
      </w:r>
      <w:r>
        <w:rPr>
          <w:rFonts w:hint="eastAsia" w:ascii="宋体" w:hAnsi="宋体" w:cs="宋体"/>
          <w:color w:val="auto"/>
          <w:szCs w:val="21"/>
          <w:u w:val="single"/>
        </w:rPr>
        <w:t xml:space="preserve">           </w:t>
      </w:r>
      <w:r>
        <w:rPr>
          <w:rFonts w:hint="eastAsia" w:ascii="宋体" w:hAnsi="宋体" w:cs="宋体"/>
          <w:color w:val="auto"/>
          <w:szCs w:val="21"/>
        </w:rPr>
        <w:t xml:space="preserve">（投标人名称）的法定代表人，现授权委托本单位在职职工 </w:t>
      </w:r>
      <w:r>
        <w:rPr>
          <w:rFonts w:hint="eastAsia" w:ascii="宋体" w:hAnsi="宋体" w:cs="宋体"/>
          <w:color w:val="auto"/>
          <w:szCs w:val="21"/>
          <w:u w:val="single"/>
        </w:rPr>
        <w:t xml:space="preserve">           </w:t>
      </w:r>
      <w:r>
        <w:rPr>
          <w:rFonts w:hint="eastAsia" w:ascii="宋体" w:hAnsi="宋体" w:cs="宋体"/>
          <w:color w:val="auto"/>
          <w:szCs w:val="21"/>
        </w:rPr>
        <w:t>（姓名）以我方的名义参加</w:t>
      </w:r>
      <w:r>
        <w:rPr>
          <w:rFonts w:hint="eastAsia" w:ascii="宋体" w:hAnsi="宋体" w:cs="宋体"/>
          <w:color w:val="auto"/>
          <w:szCs w:val="21"/>
          <w:u w:val="single"/>
        </w:rPr>
        <w:t xml:space="preserve">                       政府采购 </w:t>
      </w:r>
      <w:r>
        <w:rPr>
          <w:rFonts w:hint="eastAsia" w:ascii="宋体" w:hAnsi="宋体" w:cs="宋体"/>
          <w:color w:val="auto"/>
          <w:szCs w:val="21"/>
        </w:rPr>
        <w:t>项目的投标活动，并代表我方全权办理针对上述项目的投标、开标、评标、签约等具体事务和签署相关文件。</w:t>
      </w:r>
    </w:p>
    <w:p>
      <w:pPr>
        <w:snapToGrid w:val="0"/>
        <w:spacing w:line="360" w:lineRule="auto"/>
        <w:ind w:firstLine="420" w:firstLineChars="200"/>
        <w:rPr>
          <w:rFonts w:ascii="宋体" w:hAnsi="宋体" w:cs="宋体"/>
          <w:color w:val="auto"/>
          <w:szCs w:val="21"/>
          <w:u w:val="single"/>
        </w:rPr>
      </w:pPr>
      <w:r>
        <w:rPr>
          <w:rFonts w:hint="eastAsia" w:ascii="宋体" w:hAnsi="宋体" w:cs="宋体"/>
          <w:color w:val="auto"/>
          <w:szCs w:val="21"/>
        </w:rPr>
        <w:t>我方对被授权人的签名事项负全部责任。</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cs="宋体"/>
          <w:color w:val="auto"/>
          <w:szCs w:val="21"/>
        </w:rPr>
      </w:pPr>
      <w:r>
        <w:rPr>
          <w:rFonts w:hint="eastAsia" w:ascii="宋体" w:hAnsi="宋体" w:cs="宋体"/>
          <w:color w:val="auto"/>
          <w:szCs w:val="21"/>
        </w:rPr>
        <w:t>被授权人无转委托权，特此委托。</w:t>
      </w:r>
    </w:p>
    <w:p>
      <w:pPr>
        <w:snapToGrid w:val="0"/>
        <w:spacing w:line="360" w:lineRule="auto"/>
        <w:rPr>
          <w:rFonts w:ascii="宋体" w:hAnsi="宋体" w:cs="宋体"/>
          <w:color w:val="auto"/>
          <w:szCs w:val="21"/>
        </w:rPr>
      </w:pPr>
    </w:p>
    <w:p>
      <w:pPr>
        <w:snapToGrid w:val="0"/>
        <w:spacing w:line="360" w:lineRule="auto"/>
        <w:rPr>
          <w:rFonts w:ascii="宋体" w:hAnsi="宋体" w:cs="宋体"/>
          <w:color w:val="auto"/>
          <w:szCs w:val="21"/>
        </w:rPr>
      </w:pPr>
    </w:p>
    <w:p>
      <w:pPr>
        <w:snapToGrid w:val="0"/>
        <w:spacing w:line="360" w:lineRule="auto"/>
        <w:rPr>
          <w:rFonts w:ascii="宋体" w:hAnsi="宋体" w:cs="宋体"/>
          <w:color w:val="auto"/>
          <w:szCs w:val="21"/>
          <w:u w:val="single"/>
        </w:rPr>
      </w:pPr>
      <w:r>
        <w:rPr>
          <w:rFonts w:hint="eastAsia" w:ascii="宋体" w:hAnsi="宋体" w:cs="宋体"/>
          <w:color w:val="auto"/>
          <w:szCs w:val="21"/>
        </w:rPr>
        <w:t>被授权人签名：</w:t>
      </w:r>
      <w:r>
        <w:rPr>
          <w:rFonts w:hint="eastAsia" w:ascii="宋体" w:hAnsi="宋体" w:cs="宋体"/>
          <w:color w:val="auto"/>
          <w:szCs w:val="21"/>
          <w:u w:val="single"/>
        </w:rPr>
        <w:t xml:space="preserve">          </w:t>
      </w:r>
      <w:r>
        <w:rPr>
          <w:rFonts w:hint="eastAsia" w:ascii="宋体" w:hAnsi="宋体" w:cs="宋体"/>
          <w:color w:val="auto"/>
          <w:szCs w:val="21"/>
        </w:rPr>
        <w:t xml:space="preserve">                 法定代表人签名：</w:t>
      </w:r>
      <w:r>
        <w:rPr>
          <w:rFonts w:hint="eastAsia" w:ascii="宋体" w:hAnsi="宋体" w:cs="宋体"/>
          <w:color w:val="auto"/>
          <w:szCs w:val="21"/>
          <w:u w:val="single"/>
        </w:rPr>
        <w:t xml:space="preserve">          </w:t>
      </w:r>
    </w:p>
    <w:p>
      <w:pPr>
        <w:snapToGrid w:val="0"/>
        <w:spacing w:line="360" w:lineRule="auto"/>
        <w:ind w:firstLine="840" w:firstLineChars="400"/>
        <w:rPr>
          <w:rFonts w:ascii="宋体" w:hAnsi="宋体" w:cs="宋体"/>
          <w:color w:val="auto"/>
          <w:szCs w:val="21"/>
        </w:rPr>
      </w:pPr>
      <w:r>
        <w:rPr>
          <w:rFonts w:hint="eastAsia" w:ascii="宋体" w:hAnsi="宋体" w:cs="宋体"/>
          <w:color w:val="auto"/>
          <w:szCs w:val="21"/>
        </w:rPr>
        <w:t>职务：</w:t>
      </w:r>
      <w:r>
        <w:rPr>
          <w:rFonts w:hint="eastAsia" w:ascii="宋体" w:hAnsi="宋体" w:cs="宋体"/>
          <w:color w:val="auto"/>
          <w:szCs w:val="21"/>
          <w:u w:val="single"/>
        </w:rPr>
        <w:t xml:space="preserve">           </w:t>
      </w:r>
      <w:r>
        <w:rPr>
          <w:rFonts w:hint="eastAsia" w:ascii="宋体" w:hAnsi="宋体" w:cs="宋体"/>
          <w:color w:val="auto"/>
          <w:szCs w:val="21"/>
        </w:rPr>
        <w:t xml:space="preserve">                          职务：</w:t>
      </w:r>
      <w:r>
        <w:rPr>
          <w:rFonts w:hint="eastAsia" w:ascii="宋体" w:hAnsi="宋体" w:cs="宋体"/>
          <w:color w:val="auto"/>
          <w:szCs w:val="21"/>
          <w:u w:val="single"/>
        </w:rPr>
        <w:t xml:space="preserve">           </w:t>
      </w:r>
    </w:p>
    <w:p>
      <w:pPr>
        <w:snapToGrid w:val="0"/>
        <w:spacing w:line="360" w:lineRule="auto"/>
        <w:rPr>
          <w:rFonts w:ascii="宋体" w:hAnsi="宋体" w:cs="宋体"/>
          <w:color w:val="auto"/>
          <w:szCs w:val="21"/>
        </w:rPr>
      </w:pPr>
      <w:r>
        <w:rPr>
          <w:rFonts w:hint="eastAsia" w:ascii="宋体" w:hAnsi="宋体" w:cs="宋体"/>
          <w:color w:val="auto"/>
          <w:szCs w:val="21"/>
        </w:rPr>
        <w:t>被授权人身份证号码：</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napToGrid w:val="0"/>
        <w:spacing w:line="360" w:lineRule="auto"/>
        <w:rPr>
          <w:rFonts w:ascii="宋体" w:hAnsi="宋体" w:cs="宋体"/>
          <w:color w:val="auto"/>
          <w:szCs w:val="21"/>
        </w:rPr>
      </w:pPr>
      <w:r>
        <w:rPr>
          <w:rFonts w:hint="eastAsia" w:ascii="宋体" w:hAnsi="宋体" w:cs="宋体"/>
          <w:color w:val="auto"/>
          <w:szCs w:val="21"/>
        </w:rPr>
        <w:t xml:space="preserve">                                    </w:t>
      </w:r>
    </w:p>
    <w:p>
      <w:pPr>
        <w:snapToGrid w:val="0"/>
        <w:spacing w:line="360" w:lineRule="auto"/>
        <w:rPr>
          <w:rFonts w:ascii="宋体" w:hAnsi="宋体" w:cs="宋体"/>
          <w:color w:val="auto"/>
          <w:szCs w:val="21"/>
        </w:rPr>
      </w:pPr>
    </w:p>
    <w:p>
      <w:pPr>
        <w:spacing w:line="360" w:lineRule="auto"/>
        <w:ind w:firstLine="4830" w:firstLineChars="2300"/>
        <w:rPr>
          <w:rFonts w:ascii="宋体" w:hAnsi="宋体" w:cs="宋体"/>
          <w:color w:val="auto"/>
        </w:rPr>
      </w:pPr>
      <w:r>
        <w:rPr>
          <w:rFonts w:hint="eastAsia" w:ascii="宋体" w:hAnsi="宋体" w:cs="宋体"/>
          <w:color w:val="auto"/>
        </w:rPr>
        <w:t>投标人（盖章）：</w:t>
      </w:r>
    </w:p>
    <w:p>
      <w:pPr>
        <w:spacing w:line="360" w:lineRule="auto"/>
        <w:ind w:firstLine="1260" w:firstLineChars="600"/>
        <w:rPr>
          <w:rFonts w:ascii="宋体" w:hAnsi="宋体" w:cs="宋体"/>
          <w:color w:val="auto"/>
        </w:rPr>
      </w:pPr>
      <w:r>
        <w:rPr>
          <w:rFonts w:hint="eastAsia" w:ascii="宋体" w:hAnsi="宋体" w:cs="宋体"/>
          <w:color w:val="auto"/>
        </w:rPr>
        <w:t xml:space="preserve">                                  日期：</w:t>
      </w:r>
    </w:p>
    <w:p>
      <w:pPr>
        <w:spacing w:line="360" w:lineRule="auto"/>
        <w:rPr>
          <w:rFonts w:ascii="宋体" w:hAnsi="宋体" w:cs="宋体"/>
          <w:b/>
          <w:color w:val="auto"/>
          <w:szCs w:val="21"/>
        </w:rPr>
      </w:pPr>
    </w:p>
    <w:p>
      <w:pPr>
        <w:spacing w:line="360" w:lineRule="auto"/>
        <w:rPr>
          <w:rFonts w:ascii="宋体" w:hAnsi="宋体" w:cs="宋体"/>
          <w:b/>
          <w:color w:val="auto"/>
          <w:szCs w:val="21"/>
        </w:rPr>
      </w:pPr>
    </w:p>
    <w:p>
      <w:pPr>
        <w:spacing w:line="360" w:lineRule="auto"/>
        <w:rPr>
          <w:rFonts w:ascii="宋体" w:hAnsi="宋体" w:cs="宋体"/>
          <w:b/>
          <w:color w:val="auto"/>
          <w:szCs w:val="21"/>
        </w:rPr>
      </w:pPr>
      <w:r>
        <w:rPr>
          <w:rFonts w:hint="eastAsia" w:ascii="宋体" w:hAnsi="宋体" w:cs="宋体"/>
          <w:b/>
          <w:color w:val="auto"/>
          <w:szCs w:val="21"/>
        </w:rPr>
        <w:t>附：法定代表人身份证复印件（正反面）、授权代表身份证复印件（正反面）：</w:t>
      </w:r>
    </w:p>
    <w:p>
      <w:pPr>
        <w:snapToGrid w:val="0"/>
        <w:spacing w:line="360" w:lineRule="auto"/>
        <w:rPr>
          <w:rFonts w:cs="仿宋" w:asciiTheme="majorEastAsia" w:hAnsiTheme="majorEastAsia" w:eastAsiaTheme="majorEastAsia"/>
          <w:color w:val="auto"/>
          <w:sz w:val="24"/>
        </w:rPr>
      </w:pPr>
    </w:p>
    <w:p>
      <w:pPr>
        <w:spacing w:line="360" w:lineRule="auto"/>
        <w:jc w:val="center"/>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b/>
          <w:color w:val="auto"/>
          <w:kern w:val="0"/>
          <w:sz w:val="32"/>
          <w:szCs w:val="32"/>
          <w:lang w:val="zh-CN"/>
        </w:rPr>
        <w:t xml:space="preserve">      </w:t>
      </w:r>
      <w:r>
        <w:rPr>
          <w:rFonts w:hint="eastAsia" w:cs="仿宋" w:asciiTheme="majorEastAsia" w:hAnsiTheme="majorEastAsia" w:eastAsiaTheme="majorEastAsia"/>
          <w:b/>
          <w:color w:val="auto"/>
          <w:kern w:val="0"/>
          <w:sz w:val="32"/>
          <w:szCs w:val="32"/>
        </w:rPr>
        <w:t xml:space="preserve"> </w:t>
      </w:r>
    </w:p>
    <w:p>
      <w:pPr>
        <w:spacing w:line="360" w:lineRule="auto"/>
        <w:jc w:val="center"/>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kern w:val="0"/>
          <w:sz w:val="32"/>
          <w:szCs w:val="32"/>
          <w:lang w:val="zh-CN"/>
        </w:rPr>
        <w:br w:type="page"/>
      </w:r>
      <w:r>
        <w:rPr>
          <w:rFonts w:hint="eastAsia" w:cs="仿宋" w:asciiTheme="majorEastAsia" w:hAnsiTheme="majorEastAsia" w:eastAsiaTheme="majorEastAsia"/>
          <w:b/>
          <w:color w:val="auto"/>
          <w:kern w:val="0"/>
          <w:sz w:val="32"/>
          <w:szCs w:val="32"/>
          <w:lang w:val="zh-CN"/>
        </w:rPr>
        <w:t>五、供应商情况</w:t>
      </w:r>
      <w:bookmarkEnd w:id="395"/>
      <w:bookmarkEnd w:id="396"/>
      <w:bookmarkEnd w:id="397"/>
      <w:bookmarkEnd w:id="398"/>
      <w:bookmarkEnd w:id="399"/>
      <w:bookmarkEnd w:id="400"/>
      <w:r>
        <w:rPr>
          <w:rFonts w:hint="eastAsia" w:cs="仿宋" w:asciiTheme="majorEastAsia" w:hAnsiTheme="majorEastAsia" w:eastAsiaTheme="majorEastAsia"/>
          <w:b/>
          <w:color w:val="auto"/>
          <w:kern w:val="0"/>
          <w:sz w:val="32"/>
          <w:szCs w:val="32"/>
          <w:lang w:val="zh-CN"/>
        </w:rPr>
        <w:t>表</w:t>
      </w:r>
    </w:p>
    <w:tbl>
      <w:tblPr>
        <w:tblStyle w:val="17"/>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投标人名称</w:t>
            </w:r>
          </w:p>
        </w:tc>
        <w:tc>
          <w:tcPr>
            <w:tcW w:w="7647" w:type="dxa"/>
            <w:gridSpan w:val="5"/>
            <w:vAlign w:val="center"/>
          </w:tcPr>
          <w:p>
            <w:pP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注册地址</w:t>
            </w:r>
          </w:p>
        </w:tc>
        <w:tc>
          <w:tcPr>
            <w:tcW w:w="2809" w:type="dxa"/>
            <w:gridSpan w:val="2"/>
            <w:vAlign w:val="center"/>
          </w:tcPr>
          <w:p>
            <w:pPr>
              <w:adjustRightInd w:val="0"/>
              <w:snapToGrid w:val="0"/>
              <w:spacing w:line="360" w:lineRule="auto"/>
              <w:rPr>
                <w:rFonts w:cs="仿宋" w:asciiTheme="majorEastAsia" w:hAnsiTheme="majorEastAsia" w:eastAsiaTheme="majorEastAsia"/>
                <w:color w:val="auto"/>
                <w:kern w:val="0"/>
                <w:sz w:val="24"/>
                <w:lang w:val="zh-CN"/>
              </w:rPr>
            </w:pPr>
          </w:p>
        </w:tc>
        <w:tc>
          <w:tcPr>
            <w:tcW w:w="1786" w:type="dxa"/>
            <w:vAlign w:val="center"/>
          </w:tcPr>
          <w:p>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成立时间</w:t>
            </w:r>
          </w:p>
        </w:tc>
        <w:tc>
          <w:tcPr>
            <w:tcW w:w="3052" w:type="dxa"/>
            <w:gridSpan w:val="2"/>
            <w:vAlign w:val="center"/>
          </w:tcPr>
          <w:p>
            <w:pP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jc w:val="center"/>
        </w:trPr>
        <w:tc>
          <w:tcPr>
            <w:tcW w:w="2180" w:type="dxa"/>
            <w:vAlign w:val="center"/>
          </w:tcPr>
          <w:p>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统一信用代码</w:t>
            </w:r>
          </w:p>
        </w:tc>
        <w:tc>
          <w:tcPr>
            <w:tcW w:w="2809" w:type="dxa"/>
            <w:gridSpan w:val="2"/>
            <w:vAlign w:val="center"/>
          </w:tcPr>
          <w:p>
            <w:pPr>
              <w:adjustRightInd w:val="0"/>
              <w:snapToGrid w:val="0"/>
              <w:spacing w:line="360" w:lineRule="auto"/>
              <w:rPr>
                <w:rFonts w:cs="仿宋" w:asciiTheme="majorEastAsia" w:hAnsiTheme="majorEastAsia" w:eastAsiaTheme="majorEastAsia"/>
                <w:color w:val="auto"/>
                <w:kern w:val="0"/>
                <w:sz w:val="24"/>
                <w:lang w:val="zh-CN"/>
              </w:rPr>
            </w:pPr>
          </w:p>
        </w:tc>
        <w:tc>
          <w:tcPr>
            <w:tcW w:w="1786" w:type="dxa"/>
            <w:vAlign w:val="center"/>
          </w:tcPr>
          <w:p>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注册资金</w:t>
            </w:r>
          </w:p>
        </w:tc>
        <w:tc>
          <w:tcPr>
            <w:tcW w:w="3052" w:type="dxa"/>
            <w:gridSpan w:val="2"/>
            <w:vAlign w:val="center"/>
          </w:tcPr>
          <w:p>
            <w:pP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投标联系人姓名</w:t>
            </w:r>
          </w:p>
        </w:tc>
        <w:tc>
          <w:tcPr>
            <w:tcW w:w="1936" w:type="dxa"/>
            <w:vAlign w:val="center"/>
          </w:tcPr>
          <w:p>
            <w:pPr>
              <w:adjustRightInd w:val="0"/>
              <w:snapToGrid w:val="0"/>
              <w:spacing w:line="360" w:lineRule="auto"/>
              <w:rPr>
                <w:rFonts w:cs="仿宋" w:asciiTheme="majorEastAsia" w:hAnsiTheme="majorEastAsia" w:eastAsiaTheme="majorEastAsia"/>
                <w:color w:val="auto"/>
                <w:kern w:val="0"/>
                <w:sz w:val="24"/>
                <w:lang w:val="zh-CN"/>
              </w:rPr>
            </w:pPr>
          </w:p>
        </w:tc>
        <w:tc>
          <w:tcPr>
            <w:tcW w:w="873" w:type="dxa"/>
            <w:vAlign w:val="center"/>
          </w:tcPr>
          <w:p>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电话</w:t>
            </w:r>
          </w:p>
        </w:tc>
        <w:tc>
          <w:tcPr>
            <w:tcW w:w="1786" w:type="dxa"/>
            <w:vAlign w:val="center"/>
          </w:tcPr>
          <w:p>
            <w:pPr>
              <w:adjustRightInd w:val="0"/>
              <w:snapToGrid w:val="0"/>
              <w:spacing w:line="360" w:lineRule="auto"/>
              <w:rPr>
                <w:rFonts w:cs="仿宋" w:asciiTheme="majorEastAsia" w:hAnsiTheme="majorEastAsia" w:eastAsiaTheme="majorEastAsia"/>
                <w:color w:val="auto"/>
                <w:kern w:val="0"/>
                <w:sz w:val="24"/>
                <w:lang w:val="zh-CN"/>
              </w:rPr>
            </w:pPr>
          </w:p>
        </w:tc>
        <w:tc>
          <w:tcPr>
            <w:tcW w:w="1200" w:type="dxa"/>
            <w:vAlign w:val="center"/>
          </w:tcPr>
          <w:p>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手机</w:t>
            </w:r>
          </w:p>
        </w:tc>
        <w:tc>
          <w:tcPr>
            <w:tcW w:w="1852" w:type="dxa"/>
            <w:vAlign w:val="center"/>
          </w:tcPr>
          <w:p>
            <w:pP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法定代表人姓名</w:t>
            </w:r>
          </w:p>
        </w:tc>
        <w:tc>
          <w:tcPr>
            <w:tcW w:w="1936" w:type="dxa"/>
            <w:vAlign w:val="center"/>
          </w:tcPr>
          <w:p>
            <w:pPr>
              <w:adjustRightInd w:val="0"/>
              <w:snapToGrid w:val="0"/>
              <w:spacing w:line="360" w:lineRule="auto"/>
              <w:rPr>
                <w:rFonts w:cs="仿宋" w:asciiTheme="majorEastAsia" w:hAnsiTheme="majorEastAsia" w:eastAsiaTheme="majorEastAsia"/>
                <w:color w:val="auto"/>
                <w:kern w:val="0"/>
                <w:sz w:val="24"/>
                <w:lang w:val="zh-CN"/>
              </w:rPr>
            </w:pPr>
          </w:p>
        </w:tc>
        <w:tc>
          <w:tcPr>
            <w:tcW w:w="873" w:type="dxa"/>
            <w:vAlign w:val="center"/>
          </w:tcPr>
          <w:p>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电话</w:t>
            </w:r>
          </w:p>
        </w:tc>
        <w:tc>
          <w:tcPr>
            <w:tcW w:w="1786" w:type="dxa"/>
            <w:vAlign w:val="center"/>
          </w:tcPr>
          <w:p>
            <w:pPr>
              <w:adjustRightInd w:val="0"/>
              <w:snapToGrid w:val="0"/>
              <w:spacing w:line="360" w:lineRule="auto"/>
              <w:rPr>
                <w:rFonts w:cs="仿宋" w:asciiTheme="majorEastAsia" w:hAnsiTheme="majorEastAsia" w:eastAsiaTheme="majorEastAsia"/>
                <w:color w:val="auto"/>
                <w:kern w:val="0"/>
                <w:sz w:val="24"/>
                <w:lang w:val="zh-CN"/>
              </w:rPr>
            </w:pPr>
          </w:p>
        </w:tc>
        <w:tc>
          <w:tcPr>
            <w:tcW w:w="1200" w:type="dxa"/>
            <w:vAlign w:val="center"/>
          </w:tcPr>
          <w:p>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手机</w:t>
            </w:r>
          </w:p>
        </w:tc>
        <w:tc>
          <w:tcPr>
            <w:tcW w:w="1852" w:type="dxa"/>
            <w:vAlign w:val="center"/>
          </w:tcPr>
          <w:p>
            <w:pP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项目负责人姓名</w:t>
            </w:r>
          </w:p>
        </w:tc>
        <w:tc>
          <w:tcPr>
            <w:tcW w:w="1936" w:type="dxa"/>
            <w:vAlign w:val="center"/>
          </w:tcPr>
          <w:p>
            <w:pPr>
              <w:adjustRightInd w:val="0"/>
              <w:snapToGrid w:val="0"/>
              <w:spacing w:line="360" w:lineRule="auto"/>
              <w:rPr>
                <w:rFonts w:cs="仿宋" w:asciiTheme="majorEastAsia" w:hAnsiTheme="majorEastAsia" w:eastAsiaTheme="majorEastAsia"/>
                <w:color w:val="auto"/>
                <w:kern w:val="0"/>
                <w:sz w:val="24"/>
                <w:lang w:val="zh-CN"/>
              </w:rPr>
            </w:pPr>
          </w:p>
        </w:tc>
        <w:tc>
          <w:tcPr>
            <w:tcW w:w="873" w:type="dxa"/>
            <w:vAlign w:val="center"/>
          </w:tcPr>
          <w:p>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电话</w:t>
            </w:r>
          </w:p>
        </w:tc>
        <w:tc>
          <w:tcPr>
            <w:tcW w:w="1786" w:type="dxa"/>
            <w:vAlign w:val="center"/>
          </w:tcPr>
          <w:p>
            <w:pPr>
              <w:adjustRightInd w:val="0"/>
              <w:snapToGrid w:val="0"/>
              <w:spacing w:line="360" w:lineRule="auto"/>
              <w:rPr>
                <w:rFonts w:cs="仿宋" w:asciiTheme="majorEastAsia" w:hAnsiTheme="majorEastAsia" w:eastAsiaTheme="majorEastAsia"/>
                <w:color w:val="auto"/>
                <w:kern w:val="0"/>
                <w:sz w:val="24"/>
                <w:lang w:val="zh-CN"/>
              </w:rPr>
            </w:pPr>
          </w:p>
        </w:tc>
        <w:tc>
          <w:tcPr>
            <w:tcW w:w="1200" w:type="dxa"/>
            <w:vAlign w:val="center"/>
          </w:tcPr>
          <w:p>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技术职称</w:t>
            </w:r>
          </w:p>
        </w:tc>
        <w:tc>
          <w:tcPr>
            <w:tcW w:w="1852" w:type="dxa"/>
            <w:vAlign w:val="center"/>
          </w:tcPr>
          <w:p>
            <w:pP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员工总人数：</w:t>
            </w:r>
          </w:p>
        </w:tc>
        <w:tc>
          <w:tcPr>
            <w:tcW w:w="1936" w:type="dxa"/>
            <w:vMerge w:val="restart"/>
            <w:vAlign w:val="center"/>
          </w:tcPr>
          <w:p>
            <w:pPr>
              <w:adjustRightInd w:val="0"/>
              <w:snapToGrid w:val="0"/>
              <w:spacing w:line="360" w:lineRule="auto"/>
              <w:rPr>
                <w:rFonts w:cs="仿宋" w:asciiTheme="majorEastAsia" w:hAnsiTheme="majorEastAsia" w:eastAsiaTheme="majorEastAsia"/>
                <w:color w:val="auto"/>
                <w:kern w:val="0"/>
                <w:sz w:val="24"/>
                <w:lang w:val="zh-CN"/>
              </w:rPr>
            </w:pPr>
          </w:p>
        </w:tc>
        <w:tc>
          <w:tcPr>
            <w:tcW w:w="873" w:type="dxa"/>
            <w:vMerge w:val="restart"/>
            <w:vAlign w:val="center"/>
          </w:tcPr>
          <w:p>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其中</w:t>
            </w:r>
          </w:p>
        </w:tc>
        <w:tc>
          <w:tcPr>
            <w:tcW w:w="1786" w:type="dxa"/>
            <w:vAlign w:val="center"/>
          </w:tcPr>
          <w:p>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高级职称</w:t>
            </w:r>
          </w:p>
        </w:tc>
        <w:tc>
          <w:tcPr>
            <w:tcW w:w="3052" w:type="dxa"/>
            <w:gridSpan w:val="2"/>
            <w:vAlign w:val="center"/>
          </w:tcPr>
          <w:p>
            <w:pP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pPr>
              <w:adjustRightInd w:val="0"/>
              <w:snapToGrid w:val="0"/>
              <w:spacing w:line="360" w:lineRule="auto"/>
              <w:rPr>
                <w:rFonts w:cs="仿宋" w:asciiTheme="majorEastAsia" w:hAnsiTheme="majorEastAsia" w:eastAsiaTheme="majorEastAsia"/>
                <w:color w:val="auto"/>
                <w:kern w:val="0"/>
                <w:sz w:val="24"/>
                <w:lang w:val="zh-CN"/>
              </w:rPr>
            </w:pPr>
          </w:p>
        </w:tc>
        <w:tc>
          <w:tcPr>
            <w:tcW w:w="1936" w:type="dxa"/>
            <w:vMerge w:val="continue"/>
            <w:vAlign w:val="center"/>
          </w:tcPr>
          <w:p>
            <w:pPr>
              <w:adjustRightInd w:val="0"/>
              <w:snapToGrid w:val="0"/>
              <w:spacing w:line="360" w:lineRule="auto"/>
              <w:rPr>
                <w:rFonts w:cs="仿宋" w:asciiTheme="majorEastAsia" w:hAnsiTheme="majorEastAsia" w:eastAsiaTheme="majorEastAsia"/>
                <w:color w:val="auto"/>
                <w:kern w:val="0"/>
                <w:sz w:val="24"/>
                <w:lang w:val="zh-CN"/>
              </w:rPr>
            </w:pPr>
          </w:p>
        </w:tc>
        <w:tc>
          <w:tcPr>
            <w:tcW w:w="873" w:type="dxa"/>
            <w:vMerge w:val="continue"/>
            <w:vAlign w:val="center"/>
          </w:tcPr>
          <w:p>
            <w:pPr>
              <w:adjustRightInd w:val="0"/>
              <w:snapToGrid w:val="0"/>
              <w:spacing w:line="360" w:lineRule="auto"/>
              <w:rPr>
                <w:rFonts w:cs="仿宋" w:asciiTheme="majorEastAsia" w:hAnsiTheme="majorEastAsia" w:eastAsiaTheme="majorEastAsia"/>
                <w:color w:val="auto"/>
                <w:kern w:val="0"/>
                <w:sz w:val="24"/>
                <w:lang w:val="zh-CN"/>
              </w:rPr>
            </w:pPr>
          </w:p>
        </w:tc>
        <w:tc>
          <w:tcPr>
            <w:tcW w:w="1786" w:type="dxa"/>
            <w:vAlign w:val="center"/>
          </w:tcPr>
          <w:p>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中级职称</w:t>
            </w:r>
          </w:p>
        </w:tc>
        <w:tc>
          <w:tcPr>
            <w:tcW w:w="3052" w:type="dxa"/>
            <w:gridSpan w:val="2"/>
            <w:vAlign w:val="center"/>
          </w:tcPr>
          <w:p>
            <w:pP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pPr>
              <w:adjustRightInd w:val="0"/>
              <w:snapToGrid w:val="0"/>
              <w:spacing w:line="360" w:lineRule="auto"/>
              <w:rPr>
                <w:rFonts w:cs="仿宋" w:asciiTheme="majorEastAsia" w:hAnsiTheme="majorEastAsia" w:eastAsiaTheme="majorEastAsia"/>
                <w:color w:val="auto"/>
                <w:kern w:val="0"/>
                <w:sz w:val="24"/>
                <w:lang w:val="zh-CN"/>
              </w:rPr>
            </w:pPr>
          </w:p>
        </w:tc>
        <w:tc>
          <w:tcPr>
            <w:tcW w:w="1936" w:type="dxa"/>
            <w:vMerge w:val="continue"/>
            <w:vAlign w:val="center"/>
          </w:tcPr>
          <w:p>
            <w:pPr>
              <w:adjustRightInd w:val="0"/>
              <w:snapToGrid w:val="0"/>
              <w:spacing w:line="360" w:lineRule="auto"/>
              <w:rPr>
                <w:rFonts w:cs="仿宋" w:asciiTheme="majorEastAsia" w:hAnsiTheme="majorEastAsia" w:eastAsiaTheme="majorEastAsia"/>
                <w:color w:val="auto"/>
                <w:kern w:val="0"/>
                <w:sz w:val="24"/>
                <w:lang w:val="zh-CN"/>
              </w:rPr>
            </w:pPr>
          </w:p>
        </w:tc>
        <w:tc>
          <w:tcPr>
            <w:tcW w:w="873" w:type="dxa"/>
            <w:vMerge w:val="continue"/>
            <w:vAlign w:val="center"/>
          </w:tcPr>
          <w:p>
            <w:pPr>
              <w:adjustRightInd w:val="0"/>
              <w:snapToGrid w:val="0"/>
              <w:spacing w:line="360" w:lineRule="auto"/>
              <w:rPr>
                <w:rFonts w:cs="仿宋" w:asciiTheme="majorEastAsia" w:hAnsiTheme="majorEastAsia" w:eastAsiaTheme="majorEastAsia"/>
                <w:color w:val="auto"/>
                <w:kern w:val="0"/>
                <w:sz w:val="24"/>
                <w:lang w:val="zh-CN"/>
              </w:rPr>
            </w:pPr>
          </w:p>
        </w:tc>
        <w:tc>
          <w:tcPr>
            <w:tcW w:w="1786" w:type="dxa"/>
            <w:vAlign w:val="center"/>
          </w:tcPr>
          <w:p>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各类注册人员</w:t>
            </w:r>
          </w:p>
        </w:tc>
        <w:tc>
          <w:tcPr>
            <w:tcW w:w="3052" w:type="dxa"/>
            <w:gridSpan w:val="2"/>
            <w:vAlign w:val="center"/>
          </w:tcPr>
          <w:p>
            <w:pP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基本账户开户银行</w:t>
            </w:r>
          </w:p>
        </w:tc>
        <w:tc>
          <w:tcPr>
            <w:tcW w:w="7647" w:type="dxa"/>
            <w:gridSpan w:val="5"/>
            <w:vAlign w:val="center"/>
          </w:tcPr>
          <w:p>
            <w:pP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基本账户账号</w:t>
            </w:r>
          </w:p>
        </w:tc>
        <w:tc>
          <w:tcPr>
            <w:tcW w:w="7647" w:type="dxa"/>
            <w:gridSpan w:val="5"/>
            <w:vAlign w:val="center"/>
          </w:tcPr>
          <w:p>
            <w:pP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经营范围</w:t>
            </w:r>
          </w:p>
        </w:tc>
        <w:tc>
          <w:tcPr>
            <w:tcW w:w="7647" w:type="dxa"/>
            <w:gridSpan w:val="5"/>
            <w:vAlign w:val="center"/>
          </w:tcPr>
          <w:p>
            <w:pP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备注</w:t>
            </w:r>
          </w:p>
        </w:tc>
        <w:tc>
          <w:tcPr>
            <w:tcW w:w="7647" w:type="dxa"/>
            <w:gridSpan w:val="5"/>
            <w:vAlign w:val="center"/>
          </w:tcPr>
          <w:p>
            <w:pPr>
              <w:adjustRightInd w:val="0"/>
              <w:snapToGrid w:val="0"/>
              <w:spacing w:line="360" w:lineRule="auto"/>
              <w:rPr>
                <w:rFonts w:cs="仿宋" w:asciiTheme="majorEastAsia" w:hAnsiTheme="majorEastAsia" w:eastAsiaTheme="majorEastAsia"/>
                <w:color w:val="auto"/>
                <w:kern w:val="0"/>
                <w:sz w:val="24"/>
                <w:lang w:val="zh-CN"/>
              </w:rPr>
            </w:pPr>
          </w:p>
        </w:tc>
      </w:tr>
    </w:tbl>
    <w:p>
      <w:pPr>
        <w:adjustRightInd w:val="0"/>
        <w:snapToGrid w:val="0"/>
        <w:spacing w:line="360" w:lineRule="auto"/>
        <w:ind w:firstLine="482" w:firstLineChars="200"/>
        <w:rPr>
          <w:rFonts w:cs="仿宋" w:asciiTheme="majorEastAsia" w:hAnsiTheme="majorEastAsia" w:eastAsiaTheme="majorEastAsia"/>
          <w:b/>
          <w:bCs/>
          <w:color w:val="auto"/>
          <w:kern w:val="0"/>
          <w:sz w:val="24"/>
          <w:lang w:val="zh-CN"/>
        </w:rPr>
      </w:pPr>
      <w:r>
        <w:rPr>
          <w:rFonts w:hint="eastAsia" w:cs="仿宋" w:asciiTheme="majorEastAsia" w:hAnsiTheme="majorEastAsia" w:eastAsiaTheme="majorEastAsia"/>
          <w:b/>
          <w:bCs/>
          <w:color w:val="auto"/>
          <w:kern w:val="0"/>
          <w:sz w:val="24"/>
          <w:lang w:val="zh-CN"/>
        </w:rPr>
        <w:t>兹证明上述声明是真实、正确的，并提供了全部能提供的资料和数据，我们同意遵照贵方要求出示有关证明文件。</w:t>
      </w:r>
    </w:p>
    <w:p>
      <w:pPr>
        <w:adjustRightInd w:val="0"/>
        <w:snapToGrid w:val="0"/>
        <w:spacing w:line="360" w:lineRule="auto"/>
        <w:rPr>
          <w:rFonts w:cs="仿宋" w:asciiTheme="majorEastAsia" w:hAnsiTheme="majorEastAsia" w:eastAsiaTheme="majorEastAsia"/>
          <w:color w:val="auto"/>
          <w:kern w:val="0"/>
          <w:sz w:val="24"/>
          <w:lang w:val="zh-CN"/>
        </w:rPr>
      </w:pPr>
    </w:p>
    <w:p>
      <w:pPr>
        <w:pStyle w:val="2"/>
        <w:spacing w:line="360" w:lineRule="auto"/>
        <w:ind w:firstLine="560"/>
        <w:rPr>
          <w:rFonts w:cs="仿宋" w:asciiTheme="majorEastAsia" w:hAnsiTheme="majorEastAsia" w:eastAsiaTheme="majorEastAsia"/>
          <w:color w:val="auto"/>
          <w:lang w:val="zh-CN"/>
        </w:rPr>
      </w:pPr>
    </w:p>
    <w:p>
      <w:pPr>
        <w:adjustRightInd w:val="0"/>
        <w:snapToGrid w:val="0"/>
        <w:spacing w:line="360" w:lineRule="auto"/>
        <w:ind w:firstLine="4080" w:firstLineChars="170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法定代表人或其授权委托人（签名或印章）：</w:t>
      </w:r>
    </w:p>
    <w:p>
      <w:pPr>
        <w:adjustRightInd w:val="0"/>
        <w:snapToGrid w:val="0"/>
        <w:spacing w:line="360" w:lineRule="auto"/>
        <w:ind w:firstLine="4080" w:firstLineChars="170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投标人（盖章）：</w:t>
      </w:r>
    </w:p>
    <w:p>
      <w:pPr>
        <w:adjustRightInd w:val="0"/>
        <w:snapToGrid w:val="0"/>
        <w:spacing w:line="360" w:lineRule="auto"/>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color w:val="auto"/>
          <w:kern w:val="0"/>
          <w:sz w:val="24"/>
          <w:lang w:val="zh-CN"/>
        </w:rPr>
        <w:t xml:space="preserve">                                  日期：</w:t>
      </w:r>
    </w:p>
    <w:p>
      <w:pPr>
        <w:numPr>
          <w:ilvl w:val="0"/>
          <w:numId w:val="0"/>
        </w:numPr>
        <w:snapToGrid w:val="0"/>
        <w:spacing w:line="360" w:lineRule="auto"/>
        <w:jc w:val="center"/>
        <w:outlineLvl w:val="0"/>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kern w:val="0"/>
          <w:sz w:val="32"/>
          <w:szCs w:val="32"/>
          <w:lang w:val="zh-CN"/>
        </w:rPr>
        <w:br w:type="page"/>
      </w:r>
      <w:r>
        <w:rPr>
          <w:rFonts w:hint="eastAsia" w:cs="仿宋" w:asciiTheme="majorEastAsia" w:hAnsiTheme="majorEastAsia" w:eastAsiaTheme="majorEastAsia"/>
          <w:b/>
          <w:color w:val="auto"/>
          <w:kern w:val="0"/>
          <w:sz w:val="32"/>
          <w:szCs w:val="32"/>
          <w:lang w:val="zh-CN"/>
        </w:rPr>
        <w:t>六、距采购人最近或者能为本项目提供最优服务的网点情况表</w:t>
      </w:r>
    </w:p>
    <w:p>
      <w:pPr>
        <w:spacing w:line="360" w:lineRule="auto"/>
        <w:rPr>
          <w:rFonts w:cs="仿宋" w:asciiTheme="majorEastAsia" w:hAnsiTheme="majorEastAsia" w:eastAsiaTheme="majorEastAsia"/>
          <w:color w:val="auto"/>
        </w:rPr>
      </w:pP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26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服务网点名称</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地址</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注册资本金</w:t>
            </w:r>
          </w:p>
        </w:tc>
        <w:tc>
          <w:tcPr>
            <w:tcW w:w="1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color w:val="auto"/>
                <w:kern w:val="0"/>
                <w:sz w:val="24"/>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其中：投标人出资比例</w:t>
            </w:r>
          </w:p>
        </w:tc>
        <w:tc>
          <w:tcPr>
            <w:tcW w:w="2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员工总人数</w:t>
            </w:r>
          </w:p>
        </w:tc>
        <w:tc>
          <w:tcPr>
            <w:tcW w:w="1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color w:val="auto"/>
                <w:kern w:val="0"/>
                <w:sz w:val="24"/>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其中：技术人员数</w:t>
            </w:r>
          </w:p>
        </w:tc>
        <w:tc>
          <w:tcPr>
            <w:tcW w:w="2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经营期限</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售后服务协议</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售后服务内容</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工作业绩</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服务承诺</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业务咨询电话</w:t>
            </w:r>
          </w:p>
        </w:tc>
        <w:tc>
          <w:tcPr>
            <w:tcW w:w="1815" w:type="dxa"/>
            <w:gridSpan w:val="2"/>
            <w:tcBorders>
              <w:top w:val="single" w:color="auto" w:sz="4" w:space="0"/>
              <w:left w:val="single" w:color="auto" w:sz="4" w:space="0"/>
              <w:bottom w:val="single" w:color="auto" w:sz="4" w:space="0"/>
              <w:right w:val="single" w:color="auto" w:sz="2" w:space="0"/>
            </w:tcBorders>
            <w:vAlign w:val="center"/>
          </w:tcPr>
          <w:p>
            <w:pPr>
              <w:adjustRightInd w:val="0"/>
              <w:snapToGrid w:val="0"/>
              <w:spacing w:line="360" w:lineRule="auto"/>
              <w:rPr>
                <w:rFonts w:cs="仿宋" w:asciiTheme="majorEastAsia" w:hAnsiTheme="majorEastAsia" w:eastAsiaTheme="majorEastAsia"/>
                <w:color w:val="auto"/>
                <w:kern w:val="0"/>
                <w:sz w:val="24"/>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传 真</w:t>
            </w:r>
          </w:p>
        </w:tc>
        <w:tc>
          <w:tcPr>
            <w:tcW w:w="3489" w:type="dxa"/>
            <w:gridSpan w:val="2"/>
            <w:tcBorders>
              <w:top w:val="single" w:color="auto" w:sz="4" w:space="0"/>
              <w:left w:val="single" w:color="auto" w:sz="2" w:space="0"/>
              <w:bottom w:val="single" w:color="auto" w:sz="4" w:space="0"/>
              <w:right w:val="single" w:color="auto" w:sz="2" w:space="0"/>
            </w:tcBorders>
            <w:vAlign w:val="center"/>
          </w:tcPr>
          <w:p>
            <w:pP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负责人</w:t>
            </w:r>
          </w:p>
        </w:tc>
        <w:tc>
          <w:tcPr>
            <w:tcW w:w="1815" w:type="dxa"/>
            <w:gridSpan w:val="2"/>
            <w:tcBorders>
              <w:top w:val="single" w:color="auto" w:sz="4" w:space="0"/>
              <w:left w:val="single" w:color="auto" w:sz="4" w:space="0"/>
              <w:bottom w:val="single" w:color="auto" w:sz="4" w:space="0"/>
              <w:right w:val="single" w:color="auto" w:sz="2" w:space="0"/>
            </w:tcBorders>
            <w:vAlign w:val="center"/>
          </w:tcPr>
          <w:p>
            <w:pPr>
              <w:adjustRightInd w:val="0"/>
              <w:snapToGrid w:val="0"/>
              <w:spacing w:line="360" w:lineRule="auto"/>
              <w:rPr>
                <w:rFonts w:cs="仿宋" w:asciiTheme="majorEastAsia" w:hAnsiTheme="majorEastAsia" w:eastAsiaTheme="majorEastAsia"/>
                <w:color w:val="auto"/>
                <w:kern w:val="0"/>
                <w:sz w:val="24"/>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联系电话</w:t>
            </w:r>
          </w:p>
        </w:tc>
        <w:tc>
          <w:tcPr>
            <w:tcW w:w="3489" w:type="dxa"/>
            <w:gridSpan w:val="2"/>
            <w:tcBorders>
              <w:top w:val="single" w:color="auto" w:sz="4" w:space="0"/>
              <w:left w:val="single" w:color="auto" w:sz="2"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color w:val="auto"/>
                <w:kern w:val="0"/>
                <w:sz w:val="24"/>
                <w:lang w:val="zh-CN"/>
              </w:rPr>
            </w:pPr>
          </w:p>
        </w:tc>
      </w:tr>
    </w:tbl>
    <w:p>
      <w:pPr>
        <w:spacing w:line="360" w:lineRule="auto"/>
        <w:rPr>
          <w:rFonts w:cs="仿宋" w:asciiTheme="majorEastAsia" w:hAnsiTheme="majorEastAsia" w:eastAsiaTheme="majorEastAsia"/>
          <w:color w:val="auto"/>
        </w:rPr>
      </w:pPr>
    </w:p>
    <w:p>
      <w:pPr>
        <w:spacing w:line="360" w:lineRule="auto"/>
        <w:rPr>
          <w:rFonts w:cs="仿宋" w:asciiTheme="majorEastAsia" w:hAnsiTheme="majorEastAsia" w:eastAsiaTheme="majorEastAsia"/>
          <w:color w:val="auto"/>
        </w:rPr>
      </w:pPr>
    </w:p>
    <w:p>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rPr>
        <w:t xml:space="preserve">       </w:t>
      </w:r>
    </w:p>
    <w:p>
      <w:pPr>
        <w:adjustRightInd w:val="0"/>
        <w:snapToGrid w:val="0"/>
        <w:spacing w:line="360" w:lineRule="auto"/>
        <w:ind w:left="3990" w:leftChars="190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法定代表人或其授权委托人（签名或印章）：</w:t>
      </w:r>
    </w:p>
    <w:p>
      <w:pPr>
        <w:adjustRightInd w:val="0"/>
        <w:snapToGrid w:val="0"/>
        <w:spacing w:line="360" w:lineRule="auto"/>
        <w:ind w:left="3990" w:leftChars="190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投标人（盖章）：</w:t>
      </w:r>
    </w:p>
    <w:p>
      <w:pPr>
        <w:adjustRightInd w:val="0"/>
        <w:snapToGrid w:val="0"/>
        <w:spacing w:line="360" w:lineRule="auto"/>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color w:val="auto"/>
          <w:kern w:val="0"/>
          <w:sz w:val="24"/>
          <w:lang w:val="zh-CN"/>
        </w:rPr>
        <w:t xml:space="preserve">                                 日期</w:t>
      </w:r>
      <w:r>
        <w:rPr>
          <w:rFonts w:hint="eastAsia" w:cs="仿宋" w:asciiTheme="majorEastAsia" w:hAnsiTheme="majorEastAsia" w:eastAsiaTheme="majorEastAsia"/>
          <w:color w:val="auto"/>
          <w:kern w:val="0"/>
          <w:sz w:val="24"/>
        </w:rPr>
        <w:t>:</w:t>
      </w:r>
    </w:p>
    <w:p>
      <w:pPr>
        <w:numPr>
          <w:ilvl w:val="0"/>
          <w:numId w:val="0"/>
        </w:numPr>
        <w:snapToGrid w:val="0"/>
        <w:spacing w:line="360" w:lineRule="auto"/>
        <w:jc w:val="center"/>
        <w:outlineLvl w:val="0"/>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kern w:val="0"/>
          <w:sz w:val="32"/>
          <w:szCs w:val="32"/>
          <w:lang w:val="zh-CN"/>
        </w:rPr>
        <w:br w:type="page"/>
      </w:r>
      <w:r>
        <w:rPr>
          <w:rFonts w:hint="eastAsia" w:cs="仿宋" w:asciiTheme="majorEastAsia" w:hAnsiTheme="majorEastAsia" w:eastAsiaTheme="majorEastAsia"/>
          <w:b/>
          <w:color w:val="auto"/>
          <w:kern w:val="0"/>
          <w:sz w:val="32"/>
          <w:szCs w:val="32"/>
          <w:lang w:val="zh-CN"/>
        </w:rPr>
        <w:t>七、评标标准相应的商务技术资料</w:t>
      </w:r>
    </w:p>
    <w:p>
      <w:pPr>
        <w:snapToGrid w:val="0"/>
        <w:spacing w:line="360" w:lineRule="auto"/>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（按招标文件第四部分评标办法前附表中“投标文件中评标标准相应的商务技术资料目录”提供资料）</w:t>
      </w:r>
    </w:p>
    <w:p>
      <w:pPr>
        <w:pStyle w:val="2"/>
        <w:ind w:firstLine="560"/>
        <w:rPr>
          <w:rFonts w:asciiTheme="majorEastAsia" w:hAnsiTheme="majorEastAsia" w:eastAsiaTheme="majorEastAsia"/>
          <w:color w:val="auto"/>
          <w:lang w:val="zh-CN"/>
        </w:rPr>
      </w:pPr>
    </w:p>
    <w:p>
      <w:pPr>
        <w:numPr>
          <w:ilvl w:val="0"/>
          <w:numId w:val="0"/>
        </w:numPr>
        <w:snapToGrid w:val="0"/>
        <w:spacing w:line="360" w:lineRule="auto"/>
        <w:jc w:val="center"/>
        <w:outlineLvl w:val="0"/>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kern w:val="0"/>
          <w:sz w:val="32"/>
          <w:szCs w:val="32"/>
          <w:lang w:val="zh-CN"/>
        </w:rPr>
        <w:t>八、商务</w:t>
      </w:r>
      <w:r>
        <w:rPr>
          <w:rFonts w:hint="eastAsia" w:cs="仿宋" w:asciiTheme="majorEastAsia" w:hAnsiTheme="majorEastAsia" w:eastAsiaTheme="majorEastAsia"/>
          <w:b/>
          <w:color w:val="auto"/>
          <w:kern w:val="0"/>
          <w:sz w:val="32"/>
          <w:szCs w:val="32"/>
          <w:lang w:val="en-US" w:eastAsia="zh-CN"/>
        </w:rPr>
        <w:t>响应</w:t>
      </w:r>
      <w:r>
        <w:rPr>
          <w:rFonts w:hint="eastAsia" w:cs="仿宋" w:asciiTheme="majorEastAsia" w:hAnsiTheme="majorEastAsia" w:eastAsiaTheme="majorEastAsia"/>
          <w:b/>
          <w:color w:val="auto"/>
          <w:kern w:val="0"/>
          <w:sz w:val="32"/>
          <w:szCs w:val="32"/>
          <w:lang w:val="zh-CN"/>
        </w:rPr>
        <w:t>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72"/>
        <w:gridCol w:w="3285"/>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仿宋"/>
                <w:b/>
                <w:bCs/>
                <w:color w:val="auto"/>
                <w:sz w:val="24"/>
              </w:rPr>
            </w:pPr>
            <w:r>
              <w:rPr>
                <w:rFonts w:hint="eastAsia" w:ascii="仿宋" w:hAnsi="仿宋" w:eastAsia="仿宋" w:cs="仿宋"/>
                <w:b/>
                <w:bCs/>
                <w:color w:val="auto"/>
                <w:sz w:val="24"/>
              </w:rPr>
              <w:t>序号</w:t>
            </w:r>
          </w:p>
        </w:tc>
        <w:tc>
          <w:tcPr>
            <w:tcW w:w="3272" w:type="dxa"/>
          </w:tcPr>
          <w:p>
            <w:pPr>
              <w:spacing w:line="360" w:lineRule="auto"/>
              <w:jc w:val="center"/>
              <w:rPr>
                <w:rFonts w:ascii="仿宋" w:hAnsi="仿宋" w:eastAsia="仿宋" w:cs="仿宋"/>
                <w:b/>
                <w:bCs/>
                <w:color w:val="auto"/>
                <w:sz w:val="24"/>
              </w:rPr>
            </w:pPr>
            <w:r>
              <w:rPr>
                <w:rFonts w:hint="eastAsia" w:ascii="仿宋" w:hAnsi="仿宋" w:eastAsia="仿宋" w:cs="仿宋"/>
                <w:b/>
                <w:bCs/>
                <w:color w:val="auto"/>
                <w:sz w:val="24"/>
              </w:rPr>
              <w:t>招标文件章节及具体内容</w:t>
            </w:r>
          </w:p>
        </w:tc>
        <w:tc>
          <w:tcPr>
            <w:tcW w:w="3285" w:type="dxa"/>
          </w:tcPr>
          <w:p>
            <w:pPr>
              <w:spacing w:line="360" w:lineRule="auto"/>
              <w:jc w:val="center"/>
              <w:rPr>
                <w:rFonts w:ascii="仿宋" w:hAnsi="仿宋" w:eastAsia="仿宋" w:cs="仿宋"/>
                <w:b/>
                <w:bCs/>
                <w:color w:val="auto"/>
                <w:sz w:val="24"/>
              </w:rPr>
            </w:pPr>
            <w:r>
              <w:rPr>
                <w:rFonts w:hint="eastAsia" w:ascii="仿宋" w:hAnsi="仿宋" w:eastAsia="仿宋" w:cs="仿宋"/>
                <w:b/>
                <w:bCs/>
                <w:color w:val="auto"/>
                <w:sz w:val="24"/>
              </w:rPr>
              <w:t>投标文件章节及具体内容</w:t>
            </w:r>
          </w:p>
        </w:tc>
        <w:tc>
          <w:tcPr>
            <w:tcW w:w="1948" w:type="dxa"/>
          </w:tcPr>
          <w:p>
            <w:pPr>
              <w:spacing w:line="360" w:lineRule="auto"/>
              <w:jc w:val="center"/>
              <w:rPr>
                <w:rFonts w:ascii="仿宋" w:hAnsi="仿宋" w:eastAsia="仿宋" w:cs="仿宋"/>
                <w:b/>
                <w:bCs/>
                <w:color w:val="auto"/>
                <w:sz w:val="24"/>
              </w:rPr>
            </w:pPr>
            <w:r>
              <w:rPr>
                <w:rFonts w:hint="eastAsia" w:ascii="仿宋" w:hAnsi="仿宋" w:eastAsia="仿宋" w:cs="仿宋"/>
                <w:b/>
                <w:bCs/>
                <w:color w:val="auto"/>
                <w:sz w:val="24"/>
              </w:rPr>
              <w:t>响应或偏离说明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1</w:t>
            </w:r>
          </w:p>
        </w:tc>
        <w:tc>
          <w:tcPr>
            <w:tcW w:w="3272" w:type="dxa"/>
          </w:tcPr>
          <w:p>
            <w:pPr>
              <w:spacing w:line="360" w:lineRule="auto"/>
              <w:jc w:val="center"/>
              <w:rPr>
                <w:rFonts w:ascii="仿宋" w:hAnsi="仿宋" w:eastAsia="仿宋" w:cs="仿宋"/>
                <w:b/>
                <w:color w:val="auto"/>
                <w:kern w:val="0"/>
                <w:sz w:val="32"/>
                <w:szCs w:val="32"/>
              </w:rPr>
            </w:pPr>
          </w:p>
        </w:tc>
        <w:tc>
          <w:tcPr>
            <w:tcW w:w="3285" w:type="dxa"/>
          </w:tcPr>
          <w:p>
            <w:pPr>
              <w:spacing w:line="360" w:lineRule="auto"/>
              <w:jc w:val="center"/>
              <w:rPr>
                <w:rFonts w:ascii="仿宋" w:hAnsi="仿宋" w:eastAsia="仿宋" w:cs="仿宋"/>
                <w:b/>
                <w:color w:val="auto"/>
                <w:kern w:val="0"/>
                <w:sz w:val="32"/>
                <w:szCs w:val="32"/>
              </w:rPr>
            </w:pPr>
          </w:p>
        </w:tc>
        <w:tc>
          <w:tcPr>
            <w:tcW w:w="1948" w:type="dxa"/>
          </w:tcPr>
          <w:p>
            <w:pPr>
              <w:spacing w:line="360" w:lineRule="auto"/>
              <w:jc w:val="center"/>
              <w:rPr>
                <w:rFonts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2</w:t>
            </w:r>
          </w:p>
        </w:tc>
        <w:tc>
          <w:tcPr>
            <w:tcW w:w="3272" w:type="dxa"/>
          </w:tcPr>
          <w:p>
            <w:pPr>
              <w:spacing w:line="360" w:lineRule="auto"/>
              <w:jc w:val="center"/>
              <w:rPr>
                <w:rFonts w:ascii="仿宋" w:hAnsi="仿宋" w:eastAsia="仿宋" w:cs="仿宋"/>
                <w:b/>
                <w:color w:val="auto"/>
                <w:kern w:val="0"/>
                <w:sz w:val="32"/>
                <w:szCs w:val="32"/>
              </w:rPr>
            </w:pPr>
          </w:p>
        </w:tc>
        <w:tc>
          <w:tcPr>
            <w:tcW w:w="3285" w:type="dxa"/>
          </w:tcPr>
          <w:p>
            <w:pPr>
              <w:spacing w:line="360" w:lineRule="auto"/>
              <w:jc w:val="center"/>
              <w:rPr>
                <w:rFonts w:ascii="仿宋" w:hAnsi="仿宋" w:eastAsia="仿宋" w:cs="仿宋"/>
                <w:b/>
                <w:color w:val="auto"/>
                <w:kern w:val="0"/>
                <w:sz w:val="32"/>
                <w:szCs w:val="32"/>
              </w:rPr>
            </w:pPr>
          </w:p>
        </w:tc>
        <w:tc>
          <w:tcPr>
            <w:tcW w:w="1948" w:type="dxa"/>
          </w:tcPr>
          <w:p>
            <w:pPr>
              <w:spacing w:line="360" w:lineRule="auto"/>
              <w:jc w:val="center"/>
              <w:rPr>
                <w:rFonts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w:t>
            </w:r>
          </w:p>
        </w:tc>
        <w:tc>
          <w:tcPr>
            <w:tcW w:w="3272" w:type="dxa"/>
          </w:tcPr>
          <w:p>
            <w:pPr>
              <w:spacing w:line="360" w:lineRule="auto"/>
              <w:jc w:val="center"/>
              <w:rPr>
                <w:rFonts w:ascii="仿宋" w:hAnsi="仿宋" w:eastAsia="仿宋" w:cs="仿宋"/>
                <w:b/>
                <w:color w:val="auto"/>
                <w:kern w:val="0"/>
                <w:sz w:val="32"/>
                <w:szCs w:val="32"/>
              </w:rPr>
            </w:pPr>
          </w:p>
        </w:tc>
        <w:tc>
          <w:tcPr>
            <w:tcW w:w="3285" w:type="dxa"/>
          </w:tcPr>
          <w:p>
            <w:pPr>
              <w:spacing w:line="360" w:lineRule="auto"/>
              <w:jc w:val="center"/>
              <w:rPr>
                <w:rFonts w:ascii="仿宋" w:hAnsi="仿宋" w:eastAsia="仿宋" w:cs="仿宋"/>
                <w:b/>
                <w:color w:val="auto"/>
                <w:kern w:val="0"/>
                <w:sz w:val="32"/>
                <w:szCs w:val="32"/>
              </w:rPr>
            </w:pPr>
          </w:p>
        </w:tc>
        <w:tc>
          <w:tcPr>
            <w:tcW w:w="1948" w:type="dxa"/>
          </w:tcPr>
          <w:p>
            <w:pPr>
              <w:spacing w:line="360" w:lineRule="auto"/>
              <w:jc w:val="center"/>
              <w:rPr>
                <w:rFonts w:ascii="仿宋" w:hAnsi="仿宋" w:eastAsia="仿宋" w:cs="仿宋"/>
                <w:b/>
                <w:color w:val="auto"/>
                <w:kern w:val="0"/>
                <w:sz w:val="32"/>
                <w:szCs w:val="32"/>
              </w:rPr>
            </w:pPr>
          </w:p>
        </w:tc>
      </w:tr>
    </w:tbl>
    <w:p>
      <w:pPr>
        <w:spacing w:line="360" w:lineRule="auto"/>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投标人保证：除商务</w:t>
      </w:r>
      <w:r>
        <w:rPr>
          <w:rFonts w:hint="eastAsia" w:cs="仿宋" w:asciiTheme="majorEastAsia" w:hAnsiTheme="majorEastAsia" w:eastAsiaTheme="majorEastAsia"/>
          <w:color w:val="auto"/>
          <w:kern w:val="0"/>
          <w:sz w:val="24"/>
          <w:lang w:eastAsia="zh-CN"/>
        </w:rPr>
        <w:t>响应</w:t>
      </w:r>
      <w:r>
        <w:rPr>
          <w:rFonts w:hint="eastAsia" w:cs="仿宋" w:asciiTheme="majorEastAsia" w:hAnsiTheme="majorEastAsia" w:eastAsiaTheme="majorEastAsia"/>
          <w:color w:val="auto"/>
          <w:kern w:val="0"/>
          <w:sz w:val="24"/>
        </w:rPr>
        <w:t>表列出的偏离外，投标人响应招标文件的全部商务要求。</w:t>
      </w:r>
    </w:p>
    <w:p>
      <w:pPr>
        <w:adjustRightInd w:val="0"/>
        <w:snapToGrid w:val="0"/>
        <w:spacing w:line="360" w:lineRule="auto"/>
        <w:jc w:val="righ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法定代表人或其授权委托人（签名或印章）：</w:t>
      </w:r>
    </w:p>
    <w:p>
      <w:pPr>
        <w:adjustRightInd w:val="0"/>
        <w:snapToGrid w:val="0"/>
        <w:spacing w:line="360" w:lineRule="auto"/>
        <w:ind w:left="3990" w:leftChars="1900"/>
        <w:jc w:val="center"/>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投标人（盖章）：</w:t>
      </w:r>
    </w:p>
    <w:p>
      <w:pPr>
        <w:adjustRightInd w:val="0"/>
        <w:snapToGrid w:val="0"/>
        <w:spacing w:line="360" w:lineRule="auto"/>
        <w:ind w:right="1920"/>
        <w:jc w:val="center"/>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color w:val="auto"/>
          <w:kern w:val="0"/>
          <w:sz w:val="24"/>
          <w:lang w:val="zh-CN"/>
        </w:rPr>
        <w:t xml:space="preserve">                                      日期</w:t>
      </w:r>
      <w:r>
        <w:rPr>
          <w:rFonts w:hint="eastAsia" w:cs="仿宋" w:asciiTheme="majorEastAsia" w:hAnsiTheme="majorEastAsia" w:eastAsiaTheme="majorEastAsia"/>
          <w:color w:val="auto"/>
          <w:kern w:val="0"/>
          <w:sz w:val="24"/>
        </w:rPr>
        <w:t>:</w:t>
      </w:r>
    </w:p>
    <w:p>
      <w:pPr>
        <w:widowControl/>
        <w:jc w:val="left"/>
        <w:rPr>
          <w:rFonts w:asciiTheme="majorEastAsia" w:hAnsiTheme="majorEastAsia" w:eastAsiaTheme="majorEastAsia"/>
          <w:color w:val="auto"/>
          <w:sz w:val="28"/>
          <w:lang w:val="zh-CN"/>
        </w:rPr>
      </w:pPr>
    </w:p>
    <w:p>
      <w:pPr>
        <w:widowControl/>
        <w:jc w:val="left"/>
        <w:rPr>
          <w:rFonts w:asciiTheme="majorEastAsia" w:hAnsiTheme="majorEastAsia" w:eastAsiaTheme="majorEastAsia"/>
          <w:color w:val="auto"/>
          <w:sz w:val="28"/>
          <w:lang w:val="zh-CN"/>
        </w:rPr>
      </w:pPr>
      <w:r>
        <w:rPr>
          <w:rFonts w:asciiTheme="majorEastAsia" w:hAnsiTheme="majorEastAsia" w:eastAsiaTheme="majorEastAsia"/>
          <w:color w:val="auto"/>
          <w:lang w:val="zh-CN"/>
        </w:rPr>
        <w:br w:type="page"/>
      </w:r>
    </w:p>
    <w:p>
      <w:pPr>
        <w:pStyle w:val="2"/>
        <w:ind w:firstLine="560"/>
        <w:rPr>
          <w:rFonts w:asciiTheme="majorEastAsia" w:hAnsiTheme="majorEastAsia" w:eastAsiaTheme="majorEastAsia"/>
          <w:color w:val="auto"/>
          <w:lang w:val="zh-CN"/>
        </w:rPr>
      </w:pPr>
    </w:p>
    <w:p>
      <w:pPr>
        <w:numPr>
          <w:ilvl w:val="0"/>
          <w:numId w:val="0"/>
        </w:numPr>
        <w:snapToGrid w:val="0"/>
        <w:spacing w:line="360" w:lineRule="auto"/>
        <w:jc w:val="center"/>
        <w:outlineLvl w:val="0"/>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kern w:val="0"/>
          <w:sz w:val="32"/>
          <w:szCs w:val="32"/>
          <w:lang w:val="zh-CN"/>
        </w:rPr>
        <w:t>九、技术</w:t>
      </w:r>
      <w:r>
        <w:rPr>
          <w:rFonts w:hint="eastAsia" w:cs="仿宋" w:asciiTheme="majorEastAsia" w:hAnsiTheme="majorEastAsia" w:eastAsiaTheme="majorEastAsia"/>
          <w:b/>
          <w:color w:val="auto"/>
          <w:kern w:val="0"/>
          <w:sz w:val="32"/>
          <w:szCs w:val="32"/>
          <w:lang w:val="en-US" w:eastAsia="zh-CN"/>
        </w:rPr>
        <w:t>响应</w:t>
      </w:r>
      <w:r>
        <w:rPr>
          <w:rFonts w:hint="eastAsia" w:cs="仿宋" w:asciiTheme="majorEastAsia" w:hAnsiTheme="majorEastAsia" w:eastAsiaTheme="majorEastAsia"/>
          <w:b/>
          <w:color w:val="auto"/>
          <w:kern w:val="0"/>
          <w:sz w:val="32"/>
          <w:szCs w:val="32"/>
          <w:lang w:val="zh-CN"/>
        </w:rPr>
        <w:t>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27"/>
        <w:gridCol w:w="3270"/>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仿宋"/>
                <w:b/>
                <w:bCs/>
                <w:color w:val="auto"/>
                <w:sz w:val="24"/>
              </w:rPr>
            </w:pPr>
            <w:r>
              <w:rPr>
                <w:rFonts w:hint="eastAsia" w:ascii="仿宋" w:hAnsi="仿宋" w:eastAsia="仿宋" w:cs="仿宋"/>
                <w:b/>
                <w:bCs/>
                <w:color w:val="auto"/>
                <w:sz w:val="24"/>
              </w:rPr>
              <w:t>序号</w:t>
            </w:r>
          </w:p>
        </w:tc>
        <w:tc>
          <w:tcPr>
            <w:tcW w:w="3227" w:type="dxa"/>
          </w:tcPr>
          <w:p>
            <w:pPr>
              <w:spacing w:line="360" w:lineRule="auto"/>
              <w:jc w:val="center"/>
              <w:rPr>
                <w:rFonts w:ascii="仿宋" w:hAnsi="仿宋" w:eastAsia="仿宋" w:cs="仿宋"/>
                <w:b/>
                <w:bCs/>
                <w:color w:val="auto"/>
                <w:sz w:val="24"/>
              </w:rPr>
            </w:pPr>
            <w:r>
              <w:rPr>
                <w:rFonts w:hint="eastAsia" w:ascii="仿宋" w:hAnsi="仿宋" w:eastAsia="仿宋" w:cs="仿宋"/>
                <w:b/>
                <w:bCs/>
                <w:color w:val="auto"/>
                <w:sz w:val="24"/>
              </w:rPr>
              <w:t>招标文件章节及具体内容</w:t>
            </w:r>
          </w:p>
        </w:tc>
        <w:tc>
          <w:tcPr>
            <w:tcW w:w="3270" w:type="dxa"/>
          </w:tcPr>
          <w:p>
            <w:pPr>
              <w:spacing w:line="360" w:lineRule="auto"/>
              <w:jc w:val="center"/>
              <w:rPr>
                <w:rFonts w:ascii="仿宋" w:hAnsi="仿宋" w:eastAsia="仿宋" w:cs="仿宋"/>
                <w:b/>
                <w:bCs/>
                <w:color w:val="auto"/>
                <w:sz w:val="24"/>
              </w:rPr>
            </w:pPr>
            <w:r>
              <w:rPr>
                <w:rFonts w:hint="eastAsia" w:ascii="仿宋" w:hAnsi="仿宋" w:eastAsia="仿宋" w:cs="仿宋"/>
                <w:b/>
                <w:bCs/>
                <w:color w:val="auto"/>
                <w:sz w:val="24"/>
              </w:rPr>
              <w:t>投标文件章节及具体内容</w:t>
            </w:r>
          </w:p>
        </w:tc>
        <w:tc>
          <w:tcPr>
            <w:tcW w:w="2008" w:type="dxa"/>
          </w:tcPr>
          <w:p>
            <w:pPr>
              <w:spacing w:line="360" w:lineRule="auto"/>
              <w:jc w:val="center"/>
              <w:rPr>
                <w:rFonts w:ascii="仿宋" w:hAnsi="仿宋" w:eastAsia="仿宋" w:cs="仿宋"/>
                <w:b/>
                <w:bCs/>
                <w:color w:val="auto"/>
                <w:sz w:val="24"/>
              </w:rPr>
            </w:pPr>
            <w:r>
              <w:rPr>
                <w:rFonts w:hint="eastAsia" w:ascii="仿宋" w:hAnsi="仿宋" w:eastAsia="仿宋" w:cs="仿宋"/>
                <w:b/>
                <w:bCs/>
                <w:color w:val="auto"/>
                <w:sz w:val="24"/>
              </w:rPr>
              <w:t>响应或偏离说明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1</w:t>
            </w:r>
          </w:p>
        </w:tc>
        <w:tc>
          <w:tcPr>
            <w:tcW w:w="3227" w:type="dxa"/>
          </w:tcPr>
          <w:p>
            <w:pPr>
              <w:spacing w:line="360" w:lineRule="auto"/>
              <w:jc w:val="center"/>
              <w:rPr>
                <w:rFonts w:ascii="仿宋" w:hAnsi="仿宋" w:eastAsia="仿宋" w:cs="仿宋"/>
                <w:b/>
                <w:color w:val="auto"/>
                <w:kern w:val="0"/>
                <w:sz w:val="32"/>
                <w:szCs w:val="32"/>
              </w:rPr>
            </w:pPr>
          </w:p>
        </w:tc>
        <w:tc>
          <w:tcPr>
            <w:tcW w:w="3270" w:type="dxa"/>
          </w:tcPr>
          <w:p>
            <w:pPr>
              <w:spacing w:line="360" w:lineRule="auto"/>
              <w:jc w:val="center"/>
              <w:rPr>
                <w:rFonts w:ascii="仿宋" w:hAnsi="仿宋" w:eastAsia="仿宋" w:cs="仿宋"/>
                <w:b/>
                <w:color w:val="auto"/>
                <w:kern w:val="0"/>
                <w:sz w:val="32"/>
                <w:szCs w:val="32"/>
              </w:rPr>
            </w:pPr>
          </w:p>
        </w:tc>
        <w:tc>
          <w:tcPr>
            <w:tcW w:w="2008" w:type="dxa"/>
          </w:tcPr>
          <w:p>
            <w:pPr>
              <w:spacing w:line="360" w:lineRule="auto"/>
              <w:jc w:val="center"/>
              <w:rPr>
                <w:rFonts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2</w:t>
            </w:r>
          </w:p>
        </w:tc>
        <w:tc>
          <w:tcPr>
            <w:tcW w:w="3227" w:type="dxa"/>
          </w:tcPr>
          <w:p>
            <w:pPr>
              <w:spacing w:line="360" w:lineRule="auto"/>
              <w:jc w:val="center"/>
              <w:rPr>
                <w:rFonts w:ascii="仿宋" w:hAnsi="仿宋" w:eastAsia="仿宋" w:cs="仿宋"/>
                <w:b/>
                <w:color w:val="auto"/>
                <w:kern w:val="0"/>
                <w:sz w:val="32"/>
                <w:szCs w:val="32"/>
              </w:rPr>
            </w:pPr>
          </w:p>
        </w:tc>
        <w:tc>
          <w:tcPr>
            <w:tcW w:w="3270" w:type="dxa"/>
          </w:tcPr>
          <w:p>
            <w:pPr>
              <w:spacing w:line="360" w:lineRule="auto"/>
              <w:jc w:val="center"/>
              <w:rPr>
                <w:rFonts w:ascii="仿宋" w:hAnsi="仿宋" w:eastAsia="仿宋" w:cs="仿宋"/>
                <w:b/>
                <w:color w:val="auto"/>
                <w:kern w:val="0"/>
                <w:sz w:val="32"/>
                <w:szCs w:val="32"/>
              </w:rPr>
            </w:pPr>
          </w:p>
        </w:tc>
        <w:tc>
          <w:tcPr>
            <w:tcW w:w="2008" w:type="dxa"/>
          </w:tcPr>
          <w:p>
            <w:pPr>
              <w:spacing w:line="360" w:lineRule="auto"/>
              <w:jc w:val="center"/>
              <w:rPr>
                <w:rFonts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w:t>
            </w:r>
          </w:p>
        </w:tc>
        <w:tc>
          <w:tcPr>
            <w:tcW w:w="3227" w:type="dxa"/>
          </w:tcPr>
          <w:p>
            <w:pPr>
              <w:spacing w:line="360" w:lineRule="auto"/>
              <w:jc w:val="center"/>
              <w:rPr>
                <w:rFonts w:ascii="仿宋" w:hAnsi="仿宋" w:eastAsia="仿宋" w:cs="仿宋"/>
                <w:b/>
                <w:color w:val="auto"/>
                <w:kern w:val="0"/>
                <w:sz w:val="32"/>
                <w:szCs w:val="32"/>
              </w:rPr>
            </w:pPr>
          </w:p>
        </w:tc>
        <w:tc>
          <w:tcPr>
            <w:tcW w:w="3270" w:type="dxa"/>
          </w:tcPr>
          <w:p>
            <w:pPr>
              <w:spacing w:line="360" w:lineRule="auto"/>
              <w:jc w:val="center"/>
              <w:rPr>
                <w:rFonts w:ascii="仿宋" w:hAnsi="仿宋" w:eastAsia="仿宋" w:cs="仿宋"/>
                <w:b/>
                <w:color w:val="auto"/>
                <w:kern w:val="0"/>
                <w:sz w:val="32"/>
                <w:szCs w:val="32"/>
              </w:rPr>
            </w:pPr>
          </w:p>
        </w:tc>
        <w:tc>
          <w:tcPr>
            <w:tcW w:w="2008" w:type="dxa"/>
          </w:tcPr>
          <w:p>
            <w:pPr>
              <w:spacing w:line="360" w:lineRule="auto"/>
              <w:jc w:val="center"/>
              <w:rPr>
                <w:rFonts w:ascii="仿宋" w:hAnsi="仿宋" w:eastAsia="仿宋" w:cs="仿宋"/>
                <w:b/>
                <w:color w:val="auto"/>
                <w:kern w:val="0"/>
                <w:sz w:val="32"/>
                <w:szCs w:val="32"/>
              </w:rPr>
            </w:pPr>
          </w:p>
        </w:tc>
      </w:tr>
    </w:tbl>
    <w:p>
      <w:pPr>
        <w:spacing w:line="360" w:lineRule="auto"/>
        <w:ind w:firstLine="3360" w:firstLineChars="1600"/>
        <w:rPr>
          <w:rFonts w:ascii="宋体" w:hAnsi="宋体" w:cs="宋体"/>
          <w:color w:val="auto"/>
        </w:rPr>
      </w:pPr>
      <w:r>
        <w:rPr>
          <w:rFonts w:hint="eastAsia" w:ascii="宋体" w:hAnsi="宋体" w:cs="宋体"/>
          <w:color w:val="auto"/>
        </w:rPr>
        <w:t>法定代表人或其授权委托人（签名或印章）：</w:t>
      </w:r>
    </w:p>
    <w:p>
      <w:pPr>
        <w:spacing w:line="360" w:lineRule="auto"/>
        <w:ind w:firstLine="4830" w:firstLineChars="2300"/>
        <w:rPr>
          <w:rFonts w:ascii="宋体" w:hAnsi="宋体" w:cs="宋体"/>
          <w:color w:val="auto"/>
        </w:rPr>
      </w:pPr>
      <w:r>
        <w:rPr>
          <w:rFonts w:hint="eastAsia" w:ascii="宋体" w:hAnsi="宋体" w:cs="宋体"/>
          <w:color w:val="auto"/>
        </w:rPr>
        <w:t>投标人（盖章）：</w:t>
      </w:r>
    </w:p>
    <w:p>
      <w:pPr>
        <w:spacing w:line="360" w:lineRule="auto"/>
        <w:rPr>
          <w:rFonts w:ascii="宋体" w:hAnsi="宋体" w:cs="宋体"/>
          <w:color w:val="auto"/>
          <w:sz w:val="24"/>
        </w:rPr>
      </w:pPr>
      <w:r>
        <w:rPr>
          <w:rFonts w:hint="eastAsia" w:ascii="宋体" w:hAnsi="宋体" w:cs="宋体"/>
          <w:color w:val="auto"/>
        </w:rPr>
        <w:t xml:space="preserve">                                              日期：</w:t>
      </w:r>
    </w:p>
    <w:p>
      <w:pPr>
        <w:pStyle w:val="2"/>
        <w:ind w:firstLine="560"/>
        <w:rPr>
          <w:color w:val="auto"/>
        </w:rPr>
      </w:pPr>
    </w:p>
    <w:p>
      <w:pPr>
        <w:numPr>
          <w:ilvl w:val="0"/>
          <w:numId w:val="0"/>
        </w:numPr>
        <w:snapToGrid w:val="0"/>
        <w:spacing w:line="360" w:lineRule="auto"/>
        <w:jc w:val="center"/>
        <w:outlineLvl w:val="0"/>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kern w:val="0"/>
          <w:sz w:val="32"/>
          <w:szCs w:val="32"/>
        </w:rPr>
        <w:br w:type="page"/>
      </w:r>
      <w:r>
        <w:rPr>
          <w:rFonts w:hint="eastAsia" w:cs="仿宋" w:asciiTheme="majorEastAsia" w:hAnsiTheme="majorEastAsia" w:eastAsiaTheme="majorEastAsia"/>
          <w:b/>
          <w:color w:val="auto"/>
          <w:kern w:val="0"/>
          <w:sz w:val="32"/>
          <w:szCs w:val="32"/>
          <w:lang w:eastAsia="zh-CN"/>
        </w:rPr>
        <w:t>十、</w:t>
      </w:r>
      <w:r>
        <w:rPr>
          <w:rFonts w:hint="eastAsia" w:cs="仿宋" w:asciiTheme="majorEastAsia" w:hAnsiTheme="majorEastAsia" w:eastAsiaTheme="majorEastAsia"/>
          <w:b/>
          <w:color w:val="auto"/>
          <w:kern w:val="0"/>
          <w:sz w:val="32"/>
          <w:szCs w:val="32"/>
        </w:rPr>
        <w:t>同类业绩情况一览表</w:t>
      </w:r>
    </w:p>
    <w:p>
      <w:pPr>
        <w:spacing w:line="360" w:lineRule="auto"/>
        <w:jc w:val="center"/>
        <w:rPr>
          <w:rFonts w:cs="仿宋" w:asciiTheme="majorEastAsia" w:hAnsiTheme="majorEastAsia" w:eastAsiaTheme="majorEastAsia"/>
          <w:color w:val="auto"/>
        </w:rPr>
      </w:pPr>
    </w:p>
    <w:tbl>
      <w:tblPr>
        <w:tblStyle w:val="17"/>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序号</w:t>
            </w:r>
          </w:p>
        </w:tc>
        <w:tc>
          <w:tcPr>
            <w:tcW w:w="15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采购单位名称</w:t>
            </w:r>
          </w:p>
        </w:tc>
        <w:tc>
          <w:tcPr>
            <w:tcW w:w="1732" w:type="dxa"/>
            <w:tcBorders>
              <w:top w:val="single" w:color="auto" w:sz="4" w:space="0"/>
              <w:left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合同金额</w:t>
            </w:r>
          </w:p>
          <w:p>
            <w:pPr>
              <w:spacing w:line="360" w:lineRule="auto"/>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（万元）</w:t>
            </w: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合同签订时间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1</w:t>
            </w:r>
          </w:p>
        </w:tc>
        <w:tc>
          <w:tcPr>
            <w:tcW w:w="15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2</w:t>
            </w:r>
          </w:p>
        </w:tc>
        <w:tc>
          <w:tcPr>
            <w:tcW w:w="15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3</w:t>
            </w:r>
          </w:p>
        </w:tc>
        <w:tc>
          <w:tcPr>
            <w:tcW w:w="15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w:t>
            </w:r>
          </w:p>
        </w:tc>
        <w:tc>
          <w:tcPr>
            <w:tcW w:w="15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5</w:t>
            </w:r>
          </w:p>
        </w:tc>
        <w:tc>
          <w:tcPr>
            <w:tcW w:w="15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rPr>
            </w:pPr>
          </w:p>
        </w:tc>
      </w:tr>
    </w:tbl>
    <w:p>
      <w:pPr>
        <w:spacing w:line="360" w:lineRule="auto"/>
        <w:jc w:val="left"/>
        <w:rPr>
          <w:rFonts w:cs="仿宋" w:asciiTheme="majorEastAsia" w:hAnsiTheme="majorEastAsia" w:eastAsiaTheme="majorEastAsia"/>
          <w:color w:val="auto"/>
          <w:kern w:val="0"/>
          <w:sz w:val="24"/>
        </w:rPr>
      </w:pPr>
    </w:p>
    <w:p>
      <w:pPr>
        <w:spacing w:line="360" w:lineRule="auto"/>
        <w:jc w:val="left"/>
        <w:rPr>
          <w:rFonts w:cs="仿宋" w:asciiTheme="majorEastAsia" w:hAnsiTheme="majorEastAsia" w:eastAsiaTheme="majorEastAsia"/>
          <w:color w:val="auto"/>
          <w:kern w:val="0"/>
          <w:sz w:val="24"/>
        </w:rPr>
      </w:pPr>
    </w:p>
    <w:p>
      <w:pPr>
        <w:spacing w:line="360" w:lineRule="auto"/>
        <w:jc w:val="left"/>
        <w:rPr>
          <w:rFonts w:cs="仿宋" w:asciiTheme="majorEastAsia" w:hAnsiTheme="majorEastAsia" w:eastAsiaTheme="majorEastAsia"/>
          <w:color w:val="auto"/>
          <w:kern w:val="0"/>
          <w:sz w:val="24"/>
        </w:rPr>
      </w:pPr>
    </w:p>
    <w:p>
      <w:pPr>
        <w:adjustRightInd w:val="0"/>
        <w:snapToGrid w:val="0"/>
        <w:spacing w:line="360" w:lineRule="auto"/>
        <w:jc w:val="righ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法定代表人或其授权委托人（签名或印章）：</w:t>
      </w:r>
    </w:p>
    <w:p>
      <w:pPr>
        <w:adjustRightInd w:val="0"/>
        <w:snapToGrid w:val="0"/>
        <w:spacing w:line="360" w:lineRule="auto"/>
        <w:ind w:left="3990" w:leftChars="1900"/>
        <w:jc w:val="center"/>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投标人（盖章）：</w:t>
      </w:r>
    </w:p>
    <w:p>
      <w:pPr>
        <w:adjustRightInd w:val="0"/>
        <w:snapToGrid w:val="0"/>
        <w:spacing w:line="360" w:lineRule="auto"/>
        <w:ind w:right="1920"/>
        <w:jc w:val="center"/>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color w:val="auto"/>
          <w:kern w:val="0"/>
          <w:sz w:val="24"/>
          <w:lang w:val="zh-CN"/>
        </w:rPr>
        <w:t xml:space="preserve">                                      日期</w:t>
      </w:r>
      <w:r>
        <w:rPr>
          <w:rFonts w:hint="eastAsia" w:cs="仿宋" w:asciiTheme="majorEastAsia" w:hAnsiTheme="majorEastAsia" w:eastAsiaTheme="majorEastAsia"/>
          <w:color w:val="auto"/>
          <w:kern w:val="0"/>
          <w:sz w:val="24"/>
        </w:rPr>
        <w:t>:</w:t>
      </w:r>
    </w:p>
    <w:p>
      <w:pPr>
        <w:spacing w:line="360" w:lineRule="auto"/>
        <w:ind w:left="4620" w:leftChars="2200"/>
        <w:jc w:val="left"/>
        <w:rPr>
          <w:rFonts w:cs="仿宋" w:asciiTheme="majorEastAsia" w:hAnsiTheme="majorEastAsia" w:eastAsiaTheme="majorEastAsia"/>
          <w:b/>
          <w:color w:val="auto"/>
          <w:kern w:val="0"/>
          <w:sz w:val="32"/>
          <w:szCs w:val="32"/>
          <w:lang w:val="zh-CN"/>
        </w:rPr>
      </w:pPr>
    </w:p>
    <w:p>
      <w:pPr>
        <w:numPr>
          <w:ilvl w:val="0"/>
          <w:numId w:val="0"/>
        </w:numPr>
        <w:snapToGrid w:val="0"/>
        <w:spacing w:line="360" w:lineRule="auto"/>
        <w:jc w:val="center"/>
        <w:outlineLvl w:val="0"/>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kern w:val="0"/>
          <w:sz w:val="32"/>
          <w:szCs w:val="32"/>
          <w:lang w:val="zh-CN"/>
        </w:rPr>
        <w:br w:type="page"/>
      </w:r>
      <w:r>
        <w:rPr>
          <w:rFonts w:hint="eastAsia" w:cs="仿宋" w:asciiTheme="majorEastAsia" w:hAnsiTheme="majorEastAsia" w:eastAsiaTheme="majorEastAsia"/>
          <w:b/>
          <w:color w:val="auto"/>
          <w:kern w:val="0"/>
          <w:sz w:val="32"/>
          <w:szCs w:val="32"/>
          <w:lang w:val="zh-CN"/>
        </w:rPr>
        <w:t>十一、政府采购供应商廉洁自律承诺书</w:t>
      </w:r>
    </w:p>
    <w:p>
      <w:pPr>
        <w:snapToGrid w:val="0"/>
        <w:spacing w:line="360" w:lineRule="auto"/>
        <w:rPr>
          <w:rFonts w:cs="仿宋" w:asciiTheme="majorEastAsia" w:hAnsiTheme="majorEastAsia" w:eastAsiaTheme="majorEastAsia"/>
          <w:color w:val="auto"/>
          <w:sz w:val="24"/>
        </w:rPr>
      </w:pPr>
    </w:p>
    <w:p>
      <w:pPr>
        <w:snapToGrid w:val="0"/>
        <w:spacing w:line="360" w:lineRule="auto"/>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sz w:val="24"/>
        </w:rPr>
        <w:t>（采购人）、（采购代理机构）</w:t>
      </w:r>
      <w:r>
        <w:rPr>
          <w:rFonts w:hint="eastAsia" w:cs="仿宋" w:asciiTheme="majorEastAsia" w:hAnsiTheme="majorEastAsia" w:eastAsiaTheme="majorEastAsia"/>
          <w:color w:val="auto"/>
          <w:kern w:val="0"/>
          <w:sz w:val="24"/>
          <w:lang w:val="zh-CN"/>
        </w:rPr>
        <w:t>：</w:t>
      </w:r>
    </w:p>
    <w:p>
      <w:pP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我单位响应你</w:t>
      </w:r>
      <w:r>
        <w:rPr>
          <w:rFonts w:hint="eastAsia" w:cs="仿宋" w:asciiTheme="majorEastAsia" w:hAnsiTheme="majorEastAsia" w:eastAsiaTheme="majorEastAsia"/>
          <w:color w:val="auto"/>
          <w:sz w:val="24"/>
        </w:rPr>
        <w:t>单位</w:t>
      </w:r>
      <w:r>
        <w:rPr>
          <w:rFonts w:hint="eastAsia" w:cs="仿宋" w:asciiTheme="majorEastAsia" w:hAnsiTheme="majorEastAsia" w:eastAsiaTheme="majorEastAsia"/>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四、不为项目有关人员及部门出国（境）、旅游等提供方便；</w:t>
      </w:r>
    </w:p>
    <w:p>
      <w:pPr>
        <w:autoSpaceDE w:val="0"/>
        <w:autoSpaceDN w:val="0"/>
        <w:spacing w:line="360" w:lineRule="auto"/>
        <w:ind w:left="481" w:leftChars="229"/>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五、不为项目有关人员个人装修住房、婚丧嫁娶、配偶子女工作安排等提供</w:t>
      </w:r>
    </w:p>
    <w:p>
      <w:pPr>
        <w:autoSpaceDE w:val="0"/>
        <w:autoSpaceDN w:val="0"/>
        <w:spacing w:line="360" w:lineRule="auto"/>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好处；</w:t>
      </w:r>
    </w:p>
    <w:p>
      <w:pPr>
        <w:autoSpaceDE w:val="0"/>
        <w:autoSpaceDN w:val="0"/>
        <w:spacing w:line="360" w:lineRule="auto"/>
        <w:ind w:left="481" w:leftChars="229"/>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六、严格遵守《</w:t>
      </w:r>
      <w:r>
        <w:rPr>
          <w:rFonts w:hint="eastAsia" w:cs="仿宋" w:asciiTheme="majorEastAsia" w:hAnsiTheme="majorEastAsia" w:eastAsiaTheme="majorEastAsia"/>
          <w:color w:val="auto"/>
          <w:sz w:val="24"/>
          <w:lang w:val="zh-CN"/>
        </w:rPr>
        <w:t>中华人民共和国</w:t>
      </w:r>
      <w:r>
        <w:rPr>
          <w:rFonts w:hint="eastAsia" w:cs="仿宋" w:asciiTheme="majorEastAsia" w:hAnsiTheme="majorEastAsia" w:eastAsiaTheme="majorEastAsia"/>
          <w:color w:val="auto"/>
          <w:kern w:val="0"/>
          <w:sz w:val="24"/>
          <w:lang w:val="zh-CN"/>
        </w:rPr>
        <w:t>政府采购法》《</w:t>
      </w:r>
      <w:r>
        <w:rPr>
          <w:rFonts w:hint="eastAsia" w:cs="仿宋" w:asciiTheme="majorEastAsia" w:hAnsiTheme="majorEastAsia" w:eastAsiaTheme="majorEastAsia"/>
          <w:color w:val="auto"/>
          <w:sz w:val="24"/>
          <w:lang w:val="zh-CN"/>
        </w:rPr>
        <w:t>中华人民共和国</w:t>
      </w:r>
      <w:r>
        <w:rPr>
          <w:rFonts w:hint="eastAsia" w:cs="仿宋" w:asciiTheme="majorEastAsia" w:hAnsiTheme="majorEastAsia" w:eastAsiaTheme="majorEastAsia"/>
          <w:color w:val="auto"/>
          <w:kern w:val="0"/>
          <w:sz w:val="24"/>
          <w:lang w:val="zh-CN"/>
        </w:rPr>
        <w:t>招标投标</w:t>
      </w:r>
    </w:p>
    <w:p>
      <w:pPr>
        <w:autoSpaceDE w:val="0"/>
        <w:autoSpaceDN w:val="0"/>
        <w:spacing w:line="360" w:lineRule="auto"/>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法》</w:t>
      </w:r>
      <w:r>
        <w:rPr>
          <w:rFonts w:hint="eastAsia" w:cs="仿宋" w:asciiTheme="majorEastAsia" w:hAnsiTheme="majorEastAsia" w:eastAsiaTheme="majorEastAsia"/>
          <w:color w:val="auto"/>
          <w:sz w:val="24"/>
          <w:lang w:val="zh-CN"/>
        </w:rPr>
        <w:t>《中华人民共和国民法典》</w:t>
      </w:r>
      <w:r>
        <w:rPr>
          <w:rFonts w:hint="eastAsia" w:cs="仿宋" w:asciiTheme="majorEastAsia" w:hAnsiTheme="majorEastAsia" w:eastAsiaTheme="majorEastAsia"/>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如违反上述承诺，你</w:t>
      </w:r>
      <w:r>
        <w:rPr>
          <w:rFonts w:hint="eastAsia" w:cs="仿宋" w:asciiTheme="majorEastAsia" w:hAnsiTheme="majorEastAsia" w:eastAsiaTheme="majorEastAsia"/>
          <w:color w:val="auto"/>
          <w:sz w:val="24"/>
        </w:rPr>
        <w:t>单位</w:t>
      </w:r>
      <w:r>
        <w:rPr>
          <w:rFonts w:hint="eastAsia" w:cs="仿宋" w:asciiTheme="majorEastAsia" w:hAnsiTheme="majorEastAsia" w:eastAsiaTheme="majorEastAsia"/>
          <w:color w:val="auto"/>
          <w:kern w:val="0"/>
          <w:sz w:val="24"/>
          <w:lang w:val="zh-CN"/>
        </w:rPr>
        <w:t>有权立即取消我单位投标、中标或在建项目的建设资格，有权拒绝我单位在一定时期内进入你</w:t>
      </w:r>
      <w:r>
        <w:rPr>
          <w:rFonts w:hint="eastAsia" w:cs="仿宋" w:asciiTheme="majorEastAsia" w:hAnsiTheme="majorEastAsia" w:eastAsiaTheme="majorEastAsia"/>
          <w:color w:val="auto"/>
          <w:sz w:val="24"/>
        </w:rPr>
        <w:t>单位</w:t>
      </w:r>
      <w:r>
        <w:rPr>
          <w:rFonts w:hint="eastAsia" w:cs="仿宋" w:asciiTheme="majorEastAsia" w:hAnsiTheme="majorEastAsia" w:eastAsiaTheme="majorEastAsia"/>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cs="仿宋" w:asciiTheme="majorEastAsia" w:hAnsiTheme="majorEastAsia" w:eastAsiaTheme="majorEastAsia"/>
          <w:color w:val="auto"/>
          <w:kern w:val="0"/>
          <w:sz w:val="24"/>
          <w:lang w:val="zh-CN"/>
        </w:rPr>
      </w:pPr>
    </w:p>
    <w:p>
      <w:pPr>
        <w:autoSpaceDE w:val="0"/>
        <w:autoSpaceDN w:val="0"/>
        <w:spacing w:line="360" w:lineRule="auto"/>
        <w:ind w:left="2"/>
        <w:jc w:val="left"/>
        <w:rPr>
          <w:rFonts w:cs="仿宋" w:asciiTheme="majorEastAsia" w:hAnsiTheme="majorEastAsia" w:eastAsiaTheme="majorEastAsia"/>
          <w:color w:val="auto"/>
          <w:kern w:val="0"/>
          <w:sz w:val="24"/>
          <w:lang w:val="zh-CN"/>
        </w:rPr>
      </w:pPr>
    </w:p>
    <w:p>
      <w:pPr>
        <w:autoSpaceDE w:val="0"/>
        <w:autoSpaceDN w:val="0"/>
        <w:spacing w:line="360" w:lineRule="auto"/>
        <w:ind w:left="2"/>
        <w:jc w:val="left"/>
        <w:rPr>
          <w:rFonts w:cs="仿宋" w:asciiTheme="majorEastAsia" w:hAnsiTheme="majorEastAsia" w:eastAsiaTheme="majorEastAsia"/>
          <w:color w:val="auto"/>
          <w:kern w:val="0"/>
          <w:sz w:val="24"/>
          <w:lang w:val="zh-CN"/>
        </w:rPr>
      </w:pPr>
    </w:p>
    <w:p>
      <w:pPr>
        <w:adjustRightInd w:val="0"/>
        <w:snapToGrid w:val="0"/>
        <w:spacing w:line="360" w:lineRule="auto"/>
        <w:jc w:val="righ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法定代表人或其授权委托人（签名或印章）：</w:t>
      </w:r>
    </w:p>
    <w:p>
      <w:pPr>
        <w:adjustRightInd w:val="0"/>
        <w:snapToGrid w:val="0"/>
        <w:spacing w:line="360" w:lineRule="auto"/>
        <w:ind w:left="3990" w:leftChars="1900"/>
        <w:jc w:val="center"/>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投标人（盖章）：</w:t>
      </w:r>
    </w:p>
    <w:p>
      <w:pPr>
        <w:adjustRightInd w:val="0"/>
        <w:snapToGrid w:val="0"/>
        <w:spacing w:line="360" w:lineRule="auto"/>
        <w:ind w:right="1920"/>
        <w:jc w:val="center"/>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color w:val="auto"/>
          <w:kern w:val="0"/>
          <w:sz w:val="24"/>
          <w:lang w:val="zh-CN"/>
        </w:rPr>
        <w:t xml:space="preserve">                                      日期</w:t>
      </w:r>
      <w:r>
        <w:rPr>
          <w:rFonts w:hint="eastAsia" w:cs="仿宋" w:asciiTheme="majorEastAsia" w:hAnsiTheme="majorEastAsia" w:eastAsiaTheme="majorEastAsia"/>
          <w:color w:val="auto"/>
          <w:kern w:val="0"/>
          <w:sz w:val="24"/>
        </w:rPr>
        <w:t>:</w:t>
      </w:r>
    </w:p>
    <w:p>
      <w:pPr>
        <w:spacing w:line="360" w:lineRule="auto"/>
        <w:ind w:left="4620" w:leftChars="2200"/>
        <w:rPr>
          <w:rFonts w:cs="仿宋" w:asciiTheme="majorEastAsia" w:hAnsiTheme="majorEastAsia" w:eastAsiaTheme="majorEastAsia"/>
          <w:color w:val="auto"/>
          <w:sz w:val="24"/>
        </w:rPr>
      </w:pPr>
    </w:p>
    <w:p>
      <w:pPr>
        <w:spacing w:line="360" w:lineRule="auto"/>
        <w:jc w:val="center"/>
        <w:rPr>
          <w:rFonts w:cs="仿宋" w:asciiTheme="majorEastAsia" w:hAnsiTheme="majorEastAsia" w:eastAsiaTheme="majorEastAsia"/>
          <w:b/>
          <w:bCs/>
          <w:color w:val="auto"/>
          <w:sz w:val="24"/>
        </w:rPr>
      </w:pPr>
    </w:p>
    <w:p>
      <w:pPr>
        <w:spacing w:line="360" w:lineRule="auto"/>
        <w:jc w:val="center"/>
        <w:rPr>
          <w:rFonts w:cs="仿宋" w:asciiTheme="majorEastAsia" w:hAnsiTheme="majorEastAsia" w:eastAsiaTheme="majorEastAsia"/>
          <w:b/>
          <w:bCs/>
          <w:color w:val="auto"/>
          <w:sz w:val="24"/>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cs="仿宋" w:asciiTheme="majorEastAsia" w:hAnsiTheme="majorEastAsia" w:eastAsiaTheme="majorEastAsia"/>
          <w:b/>
          <w:color w:val="auto"/>
          <w:kern w:val="0"/>
          <w:sz w:val="36"/>
          <w:szCs w:val="36"/>
        </w:rPr>
      </w:pPr>
    </w:p>
    <w:p>
      <w:pPr>
        <w:spacing w:line="360" w:lineRule="auto"/>
        <w:jc w:val="center"/>
        <w:outlineLvl w:val="0"/>
        <w:rPr>
          <w:rFonts w:cs="仿宋" w:asciiTheme="majorEastAsia" w:hAnsiTheme="majorEastAsia" w:eastAsiaTheme="majorEastAsia"/>
          <w:b/>
          <w:color w:val="auto"/>
          <w:kern w:val="0"/>
          <w:sz w:val="36"/>
          <w:szCs w:val="36"/>
        </w:rPr>
      </w:pPr>
      <w:r>
        <w:rPr>
          <w:rFonts w:hint="eastAsia" w:cs="仿宋" w:asciiTheme="majorEastAsia" w:hAnsiTheme="majorEastAsia" w:eastAsiaTheme="majorEastAsia"/>
          <w:b/>
          <w:color w:val="auto"/>
          <w:kern w:val="0"/>
          <w:sz w:val="36"/>
          <w:szCs w:val="36"/>
        </w:rPr>
        <w:t>报价文件部分</w:t>
      </w:r>
    </w:p>
    <w:p>
      <w:pPr>
        <w:spacing w:line="360" w:lineRule="auto"/>
        <w:jc w:val="center"/>
        <w:outlineLvl w:val="0"/>
        <w:rPr>
          <w:rFonts w:cs="仿宋" w:asciiTheme="majorEastAsia" w:hAnsiTheme="majorEastAsia" w:eastAsiaTheme="majorEastAsia"/>
          <w:b/>
          <w:color w:val="auto"/>
          <w:kern w:val="0"/>
          <w:sz w:val="36"/>
          <w:szCs w:val="36"/>
        </w:rPr>
      </w:pPr>
      <w:r>
        <w:rPr>
          <w:rFonts w:hint="eastAsia" w:cs="仿宋" w:asciiTheme="majorEastAsia" w:hAnsiTheme="majorEastAsia" w:eastAsiaTheme="majorEastAsia"/>
          <w:b/>
          <w:color w:val="auto"/>
          <w:kern w:val="0"/>
          <w:sz w:val="36"/>
          <w:szCs w:val="36"/>
        </w:rPr>
        <w:t>目录</w:t>
      </w:r>
    </w:p>
    <w:p>
      <w:pPr>
        <w:snapToGrid w:val="0"/>
        <w:spacing w:line="360" w:lineRule="auto"/>
        <w:ind w:firstLine="480" w:firstLineChars="200"/>
        <w:rPr>
          <w:rFonts w:cs="仿宋" w:asciiTheme="majorEastAsia" w:hAnsiTheme="majorEastAsia" w:eastAsiaTheme="majorEastAsia"/>
          <w:color w:val="auto"/>
          <w:sz w:val="24"/>
          <w:u w:val="single"/>
          <w:lang w:val="zh-CN"/>
        </w:rPr>
      </w:pPr>
      <w:r>
        <w:rPr>
          <w:rFonts w:hint="eastAsia" w:cs="仿宋" w:asciiTheme="majorEastAsia" w:hAnsiTheme="majorEastAsia" w:eastAsiaTheme="majorEastAsia"/>
          <w:color w:val="auto"/>
          <w:sz w:val="24"/>
        </w:rPr>
        <w:t xml:space="preserve"> </w:t>
      </w:r>
    </w:p>
    <w:p>
      <w:pPr>
        <w:snapToGrid w:val="0"/>
        <w:spacing w:line="360" w:lineRule="auto"/>
        <w:ind w:firstLine="1120" w:firstLineChars="4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1 开标一览表；</w:t>
      </w:r>
    </w:p>
    <w:p>
      <w:pPr>
        <w:snapToGrid w:val="0"/>
        <w:spacing w:line="360" w:lineRule="auto"/>
        <w:ind w:firstLine="1120" w:firstLineChars="4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2 投标报价明细表；</w:t>
      </w:r>
    </w:p>
    <w:p>
      <w:pPr>
        <w:snapToGrid w:val="0"/>
        <w:spacing w:line="360" w:lineRule="auto"/>
        <w:ind w:firstLine="1120" w:firstLineChars="4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3 中小企业声明函（如有）；</w:t>
      </w:r>
    </w:p>
    <w:p>
      <w:pPr>
        <w:snapToGrid w:val="0"/>
        <w:spacing w:line="360" w:lineRule="auto"/>
        <w:ind w:firstLine="1120" w:firstLineChars="4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4 残疾人福利性单位声明函（如有）；</w:t>
      </w:r>
    </w:p>
    <w:p>
      <w:pPr>
        <w:snapToGrid w:val="0"/>
        <w:spacing w:line="360" w:lineRule="auto"/>
        <w:ind w:firstLine="1120" w:firstLineChars="4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5 监狱企业的证明文件（如有）；</w:t>
      </w:r>
    </w:p>
    <w:p>
      <w:pPr>
        <w:snapToGrid w:val="0"/>
        <w:spacing w:line="360" w:lineRule="auto"/>
        <w:ind w:firstLine="1120" w:firstLineChars="4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6 政府采购统计基础信息表；</w:t>
      </w:r>
    </w:p>
    <w:p>
      <w:pPr>
        <w:snapToGrid w:val="0"/>
        <w:spacing w:line="360" w:lineRule="auto"/>
        <w:ind w:firstLine="1120" w:firstLineChars="4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7 其他资料（如有）。</w:t>
      </w:r>
    </w:p>
    <w:p>
      <w:pPr>
        <w:snapToGrid w:val="0"/>
        <w:spacing w:line="360" w:lineRule="auto"/>
        <w:ind w:right="480"/>
        <w:rPr>
          <w:rFonts w:cs="仿宋" w:asciiTheme="majorEastAsia" w:hAnsiTheme="majorEastAsia" w:eastAsiaTheme="majorEastAsia"/>
          <w:b/>
          <w:color w:val="auto"/>
          <w:kern w:val="0"/>
          <w:sz w:val="32"/>
          <w:szCs w:val="32"/>
        </w:rPr>
      </w:pPr>
    </w:p>
    <w:p>
      <w:pPr>
        <w:pStyle w:val="30"/>
        <w:keepNext w:val="0"/>
        <w:pageBreakBefore w:val="0"/>
        <w:tabs>
          <w:tab w:val="clear" w:pos="720"/>
        </w:tabs>
        <w:snapToGrid w:val="0"/>
        <w:spacing w:before="120" w:after="120"/>
        <w:ind w:firstLine="643"/>
        <w:outlineLvl w:val="9"/>
        <w:rPr>
          <w:rFonts w:cs="仿宋" w:asciiTheme="majorEastAsia" w:hAnsiTheme="majorEastAsia" w:eastAsiaTheme="majorEastAsia"/>
          <w:color w:val="auto"/>
          <w:kern w:val="2"/>
          <w:sz w:val="32"/>
          <w:szCs w:val="32"/>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pPr>
        <w:pStyle w:val="30"/>
        <w:keepNext w:val="0"/>
        <w:pageBreakBefore w:val="0"/>
        <w:tabs>
          <w:tab w:val="clear" w:pos="720"/>
        </w:tabs>
        <w:snapToGrid w:val="0"/>
        <w:spacing w:before="120" w:after="120"/>
        <w:ind w:firstLine="643"/>
        <w:outlineLvl w:val="9"/>
        <w:rPr>
          <w:rFonts w:cs="仿宋" w:asciiTheme="majorEastAsia" w:hAnsiTheme="majorEastAsia" w:eastAsiaTheme="majorEastAsia"/>
          <w:color w:val="auto"/>
          <w:kern w:val="2"/>
          <w:sz w:val="32"/>
          <w:szCs w:val="32"/>
        </w:rPr>
      </w:pPr>
      <w:r>
        <w:rPr>
          <w:rFonts w:hint="eastAsia" w:cs="仿宋" w:asciiTheme="majorEastAsia" w:hAnsiTheme="majorEastAsia" w:eastAsiaTheme="majorEastAsia"/>
          <w:color w:val="auto"/>
          <w:kern w:val="2"/>
          <w:sz w:val="32"/>
          <w:szCs w:val="32"/>
        </w:rPr>
        <w:t>一、开标一览表（报价表）</w:t>
      </w:r>
    </w:p>
    <w:p>
      <w:pPr>
        <w:snapToGrid w:val="0"/>
        <w:spacing w:line="360" w:lineRule="auto"/>
        <w:rPr>
          <w:rFonts w:cs="仿宋" w:asciiTheme="majorEastAsia" w:hAnsiTheme="majorEastAsia" w:eastAsiaTheme="majorEastAsia"/>
          <w:color w:val="auto"/>
          <w:kern w:val="0"/>
          <w:sz w:val="24"/>
          <w:u w:val="single"/>
        </w:rPr>
      </w:pPr>
      <w:r>
        <w:rPr>
          <w:rFonts w:hint="eastAsia" w:cs="仿宋" w:asciiTheme="majorEastAsia" w:hAnsiTheme="majorEastAsia" w:eastAsiaTheme="majorEastAsia"/>
          <w:color w:val="auto"/>
          <w:sz w:val="24"/>
        </w:rPr>
        <w:t>（采购人）、（采购代理机构）</w:t>
      </w:r>
      <w:r>
        <w:rPr>
          <w:rFonts w:hint="eastAsia" w:cs="仿宋" w:asciiTheme="majorEastAsia" w:hAnsiTheme="majorEastAsia" w:eastAsiaTheme="majorEastAsia"/>
          <w:color w:val="auto"/>
          <w:kern w:val="0"/>
          <w:sz w:val="24"/>
          <w:lang w:val="zh-CN"/>
        </w:rPr>
        <w:t>：</w:t>
      </w:r>
      <w:r>
        <w:rPr>
          <w:rFonts w:hint="eastAsia" w:cs="仿宋" w:asciiTheme="majorEastAsia" w:hAnsiTheme="majorEastAsia" w:eastAsiaTheme="majorEastAsia"/>
          <w:color w:val="auto"/>
          <w:kern w:val="0"/>
          <w:sz w:val="24"/>
          <w:u w:val="single"/>
        </w:rPr>
        <w:t xml:space="preserve">                                     </w:t>
      </w:r>
    </w:p>
    <w:p>
      <w:pPr>
        <w:snapToGrid w:val="0"/>
        <w:spacing w:line="360" w:lineRule="auto"/>
        <w:ind w:firstLine="482"/>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按你方招标文件要求，我们，本投标文件签字方，谨此向你方发出要约如下：如你方接受本投标，我方承诺按照如下开标一览表（报价表）的价格完成</w:t>
      </w:r>
      <w:r>
        <w:rPr>
          <w:rFonts w:hint="eastAsia" w:cs="仿宋" w:asciiTheme="majorEastAsia" w:hAnsiTheme="majorEastAsia" w:eastAsiaTheme="majorEastAsia"/>
          <w:color w:val="auto"/>
          <w:sz w:val="24"/>
        </w:rPr>
        <w:t>（项目名称）</w:t>
      </w:r>
      <w:r>
        <w:rPr>
          <w:rFonts w:hint="eastAsia" w:cs="仿宋" w:asciiTheme="majorEastAsia" w:hAnsiTheme="majorEastAsia" w:eastAsiaTheme="majorEastAsia"/>
          <w:color w:val="auto"/>
          <w:kern w:val="0"/>
          <w:sz w:val="24"/>
          <w:lang w:val="zh-CN"/>
        </w:rPr>
        <w:t>【招标编号：</w:t>
      </w:r>
      <w:r>
        <w:rPr>
          <w:rFonts w:hint="eastAsia" w:cs="仿宋" w:asciiTheme="majorEastAsia" w:hAnsiTheme="majorEastAsia" w:eastAsiaTheme="majorEastAsia"/>
          <w:color w:val="auto"/>
          <w:sz w:val="24"/>
        </w:rPr>
        <w:t>（采购编号）】的实施</w:t>
      </w:r>
      <w:r>
        <w:rPr>
          <w:rFonts w:hint="eastAsia" w:cs="仿宋" w:asciiTheme="majorEastAsia" w:hAnsiTheme="majorEastAsia" w:eastAsiaTheme="majorEastAsia"/>
          <w:color w:val="auto"/>
          <w:kern w:val="0"/>
          <w:sz w:val="24"/>
          <w:lang w:val="zh-CN"/>
        </w:rPr>
        <w:t>。</w:t>
      </w:r>
    </w:p>
    <w:p>
      <w:pPr>
        <w:spacing w:line="360" w:lineRule="auto"/>
        <w:jc w:val="center"/>
        <w:rPr>
          <w:rFonts w:cs="仿宋" w:asciiTheme="majorEastAsia" w:hAnsiTheme="majorEastAsia" w:eastAsiaTheme="majorEastAsia"/>
          <w:b/>
          <w:color w:val="auto"/>
          <w:kern w:val="0"/>
          <w:sz w:val="24"/>
          <w:lang w:val="zh-CN"/>
        </w:rPr>
      </w:pPr>
      <w:r>
        <w:rPr>
          <w:rFonts w:hint="eastAsia" w:cs="仿宋" w:asciiTheme="majorEastAsia" w:hAnsiTheme="majorEastAsia" w:eastAsiaTheme="majorEastAsia"/>
          <w:b/>
          <w:color w:val="auto"/>
          <w:kern w:val="0"/>
          <w:sz w:val="24"/>
          <w:lang w:val="zh-CN"/>
        </w:rPr>
        <w:t>开标一览表（报价表）(单位均为人民币元)</w:t>
      </w:r>
    </w:p>
    <w:tbl>
      <w:tblPr>
        <w:tblStyle w:val="17"/>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序号</w:t>
            </w:r>
          </w:p>
        </w:tc>
        <w:tc>
          <w:tcPr>
            <w:tcW w:w="1417" w:type="dxa"/>
            <w:vAlign w:val="center"/>
          </w:tcPr>
          <w:p>
            <w:pPr>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名称</w:t>
            </w:r>
          </w:p>
        </w:tc>
        <w:tc>
          <w:tcPr>
            <w:tcW w:w="1843" w:type="dxa"/>
          </w:tcPr>
          <w:p>
            <w:pPr>
              <w:spacing w:line="360" w:lineRule="auto"/>
              <w:jc w:val="center"/>
              <w:rPr>
                <w:rFonts w:cs="仿宋" w:asciiTheme="majorEastAsia" w:hAnsiTheme="majorEastAsia" w:eastAsiaTheme="majorEastAsia"/>
                <w:b/>
                <w:color w:val="auto"/>
                <w:sz w:val="24"/>
              </w:rPr>
            </w:pPr>
          </w:p>
          <w:p>
            <w:pPr>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品牌（如果有）</w:t>
            </w:r>
          </w:p>
        </w:tc>
        <w:tc>
          <w:tcPr>
            <w:tcW w:w="3118" w:type="dxa"/>
            <w:vAlign w:val="center"/>
          </w:tcPr>
          <w:p>
            <w:pPr>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规格型号（或具体服务）</w:t>
            </w:r>
          </w:p>
        </w:tc>
        <w:tc>
          <w:tcPr>
            <w:tcW w:w="993" w:type="dxa"/>
            <w:vAlign w:val="center"/>
          </w:tcPr>
          <w:p>
            <w:pPr>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数量</w:t>
            </w:r>
          </w:p>
        </w:tc>
        <w:tc>
          <w:tcPr>
            <w:tcW w:w="1559" w:type="dxa"/>
            <w:vAlign w:val="center"/>
          </w:tcPr>
          <w:p>
            <w:pPr>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单价</w:t>
            </w:r>
          </w:p>
        </w:tc>
        <w:tc>
          <w:tcPr>
            <w:tcW w:w="1984" w:type="dxa"/>
            <w:vAlign w:val="center"/>
          </w:tcPr>
          <w:p>
            <w:pPr>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总价</w:t>
            </w:r>
          </w:p>
        </w:tc>
        <w:tc>
          <w:tcPr>
            <w:tcW w:w="3119" w:type="dxa"/>
            <w:vAlign w:val="center"/>
          </w:tcPr>
          <w:p>
            <w:pPr>
              <w:spacing w:line="360" w:lineRule="auto"/>
              <w:jc w:val="center"/>
              <w:rPr>
                <w:rFonts w:cs="仿宋" w:asciiTheme="majorEastAsia" w:hAnsiTheme="majorEastAsia" w:eastAsiaTheme="majorEastAsia"/>
                <w:b/>
                <w:color w:val="auto"/>
                <w:sz w:val="24"/>
              </w:rPr>
            </w:pPr>
          </w:p>
          <w:p>
            <w:pPr>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服务要求（年限）</w:t>
            </w:r>
          </w:p>
          <w:p>
            <w:pPr>
              <w:spacing w:line="360" w:lineRule="auto"/>
              <w:jc w:val="center"/>
              <w:rPr>
                <w:rFonts w:cs="仿宋" w:asciiTheme="majorEastAsia" w:hAnsiTheme="majorEastAsia" w:eastAsiaTheme="majorEastAsia"/>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w:t>
            </w:r>
          </w:p>
        </w:tc>
        <w:tc>
          <w:tcPr>
            <w:tcW w:w="1417" w:type="dxa"/>
            <w:vAlign w:val="center"/>
          </w:tcPr>
          <w:p>
            <w:pPr>
              <w:snapToGrid w:val="0"/>
              <w:spacing w:line="360" w:lineRule="auto"/>
              <w:jc w:val="center"/>
              <w:rPr>
                <w:rFonts w:cs="仿宋" w:asciiTheme="majorEastAsia" w:hAnsiTheme="majorEastAsia" w:eastAsiaTheme="majorEastAsia"/>
                <w:color w:val="auto"/>
                <w:sz w:val="24"/>
              </w:rPr>
            </w:pPr>
          </w:p>
        </w:tc>
        <w:tc>
          <w:tcPr>
            <w:tcW w:w="1843" w:type="dxa"/>
            <w:vAlign w:val="center"/>
          </w:tcPr>
          <w:p>
            <w:pPr>
              <w:snapToGrid w:val="0"/>
              <w:spacing w:line="360" w:lineRule="auto"/>
              <w:jc w:val="center"/>
              <w:rPr>
                <w:rFonts w:cs="仿宋" w:asciiTheme="majorEastAsia" w:hAnsiTheme="majorEastAsia" w:eastAsiaTheme="majorEastAsia"/>
                <w:color w:val="auto"/>
                <w:sz w:val="24"/>
              </w:rPr>
            </w:pPr>
          </w:p>
        </w:tc>
        <w:tc>
          <w:tcPr>
            <w:tcW w:w="3118" w:type="dxa"/>
            <w:vAlign w:val="center"/>
          </w:tcPr>
          <w:p>
            <w:pPr>
              <w:snapToGrid w:val="0"/>
              <w:spacing w:line="360" w:lineRule="auto"/>
              <w:jc w:val="center"/>
              <w:rPr>
                <w:rFonts w:cs="仿宋" w:asciiTheme="majorEastAsia" w:hAnsiTheme="majorEastAsia" w:eastAsiaTheme="majorEastAsia"/>
                <w:color w:val="auto"/>
                <w:sz w:val="24"/>
              </w:rPr>
            </w:pPr>
          </w:p>
        </w:tc>
        <w:tc>
          <w:tcPr>
            <w:tcW w:w="993" w:type="dxa"/>
            <w:vAlign w:val="center"/>
          </w:tcPr>
          <w:p>
            <w:pPr>
              <w:snapToGrid w:val="0"/>
              <w:spacing w:line="360" w:lineRule="auto"/>
              <w:jc w:val="center"/>
              <w:rPr>
                <w:rFonts w:cs="仿宋" w:asciiTheme="majorEastAsia" w:hAnsiTheme="majorEastAsia" w:eastAsiaTheme="majorEastAsia"/>
                <w:color w:val="auto"/>
                <w:sz w:val="24"/>
              </w:rPr>
            </w:pPr>
          </w:p>
        </w:tc>
        <w:tc>
          <w:tcPr>
            <w:tcW w:w="1559" w:type="dxa"/>
            <w:vAlign w:val="center"/>
          </w:tcPr>
          <w:p>
            <w:pPr>
              <w:spacing w:line="360" w:lineRule="auto"/>
              <w:jc w:val="center"/>
              <w:rPr>
                <w:rFonts w:cs="仿宋" w:asciiTheme="majorEastAsia" w:hAnsiTheme="majorEastAsia" w:eastAsiaTheme="majorEastAsia"/>
                <w:color w:val="auto"/>
                <w:sz w:val="24"/>
              </w:rPr>
            </w:pPr>
          </w:p>
        </w:tc>
        <w:tc>
          <w:tcPr>
            <w:tcW w:w="1984" w:type="dxa"/>
            <w:vAlign w:val="center"/>
          </w:tcPr>
          <w:p>
            <w:pPr>
              <w:spacing w:line="360" w:lineRule="auto"/>
              <w:jc w:val="center"/>
              <w:rPr>
                <w:rFonts w:cs="仿宋" w:asciiTheme="majorEastAsia" w:hAnsiTheme="majorEastAsia" w:eastAsiaTheme="majorEastAsia"/>
                <w:color w:val="auto"/>
                <w:sz w:val="24"/>
              </w:rPr>
            </w:pPr>
          </w:p>
        </w:tc>
        <w:tc>
          <w:tcPr>
            <w:tcW w:w="3119" w:type="dxa"/>
            <w:vAlign w:val="center"/>
          </w:tcPr>
          <w:p>
            <w:pPr>
              <w:spacing w:line="360" w:lineRule="auto"/>
              <w:jc w:val="center"/>
              <w:rPr>
                <w:rFonts w:cs="仿宋" w:asciiTheme="majorEastAsia" w:hAnsiTheme="majorEastAsia" w:eastAsiaTheme="maj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w:t>
            </w:r>
          </w:p>
        </w:tc>
        <w:tc>
          <w:tcPr>
            <w:tcW w:w="1417" w:type="dxa"/>
            <w:vAlign w:val="center"/>
          </w:tcPr>
          <w:p>
            <w:pPr>
              <w:snapToGrid w:val="0"/>
              <w:spacing w:line="360" w:lineRule="auto"/>
              <w:jc w:val="center"/>
              <w:rPr>
                <w:rFonts w:cs="仿宋" w:asciiTheme="majorEastAsia" w:hAnsiTheme="majorEastAsia" w:eastAsiaTheme="majorEastAsia"/>
                <w:color w:val="auto"/>
                <w:sz w:val="24"/>
              </w:rPr>
            </w:pPr>
          </w:p>
        </w:tc>
        <w:tc>
          <w:tcPr>
            <w:tcW w:w="1843" w:type="dxa"/>
            <w:vAlign w:val="center"/>
          </w:tcPr>
          <w:p>
            <w:pPr>
              <w:snapToGrid w:val="0"/>
              <w:spacing w:line="360" w:lineRule="auto"/>
              <w:jc w:val="center"/>
              <w:rPr>
                <w:rFonts w:cs="仿宋" w:asciiTheme="majorEastAsia" w:hAnsiTheme="majorEastAsia" w:eastAsiaTheme="majorEastAsia"/>
                <w:color w:val="auto"/>
                <w:sz w:val="24"/>
              </w:rPr>
            </w:pPr>
          </w:p>
        </w:tc>
        <w:tc>
          <w:tcPr>
            <w:tcW w:w="3118" w:type="dxa"/>
            <w:vAlign w:val="center"/>
          </w:tcPr>
          <w:p>
            <w:pPr>
              <w:snapToGrid w:val="0"/>
              <w:spacing w:line="360" w:lineRule="auto"/>
              <w:jc w:val="center"/>
              <w:rPr>
                <w:rFonts w:cs="仿宋" w:asciiTheme="majorEastAsia" w:hAnsiTheme="majorEastAsia" w:eastAsiaTheme="majorEastAsia"/>
                <w:color w:val="auto"/>
                <w:sz w:val="24"/>
              </w:rPr>
            </w:pPr>
          </w:p>
        </w:tc>
        <w:tc>
          <w:tcPr>
            <w:tcW w:w="993" w:type="dxa"/>
            <w:vAlign w:val="center"/>
          </w:tcPr>
          <w:p>
            <w:pPr>
              <w:snapToGrid w:val="0"/>
              <w:spacing w:line="360" w:lineRule="auto"/>
              <w:jc w:val="center"/>
              <w:rPr>
                <w:rFonts w:cs="仿宋" w:asciiTheme="majorEastAsia" w:hAnsiTheme="majorEastAsia" w:eastAsiaTheme="majorEastAsia"/>
                <w:color w:val="auto"/>
                <w:sz w:val="24"/>
              </w:rPr>
            </w:pPr>
          </w:p>
        </w:tc>
        <w:tc>
          <w:tcPr>
            <w:tcW w:w="1559" w:type="dxa"/>
            <w:vAlign w:val="center"/>
          </w:tcPr>
          <w:p>
            <w:pPr>
              <w:spacing w:line="360" w:lineRule="auto"/>
              <w:jc w:val="center"/>
              <w:rPr>
                <w:rFonts w:cs="仿宋" w:asciiTheme="majorEastAsia" w:hAnsiTheme="majorEastAsia" w:eastAsiaTheme="majorEastAsia"/>
                <w:color w:val="auto"/>
                <w:sz w:val="24"/>
              </w:rPr>
            </w:pPr>
          </w:p>
        </w:tc>
        <w:tc>
          <w:tcPr>
            <w:tcW w:w="1984" w:type="dxa"/>
            <w:vAlign w:val="center"/>
          </w:tcPr>
          <w:p>
            <w:pPr>
              <w:spacing w:line="360" w:lineRule="auto"/>
              <w:jc w:val="center"/>
              <w:rPr>
                <w:rFonts w:cs="仿宋" w:asciiTheme="majorEastAsia" w:hAnsiTheme="majorEastAsia" w:eastAsiaTheme="majorEastAsia"/>
                <w:color w:val="auto"/>
                <w:sz w:val="24"/>
              </w:rPr>
            </w:pPr>
          </w:p>
        </w:tc>
        <w:tc>
          <w:tcPr>
            <w:tcW w:w="3119" w:type="dxa"/>
            <w:vAlign w:val="center"/>
          </w:tcPr>
          <w:p>
            <w:pPr>
              <w:spacing w:line="360" w:lineRule="auto"/>
              <w:jc w:val="center"/>
              <w:rPr>
                <w:rFonts w:cs="仿宋" w:asciiTheme="majorEastAsia" w:hAnsiTheme="majorEastAsia" w:eastAsiaTheme="maj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w:t>
            </w:r>
          </w:p>
        </w:tc>
        <w:tc>
          <w:tcPr>
            <w:tcW w:w="1417" w:type="dxa"/>
            <w:vAlign w:val="center"/>
          </w:tcPr>
          <w:p>
            <w:pPr>
              <w:snapToGrid w:val="0"/>
              <w:spacing w:line="360" w:lineRule="auto"/>
              <w:jc w:val="center"/>
              <w:rPr>
                <w:rFonts w:cs="仿宋" w:asciiTheme="majorEastAsia" w:hAnsiTheme="majorEastAsia" w:eastAsiaTheme="majorEastAsia"/>
                <w:color w:val="auto"/>
                <w:sz w:val="24"/>
              </w:rPr>
            </w:pPr>
          </w:p>
        </w:tc>
        <w:tc>
          <w:tcPr>
            <w:tcW w:w="1843" w:type="dxa"/>
            <w:vAlign w:val="center"/>
          </w:tcPr>
          <w:p>
            <w:pPr>
              <w:snapToGrid w:val="0"/>
              <w:spacing w:line="360" w:lineRule="auto"/>
              <w:jc w:val="center"/>
              <w:rPr>
                <w:rFonts w:cs="仿宋" w:asciiTheme="majorEastAsia" w:hAnsiTheme="majorEastAsia" w:eastAsiaTheme="majorEastAsia"/>
                <w:color w:val="auto"/>
                <w:sz w:val="24"/>
              </w:rPr>
            </w:pPr>
          </w:p>
        </w:tc>
        <w:tc>
          <w:tcPr>
            <w:tcW w:w="3118" w:type="dxa"/>
            <w:vAlign w:val="center"/>
          </w:tcPr>
          <w:p>
            <w:pPr>
              <w:snapToGrid w:val="0"/>
              <w:spacing w:line="360" w:lineRule="auto"/>
              <w:jc w:val="center"/>
              <w:rPr>
                <w:rFonts w:cs="仿宋" w:asciiTheme="majorEastAsia" w:hAnsiTheme="majorEastAsia" w:eastAsiaTheme="majorEastAsia"/>
                <w:color w:val="auto"/>
                <w:sz w:val="24"/>
              </w:rPr>
            </w:pPr>
          </w:p>
        </w:tc>
        <w:tc>
          <w:tcPr>
            <w:tcW w:w="993" w:type="dxa"/>
            <w:vAlign w:val="center"/>
          </w:tcPr>
          <w:p>
            <w:pPr>
              <w:snapToGrid w:val="0"/>
              <w:spacing w:line="360" w:lineRule="auto"/>
              <w:jc w:val="center"/>
              <w:rPr>
                <w:rFonts w:cs="仿宋" w:asciiTheme="majorEastAsia" w:hAnsiTheme="majorEastAsia" w:eastAsiaTheme="majorEastAsia"/>
                <w:color w:val="auto"/>
                <w:sz w:val="24"/>
              </w:rPr>
            </w:pPr>
          </w:p>
        </w:tc>
        <w:tc>
          <w:tcPr>
            <w:tcW w:w="1559" w:type="dxa"/>
            <w:vAlign w:val="center"/>
          </w:tcPr>
          <w:p>
            <w:pPr>
              <w:spacing w:line="360" w:lineRule="auto"/>
              <w:jc w:val="center"/>
              <w:rPr>
                <w:rFonts w:cs="仿宋" w:asciiTheme="majorEastAsia" w:hAnsiTheme="majorEastAsia" w:eastAsiaTheme="majorEastAsia"/>
                <w:color w:val="auto"/>
                <w:sz w:val="24"/>
              </w:rPr>
            </w:pPr>
          </w:p>
        </w:tc>
        <w:tc>
          <w:tcPr>
            <w:tcW w:w="1984" w:type="dxa"/>
            <w:vAlign w:val="center"/>
          </w:tcPr>
          <w:p>
            <w:pPr>
              <w:spacing w:line="360" w:lineRule="auto"/>
              <w:jc w:val="center"/>
              <w:rPr>
                <w:rFonts w:cs="仿宋" w:asciiTheme="majorEastAsia" w:hAnsiTheme="majorEastAsia" w:eastAsiaTheme="majorEastAsia"/>
                <w:color w:val="auto"/>
                <w:sz w:val="24"/>
              </w:rPr>
            </w:pPr>
          </w:p>
        </w:tc>
        <w:tc>
          <w:tcPr>
            <w:tcW w:w="3119" w:type="dxa"/>
            <w:vAlign w:val="center"/>
          </w:tcPr>
          <w:p>
            <w:pPr>
              <w:spacing w:line="360" w:lineRule="auto"/>
              <w:jc w:val="center"/>
              <w:rPr>
                <w:rFonts w:cs="仿宋" w:asciiTheme="majorEastAsia" w:hAnsiTheme="majorEastAsia" w:eastAsiaTheme="maj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cs="仿宋" w:asciiTheme="majorEastAsia" w:hAnsiTheme="majorEastAsia" w:eastAsiaTheme="majorEastAsia"/>
                <w:color w:val="auto"/>
                <w:sz w:val="24"/>
              </w:rPr>
            </w:pPr>
          </w:p>
        </w:tc>
        <w:tc>
          <w:tcPr>
            <w:tcW w:w="1417" w:type="dxa"/>
            <w:vAlign w:val="center"/>
          </w:tcPr>
          <w:p>
            <w:pPr>
              <w:snapToGrid w:val="0"/>
              <w:spacing w:line="360" w:lineRule="auto"/>
              <w:jc w:val="center"/>
              <w:rPr>
                <w:rFonts w:cs="仿宋" w:asciiTheme="majorEastAsia" w:hAnsiTheme="majorEastAsia" w:eastAsiaTheme="majorEastAsia"/>
                <w:color w:val="auto"/>
                <w:sz w:val="24"/>
              </w:rPr>
            </w:pPr>
          </w:p>
        </w:tc>
        <w:tc>
          <w:tcPr>
            <w:tcW w:w="1843" w:type="dxa"/>
            <w:vAlign w:val="center"/>
          </w:tcPr>
          <w:p>
            <w:pPr>
              <w:snapToGrid w:val="0"/>
              <w:spacing w:line="360" w:lineRule="auto"/>
              <w:jc w:val="center"/>
              <w:rPr>
                <w:rFonts w:cs="仿宋" w:asciiTheme="majorEastAsia" w:hAnsiTheme="majorEastAsia" w:eastAsiaTheme="majorEastAsia"/>
                <w:color w:val="auto"/>
                <w:sz w:val="24"/>
              </w:rPr>
            </w:pPr>
          </w:p>
        </w:tc>
        <w:tc>
          <w:tcPr>
            <w:tcW w:w="3118" w:type="dxa"/>
            <w:vAlign w:val="center"/>
          </w:tcPr>
          <w:p>
            <w:pPr>
              <w:snapToGrid w:val="0"/>
              <w:spacing w:line="360" w:lineRule="auto"/>
              <w:jc w:val="center"/>
              <w:rPr>
                <w:rFonts w:cs="仿宋" w:asciiTheme="majorEastAsia" w:hAnsiTheme="majorEastAsia" w:eastAsiaTheme="majorEastAsia"/>
                <w:color w:val="auto"/>
                <w:sz w:val="24"/>
              </w:rPr>
            </w:pPr>
          </w:p>
        </w:tc>
        <w:tc>
          <w:tcPr>
            <w:tcW w:w="993" w:type="dxa"/>
            <w:vAlign w:val="center"/>
          </w:tcPr>
          <w:p>
            <w:pPr>
              <w:snapToGrid w:val="0"/>
              <w:spacing w:line="360" w:lineRule="auto"/>
              <w:jc w:val="center"/>
              <w:rPr>
                <w:rFonts w:cs="仿宋" w:asciiTheme="majorEastAsia" w:hAnsiTheme="majorEastAsia" w:eastAsiaTheme="majorEastAsia"/>
                <w:color w:val="auto"/>
                <w:sz w:val="24"/>
              </w:rPr>
            </w:pPr>
          </w:p>
        </w:tc>
        <w:tc>
          <w:tcPr>
            <w:tcW w:w="1559" w:type="dxa"/>
            <w:vAlign w:val="center"/>
          </w:tcPr>
          <w:p>
            <w:pPr>
              <w:spacing w:line="360" w:lineRule="auto"/>
              <w:jc w:val="center"/>
              <w:rPr>
                <w:rFonts w:cs="仿宋" w:asciiTheme="majorEastAsia" w:hAnsiTheme="majorEastAsia" w:eastAsiaTheme="majorEastAsia"/>
                <w:color w:val="auto"/>
                <w:sz w:val="24"/>
              </w:rPr>
            </w:pPr>
          </w:p>
        </w:tc>
        <w:tc>
          <w:tcPr>
            <w:tcW w:w="1984" w:type="dxa"/>
            <w:vAlign w:val="center"/>
          </w:tcPr>
          <w:p>
            <w:pPr>
              <w:spacing w:line="360" w:lineRule="auto"/>
              <w:jc w:val="center"/>
              <w:rPr>
                <w:rFonts w:cs="仿宋" w:asciiTheme="majorEastAsia" w:hAnsiTheme="majorEastAsia" w:eastAsiaTheme="majorEastAsia"/>
                <w:color w:val="auto"/>
                <w:sz w:val="24"/>
              </w:rPr>
            </w:pPr>
          </w:p>
        </w:tc>
        <w:tc>
          <w:tcPr>
            <w:tcW w:w="3119" w:type="dxa"/>
            <w:vAlign w:val="center"/>
          </w:tcPr>
          <w:p>
            <w:pPr>
              <w:spacing w:line="360" w:lineRule="auto"/>
              <w:jc w:val="center"/>
              <w:rPr>
                <w:rFonts w:cs="仿宋" w:asciiTheme="majorEastAsia" w:hAnsiTheme="majorEastAsia" w:eastAsiaTheme="maj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cs="仿宋" w:asciiTheme="majorEastAsia" w:hAnsiTheme="majorEastAsia" w:eastAsiaTheme="majorEastAsia"/>
                <w:color w:val="auto"/>
                <w:sz w:val="24"/>
              </w:rPr>
            </w:pPr>
          </w:p>
        </w:tc>
        <w:tc>
          <w:tcPr>
            <w:tcW w:w="1417" w:type="dxa"/>
            <w:vAlign w:val="center"/>
          </w:tcPr>
          <w:p>
            <w:pPr>
              <w:snapToGrid w:val="0"/>
              <w:spacing w:line="360" w:lineRule="auto"/>
              <w:jc w:val="center"/>
              <w:rPr>
                <w:rFonts w:cs="仿宋" w:asciiTheme="majorEastAsia" w:hAnsiTheme="majorEastAsia" w:eastAsiaTheme="majorEastAsia"/>
                <w:color w:val="auto"/>
                <w:sz w:val="24"/>
              </w:rPr>
            </w:pPr>
          </w:p>
        </w:tc>
        <w:tc>
          <w:tcPr>
            <w:tcW w:w="1843" w:type="dxa"/>
            <w:vAlign w:val="center"/>
          </w:tcPr>
          <w:p>
            <w:pPr>
              <w:snapToGrid w:val="0"/>
              <w:spacing w:line="360" w:lineRule="auto"/>
              <w:jc w:val="center"/>
              <w:rPr>
                <w:rFonts w:cs="仿宋" w:asciiTheme="majorEastAsia" w:hAnsiTheme="majorEastAsia" w:eastAsiaTheme="majorEastAsia"/>
                <w:color w:val="auto"/>
                <w:sz w:val="24"/>
              </w:rPr>
            </w:pPr>
          </w:p>
        </w:tc>
        <w:tc>
          <w:tcPr>
            <w:tcW w:w="3118" w:type="dxa"/>
            <w:vAlign w:val="center"/>
          </w:tcPr>
          <w:p>
            <w:pPr>
              <w:snapToGrid w:val="0"/>
              <w:spacing w:line="360" w:lineRule="auto"/>
              <w:jc w:val="center"/>
              <w:rPr>
                <w:rFonts w:cs="仿宋" w:asciiTheme="majorEastAsia" w:hAnsiTheme="majorEastAsia" w:eastAsiaTheme="majorEastAsia"/>
                <w:color w:val="auto"/>
                <w:sz w:val="24"/>
              </w:rPr>
            </w:pPr>
          </w:p>
        </w:tc>
        <w:tc>
          <w:tcPr>
            <w:tcW w:w="993" w:type="dxa"/>
            <w:vAlign w:val="center"/>
          </w:tcPr>
          <w:p>
            <w:pPr>
              <w:snapToGrid w:val="0"/>
              <w:spacing w:line="360" w:lineRule="auto"/>
              <w:jc w:val="center"/>
              <w:rPr>
                <w:rFonts w:cs="仿宋" w:asciiTheme="majorEastAsia" w:hAnsiTheme="majorEastAsia" w:eastAsiaTheme="majorEastAsia"/>
                <w:color w:val="auto"/>
                <w:sz w:val="24"/>
              </w:rPr>
            </w:pPr>
          </w:p>
        </w:tc>
        <w:tc>
          <w:tcPr>
            <w:tcW w:w="1559" w:type="dxa"/>
            <w:vAlign w:val="center"/>
          </w:tcPr>
          <w:p>
            <w:pPr>
              <w:spacing w:line="360" w:lineRule="auto"/>
              <w:jc w:val="center"/>
              <w:rPr>
                <w:rFonts w:cs="仿宋" w:asciiTheme="majorEastAsia" w:hAnsiTheme="majorEastAsia" w:eastAsiaTheme="majorEastAsia"/>
                <w:color w:val="auto"/>
                <w:sz w:val="24"/>
              </w:rPr>
            </w:pPr>
          </w:p>
        </w:tc>
        <w:tc>
          <w:tcPr>
            <w:tcW w:w="1984" w:type="dxa"/>
            <w:vAlign w:val="center"/>
          </w:tcPr>
          <w:p>
            <w:pPr>
              <w:spacing w:line="360" w:lineRule="auto"/>
              <w:jc w:val="center"/>
              <w:rPr>
                <w:rFonts w:cs="仿宋" w:asciiTheme="majorEastAsia" w:hAnsiTheme="majorEastAsia" w:eastAsiaTheme="majorEastAsia"/>
                <w:color w:val="auto"/>
                <w:sz w:val="24"/>
              </w:rPr>
            </w:pPr>
          </w:p>
        </w:tc>
        <w:tc>
          <w:tcPr>
            <w:tcW w:w="3119" w:type="dxa"/>
            <w:vAlign w:val="center"/>
          </w:tcPr>
          <w:p>
            <w:pPr>
              <w:spacing w:line="360" w:lineRule="auto"/>
              <w:jc w:val="center"/>
              <w:rPr>
                <w:rFonts w:cs="仿宋" w:asciiTheme="majorEastAsia" w:hAnsiTheme="majorEastAsia" w:eastAsiaTheme="maj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投标报价（小写）</w:t>
            </w:r>
          </w:p>
        </w:tc>
        <w:tc>
          <w:tcPr>
            <w:tcW w:w="7655" w:type="dxa"/>
            <w:gridSpan w:val="4"/>
            <w:vAlign w:val="center"/>
          </w:tcPr>
          <w:p>
            <w:pPr>
              <w:spacing w:line="360" w:lineRule="auto"/>
              <w:jc w:val="center"/>
              <w:rPr>
                <w:rFonts w:cs="仿宋" w:asciiTheme="majorEastAsia" w:hAnsiTheme="majorEastAsia" w:eastAsiaTheme="maj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投标报价（大写）</w:t>
            </w:r>
          </w:p>
        </w:tc>
        <w:tc>
          <w:tcPr>
            <w:tcW w:w="7655" w:type="dxa"/>
            <w:gridSpan w:val="4"/>
            <w:vAlign w:val="center"/>
          </w:tcPr>
          <w:p>
            <w:pPr>
              <w:spacing w:line="360" w:lineRule="auto"/>
              <w:jc w:val="center"/>
              <w:rPr>
                <w:rFonts w:cs="仿宋" w:asciiTheme="majorEastAsia" w:hAnsiTheme="majorEastAsia" w:eastAsiaTheme="majorEastAsia"/>
                <w:color w:val="auto"/>
                <w:sz w:val="24"/>
              </w:rPr>
            </w:pPr>
          </w:p>
        </w:tc>
      </w:tr>
    </w:tbl>
    <w:p>
      <w:pPr>
        <w:snapToGrid w:val="0"/>
        <w:spacing w:line="360" w:lineRule="auto"/>
        <w:ind w:left="480"/>
        <w:rPr>
          <w:rFonts w:cs="仿宋" w:asciiTheme="majorEastAsia" w:hAnsiTheme="majorEastAsia" w:eastAsiaTheme="majorEastAsia"/>
          <w:b/>
          <w:color w:val="auto"/>
          <w:kern w:val="0"/>
          <w:sz w:val="24"/>
          <w:lang w:val="zh-CN"/>
        </w:rPr>
      </w:pPr>
      <w:r>
        <w:rPr>
          <w:rFonts w:hint="eastAsia" w:cs="仿宋" w:asciiTheme="majorEastAsia" w:hAnsiTheme="majorEastAsia" w:eastAsiaTheme="majorEastAsia"/>
          <w:b/>
          <w:color w:val="auto"/>
          <w:kern w:val="0"/>
          <w:sz w:val="24"/>
          <w:lang w:val="zh-CN"/>
        </w:rPr>
        <w:t>注：</w:t>
      </w:r>
    </w:p>
    <w:p>
      <w:pPr>
        <w:spacing w:line="360" w:lineRule="auto"/>
        <w:ind w:left="-2" w:leftChars="-1" w:firstLine="480" w:firstLineChars="20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1、投标人需按本表格式填写，不得自行更改。</w:t>
      </w:r>
    </w:p>
    <w:p>
      <w:pPr>
        <w:spacing w:line="360" w:lineRule="auto"/>
        <w:ind w:firstLine="480" w:firstLineChars="20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2、有关本项目实施所涉及的一切费用均计入报价。</w:t>
      </w:r>
      <w:r>
        <w:rPr>
          <w:rFonts w:hint="eastAsia" w:cs="仿宋" w:asciiTheme="majorEastAsia" w:hAnsiTheme="majorEastAsia" w:eastAsiaTheme="majorEastAsia"/>
          <w:b/>
          <w:color w:val="auto"/>
          <w:kern w:val="0"/>
          <w:sz w:val="24"/>
          <w:lang w:val="zh-CN"/>
        </w:rPr>
        <w:t>采购人将以合同形式有偿取得货物或服务，不接受投标人给予的赠品、回扣或者与采购无关的其他商品、服务</w:t>
      </w:r>
      <w:r>
        <w:rPr>
          <w:rFonts w:hint="eastAsia" w:cs="仿宋" w:asciiTheme="majorEastAsia" w:hAnsiTheme="majorEastAsia" w:eastAsiaTheme="majorEastAsia"/>
          <w:color w:val="auto"/>
          <w:kern w:val="0"/>
          <w:sz w:val="24"/>
          <w:lang w:val="zh-CN"/>
        </w:rPr>
        <w:t>，</w:t>
      </w:r>
      <w:r>
        <w:rPr>
          <w:rFonts w:hint="eastAsia" w:cs="仿宋" w:asciiTheme="majorEastAsia" w:hAnsiTheme="majorEastAsia" w:eastAsiaTheme="majorEastAsia"/>
          <w:b/>
          <w:color w:val="auto"/>
          <w:kern w:val="0"/>
          <w:sz w:val="24"/>
          <w:lang w:val="zh-CN"/>
        </w:rPr>
        <w:t>不得出现“0元”“免费赠送”等形式的无偿报价，</w:t>
      </w:r>
      <w:r>
        <w:rPr>
          <w:rFonts w:hint="eastAsia" w:cs="仿宋" w:asciiTheme="majorEastAsia" w:hAnsiTheme="majorEastAsia" w:eastAsiaTheme="majorEastAsia"/>
          <w:b/>
          <w:color w:val="auto"/>
          <w:kern w:val="0"/>
          <w:sz w:val="24"/>
        </w:rPr>
        <w:t>否则视为</w:t>
      </w:r>
      <w:r>
        <w:rPr>
          <w:rFonts w:hint="eastAsia" w:cs="仿宋" w:asciiTheme="majorEastAsia" w:hAnsiTheme="majorEastAsia" w:eastAsiaTheme="majorEastAsia"/>
          <w:b/>
          <w:color w:val="auto"/>
          <w:sz w:val="24"/>
        </w:rPr>
        <w:t>投标文件含有采购人不能接受的附加条件的，投标无效</w:t>
      </w:r>
      <w:r>
        <w:rPr>
          <w:rFonts w:hint="eastAsia" w:cs="仿宋" w:asciiTheme="majorEastAsia" w:hAnsiTheme="majorEastAsia" w:eastAsiaTheme="majorEastAsia"/>
          <w:b/>
          <w:color w:val="auto"/>
          <w:kern w:val="0"/>
          <w:sz w:val="24"/>
          <w:lang w:val="zh-CN"/>
        </w:rPr>
        <w:t>。</w:t>
      </w:r>
    </w:p>
    <w:p>
      <w:pPr>
        <w:snapToGrid w:val="0"/>
        <w:spacing w:line="360" w:lineRule="auto"/>
        <w:ind w:firstLine="480" w:firstLineChars="2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3、以上表格要求细分项目及报价，在“规格型号（或具体服务）”一栏中，货物类项目填写规格型号，服务类项目填写具体服务。</w:t>
      </w:r>
    </w:p>
    <w:p>
      <w:pPr>
        <w:spacing w:line="360" w:lineRule="auto"/>
        <w:ind w:left="3780" w:leftChars="1800"/>
        <w:rPr>
          <w:rFonts w:cs="仿宋" w:asciiTheme="majorEastAsia" w:hAnsiTheme="majorEastAsia" w:eastAsiaTheme="majorEastAsia"/>
          <w:color w:val="auto"/>
          <w:sz w:val="32"/>
          <w:szCs w:val="32"/>
        </w:rPr>
      </w:pPr>
    </w:p>
    <w:p>
      <w:pPr>
        <w:pStyle w:val="2"/>
        <w:spacing w:line="360" w:lineRule="auto"/>
        <w:ind w:firstLine="640"/>
        <w:rPr>
          <w:rFonts w:cs="仿宋" w:asciiTheme="majorEastAsia" w:hAnsiTheme="majorEastAsia" w:eastAsiaTheme="majorEastAsia"/>
          <w:color w:val="auto"/>
          <w:sz w:val="32"/>
          <w:szCs w:val="32"/>
        </w:rPr>
      </w:pPr>
    </w:p>
    <w:p>
      <w:pPr>
        <w:pStyle w:val="2"/>
        <w:spacing w:line="360" w:lineRule="auto"/>
        <w:ind w:firstLine="640"/>
        <w:rPr>
          <w:rFonts w:cs="仿宋" w:asciiTheme="majorEastAsia" w:hAnsiTheme="majorEastAsia" w:eastAsiaTheme="majorEastAsia"/>
          <w:color w:val="auto"/>
          <w:sz w:val="32"/>
          <w:szCs w:val="32"/>
        </w:rPr>
      </w:pPr>
    </w:p>
    <w:p>
      <w:pPr>
        <w:spacing w:line="360" w:lineRule="auto"/>
        <w:ind w:left="7560" w:leftChars="36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法定代表人或其授权委托人（签名或印章）：        </w:t>
      </w:r>
    </w:p>
    <w:p>
      <w:pPr>
        <w:spacing w:line="360" w:lineRule="auto"/>
        <w:ind w:left="7560" w:leftChars="36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投标人（盖章）：         </w:t>
      </w:r>
    </w:p>
    <w:p>
      <w:pPr>
        <w:spacing w:line="360" w:lineRule="auto"/>
        <w:ind w:left="7560" w:leftChars="3600"/>
        <w:rPr>
          <w:rFonts w:asciiTheme="majorEastAsia" w:hAnsiTheme="majorEastAsia" w:eastAsiaTheme="majorEastAsia"/>
          <w:color w:val="auto"/>
        </w:rPr>
        <w:sectPr>
          <w:pgSz w:w="16838" w:h="11906" w:orient="landscape"/>
          <w:pgMar w:top="1418" w:right="1247" w:bottom="1418" w:left="1276" w:header="851" w:footer="992" w:gutter="0"/>
          <w:cols w:space="720" w:num="1"/>
          <w:titlePg/>
          <w:docGrid w:linePitch="312" w:charSpace="0"/>
        </w:sectPr>
      </w:pPr>
      <w:r>
        <w:rPr>
          <w:rFonts w:hint="eastAsia" w:cs="仿宋" w:asciiTheme="majorEastAsia" w:hAnsiTheme="majorEastAsia" w:eastAsiaTheme="majorEastAsia"/>
          <w:color w:val="auto"/>
          <w:sz w:val="24"/>
        </w:rPr>
        <w:t xml:space="preserve">日  期： </w:t>
      </w:r>
    </w:p>
    <w:p>
      <w:pPr>
        <w:pStyle w:val="30"/>
        <w:keepNext w:val="0"/>
        <w:pageBreakBefore w:val="0"/>
        <w:tabs>
          <w:tab w:val="clear" w:pos="720"/>
        </w:tabs>
        <w:snapToGrid w:val="0"/>
        <w:spacing w:before="120" w:after="120"/>
        <w:ind w:firstLine="643"/>
        <w:outlineLvl w:val="9"/>
        <w:rPr>
          <w:rFonts w:cs="仿宋" w:asciiTheme="majorEastAsia" w:hAnsiTheme="majorEastAsia" w:eastAsiaTheme="majorEastAsia"/>
          <w:color w:val="auto"/>
          <w:kern w:val="2"/>
          <w:sz w:val="32"/>
          <w:szCs w:val="32"/>
        </w:rPr>
      </w:pPr>
      <w:r>
        <w:rPr>
          <w:rFonts w:hint="eastAsia" w:cs="仿宋" w:asciiTheme="majorEastAsia" w:hAnsiTheme="majorEastAsia" w:eastAsiaTheme="majorEastAsia"/>
          <w:color w:val="auto"/>
          <w:kern w:val="2"/>
          <w:sz w:val="32"/>
          <w:szCs w:val="32"/>
        </w:rPr>
        <w:t>二、投标报价明细表</w:t>
      </w:r>
    </w:p>
    <w:p>
      <w:pPr>
        <w:snapToGrid w:val="0"/>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投标人名称：</w:t>
      </w:r>
      <w:r>
        <w:rPr>
          <w:rFonts w:hint="eastAsia" w:cs="仿宋" w:asciiTheme="majorEastAsia" w:hAnsiTheme="majorEastAsia" w:eastAsiaTheme="majorEastAsia"/>
          <w:color w:val="auto"/>
          <w:kern w:val="0"/>
          <w:sz w:val="24"/>
          <w:u w:val="single"/>
        </w:rPr>
        <w:t xml:space="preserve">                            </w:t>
      </w:r>
    </w:p>
    <w:p>
      <w:pPr>
        <w:snapToGrid w:val="0"/>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标    项：</w:t>
      </w:r>
      <w:r>
        <w:rPr>
          <w:rFonts w:hint="eastAsia" w:cs="仿宋" w:asciiTheme="majorEastAsia" w:hAnsiTheme="majorEastAsia" w:eastAsiaTheme="majorEastAsia"/>
          <w:color w:val="auto"/>
          <w:kern w:val="0"/>
          <w:sz w:val="24"/>
          <w:u w:val="single"/>
        </w:rPr>
        <w:t xml:space="preserve">                              </w:t>
      </w:r>
    </w:p>
    <w:p>
      <w:pPr>
        <w:snapToGri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项目编号： </w:t>
      </w:r>
      <w:r>
        <w:rPr>
          <w:rFonts w:hint="eastAsia" w:cs="仿宋" w:asciiTheme="majorEastAsia" w:hAnsiTheme="majorEastAsia" w:eastAsiaTheme="majorEastAsia"/>
          <w:color w:val="auto"/>
          <w:kern w:val="0"/>
          <w:sz w:val="24"/>
          <w:u w:val="single"/>
        </w:rPr>
        <w:t xml:space="preserve">                             </w:t>
      </w:r>
      <w:r>
        <w:rPr>
          <w:rFonts w:hint="eastAsia" w:cs="仿宋" w:asciiTheme="majorEastAsia" w:hAnsiTheme="majorEastAsia" w:eastAsiaTheme="majorEastAsia"/>
          <w:color w:val="auto"/>
          <w:sz w:val="24"/>
        </w:rPr>
        <w:t xml:space="preserve">           金额单位：人民币（元）</w:t>
      </w:r>
    </w:p>
    <w:tbl>
      <w:tblPr>
        <w:tblStyle w:val="17"/>
        <w:tblW w:w="101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399"/>
        <w:gridCol w:w="1846"/>
        <w:gridCol w:w="1637"/>
        <w:gridCol w:w="1513"/>
        <w:gridCol w:w="150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9"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序号</w:t>
            </w:r>
          </w:p>
        </w:tc>
        <w:tc>
          <w:tcPr>
            <w:tcW w:w="13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名称</w:t>
            </w:r>
          </w:p>
        </w:tc>
        <w:tc>
          <w:tcPr>
            <w:tcW w:w="18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品牌（如有）</w:t>
            </w:r>
          </w:p>
        </w:tc>
        <w:tc>
          <w:tcPr>
            <w:tcW w:w="163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cs="仿宋" w:asciiTheme="majorEastAsia" w:hAnsiTheme="majorEastAsia" w:eastAsiaTheme="majorEastAsia"/>
                <w:color w:val="auto"/>
                <w:sz w:val="24"/>
                <w:lang w:val="en-US" w:eastAsia="zh-CN"/>
              </w:rPr>
            </w:pPr>
            <w:r>
              <w:rPr>
                <w:rFonts w:hint="eastAsia" w:cs="仿宋" w:asciiTheme="majorEastAsia" w:hAnsiTheme="majorEastAsia" w:eastAsiaTheme="majorEastAsia"/>
                <w:color w:val="auto"/>
                <w:sz w:val="24"/>
              </w:rPr>
              <w:t>规格型号</w:t>
            </w:r>
            <w:r>
              <w:rPr>
                <w:rFonts w:hint="eastAsia" w:cs="仿宋" w:asciiTheme="majorEastAsia" w:hAnsiTheme="majorEastAsia" w:eastAsiaTheme="majorEastAsia"/>
                <w:color w:val="auto"/>
                <w:sz w:val="24"/>
                <w:lang w:eastAsia="zh-CN"/>
              </w:rPr>
              <w:t>（</w:t>
            </w:r>
            <w:r>
              <w:rPr>
                <w:rFonts w:hint="eastAsia" w:cs="仿宋" w:asciiTheme="majorEastAsia" w:hAnsiTheme="majorEastAsia" w:eastAsiaTheme="majorEastAsia"/>
                <w:color w:val="auto"/>
                <w:sz w:val="24"/>
                <w:lang w:val="en-US" w:eastAsia="zh-CN"/>
              </w:rPr>
              <w:t>或具体服务）</w:t>
            </w:r>
          </w:p>
        </w:tc>
        <w:tc>
          <w:tcPr>
            <w:tcW w:w="15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单位及数量</w:t>
            </w:r>
          </w:p>
        </w:tc>
        <w:tc>
          <w:tcPr>
            <w:tcW w:w="15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单价</w:t>
            </w:r>
          </w:p>
        </w:tc>
        <w:tc>
          <w:tcPr>
            <w:tcW w:w="14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合计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846"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637"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513"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411"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846"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637"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513"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411"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846"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637"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513"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411"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846"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637"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513"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411"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846"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637"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513"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411"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846"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637"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513"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411"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846"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637"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513"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411"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846"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637"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513"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411"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846"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637"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513"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411"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846"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637"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513"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411"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846"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637"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513"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411"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w:t>
            </w:r>
          </w:p>
        </w:tc>
        <w:tc>
          <w:tcPr>
            <w:tcW w:w="1846"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637"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513"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411"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811"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sz w:val="24"/>
              </w:rPr>
            </w:pPr>
          </w:p>
        </w:tc>
        <w:tc>
          <w:tcPr>
            <w:tcW w:w="4882" w:type="dxa"/>
            <w:gridSpan w:val="3"/>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总报价：</w:t>
            </w:r>
          </w:p>
        </w:tc>
        <w:tc>
          <w:tcPr>
            <w:tcW w:w="1513"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c>
          <w:tcPr>
            <w:tcW w:w="1411"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color w:val="auto"/>
              </w:rPr>
            </w:pPr>
          </w:p>
        </w:tc>
      </w:tr>
    </w:tbl>
    <w:p>
      <w:pPr>
        <w:pStyle w:val="9"/>
        <w:spacing w:line="360" w:lineRule="auto"/>
        <w:ind w:left="-178" w:leftChars="-85"/>
        <w:rPr>
          <w:rFonts w:cs="仿宋" w:asciiTheme="majorEastAsia" w:hAnsiTheme="majorEastAsia" w:eastAsiaTheme="majorEastAsia"/>
          <w:color w:val="auto"/>
        </w:rPr>
      </w:pPr>
      <w:r>
        <w:rPr>
          <w:rFonts w:hint="eastAsia" w:cs="仿宋" w:asciiTheme="majorEastAsia" w:hAnsiTheme="majorEastAsia" w:eastAsiaTheme="majorEastAsia"/>
          <w:color w:val="auto"/>
        </w:rPr>
        <w:t>注：</w:t>
      </w:r>
    </w:p>
    <w:p>
      <w:pPr>
        <w:pStyle w:val="9"/>
        <w:spacing w:line="360" w:lineRule="auto"/>
        <w:ind w:left="-178" w:leftChars="-85"/>
        <w:rPr>
          <w:rFonts w:cs="仿宋" w:asciiTheme="majorEastAsia" w:hAnsiTheme="majorEastAsia" w:eastAsiaTheme="majorEastAsia"/>
          <w:color w:val="auto"/>
        </w:rPr>
      </w:pPr>
      <w:r>
        <w:rPr>
          <w:rFonts w:hint="eastAsia" w:cs="仿宋" w:asciiTheme="majorEastAsia" w:hAnsiTheme="majorEastAsia" w:eastAsiaTheme="majorEastAsia"/>
          <w:color w:val="auto"/>
        </w:rPr>
        <w:t>1.本表格仅供参考，投标人可根据项目实际情况扩展表格。</w:t>
      </w:r>
    </w:p>
    <w:p>
      <w:pPr>
        <w:pStyle w:val="9"/>
        <w:spacing w:line="360" w:lineRule="auto"/>
        <w:ind w:left="-178" w:leftChars="-85"/>
        <w:rPr>
          <w:rFonts w:cs="仿宋" w:asciiTheme="majorEastAsia" w:hAnsiTheme="majorEastAsia" w:eastAsiaTheme="majorEastAsia"/>
          <w:color w:val="auto"/>
        </w:rPr>
      </w:pPr>
      <w:r>
        <w:rPr>
          <w:rFonts w:hint="eastAsia" w:cs="仿宋" w:asciiTheme="majorEastAsia" w:hAnsiTheme="majorEastAsia" w:eastAsiaTheme="majorEastAsia"/>
          <w:color w:val="auto"/>
        </w:rPr>
        <w:t>2.投标总价应与开标一览表的投标报价一致。</w:t>
      </w:r>
    </w:p>
    <w:p>
      <w:pPr>
        <w:spacing w:line="360" w:lineRule="auto"/>
        <w:rPr>
          <w:rFonts w:cs="仿宋" w:asciiTheme="majorEastAsia" w:hAnsiTheme="majorEastAsia" w:eastAsiaTheme="majorEastAsia"/>
          <w:color w:val="auto"/>
          <w:sz w:val="24"/>
        </w:rPr>
      </w:pPr>
    </w:p>
    <w:p>
      <w:pPr>
        <w:spacing w:line="360" w:lineRule="auto"/>
        <w:ind w:left="3780" w:leftChars="18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法定代表人或其授权委托人（签名或印章）：        </w:t>
      </w:r>
    </w:p>
    <w:p>
      <w:pPr>
        <w:spacing w:line="360" w:lineRule="auto"/>
        <w:ind w:left="3780" w:leftChars="18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投标人（盖章）：         </w:t>
      </w:r>
    </w:p>
    <w:p>
      <w:pPr>
        <w:pStyle w:val="30"/>
        <w:keepNext w:val="0"/>
        <w:pageBreakBefore w:val="0"/>
        <w:tabs>
          <w:tab w:val="clear" w:pos="720"/>
        </w:tabs>
        <w:snapToGrid w:val="0"/>
        <w:spacing w:before="120" w:after="120"/>
        <w:ind w:left="3780" w:leftChars="1800"/>
        <w:jc w:val="both"/>
        <w:outlineLvl w:val="9"/>
        <w:rPr>
          <w:rFonts w:cs="仿宋" w:asciiTheme="majorEastAsia" w:hAnsiTheme="majorEastAsia" w:eastAsiaTheme="majorEastAsia"/>
          <w:b w:val="0"/>
          <w:color w:val="auto"/>
          <w:kern w:val="2"/>
          <w:sz w:val="24"/>
          <w:szCs w:val="24"/>
        </w:rPr>
      </w:pPr>
      <w:r>
        <w:rPr>
          <w:rFonts w:hint="eastAsia" w:cs="仿宋" w:asciiTheme="majorEastAsia" w:hAnsiTheme="majorEastAsia" w:eastAsiaTheme="majorEastAsia"/>
          <w:b w:val="0"/>
          <w:color w:val="auto"/>
          <w:kern w:val="2"/>
          <w:sz w:val="24"/>
          <w:szCs w:val="24"/>
        </w:rPr>
        <w:t xml:space="preserve">日  期：  </w:t>
      </w:r>
    </w:p>
    <w:p>
      <w:pPr>
        <w:pStyle w:val="30"/>
        <w:keepNext w:val="0"/>
        <w:pageBreakBefore w:val="0"/>
        <w:tabs>
          <w:tab w:val="clear" w:pos="720"/>
        </w:tabs>
        <w:snapToGrid w:val="0"/>
        <w:spacing w:before="120" w:after="120"/>
        <w:outlineLvl w:val="9"/>
        <w:rPr>
          <w:rFonts w:cs="仿宋" w:asciiTheme="majorEastAsia" w:hAnsiTheme="majorEastAsia" w:eastAsiaTheme="majorEastAsia"/>
          <w:color w:val="auto"/>
          <w:sz w:val="32"/>
          <w:szCs w:val="32"/>
        </w:rPr>
      </w:pPr>
      <w:r>
        <w:rPr>
          <w:rFonts w:hint="eastAsia" w:cs="仿宋" w:asciiTheme="majorEastAsia" w:hAnsiTheme="majorEastAsia" w:eastAsiaTheme="majorEastAsia"/>
          <w:b w:val="0"/>
          <w:color w:val="auto"/>
          <w:kern w:val="2"/>
          <w:sz w:val="24"/>
          <w:szCs w:val="24"/>
        </w:rPr>
        <w:br w:type="page"/>
      </w:r>
      <w:r>
        <w:rPr>
          <w:rFonts w:hint="eastAsia" w:cs="仿宋" w:asciiTheme="majorEastAsia" w:hAnsiTheme="majorEastAsia" w:eastAsiaTheme="majorEastAsia"/>
          <w:color w:val="auto"/>
          <w:kern w:val="2"/>
          <w:sz w:val="32"/>
          <w:szCs w:val="32"/>
        </w:rPr>
        <w:t>三、</w:t>
      </w:r>
      <w:r>
        <w:rPr>
          <w:rFonts w:hint="eastAsia" w:cs="仿宋" w:asciiTheme="majorEastAsia" w:hAnsiTheme="majorEastAsia" w:eastAsiaTheme="majorEastAsia"/>
          <w:color w:val="auto"/>
          <w:sz w:val="32"/>
          <w:szCs w:val="32"/>
        </w:rPr>
        <w:t>中小企业声明函</w:t>
      </w:r>
    </w:p>
    <w:p>
      <w:pPr>
        <w:widowControl/>
        <w:spacing w:line="360" w:lineRule="auto"/>
        <w:ind w:firstLine="120" w:firstLineChars="5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pPr>
        <w:spacing w:line="360" w:lineRule="auto"/>
        <w:jc w:val="center"/>
        <w:rPr>
          <w:rFonts w:cs="仿宋" w:asciiTheme="majorEastAsia" w:hAnsiTheme="majorEastAsia" w:eastAsiaTheme="majorEastAsia"/>
          <w:b/>
          <w:color w:val="auto"/>
          <w:sz w:val="32"/>
          <w:szCs w:val="32"/>
        </w:rPr>
      </w:pPr>
      <w:r>
        <w:rPr>
          <w:rFonts w:hint="eastAsia" w:cs="仿宋" w:asciiTheme="majorEastAsia" w:hAnsiTheme="majorEastAsia" w:eastAsiaTheme="majorEastAsia"/>
          <w:b/>
          <w:color w:val="auto"/>
          <w:sz w:val="32"/>
          <w:szCs w:val="32"/>
        </w:rPr>
        <w:t>中小企业声明函</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本公司（联合体）郑重声明，根据《政府采购促进中小企业发展管理办法》（财库﹝2020﹞46 号）的规定，本公司（联合体）参加 （单位名称） 的 （项目名称） 采购活动，提供的货物</w:t>
      </w:r>
      <w:r>
        <w:rPr>
          <w:rFonts w:hint="eastAsia" w:cs="仿宋" w:asciiTheme="majorEastAsia" w:hAnsiTheme="majorEastAsia" w:eastAsiaTheme="majorEastAsia"/>
          <w:color w:val="auto"/>
          <w:sz w:val="24"/>
          <w:lang w:val="en-US" w:eastAsia="zh-CN"/>
        </w:rPr>
        <w:t>/</w:t>
      </w:r>
      <w:r>
        <w:rPr>
          <w:rFonts w:hint="eastAsia" w:cs="仿宋" w:asciiTheme="majorEastAsia" w:hAnsiTheme="majorEastAsia" w:eastAsiaTheme="majorEastAsia"/>
          <w:color w:val="auto"/>
          <w:sz w:val="24"/>
          <w:u w:val="single"/>
          <w:lang w:val="en-US" w:eastAsia="zh-CN"/>
        </w:rPr>
        <w:t>服务</w:t>
      </w:r>
      <w:r>
        <w:rPr>
          <w:rFonts w:hint="eastAsia" w:cs="仿宋" w:asciiTheme="majorEastAsia" w:hAnsiTheme="majorEastAsia" w:eastAsiaTheme="majorEastAsia"/>
          <w:color w:val="auto"/>
          <w:sz w:val="24"/>
        </w:rPr>
        <w:t>全部由符合政策要求的中小企业制造</w:t>
      </w:r>
      <w:r>
        <w:rPr>
          <w:rFonts w:hint="eastAsia" w:cs="仿宋" w:asciiTheme="majorEastAsia" w:hAnsiTheme="majorEastAsia" w:eastAsiaTheme="majorEastAsia"/>
          <w:color w:val="auto"/>
          <w:sz w:val="24"/>
          <w:lang w:val="en-US" w:eastAsia="zh-CN"/>
        </w:rPr>
        <w:t>/</w:t>
      </w:r>
      <w:r>
        <w:rPr>
          <w:rFonts w:hint="eastAsia" w:cs="仿宋" w:asciiTheme="majorEastAsia" w:hAnsiTheme="majorEastAsia" w:eastAsiaTheme="majorEastAsia"/>
          <w:color w:val="auto"/>
          <w:sz w:val="24"/>
          <w:u w:val="single"/>
          <w:lang w:val="en-US" w:eastAsia="zh-CN"/>
        </w:rPr>
        <w:t>承接</w:t>
      </w:r>
      <w:r>
        <w:rPr>
          <w:rFonts w:hint="eastAsia" w:cs="仿宋" w:asciiTheme="majorEastAsia" w:hAnsiTheme="majorEastAsia" w:eastAsiaTheme="majorEastAsia"/>
          <w:color w:val="auto"/>
          <w:sz w:val="24"/>
        </w:rPr>
        <w:t>。相关企业（含联合体中的中小企业、签订分包意向协议的中小企业）的具体情况如下：</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w:t>
      </w:r>
      <w:r>
        <w:rPr>
          <w:rFonts w:hint="eastAsia" w:cs="仿宋" w:asciiTheme="majorEastAsia" w:hAnsiTheme="majorEastAsia" w:eastAsiaTheme="majorEastAsia"/>
          <w:color w:val="auto"/>
        </w:rPr>
        <w:t xml:space="preserve"> </w:t>
      </w:r>
      <w:r>
        <w:rPr>
          <w:rFonts w:hint="eastAsia" w:cs="仿宋" w:asciiTheme="majorEastAsia" w:hAnsiTheme="majorEastAsia" w:eastAsiaTheme="majorEastAsia"/>
          <w:color w:val="auto"/>
          <w:sz w:val="24"/>
          <w:u w:val="single"/>
        </w:rPr>
        <w:t>（标的名称）</w:t>
      </w:r>
      <w:r>
        <w:rPr>
          <w:rFonts w:hint="eastAsia" w:cs="仿宋" w:asciiTheme="majorEastAsia" w:hAnsiTheme="majorEastAsia" w:eastAsiaTheme="majorEastAsia"/>
          <w:color w:val="auto"/>
          <w:sz w:val="24"/>
        </w:rPr>
        <w:t xml:space="preserve"> ，属于 </w:t>
      </w:r>
      <w:r>
        <w:rPr>
          <w:rFonts w:hint="eastAsia" w:cs="仿宋" w:asciiTheme="majorEastAsia" w:hAnsiTheme="majorEastAsia" w:eastAsiaTheme="majorEastAsia"/>
          <w:color w:val="auto"/>
          <w:sz w:val="24"/>
          <w:u w:val="single"/>
        </w:rPr>
        <w:t>（招标文件中明确的所属行业）</w:t>
      </w:r>
      <w:r>
        <w:rPr>
          <w:rFonts w:hint="eastAsia" w:cs="仿宋" w:asciiTheme="majorEastAsia" w:hAnsiTheme="majorEastAsia" w:eastAsiaTheme="majorEastAsia"/>
          <w:color w:val="auto"/>
          <w:sz w:val="24"/>
        </w:rPr>
        <w:t>行业 ；制造商</w:t>
      </w:r>
      <w:r>
        <w:rPr>
          <w:rFonts w:hint="eastAsia" w:cs="仿宋" w:asciiTheme="majorEastAsia" w:hAnsiTheme="majorEastAsia" w:eastAsiaTheme="majorEastAsia"/>
          <w:color w:val="auto"/>
          <w:sz w:val="24"/>
          <w:lang w:val="en-US" w:eastAsia="zh-CN"/>
        </w:rPr>
        <w:t>/</w:t>
      </w:r>
      <w:r>
        <w:rPr>
          <w:rFonts w:hint="eastAsia" w:cs="仿宋" w:asciiTheme="majorEastAsia" w:hAnsiTheme="majorEastAsia" w:eastAsiaTheme="majorEastAsia"/>
          <w:color w:val="auto"/>
          <w:sz w:val="24"/>
          <w:u w:val="single"/>
          <w:lang w:val="en-US" w:eastAsia="zh-CN"/>
        </w:rPr>
        <w:t>承接企业</w:t>
      </w:r>
      <w:r>
        <w:rPr>
          <w:rFonts w:hint="eastAsia" w:cs="仿宋" w:asciiTheme="majorEastAsia" w:hAnsiTheme="majorEastAsia" w:eastAsiaTheme="majorEastAsia"/>
          <w:color w:val="auto"/>
          <w:sz w:val="24"/>
        </w:rPr>
        <w:t>为</w:t>
      </w:r>
      <w:r>
        <w:rPr>
          <w:rFonts w:hint="eastAsia" w:cs="仿宋" w:asciiTheme="majorEastAsia" w:hAnsiTheme="majorEastAsia" w:eastAsiaTheme="majorEastAsia"/>
          <w:color w:val="auto"/>
          <w:sz w:val="24"/>
          <w:u w:val="single"/>
        </w:rPr>
        <w:t xml:space="preserve"> （企业名称）</w:t>
      </w:r>
      <w:r>
        <w:rPr>
          <w:rFonts w:hint="eastAsia" w:cs="仿宋" w:asciiTheme="majorEastAsia" w:hAnsiTheme="majorEastAsia" w:eastAsiaTheme="majorEastAsia"/>
          <w:color w:val="auto"/>
          <w:sz w:val="24"/>
        </w:rPr>
        <w:t xml:space="preserve"> ，从业人员</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人，营业收入为</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万元，资产总额为</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万元，属于</w:t>
      </w:r>
      <w:r>
        <w:rPr>
          <w:rFonts w:hint="eastAsia" w:cs="仿宋" w:asciiTheme="majorEastAsia" w:hAnsiTheme="majorEastAsia" w:eastAsiaTheme="majorEastAsia"/>
          <w:color w:val="auto"/>
          <w:sz w:val="24"/>
          <w:u w:val="single"/>
        </w:rPr>
        <w:t xml:space="preserve"> （中型企业、小型企业、微型企业）</w:t>
      </w:r>
      <w:r>
        <w:rPr>
          <w:rFonts w:hint="eastAsia" w:cs="仿宋" w:asciiTheme="majorEastAsia" w:hAnsiTheme="majorEastAsia" w:eastAsiaTheme="majorEastAsia"/>
          <w:color w:val="auto"/>
          <w:sz w:val="24"/>
        </w:rPr>
        <w:t xml:space="preserve"> ；</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rPr>
        <w:t xml:space="preserve"> </w:t>
      </w:r>
      <w:r>
        <w:rPr>
          <w:rFonts w:hint="eastAsia" w:cs="仿宋" w:asciiTheme="majorEastAsia" w:hAnsiTheme="majorEastAsia" w:eastAsiaTheme="majorEastAsia"/>
          <w:color w:val="auto"/>
          <w:sz w:val="24"/>
          <w:u w:val="single"/>
        </w:rPr>
        <w:t>（标的名称）</w:t>
      </w:r>
      <w:r>
        <w:rPr>
          <w:rFonts w:hint="eastAsia" w:cs="仿宋" w:asciiTheme="majorEastAsia" w:hAnsiTheme="majorEastAsia" w:eastAsiaTheme="majorEastAsia"/>
          <w:color w:val="auto"/>
          <w:sz w:val="24"/>
        </w:rPr>
        <w:t xml:space="preserve"> ，属于 </w:t>
      </w:r>
      <w:r>
        <w:rPr>
          <w:rFonts w:hint="eastAsia" w:cs="仿宋" w:asciiTheme="majorEastAsia" w:hAnsiTheme="majorEastAsia" w:eastAsiaTheme="majorEastAsia"/>
          <w:color w:val="auto"/>
          <w:sz w:val="24"/>
          <w:u w:val="single"/>
        </w:rPr>
        <w:t>（招标文件中明确的所属行业）</w:t>
      </w:r>
      <w:r>
        <w:rPr>
          <w:rFonts w:hint="eastAsia" w:cs="仿宋" w:asciiTheme="majorEastAsia" w:hAnsiTheme="majorEastAsia" w:eastAsiaTheme="majorEastAsia"/>
          <w:color w:val="auto"/>
          <w:sz w:val="24"/>
        </w:rPr>
        <w:t>行业 ；制造商</w:t>
      </w:r>
      <w:r>
        <w:rPr>
          <w:rFonts w:hint="eastAsia" w:cs="仿宋" w:asciiTheme="majorEastAsia" w:hAnsiTheme="majorEastAsia" w:eastAsiaTheme="majorEastAsia"/>
          <w:color w:val="auto"/>
          <w:sz w:val="24"/>
          <w:lang w:val="en-US" w:eastAsia="zh-CN"/>
        </w:rPr>
        <w:t>/</w:t>
      </w:r>
      <w:r>
        <w:rPr>
          <w:rFonts w:hint="eastAsia" w:cs="仿宋" w:asciiTheme="majorEastAsia" w:hAnsiTheme="majorEastAsia" w:eastAsiaTheme="majorEastAsia"/>
          <w:color w:val="auto"/>
          <w:sz w:val="24"/>
          <w:u w:val="single"/>
          <w:lang w:val="en-US" w:eastAsia="zh-CN"/>
        </w:rPr>
        <w:t>承接企业</w:t>
      </w:r>
      <w:r>
        <w:rPr>
          <w:rFonts w:hint="eastAsia" w:cs="仿宋" w:asciiTheme="majorEastAsia" w:hAnsiTheme="majorEastAsia" w:eastAsiaTheme="majorEastAsia"/>
          <w:color w:val="auto"/>
          <w:sz w:val="24"/>
        </w:rPr>
        <w:t>为</w:t>
      </w:r>
      <w:r>
        <w:rPr>
          <w:rFonts w:hint="eastAsia" w:cs="仿宋" w:asciiTheme="majorEastAsia" w:hAnsiTheme="majorEastAsia" w:eastAsiaTheme="majorEastAsia"/>
          <w:color w:val="auto"/>
          <w:sz w:val="24"/>
          <w:u w:val="single"/>
        </w:rPr>
        <w:t xml:space="preserve"> （企业名称）</w:t>
      </w:r>
      <w:r>
        <w:rPr>
          <w:rFonts w:hint="eastAsia" w:cs="仿宋" w:asciiTheme="majorEastAsia" w:hAnsiTheme="majorEastAsia" w:eastAsiaTheme="majorEastAsia"/>
          <w:color w:val="auto"/>
          <w:sz w:val="24"/>
        </w:rPr>
        <w:t xml:space="preserve"> ，从业人员</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人，营业收入为</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万元，资产总额为</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万元，属于</w:t>
      </w:r>
      <w:r>
        <w:rPr>
          <w:rFonts w:hint="eastAsia" w:cs="仿宋" w:asciiTheme="majorEastAsia" w:hAnsiTheme="majorEastAsia" w:eastAsiaTheme="majorEastAsia"/>
          <w:color w:val="auto"/>
          <w:sz w:val="24"/>
          <w:u w:val="single"/>
        </w:rPr>
        <w:t xml:space="preserve"> （中型企业、小型企业、微型企业）</w:t>
      </w:r>
      <w:r>
        <w:rPr>
          <w:rFonts w:hint="eastAsia" w:cs="仿宋" w:asciiTheme="majorEastAsia" w:hAnsiTheme="majorEastAsia" w:eastAsiaTheme="majorEastAsia"/>
          <w:color w:val="auto"/>
          <w:sz w:val="24"/>
        </w:rPr>
        <w:t xml:space="preserve"> ；</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本企业对上述声明内容的真实性负责。如有虚假，将依法承担相应责任。</w:t>
      </w:r>
    </w:p>
    <w:p>
      <w:pPr>
        <w:snapToGrid w:val="0"/>
        <w:spacing w:line="360" w:lineRule="auto"/>
        <w:ind w:firstLine="5160" w:firstLineChars="2150"/>
        <w:rPr>
          <w:rFonts w:cs="仿宋" w:asciiTheme="majorEastAsia" w:hAnsiTheme="majorEastAsia" w:eastAsiaTheme="majorEastAsia"/>
          <w:color w:val="auto"/>
          <w:kern w:val="0"/>
          <w:sz w:val="24"/>
          <w:lang w:val="zh-CN"/>
        </w:rPr>
      </w:pPr>
    </w:p>
    <w:p>
      <w:pPr>
        <w:spacing w:line="360" w:lineRule="auto"/>
        <w:ind w:left="3780" w:leftChars="18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法定代表人或其授权委托人（签名或印章）：        </w:t>
      </w:r>
    </w:p>
    <w:p>
      <w:pPr>
        <w:spacing w:line="360" w:lineRule="auto"/>
        <w:ind w:left="3780" w:leftChars="18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投标人（盖章）：         </w:t>
      </w:r>
    </w:p>
    <w:p>
      <w:pPr>
        <w:spacing w:line="360" w:lineRule="auto"/>
        <w:ind w:left="3780" w:leftChars="18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日  期：</w:t>
      </w:r>
    </w:p>
    <w:p>
      <w:pPr>
        <w:spacing w:line="360" w:lineRule="auto"/>
        <w:jc w:val="left"/>
        <w:rPr>
          <w:rFonts w:cs="仿宋" w:asciiTheme="majorEastAsia" w:hAnsiTheme="majorEastAsia" w:eastAsiaTheme="majorEastAsia"/>
          <w:color w:val="auto"/>
          <w:sz w:val="18"/>
          <w:szCs w:val="18"/>
        </w:rPr>
      </w:pPr>
      <w:r>
        <w:rPr>
          <w:rFonts w:hint="eastAsia" w:cs="仿宋" w:asciiTheme="majorEastAsia" w:hAnsiTheme="majorEastAsia" w:eastAsiaTheme="majorEastAsia"/>
          <w:color w:val="auto"/>
          <w:sz w:val="18"/>
          <w:szCs w:val="18"/>
        </w:rPr>
        <w:t>从业人员、营业收入、资产总额填报上一年度数据，无上一年度数据的新成立企业可不填报。</w:t>
      </w:r>
    </w:p>
    <w:p>
      <w:pPr>
        <w:spacing w:line="360" w:lineRule="auto"/>
        <w:ind w:right="-420" w:rightChars="-200" w:firstLine="480" w:firstLineChars="200"/>
        <w:rPr>
          <w:rFonts w:cs="仿宋" w:asciiTheme="majorEastAsia" w:hAnsiTheme="majorEastAsia" w:eastAsiaTheme="majorEastAsia"/>
          <w:b/>
          <w:color w:val="auto"/>
          <w:sz w:val="32"/>
          <w:szCs w:val="32"/>
        </w:rPr>
      </w:pPr>
      <w:r>
        <w:rPr>
          <w:rFonts w:hint="eastAsia" w:cs="仿宋" w:asciiTheme="majorEastAsia" w:hAnsiTheme="majorEastAsia" w:eastAsiaTheme="majorEastAsia"/>
          <w:color w:val="auto"/>
          <w:sz w:val="24"/>
        </w:rPr>
        <w:t>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cs="仿宋" w:asciiTheme="majorEastAsia" w:hAnsiTheme="majorEastAsia" w:eastAsiaTheme="majorEastAsia"/>
          <w:b/>
          <w:bCs/>
          <w:color w:val="auto"/>
          <w:sz w:val="32"/>
          <w:szCs w:val="32"/>
        </w:rPr>
      </w:pPr>
      <w:r>
        <w:rPr>
          <w:rFonts w:hint="eastAsia" w:cs="仿宋" w:asciiTheme="majorEastAsia" w:hAnsiTheme="majorEastAsia" w:eastAsiaTheme="majorEastAsia"/>
          <w:b/>
          <w:color w:val="auto"/>
          <w:sz w:val="32"/>
          <w:szCs w:val="32"/>
        </w:rPr>
        <w:br w:type="page"/>
      </w:r>
    </w:p>
    <w:p>
      <w:pPr>
        <w:spacing w:line="360" w:lineRule="auto"/>
        <w:jc w:val="center"/>
        <w:rPr>
          <w:rFonts w:cs="仿宋" w:asciiTheme="majorEastAsia" w:hAnsiTheme="majorEastAsia" w:eastAsiaTheme="majorEastAsia"/>
          <w:color w:val="auto"/>
          <w:sz w:val="32"/>
          <w:szCs w:val="32"/>
        </w:rPr>
      </w:pPr>
      <w:r>
        <w:rPr>
          <w:rFonts w:hint="eastAsia" w:cs="仿宋" w:asciiTheme="majorEastAsia" w:hAnsiTheme="majorEastAsia" w:eastAsiaTheme="majorEastAsia"/>
          <w:b/>
          <w:bCs/>
          <w:color w:val="auto"/>
          <w:sz w:val="32"/>
          <w:szCs w:val="32"/>
        </w:rPr>
        <w:t>四、残疾人福利性单位声明函</w:t>
      </w:r>
    </w:p>
    <w:p>
      <w:pPr>
        <w:spacing w:line="360" w:lineRule="auto"/>
        <w:rPr>
          <w:rFonts w:cs="仿宋" w:asciiTheme="majorEastAsia" w:hAnsiTheme="majorEastAsia" w:eastAsiaTheme="majorEastAsia"/>
          <w:b/>
          <w:color w:val="auto"/>
          <w:spacing w:val="6"/>
          <w:sz w:val="30"/>
          <w:szCs w:val="30"/>
        </w:rPr>
      </w:pPr>
    </w:p>
    <w:p>
      <w:pPr>
        <w:spacing w:line="360" w:lineRule="auto"/>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本单位对上述声明的真实性负责。如有虚假，将依法承担相应责任。</w:t>
      </w:r>
    </w:p>
    <w:p>
      <w:pPr>
        <w:spacing w:line="360" w:lineRule="auto"/>
        <w:ind w:firstLine="480" w:firstLineChars="200"/>
        <w:jc w:val="left"/>
        <w:rPr>
          <w:rFonts w:cs="仿宋" w:asciiTheme="majorEastAsia" w:hAnsiTheme="majorEastAsia" w:eastAsiaTheme="majorEastAsia"/>
          <w:color w:val="auto"/>
          <w:sz w:val="24"/>
        </w:rPr>
      </w:pPr>
    </w:p>
    <w:p>
      <w:pPr>
        <w:spacing w:line="360" w:lineRule="auto"/>
        <w:ind w:firstLine="480" w:firstLineChars="200"/>
        <w:jc w:val="left"/>
        <w:rPr>
          <w:rFonts w:cs="仿宋" w:asciiTheme="majorEastAsia" w:hAnsiTheme="majorEastAsia" w:eastAsiaTheme="majorEastAsia"/>
          <w:color w:val="auto"/>
          <w:sz w:val="24"/>
        </w:rPr>
      </w:pPr>
    </w:p>
    <w:p>
      <w:pPr>
        <w:adjustRightInd w:val="0"/>
        <w:spacing w:line="360" w:lineRule="auto"/>
        <w:ind w:firstLine="2400" w:firstLineChars="10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法定代表人或其授权委托人（签名或印章）：</w:t>
      </w:r>
    </w:p>
    <w:p>
      <w:pPr>
        <w:adjustRightInd w:val="0"/>
        <w:spacing w:line="360" w:lineRule="auto"/>
        <w:ind w:firstLine="3840" w:firstLineChars="16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投标人（盖章）：</w:t>
      </w:r>
    </w:p>
    <w:p>
      <w:pPr>
        <w:rPr>
          <w:rFonts w:asciiTheme="majorEastAsia" w:hAnsiTheme="majorEastAsia" w:eastAsiaTheme="majorEastAsia"/>
          <w:color w:val="auto"/>
        </w:rPr>
      </w:pPr>
      <w:r>
        <w:rPr>
          <w:rFonts w:hint="eastAsia" w:cs="仿宋" w:asciiTheme="majorEastAsia" w:hAnsiTheme="majorEastAsia" w:eastAsiaTheme="majorEastAsia"/>
          <w:color w:val="auto"/>
          <w:sz w:val="24"/>
        </w:rPr>
        <w:t xml:space="preserve">                                日期：</w:t>
      </w:r>
    </w:p>
    <w:p>
      <w:pPr>
        <w:spacing w:line="360" w:lineRule="auto"/>
        <w:ind w:firstLine="643" w:firstLineChars="200"/>
        <w:jc w:val="left"/>
        <w:rPr>
          <w:rFonts w:cs="仿宋" w:asciiTheme="majorEastAsia" w:hAnsiTheme="majorEastAsia" w:eastAsiaTheme="majorEastAsia"/>
          <w:b/>
          <w:color w:val="auto"/>
          <w:sz w:val="32"/>
          <w:szCs w:val="32"/>
        </w:rPr>
      </w:pPr>
    </w:p>
    <w:p>
      <w:pPr>
        <w:spacing w:line="360" w:lineRule="auto"/>
        <w:rPr>
          <w:rFonts w:cs="仿宋" w:asciiTheme="majorEastAsia" w:hAnsiTheme="majorEastAsia" w:eastAsiaTheme="majorEastAsia"/>
          <w:b/>
          <w:color w:val="auto"/>
          <w:sz w:val="32"/>
          <w:szCs w:val="32"/>
        </w:rPr>
      </w:pPr>
    </w:p>
    <w:p>
      <w:pPr>
        <w:numPr>
          <w:ilvl w:val="0"/>
          <w:numId w:val="3"/>
        </w:numPr>
        <w:spacing w:line="360" w:lineRule="auto"/>
        <w:jc w:val="center"/>
        <w:rPr>
          <w:rFonts w:cs="仿宋" w:asciiTheme="majorEastAsia" w:hAnsiTheme="majorEastAsia" w:eastAsiaTheme="majorEastAsia"/>
          <w:b/>
          <w:color w:val="auto"/>
          <w:spacing w:val="6"/>
          <w:sz w:val="32"/>
          <w:szCs w:val="32"/>
        </w:rPr>
      </w:pPr>
      <w:r>
        <w:rPr>
          <w:rFonts w:hint="eastAsia" w:cs="仿宋" w:asciiTheme="majorEastAsia" w:hAnsiTheme="majorEastAsia" w:eastAsiaTheme="majorEastAsia"/>
          <w:b/>
          <w:color w:val="auto"/>
          <w:spacing w:val="6"/>
          <w:sz w:val="32"/>
          <w:szCs w:val="32"/>
        </w:rPr>
        <w:br w:type="page"/>
      </w:r>
      <w:r>
        <w:rPr>
          <w:rFonts w:hint="eastAsia" w:cs="仿宋" w:asciiTheme="majorEastAsia" w:hAnsiTheme="majorEastAsia" w:eastAsiaTheme="majorEastAsia"/>
          <w:b/>
          <w:color w:val="auto"/>
          <w:spacing w:val="6"/>
          <w:sz w:val="32"/>
          <w:szCs w:val="32"/>
        </w:rPr>
        <w:t>政府采购统计基础信息表</w:t>
      </w:r>
    </w:p>
    <w:p>
      <w:pPr>
        <w:pStyle w:val="2"/>
        <w:spacing w:line="360" w:lineRule="auto"/>
        <w:ind w:firstLine="0" w:firstLineChars="0"/>
        <w:rPr>
          <w:rFonts w:cs="仿宋" w:asciiTheme="majorEastAsia" w:hAnsiTheme="majorEastAsia" w:eastAsiaTheme="majorEastAsia"/>
          <w:color w:val="auto"/>
        </w:rPr>
      </w:pPr>
    </w:p>
    <w:tbl>
      <w:tblPr>
        <w:tblStyle w:val="17"/>
        <w:tblW w:w="8537" w:type="dxa"/>
        <w:jc w:val="center"/>
        <w:tblLayout w:type="fixed"/>
        <w:tblCellMar>
          <w:top w:w="0" w:type="dxa"/>
          <w:left w:w="108" w:type="dxa"/>
          <w:bottom w:w="0" w:type="dxa"/>
          <w:right w:w="108" w:type="dxa"/>
        </w:tblCellMar>
      </w:tblPr>
      <w:tblGrid>
        <w:gridCol w:w="4998"/>
        <w:gridCol w:w="3539"/>
      </w:tblGrid>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采购人及采购项目名称</w:t>
            </w:r>
          </w:p>
        </w:tc>
        <w:tc>
          <w:tcPr>
            <w:tcW w:w="3539" w:type="dxa"/>
            <w:tcBorders>
              <w:top w:val="single" w:color="000000" w:sz="4" w:space="0"/>
              <w:left w:val="nil"/>
              <w:bottom w:val="single" w:color="000000" w:sz="4" w:space="0"/>
              <w:right w:val="single" w:color="000000" w:sz="4" w:space="0"/>
            </w:tcBorders>
          </w:tcPr>
          <w:p>
            <w:pPr>
              <w:spacing w:line="360" w:lineRule="auto"/>
              <w:rPr>
                <w:rFonts w:cs="仿宋" w:asciiTheme="majorEastAsia" w:hAnsiTheme="majorEastAsia" w:eastAsiaTheme="majorEastAsia"/>
                <w:color w:val="auto"/>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投标单位名称</w:t>
            </w:r>
          </w:p>
        </w:tc>
        <w:tc>
          <w:tcPr>
            <w:tcW w:w="3539" w:type="dxa"/>
            <w:tcBorders>
              <w:top w:val="single" w:color="000000" w:sz="4" w:space="0"/>
              <w:left w:val="nil"/>
              <w:bottom w:val="single" w:color="000000" w:sz="4" w:space="0"/>
              <w:right w:val="single" w:color="000000" w:sz="4" w:space="0"/>
            </w:tcBorders>
          </w:tcPr>
          <w:p>
            <w:pPr>
              <w:spacing w:line="360" w:lineRule="auto"/>
              <w:rPr>
                <w:rFonts w:cs="仿宋" w:asciiTheme="majorEastAsia" w:hAnsiTheme="majorEastAsia" w:eastAsiaTheme="majorEastAsia"/>
                <w:color w:val="auto"/>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投标单位是否为外商投资企业</w:t>
            </w:r>
          </w:p>
        </w:tc>
        <w:tc>
          <w:tcPr>
            <w:tcW w:w="3539" w:type="dxa"/>
            <w:tcBorders>
              <w:top w:val="single" w:color="000000" w:sz="4" w:space="0"/>
              <w:left w:val="nil"/>
              <w:bottom w:val="single" w:color="000000" w:sz="4" w:space="0"/>
              <w:right w:val="single" w:color="000000" w:sz="4" w:space="0"/>
            </w:tcBorders>
          </w:tcPr>
          <w:p>
            <w:pPr>
              <w:spacing w:line="360" w:lineRule="auto"/>
              <w:rPr>
                <w:rFonts w:cs="仿宋" w:asciiTheme="majorEastAsia" w:hAnsiTheme="majorEastAsia" w:eastAsiaTheme="majorEastAsia"/>
                <w:color w:val="auto"/>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投标单位是否为宁波企业</w:t>
            </w:r>
          </w:p>
        </w:tc>
        <w:tc>
          <w:tcPr>
            <w:tcW w:w="3539" w:type="dxa"/>
            <w:tcBorders>
              <w:top w:val="single" w:color="000000" w:sz="4" w:space="0"/>
              <w:left w:val="nil"/>
              <w:bottom w:val="single" w:color="000000" w:sz="4" w:space="0"/>
              <w:right w:val="single" w:color="000000" w:sz="4" w:space="0"/>
            </w:tcBorders>
          </w:tcPr>
          <w:p>
            <w:pPr>
              <w:spacing w:line="360" w:lineRule="auto"/>
              <w:rPr>
                <w:rFonts w:cs="仿宋" w:asciiTheme="majorEastAsia" w:hAnsiTheme="majorEastAsia" w:eastAsiaTheme="majorEastAsia"/>
                <w:color w:val="auto"/>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企业划分标准类型（大型、中型、小型、微型）</w:t>
            </w:r>
          </w:p>
        </w:tc>
        <w:tc>
          <w:tcPr>
            <w:tcW w:w="3539" w:type="dxa"/>
            <w:tcBorders>
              <w:top w:val="single" w:color="000000" w:sz="4" w:space="0"/>
              <w:left w:val="nil"/>
              <w:bottom w:val="single" w:color="000000" w:sz="4" w:space="0"/>
              <w:right w:val="single" w:color="000000" w:sz="4" w:space="0"/>
            </w:tcBorders>
          </w:tcPr>
          <w:p>
            <w:pPr>
              <w:spacing w:line="360" w:lineRule="auto"/>
              <w:rPr>
                <w:rFonts w:cs="仿宋" w:asciiTheme="majorEastAsia" w:hAnsiTheme="majorEastAsia" w:eastAsiaTheme="majorEastAsia"/>
                <w:color w:val="auto"/>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提供的货物是否本企业制造</w:t>
            </w:r>
          </w:p>
        </w:tc>
        <w:tc>
          <w:tcPr>
            <w:tcW w:w="3539" w:type="dxa"/>
            <w:tcBorders>
              <w:top w:val="single" w:color="000000" w:sz="4" w:space="0"/>
              <w:left w:val="nil"/>
              <w:bottom w:val="single" w:color="000000" w:sz="4" w:space="0"/>
              <w:right w:val="single" w:color="000000" w:sz="4" w:space="0"/>
            </w:tcBorders>
          </w:tcPr>
          <w:p>
            <w:pPr>
              <w:spacing w:line="360" w:lineRule="auto"/>
              <w:rPr>
                <w:rFonts w:cs="仿宋" w:asciiTheme="majorEastAsia" w:hAnsiTheme="majorEastAsia" w:eastAsiaTheme="majorEastAsia"/>
                <w:color w:val="auto"/>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货物原产地国别</w:t>
            </w:r>
          </w:p>
        </w:tc>
        <w:tc>
          <w:tcPr>
            <w:tcW w:w="3539" w:type="dxa"/>
            <w:tcBorders>
              <w:top w:val="single" w:color="000000" w:sz="4" w:space="0"/>
              <w:left w:val="nil"/>
              <w:bottom w:val="single" w:color="000000" w:sz="4" w:space="0"/>
              <w:right w:val="single" w:color="000000" w:sz="4" w:space="0"/>
            </w:tcBorders>
          </w:tcPr>
          <w:p>
            <w:pPr>
              <w:spacing w:line="360" w:lineRule="auto"/>
              <w:rPr>
                <w:rFonts w:cs="仿宋" w:asciiTheme="majorEastAsia" w:hAnsiTheme="majorEastAsia" w:eastAsiaTheme="majorEastAsia"/>
                <w:color w:val="auto"/>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提供的货物是否为节能清单产品</w:t>
            </w:r>
          </w:p>
        </w:tc>
        <w:tc>
          <w:tcPr>
            <w:tcW w:w="3539" w:type="dxa"/>
            <w:tcBorders>
              <w:top w:val="single" w:color="000000" w:sz="4" w:space="0"/>
              <w:left w:val="nil"/>
              <w:bottom w:val="single" w:color="000000" w:sz="4" w:space="0"/>
              <w:right w:val="single" w:color="000000" w:sz="4" w:space="0"/>
            </w:tcBorders>
          </w:tcPr>
          <w:p>
            <w:pPr>
              <w:spacing w:line="360" w:lineRule="auto"/>
              <w:rPr>
                <w:rFonts w:cs="仿宋" w:asciiTheme="majorEastAsia" w:hAnsiTheme="majorEastAsia" w:eastAsiaTheme="majorEastAsia"/>
                <w:color w:val="auto"/>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提供的货物是否为环境标志清单产品</w:t>
            </w:r>
          </w:p>
        </w:tc>
        <w:tc>
          <w:tcPr>
            <w:tcW w:w="3539" w:type="dxa"/>
            <w:tcBorders>
              <w:top w:val="single" w:color="000000" w:sz="4" w:space="0"/>
              <w:left w:val="nil"/>
              <w:bottom w:val="single" w:color="000000" w:sz="4" w:space="0"/>
              <w:right w:val="single" w:color="000000" w:sz="4" w:space="0"/>
            </w:tcBorders>
          </w:tcPr>
          <w:p>
            <w:pPr>
              <w:spacing w:line="360" w:lineRule="auto"/>
              <w:rPr>
                <w:rFonts w:cs="仿宋" w:asciiTheme="majorEastAsia" w:hAnsiTheme="majorEastAsia" w:eastAsiaTheme="majorEastAsia"/>
                <w:color w:val="auto"/>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承担的工程或服务是否本企业提供</w:t>
            </w:r>
          </w:p>
        </w:tc>
        <w:tc>
          <w:tcPr>
            <w:tcW w:w="3539" w:type="dxa"/>
            <w:tcBorders>
              <w:top w:val="single" w:color="000000" w:sz="4" w:space="0"/>
              <w:left w:val="nil"/>
              <w:bottom w:val="single" w:color="000000" w:sz="4" w:space="0"/>
              <w:right w:val="single" w:color="000000" w:sz="4" w:space="0"/>
            </w:tcBorders>
          </w:tcPr>
          <w:p>
            <w:pPr>
              <w:spacing w:line="360" w:lineRule="auto"/>
              <w:rPr>
                <w:rFonts w:cs="仿宋" w:asciiTheme="majorEastAsia" w:hAnsiTheme="majorEastAsia" w:eastAsiaTheme="majorEastAsia"/>
                <w:color w:val="auto"/>
              </w:rPr>
            </w:pPr>
          </w:p>
        </w:tc>
      </w:tr>
    </w:tbl>
    <w:p>
      <w:pPr>
        <w:adjustRightInd w:val="0"/>
        <w:spacing w:line="360" w:lineRule="auto"/>
        <w:jc w:val="left"/>
        <w:rPr>
          <w:rFonts w:cs="仿宋" w:asciiTheme="majorEastAsia" w:hAnsiTheme="majorEastAsia" w:eastAsiaTheme="majorEastAsia"/>
          <w:color w:val="auto"/>
          <w:sz w:val="24"/>
        </w:rPr>
      </w:pPr>
    </w:p>
    <w:p>
      <w:pP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备注：请各投标人务必填写此表作为投标文件的组成部分。</w:t>
      </w:r>
    </w:p>
    <w:p>
      <w:pPr>
        <w:adjustRightInd w:val="0"/>
        <w:spacing w:line="360" w:lineRule="auto"/>
        <w:jc w:val="left"/>
        <w:rPr>
          <w:rFonts w:cs="仿宋" w:asciiTheme="majorEastAsia" w:hAnsiTheme="majorEastAsia" w:eastAsiaTheme="majorEastAsia"/>
          <w:color w:val="auto"/>
          <w:sz w:val="24"/>
        </w:rPr>
      </w:pPr>
    </w:p>
    <w:p>
      <w:pPr>
        <w:adjustRightInd w:val="0"/>
        <w:spacing w:line="360" w:lineRule="auto"/>
        <w:jc w:val="left"/>
        <w:rPr>
          <w:rFonts w:cs="仿宋" w:asciiTheme="majorEastAsia" w:hAnsiTheme="majorEastAsia" w:eastAsiaTheme="majorEastAsia"/>
          <w:color w:val="auto"/>
          <w:sz w:val="24"/>
        </w:rPr>
      </w:pPr>
    </w:p>
    <w:p>
      <w:pPr>
        <w:adjustRightInd w:val="0"/>
        <w:spacing w:line="360" w:lineRule="auto"/>
        <w:ind w:firstLine="2400" w:firstLineChars="10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法定代表人或其授权委托人（签名或印章）：</w:t>
      </w:r>
    </w:p>
    <w:p>
      <w:pPr>
        <w:adjustRightInd w:val="0"/>
        <w:spacing w:line="360" w:lineRule="auto"/>
        <w:ind w:firstLine="2400" w:firstLineChars="10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投标人（盖章）：</w:t>
      </w:r>
    </w:p>
    <w:p>
      <w:pPr>
        <w:rPr>
          <w:rFonts w:asciiTheme="majorEastAsia" w:hAnsiTheme="majorEastAsia" w:eastAsiaTheme="majorEastAsia"/>
          <w:color w:val="auto"/>
        </w:rPr>
      </w:pPr>
      <w:r>
        <w:rPr>
          <w:rFonts w:hint="eastAsia" w:cs="仿宋" w:asciiTheme="majorEastAsia" w:hAnsiTheme="majorEastAsia" w:eastAsiaTheme="majorEastAsia"/>
          <w:color w:val="auto"/>
          <w:sz w:val="24"/>
        </w:rPr>
        <w:t xml:space="preserve">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S Gothic">
    <w:panose1 w:val="020B0609070205080204"/>
    <w:charset w:val="80"/>
    <w:family w:val="modern"/>
    <w:pitch w:val="default"/>
    <w:sig w:usb0="E00002FF" w:usb1="6AC7FDFB" w:usb2="00000012" w:usb3="00000000" w:csb0="4002009F" w:csb1="DFD70000"/>
  </w:font>
  <w:font w:name="Wingdings 2">
    <w:panose1 w:val="050201020105070707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right"/>
      <w:rPr>
        <w:rFonts w:ascii="仿宋_GB2312" w:eastAsia="仿宋_GB2312"/>
        <w:b/>
        <w:i/>
        <w:u w:val="single"/>
      </w:rPr>
    </w:pPr>
    <w:r>
      <w:t></w:t>
    </w:r>
    <w:r>
      <w:rPr>
        <w:rFonts w:hint="eastAsia"/>
      </w:rPr>
      <w:t xml:space="preserve">                                               </w:t>
    </w:r>
  </w:p>
  <w:p>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仿宋_GB2312" w:eastAsia="仿宋_GB2312"/>
        <w:b/>
        <w:i/>
        <w:u w:val="single"/>
      </w:rPr>
    </w:pPr>
    <w:r>
      <w:rPr>
        <w:rFonts w:hint="eastAsia"/>
      </w:rPr>
      <w:t xml:space="preserve">                                 </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25D33"/>
    <w:multiLevelType w:val="singleLevel"/>
    <w:tmpl w:val="9D225D33"/>
    <w:lvl w:ilvl="0" w:tentative="0">
      <w:start w:val="5"/>
      <w:numFmt w:val="chineseCounting"/>
      <w:suff w:val="nothing"/>
      <w:lvlText w:val="%1、"/>
      <w:lvlJc w:val="left"/>
      <w:rPr>
        <w:rFonts w:hint="eastAsia"/>
      </w:rPr>
    </w:lvl>
  </w:abstractNum>
  <w:abstractNum w:abstractNumId="1">
    <w:nsid w:val="A95BA21C"/>
    <w:multiLevelType w:val="singleLevel"/>
    <w:tmpl w:val="A95BA21C"/>
    <w:lvl w:ilvl="0" w:tentative="0">
      <w:start w:val="1"/>
      <w:numFmt w:val="decimal"/>
      <w:suff w:val="nothing"/>
      <w:lvlText w:val="%1．"/>
      <w:lvlJc w:val="left"/>
      <w:pPr>
        <w:ind w:left="0" w:firstLine="400"/>
      </w:pPr>
      <w:rPr>
        <w:rFonts w:hint="default"/>
      </w:rPr>
    </w:lvl>
  </w:abstractNum>
  <w:abstractNum w:abstractNumId="2">
    <w:nsid w:val="2DC53F9C"/>
    <w:multiLevelType w:val="singleLevel"/>
    <w:tmpl w:val="2DC53F9C"/>
    <w:lvl w:ilvl="0" w:tentative="0">
      <w:start w:val="5"/>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Y5ZTE2ZTgwMjM1NWQxZmU1NzI5YmE5ODIwM2ZkZDYifQ=="/>
  </w:docVars>
  <w:rsids>
    <w:rsidRoot w:val="00982EB4"/>
    <w:rsid w:val="00016734"/>
    <w:rsid w:val="000331D4"/>
    <w:rsid w:val="00061CE1"/>
    <w:rsid w:val="00095D46"/>
    <w:rsid w:val="000E448A"/>
    <w:rsid w:val="000F198F"/>
    <w:rsid w:val="001553AB"/>
    <w:rsid w:val="001716B0"/>
    <w:rsid w:val="001B2FBB"/>
    <w:rsid w:val="001C1283"/>
    <w:rsid w:val="001F3EFC"/>
    <w:rsid w:val="00215736"/>
    <w:rsid w:val="00223803"/>
    <w:rsid w:val="0024092E"/>
    <w:rsid w:val="00257FDF"/>
    <w:rsid w:val="0027141A"/>
    <w:rsid w:val="002936BF"/>
    <w:rsid w:val="003549BF"/>
    <w:rsid w:val="003773A8"/>
    <w:rsid w:val="003874A0"/>
    <w:rsid w:val="00452882"/>
    <w:rsid w:val="004A3340"/>
    <w:rsid w:val="004C3E57"/>
    <w:rsid w:val="004E23EB"/>
    <w:rsid w:val="004E36CD"/>
    <w:rsid w:val="005047BD"/>
    <w:rsid w:val="00507B69"/>
    <w:rsid w:val="00545EB5"/>
    <w:rsid w:val="00550EE6"/>
    <w:rsid w:val="005537BE"/>
    <w:rsid w:val="00555D80"/>
    <w:rsid w:val="005657F7"/>
    <w:rsid w:val="005B0674"/>
    <w:rsid w:val="005B09B1"/>
    <w:rsid w:val="005D37FA"/>
    <w:rsid w:val="0065305C"/>
    <w:rsid w:val="0065579D"/>
    <w:rsid w:val="00673D9C"/>
    <w:rsid w:val="00686437"/>
    <w:rsid w:val="00693366"/>
    <w:rsid w:val="006A264B"/>
    <w:rsid w:val="006B593D"/>
    <w:rsid w:val="006D63C7"/>
    <w:rsid w:val="00706C27"/>
    <w:rsid w:val="00742B37"/>
    <w:rsid w:val="00764A69"/>
    <w:rsid w:val="00773362"/>
    <w:rsid w:val="007E5A2D"/>
    <w:rsid w:val="008232A9"/>
    <w:rsid w:val="0083502E"/>
    <w:rsid w:val="00886BF0"/>
    <w:rsid w:val="008B0252"/>
    <w:rsid w:val="008C7259"/>
    <w:rsid w:val="008F739E"/>
    <w:rsid w:val="009024C2"/>
    <w:rsid w:val="00982EB4"/>
    <w:rsid w:val="00995301"/>
    <w:rsid w:val="009F5B94"/>
    <w:rsid w:val="00A23DA0"/>
    <w:rsid w:val="00B3449C"/>
    <w:rsid w:val="00B408F1"/>
    <w:rsid w:val="00BA7F9C"/>
    <w:rsid w:val="00BF605B"/>
    <w:rsid w:val="00C56A2B"/>
    <w:rsid w:val="00C73083"/>
    <w:rsid w:val="00C82E86"/>
    <w:rsid w:val="00C830F1"/>
    <w:rsid w:val="00CB17EC"/>
    <w:rsid w:val="00CF24DB"/>
    <w:rsid w:val="00D62310"/>
    <w:rsid w:val="00D75034"/>
    <w:rsid w:val="00D75BB4"/>
    <w:rsid w:val="00DF259A"/>
    <w:rsid w:val="00DF7E6B"/>
    <w:rsid w:val="00E23AD0"/>
    <w:rsid w:val="00E80BD5"/>
    <w:rsid w:val="00EB2459"/>
    <w:rsid w:val="00EB25A8"/>
    <w:rsid w:val="00EC3260"/>
    <w:rsid w:val="00ED669C"/>
    <w:rsid w:val="00F0217B"/>
    <w:rsid w:val="00F128C1"/>
    <w:rsid w:val="00F36900"/>
    <w:rsid w:val="00F4077A"/>
    <w:rsid w:val="00F51917"/>
    <w:rsid w:val="00F60919"/>
    <w:rsid w:val="00F85EC7"/>
    <w:rsid w:val="00FD3F44"/>
    <w:rsid w:val="00FF2980"/>
    <w:rsid w:val="00FF710F"/>
    <w:rsid w:val="00FF796A"/>
    <w:rsid w:val="0370683D"/>
    <w:rsid w:val="03AC4C47"/>
    <w:rsid w:val="04F372A9"/>
    <w:rsid w:val="066321E1"/>
    <w:rsid w:val="07180BD8"/>
    <w:rsid w:val="08B95E3C"/>
    <w:rsid w:val="08C739B9"/>
    <w:rsid w:val="08D566D9"/>
    <w:rsid w:val="095B740D"/>
    <w:rsid w:val="096C5A91"/>
    <w:rsid w:val="0A7D5C9B"/>
    <w:rsid w:val="0B414C9C"/>
    <w:rsid w:val="0C9870EE"/>
    <w:rsid w:val="0D9C1E70"/>
    <w:rsid w:val="0ECD013E"/>
    <w:rsid w:val="0F1B4006"/>
    <w:rsid w:val="0F884232"/>
    <w:rsid w:val="0F9515B3"/>
    <w:rsid w:val="0F9868A8"/>
    <w:rsid w:val="104906FF"/>
    <w:rsid w:val="10C5081C"/>
    <w:rsid w:val="11B41992"/>
    <w:rsid w:val="11FF376C"/>
    <w:rsid w:val="122F1BC6"/>
    <w:rsid w:val="127E3C52"/>
    <w:rsid w:val="14230AD2"/>
    <w:rsid w:val="144A6DCF"/>
    <w:rsid w:val="148825E3"/>
    <w:rsid w:val="14A5708D"/>
    <w:rsid w:val="15B75D58"/>
    <w:rsid w:val="166C623B"/>
    <w:rsid w:val="18523CF5"/>
    <w:rsid w:val="1C0024A2"/>
    <w:rsid w:val="1C5512A5"/>
    <w:rsid w:val="1CF612C5"/>
    <w:rsid w:val="1E1C0EC6"/>
    <w:rsid w:val="1E351FC5"/>
    <w:rsid w:val="1E366369"/>
    <w:rsid w:val="21CB5418"/>
    <w:rsid w:val="26BC1036"/>
    <w:rsid w:val="278C3C3F"/>
    <w:rsid w:val="28DF4290"/>
    <w:rsid w:val="298652AC"/>
    <w:rsid w:val="2B22254D"/>
    <w:rsid w:val="2C466BAB"/>
    <w:rsid w:val="2CD37B9C"/>
    <w:rsid w:val="2DBB1EA2"/>
    <w:rsid w:val="2E046C17"/>
    <w:rsid w:val="2F1A6483"/>
    <w:rsid w:val="2FC772F6"/>
    <w:rsid w:val="305277BA"/>
    <w:rsid w:val="3098505F"/>
    <w:rsid w:val="30B51230"/>
    <w:rsid w:val="30CE781C"/>
    <w:rsid w:val="31744DBB"/>
    <w:rsid w:val="325E6B06"/>
    <w:rsid w:val="329F46CB"/>
    <w:rsid w:val="35C15D38"/>
    <w:rsid w:val="36994613"/>
    <w:rsid w:val="3B5F67F9"/>
    <w:rsid w:val="3C504A40"/>
    <w:rsid w:val="3CAB7EC8"/>
    <w:rsid w:val="3CC07DAB"/>
    <w:rsid w:val="3CFE221E"/>
    <w:rsid w:val="3D2F3740"/>
    <w:rsid w:val="412000B0"/>
    <w:rsid w:val="4133382B"/>
    <w:rsid w:val="419B7392"/>
    <w:rsid w:val="426E64C1"/>
    <w:rsid w:val="428A2D00"/>
    <w:rsid w:val="42B9270F"/>
    <w:rsid w:val="42E44EEB"/>
    <w:rsid w:val="42F848B2"/>
    <w:rsid w:val="43402962"/>
    <w:rsid w:val="465A0995"/>
    <w:rsid w:val="47CA7A66"/>
    <w:rsid w:val="48E57894"/>
    <w:rsid w:val="4B9D6558"/>
    <w:rsid w:val="4BBD76FF"/>
    <w:rsid w:val="4CFB7D10"/>
    <w:rsid w:val="4E806551"/>
    <w:rsid w:val="4EDA3037"/>
    <w:rsid w:val="501D1BC6"/>
    <w:rsid w:val="50204503"/>
    <w:rsid w:val="50E27F05"/>
    <w:rsid w:val="5349426B"/>
    <w:rsid w:val="541C7031"/>
    <w:rsid w:val="547F36AC"/>
    <w:rsid w:val="56A549A9"/>
    <w:rsid w:val="57CF5D62"/>
    <w:rsid w:val="59491BEE"/>
    <w:rsid w:val="59943D66"/>
    <w:rsid w:val="5A7D40C4"/>
    <w:rsid w:val="5EC57D89"/>
    <w:rsid w:val="5F3401D7"/>
    <w:rsid w:val="5F89356B"/>
    <w:rsid w:val="5F9B6EAB"/>
    <w:rsid w:val="61AB7E9F"/>
    <w:rsid w:val="628D22CC"/>
    <w:rsid w:val="633258B2"/>
    <w:rsid w:val="64634072"/>
    <w:rsid w:val="64ED07CF"/>
    <w:rsid w:val="64EF3414"/>
    <w:rsid w:val="66EB39CB"/>
    <w:rsid w:val="680052B6"/>
    <w:rsid w:val="68CC6A50"/>
    <w:rsid w:val="69682F9F"/>
    <w:rsid w:val="696D081E"/>
    <w:rsid w:val="6994311D"/>
    <w:rsid w:val="699F29DF"/>
    <w:rsid w:val="6AE07B4D"/>
    <w:rsid w:val="6B3709F5"/>
    <w:rsid w:val="6B8F2CD0"/>
    <w:rsid w:val="6C3F4006"/>
    <w:rsid w:val="6C7943E3"/>
    <w:rsid w:val="6C936C6A"/>
    <w:rsid w:val="6D417909"/>
    <w:rsid w:val="6D6922EF"/>
    <w:rsid w:val="6DB62698"/>
    <w:rsid w:val="6DBF4921"/>
    <w:rsid w:val="6EBA3E17"/>
    <w:rsid w:val="6EEF3DC1"/>
    <w:rsid w:val="6F207A55"/>
    <w:rsid w:val="6F2A2565"/>
    <w:rsid w:val="6F814935"/>
    <w:rsid w:val="6FD470B5"/>
    <w:rsid w:val="70817E1E"/>
    <w:rsid w:val="710D0DE4"/>
    <w:rsid w:val="71C60867"/>
    <w:rsid w:val="7296325C"/>
    <w:rsid w:val="73FC528E"/>
    <w:rsid w:val="7561323F"/>
    <w:rsid w:val="761B3DA1"/>
    <w:rsid w:val="77D90A26"/>
    <w:rsid w:val="791433F6"/>
    <w:rsid w:val="79150532"/>
    <w:rsid w:val="7A1C5FCA"/>
    <w:rsid w:val="7A696F4C"/>
    <w:rsid w:val="7AD504EF"/>
    <w:rsid w:val="7BF00E78"/>
    <w:rsid w:val="7F5C1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24"/>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38"/>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rFonts w:eastAsia="仿宋_GB2312"/>
      <w:sz w:val="28"/>
    </w:rPr>
  </w:style>
  <w:style w:type="paragraph" w:styleId="6">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w:basedOn w:val="1"/>
    <w:next w:val="8"/>
    <w:link w:val="28"/>
    <w:qFormat/>
    <w:uiPriority w:val="0"/>
    <w:pPr>
      <w:autoSpaceDE w:val="0"/>
      <w:autoSpaceDN w:val="0"/>
      <w:spacing w:line="360" w:lineRule="auto"/>
    </w:pPr>
    <w:rPr>
      <w:rFonts w:ascii="宋体" w:hAnsi="Arial" w:cs="Arial"/>
      <w:snapToGrid w:val="0"/>
      <w:sz w:val="24"/>
      <w:szCs w:val="21"/>
      <w:lang w:val="zh-CN"/>
    </w:rPr>
  </w:style>
  <w:style w:type="paragraph" w:styleId="8">
    <w:name w:val="Date"/>
    <w:basedOn w:val="1"/>
    <w:next w:val="1"/>
    <w:link w:val="26"/>
    <w:qFormat/>
    <w:uiPriority w:val="0"/>
    <w:pPr>
      <w:ind w:left="100" w:leftChars="2500"/>
    </w:pPr>
    <w:rPr>
      <w:rFonts w:ascii="宋体"/>
      <w:sz w:val="24"/>
      <w:szCs w:val="21"/>
      <w:lang w:val="zh-CN"/>
    </w:rPr>
  </w:style>
  <w:style w:type="paragraph" w:styleId="9">
    <w:name w:val="Body Text Indent"/>
    <w:basedOn w:val="1"/>
    <w:link w:val="25"/>
    <w:qFormat/>
    <w:uiPriority w:val="0"/>
    <w:pPr>
      <w:spacing w:line="480" w:lineRule="exact"/>
      <w:ind w:firstLine="480" w:firstLineChars="200"/>
    </w:pPr>
    <w:rPr>
      <w:rFonts w:ascii="宋体" w:hAnsi="宋体"/>
      <w:sz w:val="24"/>
    </w:rPr>
  </w:style>
  <w:style w:type="paragraph" w:styleId="10">
    <w:name w:val="toc 3"/>
    <w:basedOn w:val="1"/>
    <w:next w:val="1"/>
    <w:qFormat/>
    <w:uiPriority w:val="0"/>
    <w:pPr>
      <w:ind w:left="840" w:leftChars="400"/>
    </w:pPr>
    <w:rPr>
      <w:rFonts w:ascii="Times New Roman" w:hAnsi="Times New Roman"/>
    </w:rPr>
  </w:style>
  <w:style w:type="paragraph" w:styleId="11">
    <w:name w:val="Plain Text"/>
    <w:basedOn w:val="1"/>
    <w:link w:val="27"/>
    <w:qFormat/>
    <w:uiPriority w:val="0"/>
    <w:rPr>
      <w:rFonts w:ascii="宋体" w:hAnsi="Courier New" w:cs="Arial"/>
      <w:snapToGrid w:val="0"/>
      <w:szCs w:val="21"/>
    </w:rPr>
  </w:style>
  <w:style w:type="paragraph" w:styleId="12">
    <w:name w:val="Balloon Text"/>
    <w:basedOn w:val="1"/>
    <w:link w:val="41"/>
    <w:semiHidden/>
    <w:unhideWhenUsed/>
    <w:qFormat/>
    <w:uiPriority w:val="99"/>
    <w:rPr>
      <w:sz w:val="18"/>
      <w:szCs w:val="18"/>
    </w:rPr>
  </w:style>
  <w:style w:type="paragraph" w:styleId="13">
    <w:name w:val="footer"/>
    <w:basedOn w:val="1"/>
    <w:link w:val="23"/>
    <w:unhideWhenUsed/>
    <w:qFormat/>
    <w:uiPriority w:val="99"/>
    <w:pPr>
      <w:tabs>
        <w:tab w:val="center" w:pos="4153"/>
        <w:tab w:val="right" w:pos="8306"/>
      </w:tabs>
      <w:snapToGrid w:val="0"/>
      <w:jc w:val="left"/>
    </w:pPr>
    <w:rPr>
      <w:sz w:val="18"/>
      <w:szCs w:val="18"/>
    </w:rPr>
  </w:style>
  <w:style w:type="paragraph" w:styleId="14">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Indent 3"/>
    <w:basedOn w:val="1"/>
    <w:qFormat/>
    <w:uiPriority w:val="0"/>
    <w:pPr>
      <w:spacing w:after="120" w:afterLines="0"/>
      <w:ind w:left="420" w:leftChars="200"/>
    </w:pPr>
    <w:rPr>
      <w:sz w:val="16"/>
      <w:szCs w:val="16"/>
    </w:rPr>
  </w:style>
  <w:style w:type="paragraph" w:styleId="16">
    <w:name w:val="Body Text First Indent"/>
    <w:next w:val="1"/>
    <w:qFormat/>
    <w:uiPriority w:val="0"/>
    <w:pPr>
      <w:widowControl w:val="0"/>
      <w:autoSpaceDE w:val="0"/>
      <w:autoSpaceDN w:val="0"/>
      <w:adjustRightInd w:val="0"/>
      <w:spacing w:after="0"/>
      <w:jc w:val="left"/>
    </w:pPr>
    <w:rPr>
      <w:rFonts w:ascii="Times New Roman" w:hAnsi="Times New Roman" w:eastAsia="宋体" w:cs="Times New Roman"/>
      <w:kern w:val="0"/>
      <w:sz w:val="28"/>
      <w:szCs w:val="20"/>
      <w:lang w:val="en-US" w:eastAsia="zh-CN" w:bidi="ar-SA"/>
    </w:rPr>
  </w:style>
  <w:style w:type="table" w:styleId="18">
    <w:name w:val="Table Grid"/>
    <w:basedOn w:val="17"/>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rPr>
      <w:rFonts w:ascii="Arial" w:hAnsi="Arial" w:eastAsia="黑体" w:cs="Arial"/>
      <w:snapToGrid w:val="0"/>
      <w:kern w:val="0"/>
      <w:szCs w:val="21"/>
    </w:rPr>
  </w:style>
  <w:style w:type="character" w:styleId="21">
    <w:name w:val="Hyperlink"/>
    <w:qFormat/>
    <w:uiPriority w:val="99"/>
    <w:rPr>
      <w:rFonts w:ascii="Arial" w:hAnsi="Arial" w:eastAsia="黑体" w:cs="Arial"/>
      <w:snapToGrid w:val="0"/>
      <w:color w:val="000000"/>
      <w:kern w:val="0"/>
      <w:sz w:val="18"/>
      <w:szCs w:val="18"/>
      <w:u w:val="none"/>
    </w:rPr>
  </w:style>
  <w:style w:type="character" w:customStyle="1" w:styleId="22">
    <w:name w:val="页眉 Char"/>
    <w:basedOn w:val="19"/>
    <w:link w:val="14"/>
    <w:qFormat/>
    <w:uiPriority w:val="99"/>
    <w:rPr>
      <w:sz w:val="18"/>
      <w:szCs w:val="18"/>
    </w:rPr>
  </w:style>
  <w:style w:type="character" w:customStyle="1" w:styleId="23">
    <w:name w:val="页脚 Char"/>
    <w:basedOn w:val="19"/>
    <w:link w:val="13"/>
    <w:qFormat/>
    <w:uiPriority w:val="99"/>
    <w:rPr>
      <w:sz w:val="18"/>
      <w:szCs w:val="18"/>
    </w:rPr>
  </w:style>
  <w:style w:type="character" w:customStyle="1" w:styleId="24">
    <w:name w:val="标题 2 Char"/>
    <w:basedOn w:val="19"/>
    <w:link w:val="3"/>
    <w:qFormat/>
    <w:uiPriority w:val="0"/>
    <w:rPr>
      <w:rFonts w:ascii="仿宋_GB2312" w:hAnsi="仿宋" w:eastAsia="仿宋_GB2312" w:cs="Times New Roman"/>
      <w:b/>
      <w:bCs/>
      <w:sz w:val="32"/>
      <w:szCs w:val="32"/>
      <w:lang w:val="zh-CN"/>
    </w:rPr>
  </w:style>
  <w:style w:type="character" w:customStyle="1" w:styleId="25">
    <w:name w:val="正文文本缩进 Char"/>
    <w:basedOn w:val="19"/>
    <w:link w:val="9"/>
    <w:qFormat/>
    <w:uiPriority w:val="0"/>
    <w:rPr>
      <w:rFonts w:ascii="宋体" w:hAnsi="宋体" w:eastAsia="宋体" w:cs="Times New Roman"/>
      <w:sz w:val="24"/>
      <w:szCs w:val="24"/>
    </w:rPr>
  </w:style>
  <w:style w:type="character" w:customStyle="1" w:styleId="26">
    <w:name w:val="日期 Char"/>
    <w:basedOn w:val="19"/>
    <w:link w:val="8"/>
    <w:qFormat/>
    <w:uiPriority w:val="0"/>
    <w:rPr>
      <w:rFonts w:ascii="宋体" w:hAnsi="Calibri" w:eastAsia="宋体" w:cs="Times New Roman"/>
      <w:sz w:val="24"/>
      <w:szCs w:val="21"/>
      <w:lang w:val="zh-CN"/>
    </w:rPr>
  </w:style>
  <w:style w:type="character" w:customStyle="1" w:styleId="27">
    <w:name w:val="纯文本 Char"/>
    <w:basedOn w:val="19"/>
    <w:link w:val="11"/>
    <w:qFormat/>
    <w:uiPriority w:val="0"/>
    <w:rPr>
      <w:rFonts w:ascii="宋体" w:hAnsi="Courier New" w:eastAsia="宋体" w:cs="Arial"/>
      <w:snapToGrid w:val="0"/>
      <w:szCs w:val="21"/>
    </w:rPr>
  </w:style>
  <w:style w:type="character" w:customStyle="1" w:styleId="28">
    <w:name w:val="正文文本 Char"/>
    <w:basedOn w:val="19"/>
    <w:link w:val="7"/>
    <w:qFormat/>
    <w:uiPriority w:val="0"/>
    <w:rPr>
      <w:rFonts w:ascii="宋体" w:hAnsi="Arial" w:eastAsia="宋体" w:cs="Arial"/>
      <w:snapToGrid w:val="0"/>
      <w:sz w:val="24"/>
      <w:szCs w:val="21"/>
      <w:lang w:val="zh-CN"/>
    </w:rPr>
  </w:style>
  <w:style w:type="paragraph" w:customStyle="1" w:styleId="29">
    <w:name w:val="索引 11"/>
    <w:basedOn w:val="1"/>
    <w:next w:val="1"/>
    <w:qFormat/>
    <w:uiPriority w:val="99"/>
    <w:pPr>
      <w:spacing w:line="360" w:lineRule="auto"/>
    </w:pPr>
    <w:rPr>
      <w:rFonts w:ascii="仿宋_GB2312" w:eastAsia="仿宋_GB2312"/>
      <w:sz w:val="24"/>
      <w:szCs w:val="20"/>
    </w:rPr>
  </w:style>
  <w:style w:type="paragraph" w:customStyle="1" w:styleId="3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2">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33">
    <w:name w:val="纯文本1"/>
    <w:basedOn w:val="1"/>
    <w:qFormat/>
    <w:uiPriority w:val="0"/>
    <w:rPr>
      <w:rFonts w:ascii="宋体" w:hAnsi="Courier New"/>
      <w:kern w:val="0"/>
      <w:sz w:val="20"/>
      <w:szCs w:val="20"/>
    </w:rPr>
  </w:style>
  <w:style w:type="paragraph" w:customStyle="1" w:styleId="3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纯文本_0_0"/>
    <w:basedOn w:val="34"/>
    <w:qFormat/>
    <w:uiPriority w:val="0"/>
    <w:rPr>
      <w:rFonts w:ascii="宋体" w:hAnsi="Courier New"/>
      <w:szCs w:val="21"/>
    </w:rPr>
  </w:style>
  <w:style w:type="paragraph" w:customStyle="1" w:styleId="36">
    <w:name w:val="正文2"/>
    <w:basedOn w:val="1"/>
    <w:qFormat/>
    <w:uiPriority w:val="0"/>
    <w:pPr>
      <w:spacing w:before="156" w:line="360" w:lineRule="auto"/>
      <w:ind w:firstLine="510" w:firstLineChars="200"/>
    </w:pPr>
    <w:rPr>
      <w:sz w:val="24"/>
      <w:szCs w:val="20"/>
    </w:rPr>
  </w:style>
  <w:style w:type="paragraph" w:customStyle="1" w:styleId="37">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38">
    <w:name w:val="标题 3 Char"/>
    <w:basedOn w:val="19"/>
    <w:link w:val="4"/>
    <w:semiHidden/>
    <w:qFormat/>
    <w:uiPriority w:val="9"/>
    <w:rPr>
      <w:rFonts w:ascii="Calibri" w:hAnsi="Calibri" w:eastAsia="宋体" w:cs="Times New Roman"/>
      <w:b/>
      <w:bCs/>
      <w:sz w:val="32"/>
      <w:szCs w:val="32"/>
    </w:rPr>
  </w:style>
  <w:style w:type="character" w:customStyle="1" w:styleId="39">
    <w:name w:val="标题 4 Char"/>
    <w:basedOn w:val="19"/>
    <w:link w:val="5"/>
    <w:semiHidden/>
    <w:qFormat/>
    <w:uiPriority w:val="9"/>
    <w:rPr>
      <w:rFonts w:asciiTheme="majorHAnsi" w:hAnsiTheme="majorHAnsi" w:eastAsiaTheme="majorEastAsia" w:cstheme="majorBidi"/>
      <w:b/>
      <w:bCs/>
      <w:sz w:val="28"/>
      <w:szCs w:val="28"/>
    </w:rPr>
  </w:style>
  <w:style w:type="paragraph" w:customStyle="1" w:styleId="40">
    <w:name w:val="标题4"/>
    <w:basedOn w:val="1"/>
    <w:qFormat/>
    <w:uiPriority w:val="0"/>
    <w:rPr>
      <w:rFonts w:ascii="Times New Roman" w:hAnsi="Times New Roman" w:eastAsia="仿宋_GB2312"/>
      <w:sz w:val="32"/>
      <w:szCs w:val="20"/>
    </w:rPr>
  </w:style>
  <w:style w:type="character" w:customStyle="1" w:styleId="41">
    <w:name w:val="批注框文本 Char"/>
    <w:basedOn w:val="19"/>
    <w:link w:val="12"/>
    <w:semiHidden/>
    <w:qFormat/>
    <w:uiPriority w:val="99"/>
    <w:rPr>
      <w:rFonts w:ascii="Calibri" w:hAnsi="Calibri" w:eastAsia="宋体" w:cs="Times New Roman"/>
      <w:sz w:val="18"/>
      <w:szCs w:val="18"/>
    </w:rPr>
  </w:style>
  <w:style w:type="character" w:customStyle="1" w:styleId="42">
    <w:name w:val="List Paragraph Char"/>
    <w:link w:val="43"/>
    <w:qFormat/>
    <w:locked/>
    <w:uiPriority w:val="0"/>
    <w:rPr>
      <w:rFonts w:ascii="Times New Roman" w:hAnsi="Times New Roman"/>
      <w:szCs w:val="24"/>
    </w:rPr>
  </w:style>
  <w:style w:type="paragraph" w:customStyle="1" w:styleId="43">
    <w:name w:val="列出段落1"/>
    <w:basedOn w:val="1"/>
    <w:link w:val="42"/>
    <w:qFormat/>
    <w:uiPriority w:val="0"/>
    <w:pPr>
      <w:ind w:firstLine="420" w:firstLineChars="200"/>
    </w:pPr>
    <w:rPr>
      <w:rFonts w:ascii="Times New Roman" w:hAnsi="Times New Roman" w:eastAsiaTheme="minorEastAsia" w:cstheme="minorBidi"/>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65</Pages>
  <Words>29116</Words>
  <Characters>31124</Characters>
  <Lines>222</Lines>
  <Paragraphs>62</Paragraphs>
  <TotalTime>39</TotalTime>
  <ScaleCrop>false</ScaleCrop>
  <LinksUpToDate>false</LinksUpToDate>
  <CharactersWithSpaces>33837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2022-04-06T06:41:00Z</dcterms:created>
  <dc:creator>Microsoft</dc:creator>
  <cp:lastModifiedBy>微信用户</cp:lastModifiedBy>
  <cp:lastPrinted>2022-11-16T02:51:00Z</cp:lastPrinted>
  <dcterms:modified xsi:type="dcterms:W3CDTF">2022-11-25T00:26:51Z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A12025A4C1A0495C92A5218CFCA62A79</vt:lpwstr>
  </property>
</Properties>
</file>