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bookmarkStart w:id="12" w:name="_GoBack"/>
      <w:bookmarkEnd w:id="12"/>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Lines="100" w:line="360" w:lineRule="auto"/>
        <w:jc w:val="center"/>
        <w:textAlignment w:val="bottom"/>
        <w:outlineLvl w:val="0"/>
        <w:rPr>
          <w:rFonts w:ascii="宋体" w:hAnsi="宋体"/>
          <w:b/>
          <w:color w:val="auto"/>
          <w:sz w:val="84"/>
          <w:szCs w:val="84"/>
          <w:highlight w:val="none"/>
        </w:rPr>
      </w:pPr>
      <w:r>
        <w:rPr>
          <w:rFonts w:hint="eastAsia" w:ascii="宋体" w:hAnsi="宋体"/>
          <w:b/>
          <w:color w:val="auto"/>
          <w:sz w:val="84"/>
          <w:szCs w:val="84"/>
          <w:highlight w:val="none"/>
        </w:rPr>
        <w:t>招</w:t>
      </w:r>
      <w:r>
        <w:rPr>
          <w:rFonts w:ascii="宋体" w:hAnsi="宋体"/>
          <w:b/>
          <w:color w:val="auto"/>
          <w:sz w:val="84"/>
          <w:szCs w:val="84"/>
          <w:highlight w:val="none"/>
        </w:rPr>
        <w:t xml:space="preserve">  </w:t>
      </w:r>
      <w:r>
        <w:rPr>
          <w:rFonts w:hint="eastAsia" w:ascii="宋体" w:hAnsi="宋体"/>
          <w:b/>
          <w:color w:val="auto"/>
          <w:sz w:val="84"/>
          <w:szCs w:val="84"/>
          <w:highlight w:val="none"/>
        </w:rPr>
        <w:t>标</w:t>
      </w:r>
      <w:r>
        <w:rPr>
          <w:rFonts w:ascii="宋体" w:hAnsi="宋体"/>
          <w:b/>
          <w:color w:val="auto"/>
          <w:sz w:val="84"/>
          <w:szCs w:val="84"/>
          <w:highlight w:val="none"/>
        </w:rPr>
        <w:t xml:space="preserve">  </w:t>
      </w:r>
      <w:r>
        <w:rPr>
          <w:rFonts w:hint="eastAsia" w:ascii="宋体" w:hAnsi="宋体"/>
          <w:b/>
          <w:color w:val="auto"/>
          <w:sz w:val="84"/>
          <w:szCs w:val="84"/>
          <w:highlight w:val="none"/>
        </w:rPr>
        <w:t>文</w:t>
      </w:r>
      <w:r>
        <w:rPr>
          <w:rFonts w:ascii="宋体" w:hAnsi="宋体"/>
          <w:b/>
          <w:color w:val="auto"/>
          <w:sz w:val="84"/>
          <w:szCs w:val="84"/>
          <w:highlight w:val="none"/>
        </w:rPr>
        <w:t xml:space="preserve">  </w:t>
      </w:r>
      <w:r>
        <w:rPr>
          <w:rFonts w:hint="eastAsia" w:ascii="宋体" w:hAnsi="宋体"/>
          <w:b/>
          <w:color w:val="auto"/>
          <w:sz w:val="84"/>
          <w:szCs w:val="84"/>
          <w:highlight w:val="none"/>
        </w:rPr>
        <w:t>件</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2"/>
          <w:szCs w:val="32"/>
          <w:highlight w:val="none"/>
          <w:u w:val="singl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项目名称：</w:t>
      </w:r>
      <w:r>
        <w:rPr>
          <w:rFonts w:hint="eastAsia" w:ascii="宋体" w:hAnsi="宋体"/>
          <w:b/>
          <w:bCs/>
          <w:color w:val="auto"/>
          <w:sz w:val="36"/>
          <w:szCs w:val="36"/>
          <w:highlight w:val="none"/>
          <w:u w:val="single"/>
          <w:lang w:eastAsia="zh-CN"/>
        </w:rPr>
        <w:t>北仑行政大楼物业管理</w:t>
      </w: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auto"/>
          <w:sz w:val="36"/>
          <w:szCs w:val="36"/>
          <w:highlight w:val="none"/>
          <w:lang w:eastAsia="zh-CN"/>
        </w:rPr>
      </w:pPr>
      <w:r>
        <w:rPr>
          <w:rFonts w:hint="eastAsia" w:ascii="宋体" w:hAnsi="宋体"/>
          <w:b/>
          <w:bCs/>
          <w:color w:val="auto"/>
          <w:sz w:val="32"/>
          <w:szCs w:val="32"/>
          <w:highlight w:val="none"/>
        </w:rPr>
        <w:t xml:space="preserve">  </w:t>
      </w:r>
      <w:r>
        <w:rPr>
          <w:rFonts w:hint="eastAsia" w:ascii="宋体" w:hAnsi="宋体"/>
          <w:b/>
          <w:bCs/>
          <w:color w:val="auto"/>
          <w:sz w:val="36"/>
          <w:szCs w:val="36"/>
          <w:highlight w:val="none"/>
        </w:rPr>
        <w:t xml:space="preserve">  项目编号：</w:t>
      </w:r>
      <w:r>
        <w:rPr>
          <w:rFonts w:hint="eastAsia" w:ascii="宋体" w:hAnsi="宋体"/>
          <w:b/>
          <w:bCs/>
          <w:color w:val="auto"/>
          <w:sz w:val="36"/>
          <w:szCs w:val="36"/>
          <w:highlight w:val="none"/>
          <w:u w:val="single"/>
          <w:lang w:eastAsia="zh-CN"/>
        </w:rPr>
        <w:t>BLZFCG2024015</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 购 人：</w:t>
      </w:r>
      <w:bookmarkStart w:id="0" w:name="OLE_LINK4"/>
      <w:bookmarkStart w:id="1" w:name="OLE_LINK5"/>
      <w:r>
        <w:rPr>
          <w:rFonts w:hint="eastAsia"/>
          <w:b/>
          <w:bCs/>
          <w:color w:val="auto"/>
          <w:sz w:val="30"/>
          <w:szCs w:val="30"/>
          <w:highlight w:val="none"/>
          <w:lang w:eastAsia="zh-CN"/>
        </w:rPr>
        <w:t>宁波市北仑区机关事务管理局</w:t>
      </w:r>
    </w:p>
    <w:bookmarkEnd w:id="0"/>
    <w:bookmarkEnd w:id="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30"/>
          <w:szCs w:val="30"/>
          <w:highlight w:val="none"/>
          <w:lang w:eastAsia="zh-CN"/>
        </w:rPr>
      </w:pPr>
      <w:r>
        <w:rPr>
          <w:rFonts w:hint="eastAsia"/>
          <w:b/>
          <w:bCs/>
          <w:color w:val="auto"/>
          <w:sz w:val="30"/>
          <w:szCs w:val="30"/>
          <w:highlight w:val="none"/>
        </w:rPr>
        <w:t xml:space="preserve">   </w:t>
      </w:r>
      <w:r>
        <w:rPr>
          <w:rFonts w:hint="eastAsia"/>
          <w:b/>
          <w:bCs/>
          <w:color w:val="auto"/>
          <w:sz w:val="30"/>
          <w:szCs w:val="30"/>
          <w:highlight w:val="none"/>
          <w:lang w:val="en-US" w:eastAsia="zh-CN"/>
        </w:rPr>
        <w:t xml:space="preserve"> </w:t>
      </w:r>
      <w:r>
        <w:rPr>
          <w:rFonts w:hint="eastAsia"/>
          <w:b/>
          <w:bCs/>
          <w:color w:val="auto"/>
          <w:sz w:val="30"/>
          <w:szCs w:val="30"/>
          <w:highlight w:val="none"/>
        </w:rPr>
        <w:t>采购机构：</w:t>
      </w:r>
      <w:r>
        <w:rPr>
          <w:rFonts w:hint="eastAsia"/>
          <w:b/>
          <w:bCs/>
          <w:color w:val="auto"/>
          <w:sz w:val="30"/>
          <w:szCs w:val="30"/>
          <w:highlight w:val="none"/>
          <w:lang w:eastAsia="zh-CN"/>
        </w:rPr>
        <w:t>宁波市北仑区（开发区）公共资源交易中心</w:t>
      </w:r>
    </w:p>
    <w:p>
      <w:pPr>
        <w:autoSpaceDE w:val="0"/>
        <w:autoSpaceDN w:val="0"/>
        <w:spacing w:line="360" w:lineRule="auto"/>
        <w:jc w:val="center"/>
        <w:textAlignment w:val="bottom"/>
        <w:outlineLvl w:val="0"/>
        <w:rPr>
          <w:rFonts w:hint="eastAsia" w:ascii="宋体" w:hAnsi="宋体"/>
          <w:b w:val="0"/>
          <w:bCs w:val="0"/>
          <w:strike w:val="0"/>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0"/>
        <w:rPr>
          <w:rFonts w:ascii="宋体" w:hAnsi="宋体"/>
          <w:b/>
          <w:bCs/>
          <w:color w:val="auto"/>
          <w:sz w:val="36"/>
          <w:highlight w:val="none"/>
        </w:rPr>
      </w:pPr>
      <w:r>
        <w:rPr>
          <w:rFonts w:hint="eastAsia" w:ascii="宋体" w:hAnsi="宋体"/>
          <w:b/>
          <w:bCs/>
          <w:color w:val="auto"/>
          <w:sz w:val="36"/>
          <w:highlight w:val="none"/>
        </w:rPr>
        <w:t>二〇二</w:t>
      </w:r>
      <w:r>
        <w:rPr>
          <w:rFonts w:hint="eastAsia" w:ascii="宋体" w:hAnsi="宋体"/>
          <w:b/>
          <w:bCs/>
          <w:color w:val="auto"/>
          <w:sz w:val="36"/>
          <w:highlight w:val="none"/>
          <w:lang w:val="en-US" w:eastAsia="zh-CN"/>
        </w:rPr>
        <w:t>四</w:t>
      </w:r>
      <w:r>
        <w:rPr>
          <w:rFonts w:hint="eastAsia" w:ascii="宋体" w:hAnsi="宋体"/>
          <w:b/>
          <w:bCs/>
          <w:color w:val="auto"/>
          <w:sz w:val="36"/>
          <w:highlight w:val="none"/>
        </w:rPr>
        <w:t xml:space="preserve"> 年 </w:t>
      </w:r>
      <w:r>
        <w:rPr>
          <w:rFonts w:hint="eastAsia" w:ascii="宋体" w:hAnsi="宋体"/>
          <w:b/>
          <w:bCs/>
          <w:color w:val="auto"/>
          <w:sz w:val="36"/>
          <w:highlight w:val="none"/>
          <w:lang w:val="en-US" w:eastAsia="zh-CN"/>
        </w:rPr>
        <w:t>四</w:t>
      </w:r>
      <w:r>
        <w:rPr>
          <w:rFonts w:hint="eastAsia" w:ascii="宋体" w:hAnsi="宋体"/>
          <w:b/>
          <w:bCs/>
          <w:color w:val="auto"/>
          <w:sz w:val="36"/>
          <w:highlight w:val="none"/>
        </w:rPr>
        <w:t xml:space="preserve"> 月</w:t>
      </w:r>
    </w:p>
    <w:p>
      <w:pPr>
        <w:keepNext w:val="0"/>
        <w:keepLines w:val="0"/>
        <w:pageBreakBefore w:val="0"/>
        <w:widowControl w:val="0"/>
        <w:kinsoku/>
        <w:wordWrap/>
        <w:overflowPunct/>
        <w:topLinePunct w:val="0"/>
        <w:bidi w:val="0"/>
        <w:adjustRightInd/>
        <w:snapToGrid/>
        <w:rPr>
          <w:rFonts w:ascii="宋体" w:hAnsi="宋体"/>
          <w:color w:val="auto"/>
          <w:highlight w:val="none"/>
        </w:rPr>
        <w:sectPr>
          <w:headerReference r:id="rId4" w:type="first"/>
          <w:headerReference r:id="rId3" w:type="default"/>
          <w:footerReference r:id="rId5" w:type="default"/>
          <w:pgSz w:w="11906" w:h="16838"/>
          <w:pgMar w:top="1440" w:right="1800" w:bottom="1440" w:left="1800" w:header="851" w:footer="850" w:gutter="0"/>
          <w:cols w:space="425" w:num="1"/>
          <w:titlePg/>
          <w:docGrid w:type="lines" w:linePitch="312" w:charSpace="0"/>
        </w:sect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b/>
          <w:color w:val="auto"/>
          <w:sz w:val="44"/>
          <w:highlight w:val="none"/>
        </w:rPr>
      </w:pPr>
    </w:p>
    <w:p>
      <w:pPr>
        <w:spacing w:line="360" w:lineRule="auto"/>
        <w:jc w:val="center"/>
        <w:rPr>
          <w:rFonts w:ascii="黑体" w:hAnsi="黑体" w:eastAsia="黑体"/>
          <w:color w:val="auto"/>
          <w:sz w:val="44"/>
          <w:highlight w:val="none"/>
        </w:rPr>
      </w:pPr>
      <w:r>
        <w:rPr>
          <w:rFonts w:hint="eastAsia" w:ascii="黑体" w:hAnsi="黑体" w:eastAsia="黑体"/>
          <w:color w:val="auto"/>
          <w:sz w:val="44"/>
          <w:highlight w:val="none"/>
        </w:rPr>
        <w:t>目   录</w:t>
      </w: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jc w:val="center"/>
        <w:rPr>
          <w:rFonts w:ascii="黑体" w:hAnsi="黑体" w:eastAsia="黑体"/>
          <w:b/>
          <w:color w:val="auto"/>
          <w:sz w:val="24"/>
          <w:highlight w:val="none"/>
        </w:rPr>
      </w:pPr>
    </w:p>
    <w:p>
      <w:pPr>
        <w:spacing w:line="360" w:lineRule="auto"/>
        <w:rPr>
          <w:rFonts w:hint="default" w:ascii="黑体" w:hAnsi="黑体" w:eastAsia="黑体"/>
          <w:color w:val="auto"/>
          <w:sz w:val="30"/>
          <w:highlight w:val="none"/>
          <w:lang w:val="en-US" w:eastAsia="zh-CN"/>
        </w:rPr>
      </w:pPr>
      <w:r>
        <w:rPr>
          <w:rFonts w:hint="eastAsia" w:ascii="黑体" w:hAnsi="黑体" w:eastAsia="黑体"/>
          <w:color w:val="auto"/>
          <w:sz w:val="30"/>
          <w:highlight w:val="none"/>
        </w:rPr>
        <w:t>1、第一部分………………………………</w:t>
      </w:r>
      <w:r>
        <w:rPr>
          <w:rFonts w:hint="eastAsia" w:ascii="黑体" w:hAnsi="黑体" w:eastAsia="黑体"/>
          <w:color w:val="auto"/>
          <w:sz w:val="30"/>
          <w:highlight w:val="none"/>
          <w:lang w:val="en-US" w:eastAsia="zh-CN"/>
        </w:rPr>
        <w:t>投标邀请</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2、第</w:t>
      </w:r>
      <w:r>
        <w:rPr>
          <w:rFonts w:hint="eastAsia" w:ascii="黑体" w:hAnsi="黑体" w:eastAsia="黑体"/>
          <w:color w:val="auto"/>
          <w:sz w:val="30"/>
          <w:highlight w:val="none"/>
          <w:lang w:val="en-US" w:eastAsia="zh-CN"/>
        </w:rPr>
        <w:t>二</w:t>
      </w:r>
      <w:r>
        <w:rPr>
          <w:rFonts w:hint="eastAsia" w:ascii="黑体" w:hAnsi="黑体" w:eastAsia="黑体"/>
          <w:color w:val="auto"/>
          <w:sz w:val="30"/>
          <w:highlight w:val="none"/>
        </w:rPr>
        <w:t>部分………………………………前附表</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3、第</w:t>
      </w:r>
      <w:r>
        <w:rPr>
          <w:rFonts w:hint="eastAsia" w:ascii="黑体" w:hAnsi="黑体" w:eastAsia="黑体"/>
          <w:color w:val="auto"/>
          <w:sz w:val="30"/>
          <w:highlight w:val="none"/>
          <w:lang w:val="en-US" w:eastAsia="zh-CN"/>
        </w:rPr>
        <w:t>三</w:t>
      </w:r>
      <w:r>
        <w:rPr>
          <w:rFonts w:hint="eastAsia" w:ascii="黑体" w:hAnsi="黑体" w:eastAsia="黑体"/>
          <w:color w:val="auto"/>
          <w:sz w:val="30"/>
          <w:highlight w:val="none"/>
        </w:rPr>
        <w:t>部分………………………………投标人须知</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4、第</w:t>
      </w:r>
      <w:r>
        <w:rPr>
          <w:rFonts w:hint="eastAsia" w:ascii="黑体" w:hAnsi="黑体" w:eastAsia="黑体"/>
          <w:color w:val="auto"/>
          <w:sz w:val="30"/>
          <w:highlight w:val="none"/>
          <w:lang w:val="en-US" w:eastAsia="zh-CN"/>
        </w:rPr>
        <w:t>四</w:t>
      </w:r>
      <w:r>
        <w:rPr>
          <w:rFonts w:hint="eastAsia" w:ascii="黑体" w:hAnsi="黑体" w:eastAsia="黑体"/>
          <w:color w:val="auto"/>
          <w:sz w:val="30"/>
          <w:highlight w:val="none"/>
        </w:rPr>
        <w:t>部分………………………………项目内容及要求</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5、第</w:t>
      </w:r>
      <w:r>
        <w:rPr>
          <w:rFonts w:hint="eastAsia" w:ascii="黑体" w:hAnsi="黑体" w:eastAsia="黑体"/>
          <w:color w:val="auto"/>
          <w:sz w:val="30"/>
          <w:highlight w:val="none"/>
          <w:lang w:val="en-US" w:eastAsia="zh-CN"/>
        </w:rPr>
        <w:t>五</w:t>
      </w:r>
      <w:r>
        <w:rPr>
          <w:rFonts w:hint="eastAsia" w:ascii="黑体" w:hAnsi="黑体" w:eastAsia="黑体"/>
          <w:color w:val="auto"/>
          <w:sz w:val="30"/>
          <w:highlight w:val="none"/>
        </w:rPr>
        <w:t>部分………………………………采购合同</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6、第</w:t>
      </w:r>
      <w:r>
        <w:rPr>
          <w:rFonts w:hint="eastAsia" w:ascii="黑体" w:hAnsi="黑体" w:eastAsia="黑体"/>
          <w:color w:val="auto"/>
          <w:sz w:val="30"/>
          <w:highlight w:val="none"/>
          <w:lang w:val="en-US" w:eastAsia="zh-CN"/>
        </w:rPr>
        <w:t>六</w:t>
      </w:r>
      <w:r>
        <w:rPr>
          <w:rFonts w:hint="eastAsia" w:ascii="黑体" w:hAnsi="黑体" w:eastAsia="黑体"/>
          <w:color w:val="auto"/>
          <w:sz w:val="30"/>
          <w:highlight w:val="none"/>
        </w:rPr>
        <w:t>部分………………………………投标文件组成及格式</w:t>
      </w:r>
    </w:p>
    <w:p>
      <w:pPr>
        <w:spacing w:line="360" w:lineRule="auto"/>
        <w:rPr>
          <w:rFonts w:ascii="黑体" w:hAnsi="黑体" w:eastAsia="黑体"/>
          <w:color w:val="auto"/>
          <w:sz w:val="30"/>
          <w:highlight w:val="none"/>
        </w:rPr>
      </w:pPr>
      <w:r>
        <w:rPr>
          <w:rFonts w:hint="eastAsia" w:ascii="黑体" w:hAnsi="黑体" w:eastAsia="黑体"/>
          <w:color w:val="auto"/>
          <w:sz w:val="30"/>
          <w:highlight w:val="none"/>
        </w:rPr>
        <w:t>7、第</w:t>
      </w:r>
      <w:r>
        <w:rPr>
          <w:rFonts w:hint="eastAsia" w:ascii="黑体" w:hAnsi="黑体" w:eastAsia="黑体"/>
          <w:color w:val="auto"/>
          <w:sz w:val="30"/>
          <w:highlight w:val="none"/>
          <w:lang w:val="en-US" w:eastAsia="zh-CN"/>
        </w:rPr>
        <w:t>七</w:t>
      </w:r>
      <w:r>
        <w:rPr>
          <w:rFonts w:hint="eastAsia" w:ascii="黑体" w:hAnsi="黑体" w:eastAsia="黑体"/>
          <w:color w:val="auto"/>
          <w:sz w:val="30"/>
          <w:highlight w:val="none"/>
        </w:rPr>
        <w:t>部分………………………………评标办法及评分标准</w:t>
      </w:r>
    </w:p>
    <w:p>
      <w:pPr>
        <w:autoSpaceDE w:val="0"/>
        <w:autoSpaceDN w:val="0"/>
        <w:snapToGrid w:val="0"/>
        <w:spacing w:before="96" w:after="96" w:line="360" w:lineRule="auto"/>
        <w:rPr>
          <w:rFonts w:ascii="宋体" w:hAnsi="宋体"/>
          <w:b/>
          <w:bCs/>
          <w:color w:val="auto"/>
          <w:sz w:val="36"/>
          <w:szCs w:val="36"/>
          <w:highlight w:val="none"/>
        </w:rPr>
      </w:pPr>
    </w:p>
    <w:p>
      <w:pPr>
        <w:rPr>
          <w:rFonts w:ascii="宋体" w:hAnsi="宋体"/>
          <w:b/>
          <w:bCs/>
          <w:color w:val="auto"/>
          <w:sz w:val="36"/>
          <w:szCs w:val="36"/>
          <w:highlight w:val="none"/>
        </w:rPr>
        <w:sectPr>
          <w:pgSz w:w="11906" w:h="16838"/>
          <w:pgMar w:top="1474" w:right="1474" w:bottom="1418" w:left="1588" w:header="851" w:footer="850"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第一部分  </w:t>
      </w:r>
      <w:r>
        <w:rPr>
          <w:rFonts w:hint="eastAsia" w:ascii="宋体" w:hAnsi="宋体" w:cs="宋体"/>
          <w:b/>
          <w:bCs/>
          <w:color w:val="auto"/>
          <w:sz w:val="36"/>
          <w:szCs w:val="36"/>
          <w:highlight w:val="none"/>
          <w:lang w:val="en-US" w:eastAsia="zh-CN"/>
        </w:rPr>
        <w:t>投标邀请</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根据《中华人民共和国政府采购法》及有关办法，宁波市北仑区（开发区）公共资源交易中心受</w:t>
      </w:r>
      <w:r>
        <w:rPr>
          <w:rFonts w:hint="eastAsia" w:ascii="宋体" w:hAnsi="宋体" w:cs="宋体"/>
          <w:color w:val="auto"/>
          <w:highlight w:val="none"/>
          <w:lang w:eastAsia="zh-CN"/>
        </w:rPr>
        <w:t>宁波市北仑区机关事务管理局</w:t>
      </w:r>
      <w:r>
        <w:rPr>
          <w:rFonts w:hint="eastAsia" w:ascii="宋体" w:hAnsi="宋体" w:eastAsia="宋体" w:cs="宋体"/>
          <w:color w:val="auto"/>
          <w:highlight w:val="none"/>
        </w:rPr>
        <w:t>委托，就</w:t>
      </w:r>
      <w:r>
        <w:rPr>
          <w:rFonts w:hint="eastAsia" w:ascii="宋体" w:hAnsi="宋体" w:cs="宋体"/>
          <w:color w:val="auto"/>
          <w:highlight w:val="none"/>
          <w:lang w:eastAsia="zh-CN"/>
        </w:rPr>
        <w:t>北仑行政大楼物业管理</w:t>
      </w:r>
      <w:r>
        <w:rPr>
          <w:rFonts w:hint="eastAsia" w:ascii="宋体" w:hAnsi="宋体" w:eastAsia="宋体" w:cs="宋体"/>
          <w:color w:val="auto"/>
          <w:highlight w:val="none"/>
        </w:rPr>
        <w:t>项目</w:t>
      </w:r>
      <w:r>
        <w:rPr>
          <w:rFonts w:hint="eastAsia" w:ascii="宋体" w:hAnsi="宋体" w:cs="宋体"/>
          <w:color w:val="auto"/>
          <w:highlight w:val="none"/>
          <w:lang w:val="en-US" w:eastAsia="zh-CN"/>
        </w:rPr>
        <w:t>以</w:t>
      </w:r>
      <w:r>
        <w:rPr>
          <w:rFonts w:hint="eastAsia" w:ascii="宋体" w:hAnsi="宋体" w:eastAsia="宋体" w:cs="宋体"/>
          <w:color w:val="auto"/>
          <w:highlight w:val="none"/>
        </w:rPr>
        <w:t>公开招标</w:t>
      </w:r>
      <w:r>
        <w:rPr>
          <w:rFonts w:hint="eastAsia" w:ascii="宋体" w:hAnsi="宋体" w:cs="宋体"/>
          <w:color w:val="auto"/>
          <w:highlight w:val="none"/>
          <w:lang w:val="en-US" w:eastAsia="zh-CN"/>
        </w:rPr>
        <w:t>的方式进行采购</w:t>
      </w:r>
      <w:r>
        <w:rPr>
          <w:rFonts w:hint="eastAsia" w:ascii="宋体" w:hAnsi="宋体" w:eastAsia="宋体" w:cs="宋体"/>
          <w:color w:val="auto"/>
          <w:highlight w:val="none"/>
        </w:rPr>
        <w:t>，欢迎</w:t>
      </w:r>
      <w:r>
        <w:rPr>
          <w:rFonts w:hint="eastAsia" w:ascii="宋体" w:hAnsi="宋体" w:cs="宋体"/>
          <w:color w:val="auto"/>
          <w:highlight w:val="none"/>
          <w:lang w:val="en-US" w:eastAsia="zh-CN"/>
        </w:rPr>
        <w:t>合格</w:t>
      </w:r>
      <w:r>
        <w:rPr>
          <w:rFonts w:hint="eastAsia" w:ascii="宋体" w:hAnsi="宋体" w:eastAsia="宋体" w:cs="宋体"/>
          <w:color w:val="auto"/>
          <w:highlight w:val="none"/>
        </w:rPr>
        <w:t>的供应商参加。</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w:t>
      </w:r>
      <w:r>
        <w:rPr>
          <w:rFonts w:hint="eastAsia" w:ascii="宋体" w:hAnsi="宋体" w:eastAsia="宋体" w:cs="宋体"/>
          <w:b/>
          <w:bCs/>
          <w:color w:val="auto"/>
          <w:highlight w:val="none"/>
        </w:rPr>
        <w:t>、项目</w:t>
      </w:r>
      <w:r>
        <w:rPr>
          <w:rFonts w:hint="eastAsia" w:ascii="宋体" w:hAnsi="宋体" w:eastAsia="宋体" w:cs="宋体"/>
          <w:b/>
          <w:bCs/>
          <w:color w:val="auto"/>
          <w:highlight w:val="none"/>
          <w:lang w:val="en-US" w:eastAsia="zh-CN"/>
        </w:rPr>
        <w:t>基本情况</w:t>
      </w:r>
    </w:p>
    <w:p>
      <w:pPr>
        <w:spacing w:line="360" w:lineRule="auto"/>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rPr>
        <w:t>、项目编号：</w:t>
      </w:r>
      <w:r>
        <w:rPr>
          <w:rFonts w:hint="eastAsia" w:ascii="宋体" w:hAnsi="宋体" w:cs="宋体"/>
          <w:b w:val="0"/>
          <w:bCs w:val="0"/>
          <w:color w:val="auto"/>
          <w:highlight w:val="none"/>
          <w:lang w:eastAsia="zh-CN"/>
        </w:rPr>
        <w:t>BLZFCG2024015</w:t>
      </w:r>
    </w:p>
    <w:p>
      <w:pPr>
        <w:spacing w:line="360" w:lineRule="auto"/>
        <w:ind w:left="0" w:leftChars="0" w:firstLine="0" w:firstLineChars="0"/>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rPr>
        <w:t>、项目名称：</w:t>
      </w:r>
      <w:r>
        <w:rPr>
          <w:rFonts w:hint="eastAsia" w:ascii="宋体" w:hAnsi="宋体" w:cs="宋体"/>
          <w:b w:val="0"/>
          <w:bCs w:val="0"/>
          <w:color w:val="auto"/>
          <w:highlight w:val="none"/>
          <w:lang w:eastAsia="zh-CN"/>
        </w:rPr>
        <w:t>北仑行政大楼物业管理</w:t>
      </w:r>
    </w:p>
    <w:p>
      <w:pPr>
        <w:spacing w:line="360" w:lineRule="auto"/>
        <w:ind w:left="0" w:leftChars="0" w:firstLine="0" w:firstLineChars="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rPr>
        <w:t>、</w:t>
      </w:r>
      <w:r>
        <w:rPr>
          <w:rFonts w:hint="eastAsia" w:ascii="宋体" w:hAnsi="宋体" w:cs="宋体"/>
          <w:b w:val="0"/>
          <w:bCs w:val="0"/>
          <w:color w:val="auto"/>
          <w:highlight w:val="none"/>
          <w:lang w:val="en-US" w:eastAsia="zh-CN"/>
        </w:rPr>
        <w:t>采购方式：公开招标</w:t>
      </w:r>
    </w:p>
    <w:p>
      <w:pPr>
        <w:spacing w:line="360" w:lineRule="auto"/>
        <w:ind w:left="0" w:leftChars="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、预算金额：</w:t>
      </w:r>
      <w:r>
        <w:rPr>
          <w:rFonts w:hint="eastAsia" w:ascii="宋体" w:hAnsi="宋体" w:cs="宋体"/>
          <w:color w:val="auto"/>
          <w:highlight w:val="none"/>
          <w:lang w:val="en-US" w:eastAsia="zh-CN"/>
        </w:rPr>
        <w:t>标项一：人</w:t>
      </w:r>
      <w:r>
        <w:rPr>
          <w:rFonts w:hint="eastAsia" w:ascii="宋体" w:hAnsi="宋体" w:eastAsia="宋体" w:cs="宋体"/>
          <w:color w:val="auto"/>
          <w:highlight w:val="none"/>
          <w:lang w:val="en-US" w:eastAsia="zh-CN"/>
        </w:rPr>
        <w:t>民币</w:t>
      </w:r>
      <w:r>
        <w:rPr>
          <w:rFonts w:hint="eastAsia" w:ascii="宋体" w:hAnsi="宋体" w:cs="宋体"/>
          <w:color w:val="auto"/>
          <w:highlight w:val="none"/>
          <w:lang w:val="en-US" w:eastAsia="zh-CN"/>
        </w:rPr>
        <w:t>1723.3519万元/年；标项二：人</w:t>
      </w:r>
      <w:r>
        <w:rPr>
          <w:rFonts w:hint="eastAsia" w:ascii="宋体" w:hAnsi="宋体" w:eastAsia="宋体" w:cs="宋体"/>
          <w:color w:val="auto"/>
          <w:highlight w:val="none"/>
          <w:lang w:val="en-US" w:eastAsia="zh-CN"/>
        </w:rPr>
        <w:t>民币</w:t>
      </w:r>
      <w:r>
        <w:rPr>
          <w:rFonts w:hint="eastAsia" w:ascii="宋体" w:hAnsi="宋体" w:cs="宋体"/>
          <w:color w:val="auto"/>
          <w:highlight w:val="none"/>
          <w:lang w:val="en-US" w:eastAsia="zh-CN"/>
        </w:rPr>
        <w:t>735.4378万元/年。</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、最高限价：</w:t>
      </w:r>
    </w:p>
    <w:p>
      <w:pPr>
        <w:spacing w:line="360" w:lineRule="auto"/>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标项一：人</w:t>
      </w:r>
      <w:r>
        <w:rPr>
          <w:rFonts w:hint="eastAsia" w:ascii="宋体" w:hAnsi="宋体" w:eastAsia="宋体" w:cs="宋体"/>
          <w:color w:val="auto"/>
          <w:highlight w:val="none"/>
          <w:lang w:val="en-US" w:eastAsia="zh-CN"/>
        </w:rPr>
        <w:t>民币</w:t>
      </w:r>
      <w:r>
        <w:rPr>
          <w:rFonts w:hint="eastAsia" w:ascii="宋体" w:hAnsi="宋体" w:cs="宋体"/>
          <w:color w:val="auto"/>
          <w:highlight w:val="none"/>
          <w:lang w:val="en-US" w:eastAsia="zh-CN"/>
        </w:rPr>
        <w:t>1723.3519万元，</w:t>
      </w:r>
      <w:r>
        <w:rPr>
          <w:rFonts w:hint="eastAsia" w:ascii="宋体" w:hAnsi="宋体" w:cs="宋体"/>
          <w:color w:val="auto"/>
          <w:highlight w:val="none"/>
          <w:lang w:val="en-US" w:eastAsia="zh-CN"/>
        </w:rPr>
        <w:t>其中北仑行政中心A座物业管理</w:t>
      </w:r>
      <w:r>
        <w:rPr>
          <w:rFonts w:hint="eastAsia" w:ascii="宋体" w:hAnsi="宋体" w:eastAsia="宋体" w:cs="宋体"/>
          <w:color w:val="auto"/>
          <w:highlight w:val="none"/>
        </w:rPr>
        <w:t>最高限价</w:t>
      </w:r>
      <w:r>
        <w:rPr>
          <w:rFonts w:hint="eastAsia" w:ascii="宋体" w:hAnsi="宋体" w:cs="宋体"/>
          <w:color w:val="auto"/>
          <w:highlight w:val="none"/>
          <w:lang w:val="en-US" w:eastAsia="zh-CN"/>
        </w:rPr>
        <w:t>938.7726万、北仑行政中心会务等特约服务最高限价341.4097万元、北仑行政中心太河楼物业管理最高限价443.1696万元；</w:t>
      </w:r>
    </w:p>
    <w:p>
      <w:pPr>
        <w:spacing w:line="360" w:lineRule="auto"/>
        <w:ind w:left="0" w:leftChars="0" w:firstLine="0" w:firstLineChars="0"/>
        <w:rPr>
          <w:rFonts w:hint="default" w:ascii="宋体" w:hAnsi="宋体" w:cs="宋体"/>
          <w:color w:val="auto"/>
          <w:highlight w:val="none"/>
          <w:lang w:val="en-US" w:eastAsia="zh-CN"/>
        </w:rPr>
      </w:pPr>
      <w:r>
        <w:rPr>
          <w:rFonts w:hint="eastAsia" w:ascii="宋体" w:hAnsi="宋体" w:cs="宋体"/>
          <w:color w:val="auto"/>
          <w:highlight w:val="none"/>
          <w:lang w:val="en-US" w:eastAsia="zh-CN"/>
        </w:rPr>
        <w:t>标项二：人</w:t>
      </w:r>
      <w:r>
        <w:rPr>
          <w:rFonts w:hint="eastAsia" w:ascii="宋体" w:hAnsi="宋体" w:eastAsia="宋体" w:cs="宋体"/>
          <w:color w:val="auto"/>
          <w:highlight w:val="none"/>
          <w:lang w:val="en-US" w:eastAsia="zh-CN"/>
        </w:rPr>
        <w:t>民币</w:t>
      </w:r>
      <w:r>
        <w:rPr>
          <w:rFonts w:hint="eastAsia" w:ascii="宋体" w:hAnsi="宋体" w:cs="宋体"/>
          <w:color w:val="auto"/>
          <w:highlight w:val="none"/>
          <w:lang w:val="en-US" w:eastAsia="zh-CN"/>
        </w:rPr>
        <w:t>735.4378万元，</w:t>
      </w:r>
      <w:r>
        <w:rPr>
          <w:rFonts w:hint="eastAsia" w:ascii="宋体" w:hAnsi="宋体" w:cs="宋体"/>
          <w:color w:val="auto"/>
          <w:highlight w:val="none"/>
          <w:lang w:val="en-US" w:eastAsia="zh-CN"/>
        </w:rPr>
        <w:t>其中北仑行政中心B座物业管理</w:t>
      </w:r>
      <w:r>
        <w:rPr>
          <w:rFonts w:hint="eastAsia" w:ascii="宋体" w:hAnsi="宋体" w:eastAsia="宋体" w:cs="宋体"/>
          <w:color w:val="auto"/>
          <w:highlight w:val="none"/>
        </w:rPr>
        <w:t>最高限价</w:t>
      </w:r>
      <w:r>
        <w:rPr>
          <w:rFonts w:hint="eastAsia" w:ascii="宋体" w:hAnsi="宋体" w:cs="宋体"/>
          <w:color w:val="auto"/>
          <w:highlight w:val="none"/>
          <w:lang w:val="en-US" w:eastAsia="zh-CN"/>
        </w:rPr>
        <w:t>496.2445万元、北仑区档案馆物业管理</w:t>
      </w:r>
      <w:r>
        <w:rPr>
          <w:rFonts w:hint="eastAsia" w:ascii="宋体" w:hAnsi="宋体" w:eastAsia="宋体" w:cs="宋体"/>
          <w:color w:val="auto"/>
          <w:highlight w:val="none"/>
        </w:rPr>
        <w:t>最高限价</w:t>
      </w:r>
      <w:r>
        <w:rPr>
          <w:rFonts w:hint="eastAsia" w:ascii="宋体" w:hAnsi="宋体" w:cs="宋体"/>
          <w:color w:val="auto"/>
          <w:highlight w:val="none"/>
          <w:lang w:val="en-US" w:eastAsia="zh-CN"/>
        </w:rPr>
        <w:t>239.1933万元。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采购需求：</w:t>
      </w:r>
    </w:p>
    <w:p>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标项一：</w:t>
      </w:r>
      <w:r>
        <w:rPr>
          <w:rFonts w:hint="eastAsia" w:ascii="宋体" w:hAnsi="宋体" w:cs="宋体"/>
          <w:color w:val="auto"/>
          <w:highlight w:val="none"/>
        </w:rPr>
        <w:t>北仑行政中心A座、太河楼物业管理</w:t>
      </w:r>
      <w:r>
        <w:rPr>
          <w:rFonts w:hint="eastAsia" w:ascii="宋体" w:hAnsi="宋体" w:cs="宋体"/>
          <w:color w:val="auto"/>
          <w:highlight w:val="none"/>
          <w:lang w:val="en-US" w:eastAsia="zh-CN"/>
        </w:rPr>
        <w:t>服务。</w:t>
      </w:r>
    </w:p>
    <w:p>
      <w:pPr>
        <w:spacing w:line="360" w:lineRule="auto"/>
        <w:rPr>
          <w:rFonts w:hint="eastAsia" w:ascii="宋体" w:hAnsi="宋体" w:cs="宋体"/>
          <w:color w:val="auto"/>
          <w:highlight w:val="none"/>
        </w:rPr>
      </w:pPr>
      <w:r>
        <w:rPr>
          <w:rFonts w:hint="eastAsia" w:ascii="宋体" w:hAnsi="宋体" w:cs="宋体"/>
          <w:color w:val="auto"/>
          <w:highlight w:val="none"/>
        </w:rPr>
        <w:t>第一部分北仑行政中心A座物业服务，主要包括秩序维护服务、设备设施管理服务、保洁和绿化服务等，建筑面积82777.76平方米，供应商必须配备不少于84人的管理服务团队。第二部分北仑行政中心会务等特约服务，主要是会务等特约服务，供应商必须配备不少于40人的管理服务团队。第三部分北仑行政中心太河楼物业管理，主要包括秩序维护服务、设备设施管理服务、保洁和绿化服务等，总建筑面积42472 平方米，供应商必须配备不少于46人的管理服务团队。</w:t>
      </w:r>
    </w:p>
    <w:p>
      <w:pPr>
        <w:spacing w:line="360" w:lineRule="auto"/>
        <w:ind w:left="0" w:leftChars="0" w:firstLine="0" w:firstLineChars="0"/>
        <w:rPr>
          <w:rFonts w:hint="eastAsia" w:ascii="宋体" w:hAnsi="宋体"/>
          <w:color w:val="auto"/>
          <w:szCs w:val="21"/>
          <w:highlight w:val="none"/>
          <w:lang w:eastAsia="zh-CN"/>
        </w:rPr>
      </w:pPr>
      <w:r>
        <w:rPr>
          <w:rFonts w:hint="eastAsia" w:ascii="宋体" w:hAnsi="宋体"/>
          <w:color w:val="auto"/>
          <w:highlight w:val="none"/>
          <w:lang w:val="en-US" w:eastAsia="zh-CN"/>
        </w:rPr>
        <w:t>标项二：</w:t>
      </w:r>
      <w:r>
        <w:rPr>
          <w:rFonts w:hint="eastAsia" w:ascii="宋体" w:hAnsi="宋体"/>
          <w:color w:val="auto"/>
          <w:szCs w:val="21"/>
          <w:highlight w:val="none"/>
        </w:rPr>
        <w:t>北仑行政中心B楼、档案楼物业管理</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p>
    <w:p>
      <w:pPr>
        <w:spacing w:line="360" w:lineRule="auto"/>
        <w:ind w:left="0" w:leftChars="0" w:firstLine="0" w:firstLineChars="0"/>
        <w:rPr>
          <w:rFonts w:hint="eastAsia" w:ascii="宋体" w:hAnsi="宋体"/>
          <w:color w:val="auto"/>
          <w:szCs w:val="21"/>
          <w:highlight w:val="none"/>
          <w:lang w:eastAsia="zh-CN"/>
        </w:rPr>
      </w:pPr>
      <w:r>
        <w:rPr>
          <w:rFonts w:hint="eastAsia" w:ascii="宋体" w:hAnsi="宋体"/>
          <w:color w:val="auto"/>
          <w:szCs w:val="21"/>
          <w:highlight w:val="none"/>
          <w:lang w:val="en-US" w:eastAsia="zh-CN"/>
        </w:rPr>
        <w:t>第一部分北仑行政中心B楼物业服务，</w:t>
      </w:r>
      <w:r>
        <w:rPr>
          <w:rFonts w:hint="eastAsia" w:ascii="宋体" w:hAnsi="宋体" w:cs="宋体"/>
          <w:color w:val="auto"/>
          <w:highlight w:val="none"/>
        </w:rPr>
        <w:t>主要包括安保服务、设备设施管理服务、保洁</w:t>
      </w:r>
      <w:r>
        <w:rPr>
          <w:rFonts w:hint="eastAsia" w:ascii="宋体" w:hAnsi="宋体" w:cs="宋体"/>
          <w:color w:val="auto"/>
          <w:highlight w:val="none"/>
          <w:lang w:val="en-US" w:eastAsia="zh-CN"/>
        </w:rPr>
        <w:t>和绿化</w:t>
      </w:r>
      <w:r>
        <w:rPr>
          <w:rFonts w:hint="eastAsia" w:ascii="宋体" w:hAnsi="宋体" w:cs="宋体"/>
          <w:color w:val="auto"/>
          <w:highlight w:val="none"/>
        </w:rPr>
        <w:t>服务等</w:t>
      </w:r>
      <w:r>
        <w:rPr>
          <w:rFonts w:hint="eastAsia" w:ascii="宋体" w:hAnsi="宋体" w:cs="宋体"/>
          <w:color w:val="auto"/>
          <w:highlight w:val="none"/>
          <w:lang w:val="en-US" w:eastAsia="zh-CN"/>
        </w:rPr>
        <w:t>，</w:t>
      </w:r>
      <w:r>
        <w:rPr>
          <w:rFonts w:hint="eastAsia" w:ascii="宋体" w:hAnsi="宋体"/>
          <w:color w:val="auto"/>
          <w:szCs w:val="21"/>
          <w:highlight w:val="none"/>
        </w:rPr>
        <w:t>总建筑面积55976.60平方米</w:t>
      </w:r>
      <w:r>
        <w:rPr>
          <w:rFonts w:hint="eastAsia" w:ascii="宋体" w:hAnsi="宋体" w:cs="宋体"/>
          <w:color w:val="auto"/>
          <w:highlight w:val="none"/>
          <w:lang w:val="en-US" w:eastAsia="zh-CN"/>
        </w:rPr>
        <w:t>，</w:t>
      </w:r>
      <w:r>
        <w:rPr>
          <w:rFonts w:hint="eastAsia" w:ascii="宋体" w:hAnsi="宋体"/>
          <w:color w:val="auto"/>
          <w:szCs w:val="21"/>
          <w:highlight w:val="none"/>
        </w:rPr>
        <w:t>供应商必须配备不少于</w:t>
      </w:r>
      <w:r>
        <w:rPr>
          <w:rFonts w:hint="eastAsia" w:ascii="宋体" w:hAnsi="宋体" w:cs="宋体"/>
          <w:color w:val="auto"/>
          <w:highlight w:val="none"/>
          <w:lang w:val="en-US" w:eastAsia="zh-CN"/>
        </w:rPr>
        <w:t>51</w:t>
      </w:r>
      <w:r>
        <w:rPr>
          <w:rFonts w:hint="eastAsia" w:ascii="宋体" w:hAnsi="宋体" w:cs="宋体"/>
          <w:color w:val="auto"/>
          <w:highlight w:val="none"/>
        </w:rPr>
        <w:t>人</w:t>
      </w:r>
      <w:r>
        <w:rPr>
          <w:rFonts w:hint="eastAsia" w:ascii="宋体" w:hAnsi="宋体"/>
          <w:color w:val="auto"/>
          <w:szCs w:val="21"/>
          <w:highlight w:val="none"/>
        </w:rPr>
        <w:t>的管理服务团队</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第二部分北仑区档案馆物业管理服务，</w:t>
      </w:r>
      <w:r>
        <w:rPr>
          <w:rFonts w:hint="eastAsia" w:ascii="宋体" w:hAnsi="宋体" w:cs="宋体"/>
          <w:color w:val="auto"/>
          <w:highlight w:val="none"/>
        </w:rPr>
        <w:t>主要包括安保服务、设备设施管理服务、保洁</w:t>
      </w:r>
      <w:r>
        <w:rPr>
          <w:rFonts w:hint="eastAsia" w:ascii="宋体" w:hAnsi="宋体" w:cs="宋体"/>
          <w:color w:val="auto"/>
          <w:highlight w:val="none"/>
          <w:lang w:val="en-US" w:eastAsia="zh-CN"/>
        </w:rPr>
        <w:t>和绿化</w:t>
      </w:r>
      <w:r>
        <w:rPr>
          <w:rFonts w:hint="eastAsia" w:ascii="宋体" w:hAnsi="宋体" w:cs="宋体"/>
          <w:color w:val="auto"/>
          <w:highlight w:val="none"/>
        </w:rPr>
        <w:t>服务等</w:t>
      </w:r>
      <w:r>
        <w:rPr>
          <w:rFonts w:hint="eastAsia" w:ascii="宋体" w:hAnsi="宋体" w:cs="宋体"/>
          <w:color w:val="auto"/>
          <w:highlight w:val="none"/>
          <w:lang w:val="en-US" w:eastAsia="zh-CN"/>
        </w:rPr>
        <w:t>，</w:t>
      </w:r>
      <w:r>
        <w:rPr>
          <w:rFonts w:hint="eastAsia" w:ascii="宋体" w:hAnsi="宋体"/>
          <w:color w:val="auto"/>
          <w:szCs w:val="21"/>
          <w:highlight w:val="none"/>
        </w:rPr>
        <w:t>总建筑面积23322平方米，供应商必须配备不少于</w:t>
      </w:r>
      <w:r>
        <w:rPr>
          <w:rFonts w:hint="eastAsia" w:ascii="宋体" w:hAnsi="宋体" w:cs="宋体"/>
          <w:color w:val="auto"/>
          <w:highlight w:val="none"/>
          <w:lang w:val="en-US" w:eastAsia="zh-CN"/>
        </w:rPr>
        <w:t>25</w:t>
      </w:r>
      <w:r>
        <w:rPr>
          <w:rFonts w:hint="eastAsia" w:ascii="宋体" w:hAnsi="宋体" w:cs="宋体"/>
          <w:color w:val="auto"/>
          <w:highlight w:val="none"/>
        </w:rPr>
        <w:t>人</w:t>
      </w:r>
      <w:r>
        <w:rPr>
          <w:rFonts w:hint="eastAsia" w:ascii="宋体" w:hAnsi="宋体"/>
          <w:color w:val="auto"/>
          <w:szCs w:val="21"/>
          <w:highlight w:val="none"/>
        </w:rPr>
        <w:t>的管理服务团队</w:t>
      </w:r>
      <w:r>
        <w:rPr>
          <w:rFonts w:hint="eastAsia" w:ascii="宋体" w:hAnsi="宋体"/>
          <w:color w:val="auto"/>
          <w:szCs w:val="21"/>
          <w:highlight w:val="none"/>
          <w:lang w:eastAsia="zh-CN"/>
        </w:rPr>
        <w:t>。</w:t>
      </w:r>
    </w:p>
    <w:p>
      <w:pPr>
        <w:spacing w:line="360" w:lineRule="auto"/>
        <w:ind w:left="0" w:leftChars="0" w:firstLine="0" w:firstLineChars="0"/>
        <w:rPr>
          <w:rFonts w:hint="eastAsia" w:ascii="宋体" w:hAnsi="宋体" w:cs="宋体"/>
          <w:color w:val="auto"/>
          <w:highlight w:val="none"/>
        </w:rPr>
      </w:pPr>
      <w:r>
        <w:rPr>
          <w:rFonts w:hint="eastAsia" w:ascii="宋体" w:hAnsi="宋体"/>
          <w:color w:val="auto"/>
          <w:szCs w:val="21"/>
          <w:highlight w:val="none"/>
          <w:lang w:eastAsia="zh-CN"/>
        </w:rPr>
        <w:t>供应商可以选择一个或多个标项投标。</w:t>
      </w:r>
    </w:p>
    <w:p>
      <w:pPr>
        <w:numPr>
          <w:ilvl w:val="0"/>
          <w:numId w:val="1"/>
        </w:num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合同履行期限：</w:t>
      </w:r>
    </w:p>
    <w:p>
      <w:pPr>
        <w:numPr>
          <w:ilvl w:val="0"/>
          <w:numId w:val="0"/>
        </w:numPr>
        <w:spacing w:line="360" w:lineRule="auto"/>
        <w:ind w:left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标项一：</w:t>
      </w:r>
      <w:r>
        <w:rPr>
          <w:rFonts w:hint="eastAsia" w:ascii="宋体" w:hAnsi="宋体" w:cs="宋体"/>
          <w:color w:val="auto"/>
          <w:highlight w:val="none"/>
        </w:rPr>
        <w:t>北仑行政中心A座</w:t>
      </w:r>
      <w:r>
        <w:rPr>
          <w:rFonts w:hint="eastAsia" w:ascii="宋体" w:hAnsi="宋体" w:eastAsia="宋体" w:cs="宋体"/>
          <w:color w:val="auto"/>
          <w:highlight w:val="none"/>
        </w:rPr>
        <w:t>一招</w:t>
      </w:r>
      <w:r>
        <w:rPr>
          <w:rFonts w:hint="eastAsia" w:ascii="宋体" w:hAnsi="宋体" w:cs="宋体"/>
          <w:color w:val="auto"/>
          <w:highlight w:val="none"/>
          <w:lang w:val="en-US" w:eastAsia="zh-CN"/>
        </w:rPr>
        <w:t>三</w:t>
      </w:r>
      <w:r>
        <w:rPr>
          <w:rFonts w:hint="eastAsia" w:ascii="宋体" w:hAnsi="宋体" w:eastAsia="宋体" w:cs="宋体"/>
          <w:color w:val="auto"/>
          <w:highlight w:val="none"/>
        </w:rPr>
        <w:t>年，合同</w:t>
      </w:r>
      <w:r>
        <w:rPr>
          <w:rFonts w:hint="eastAsia" w:ascii="宋体" w:hAnsi="宋体" w:cs="宋体"/>
          <w:color w:val="auto"/>
          <w:highlight w:val="none"/>
          <w:lang w:val="en-US" w:eastAsia="zh-CN"/>
        </w:rPr>
        <w:t>一</w:t>
      </w:r>
      <w:r>
        <w:rPr>
          <w:rFonts w:hint="eastAsia" w:ascii="宋体" w:hAnsi="宋体" w:eastAsia="宋体" w:cs="宋体"/>
          <w:color w:val="auto"/>
          <w:highlight w:val="none"/>
        </w:rPr>
        <w:t>年一签，采购人有权根据上年合同履约考核情况决定是否续签。</w:t>
      </w:r>
      <w:r>
        <w:rPr>
          <w:rFonts w:hint="eastAsia" w:ascii="宋体" w:hAnsi="宋体" w:cs="宋体"/>
          <w:color w:val="auto"/>
          <w:highlight w:val="none"/>
        </w:rPr>
        <w:t>太河楼物业管理</w:t>
      </w:r>
      <w:r>
        <w:rPr>
          <w:rFonts w:hint="eastAsia" w:ascii="宋体" w:hAnsi="宋体" w:eastAsia="宋体" w:cs="宋体"/>
          <w:color w:val="auto"/>
          <w:highlight w:val="none"/>
        </w:rPr>
        <w:t>一招</w:t>
      </w:r>
      <w:r>
        <w:rPr>
          <w:rFonts w:hint="eastAsia" w:ascii="宋体" w:hAnsi="宋体" w:eastAsia="宋体" w:cs="宋体"/>
          <w:color w:val="auto"/>
          <w:sz w:val="21"/>
          <w:szCs w:val="21"/>
          <w:highlight w:val="none"/>
        </w:rPr>
        <w:t>2年零8个月，2024年10月1日至2027年5月31日</w:t>
      </w:r>
      <w:r>
        <w:rPr>
          <w:rFonts w:hint="eastAsia" w:ascii="宋体" w:hAnsi="宋体" w:cs="宋体"/>
          <w:color w:val="auto"/>
          <w:sz w:val="21"/>
          <w:szCs w:val="21"/>
          <w:highlight w:val="none"/>
          <w:lang w:eastAsia="zh-CN"/>
        </w:rPr>
        <w:t>，</w:t>
      </w:r>
      <w:r>
        <w:rPr>
          <w:rFonts w:hint="eastAsia" w:ascii="宋体" w:hAnsi="宋体" w:eastAsia="宋体" w:cs="宋体"/>
          <w:color w:val="auto"/>
          <w:highlight w:val="none"/>
        </w:rPr>
        <w:t>采购人有权根据上年合同履约考核情况决定是否续签。</w:t>
      </w:r>
    </w:p>
    <w:p>
      <w:pPr>
        <w:numPr>
          <w:ilvl w:val="0"/>
          <w:numId w:val="0"/>
        </w:numPr>
        <w:spacing w:line="360" w:lineRule="auto"/>
        <w:ind w:leftChars="0"/>
        <w:rPr>
          <w:rFonts w:hint="eastAsia" w:ascii="宋体" w:hAnsi="宋体" w:eastAsia="宋体" w:cs="宋体"/>
          <w:color w:val="auto"/>
          <w:highlight w:val="none"/>
        </w:rPr>
      </w:pPr>
      <w:r>
        <w:rPr>
          <w:rFonts w:hint="eastAsia" w:ascii="宋体" w:hAnsi="宋体" w:cs="宋体"/>
          <w:color w:val="auto"/>
          <w:highlight w:val="none"/>
          <w:lang w:val="en-US" w:eastAsia="zh-CN"/>
        </w:rPr>
        <w:t>标项二：</w:t>
      </w:r>
      <w:r>
        <w:rPr>
          <w:rFonts w:hint="eastAsia" w:ascii="宋体" w:hAnsi="宋体"/>
          <w:color w:val="auto"/>
          <w:szCs w:val="21"/>
          <w:highlight w:val="none"/>
        </w:rPr>
        <w:t>北仑行政中心B楼、档案楼物业管理</w:t>
      </w:r>
      <w:r>
        <w:rPr>
          <w:rFonts w:hint="eastAsia" w:ascii="宋体" w:hAnsi="宋体"/>
          <w:color w:val="auto"/>
          <w:szCs w:val="21"/>
          <w:highlight w:val="none"/>
          <w:lang w:val="en-US" w:eastAsia="zh-CN"/>
        </w:rPr>
        <w:t>一招</w:t>
      </w:r>
      <w:r>
        <w:rPr>
          <w:rFonts w:hint="eastAsia" w:ascii="宋体" w:hAnsi="宋体" w:eastAsia="宋体" w:cs="宋体"/>
          <w:color w:val="auto"/>
          <w:sz w:val="21"/>
          <w:szCs w:val="21"/>
          <w:highlight w:val="none"/>
        </w:rPr>
        <w:t>2年零8个月，2024年10月1日至2027年5月31日</w:t>
      </w:r>
      <w:r>
        <w:rPr>
          <w:rFonts w:hint="eastAsia" w:ascii="宋体" w:hAnsi="宋体" w:cs="宋体"/>
          <w:color w:val="auto"/>
          <w:sz w:val="21"/>
          <w:szCs w:val="21"/>
          <w:highlight w:val="none"/>
          <w:lang w:eastAsia="zh-CN"/>
        </w:rPr>
        <w:t>，</w:t>
      </w:r>
      <w:r>
        <w:rPr>
          <w:rFonts w:hint="eastAsia" w:ascii="宋体" w:hAnsi="宋体" w:eastAsia="宋体" w:cs="宋体"/>
          <w:color w:val="auto"/>
          <w:highlight w:val="none"/>
        </w:rPr>
        <w:t>采购人有权根据上年合同履约考核情况决定是否续签。</w:t>
      </w:r>
    </w:p>
    <w:p>
      <w:pPr>
        <w:spacing w:line="360" w:lineRule="auto"/>
        <w:ind w:left="0" w:leftChars="0"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8、本项目允许</w:t>
      </w:r>
      <w:r>
        <w:rPr>
          <w:rFonts w:hint="eastAsia" w:ascii="宋体" w:hAnsi="宋体" w:eastAsia="宋体" w:cs="宋体"/>
          <w:color w:val="auto"/>
          <w:highlight w:val="none"/>
        </w:rPr>
        <w:t>联合体投标</w:t>
      </w:r>
      <w:r>
        <w:rPr>
          <w:rFonts w:hint="eastAsia" w:ascii="宋体" w:hAnsi="宋体" w:cs="宋体"/>
          <w:color w:val="auto"/>
          <w:highlight w:val="none"/>
          <w:lang w:val="en-US" w:eastAsia="zh-CN"/>
        </w:rPr>
        <w:t>。</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二、投标人的资格要求</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spacing w:line="360" w:lineRule="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 xml:space="preserve">2、落实政府采购政策需满足的资格要求：无 </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、本项目的特定资格要求：</w:t>
      </w:r>
    </w:p>
    <w:p>
      <w:p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（1）具有独立法人资格</w:t>
      </w:r>
      <w:r>
        <w:rPr>
          <w:rFonts w:hint="eastAsia" w:ascii="宋体" w:hAnsi="宋体" w:eastAsia="宋体" w:cs="宋体"/>
          <w:color w:val="auto"/>
          <w:highlight w:val="none"/>
          <w:lang w:val="en-US" w:eastAsia="zh-CN"/>
        </w:rPr>
        <w:t>。</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三、招标文件获取时间及方式</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1、时间：即日起至投标截止时间前。</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2、地点：政府采购云平台（www.zcygov.cn）</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3、方式：通过注册账号登录政府采购云平台在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应用</w:t>
      </w:r>
      <w:r>
        <w:rPr>
          <w:rFonts w:hint="eastAsia" w:ascii="宋体" w:hAnsi="宋体" w:eastAsia="宋体" w:cs="宋体"/>
          <w:color w:val="auto"/>
          <w:highlight w:val="none"/>
          <w:lang w:val="en-US" w:eastAsia="zh-CN"/>
        </w:rPr>
        <w:t>模块</w:t>
      </w:r>
      <w:r>
        <w:rPr>
          <w:rFonts w:hint="eastAsia" w:ascii="宋体" w:hAnsi="宋体" w:eastAsia="宋体" w:cs="宋体"/>
          <w:color w:val="auto"/>
          <w:highlight w:val="none"/>
        </w:rPr>
        <w:t>内获取</w:t>
      </w:r>
      <w:r>
        <w:rPr>
          <w:rFonts w:hint="eastAsia" w:ascii="宋体" w:hAnsi="宋体" w:eastAsia="宋体" w:cs="宋体"/>
          <w:color w:val="auto"/>
          <w:highlight w:val="none"/>
          <w:lang w:val="en-US" w:eastAsia="zh-CN"/>
        </w:rPr>
        <w:t>采购文件</w:t>
      </w:r>
      <w:r>
        <w:rPr>
          <w:rFonts w:hint="eastAsia" w:ascii="宋体" w:hAnsi="宋体" w:eastAsia="宋体" w:cs="宋体"/>
          <w:color w:val="auto"/>
          <w:highlight w:val="none"/>
          <w:lang w:eastAsia="zh-CN"/>
        </w:rPr>
        <w:t>。</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4、售价：免费</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四、提交投标文件截止时间、开标时间和地点</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1、提交（上传）投标文件截止时间和开标时间：</w:t>
      </w:r>
      <w:r>
        <w:rPr>
          <w:rFonts w:hint="eastAsia" w:ascii="宋体" w:hAnsi="宋体" w:cs="宋体"/>
          <w:color w:val="auto"/>
          <w:highlight w:val="none"/>
          <w:lang w:eastAsia="zh-CN"/>
        </w:rPr>
        <w:t>2024年</w:t>
      </w:r>
      <w:r>
        <w:rPr>
          <w:rFonts w:hint="eastAsia" w:ascii="宋体" w:hAnsi="宋体" w:cs="宋体"/>
          <w:color w:val="auto"/>
          <w:highlight w:val="none"/>
          <w:lang w:val="en-US" w:eastAsia="zh-CN"/>
        </w:rPr>
        <w:t>05</w:t>
      </w:r>
      <w:r>
        <w:rPr>
          <w:rFonts w:hint="eastAsia" w:ascii="宋体" w:hAnsi="宋体" w:eastAsia="宋体" w:cs="宋体"/>
          <w:color w:val="auto"/>
          <w:highlight w:val="none"/>
        </w:rPr>
        <w:t>月</w:t>
      </w:r>
      <w:r>
        <w:rPr>
          <w:rFonts w:hint="eastAsia" w:ascii="宋体" w:hAnsi="宋体" w:cs="宋体"/>
          <w:color w:val="auto"/>
          <w:highlight w:val="none"/>
          <w:lang w:val="en-US" w:eastAsia="zh-CN"/>
        </w:rPr>
        <w:t>23</w:t>
      </w:r>
      <w:r>
        <w:rPr>
          <w:rFonts w:hint="eastAsia" w:ascii="宋体" w:hAnsi="宋体" w:eastAsia="宋体" w:cs="宋体"/>
          <w:color w:val="auto"/>
          <w:highlight w:val="none"/>
        </w:rPr>
        <w:t>日09时30分（北京时间）</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电子投标文件上传地点和开标网址：</w:t>
      </w:r>
      <w:r>
        <w:rPr>
          <w:rFonts w:hint="eastAsia" w:ascii="宋体" w:hAnsi="宋体" w:eastAsia="宋体" w:cs="宋体"/>
          <w:color w:val="auto"/>
          <w:highlight w:val="none"/>
        </w:rPr>
        <w:t>政府采购云平台（www.zcygov.cn）</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cs="宋体"/>
          <w:color w:val="auto"/>
          <w:highlight w:val="none"/>
          <w:lang w:val="en-US" w:eastAsia="zh-CN"/>
        </w:rPr>
        <w:t>备份电子投标文件提交地点和</w:t>
      </w: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会议地点</w:t>
      </w:r>
      <w:r>
        <w:rPr>
          <w:rFonts w:hint="eastAsia" w:ascii="宋体" w:hAnsi="宋体" w:eastAsia="宋体" w:cs="宋体"/>
          <w:color w:val="auto"/>
          <w:highlight w:val="none"/>
        </w:rPr>
        <w:t>：北仑区四明山路773号行政大楼B座三楼</w:t>
      </w:r>
      <w:r>
        <w:rPr>
          <w:rFonts w:hint="eastAsia" w:ascii="宋体" w:hAnsi="宋体" w:eastAsia="宋体" w:cs="宋体"/>
          <w:color w:val="auto"/>
          <w:highlight w:val="none"/>
          <w:lang w:val="en-US" w:eastAsia="zh-CN"/>
        </w:rPr>
        <w:t>区公共资源交易中心</w:t>
      </w:r>
      <w:r>
        <w:rPr>
          <w:rFonts w:hint="eastAsia" w:ascii="宋体" w:hAnsi="宋体" w:eastAsia="宋体" w:cs="宋体"/>
          <w:color w:val="auto"/>
          <w:highlight w:val="none"/>
        </w:rPr>
        <w:t>交易厅</w:t>
      </w:r>
      <w:r>
        <w:rPr>
          <w:rFonts w:hint="eastAsia" w:ascii="宋体" w:hAnsi="宋体" w:eastAsia="宋体" w:cs="宋体"/>
          <w:color w:val="auto"/>
          <w:highlight w:val="none"/>
        </w:rPr>
        <w:t>（具体场所安排详见电子指示屏幕）。</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五、投标注意事项</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1、参加投标的供应商</w:t>
      </w:r>
      <w:r>
        <w:rPr>
          <w:rFonts w:hint="eastAsia" w:ascii="宋体" w:hAnsi="宋体" w:eastAsia="宋体" w:cs="宋体"/>
          <w:color w:val="auto"/>
          <w:highlight w:val="none"/>
        </w:rPr>
        <w:t>有义务在采购活动期间浏览宁波政府采购网（www.nbzfcg.cn）和</w:t>
      </w:r>
      <w:r>
        <w:rPr>
          <w:rFonts w:hint="eastAsia" w:ascii="宋体" w:hAnsi="宋体" w:cs="宋体"/>
          <w:color w:val="auto"/>
          <w:highlight w:val="none"/>
          <w:lang w:eastAsia="zh-CN"/>
        </w:rPr>
        <w:t>宁波市政务服务中心网（jyxt.zwb.ningbo.gov.cn:4011）</w:t>
      </w:r>
      <w:r>
        <w:rPr>
          <w:rFonts w:hint="eastAsia" w:ascii="宋体" w:hAnsi="宋体" w:eastAsia="宋体" w:cs="宋体"/>
          <w:color w:val="auto"/>
          <w:highlight w:val="none"/>
        </w:rPr>
        <w:t>，采购人（采购代理机构）在以上两个网站发布的与本次招标项目有关的信息视为已送达各供应商</w:t>
      </w:r>
      <w:r>
        <w:rPr>
          <w:rFonts w:hint="eastAsia" w:ascii="宋体" w:hAnsi="宋体" w:eastAsia="宋体" w:cs="宋体"/>
          <w:color w:val="auto"/>
          <w:highlight w:val="none"/>
        </w:rPr>
        <w:t>，不再采用其它方式传达相关信息。</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2、本项目采用网上投标，不接受纸质投标文件，请投标供应商按照招标文件和政府采购云平台的要求编制、加密上传电子投标文件。</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人上传电子投标文件后，还可以自行确定是否提交备份电子投标文件，如确定提交备份文件的，投标人应在投标截止时间前，将在“政采云投标客户端”上编制生成的后缀名为.bfbs的备份投标文件，以U盘为载体装袋密封后送达至开标地点，密封袋上需注明项目名称、项目编号、投标人名称并加盖公章。供应商仅提交备份电子投标文件的，投标响应无效。</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采购代理机构解密指令发出后30分钟内，投标人应登录政采云平台，通过CA数字证书完成对电子投标文件的解密（开评标期间，投标供应商应关注政采云平台上的指令信息和手机短信并及时处理）。若投标人在规定时间内</w:t>
      </w:r>
      <w:r>
        <w:rPr>
          <w:rFonts w:hint="eastAsia" w:ascii="宋体" w:hAnsi="宋体" w:eastAsia="宋体" w:cs="宋体"/>
          <w:color w:val="auto"/>
          <w:highlight w:val="none"/>
        </w:rPr>
        <w:t>无法解密或解密失败，此时启用备份电子投标文件（如有），若备份投标文件仍无法使用，则视为无效投标。供应商制作电子投标文件和解密投标文件时必须使用同一</w:t>
      </w:r>
      <w:r>
        <w:rPr>
          <w:rFonts w:hint="eastAsia" w:ascii="宋体" w:hAnsi="宋体" w:cs="宋体"/>
          <w:color w:val="auto"/>
          <w:highlight w:val="none"/>
          <w:lang w:val="en-US" w:eastAsia="zh-CN"/>
        </w:rPr>
        <w:t>个</w:t>
      </w:r>
      <w:r>
        <w:rPr>
          <w:rFonts w:hint="eastAsia" w:ascii="宋体" w:hAnsi="宋体" w:eastAsia="宋体" w:cs="宋体"/>
          <w:color w:val="auto"/>
          <w:highlight w:val="none"/>
        </w:rPr>
        <w:t>CA数字证书。</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、本项目有现场陈述的环节，投标供应商应派代表到现场参加开评标会议。</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本项目采用网上投标的方式进行，供应商投标前须办理CA数字证书和安装“政采云电子交易客户端（政采云投标客户端）”，并通过“政采云投标客户端”编制电子投标文件，供应商在使用系统进行投标的过程中遇到涉及平台使用的任何问题（包括不限于供应商注册、采购文件获取、CA数字证书办理、政采云投标客户端安装、投标响应文件制作加密上传等），可登录政府采购云平台网站（www.zcygov.cn）“服务中心”版</w:t>
      </w:r>
      <w:r>
        <w:rPr>
          <w:rFonts w:hint="eastAsia" w:ascii="宋体" w:hAnsi="宋体" w:eastAsia="宋体" w:cs="宋体"/>
          <w:color w:val="auto"/>
          <w:highlight w:val="none"/>
        </w:rPr>
        <w:t>块查阅相关的帮助文档和教学视频，也可致电政采云平台技术支持热线咨询，热线电话：95763（工作日8</w:t>
      </w:r>
      <w:r>
        <w:rPr>
          <w:rFonts w:hint="eastAsia" w:ascii="宋体" w:hAnsi="宋体" w:cs="宋体"/>
          <w:color w:val="auto"/>
          <w:highlight w:val="none"/>
          <w:lang w:val="en-US" w:eastAsia="zh-CN"/>
        </w:rPr>
        <w:t>︰</w:t>
      </w:r>
      <w:r>
        <w:rPr>
          <w:rFonts w:hint="eastAsia" w:ascii="宋体" w:hAnsi="宋体" w:eastAsia="宋体" w:cs="宋体"/>
          <w:color w:val="auto"/>
          <w:highlight w:val="none"/>
        </w:rPr>
        <w:t>00-20</w:t>
      </w:r>
      <w:r>
        <w:rPr>
          <w:rFonts w:hint="eastAsia" w:ascii="宋体" w:hAnsi="宋体" w:cs="宋体"/>
          <w:color w:val="auto"/>
          <w:highlight w:val="none"/>
          <w:lang w:val="en-US" w:eastAsia="zh-CN"/>
        </w:rPr>
        <w:t>︰</w:t>
      </w:r>
      <w:r>
        <w:rPr>
          <w:rFonts w:hint="eastAsia" w:ascii="宋体" w:hAnsi="宋体" w:eastAsia="宋体" w:cs="宋体"/>
          <w:color w:val="auto"/>
          <w:highlight w:val="none"/>
        </w:rPr>
        <w:t>00）。</w:t>
      </w:r>
    </w:p>
    <w:p>
      <w:pPr>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六、联系方式</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1、采购人</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cs="宋体"/>
          <w:color w:val="auto"/>
          <w:highlight w:val="none"/>
          <w:lang w:eastAsia="zh-CN"/>
        </w:rPr>
        <w:t>宁波市北仑区机关事务管理局</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地  址：</w:t>
      </w:r>
      <w:r>
        <w:rPr>
          <w:rFonts w:hint="eastAsia" w:ascii="宋体" w:hAnsi="宋体" w:cs="宋体"/>
          <w:color w:val="auto"/>
          <w:highlight w:val="none"/>
          <w:lang w:eastAsia="zh-CN"/>
        </w:rPr>
        <w:t>北仑区四明山路775号行政大楼A座3楼</w:t>
      </w:r>
    </w:p>
    <w:p>
      <w:pPr>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季宁军</w:t>
      </w:r>
      <w:r>
        <w:rPr>
          <w:rFonts w:hint="eastAsia" w:ascii="宋体" w:hAnsi="宋体" w:eastAsia="宋体" w:cs="宋体"/>
          <w:color w:val="auto"/>
          <w:highlight w:val="none"/>
        </w:rPr>
        <w:t xml:space="preserve">    电话：0574-8938444</w:t>
      </w:r>
      <w:r>
        <w:rPr>
          <w:rFonts w:hint="eastAsia" w:ascii="宋体" w:hAnsi="宋体" w:cs="宋体"/>
          <w:color w:val="auto"/>
          <w:highlight w:val="none"/>
          <w:lang w:val="en-US" w:eastAsia="zh-CN"/>
        </w:rPr>
        <w:t>6</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2、采购代理机构</w:t>
      </w:r>
    </w:p>
    <w:p>
      <w:pPr>
        <w:spacing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eastAsia="宋体" w:cs="宋体"/>
          <w:color w:val="auto"/>
          <w:highlight w:val="none"/>
          <w:lang w:eastAsia="zh-CN"/>
        </w:rPr>
        <w:t>宁波市北仑区（开发区）公共资源交易中心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址：北仑区四明山路773号行政大楼B座三楼</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 xml:space="preserve">阿云 </w:t>
      </w:r>
      <w:r>
        <w:rPr>
          <w:rFonts w:hint="eastAsia" w:ascii="宋体" w:hAnsi="宋体" w:eastAsia="宋体" w:cs="宋体"/>
          <w:color w:val="auto"/>
          <w:highlight w:val="none"/>
        </w:rPr>
        <w:t xml:space="preserve">    电话：0574-89383947    传真：0574-89383949</w:t>
      </w:r>
    </w:p>
    <w:p>
      <w:p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同级政府采购监督管理部门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名  称：宁波市北仑区财政局</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址：北仑区四明山路775号行政大楼A座六楼</w:t>
      </w:r>
    </w:p>
    <w:p>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严凯敏</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监督投诉电话：0574-8938375</w:t>
      </w:r>
      <w:r>
        <w:rPr>
          <w:rFonts w:hint="eastAsia" w:ascii="宋体" w:hAnsi="宋体" w:cs="宋体"/>
          <w:color w:val="auto"/>
          <w:highlight w:val="none"/>
          <w:lang w:val="en-US" w:eastAsia="zh-CN"/>
        </w:rPr>
        <w:t>4</w:t>
      </w: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第二部分  前附表</w:t>
      </w:r>
    </w:p>
    <w:tbl>
      <w:tblPr>
        <w:tblStyle w:val="10"/>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225"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ascii="宋体" w:hAnsi="宋体" w:cs="宋体"/>
                <w:color w:val="auto"/>
                <w:highlight w:val="none"/>
                <w:lang w:eastAsia="zh-CN"/>
              </w:rPr>
              <w:t>北仑行政大楼物业管理</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BLZFCG2024015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cs="宋体"/>
                <w:color w:val="auto"/>
                <w:highlight w:val="none"/>
                <w:lang w:eastAsia="zh-CN"/>
              </w:rPr>
              <w:t>宁波市北仑区机关事务管理局</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季宁军</w:t>
            </w:r>
            <w:r>
              <w:rPr>
                <w:rFonts w:hint="eastAsia" w:ascii="宋体" w:hAnsi="宋体" w:eastAsia="宋体" w:cs="宋体"/>
                <w:color w:val="auto"/>
                <w:highlight w:val="none"/>
              </w:rPr>
              <w:t xml:space="preserve">    电话：0574-8938444</w:t>
            </w:r>
            <w:r>
              <w:rPr>
                <w:rFonts w:hint="eastAsia" w:ascii="宋体" w:hAnsi="宋体" w:cs="宋体"/>
                <w:color w:val="auto"/>
                <w:highlight w:val="none"/>
                <w:lang w:val="en-US" w:eastAsia="zh-CN"/>
              </w:rPr>
              <w:t>6</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地址：</w:t>
            </w:r>
            <w:r>
              <w:rPr>
                <w:rFonts w:hint="eastAsia" w:ascii="宋体" w:hAnsi="宋体" w:cs="宋体"/>
                <w:color w:val="auto"/>
                <w:highlight w:val="none"/>
                <w:lang w:eastAsia="zh-CN"/>
              </w:rPr>
              <w:t>北仑区四明山路775号行政大楼A座3楼</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rPr>
              <w:t>采购代理机</w:t>
            </w:r>
            <w:r>
              <w:rPr>
                <w:rFonts w:hint="eastAsia" w:ascii="宋体" w:hAnsi="宋体" w:eastAsia="宋体" w:cs="宋体"/>
                <w:color w:val="auto"/>
                <w:highlight w:val="none"/>
              </w:rPr>
              <w:t>构：</w:t>
            </w:r>
            <w:r>
              <w:rPr>
                <w:rFonts w:hint="eastAsia" w:ascii="宋体" w:hAnsi="宋体" w:eastAsia="宋体" w:cs="宋体"/>
                <w:color w:val="auto"/>
                <w:highlight w:val="none"/>
                <w:lang w:eastAsia="zh-CN"/>
              </w:rPr>
              <w:t>宁波市北仑区（开发区）公共资源交易中心</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 xml:space="preserve">阿云 </w:t>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电话：0574-89383947    传真：0574-89383949</w:t>
            </w:r>
          </w:p>
          <w:p>
            <w:pPr>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rPr>
              <w:t>址：北仑区四明山路773号行政大楼B座315室</w:t>
            </w:r>
          </w:p>
          <w:p>
            <w:pPr>
              <w:rPr>
                <w:rFonts w:hint="eastAsia" w:ascii="宋体" w:hAnsi="宋体" w:eastAsia="宋体" w:cs="宋体"/>
                <w:color w:val="auto"/>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rPr>
              <w:t>：315800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采购预算：</w:t>
            </w:r>
            <w:r>
              <w:rPr>
                <w:rFonts w:hint="eastAsia" w:ascii="宋体" w:hAnsi="宋体" w:cs="宋体"/>
                <w:color w:val="auto"/>
                <w:highlight w:val="none"/>
                <w:lang w:val="en-US" w:eastAsia="zh-CN"/>
              </w:rPr>
              <w:t>标项一：人</w:t>
            </w:r>
            <w:r>
              <w:rPr>
                <w:rFonts w:hint="eastAsia" w:ascii="宋体" w:hAnsi="宋体" w:eastAsia="宋体" w:cs="宋体"/>
                <w:color w:val="auto"/>
                <w:highlight w:val="none"/>
                <w:lang w:val="en-US" w:eastAsia="zh-CN"/>
              </w:rPr>
              <w:t>民币</w:t>
            </w:r>
            <w:r>
              <w:rPr>
                <w:rFonts w:hint="eastAsia" w:ascii="宋体" w:hAnsi="宋体" w:cs="宋体"/>
                <w:color w:val="auto"/>
                <w:highlight w:val="none"/>
                <w:lang w:val="en-US" w:eastAsia="zh-CN"/>
              </w:rPr>
              <w:t>1723.3519万元/年；标项二：人</w:t>
            </w:r>
            <w:r>
              <w:rPr>
                <w:rFonts w:hint="eastAsia" w:ascii="宋体" w:hAnsi="宋体" w:eastAsia="宋体" w:cs="宋体"/>
                <w:color w:val="auto"/>
                <w:highlight w:val="none"/>
                <w:lang w:val="en-US" w:eastAsia="zh-CN"/>
              </w:rPr>
              <w:t>民币</w:t>
            </w:r>
            <w:r>
              <w:rPr>
                <w:rFonts w:hint="eastAsia" w:ascii="宋体" w:hAnsi="宋体" w:cs="宋体"/>
                <w:color w:val="auto"/>
                <w:highlight w:val="none"/>
                <w:lang w:val="en-US" w:eastAsia="zh-CN"/>
              </w:rPr>
              <w:t>735.4378万元/年</w:t>
            </w:r>
            <w:r>
              <w:rPr>
                <w:rFonts w:hint="eastAsia" w:ascii="宋体" w:hAnsi="宋体" w:eastAsia="宋体" w:cs="宋体"/>
                <w:color w:val="auto"/>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最高限价：</w:t>
            </w:r>
          </w:p>
          <w:p>
            <w:pPr>
              <w:spacing w:line="360" w:lineRule="auto"/>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标项一：人</w:t>
            </w:r>
            <w:r>
              <w:rPr>
                <w:rFonts w:hint="eastAsia" w:ascii="宋体" w:hAnsi="宋体" w:eastAsia="宋体" w:cs="宋体"/>
                <w:color w:val="auto"/>
                <w:highlight w:val="none"/>
                <w:lang w:val="en-US" w:eastAsia="zh-CN"/>
              </w:rPr>
              <w:t>民币</w:t>
            </w:r>
            <w:r>
              <w:rPr>
                <w:rFonts w:hint="eastAsia" w:ascii="宋体" w:hAnsi="宋体" w:cs="宋体"/>
                <w:color w:val="auto"/>
                <w:highlight w:val="none"/>
                <w:lang w:val="en-US" w:eastAsia="zh-CN"/>
              </w:rPr>
              <w:t>1723.3519万元，</w:t>
            </w:r>
            <w:r>
              <w:rPr>
                <w:rFonts w:hint="eastAsia" w:ascii="宋体" w:hAnsi="宋体" w:cs="宋体"/>
                <w:color w:val="auto"/>
                <w:highlight w:val="none"/>
                <w:lang w:val="en-US" w:eastAsia="zh-CN"/>
              </w:rPr>
              <w:t>其中北仑行政中心A座物业管理</w:t>
            </w:r>
            <w:r>
              <w:rPr>
                <w:rFonts w:hint="eastAsia" w:ascii="宋体" w:hAnsi="宋体" w:eastAsia="宋体" w:cs="宋体"/>
                <w:color w:val="auto"/>
                <w:highlight w:val="none"/>
              </w:rPr>
              <w:t>最高限价</w:t>
            </w:r>
            <w:r>
              <w:rPr>
                <w:rFonts w:hint="eastAsia" w:ascii="宋体" w:hAnsi="宋体" w:cs="宋体"/>
                <w:color w:val="auto"/>
                <w:highlight w:val="none"/>
                <w:lang w:val="en-US" w:eastAsia="zh-CN"/>
              </w:rPr>
              <w:t>938.7726万、北仑行政中心会务等特约服务最高限价341.4097万元、北仑行政中心太河楼物业管理最高限价443.1696万元；</w:t>
            </w:r>
          </w:p>
          <w:p>
            <w:pPr>
              <w:spacing w:line="360" w:lineRule="auto"/>
              <w:ind w:left="0" w:leftChars="0" w:firstLine="0" w:firstLineChars="0"/>
              <w:rPr>
                <w:rFonts w:hint="eastAsia" w:ascii="宋体" w:hAnsi="宋体" w:eastAsia="宋体" w:cs="宋体"/>
                <w:color w:val="auto"/>
                <w:highlight w:val="none"/>
              </w:rPr>
            </w:pPr>
            <w:r>
              <w:rPr>
                <w:rFonts w:hint="eastAsia" w:ascii="宋体" w:hAnsi="宋体" w:cs="宋体"/>
                <w:color w:val="auto"/>
                <w:highlight w:val="none"/>
                <w:lang w:val="en-US" w:eastAsia="zh-CN"/>
              </w:rPr>
              <w:t>标项二：人</w:t>
            </w:r>
            <w:r>
              <w:rPr>
                <w:rFonts w:hint="eastAsia" w:ascii="宋体" w:hAnsi="宋体" w:eastAsia="宋体" w:cs="宋体"/>
                <w:color w:val="auto"/>
                <w:highlight w:val="none"/>
                <w:lang w:val="en-US" w:eastAsia="zh-CN"/>
              </w:rPr>
              <w:t>民币</w:t>
            </w:r>
            <w:r>
              <w:rPr>
                <w:rFonts w:hint="eastAsia" w:ascii="宋体" w:hAnsi="宋体" w:cs="宋体"/>
                <w:color w:val="auto"/>
                <w:highlight w:val="none"/>
                <w:lang w:val="en-US" w:eastAsia="zh-CN"/>
              </w:rPr>
              <w:t>735.4378万元，</w:t>
            </w:r>
            <w:r>
              <w:rPr>
                <w:rFonts w:hint="eastAsia" w:ascii="宋体" w:hAnsi="宋体" w:cs="宋体"/>
                <w:color w:val="auto"/>
                <w:highlight w:val="none"/>
                <w:lang w:val="en-US" w:eastAsia="zh-CN"/>
              </w:rPr>
              <w:t>其中北仑行政中心B座物业管理</w:t>
            </w:r>
            <w:r>
              <w:rPr>
                <w:rFonts w:hint="eastAsia" w:ascii="宋体" w:hAnsi="宋体" w:eastAsia="宋体" w:cs="宋体"/>
                <w:color w:val="auto"/>
                <w:highlight w:val="none"/>
              </w:rPr>
              <w:t>最高限价</w:t>
            </w:r>
            <w:r>
              <w:rPr>
                <w:rFonts w:hint="eastAsia" w:ascii="宋体" w:hAnsi="宋体" w:cs="宋体"/>
                <w:color w:val="auto"/>
                <w:highlight w:val="none"/>
                <w:lang w:val="en-US" w:eastAsia="zh-CN"/>
              </w:rPr>
              <w:t>496.2445万元、北仑区档案馆物业管理</w:t>
            </w:r>
            <w:r>
              <w:rPr>
                <w:rFonts w:hint="eastAsia" w:ascii="宋体" w:hAnsi="宋体" w:eastAsia="宋体" w:cs="宋体"/>
                <w:color w:val="auto"/>
                <w:highlight w:val="none"/>
              </w:rPr>
              <w:t>最高限价</w:t>
            </w:r>
            <w:r>
              <w:rPr>
                <w:rFonts w:hint="eastAsia" w:ascii="宋体" w:hAnsi="宋体" w:cs="宋体"/>
                <w:color w:val="auto"/>
                <w:highlight w:val="none"/>
                <w:lang w:val="en-US" w:eastAsia="zh-CN"/>
              </w:rPr>
              <w:t>239.1933万元。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6</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r>
              <w:rPr>
                <w:rFonts w:hint="eastAsia" w:ascii="宋体" w:hAnsi="宋体" w:eastAsia="宋体" w:cs="宋体"/>
                <w:color w:val="auto"/>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7</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是否为专门面向</w:t>
            </w:r>
            <w:r>
              <w:rPr>
                <w:rFonts w:hint="eastAsia" w:ascii="宋体" w:hAnsi="宋体" w:cs="宋体"/>
                <w:color w:val="auto"/>
                <w:highlight w:val="none"/>
                <w:lang w:val="en-US" w:eastAsia="zh-CN"/>
              </w:rPr>
              <w:t>中</w:t>
            </w:r>
            <w:r>
              <w:rPr>
                <w:rFonts w:hint="eastAsia" w:ascii="宋体" w:hAnsi="宋体" w:eastAsia="宋体" w:cs="宋体"/>
                <w:color w:val="auto"/>
                <w:highlight w:val="none"/>
              </w:rPr>
              <w:t>小企业的采购项目</w:t>
            </w:r>
            <w:r>
              <w:rPr>
                <w:rFonts w:hint="eastAsia" w:ascii="宋体" w:hAnsi="宋体" w:eastAsia="宋体" w:cs="宋体"/>
                <w:color w:val="auto"/>
                <w:highlight w:val="none"/>
              </w:rPr>
              <w:t>：</w:t>
            </w:r>
            <w:r>
              <w:rPr>
                <w:rFonts w:hint="eastAsia" w:ascii="宋体" w:hAnsi="宋体" w:cs="宋体"/>
                <w:color w:val="auto"/>
                <w:highlight w:val="none"/>
                <w:lang w:val="en-US" w:eastAsia="zh-CN"/>
              </w:rPr>
              <w:t>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8</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本</w:t>
            </w:r>
            <w:r>
              <w:rPr>
                <w:rFonts w:hint="eastAsia" w:ascii="宋体" w:hAnsi="宋体" w:cs="宋体"/>
                <w:color w:val="auto"/>
                <w:highlight w:val="none"/>
                <w:lang w:val="en-US" w:eastAsia="zh-CN"/>
              </w:rPr>
              <w:t>项目</w:t>
            </w:r>
            <w:r>
              <w:rPr>
                <w:rFonts w:hint="eastAsia" w:ascii="宋体" w:hAnsi="宋体" w:eastAsia="宋体" w:cs="宋体"/>
                <w:color w:val="auto"/>
                <w:highlight w:val="none"/>
              </w:rPr>
              <w:t>采购</w:t>
            </w:r>
            <w:r>
              <w:rPr>
                <w:rFonts w:hint="eastAsia" w:ascii="宋体" w:hAnsi="宋体" w:cs="宋体"/>
                <w:color w:val="auto"/>
                <w:highlight w:val="none"/>
                <w:lang w:val="en-US" w:eastAsia="zh-CN"/>
              </w:rPr>
              <w:t>服务</w:t>
            </w:r>
            <w:r>
              <w:rPr>
                <w:rFonts w:hint="eastAsia" w:ascii="宋体" w:hAnsi="宋体" w:eastAsia="宋体" w:cs="宋体"/>
                <w:color w:val="auto"/>
                <w:highlight w:val="none"/>
              </w:rPr>
              <w:t>对应的中小企业划分标准所属行业：</w:t>
            </w:r>
            <w:r>
              <w:rPr>
                <w:rFonts w:hint="eastAsia" w:ascii="宋体" w:hAnsi="宋体" w:eastAsia="宋体" w:cs="宋体"/>
                <w:color w:val="auto"/>
                <w:highlight w:val="none"/>
              </w:rPr>
              <w:t>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9</w:t>
            </w:r>
          </w:p>
        </w:tc>
        <w:tc>
          <w:tcPr>
            <w:tcW w:w="8225" w:type="dxa"/>
            <w:tcMar>
              <w:top w:w="113" w:type="dxa"/>
              <w:bottom w:w="113" w:type="dxa"/>
            </w:tcMar>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是否允许投标人将项目非主体、非关键性工</w:t>
            </w:r>
            <w:r>
              <w:rPr>
                <w:rFonts w:hint="eastAsia" w:ascii="宋体" w:hAnsi="宋体" w:eastAsia="宋体" w:cs="宋体"/>
                <w:color w:val="auto"/>
                <w:highlight w:val="none"/>
              </w:rPr>
              <w:t>作</w:t>
            </w:r>
            <w:r>
              <w:rPr>
                <w:rFonts w:hint="eastAsia" w:ascii="宋体" w:hAnsi="宋体" w:cs="宋体"/>
                <w:color w:val="auto"/>
                <w:highlight w:val="none"/>
                <w:lang w:val="en-US" w:eastAsia="zh-CN"/>
              </w:rPr>
              <w:t>分包</w:t>
            </w:r>
            <w:r>
              <w:rPr>
                <w:rFonts w:hint="eastAsia" w:ascii="宋体" w:hAnsi="宋体" w:eastAsia="宋体" w:cs="宋体"/>
                <w:color w:val="auto"/>
                <w:highlight w:val="none"/>
              </w:rPr>
              <w:t>交</w:t>
            </w:r>
            <w:r>
              <w:rPr>
                <w:rFonts w:hint="eastAsia" w:ascii="宋体" w:hAnsi="宋体" w:eastAsia="宋体" w:cs="宋体"/>
                <w:color w:val="auto"/>
                <w:highlight w:val="none"/>
              </w:rPr>
              <w:t>由他人完成：</w:t>
            </w:r>
            <w:r>
              <w:rPr>
                <w:rFonts w:hint="eastAsia" w:ascii="宋体" w:hAnsi="宋体" w:eastAsia="宋体" w:cs="宋体"/>
                <w:color w:val="auto"/>
                <w:highlight w:val="none"/>
                <w:lang w:val="en-US" w:eastAsia="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10</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集中答疑会或</w:t>
            </w:r>
            <w:r>
              <w:rPr>
                <w:rFonts w:hint="eastAsia" w:ascii="宋体" w:hAnsi="宋体" w:eastAsia="宋体" w:cs="宋体"/>
                <w:color w:val="auto"/>
                <w:highlight w:val="none"/>
              </w:rPr>
              <w:t>现场踏勘：</w:t>
            </w:r>
            <w:r>
              <w:rPr>
                <w:rFonts w:hint="eastAsia" w:ascii="宋体" w:hAnsi="宋体" w:eastAsia="宋体" w:cs="宋体"/>
                <w:color w:val="auto"/>
                <w:highlight w:val="none"/>
              </w:rPr>
              <w:t>本项目将于</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05</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07</w:t>
            </w:r>
            <w:r>
              <w:rPr>
                <w:rFonts w:hint="eastAsia" w:ascii="宋体" w:hAnsi="宋体" w:eastAsia="宋体" w:cs="宋体"/>
                <w:color w:val="auto"/>
                <w:highlight w:val="none"/>
              </w:rPr>
              <w:t>日09时30分在物业服务项目地（</w:t>
            </w:r>
            <w:r>
              <w:rPr>
                <w:rFonts w:hint="eastAsia" w:ascii="宋体" w:hAnsi="宋体" w:eastAsia="宋体" w:cs="宋体"/>
                <w:color w:val="auto"/>
                <w:highlight w:val="none"/>
                <w:lang w:val="en-US" w:eastAsia="zh-CN"/>
              </w:rPr>
              <w:t>北仑区四明山路775号行政大楼A座3楼</w:t>
            </w:r>
            <w:r>
              <w:rPr>
                <w:rFonts w:hint="eastAsia" w:ascii="宋体" w:hAnsi="宋体" w:eastAsia="宋体" w:cs="宋体"/>
                <w:color w:val="auto"/>
                <w:highlight w:val="none"/>
              </w:rPr>
              <w:t>）组织现场踏勘，参加踏勘的投标供应商代表需凭本人身份证及公司介绍信（加盖单位公章）按时参加。未参加现场踏勘的投标人，中标后，不得以不完全了解项目情况为借口，提出额外补偿的要求。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11</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提交（上传）投标文件截止时间</w:t>
            </w:r>
            <w:r>
              <w:rPr>
                <w:rFonts w:hint="eastAsia" w:ascii="宋体" w:hAnsi="宋体" w:eastAsia="宋体" w:cs="宋体"/>
                <w:color w:val="auto"/>
                <w:highlight w:val="none"/>
                <w:lang w:val="en-US" w:eastAsia="zh-CN"/>
              </w:rPr>
              <w:t>和开标时间</w:t>
            </w:r>
            <w:r>
              <w:rPr>
                <w:rFonts w:hint="eastAsia" w:ascii="宋体" w:hAnsi="宋体" w:eastAsia="宋体" w:cs="宋体"/>
                <w:color w:val="auto"/>
                <w:highlight w:val="none"/>
              </w:rPr>
              <w:t>：</w:t>
            </w:r>
            <w:r>
              <w:rPr>
                <w:rFonts w:hint="eastAsia" w:ascii="宋体" w:hAnsi="宋体" w:cs="宋体"/>
                <w:color w:val="auto"/>
                <w:highlight w:val="none"/>
                <w:lang w:eastAsia="zh-CN"/>
              </w:rPr>
              <w:t>2024年</w:t>
            </w:r>
            <w:r>
              <w:rPr>
                <w:rFonts w:hint="eastAsia" w:ascii="宋体" w:hAnsi="宋体" w:cs="宋体"/>
                <w:color w:val="auto"/>
                <w:highlight w:val="none"/>
                <w:u w:val="single"/>
                <w:lang w:val="en-US" w:eastAsia="zh-CN"/>
              </w:rPr>
              <w:t>05</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23</w:t>
            </w:r>
            <w:r>
              <w:rPr>
                <w:rFonts w:hint="eastAsia" w:ascii="宋体" w:hAnsi="宋体" w:eastAsia="宋体" w:cs="宋体"/>
                <w:color w:val="auto"/>
                <w:highlight w:val="none"/>
              </w:rPr>
              <w:t>日</w:t>
            </w:r>
            <w:r>
              <w:rPr>
                <w:rFonts w:hint="eastAsia" w:ascii="宋体" w:hAnsi="宋体" w:eastAsia="宋体" w:cs="宋体"/>
                <w:color w:val="auto"/>
                <w:highlight w:val="none"/>
              </w:rPr>
              <w:t>09时30分</w:t>
            </w:r>
          </w:p>
          <w:p>
            <w:pPr>
              <w:rPr>
                <w:rFonts w:hint="eastAsia" w:ascii="宋体" w:hAnsi="宋体" w:eastAsia="宋体" w:cs="宋体"/>
                <w:color w:val="auto"/>
                <w:highlight w:val="none"/>
              </w:rPr>
            </w:pPr>
            <w:r>
              <w:rPr>
                <w:rFonts w:hint="eastAsia" w:ascii="宋体" w:hAnsi="宋体" w:eastAsia="宋体" w:cs="宋体"/>
                <w:color w:val="auto"/>
                <w:highlight w:val="none"/>
              </w:rPr>
              <w:t>开标</w:t>
            </w:r>
            <w:r>
              <w:rPr>
                <w:rFonts w:hint="eastAsia" w:ascii="宋体" w:hAnsi="宋体" w:cs="宋体"/>
                <w:color w:val="auto"/>
                <w:highlight w:val="none"/>
                <w:lang w:val="en-US" w:eastAsia="zh-CN"/>
              </w:rPr>
              <w:t>会议</w:t>
            </w:r>
            <w:r>
              <w:rPr>
                <w:rFonts w:hint="eastAsia" w:ascii="宋体" w:hAnsi="宋体" w:eastAsia="宋体" w:cs="宋体"/>
                <w:color w:val="auto"/>
                <w:highlight w:val="none"/>
              </w:rPr>
              <w:t>地点：北仑区四明山路773号行政大楼B座三楼</w:t>
            </w:r>
            <w:r>
              <w:rPr>
                <w:rFonts w:hint="eastAsia" w:ascii="宋体" w:hAnsi="宋体" w:eastAsia="宋体" w:cs="宋体"/>
                <w:color w:val="auto"/>
                <w:highlight w:val="none"/>
                <w:lang w:val="en-US" w:eastAsia="zh-CN"/>
              </w:rPr>
              <w:t>区公共资源交易中心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b w:val="0"/>
                <w:bCs w:val="0"/>
                <w:color w:val="auto"/>
                <w:highlight w:val="none"/>
                <w:lang w:val="en-US" w:eastAsia="zh-CN"/>
              </w:rPr>
              <w:t>注：</w:t>
            </w:r>
            <w:r>
              <w:rPr>
                <w:rFonts w:hint="eastAsia" w:ascii="宋体" w:hAnsi="宋体" w:eastAsia="宋体" w:cs="宋体"/>
                <w:b w:val="0"/>
                <w:bCs w:val="0"/>
                <w:color w:val="auto"/>
                <w:highlight w:val="none"/>
              </w:rPr>
              <w:t>本项目采用网上投标，不接受纸质投标文</w:t>
            </w:r>
            <w:r>
              <w:rPr>
                <w:rFonts w:hint="eastAsia" w:ascii="宋体" w:hAnsi="宋体" w:eastAsia="宋体" w:cs="宋体"/>
                <w:b w:val="0"/>
                <w:bCs w:val="0"/>
                <w:color w:val="auto"/>
                <w:highlight w:val="none"/>
              </w:rPr>
              <w:t>件，投标供应商</w:t>
            </w:r>
            <w:r>
              <w:rPr>
                <w:rFonts w:hint="eastAsia" w:ascii="宋体" w:hAnsi="宋体" w:eastAsia="宋体" w:cs="宋体"/>
                <w:b w:val="0"/>
                <w:bCs w:val="0"/>
                <w:color w:val="auto"/>
                <w:highlight w:val="none"/>
                <w:lang w:val="en-US" w:eastAsia="zh-CN"/>
              </w:rPr>
              <w:t>须</w:t>
            </w:r>
            <w:r>
              <w:rPr>
                <w:rFonts w:hint="eastAsia" w:ascii="宋体" w:hAnsi="宋体" w:eastAsia="宋体" w:cs="宋体"/>
                <w:b w:val="0"/>
                <w:bCs w:val="0"/>
                <w:color w:val="auto"/>
                <w:highlight w:val="none"/>
              </w:rPr>
              <w:t>按照招标文件和政府采购云平台的要求编制、加密上传电子投标文件。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12</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投标文件提交地点：北仑区四明山路773号行政</w:t>
            </w:r>
            <w:r>
              <w:rPr>
                <w:rFonts w:hint="eastAsia" w:ascii="宋体" w:hAnsi="宋体" w:eastAsia="宋体" w:cs="宋体"/>
                <w:color w:val="auto"/>
                <w:highlight w:val="none"/>
              </w:rPr>
              <w:t>大楼B座三楼</w:t>
            </w:r>
            <w:r>
              <w:rPr>
                <w:rFonts w:hint="eastAsia" w:ascii="宋体" w:hAnsi="宋体" w:eastAsia="宋体" w:cs="宋体"/>
                <w:color w:val="auto"/>
                <w:highlight w:val="none"/>
                <w:lang w:val="en-US" w:eastAsia="zh-CN"/>
              </w:rPr>
              <w:t>区公共资源交易中心</w:t>
            </w:r>
            <w:r>
              <w:rPr>
                <w:rFonts w:hint="eastAsia" w:ascii="宋体" w:hAnsi="宋体" w:eastAsia="宋体" w:cs="宋体"/>
                <w:color w:val="auto"/>
                <w:highlight w:val="none"/>
              </w:rPr>
              <w:t>交易厅</w:t>
            </w:r>
          </w:p>
          <w:p>
            <w:pP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备份电子</w:t>
            </w:r>
            <w:r>
              <w:rPr>
                <w:rFonts w:hint="eastAsia" w:ascii="宋体" w:hAnsi="宋体" w:eastAsia="宋体" w:cs="宋体"/>
                <w:color w:val="auto"/>
                <w:highlight w:val="none"/>
              </w:rPr>
              <w:t>投标文件提交</w:t>
            </w:r>
            <w:r>
              <w:rPr>
                <w:rFonts w:hint="eastAsia" w:ascii="宋体" w:hAnsi="宋体" w:eastAsia="宋体" w:cs="宋体"/>
                <w:color w:val="auto"/>
                <w:highlight w:val="none"/>
                <w:lang w:val="en-US" w:eastAsia="zh-CN"/>
              </w:rPr>
              <w:t>受理</w:t>
            </w:r>
            <w:r>
              <w:rPr>
                <w:rFonts w:hint="eastAsia" w:ascii="宋体" w:hAnsi="宋体" w:eastAsia="宋体" w:cs="宋体"/>
                <w:color w:val="auto"/>
                <w:highlight w:val="none"/>
              </w:rPr>
              <w:t>时间：</w:t>
            </w:r>
            <w:r>
              <w:rPr>
                <w:rFonts w:hint="eastAsia" w:ascii="宋体" w:hAnsi="宋体" w:cs="宋体"/>
                <w:color w:val="auto"/>
                <w:highlight w:val="none"/>
                <w:lang w:eastAsia="zh-CN"/>
              </w:rPr>
              <w:t>2024年</w:t>
            </w:r>
            <w:r>
              <w:rPr>
                <w:rFonts w:hint="eastAsia" w:ascii="宋体" w:hAnsi="宋体" w:cs="宋体"/>
                <w:color w:val="auto"/>
                <w:highlight w:val="none"/>
                <w:u w:val="single"/>
                <w:lang w:val="en-US" w:eastAsia="zh-CN"/>
              </w:rPr>
              <w:t>05</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23</w:t>
            </w:r>
            <w:r>
              <w:rPr>
                <w:rFonts w:hint="eastAsia" w:ascii="宋体" w:hAnsi="宋体" w:eastAsia="宋体" w:cs="宋体"/>
                <w:color w:val="auto"/>
                <w:highlight w:val="none"/>
              </w:rPr>
              <w:t>日</w:t>
            </w:r>
            <w:r>
              <w:rPr>
                <w:rFonts w:hint="eastAsia" w:ascii="宋体" w:hAnsi="宋体" w:eastAsia="宋体" w:cs="宋体"/>
                <w:color w:val="auto"/>
                <w:highlight w:val="none"/>
              </w:rPr>
              <w:t>09时</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09时30分</w:t>
            </w:r>
          </w:p>
          <w:p>
            <w:pPr>
              <w:rPr>
                <w:rFonts w:hint="eastAsia" w:ascii="宋体" w:hAnsi="宋体" w:eastAsia="宋体" w:cs="宋体"/>
                <w:color w:val="auto"/>
                <w:highlight w:val="none"/>
                <w:lang w:eastAsia="zh-CN"/>
              </w:rPr>
            </w:pPr>
            <w:r>
              <w:rPr>
                <w:rFonts w:hint="eastAsia" w:ascii="宋体" w:hAnsi="宋体" w:eastAsia="宋体" w:cs="宋体"/>
                <w:b w:val="0"/>
                <w:bCs w:val="0"/>
                <w:color w:val="auto"/>
                <w:highlight w:val="none"/>
                <w:lang w:val="en-US" w:eastAsia="zh-CN"/>
              </w:rPr>
              <w:t>注：投标人可自行决定是否提交备份电子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提交的备份电子</w:t>
            </w:r>
            <w:r>
              <w:rPr>
                <w:rFonts w:hint="eastAsia" w:ascii="宋体" w:hAnsi="宋体" w:eastAsia="宋体" w:cs="宋体"/>
                <w:b w:val="0"/>
                <w:bCs w:val="0"/>
                <w:color w:val="auto"/>
                <w:highlight w:val="none"/>
              </w:rPr>
              <w:t>投标文件</w:t>
            </w:r>
            <w:r>
              <w:rPr>
                <w:rFonts w:hint="eastAsia" w:ascii="宋体" w:hAnsi="宋体" w:eastAsia="宋体" w:cs="宋体"/>
                <w:b w:val="0"/>
                <w:bCs w:val="0"/>
                <w:color w:val="auto"/>
                <w:highlight w:val="none"/>
                <w:lang w:val="en-US" w:eastAsia="zh-CN"/>
              </w:rPr>
              <w:t>应当袋装密封，密封袋上须</w:t>
            </w:r>
            <w:r>
              <w:rPr>
                <w:rFonts w:hint="eastAsia" w:ascii="宋体" w:hAnsi="宋体" w:eastAsia="宋体" w:cs="宋体"/>
                <w:b w:val="0"/>
                <w:bCs w:val="0"/>
                <w:color w:val="auto"/>
                <w:highlight w:val="none"/>
              </w:rPr>
              <w:t>注明项目名称、项目编号</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投标人名称并加盖</w:t>
            </w:r>
            <w:r>
              <w:rPr>
                <w:rFonts w:hint="eastAsia" w:ascii="宋体" w:hAnsi="宋体" w:eastAsia="宋体" w:cs="宋体"/>
                <w:b w:val="0"/>
                <w:bCs w:val="0"/>
                <w:color w:val="auto"/>
                <w:highlight w:val="none"/>
                <w:lang w:val="en-US" w:eastAsia="zh-CN"/>
              </w:rPr>
              <w:t>投标人</w:t>
            </w:r>
            <w:r>
              <w:rPr>
                <w:rFonts w:hint="eastAsia" w:ascii="宋体" w:hAnsi="宋体" w:eastAsia="宋体" w:cs="宋体"/>
                <w:b w:val="0"/>
                <w:bCs w:val="0"/>
                <w:color w:val="auto"/>
                <w:highlight w:val="none"/>
              </w:rPr>
              <w:t>公章</w:t>
            </w:r>
            <w:r>
              <w:rPr>
                <w:rFonts w:hint="eastAsia" w:ascii="宋体" w:hAnsi="宋体" w:eastAsia="宋体" w:cs="宋体"/>
                <w:b w:val="0"/>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13</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投标有效期：开标之日起60日历天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14</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投标保证金：本项目不</w:t>
            </w:r>
            <w:r>
              <w:rPr>
                <w:rFonts w:hint="eastAsia" w:ascii="宋体" w:hAnsi="宋体" w:cs="宋体"/>
                <w:color w:val="auto"/>
                <w:highlight w:val="none"/>
                <w:lang w:val="en-US" w:eastAsia="zh-CN"/>
              </w:rPr>
              <w:t>需要缴纳</w:t>
            </w:r>
            <w:r>
              <w:rPr>
                <w:rFonts w:hint="eastAsia" w:ascii="宋体" w:hAnsi="宋体" w:eastAsia="宋体" w:cs="宋体"/>
                <w:color w:val="auto"/>
                <w:highlight w:val="none"/>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highlight w:val="none"/>
              </w:rPr>
              <w:t>15</w:t>
            </w:r>
          </w:p>
        </w:tc>
        <w:tc>
          <w:tcPr>
            <w:tcW w:w="8225" w:type="dxa"/>
            <w:tcMar>
              <w:top w:w="113" w:type="dxa"/>
              <w:bottom w:w="113" w:type="dxa"/>
            </w:tcMar>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履约保证金：</w:t>
            </w:r>
          </w:p>
          <w:p>
            <w:pPr>
              <w:rPr>
                <w:rFonts w:hint="eastAsia" w:ascii="宋体" w:hAnsi="宋体" w:eastAsia="宋体" w:cs="宋体"/>
                <w:color w:val="auto"/>
                <w:highlight w:val="none"/>
              </w:rPr>
            </w:pPr>
            <w:r>
              <w:rPr>
                <w:rFonts w:hint="eastAsia" w:ascii="宋体" w:hAnsi="宋体" w:eastAsia="宋体" w:cs="宋体"/>
                <w:color w:val="auto"/>
                <w:highlight w:val="none"/>
              </w:rPr>
              <w:t>标项一：中标供应商进场服务前，须以支票、银行转账、银行保函或保险保函等非现金方式向采购人</w:t>
            </w:r>
            <w:r>
              <w:rPr>
                <w:rFonts w:hint="eastAsia" w:ascii="宋体" w:hAnsi="宋体" w:eastAsia="宋体" w:cs="宋体"/>
                <w:color w:val="auto"/>
                <w:highlight w:val="none"/>
              </w:rPr>
              <w:t>交纳</w:t>
            </w:r>
            <w:r>
              <w:rPr>
                <w:rFonts w:hint="eastAsia" w:ascii="宋体" w:hAnsi="宋体" w:cs="宋体"/>
                <w:color w:val="auto"/>
                <w:highlight w:val="none"/>
                <w:lang w:val="en-US" w:eastAsia="zh-CN"/>
              </w:rPr>
              <w:t>15</w:t>
            </w:r>
            <w:r>
              <w:rPr>
                <w:rFonts w:hint="eastAsia" w:ascii="宋体" w:hAnsi="宋体" w:eastAsia="宋体" w:cs="宋体"/>
                <w:color w:val="auto"/>
                <w:highlight w:val="none"/>
              </w:rPr>
              <w:t>万元</w:t>
            </w:r>
            <w:r>
              <w:rPr>
                <w:rFonts w:hint="eastAsia" w:ascii="宋体" w:hAnsi="宋体" w:eastAsia="宋体" w:cs="宋体"/>
                <w:color w:val="auto"/>
                <w:highlight w:val="none"/>
              </w:rPr>
              <w:t>履约保证金。</w:t>
            </w:r>
          </w:p>
          <w:p>
            <w:pPr>
              <w:rPr>
                <w:rFonts w:hint="eastAsia" w:ascii="宋体" w:hAnsi="宋体" w:eastAsia="宋体" w:cs="宋体"/>
                <w:color w:val="auto"/>
                <w:highlight w:val="none"/>
              </w:rPr>
            </w:pPr>
            <w:r>
              <w:rPr>
                <w:rFonts w:hint="eastAsia" w:ascii="宋体" w:hAnsi="宋体" w:eastAsia="宋体" w:cs="宋体"/>
                <w:color w:val="auto"/>
                <w:highlight w:val="none"/>
              </w:rPr>
              <w:t>标项</w:t>
            </w:r>
            <w:r>
              <w:rPr>
                <w:rFonts w:hint="eastAsia" w:ascii="宋体" w:hAnsi="宋体" w:cs="宋体"/>
                <w:color w:val="auto"/>
                <w:highlight w:val="none"/>
                <w:lang w:val="en-US" w:eastAsia="zh-CN"/>
              </w:rPr>
              <w:t>二</w:t>
            </w:r>
            <w:r>
              <w:rPr>
                <w:rFonts w:hint="eastAsia" w:ascii="宋体" w:hAnsi="宋体" w:eastAsia="宋体" w:cs="宋体"/>
                <w:color w:val="auto"/>
                <w:highlight w:val="none"/>
              </w:rPr>
              <w:t>：中标供应商进场服务前，须以支票、银行转账、银行保函或保险保函等非现金方式向采购人</w:t>
            </w:r>
            <w:r>
              <w:rPr>
                <w:rFonts w:hint="eastAsia" w:ascii="宋体" w:hAnsi="宋体" w:eastAsia="宋体" w:cs="宋体"/>
                <w:color w:val="auto"/>
                <w:highlight w:val="none"/>
              </w:rPr>
              <w:t>交纳</w:t>
            </w:r>
            <w:r>
              <w:rPr>
                <w:rFonts w:hint="eastAsia" w:ascii="宋体" w:hAnsi="宋体" w:cs="宋体"/>
                <w:color w:val="auto"/>
                <w:highlight w:val="none"/>
                <w:lang w:val="en-US" w:eastAsia="zh-CN"/>
              </w:rPr>
              <w:t>5</w:t>
            </w:r>
            <w:r>
              <w:rPr>
                <w:rFonts w:hint="eastAsia" w:ascii="宋体" w:hAnsi="宋体" w:eastAsia="宋体" w:cs="宋体"/>
                <w:color w:val="auto"/>
                <w:highlight w:val="none"/>
              </w:rPr>
              <w:t>万元</w:t>
            </w:r>
            <w:r>
              <w:rPr>
                <w:rFonts w:hint="eastAsia" w:ascii="宋体" w:hAnsi="宋体" w:eastAsia="宋体" w:cs="宋体"/>
                <w:color w:val="auto"/>
                <w:highlight w:val="none"/>
              </w:rPr>
              <w:t>履约保证金。</w:t>
            </w:r>
          </w:p>
          <w:p>
            <w:pPr>
              <w:rPr>
                <w:rFonts w:hint="eastAsia" w:ascii="宋体" w:hAnsi="宋体" w:eastAsia="宋体" w:cs="宋体"/>
                <w:color w:val="auto"/>
                <w:highlight w:val="none"/>
              </w:rPr>
            </w:pPr>
            <w:r>
              <w:rPr>
                <w:rFonts w:hint="eastAsia" w:ascii="宋体" w:hAnsi="宋体" w:eastAsia="宋体" w:cs="宋体"/>
                <w:color w:val="auto"/>
                <w:highlight w:val="none"/>
              </w:rPr>
              <w:t>履约保证金在供应商履行完采购合同约定的所有义务事项后一周内无息退还，合同期内如中标供应商未能履行合同规定的任何义务时，采购人有权从履约保证金中得到补偿。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highlight w:val="none"/>
              </w:rPr>
            </w:pPr>
            <w:r>
              <w:rPr>
                <w:rFonts w:hint="eastAsia" w:ascii="宋体" w:hAnsi="宋体" w:eastAsia="宋体" w:cs="宋体"/>
                <w:b/>
                <w:color w:val="auto"/>
                <w:sz w:val="21"/>
                <w:szCs w:val="21"/>
                <w:highlight w:val="none"/>
              </w:rPr>
              <w:t>16</w:t>
            </w:r>
          </w:p>
        </w:tc>
        <w:tc>
          <w:tcPr>
            <w:tcW w:w="8225" w:type="dxa"/>
            <w:tcMar>
              <w:top w:w="113" w:type="dxa"/>
              <w:bottom w:w="113" w:type="dxa"/>
            </w:tcMar>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17</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扫描件说明：对于招标文件中提及的彩色扫描件要求，包括彩色照片件。扫描件的内容应当保证清晰可辨，否则由此产生的风险由投标人承担。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18</w:t>
            </w:r>
          </w:p>
        </w:tc>
        <w:tc>
          <w:tcPr>
            <w:tcW w:w="8225" w:type="dxa"/>
            <w:tcMar>
              <w:top w:w="113" w:type="dxa"/>
              <w:bottom w:w="113" w:type="dxa"/>
            </w:tcMar>
            <w:vAlign w:val="center"/>
          </w:tcPr>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其他说明：</w:t>
            </w:r>
            <w:r>
              <w:rPr>
                <w:rFonts w:hint="eastAsia" w:ascii="宋体" w:hAnsi="宋体" w:eastAsia="宋体" w:cs="宋体"/>
                <w:color w:val="auto"/>
                <w:sz w:val="21"/>
                <w:szCs w:val="21"/>
                <w:highlight w:val="none"/>
                <w:lang w:val="en-US" w:eastAsia="zh-CN"/>
              </w:rPr>
              <w:t>不同投标人的投标文件出自同一终端设备的或在相同Internet主机分配地址（相同IP地址）网上投标的，相关投标人</w:t>
            </w:r>
            <w:r>
              <w:rPr>
                <w:rFonts w:hint="eastAsia" w:ascii="宋体" w:hAnsi="宋体" w:cs="宋体"/>
                <w:color w:val="auto"/>
                <w:sz w:val="21"/>
                <w:szCs w:val="21"/>
                <w:highlight w:val="none"/>
                <w:lang w:val="en-US" w:eastAsia="zh-CN"/>
              </w:rPr>
              <w:t>的投标</w:t>
            </w:r>
            <w:r>
              <w:rPr>
                <w:rFonts w:hint="eastAsia" w:ascii="宋体" w:hAnsi="宋体" w:eastAsia="宋体" w:cs="宋体"/>
                <w:color w:val="auto"/>
                <w:sz w:val="21"/>
                <w:szCs w:val="21"/>
                <w:highlight w:val="none"/>
                <w:lang w:val="en-US" w:eastAsia="zh-CN"/>
              </w:rPr>
              <w:t>均作无效投标处理。</w:t>
            </w:r>
          </w:p>
        </w:tc>
      </w:tr>
    </w:tbl>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部分  投标人须知</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A、总则</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1、适用范围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1.1本招标文件适用于采购公告中所述项目的招标、投标、评标、定标、合同</w:t>
      </w:r>
      <w:r>
        <w:rPr>
          <w:rFonts w:hint="eastAsia" w:ascii="宋体" w:hAnsi="宋体" w:eastAsia="宋体" w:cs="宋体"/>
          <w:color w:val="auto"/>
          <w:sz w:val="21"/>
          <w:szCs w:val="21"/>
          <w:highlight w:val="none"/>
          <w:lang w:val="en-US" w:eastAsia="zh-CN"/>
        </w:rPr>
        <w:t>签订及</w:t>
      </w:r>
      <w:r>
        <w:rPr>
          <w:rFonts w:hint="eastAsia" w:ascii="宋体" w:hAnsi="宋体" w:eastAsia="宋体" w:cs="宋体"/>
          <w:color w:val="auto"/>
          <w:sz w:val="21"/>
          <w:szCs w:val="21"/>
          <w:highlight w:val="none"/>
        </w:rPr>
        <w:t>履约、验收、付款等行为（法律、法规另有规定的，从其规定）。</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定义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2.1“采购人”/“招标人”/“买方”系指前附表所指的采购人。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机构” 系指前附表所指的组织本次政府采购的采购代理机构。</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“投标人”/“供应商”/“响应方”/“</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方”/“卖方”系指</w:t>
      </w:r>
      <w:r>
        <w:rPr>
          <w:rFonts w:hint="eastAsia" w:ascii="宋体" w:hAnsi="宋体" w:eastAsia="宋体" w:cs="宋体"/>
          <w:color w:val="auto"/>
          <w:highlight w:val="none"/>
        </w:rPr>
        <w:t>符合本招标文件规定并参加投标的</w:t>
      </w:r>
      <w:r>
        <w:rPr>
          <w:rFonts w:hint="eastAsia" w:ascii="宋体" w:hAnsi="宋体" w:cs="宋体"/>
          <w:color w:val="auto"/>
          <w:highlight w:val="none"/>
          <w:lang w:val="en-US" w:eastAsia="zh-CN"/>
        </w:rPr>
        <w:t>单位或个人</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“货物”指依据本招标文件中所述采购需求，投标人须向采购人提供的一切材料、设备、备品备件、工具、手册及其它有关技术资料和材料，以及实现货物功能价值所必须的配套技术和服务。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“服务”指依据本招标文件中所述采购需求，投标人应该履行的承诺和义务。</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合格的投标人</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3.1符合</w:t>
      </w:r>
      <w:r>
        <w:rPr>
          <w:rFonts w:hint="eastAsia" w:ascii="宋体" w:hAnsi="宋体" w:cs="宋体"/>
          <w:color w:val="auto"/>
          <w:highlight w:val="none"/>
          <w:lang w:val="en-US" w:eastAsia="zh-CN"/>
        </w:rPr>
        <w:t>本部分第</w:t>
      </w:r>
      <w:r>
        <w:rPr>
          <w:rFonts w:hint="eastAsia" w:ascii="宋体" w:hAnsi="宋体" w:eastAsia="宋体" w:cs="宋体"/>
          <w:color w:val="auto"/>
          <w:highlight w:val="none"/>
        </w:rPr>
        <w:t>2.</w:t>
      </w:r>
      <w:r>
        <w:rPr>
          <w:rFonts w:hint="eastAsia" w:ascii="宋体" w:hAnsi="宋体" w:cs="宋体"/>
          <w:color w:val="auto"/>
          <w:highlight w:val="none"/>
          <w:lang w:val="en-US" w:eastAsia="zh-CN"/>
        </w:rPr>
        <w:t>3</w:t>
      </w:r>
      <w:r>
        <w:rPr>
          <w:rFonts w:hint="eastAsia" w:ascii="宋体" w:hAnsi="宋体" w:eastAsia="宋体" w:cs="宋体"/>
          <w:color w:val="auto"/>
          <w:highlight w:val="none"/>
        </w:rPr>
        <w:t>条，并具备以下条件的供应商。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（1）符合《中华人民共和国政府采购法》规定。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（2）符合本项目供应商应具备的资格条件，具有本项目生产、制造、供应或实施能力。</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（3）符合、承认并承诺履行本招标文件各项规定。</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3.2除联合体外，单位负责人为同一人或者存在直接控股、管理关系的不同供应商，不得参加同一合同项下的政府采购活动。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3.3为采购项目提供整体设计、规范编制或者项目管理、监理、检测等服务的供应商，不得再参加该采购项目的其他采购活动。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投标费用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4.1本项目不收取招标代理服务费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4.2无论投标过程中的做法和结果如何，投标人自行承担所有与参加投标有关的全部费用。</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通知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参加投标的供应商有义务在采购</w:t>
      </w:r>
      <w:r>
        <w:rPr>
          <w:rFonts w:hint="eastAsia" w:ascii="宋体" w:hAnsi="宋体" w:eastAsia="宋体" w:cs="宋体"/>
          <w:color w:val="auto"/>
          <w:sz w:val="21"/>
          <w:szCs w:val="21"/>
          <w:highlight w:val="none"/>
        </w:rPr>
        <w:t>活动期间浏览宁波政府采购网（www.nbzfcg.cn）和</w:t>
      </w:r>
      <w:r>
        <w:rPr>
          <w:rFonts w:hint="eastAsia" w:ascii="宋体" w:hAnsi="宋体" w:cs="宋体"/>
          <w:color w:val="auto"/>
          <w:sz w:val="21"/>
          <w:szCs w:val="21"/>
          <w:highlight w:val="none"/>
          <w:lang w:eastAsia="zh-CN"/>
        </w:rPr>
        <w:t>宁波市政务服务中心网（jyxt.zwb.ningbo.gov.cn:4011）</w:t>
      </w:r>
      <w:r>
        <w:rPr>
          <w:rFonts w:hint="eastAsia" w:ascii="宋体" w:hAnsi="宋体" w:eastAsia="宋体" w:cs="宋体"/>
          <w:color w:val="auto"/>
          <w:sz w:val="21"/>
          <w:szCs w:val="21"/>
          <w:highlight w:val="none"/>
        </w:rPr>
        <w:t>，采购人（采购代理机构）在以上两个网站发布的与本次招标项目有关的信息视为已送达各供应商，不</w:t>
      </w:r>
      <w:r>
        <w:rPr>
          <w:rFonts w:hint="eastAsia" w:ascii="宋体" w:hAnsi="宋体" w:eastAsia="宋体" w:cs="宋体"/>
          <w:color w:val="auto"/>
          <w:sz w:val="21"/>
          <w:szCs w:val="21"/>
          <w:highlight w:val="none"/>
        </w:rPr>
        <w:t>再采用其它方式传达相关信息。</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B、招标文件</w:t>
      </w:r>
      <w:r>
        <w:rPr>
          <w:rFonts w:hint="eastAsia" w:ascii="宋体" w:hAnsi="宋体" w:eastAsia="宋体" w:cs="宋体"/>
          <w:b/>
          <w:bCs/>
          <w:color w:val="auto"/>
          <w:sz w:val="32"/>
          <w:highlight w:val="none"/>
          <w:lang w:val="en-US" w:eastAsia="zh-CN"/>
        </w:rPr>
        <w:t>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招标文件的构成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.1招标文件由本文件目录所列内容组成。</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招标文件的澄清</w:t>
      </w:r>
      <w:r>
        <w:rPr>
          <w:rFonts w:hint="eastAsia" w:ascii="宋体" w:hAnsi="宋体" w:eastAsia="宋体" w:cs="宋体"/>
          <w:b/>
          <w:bCs/>
          <w:color w:val="auto"/>
          <w:sz w:val="21"/>
          <w:szCs w:val="21"/>
          <w:highlight w:val="none"/>
          <w:lang w:val="en-US" w:eastAsia="zh-CN"/>
        </w:rPr>
        <w:t>及修改</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7.1任何要求对招标文件进行澄清的潜在投标人，应在投标截止时间前以书面方式（包括信函、传真、电子文档等形式）通知采购人或采购代理机构。</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7.2采购人或采购代理机构可主动地或依据投标人要求澄清的问题而修改招标文件，并以更正公告的方式在原公告发布网站通知所有获取招标文件的投标人。</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7.3招标文件的修改内容将作为招标文件的一部分，对投标人有约束力。</w:t>
      </w:r>
    </w:p>
    <w:p>
      <w:pPr>
        <w:spacing w:before="240" w:after="240" w:line="360" w:lineRule="auto"/>
        <w:jc w:val="center"/>
        <w:rPr>
          <w:rFonts w:hint="eastAsia"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C、投标文件</w:t>
      </w:r>
      <w:r>
        <w:rPr>
          <w:rFonts w:hint="eastAsia" w:ascii="宋体" w:hAnsi="宋体" w:eastAsia="宋体" w:cs="宋体"/>
          <w:b/>
          <w:bCs/>
          <w:color w:val="auto"/>
          <w:sz w:val="32"/>
          <w:highlight w:val="none"/>
          <w:lang w:val="en-US" w:eastAsia="zh-CN"/>
        </w:rPr>
        <w:t>编制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8.1投标人应仔细阅读招标文件的所有内容，按招标文件要求格式认真细致地编制投标文件，以使其投标对招标文件作出实质性响应。未按要求提交全部资料或者投标文件没有对招标文件的要求做出实质性响应的，投标将被作为无效投标处理。</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8.2投标人投标文件所提供的全部材料必须真实可靠，所述内容真实有效，不得弄虚作假。</w:t>
      </w:r>
      <w:r>
        <w:rPr>
          <w:rFonts w:hint="eastAsia" w:ascii="宋体" w:hAnsi="宋体" w:eastAsia="宋体" w:cs="宋体"/>
          <w:b w:val="0"/>
          <w:bCs w:val="0"/>
          <w:color w:val="auto"/>
          <w:sz w:val="21"/>
          <w:szCs w:val="21"/>
          <w:highlight w:val="none"/>
        </w:rPr>
        <w:t>若投标文件填报的内容数据</w:t>
      </w:r>
      <w:r>
        <w:rPr>
          <w:rFonts w:hint="eastAsia" w:ascii="宋体" w:hAnsi="宋体" w:cs="宋体"/>
          <w:b w:val="0"/>
          <w:bCs w:val="0"/>
          <w:color w:val="auto"/>
          <w:sz w:val="21"/>
          <w:szCs w:val="21"/>
          <w:highlight w:val="none"/>
          <w:lang w:val="en-US" w:eastAsia="zh-CN"/>
        </w:rPr>
        <w:t>不实</w:t>
      </w:r>
      <w:r>
        <w:rPr>
          <w:rFonts w:hint="eastAsia" w:ascii="宋体" w:hAnsi="宋体" w:eastAsia="宋体" w:cs="宋体"/>
          <w:b w:val="0"/>
          <w:bCs w:val="0"/>
          <w:color w:val="auto"/>
          <w:sz w:val="21"/>
          <w:szCs w:val="21"/>
          <w:highlight w:val="none"/>
        </w:rPr>
        <w:t>或提供了虚假</w:t>
      </w:r>
      <w:r>
        <w:rPr>
          <w:rFonts w:hint="eastAsia" w:ascii="宋体" w:hAnsi="宋体" w:cs="宋体"/>
          <w:b w:val="0"/>
          <w:bCs w:val="0"/>
          <w:color w:val="auto"/>
          <w:sz w:val="21"/>
          <w:szCs w:val="21"/>
          <w:highlight w:val="none"/>
          <w:lang w:val="en-US" w:eastAsia="zh-CN"/>
        </w:rPr>
        <w:t>信息</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虚假材料的，</w:t>
      </w:r>
      <w:r>
        <w:rPr>
          <w:rFonts w:hint="eastAsia" w:ascii="宋体" w:hAnsi="宋体" w:eastAsia="宋体" w:cs="宋体"/>
          <w:b w:val="0"/>
          <w:bCs w:val="0"/>
          <w:color w:val="auto"/>
          <w:sz w:val="21"/>
          <w:szCs w:val="21"/>
          <w:highlight w:val="none"/>
        </w:rPr>
        <w:t>其投标文件为无效投标文件，并按相关规定处理，由此引起的一切后果及法律责任由投标人承担。</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语言及计量单位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9.1投标文件以及投标人与采购代理机构就有关投标的所有来往函电均应使用中文简体字。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9.2除在招标文件技术规格中另有规定外，计量单位使用中华人民共和国法定计量单位。</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投标文件组成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10.1投标文件由</w:t>
      </w:r>
      <w:r>
        <w:rPr>
          <w:rFonts w:hint="eastAsia" w:ascii="宋体" w:hAnsi="宋体" w:eastAsia="宋体" w:cs="宋体"/>
          <w:color w:val="auto"/>
          <w:sz w:val="21"/>
          <w:szCs w:val="21"/>
          <w:highlight w:val="none"/>
          <w:lang w:val="en-US" w:eastAsia="zh-CN"/>
        </w:rPr>
        <w:t>资格证明</w:t>
      </w:r>
      <w:r>
        <w:rPr>
          <w:rFonts w:hint="eastAsia" w:ascii="宋体" w:hAnsi="宋体" w:eastAsia="宋体" w:cs="宋体"/>
          <w:color w:val="auto"/>
          <w:sz w:val="21"/>
          <w:szCs w:val="21"/>
          <w:highlight w:val="none"/>
        </w:rPr>
        <w:t>文件、技术</w:t>
      </w: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报价文件三部分组成</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10.</w:t>
      </w:r>
      <w:r>
        <w:rPr>
          <w:rFonts w:hint="eastAsia" w:ascii="宋体" w:hAnsi="宋体" w:eastAsia="宋体" w:cs="宋体"/>
          <w:b w:val="0"/>
          <w:bCs w:val="0"/>
          <w:color w:val="auto"/>
          <w:sz w:val="21"/>
          <w:szCs w:val="21"/>
          <w:highlight w:val="none"/>
          <w:lang w:val="en-US" w:eastAsia="zh-CN"/>
        </w:rPr>
        <w:t>2资格证明</w:t>
      </w:r>
      <w:r>
        <w:rPr>
          <w:rFonts w:hint="eastAsia" w:ascii="宋体" w:hAnsi="宋体" w:eastAsia="宋体" w:cs="宋体"/>
          <w:b w:val="0"/>
          <w:bCs w:val="0"/>
          <w:color w:val="auto"/>
          <w:sz w:val="21"/>
          <w:szCs w:val="21"/>
          <w:highlight w:val="none"/>
        </w:rPr>
        <w:t>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10.2.1资格证明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用以证明投标人是否具备本项目的投标资格。</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10.2.2投标人应按招标文件要求的内容和格式提供资格证明</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，具体详见本招标文件第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10.2.3资格证明文件须逐页CA电子签章，</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资格审查不通过。</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10.2.4资格证明文件中</w:t>
      </w:r>
      <w:r>
        <w:rPr>
          <w:rFonts w:hint="eastAsia" w:ascii="宋体" w:hAnsi="宋体" w:eastAsia="宋体" w:cs="宋体"/>
          <w:color w:val="auto"/>
          <w:sz w:val="21"/>
          <w:szCs w:val="21"/>
          <w:highlight w:val="none"/>
          <w:lang w:eastAsia="zh-CN"/>
        </w:rPr>
        <w:t>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eastAsia="zh-CN"/>
        </w:rPr>
        <w:t>，否则</w:t>
      </w:r>
      <w:r>
        <w:rPr>
          <w:rFonts w:hint="eastAsia" w:ascii="宋体" w:hAnsi="宋体" w:eastAsia="宋体" w:cs="宋体"/>
          <w:color w:val="auto"/>
          <w:sz w:val="21"/>
          <w:szCs w:val="21"/>
          <w:highlight w:val="none"/>
          <w:lang w:val="en-US" w:eastAsia="zh-CN"/>
        </w:rPr>
        <w:t>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10.</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rPr>
        <w:t>技术</w:t>
      </w:r>
      <w:r>
        <w:rPr>
          <w:rFonts w:hint="eastAsia" w:ascii="宋体" w:hAnsi="宋体" w:eastAsia="宋体" w:cs="宋体"/>
          <w:b w:val="0"/>
          <w:bCs w:val="0"/>
          <w:color w:val="auto"/>
          <w:highlight w:val="none"/>
          <w:lang w:val="en-US" w:eastAsia="zh-CN"/>
        </w:rPr>
        <w:t>商务文件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10.3.1技术商务文件用于判断投标人提供的货物、服务是否满足招标需求，还用于包括不限于对投标人供货能力、实施能力、履约能力、项目经验等方面的评价。</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10.3.2投标人应按招标文件要求的内容和格式提供技术商务文件，</w:t>
      </w:r>
      <w:r>
        <w:rPr>
          <w:rFonts w:hint="eastAsia" w:ascii="宋体" w:hAnsi="宋体" w:cs="宋体"/>
          <w:color w:val="auto"/>
          <w:sz w:val="21"/>
          <w:szCs w:val="21"/>
          <w:highlight w:val="none"/>
          <w:lang w:val="en-US" w:eastAsia="zh-CN"/>
        </w:rPr>
        <w:t>具体详见本招标文件第六部分投标文件组成及格式。</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10.3.3技术商务文件中不得出现本项目的投标总价</w:t>
      </w:r>
      <w:r>
        <w:rPr>
          <w:rFonts w:hint="eastAsia" w:ascii="宋体" w:hAnsi="宋体" w:cs="宋体"/>
          <w:color w:val="auto"/>
          <w:szCs w:val="21"/>
          <w:highlight w:val="none"/>
        </w:rPr>
        <w:t>（固定价格采购除外）</w:t>
      </w:r>
      <w:r>
        <w:rPr>
          <w:rFonts w:hint="eastAsia" w:ascii="宋体" w:hAnsi="宋体" w:eastAsia="宋体" w:cs="宋体"/>
          <w:color w:val="auto"/>
          <w:sz w:val="21"/>
          <w:szCs w:val="21"/>
          <w:highlight w:val="none"/>
          <w:lang w:val="en-US" w:eastAsia="zh-CN"/>
        </w:rPr>
        <w:t>，否则投标无效。</w:t>
      </w:r>
    </w:p>
    <w:p>
      <w:pPr>
        <w:spacing w:line="360" w:lineRule="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highlight w:val="none"/>
        </w:rPr>
        <w:t>10.</w:t>
      </w:r>
      <w:r>
        <w:rPr>
          <w:rFonts w:hint="eastAsia" w:ascii="宋体" w:hAnsi="宋体" w:eastAsia="宋体" w:cs="宋体"/>
          <w:b w:val="0"/>
          <w:bCs w:val="0"/>
          <w:color w:val="auto"/>
          <w:highlight w:val="none"/>
          <w:lang w:val="en-US" w:eastAsia="zh-CN"/>
        </w:rPr>
        <w:t>4</w:t>
      </w:r>
      <w:r>
        <w:rPr>
          <w:rFonts w:hint="eastAsia" w:ascii="宋体" w:hAnsi="宋体" w:eastAsia="宋体" w:cs="宋体"/>
          <w:b w:val="0"/>
          <w:bCs w:val="0"/>
          <w:color w:val="auto"/>
          <w:highlight w:val="none"/>
        </w:rPr>
        <w:t>报价文件</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10.4.1报价文件用于评价投标人的投标报价是否响应招标要求，是否符合相关的政府采购政策等。</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10.4.2投标人应按招标文件要求的内容和格式提供</w:t>
      </w:r>
      <w:r>
        <w:rPr>
          <w:rFonts w:hint="eastAsia" w:ascii="宋体" w:hAnsi="宋体" w:eastAsia="宋体" w:cs="宋体"/>
          <w:color w:val="auto"/>
          <w:highlight w:val="none"/>
          <w:lang w:val="en-US" w:eastAsia="zh-CN"/>
        </w:rPr>
        <w:t>报价</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具体详见本招标文件第六部分投标文件组成及格式。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投标文件</w:t>
      </w:r>
      <w:r>
        <w:rPr>
          <w:rFonts w:hint="eastAsia" w:ascii="宋体" w:hAnsi="宋体" w:eastAsia="宋体" w:cs="宋体"/>
          <w:b/>
          <w:bCs/>
          <w:color w:val="auto"/>
          <w:sz w:val="21"/>
          <w:szCs w:val="21"/>
          <w:highlight w:val="none"/>
          <w:lang w:val="en-US" w:eastAsia="zh-CN"/>
        </w:rPr>
        <w:t>制作</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1投标文件分为电子投标文件和备份电子投标文件。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11.2投标人应</w:t>
      </w:r>
      <w:r>
        <w:rPr>
          <w:rFonts w:hint="eastAsia" w:ascii="宋体" w:hAnsi="宋体" w:eastAsia="宋体" w:cs="宋体"/>
          <w:color w:val="auto"/>
          <w:highlight w:val="none"/>
        </w:rPr>
        <w:t>按照招标文件和政府采购云平台的要求编制、加密</w:t>
      </w:r>
      <w:r>
        <w:rPr>
          <w:rFonts w:hint="eastAsia" w:ascii="宋体" w:hAnsi="宋体" w:eastAsia="宋体" w:cs="宋体"/>
          <w:strike w:val="0"/>
          <w:dstrike w:val="0"/>
          <w:color w:val="auto"/>
          <w:highlight w:val="none"/>
        </w:rPr>
        <w:t>并上传</w:t>
      </w:r>
      <w:r>
        <w:rPr>
          <w:rFonts w:hint="eastAsia" w:ascii="宋体" w:hAnsi="宋体" w:eastAsia="宋体" w:cs="宋体"/>
          <w:color w:val="auto"/>
          <w:highlight w:val="none"/>
        </w:rPr>
        <w:t>电子投标文件。</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.3投标文件</w:t>
      </w:r>
      <w:r>
        <w:rPr>
          <w:rFonts w:hint="eastAsia" w:ascii="宋体" w:hAnsi="宋体" w:eastAsia="宋体" w:cs="宋体"/>
          <w:color w:val="auto"/>
          <w:highlight w:val="none"/>
          <w:lang w:val="en-US" w:eastAsia="zh-CN"/>
        </w:rPr>
        <w:t>应根据招标要求</w:t>
      </w:r>
      <w:r>
        <w:rPr>
          <w:rFonts w:hint="eastAsia" w:ascii="宋体" w:hAnsi="宋体" w:eastAsia="宋体" w:cs="宋体"/>
          <w:color w:val="auto"/>
          <w:highlight w:val="none"/>
        </w:rPr>
        <w:t>做好关联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，未</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关联</w:t>
      </w:r>
      <w:r>
        <w:rPr>
          <w:rFonts w:hint="eastAsia" w:ascii="宋体" w:hAnsi="宋体" w:eastAsia="宋体" w:cs="宋体"/>
          <w:color w:val="auto"/>
          <w:highlight w:val="none"/>
          <w:lang w:val="en-US" w:eastAsia="zh-CN"/>
        </w:rPr>
        <w:t>定位</w:t>
      </w:r>
      <w:r>
        <w:rPr>
          <w:rFonts w:hint="eastAsia" w:ascii="宋体" w:hAnsi="宋体" w:eastAsia="宋体" w:cs="宋体"/>
          <w:color w:val="auto"/>
          <w:highlight w:val="none"/>
        </w:rPr>
        <w:t>而导致失分或无效投标处理的风险由投标人承担。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11.4投标人</w:t>
      </w:r>
      <w:r>
        <w:rPr>
          <w:rFonts w:hint="eastAsia" w:ascii="宋体" w:hAnsi="宋体" w:eastAsia="宋体" w:cs="宋体"/>
          <w:color w:val="auto"/>
          <w:highlight w:val="none"/>
        </w:rPr>
        <w:t>可自行</w:t>
      </w:r>
      <w:r>
        <w:rPr>
          <w:rFonts w:hint="eastAsia" w:ascii="宋体" w:hAnsi="宋体" w:eastAsia="宋体" w:cs="宋体"/>
          <w:color w:val="auto"/>
          <w:highlight w:val="none"/>
          <w:lang w:val="en-US" w:eastAsia="zh-CN"/>
        </w:rPr>
        <w:t>选择</w:t>
      </w:r>
      <w:r>
        <w:rPr>
          <w:rFonts w:hint="eastAsia" w:ascii="宋体" w:hAnsi="宋体" w:eastAsia="宋体" w:cs="宋体"/>
          <w:color w:val="auto"/>
          <w:highlight w:val="none"/>
        </w:rPr>
        <w:t>是否提交备份电子投标文件，以便在上传的电子投标文件解密失败后启用备份投标文件。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仅提交备份电子投标文件的，投标响应无效。</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投标文件签署</w:t>
      </w:r>
      <w:r>
        <w:rPr>
          <w:rFonts w:hint="eastAsia" w:ascii="宋体" w:hAnsi="宋体" w:eastAsia="宋体" w:cs="宋体"/>
          <w:b/>
          <w:bCs/>
          <w:color w:val="auto"/>
          <w:sz w:val="21"/>
          <w:szCs w:val="21"/>
          <w:highlight w:val="none"/>
          <w:lang w:val="en-US" w:eastAsia="zh-CN"/>
        </w:rPr>
        <w:t>及密封</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.1组成投标文件的各项资料均应遵守本条</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.2投标人名称应填写全称，不能随意简称，要求加盖公章的应加盖公章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CA电子签章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.3招标文件中规定的全权代表签名应由全权代表亲自签署，法定代表人可以签名或盖章。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12.4投标人选择提供</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val="en-US" w:eastAsia="zh-CN"/>
        </w:rPr>
        <w:t>的，备份文件应以</w:t>
      </w:r>
      <w:r>
        <w:rPr>
          <w:rFonts w:hint="eastAsia" w:ascii="宋体" w:hAnsi="宋体" w:eastAsia="宋体" w:cs="宋体"/>
          <w:color w:val="auto"/>
          <w:highlight w:val="none"/>
        </w:rPr>
        <w:t>U盘为载体</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装袋密封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密封袋上需</w:t>
      </w:r>
      <w:r>
        <w:rPr>
          <w:rFonts w:hint="eastAsia" w:ascii="宋体" w:hAnsi="宋体" w:eastAsia="宋体" w:cs="宋体"/>
          <w:color w:val="auto"/>
          <w:highlight w:val="none"/>
          <w:lang w:val="en-US" w:eastAsia="zh-CN"/>
        </w:rPr>
        <w:t>注明</w:t>
      </w:r>
      <w:r>
        <w:rPr>
          <w:rFonts w:hint="eastAsia" w:ascii="宋体" w:hAnsi="宋体" w:eastAsia="宋体" w:cs="宋体"/>
          <w:color w:val="auto"/>
          <w:highlight w:val="none"/>
        </w:rPr>
        <w:t>项目名称、项目编号、投标人名称并加盖公章</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投标报价</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.1投标报价是履行合同的最终价格，包含购买货物及服务需交纳的所有税费及其他一切相关费用</w:t>
      </w:r>
      <w:r>
        <w:rPr>
          <w:rFonts w:hint="eastAsia" w:ascii="宋体" w:hAnsi="宋体" w:eastAsia="宋体" w:cs="宋体"/>
          <w:color w:val="auto"/>
          <w:highlight w:val="none"/>
        </w:rPr>
        <w:t>，具体详见本招标文件第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部分项目内容及要求。</w:t>
      </w:r>
    </w:p>
    <w:p>
      <w:pPr>
        <w:spacing w:line="336"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.2投标人少报或漏报的工作量，采购人将视为已包含在投标总价中，并不予调整。</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.3所有投标均以人民币报价。投标人如需用外汇购入的设备，须折合人民币计入总报价中，总报价不受汇率变动影响。</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.4采购人不接受任何有选择的报价。</w:t>
      </w:r>
    </w:p>
    <w:p>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r>
        <w:rPr>
          <w:rFonts w:hint="eastAsia" w:ascii="宋体" w:hAnsi="宋体" w:eastAsia="宋体" w:cs="宋体"/>
          <w:b w:val="0"/>
          <w:bCs/>
          <w:color w:val="auto"/>
          <w:highlight w:val="none"/>
          <w:lang w:val="en-US" w:eastAsia="zh-CN"/>
        </w:rPr>
        <w:t>3</w:t>
      </w:r>
      <w:r>
        <w:rPr>
          <w:rFonts w:hint="eastAsia" w:ascii="宋体" w:hAnsi="宋体" w:eastAsia="宋体" w:cs="宋体"/>
          <w:b w:val="0"/>
          <w:bCs/>
          <w:color w:val="auto"/>
          <w:highlight w:val="none"/>
        </w:rPr>
        <w:t>.5超出采购人最高限价的投标为无效投标。</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投标有效期</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.1本项目投标有效期见本招标文件前附表。投标文件应在投标有效期内保持有效，有效期短于这个规定期限的投标，将视为无效。</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.2特殊情况下，在原投标有效期期满之前，采购代理机构可征得投标人同意延长投标有效期，这种要求和答复都应以书面形式进行。投标人可以拒绝接受延期要求。同意延长有效期的投标人不能修改其投标文件。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知识产权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.1供应商应保证在提供服务过程中或采购人在使用货物或货物的任何一部分时，不会侵犯任何第三方的知识产权，免受第三方提出侵犯其专利权、商标权或其它知识产权的起诉。</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.2投标报价应包括所有应支付的对专利权和版权、设计或其他知识产权而需要向其他方支付的版税等费用。</w:t>
      </w:r>
    </w:p>
    <w:p>
      <w:pPr>
        <w:spacing w:before="240" w:after="240" w:line="360" w:lineRule="auto"/>
        <w:jc w:val="center"/>
        <w:rPr>
          <w:rFonts w:hint="eastAsia" w:ascii="宋体" w:hAnsi="宋体" w:eastAsia="宋体" w:cs="宋体"/>
          <w:b/>
          <w:bCs/>
          <w:color w:val="auto"/>
          <w:sz w:val="32"/>
          <w:highlight w:val="none"/>
          <w:lang w:eastAsia="zh-CN"/>
        </w:rPr>
      </w:pPr>
      <w:r>
        <w:rPr>
          <w:rFonts w:hint="eastAsia" w:ascii="宋体" w:hAnsi="宋体" w:eastAsia="宋体" w:cs="宋体"/>
          <w:b/>
          <w:bCs/>
          <w:color w:val="auto"/>
          <w:sz w:val="32"/>
          <w:highlight w:val="none"/>
        </w:rPr>
        <w:t>D、投标文件</w:t>
      </w:r>
      <w:r>
        <w:rPr>
          <w:rFonts w:hint="eastAsia" w:ascii="宋体" w:hAnsi="宋体" w:eastAsia="宋体" w:cs="宋体"/>
          <w:b/>
          <w:bCs/>
          <w:color w:val="auto"/>
          <w:sz w:val="32"/>
          <w:highlight w:val="none"/>
          <w:lang w:val="en-US" w:eastAsia="zh-CN"/>
        </w:rPr>
        <w:t>提交</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投标截止时间和投标地点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投标截止时间和投标地点见</w:t>
      </w: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采购公告和前附表。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16.2</w:t>
      </w:r>
      <w:r>
        <w:rPr>
          <w:rFonts w:hint="eastAsia" w:ascii="宋体" w:hAnsi="宋体" w:eastAsia="宋体" w:cs="宋体"/>
          <w:color w:val="auto"/>
          <w:sz w:val="21"/>
          <w:szCs w:val="21"/>
          <w:highlight w:val="none"/>
        </w:rPr>
        <w:t>采购代理机构推迟投标截止时间或更改投标地点，将以</w:t>
      </w:r>
      <w:r>
        <w:rPr>
          <w:rFonts w:hint="eastAsia" w:ascii="宋体" w:hAnsi="宋体" w:eastAsia="宋体" w:cs="宋体"/>
          <w:color w:val="auto"/>
          <w:sz w:val="21"/>
          <w:szCs w:val="21"/>
          <w:highlight w:val="none"/>
          <w:lang w:val="en-US" w:eastAsia="zh-CN"/>
        </w:rPr>
        <w:t>更正</w:t>
      </w:r>
      <w:r>
        <w:rPr>
          <w:rFonts w:hint="eastAsia" w:ascii="宋体" w:hAnsi="宋体" w:eastAsia="宋体" w:cs="宋体"/>
          <w:color w:val="auto"/>
          <w:sz w:val="21"/>
          <w:szCs w:val="21"/>
          <w:highlight w:val="none"/>
        </w:rPr>
        <w:t>公告的方式通知所有投标人。在这种情况下，采购人和投标人的权利和义务将受到新的截止时间和新的投标地点的约束。</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投标文件的</w:t>
      </w:r>
      <w:r>
        <w:rPr>
          <w:rFonts w:hint="eastAsia" w:ascii="宋体" w:hAnsi="宋体" w:eastAsia="宋体" w:cs="宋体"/>
          <w:b/>
          <w:bCs/>
          <w:color w:val="auto"/>
          <w:sz w:val="21"/>
          <w:szCs w:val="21"/>
          <w:highlight w:val="none"/>
          <w:lang w:val="en-US" w:eastAsia="zh-CN"/>
        </w:rPr>
        <w:t>提交、</w:t>
      </w:r>
      <w:r>
        <w:rPr>
          <w:rFonts w:hint="eastAsia" w:ascii="宋体" w:hAnsi="宋体" w:eastAsia="宋体" w:cs="宋体"/>
          <w:b/>
          <w:bCs/>
          <w:color w:val="auto"/>
          <w:sz w:val="21"/>
          <w:szCs w:val="21"/>
          <w:highlight w:val="none"/>
        </w:rPr>
        <w:t>补充、修改和撤回</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必须在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将加密的电子</w:t>
      </w: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上传至政采云平台，逾期上传的投标无效。</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17.2选择提交备份电子投标文件的投标人应</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提交（上传）</w:t>
      </w:r>
      <w:r>
        <w:rPr>
          <w:rFonts w:hint="eastAsia" w:ascii="宋体" w:hAnsi="宋体" w:eastAsia="宋体" w:cs="宋体"/>
          <w:color w:val="auto"/>
          <w:sz w:val="21"/>
          <w:szCs w:val="21"/>
          <w:highlight w:val="none"/>
        </w:rPr>
        <w:t>投标文件截止时间前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highlight w:val="none"/>
        </w:rPr>
        <w:t>密封</w:t>
      </w:r>
      <w:r>
        <w:rPr>
          <w:rFonts w:hint="eastAsia" w:ascii="宋体" w:hAnsi="宋体" w:eastAsia="宋体" w:cs="宋体"/>
          <w:color w:val="auto"/>
          <w:highlight w:val="none"/>
          <w:lang w:val="en-US" w:eastAsia="zh-CN"/>
        </w:rPr>
        <w:t>的</w:t>
      </w: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lang w:val="en-US" w:eastAsia="zh-CN"/>
        </w:rPr>
        <w:t>份电子投标文件送达至开标现场，</w:t>
      </w:r>
      <w:r>
        <w:rPr>
          <w:rFonts w:hint="eastAsia" w:ascii="宋体" w:hAnsi="宋体" w:eastAsia="宋体" w:cs="宋体"/>
          <w:color w:val="auto"/>
          <w:highlight w:val="none"/>
        </w:rPr>
        <w:t>采购代理机构按要求进行签收登记。</w:t>
      </w:r>
      <w:r>
        <w:rPr>
          <w:rFonts w:hint="eastAsia" w:ascii="宋体" w:hAnsi="宋体" w:eastAsia="宋体" w:cs="宋体"/>
          <w:color w:val="auto"/>
          <w:sz w:val="21"/>
          <w:szCs w:val="21"/>
          <w:highlight w:val="none"/>
          <w:lang w:val="en-US" w:eastAsia="zh-CN"/>
        </w:rPr>
        <w:t>逾期送达或</w:t>
      </w:r>
      <w:r>
        <w:rPr>
          <w:rFonts w:hint="eastAsia" w:ascii="宋体" w:hAnsi="宋体" w:eastAsia="宋体" w:cs="宋体"/>
          <w:b w:val="0"/>
          <w:bCs w:val="0"/>
          <w:color w:val="auto"/>
          <w:highlight w:val="none"/>
          <w:lang w:eastAsia="zh-CN"/>
        </w:rPr>
        <w:t>未按要求密封的</w:t>
      </w:r>
      <w:r>
        <w:rPr>
          <w:rFonts w:hint="eastAsia" w:ascii="宋体" w:hAnsi="宋体" w:eastAsia="宋体" w:cs="宋体"/>
          <w:color w:val="auto"/>
          <w:sz w:val="21"/>
          <w:szCs w:val="21"/>
          <w:highlight w:val="none"/>
          <w:lang w:val="en-US" w:eastAsia="zh-CN"/>
        </w:rPr>
        <w:t>备份电子投标文件</w:t>
      </w:r>
      <w:r>
        <w:rPr>
          <w:rFonts w:hint="eastAsia" w:ascii="宋体" w:hAnsi="宋体" w:eastAsia="宋体" w:cs="宋体"/>
          <w:color w:val="auto"/>
          <w:sz w:val="21"/>
          <w:szCs w:val="21"/>
          <w:highlight w:val="none"/>
        </w:rPr>
        <w:t>采购代理机构拒绝接收。</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17.3</w:t>
      </w:r>
      <w:r>
        <w:rPr>
          <w:rFonts w:hint="eastAsia" w:ascii="宋体" w:hAnsi="宋体" w:eastAsia="宋体" w:cs="宋体"/>
          <w:color w:val="auto"/>
          <w:sz w:val="21"/>
          <w:szCs w:val="21"/>
          <w:highlight w:val="none"/>
        </w:rPr>
        <w:t>投标截止时间前，投标人可以对</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文件进行补充和修改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补充或者修改投标文件的，应先撤回原</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再将</w:t>
      </w:r>
      <w:r>
        <w:rPr>
          <w:rFonts w:hint="eastAsia" w:ascii="宋体" w:hAnsi="宋体" w:eastAsia="宋体" w:cs="宋体"/>
          <w:color w:val="auto"/>
          <w:sz w:val="21"/>
          <w:szCs w:val="21"/>
          <w:highlight w:val="none"/>
        </w:rPr>
        <w:t>补充、修改后</w:t>
      </w:r>
      <w:r>
        <w:rPr>
          <w:rFonts w:hint="eastAsia" w:ascii="宋体" w:hAnsi="宋体" w:eastAsia="宋体" w:cs="宋体"/>
          <w:color w:val="auto"/>
          <w:sz w:val="21"/>
          <w:szCs w:val="21"/>
          <w:highlight w:val="none"/>
          <w:lang w:val="en-US" w:eastAsia="zh-CN"/>
        </w:rPr>
        <w:t>的投标文件加密</w:t>
      </w: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val="en-US" w:eastAsia="zh-CN"/>
        </w:rPr>
        <w:t>上传提交</w:t>
      </w:r>
      <w:r>
        <w:rPr>
          <w:rFonts w:hint="eastAsia" w:ascii="宋体" w:hAnsi="宋体" w:eastAsia="宋体" w:cs="宋体"/>
          <w:color w:val="auto"/>
          <w:sz w:val="21"/>
          <w:szCs w:val="21"/>
          <w:highlight w:val="none"/>
        </w:rPr>
        <w:t>。投标截止时间前未完成上传的，视为投标文件撤回。不接受其他途径的补充和修改。</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17.4</w:t>
      </w:r>
      <w:r>
        <w:rPr>
          <w:rFonts w:hint="eastAsia" w:ascii="宋体" w:hAnsi="宋体" w:eastAsia="宋体" w:cs="宋体"/>
          <w:color w:val="auto"/>
          <w:sz w:val="21"/>
          <w:szCs w:val="21"/>
          <w:highlight w:val="none"/>
        </w:rPr>
        <w:t>投标截止时间前，投标人可以撤回</w:t>
      </w:r>
      <w:r>
        <w:rPr>
          <w:rFonts w:hint="eastAsia" w:ascii="宋体" w:hAnsi="宋体" w:eastAsia="宋体" w:cs="宋体"/>
          <w:color w:val="auto"/>
          <w:sz w:val="21"/>
          <w:szCs w:val="21"/>
          <w:highlight w:val="none"/>
          <w:lang w:val="en-US" w:eastAsia="zh-CN"/>
        </w:rPr>
        <w:t>已上传的</w:t>
      </w:r>
      <w:r>
        <w:rPr>
          <w:rFonts w:hint="eastAsia" w:ascii="宋体" w:hAnsi="宋体" w:eastAsia="宋体" w:cs="宋体"/>
          <w:color w:val="auto"/>
          <w:sz w:val="21"/>
          <w:szCs w:val="21"/>
          <w:highlight w:val="none"/>
        </w:rPr>
        <w:t>电子投标文件。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开标后，投标人不得撤回投标，否则报采购监督部门处理。</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E、开标和评标</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开标</w:t>
      </w:r>
    </w:p>
    <w:p>
      <w:pPr>
        <w:spacing w:line="360" w:lineRule="auto"/>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highlight w:val="none"/>
        </w:rPr>
        <w:t>采购代理机构按招标文件规定的时间、地点进行开标。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18.2</w:t>
      </w:r>
      <w:r>
        <w:rPr>
          <w:rFonts w:hint="eastAsia" w:ascii="宋体" w:hAnsi="宋体" w:eastAsia="宋体" w:cs="宋体"/>
          <w:b w:val="0"/>
          <w:bCs w:val="0"/>
          <w:color w:val="auto"/>
          <w:sz w:val="21"/>
          <w:szCs w:val="21"/>
          <w:highlight w:val="none"/>
        </w:rPr>
        <w:t>投标供应商法定代表人或其授权代表</w:t>
      </w:r>
      <w:r>
        <w:rPr>
          <w:rFonts w:hint="eastAsia" w:ascii="宋体" w:hAnsi="宋体" w:eastAsia="宋体" w:cs="宋体"/>
          <w:b w:val="0"/>
          <w:bCs w:val="0"/>
          <w:color w:val="auto"/>
          <w:sz w:val="21"/>
          <w:szCs w:val="21"/>
          <w:highlight w:val="none"/>
          <w:lang w:val="en-US" w:eastAsia="zh-CN"/>
        </w:rPr>
        <w:t>应</w:t>
      </w:r>
      <w:r>
        <w:rPr>
          <w:rFonts w:hint="eastAsia" w:ascii="宋体" w:hAnsi="宋体" w:eastAsia="宋体" w:cs="宋体"/>
          <w:b w:val="0"/>
          <w:bCs w:val="0"/>
          <w:color w:val="auto"/>
          <w:sz w:val="21"/>
          <w:szCs w:val="21"/>
          <w:highlight w:val="none"/>
        </w:rPr>
        <w:t>准时通过政采云平台在线参加开标。</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18.3投标</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sz w:val="21"/>
          <w:szCs w:val="21"/>
          <w:highlight w:val="none"/>
          <w:lang w:val="en-US" w:eastAsia="zh-CN"/>
        </w:rPr>
        <w:t>可以根据项目特点确定是否派代表</w:t>
      </w:r>
      <w:r>
        <w:rPr>
          <w:rFonts w:hint="eastAsia" w:ascii="宋体" w:hAnsi="宋体" w:eastAsia="宋体" w:cs="宋体"/>
          <w:b w:val="0"/>
          <w:bCs w:val="0"/>
          <w:color w:val="auto"/>
          <w:sz w:val="21"/>
          <w:szCs w:val="21"/>
          <w:highlight w:val="none"/>
        </w:rPr>
        <w:t>出席现场开标会议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参加现场会议的供应商代表应遵守会场纪律。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18.4开标会议由采购代理机构主持，并按以下程序进行：</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（1）主持人宣布开标会议开始及会场纪律，介绍到会人员。</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（2）采购代理机构发出解密指令，投标供应商对加密电子投标文件进行在线解密。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en-US" w:eastAsia="zh-CN"/>
        </w:rPr>
        <w:t>投标文件</w:t>
      </w:r>
      <w:r>
        <w:rPr>
          <w:rFonts w:hint="eastAsia" w:ascii="宋体" w:hAnsi="宋体" w:eastAsia="宋体" w:cs="宋体"/>
          <w:color w:val="auto"/>
          <w:highlight w:val="none"/>
          <w:lang w:val="en-US" w:eastAsia="zh-CN"/>
        </w:rPr>
        <w:t>解密结束，开启投标文件，对“资格证明文件”进行审查。</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（4）资格审查通过后，进行“技术商务文件”评审。</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（5）公布技术商务评审情况，开启“报价文件”</w:t>
      </w:r>
      <w:r>
        <w:rPr>
          <w:rFonts w:hint="eastAsia" w:ascii="宋体" w:hAnsi="宋体" w:eastAsia="宋体" w:cs="宋体"/>
          <w:strike w:val="0"/>
          <w:dstrike w:val="0"/>
          <w:color w:val="auto"/>
          <w:highlight w:val="none"/>
          <w:lang w:val="en-US" w:eastAsia="zh-CN"/>
        </w:rPr>
        <w:t>，投标人对投标报价进行在线确认</w:t>
      </w:r>
      <w:r>
        <w:rPr>
          <w:rFonts w:hint="eastAsia" w:ascii="宋体" w:hAnsi="宋体" w:eastAsia="宋体" w:cs="宋体"/>
          <w:strike w:val="0"/>
          <w:color w:val="auto"/>
          <w:highlight w:val="none"/>
          <w:lang w:val="en-US" w:eastAsia="zh-CN"/>
        </w:rPr>
        <w:t>。投标人对报价信息不予确认的不影响后续评标过程。</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（6）对“报价文件”进行评审，计算价格分。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（7）汇总技术商务分、价格分，根据总得分排序推荐确定中标候选人，公布评审结果。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注：如政采云平台对电子开标及评审程序有调整的，按调整后的程序操作。</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sz w:val="21"/>
          <w:szCs w:val="21"/>
          <w:highlight w:val="none"/>
          <w:lang w:val="en-US" w:eastAsia="zh-CN"/>
        </w:rPr>
        <w:t>18.5</w:t>
      </w:r>
      <w:r>
        <w:rPr>
          <w:rFonts w:hint="eastAsia" w:ascii="宋体" w:hAnsi="宋体" w:eastAsia="宋体" w:cs="宋体"/>
          <w:b w:val="0"/>
          <w:bCs w:val="0"/>
          <w:color w:val="auto"/>
          <w:sz w:val="21"/>
          <w:szCs w:val="21"/>
          <w:highlight w:val="none"/>
        </w:rPr>
        <w:t>开评标期间，投标供应商应</w:t>
      </w:r>
      <w:r>
        <w:rPr>
          <w:rFonts w:hint="eastAsia" w:ascii="宋体" w:hAnsi="宋体" w:eastAsia="宋体" w:cs="宋体"/>
          <w:b w:val="0"/>
          <w:bCs w:val="0"/>
          <w:color w:val="auto"/>
          <w:sz w:val="21"/>
          <w:szCs w:val="21"/>
          <w:highlight w:val="none"/>
          <w:lang w:val="en-US" w:eastAsia="zh-CN"/>
        </w:rPr>
        <w:t>关注</w:t>
      </w:r>
      <w:r>
        <w:rPr>
          <w:rFonts w:hint="eastAsia" w:ascii="宋体" w:hAnsi="宋体" w:eastAsia="宋体" w:cs="宋体"/>
          <w:b w:val="0"/>
          <w:bCs w:val="0"/>
          <w:color w:val="auto"/>
          <w:sz w:val="21"/>
          <w:szCs w:val="21"/>
          <w:highlight w:val="none"/>
        </w:rPr>
        <w:t>政采云平台上的指令信息和手机短信</w:t>
      </w:r>
      <w:r>
        <w:rPr>
          <w:rFonts w:hint="eastAsia" w:ascii="宋体" w:hAnsi="宋体" w:eastAsia="宋体" w:cs="宋体"/>
          <w:b w:val="0"/>
          <w:bCs w:val="0"/>
          <w:color w:val="auto"/>
          <w:sz w:val="21"/>
          <w:szCs w:val="21"/>
          <w:highlight w:val="none"/>
          <w:lang w:val="en-US" w:eastAsia="zh-CN"/>
        </w:rPr>
        <w:t>并及时处理，否则由此</w:t>
      </w:r>
      <w:r>
        <w:rPr>
          <w:rFonts w:hint="eastAsia" w:ascii="宋体" w:hAnsi="宋体" w:eastAsia="宋体" w:cs="宋体"/>
          <w:b w:val="0"/>
          <w:bCs w:val="0"/>
          <w:color w:val="auto"/>
          <w:sz w:val="21"/>
          <w:szCs w:val="21"/>
          <w:highlight w:val="none"/>
          <w:lang w:eastAsia="zh-CN"/>
        </w:rPr>
        <w:t>产生的风险由投标人自行承担。</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19、投标文件解密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19.1采购代理机构宣布开标后，将通过政采云平台发出解密指令，投标人登录政采</w:t>
      </w:r>
      <w:r>
        <w:rPr>
          <w:rFonts w:hint="eastAsia" w:ascii="宋体" w:hAnsi="宋体" w:eastAsia="宋体" w:cs="宋体"/>
          <w:color w:val="auto"/>
          <w:highlight w:val="none"/>
          <w:lang w:val="en-US" w:eastAsia="zh-CN"/>
        </w:rPr>
        <w:t>云平台并</w:t>
      </w:r>
      <w:r>
        <w:rPr>
          <w:rFonts w:hint="eastAsia" w:ascii="宋体" w:hAnsi="宋体" w:eastAsia="宋体" w:cs="宋体"/>
          <w:color w:val="auto"/>
          <w:highlight w:val="none"/>
          <w:lang w:val="en-US" w:eastAsia="zh-CN"/>
        </w:rPr>
        <w:t>使用</w:t>
      </w:r>
      <w:r>
        <w:rPr>
          <w:rFonts w:hint="eastAsia" w:ascii="宋体" w:hAnsi="宋体" w:eastAsia="宋体" w:cs="宋体"/>
          <w:color w:val="auto"/>
          <w:highlight w:val="none"/>
        </w:rPr>
        <w:t>CA</w:t>
      </w:r>
      <w:r>
        <w:rPr>
          <w:rFonts w:hint="eastAsia" w:ascii="宋体" w:hAnsi="宋体" w:eastAsia="宋体" w:cs="宋体"/>
          <w:color w:val="auto"/>
          <w:highlight w:val="none"/>
          <w:lang w:val="en-US" w:eastAsia="zh-CN"/>
        </w:rPr>
        <w:t>数字</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对加密的电子投标文件进行在线解密。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19.2解密电子投标文件的时间为解密指令发出后30分钟内。解密成功的，备份电子投标文件自动失效。若在规定时间内无法解密或解密失败，</w:t>
      </w:r>
      <w:r>
        <w:rPr>
          <w:rFonts w:hint="eastAsia" w:ascii="宋体" w:hAnsi="宋体" w:eastAsia="宋体" w:cs="宋体"/>
          <w:color w:val="auto"/>
          <w:highlight w:val="none"/>
          <w:lang w:val="en-US" w:eastAsia="zh-CN"/>
        </w:rPr>
        <w:t>此时启用</w:t>
      </w:r>
      <w:r>
        <w:rPr>
          <w:rFonts w:hint="eastAsia" w:ascii="宋体" w:hAnsi="宋体" w:eastAsia="宋体" w:cs="宋体"/>
          <w:color w:val="auto"/>
          <w:highlight w:val="none"/>
        </w:rPr>
        <w:t>备份电子投标文件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，若备份投标文件仍无法使用，则视为</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投标。</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19.3</w:t>
      </w:r>
      <w:r>
        <w:rPr>
          <w:rFonts w:hint="eastAsia" w:ascii="宋体" w:hAnsi="宋体" w:eastAsia="宋体" w:cs="宋体"/>
          <w:color w:val="auto"/>
          <w:highlight w:val="none"/>
        </w:rPr>
        <w:t>电子投标文件在解密前处于保密状态。解密成功后，“资格</w:t>
      </w:r>
      <w:r>
        <w:rPr>
          <w:rFonts w:hint="eastAsia" w:ascii="宋体" w:hAnsi="宋体" w:eastAsia="宋体" w:cs="宋体"/>
          <w:color w:val="auto"/>
          <w:highlight w:val="none"/>
          <w:lang w:val="en-US" w:eastAsia="zh-CN"/>
        </w:rPr>
        <w:t>证明</w:t>
      </w:r>
      <w:r>
        <w:rPr>
          <w:rFonts w:hint="eastAsia" w:ascii="宋体" w:hAnsi="宋体" w:eastAsia="宋体" w:cs="宋体"/>
          <w:color w:val="auto"/>
          <w:highlight w:val="none"/>
        </w:rPr>
        <w:t>文件”、“技术商务文件”、“报价文件”各自处于数据隔离状态，</w:t>
      </w:r>
      <w:r>
        <w:rPr>
          <w:rFonts w:hint="eastAsia" w:ascii="宋体" w:hAnsi="宋体" w:cs="宋体"/>
          <w:color w:val="auto"/>
          <w:highlight w:val="none"/>
          <w:lang w:val="en-US" w:eastAsia="zh-CN"/>
        </w:rPr>
        <w:t>文件的内容</w:t>
      </w:r>
      <w:r>
        <w:rPr>
          <w:rFonts w:hint="eastAsia" w:ascii="宋体" w:hAnsi="宋体" w:eastAsia="宋体" w:cs="宋体"/>
          <w:color w:val="auto"/>
          <w:highlight w:val="none"/>
        </w:rPr>
        <w:t>只有</w:t>
      </w:r>
      <w:r>
        <w:rPr>
          <w:rFonts w:hint="eastAsia" w:ascii="宋体" w:hAnsi="宋体" w:cs="宋体"/>
          <w:color w:val="auto"/>
          <w:highlight w:val="none"/>
          <w:lang w:val="en-US" w:eastAsia="zh-CN"/>
        </w:rPr>
        <w:t>进行到相应的评审</w:t>
      </w:r>
      <w:r>
        <w:rPr>
          <w:rFonts w:hint="eastAsia" w:ascii="宋体" w:hAnsi="宋体" w:eastAsia="宋体" w:cs="宋体"/>
          <w:color w:val="auto"/>
          <w:highlight w:val="none"/>
        </w:rPr>
        <w:t>环节时可见。</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20、评标委员会</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20.1采购人和采购代理机构根据采购项目的内容特点按照规定组建评标委员会。</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21、对投标文件的评审</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21.1</w:t>
      </w:r>
      <w:r>
        <w:rPr>
          <w:rFonts w:hint="eastAsia" w:ascii="宋体" w:hAnsi="宋体" w:eastAsia="宋体" w:cs="宋体"/>
          <w:color w:val="auto"/>
          <w:highlight w:val="none"/>
        </w:rPr>
        <w:t>开标后，采购人或者采购代理机构对投标人的资格进行审查。审查内容为投标人提供的资格证明</w:t>
      </w:r>
      <w:r>
        <w:rPr>
          <w:rFonts w:hint="eastAsia" w:ascii="宋体" w:hAnsi="宋体" w:eastAsia="宋体" w:cs="宋体"/>
          <w:color w:val="auto"/>
          <w:highlight w:val="none"/>
          <w:lang w:val="en-US" w:eastAsia="zh-CN"/>
        </w:rPr>
        <w:t>文件</w:t>
      </w:r>
      <w:r>
        <w:rPr>
          <w:rFonts w:hint="eastAsia" w:ascii="宋体" w:hAnsi="宋体" w:eastAsia="宋体" w:cs="宋体"/>
          <w:color w:val="auto"/>
          <w:highlight w:val="none"/>
        </w:rPr>
        <w:t>是否齐全并满足招标文件的要求。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21.2</w:t>
      </w:r>
      <w:r>
        <w:rPr>
          <w:rFonts w:hint="eastAsia" w:ascii="宋体" w:hAnsi="宋体" w:eastAsia="宋体" w:cs="宋体"/>
          <w:color w:val="auto"/>
          <w:highlight w:val="none"/>
        </w:rPr>
        <w:t>评标委员会对符合资格的投标人的投标文件进行符合性审查，以确定其是否满足招标文件的实质性要求。</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评标委员会对具备实质性响应的投标文件进行评估和比较。</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评标委员会对投标文件的判定，只依据投标文件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包括样品、演示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的本身内容，不依据开标后的任何外来证明材料。</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评标办法及评分标准见本招标文件第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部分评标办法及评分标准。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22、投标文件的澄清</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22.1</w:t>
      </w:r>
      <w:r>
        <w:rPr>
          <w:rFonts w:hint="eastAsia" w:ascii="宋体" w:hAnsi="宋体" w:eastAsia="宋体" w:cs="宋体"/>
          <w:color w:val="auto"/>
          <w:highlight w:val="none"/>
        </w:rPr>
        <w:t>对于投标文件中含义不明确、同类问题表述不一致或者有明显文字和计算错误的内容，评</w:t>
      </w:r>
      <w:r>
        <w:rPr>
          <w:rFonts w:hint="eastAsia" w:ascii="宋体" w:hAnsi="宋体" w:eastAsia="宋体" w:cs="宋体"/>
          <w:color w:val="auto"/>
          <w:highlight w:val="none"/>
          <w:lang w:val="en-US" w:eastAsia="zh-CN"/>
        </w:rPr>
        <w:t>标</w:t>
      </w:r>
      <w:r>
        <w:rPr>
          <w:rFonts w:hint="eastAsia" w:ascii="宋体" w:hAnsi="宋体" w:eastAsia="宋体" w:cs="宋体"/>
          <w:color w:val="auto"/>
          <w:highlight w:val="none"/>
        </w:rPr>
        <w:t>委员会</w:t>
      </w:r>
      <w:r>
        <w:rPr>
          <w:rFonts w:hint="eastAsia" w:ascii="宋体" w:hAnsi="宋体" w:eastAsia="宋体" w:cs="宋体"/>
          <w:color w:val="auto"/>
          <w:highlight w:val="none"/>
          <w:lang w:val="en-US" w:eastAsia="zh-CN"/>
        </w:rPr>
        <w:t>可以</w:t>
      </w:r>
      <w:r>
        <w:rPr>
          <w:rFonts w:hint="eastAsia" w:ascii="宋体" w:hAnsi="宋体" w:eastAsia="宋体" w:cs="宋体"/>
          <w:color w:val="auto"/>
          <w:highlight w:val="none"/>
        </w:rPr>
        <w:t>要求投标人作出必要的澄清、说明或者补正。</w:t>
      </w:r>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lang w:val="en-US" w:eastAsia="zh-CN"/>
        </w:rPr>
        <w:t>22.2</w:t>
      </w:r>
      <w:r>
        <w:rPr>
          <w:rFonts w:hint="eastAsia" w:ascii="宋体" w:hAnsi="宋体" w:eastAsia="宋体" w:cs="宋体"/>
          <w:color w:val="auto"/>
          <w:highlight w:val="none"/>
        </w:rPr>
        <w:t>评审期间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指派技术（商务）人员及法定代表人（或全权代表）</w:t>
      </w:r>
      <w:r>
        <w:rPr>
          <w:rFonts w:hint="eastAsia" w:ascii="宋体" w:hAnsi="宋体" w:eastAsia="宋体" w:cs="宋体"/>
          <w:color w:val="auto"/>
          <w:highlight w:val="none"/>
          <w:lang w:val="en-US" w:eastAsia="zh-CN"/>
        </w:rPr>
        <w:t>在规定的时间内</w:t>
      </w:r>
      <w:r>
        <w:rPr>
          <w:rFonts w:hint="eastAsia" w:ascii="宋体" w:hAnsi="宋体" w:eastAsia="宋体" w:cs="宋体"/>
          <w:color w:val="auto"/>
          <w:highlight w:val="none"/>
        </w:rPr>
        <w:t>进行澄清</w:t>
      </w:r>
      <w:r>
        <w:rPr>
          <w:rFonts w:hint="eastAsia" w:ascii="宋体" w:hAnsi="宋体" w:eastAsia="宋体" w:cs="宋体"/>
          <w:color w:val="auto"/>
          <w:highlight w:val="none"/>
          <w:lang w:val="en-US" w:eastAsia="zh-CN"/>
        </w:rPr>
        <w:t>和说明</w:t>
      </w:r>
      <w:r>
        <w:rPr>
          <w:rFonts w:hint="eastAsia" w:ascii="宋体" w:hAnsi="宋体" w:eastAsia="宋体" w:cs="宋体"/>
          <w:color w:val="auto"/>
          <w:highlight w:val="none"/>
        </w:rPr>
        <w:t>，否则</w:t>
      </w:r>
      <w:r>
        <w:rPr>
          <w:rFonts w:hint="eastAsia" w:ascii="宋体" w:hAnsi="宋体" w:eastAsia="宋体" w:cs="宋体"/>
          <w:color w:val="auto"/>
          <w:szCs w:val="20"/>
          <w:highlight w:val="none"/>
        </w:rPr>
        <w:t>将被视作自动放弃</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lang w:val="en-US" w:eastAsia="zh-CN"/>
        </w:rPr>
        <w:t>由此造成的后果由投标人自行承担</w:t>
      </w:r>
      <w:r>
        <w:rPr>
          <w:rFonts w:hint="eastAsia" w:ascii="宋体" w:hAnsi="宋体" w:eastAsia="宋体" w:cs="宋体"/>
          <w:color w:val="auto"/>
          <w:szCs w:val="20"/>
          <w:highlight w:val="none"/>
        </w:rPr>
        <w:t>。</w:t>
      </w:r>
    </w:p>
    <w:p>
      <w:pPr>
        <w:spacing w:line="360" w:lineRule="auto"/>
        <w:rPr>
          <w:rFonts w:hint="eastAsia" w:ascii="宋体" w:hAnsi="宋体" w:eastAsia="宋体" w:cs="宋体"/>
          <w:color w:val="auto"/>
          <w:szCs w:val="20"/>
          <w:highlight w:val="none"/>
          <w:lang w:val="en-US" w:eastAsia="zh-CN"/>
        </w:rPr>
      </w:pPr>
      <w:r>
        <w:rPr>
          <w:rFonts w:hint="eastAsia" w:ascii="宋体" w:hAnsi="宋体" w:eastAsia="宋体" w:cs="宋体"/>
          <w:color w:val="auto"/>
          <w:highlight w:val="none"/>
          <w:lang w:val="en-US" w:eastAsia="zh-CN"/>
        </w:rPr>
        <w:t>22.3对投标文件的</w:t>
      </w:r>
      <w:r>
        <w:rPr>
          <w:rFonts w:hint="eastAsia" w:ascii="宋体" w:hAnsi="宋体" w:eastAsia="宋体" w:cs="宋体"/>
          <w:color w:val="auto"/>
          <w:highlight w:val="none"/>
        </w:rPr>
        <w:t>澄清、说明</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补正</w:t>
      </w:r>
      <w:r>
        <w:rPr>
          <w:rFonts w:hint="eastAsia" w:ascii="宋体" w:hAnsi="宋体" w:eastAsia="宋体" w:cs="宋体"/>
          <w:color w:val="auto"/>
          <w:highlight w:val="none"/>
          <w:lang w:val="en-US" w:eastAsia="zh-CN"/>
        </w:rPr>
        <w:t>将通过政采云平台在线询标方式或线下书面形式进行。</w:t>
      </w:r>
      <w:r>
        <w:rPr>
          <w:rFonts w:hint="eastAsia" w:ascii="宋体" w:hAnsi="宋体" w:eastAsia="宋体" w:cs="宋体"/>
          <w:color w:val="auto"/>
          <w:highlight w:val="none"/>
        </w:rPr>
        <w:t>投标人的澄清、说明或补正</w:t>
      </w:r>
      <w:r>
        <w:rPr>
          <w:rFonts w:hint="eastAsia" w:ascii="宋体" w:hAnsi="宋体" w:eastAsia="宋体" w:cs="宋体"/>
          <w:color w:val="auto"/>
          <w:highlight w:val="none"/>
          <w:lang w:val="en-US" w:eastAsia="zh-CN"/>
        </w:rPr>
        <w:t>须加盖公章（CA电子签章）或由</w:t>
      </w:r>
      <w:r>
        <w:rPr>
          <w:rFonts w:hint="eastAsia" w:ascii="宋体" w:hAnsi="宋体" w:eastAsia="宋体" w:cs="宋体"/>
          <w:color w:val="auto"/>
          <w:highlight w:val="none"/>
        </w:rPr>
        <w:t>法定代表人（或全权代表）</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该澄清、说明或者补正将作为投标文件的一部分。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22.4</w:t>
      </w:r>
      <w:r>
        <w:rPr>
          <w:rFonts w:hint="eastAsia" w:ascii="宋体" w:hAnsi="宋体" w:eastAsia="宋体" w:cs="宋体"/>
          <w:color w:val="auto"/>
          <w:highlight w:val="none"/>
        </w:rPr>
        <w:t>投标人的澄清、说明或者补正不得超出投标文件的范围或者改变投标文件的实质性内容。不接受投标人提出的主动澄清。</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23、废标情形</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.1投标人不足3家未能开标的</w:t>
      </w:r>
      <w:r>
        <w:rPr>
          <w:rFonts w:hint="eastAsia" w:ascii="宋体" w:hAnsi="宋体" w:eastAsia="宋体" w:cs="宋体"/>
          <w:color w:val="auto"/>
          <w:highlight w:val="none"/>
          <w:lang w:val="en-US" w:eastAsia="zh-CN"/>
        </w:rPr>
        <w:t>。</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.2经资格审查，合格投标人不足3家未能评标的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.3在评标过程中，评标委员会发现有下列情形之一的，应对采购项目予以废标：</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（1）有效投标人不足3家的；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（3）因重大变故，采购任务取消的。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.4废标后，采购代理机构</w:t>
      </w:r>
      <w:r>
        <w:rPr>
          <w:rFonts w:hint="eastAsia" w:ascii="宋体" w:hAnsi="宋体" w:eastAsia="宋体" w:cs="宋体"/>
          <w:color w:val="auto"/>
          <w:highlight w:val="none"/>
          <w:lang w:val="en-US" w:eastAsia="zh-CN"/>
        </w:rPr>
        <w:t>通过公告的形式将</w:t>
      </w:r>
      <w:r>
        <w:rPr>
          <w:rFonts w:hint="eastAsia" w:ascii="宋体" w:hAnsi="宋体" w:eastAsia="宋体" w:cs="宋体"/>
          <w:color w:val="auto"/>
          <w:highlight w:val="none"/>
        </w:rPr>
        <w:t>废标结果通知所有投标人。</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24、评审监控及保密</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.1本项目评标过程实行全程录音、录像监控，</w:t>
      </w:r>
      <w:r>
        <w:rPr>
          <w:rFonts w:hint="eastAsia" w:ascii="宋体" w:hAnsi="宋体" w:eastAsia="宋体" w:cs="宋体"/>
          <w:color w:val="auto"/>
          <w:highlight w:val="none"/>
          <w:lang w:val="en-US" w:eastAsia="zh-CN"/>
        </w:rPr>
        <w:t>任何人</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开标、</w:t>
      </w:r>
      <w:r>
        <w:rPr>
          <w:rFonts w:hint="eastAsia" w:ascii="宋体" w:hAnsi="宋体" w:eastAsia="宋体" w:cs="宋体"/>
          <w:color w:val="auto"/>
          <w:highlight w:val="none"/>
        </w:rPr>
        <w:t>评标过程中所进行的试图影响</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结果的任何不公正活动</w:t>
      </w:r>
      <w:r>
        <w:rPr>
          <w:rFonts w:hint="eastAsia" w:ascii="宋体" w:hAnsi="宋体" w:eastAsia="宋体" w:cs="宋体"/>
          <w:color w:val="auto"/>
          <w:highlight w:val="none"/>
          <w:lang w:val="en-US" w:eastAsia="zh-CN"/>
        </w:rPr>
        <w:t>将受到监督</w:t>
      </w:r>
      <w:r>
        <w:rPr>
          <w:rFonts w:hint="eastAsia" w:ascii="宋体" w:hAnsi="宋体" w:eastAsia="宋体" w:cs="宋体"/>
          <w:color w:val="auto"/>
          <w:highlight w:val="none"/>
        </w:rPr>
        <w:t>，并承担相应的法律责任。</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4</w:t>
      </w: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相关当事人</w:t>
      </w:r>
      <w:r>
        <w:rPr>
          <w:rFonts w:hint="eastAsia" w:ascii="宋体" w:hAnsi="宋体" w:eastAsia="宋体" w:cs="宋体"/>
          <w:color w:val="auto"/>
          <w:highlight w:val="none"/>
        </w:rPr>
        <w:t>不得泄露评审情况以及评审过程中获悉的国家秘密、商业秘密。</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25、中止电子交易的情形</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25.1</w:t>
      </w:r>
      <w:r>
        <w:rPr>
          <w:rFonts w:hint="eastAsia" w:ascii="宋体" w:hAnsi="宋体" w:eastAsia="宋体" w:cs="宋体"/>
          <w:color w:val="auto"/>
          <w:highlight w:val="none"/>
        </w:rPr>
        <w:t>采购过程中出现以下情形，导致电子交易平台无法正常运行，或者无法保证电子交易的公平、公正和安全时，采购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机构可中止电子交易活动：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）电子交易平台发生故障而无法登录访问的；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）电子交易平台应用或数据库出现错误，不能进行正常操作的；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）电子交易平台发现严重安全漏洞，有潜在泄密危险的；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）病毒发作导致不能进行正常操作的；</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25.2</w:t>
      </w:r>
      <w:r>
        <w:rPr>
          <w:rFonts w:hint="eastAsia" w:ascii="宋体" w:hAnsi="宋体" w:eastAsia="宋体" w:cs="宋体"/>
          <w:color w:val="auto"/>
          <w:highlight w:val="none"/>
        </w:rPr>
        <w:t>出现上述情形的，采购</w:t>
      </w:r>
      <w:r>
        <w:rPr>
          <w:rFonts w:hint="eastAsia" w:ascii="宋体" w:hAnsi="宋体" w:eastAsia="宋体" w:cs="宋体"/>
          <w:color w:val="auto"/>
          <w:highlight w:val="none"/>
          <w:lang w:val="en-US" w:eastAsia="zh-CN"/>
        </w:rPr>
        <w:t>代理</w:t>
      </w:r>
      <w:r>
        <w:rPr>
          <w:rFonts w:hint="eastAsia" w:ascii="宋体" w:hAnsi="宋体" w:eastAsia="宋体" w:cs="宋体"/>
          <w:color w:val="auto"/>
          <w:highlight w:val="none"/>
        </w:rPr>
        <w:t>机构可以待上述情形消除后继续组织电子交易活动，也可以决定某些环节以纸质形式进行；影响或可能影响采购公平、公正性的，应当重新采购。</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F、授予合同</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授予合同标准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.1采购人将依法把合同授予最佳投标者，具体方法见本招标文件第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部分评标办法及评分标准。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中标通知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.1中标人确定之日起后2个工作日内，采购代理机构将在指定的政府采购信息发布媒体上公告</w:t>
      </w:r>
      <w:r>
        <w:rPr>
          <w:rFonts w:hint="eastAsia" w:ascii="宋体" w:hAnsi="宋体" w:eastAsia="宋体" w:cs="宋体"/>
          <w:color w:val="auto"/>
          <w:sz w:val="21"/>
          <w:szCs w:val="21"/>
          <w:highlight w:val="none"/>
        </w:rPr>
        <w:t>中标结果，同时向中标人发出中标通知书。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27</w:t>
      </w:r>
      <w:r>
        <w:rPr>
          <w:rFonts w:hint="eastAsia" w:ascii="宋体" w:hAnsi="宋体" w:eastAsia="宋体" w:cs="宋体"/>
          <w:color w:val="auto"/>
          <w:sz w:val="21"/>
          <w:szCs w:val="21"/>
          <w:highlight w:val="none"/>
        </w:rPr>
        <w:t>.2中标通知书对采购人和中标供应商具有同等法律效力。中标通知书发出以后，采购人改变中标结果或者中标供应商放弃中标，应当承担相应的法律责任，出现争议的，报财政部门处理。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中标通知书是合同的组成部分。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签订合同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.1中标人在收到中标通知书后，应按照规定的时间、地点，与采购人签订采购合同。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.2招标文件、补充文件、投标文件及评标过程中的有关澄清、说明或者补正文件均为签订合同的依据。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.3采购人</w:t>
      </w:r>
      <w:r>
        <w:rPr>
          <w:rFonts w:hint="eastAsia" w:ascii="宋体" w:hAnsi="宋体" w:cs="宋体"/>
          <w:color w:val="auto"/>
          <w:sz w:val="21"/>
          <w:szCs w:val="21"/>
          <w:highlight w:val="none"/>
          <w:lang w:val="en-US" w:eastAsia="zh-CN"/>
        </w:rPr>
        <w:t>或中标人</w:t>
      </w:r>
      <w:r>
        <w:rPr>
          <w:rFonts w:hint="eastAsia" w:ascii="宋体" w:hAnsi="宋体" w:eastAsia="宋体" w:cs="宋体"/>
          <w:color w:val="auto"/>
          <w:sz w:val="21"/>
          <w:szCs w:val="21"/>
          <w:highlight w:val="none"/>
        </w:rPr>
        <w:t>不得</w:t>
      </w:r>
      <w:r>
        <w:rPr>
          <w:rFonts w:hint="eastAsia" w:ascii="宋体" w:hAnsi="宋体" w:cs="宋体"/>
          <w:color w:val="auto"/>
          <w:sz w:val="21"/>
          <w:szCs w:val="21"/>
          <w:highlight w:val="none"/>
          <w:lang w:val="en-US" w:eastAsia="zh-CN"/>
        </w:rPr>
        <w:t>向另一方</w:t>
      </w:r>
      <w:r>
        <w:rPr>
          <w:rFonts w:hint="eastAsia" w:ascii="宋体" w:hAnsi="宋体" w:eastAsia="宋体" w:cs="宋体"/>
          <w:color w:val="auto"/>
          <w:sz w:val="21"/>
          <w:szCs w:val="21"/>
          <w:highlight w:val="none"/>
        </w:rPr>
        <w:t>提出超出</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及投标响应文件</w:t>
      </w:r>
      <w:r>
        <w:rPr>
          <w:rFonts w:hint="eastAsia" w:ascii="宋体" w:hAnsi="宋体" w:eastAsia="宋体" w:cs="宋体"/>
          <w:color w:val="auto"/>
          <w:sz w:val="21"/>
          <w:szCs w:val="21"/>
          <w:highlight w:val="none"/>
        </w:rPr>
        <w:t>以外的任何要求作为签订合同的条件，不得订立背离</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文件确定的合同文本以及采购标的、规格型号、采购金额、采购数量、技术和服务等实质性内容的协议。如果中标人不能按照招标文件要求及其投标文件的承诺签订合同或其投标文件与事实不符，</w:t>
      </w:r>
      <w:r>
        <w:rPr>
          <w:rFonts w:hint="eastAsia" w:ascii="宋体" w:hAnsi="宋体" w:eastAsia="宋体" w:cs="宋体"/>
          <w:color w:val="auto"/>
          <w:sz w:val="21"/>
          <w:szCs w:val="21"/>
          <w:highlight w:val="none"/>
          <w:lang w:val="en-US" w:eastAsia="zh-CN"/>
        </w:rPr>
        <w:t>影响</w:t>
      </w:r>
      <w:r>
        <w:rPr>
          <w:rFonts w:hint="eastAsia" w:ascii="宋体" w:hAnsi="宋体" w:eastAsia="宋体" w:cs="宋体"/>
          <w:color w:val="auto"/>
          <w:sz w:val="21"/>
          <w:szCs w:val="21"/>
          <w:highlight w:val="none"/>
        </w:rPr>
        <w:t>采购合同的实施，</w:t>
      </w:r>
      <w:r>
        <w:rPr>
          <w:rFonts w:hint="eastAsia" w:ascii="宋体" w:hAnsi="宋体" w:eastAsia="宋体" w:cs="宋体"/>
          <w:color w:val="auto"/>
          <w:sz w:val="21"/>
          <w:szCs w:val="21"/>
          <w:highlight w:val="none"/>
          <w:lang w:val="en-US" w:eastAsia="zh-CN"/>
        </w:rPr>
        <w:t>损害采购人利益，</w:t>
      </w:r>
      <w:r>
        <w:rPr>
          <w:rFonts w:hint="eastAsia" w:ascii="宋体" w:hAnsi="宋体" w:eastAsia="宋体" w:cs="宋体"/>
          <w:color w:val="auto"/>
          <w:sz w:val="21"/>
          <w:szCs w:val="21"/>
          <w:highlight w:val="none"/>
        </w:rPr>
        <w:t>采购人有权</w:t>
      </w:r>
      <w:r>
        <w:rPr>
          <w:rFonts w:hint="eastAsia" w:ascii="宋体" w:hAnsi="宋体" w:cs="宋体"/>
          <w:color w:val="auto"/>
          <w:sz w:val="21"/>
          <w:szCs w:val="21"/>
          <w:highlight w:val="none"/>
          <w:lang w:val="en-US" w:eastAsia="zh-CN"/>
        </w:rPr>
        <w:t>拒绝签订</w:t>
      </w:r>
      <w:r>
        <w:rPr>
          <w:rFonts w:hint="eastAsia" w:ascii="宋体" w:hAnsi="宋体" w:eastAsia="宋体" w:cs="宋体"/>
          <w:color w:val="auto"/>
          <w:sz w:val="21"/>
          <w:szCs w:val="21"/>
          <w:highlight w:val="none"/>
        </w:rPr>
        <w:t>合同，并报采购监督部门处理</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.4自采购合同签订之日起2个工作日内，本项目政府采购合同将在财政部指定的媒体上公告，</w:t>
      </w:r>
      <w:r>
        <w:rPr>
          <w:rFonts w:hint="eastAsia" w:ascii="宋体" w:hAnsi="宋体" w:eastAsia="宋体" w:cs="宋体"/>
          <w:color w:val="auto"/>
          <w:highlight w:val="none"/>
        </w:rPr>
        <w:t>但政府采购合同中涉及国家秘密、商业秘密的内容除外。</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.5签约后即为招标结束。采购代理机构不退回任何文件资料。</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G、</w:t>
      </w:r>
      <w:r>
        <w:rPr>
          <w:rFonts w:hint="eastAsia" w:ascii="宋体" w:hAnsi="宋体" w:eastAsia="宋体" w:cs="宋体"/>
          <w:b/>
          <w:bCs/>
          <w:color w:val="auto"/>
          <w:sz w:val="32"/>
          <w:highlight w:val="none"/>
          <w:lang w:val="en-US" w:eastAsia="zh-CN"/>
        </w:rPr>
        <w:t>询问、</w:t>
      </w:r>
      <w:r>
        <w:rPr>
          <w:rFonts w:hint="eastAsia" w:ascii="宋体" w:hAnsi="宋体" w:eastAsia="宋体" w:cs="宋体"/>
          <w:b/>
          <w:bCs/>
          <w:color w:val="auto"/>
          <w:sz w:val="32"/>
          <w:highlight w:val="none"/>
        </w:rPr>
        <w:t>质疑和投诉</w:t>
      </w:r>
    </w:p>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29</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询问</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.1供应商对政府采购活动有疑问的，可以向采购人或</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rPr>
        <w:t>提出询问。</w:t>
      </w:r>
      <w:r>
        <w:rPr>
          <w:rFonts w:hint="eastAsia" w:ascii="宋体" w:hAnsi="宋体" w:eastAsia="宋体" w:cs="宋体"/>
          <w:color w:val="auto"/>
          <w:sz w:val="21"/>
          <w:szCs w:val="21"/>
          <w:highlight w:val="none"/>
          <w:lang w:val="en-US" w:eastAsia="zh-CN"/>
        </w:rPr>
        <w:t>询问可以采用口头或书面方式提出，当采购人或采购代理机构要求采用书面形式时，应当采用书面形式。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29.2</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val="en-US" w:eastAsia="zh-CN"/>
        </w:rPr>
        <w:t>采购代理机构应当</w:t>
      </w:r>
      <w:r>
        <w:rPr>
          <w:rFonts w:hint="eastAsia" w:ascii="宋体" w:hAnsi="宋体" w:eastAsia="宋体" w:cs="宋体"/>
          <w:color w:val="auto"/>
          <w:sz w:val="21"/>
          <w:szCs w:val="21"/>
          <w:highlight w:val="none"/>
        </w:rPr>
        <w:t>在3个工作日内对供应商依法提出的询问作出答复，但答复的内容不涉及商业秘密。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.1供应商认为采购文件、采购过程、中标或成交结果使自己的合法权益受到损害的，可以在知道或者应知其权益受到损害之日起7个工作日内，以书面形式向采购人、采购代理机构提出质疑。</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供应商应知其权益受到损害之日，是指：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（1）对可以质疑的采购文件提出质疑的，为收到采购文件之日或者采购文件公告期限届满之日（公告期限届满后获取采购文件的，以公告期限届满之日为准）；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（3）对中标或者成交结果提出质疑的，为中标或者成交结果公告期限届满之日。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供应商针对同一采购程序环节的质疑须一次性提出。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.2质疑人应将</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原件送达被质疑人。</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应明确阐述采购文件、采购过程、中标或成交结果中使自己合法权益受到损害的实质性内容，提供相关事实、依据和证据及其来源或线索，便于有关单位调查、答复和处理。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 xml:space="preserve">应当包括下列主要内容：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（1）供应商的名称、地址、邮编、联系人及联系电话；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（2）质疑项目的名称、编号；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（3）具体、明确的质疑事项和与质疑事项相关的请求；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（4）事实依据；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（5）必要的法律依据；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（6）提出质疑的日期。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政府采购供应商质疑函范本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质疑函</w:t>
      </w:r>
      <w:r>
        <w:rPr>
          <w:rFonts w:hint="eastAsia" w:ascii="宋体" w:hAnsi="宋体" w:eastAsia="宋体" w:cs="宋体"/>
          <w:color w:val="auto"/>
          <w:sz w:val="21"/>
          <w:szCs w:val="21"/>
          <w:highlight w:val="none"/>
        </w:rPr>
        <w:t>应当署名。供应商为自然人的，应当由本人签字；供应商为法人或者其他组织的，应当由法定代表人、主要负责人，或者其授权代表签字或者盖章，并加盖公章。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30.5采购人、采购代理机构不得拒收质疑供应商在法定质疑期内发出的质疑函，应当在收到质疑函后7个工作日内作出答复，但答复的内容不涉及商业秘密。</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.1对采购人、采购代理机构的质疑答复不满意，或者采购人、采购代理机构未在规定期限内作出答复的，供应商可以在答复期满后15个工作日内向同级财政部门提起投诉。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w:t>
      </w:r>
      <w:r>
        <w:rPr>
          <w:rFonts w:hint="eastAsia" w:ascii="宋体" w:hAnsi="宋体" w:eastAsia="宋体" w:cs="宋体"/>
          <w:color w:val="auto"/>
          <w:sz w:val="21"/>
          <w:szCs w:val="21"/>
          <w:highlight w:val="none"/>
          <w:lang w:val="en-US" w:eastAsia="zh-CN"/>
        </w:rPr>
        <w:t>投诉书</w:t>
      </w:r>
      <w:r>
        <w:rPr>
          <w:rFonts w:hint="eastAsia" w:ascii="宋体" w:hAnsi="宋体" w:eastAsia="宋体" w:cs="宋体"/>
          <w:color w:val="auto"/>
          <w:sz w:val="21"/>
          <w:szCs w:val="21"/>
          <w:highlight w:val="none"/>
        </w:rPr>
        <w:t>范本</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到</w:t>
      </w:r>
      <w:r>
        <w:rPr>
          <w:rFonts w:hint="eastAsia" w:ascii="宋体" w:hAnsi="宋体" w:eastAsia="宋体" w:cs="宋体"/>
          <w:color w:val="auto"/>
          <w:sz w:val="21"/>
          <w:szCs w:val="21"/>
          <w:highlight w:val="none"/>
          <w:lang w:val="en-US" w:eastAsia="zh-CN"/>
        </w:rPr>
        <w:t>中国</w:t>
      </w:r>
      <w:r>
        <w:rPr>
          <w:rFonts w:hint="eastAsia" w:ascii="宋体" w:hAnsi="宋体" w:eastAsia="宋体" w:cs="宋体"/>
          <w:color w:val="auto"/>
          <w:sz w:val="21"/>
          <w:szCs w:val="21"/>
          <w:highlight w:val="none"/>
        </w:rPr>
        <w:t>政府采购网（www.ccgp.gov.cn）下载专区</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下载。</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部分  项目内容及要求</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1、采购内容</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北仑行政大楼物业管理</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BLZFCG2024015</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2、项目范围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详见本部分附件，供应商提供本项目采购范围内的货物和服务所需的一切费用均包含在报价中。</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3、项目说明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3.1本招标文件所提出的项目技术标准是基本的技术标准和使用功能，并未规定所有的技术要求和适用标准，供应商应提供一套满足所列标准要求的高质量的产品及相应服务。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3.2本次招标项目应按国际标准或专业标准执行，最后按照国家有关规定及合同约定进行验收。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3.3本项目所有工作均由中标供应商负总责任。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3.4本项目要求使用的标准如与中标供应商所执行标准发生矛盾时，按较高标准执行。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3.5具体要求见本部分附件。</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4、服务地点与期限要求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4.1本项目实施地点：</w:t>
      </w:r>
      <w:r>
        <w:rPr>
          <w:rFonts w:hint="eastAsia" w:ascii="宋体" w:hAnsi="宋体" w:eastAsia="宋体" w:cs="宋体"/>
          <w:color w:val="auto"/>
          <w:sz w:val="21"/>
          <w:szCs w:val="21"/>
          <w:highlight w:val="none"/>
        </w:rPr>
        <w:t>北仑区，采购人指定地点。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4.2本项目服务期限：</w:t>
      </w:r>
    </w:p>
    <w:p>
      <w:pPr>
        <w:numPr>
          <w:ilvl w:val="0"/>
          <w:numId w:val="0"/>
        </w:numPr>
        <w:spacing w:line="360" w:lineRule="auto"/>
        <w:ind w:left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标项一：</w:t>
      </w:r>
      <w:r>
        <w:rPr>
          <w:rFonts w:hint="eastAsia" w:ascii="宋体" w:hAnsi="宋体" w:cs="宋体"/>
          <w:color w:val="auto"/>
          <w:highlight w:val="none"/>
        </w:rPr>
        <w:t>北仑行政中心A座</w:t>
      </w:r>
      <w:r>
        <w:rPr>
          <w:rFonts w:hint="eastAsia" w:ascii="宋体" w:hAnsi="宋体" w:eastAsia="宋体" w:cs="宋体"/>
          <w:color w:val="auto"/>
          <w:highlight w:val="none"/>
        </w:rPr>
        <w:t>一招</w:t>
      </w:r>
      <w:r>
        <w:rPr>
          <w:rFonts w:hint="eastAsia" w:ascii="宋体" w:hAnsi="宋体" w:cs="宋体"/>
          <w:color w:val="auto"/>
          <w:highlight w:val="none"/>
          <w:lang w:val="en-US" w:eastAsia="zh-CN"/>
        </w:rPr>
        <w:t>三</w:t>
      </w:r>
      <w:r>
        <w:rPr>
          <w:rFonts w:hint="eastAsia" w:ascii="宋体" w:hAnsi="宋体" w:eastAsia="宋体" w:cs="宋体"/>
          <w:color w:val="auto"/>
          <w:highlight w:val="none"/>
        </w:rPr>
        <w:t>年，合同</w:t>
      </w:r>
      <w:r>
        <w:rPr>
          <w:rFonts w:hint="eastAsia" w:ascii="宋体" w:hAnsi="宋体" w:cs="宋体"/>
          <w:color w:val="auto"/>
          <w:highlight w:val="none"/>
          <w:lang w:val="en-US" w:eastAsia="zh-CN"/>
        </w:rPr>
        <w:t>一</w:t>
      </w:r>
      <w:r>
        <w:rPr>
          <w:rFonts w:hint="eastAsia" w:ascii="宋体" w:hAnsi="宋体" w:eastAsia="宋体" w:cs="宋体"/>
          <w:color w:val="auto"/>
          <w:highlight w:val="none"/>
        </w:rPr>
        <w:t>年一签，采购人有权根据上年合同履约考核情况决定是否续签。</w:t>
      </w:r>
      <w:r>
        <w:rPr>
          <w:rFonts w:hint="eastAsia" w:ascii="宋体" w:hAnsi="宋体" w:cs="宋体"/>
          <w:color w:val="auto"/>
          <w:highlight w:val="none"/>
        </w:rPr>
        <w:t>太河楼物业管理</w:t>
      </w:r>
      <w:r>
        <w:rPr>
          <w:rFonts w:hint="eastAsia" w:ascii="宋体" w:hAnsi="宋体" w:eastAsia="宋体" w:cs="宋体"/>
          <w:color w:val="auto"/>
          <w:highlight w:val="none"/>
        </w:rPr>
        <w:t>一招</w:t>
      </w:r>
      <w:r>
        <w:rPr>
          <w:rFonts w:hint="eastAsia" w:ascii="宋体" w:hAnsi="宋体" w:eastAsia="宋体" w:cs="宋体"/>
          <w:color w:val="auto"/>
          <w:sz w:val="21"/>
          <w:szCs w:val="21"/>
          <w:highlight w:val="none"/>
        </w:rPr>
        <w:t>2年零8个月，2024年10月1日至2027年5月31日</w:t>
      </w:r>
      <w:r>
        <w:rPr>
          <w:rFonts w:hint="eastAsia" w:ascii="宋体" w:hAnsi="宋体" w:cs="宋体"/>
          <w:color w:val="auto"/>
          <w:sz w:val="21"/>
          <w:szCs w:val="21"/>
          <w:highlight w:val="none"/>
          <w:lang w:eastAsia="zh-CN"/>
        </w:rPr>
        <w:t>，</w:t>
      </w:r>
      <w:r>
        <w:rPr>
          <w:rFonts w:hint="eastAsia" w:ascii="宋体" w:hAnsi="宋体" w:eastAsia="宋体" w:cs="宋体"/>
          <w:color w:val="auto"/>
          <w:highlight w:val="none"/>
        </w:rPr>
        <w:t>采购人有权根据上年合同履约考核情况决定是否续签。</w:t>
      </w:r>
    </w:p>
    <w:p>
      <w:pPr>
        <w:numPr>
          <w:ilvl w:val="0"/>
          <w:numId w:val="0"/>
        </w:numPr>
        <w:spacing w:line="360" w:lineRule="auto"/>
        <w:ind w:leftChars="0"/>
        <w:rPr>
          <w:rFonts w:hint="eastAsia" w:ascii="宋体" w:hAnsi="宋体" w:eastAsia="宋体" w:cs="宋体"/>
          <w:color w:val="auto"/>
          <w:highlight w:val="none"/>
        </w:rPr>
      </w:pPr>
      <w:r>
        <w:rPr>
          <w:rFonts w:hint="eastAsia" w:ascii="宋体" w:hAnsi="宋体" w:cs="宋体"/>
          <w:color w:val="auto"/>
          <w:highlight w:val="none"/>
          <w:lang w:val="en-US" w:eastAsia="zh-CN"/>
        </w:rPr>
        <w:t>标项二：</w:t>
      </w:r>
      <w:r>
        <w:rPr>
          <w:rFonts w:hint="eastAsia" w:ascii="宋体" w:hAnsi="宋体"/>
          <w:color w:val="auto"/>
          <w:szCs w:val="21"/>
          <w:highlight w:val="none"/>
        </w:rPr>
        <w:t>北仑行政中心B楼、档案楼物业管理</w:t>
      </w:r>
      <w:r>
        <w:rPr>
          <w:rFonts w:hint="eastAsia" w:ascii="宋体" w:hAnsi="宋体"/>
          <w:color w:val="auto"/>
          <w:szCs w:val="21"/>
          <w:highlight w:val="none"/>
          <w:lang w:val="en-US" w:eastAsia="zh-CN"/>
        </w:rPr>
        <w:t>一招</w:t>
      </w:r>
      <w:r>
        <w:rPr>
          <w:rFonts w:hint="eastAsia" w:ascii="宋体" w:hAnsi="宋体" w:eastAsia="宋体" w:cs="宋体"/>
          <w:color w:val="auto"/>
          <w:sz w:val="21"/>
          <w:szCs w:val="21"/>
          <w:highlight w:val="none"/>
        </w:rPr>
        <w:t>2年零8个月，2024年10月1日至2027年5月31日</w:t>
      </w:r>
      <w:r>
        <w:rPr>
          <w:rFonts w:hint="eastAsia" w:ascii="宋体" w:hAnsi="宋体" w:cs="宋体"/>
          <w:color w:val="auto"/>
          <w:sz w:val="21"/>
          <w:szCs w:val="21"/>
          <w:highlight w:val="none"/>
          <w:lang w:eastAsia="zh-CN"/>
        </w:rPr>
        <w:t>，</w:t>
      </w:r>
      <w:r>
        <w:rPr>
          <w:rFonts w:hint="eastAsia" w:ascii="宋体" w:hAnsi="宋体" w:eastAsia="宋体" w:cs="宋体"/>
          <w:color w:val="auto"/>
          <w:highlight w:val="none"/>
        </w:rPr>
        <w:t>采购人有权根据上年合同履约考核情况决定是否续签。</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5、投标响应要求</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以下为投标人在投标文件中需要包含的最基本内容。若投标人提供的服务方案与采购人要求不一致，必须在服务条款偏离表中说明。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5.1项目服务方案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根据采购需求，结合供应商自身情况，编制项目服务方案。</w:t>
      </w:r>
      <w:r>
        <w:rPr>
          <w:rFonts w:hint="eastAsia" w:ascii="宋体" w:hAnsi="宋体" w:eastAsia="宋体" w:cs="宋体"/>
          <w:color w:val="auto"/>
          <w:sz w:val="21"/>
          <w:szCs w:val="21"/>
          <w:highlight w:val="none"/>
        </w:rPr>
        <w:t>服务方案应包括对本物业项目了解程度的阐述、综合服务管理、</w:t>
      </w:r>
      <w:r>
        <w:rPr>
          <w:rFonts w:hint="eastAsia" w:ascii="宋体" w:hAnsi="宋体" w:cs="宋体"/>
          <w:color w:val="auto"/>
          <w:sz w:val="21"/>
          <w:szCs w:val="21"/>
          <w:highlight w:val="none"/>
          <w:lang w:val="en-US" w:eastAsia="zh-CN"/>
        </w:rPr>
        <w:t>秩序维护</w:t>
      </w:r>
      <w:r>
        <w:rPr>
          <w:rFonts w:hint="eastAsia" w:ascii="宋体" w:hAnsi="宋体" w:eastAsia="宋体" w:cs="宋体"/>
          <w:color w:val="auto"/>
          <w:sz w:val="21"/>
          <w:szCs w:val="21"/>
          <w:highlight w:val="none"/>
        </w:rPr>
        <w:t>管理服务、保洁绿化服务、会务管理服务、应急管理、节能管理等内容。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5.2项目实施方案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项目实施方案应包括总体实施方案、管理机构设置和内部管理制度、人员配备及管理方案、培训计划等，内容应简洁实用。</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5.3服务承诺及合理化建议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包括服务质量保障措施、服务响应及承诺、针对本项目的具有可行性的合理化建议等内容。</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、付款方式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w:t>
      </w:r>
      <w:r>
        <w:rPr>
          <w:rFonts w:hint="eastAsia" w:ascii="宋体" w:hAnsi="宋体" w:cs="宋体"/>
          <w:color w:val="auto"/>
          <w:sz w:val="21"/>
          <w:szCs w:val="21"/>
          <w:highlight w:val="none"/>
          <w:lang w:val="en-US" w:eastAsia="zh-CN"/>
        </w:rPr>
        <w:t>支付</w:t>
      </w:r>
      <w:r>
        <w:rPr>
          <w:rFonts w:hint="eastAsia" w:ascii="宋体" w:hAnsi="宋体" w:eastAsia="宋体" w:cs="宋体"/>
          <w:color w:val="auto"/>
          <w:sz w:val="21"/>
          <w:szCs w:val="21"/>
          <w:highlight w:val="none"/>
        </w:rPr>
        <w:t>方式根据合同规定执行，详见本招标文件第</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采购合同</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、合同</w:t>
      </w:r>
      <w:r>
        <w:rPr>
          <w:rFonts w:hint="eastAsia" w:ascii="宋体" w:hAnsi="宋体" w:eastAsia="宋体" w:cs="宋体"/>
          <w:b/>
          <w:bCs/>
          <w:color w:val="auto"/>
          <w:sz w:val="21"/>
          <w:szCs w:val="21"/>
          <w:highlight w:val="none"/>
          <w:lang w:val="en-US" w:eastAsia="zh-CN"/>
        </w:rPr>
        <w:t>及履约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.1采购人和中标人应当自中标通知书发出之日起30 日内，根据招标文件和中标人的投标文件订立书面合同。中标人无正当理由拒签合同的，招标人取消其中标资格，并报采购监督部门处理，给招标人造成的损失的，中标人还应当予以赔偿。</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.2如果供应商提供的货物或服务与投标文件、相关澄清文件</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合同等承诺的不一致，则供应商必须接受无条件退货，同时退还已支付</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合同款并赔偿采购人合同总金额100%的赔款。</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8、政府采购政策</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8.1本项目落实促进中小企业发展有关政策的规定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w:t>
      </w:r>
      <w:r>
        <w:rPr>
          <w:rFonts w:hint="eastAsia" w:ascii="宋体" w:hAnsi="宋体" w:eastAsia="宋体" w:cs="宋体"/>
          <w:color w:val="auto"/>
          <w:sz w:val="21"/>
          <w:szCs w:val="21"/>
          <w:highlight w:val="none"/>
        </w:rPr>
        <w:t>本次采购为非专门面向中小企业项目，根据《政府采购促进中小企业发展管理办法》（财库[2020]46号）</w:t>
      </w:r>
      <w:r>
        <w:rPr>
          <w:rFonts w:hint="eastAsia" w:ascii="宋体" w:hAnsi="宋体" w:cs="宋体"/>
          <w:color w:val="auto"/>
          <w:sz w:val="21"/>
          <w:szCs w:val="21"/>
          <w:highlight w:val="none"/>
          <w:lang w:val="en-US" w:eastAsia="zh-CN"/>
        </w:rPr>
        <w:t>及相关</w:t>
      </w:r>
      <w:r>
        <w:rPr>
          <w:rFonts w:hint="eastAsia" w:ascii="宋体" w:hAnsi="宋体" w:eastAsia="宋体" w:cs="宋体"/>
          <w:color w:val="auto"/>
          <w:sz w:val="21"/>
          <w:szCs w:val="21"/>
          <w:highlight w:val="none"/>
        </w:rPr>
        <w:t>规定，本次政府采购活动，</w:t>
      </w:r>
      <w:r>
        <w:rPr>
          <w:rFonts w:hint="eastAsia" w:ascii="宋体" w:hAnsi="宋体" w:eastAsia="宋体" w:cs="宋体"/>
          <w:color w:val="auto"/>
          <w:sz w:val="21"/>
          <w:szCs w:val="21"/>
          <w:highlight w:val="none"/>
        </w:rPr>
        <w:t>对满足招标文件要求的</w:t>
      </w:r>
      <w:r>
        <w:rPr>
          <w:rFonts w:hint="eastAsia" w:ascii="宋体" w:hAnsi="宋体" w:eastAsia="宋体" w:cs="宋体"/>
          <w:color w:val="auto"/>
          <w:sz w:val="21"/>
          <w:szCs w:val="21"/>
          <w:highlight w:val="none"/>
        </w:rPr>
        <w:t>小微企业的价格给予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的扣除</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对于大中型企业与小微企业组成联合体</w:t>
      </w:r>
      <w:r>
        <w:rPr>
          <w:rFonts w:hint="eastAsia" w:ascii="宋体" w:hAnsi="宋体" w:cs="宋体"/>
          <w:color w:val="auto"/>
          <w:sz w:val="21"/>
          <w:szCs w:val="21"/>
          <w:highlight w:val="none"/>
          <w:lang w:val="en-US" w:eastAsia="zh-CN"/>
        </w:rPr>
        <w:t>投标的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且</w:t>
      </w:r>
      <w:r>
        <w:rPr>
          <w:rFonts w:hint="eastAsia" w:ascii="宋体" w:hAnsi="宋体" w:eastAsia="宋体" w:cs="宋体"/>
          <w:color w:val="auto"/>
          <w:sz w:val="21"/>
          <w:szCs w:val="21"/>
          <w:highlight w:val="none"/>
        </w:rPr>
        <w:t>联合</w:t>
      </w:r>
      <w:r>
        <w:rPr>
          <w:rFonts w:hint="eastAsia" w:ascii="宋体" w:hAnsi="宋体" w:cs="宋体"/>
          <w:color w:val="auto"/>
          <w:sz w:val="21"/>
          <w:szCs w:val="21"/>
          <w:highlight w:val="none"/>
          <w:lang w:val="en-US" w:eastAsia="zh-CN"/>
        </w:rPr>
        <w:t>体</w:t>
      </w:r>
      <w:r>
        <w:rPr>
          <w:rFonts w:hint="eastAsia" w:ascii="宋体" w:hAnsi="宋体" w:eastAsia="宋体" w:cs="宋体"/>
          <w:color w:val="auto"/>
          <w:sz w:val="21"/>
          <w:szCs w:val="21"/>
          <w:highlight w:val="none"/>
        </w:rPr>
        <w:t>协议约定小微企业的合同份额占到合同</w:t>
      </w:r>
      <w:r>
        <w:rPr>
          <w:rFonts w:hint="eastAsia" w:ascii="宋体" w:hAnsi="宋体" w:cs="宋体"/>
          <w:color w:val="auto"/>
          <w:sz w:val="21"/>
          <w:szCs w:val="21"/>
          <w:highlight w:val="none"/>
          <w:lang w:val="en-US" w:eastAsia="zh-CN"/>
        </w:rPr>
        <w:t>总</w:t>
      </w:r>
      <w:r>
        <w:rPr>
          <w:rFonts w:hint="eastAsia" w:ascii="宋体" w:hAnsi="宋体" w:eastAsia="宋体" w:cs="宋体"/>
          <w:color w:val="auto"/>
          <w:sz w:val="21"/>
          <w:szCs w:val="21"/>
          <w:highlight w:val="none"/>
        </w:rPr>
        <w:t>金额30%以上的，对联合体的价格给予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%的扣除，</w:t>
      </w:r>
      <w:r>
        <w:rPr>
          <w:rFonts w:hint="eastAsia" w:ascii="宋体" w:hAnsi="宋体" w:eastAsia="宋体" w:cs="宋体"/>
          <w:color w:val="auto"/>
          <w:sz w:val="21"/>
          <w:szCs w:val="21"/>
          <w:highlight w:val="none"/>
        </w:rPr>
        <w:t>用扣除后的价格参加评审。价格扣除只用于评审过程，如中标，中标价格仍按照其投标价格进行公告。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8.1.2符合</w:t>
      </w:r>
      <w:r>
        <w:rPr>
          <w:rFonts w:hint="eastAsia" w:ascii="宋体" w:hAnsi="宋体" w:eastAsia="宋体" w:cs="宋体"/>
          <w:color w:val="auto"/>
          <w:sz w:val="21"/>
          <w:szCs w:val="21"/>
          <w:highlight w:val="none"/>
          <w:lang w:val="en-US" w:eastAsia="zh-CN"/>
        </w:rPr>
        <w:t>中小企业认定标准的供应商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在参加本次政府采购活动时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应</w:t>
      </w:r>
      <w:r>
        <w:rPr>
          <w:rFonts w:hint="eastAsia" w:ascii="宋体" w:hAnsi="宋体" w:eastAsia="宋体" w:cs="宋体"/>
          <w:color w:val="auto"/>
          <w:sz w:val="21"/>
          <w:szCs w:val="21"/>
          <w:highlight w:val="none"/>
        </w:rPr>
        <w:t>当提供《中小企业声明函》，</w:t>
      </w:r>
      <w:r>
        <w:rPr>
          <w:rFonts w:hint="eastAsia" w:ascii="宋体" w:hAnsi="宋体" w:eastAsia="宋体" w:cs="宋体"/>
          <w:color w:val="auto"/>
          <w:sz w:val="21"/>
          <w:szCs w:val="21"/>
          <w:highlight w:val="none"/>
        </w:rPr>
        <w:t>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部分格式：中小企业声明函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并对声明的真实性负责。未按要求提供声明函的不执行中小微型企业优惠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8.1.3中标、成交供应商为小微企业的，采购人或采购代理机构将随中标、成交结果</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其《中小企业声明函》内容，接受社会监督。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8.2本项目落实促进残疾人就业有关政策的规定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根据《三部门联合发布关于促进残疾人就业政府采购政策的通知》（财库[2017]141号）规定，本次政府采购活动，残疾人福利性单位视同小型、微型企业，享受评审中价格扣除等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8.2.2参加本次采购活动享受政府采购支持政策的残疾人福利性单位应当满足《三部门联合发布关于促进残疾人就业政府采购政策的通知》（财库[2017]141号）规定的条件。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符合条件的残疾人福利性单位在参加本次政府采购活动时，应当提供《残疾人福利性单位声明函》，</w:t>
      </w:r>
      <w:r>
        <w:rPr>
          <w:rFonts w:hint="eastAsia" w:ascii="宋体" w:hAnsi="宋体" w:eastAsia="宋体" w:cs="宋体"/>
          <w:color w:val="auto"/>
          <w:sz w:val="21"/>
          <w:szCs w:val="21"/>
          <w:highlight w:val="none"/>
        </w:rPr>
        <w:t>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部分格式：残疾人福利性单位声明函，</w:t>
      </w:r>
      <w:r>
        <w:rPr>
          <w:rFonts w:hint="eastAsia" w:ascii="宋体" w:hAnsi="宋体" w:eastAsia="宋体" w:cs="宋体"/>
          <w:color w:val="auto"/>
          <w:sz w:val="21"/>
          <w:szCs w:val="21"/>
          <w:highlight w:val="none"/>
        </w:rPr>
        <w:t>并对声明的真实性负责。未按要求提供声明函的不执行残疾人福利性单位优惠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。残疾人福利性单位属于小型、微型企业的，不重复享受政策。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中标、成交供应商为残疾人福利性单位的，采购人或采购代理机构将随中标、成交结果</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其《残疾人福利性单位声明函》内容，接受社会监督。</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8.3本项目落实支持监狱企业发展有关政策的规定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8.3.1根据《财政部司法部关于政府采购支持监狱企业发展有关问题的通知》（财库[2014]68号）规定，本次政府采购活动，监狱企业视同小型、微型企业，享受评审中价格扣除等促进中小企业发展的政府采购政策。</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8.3.2监狱企业参加政府采购活动时，应当提供由省级以上监狱管理局、戒毒管理局（含新疆生产建设兵团）出具的属于监狱企业的证明文件。未提供证明文件的不执行监狱企业优惠</w:t>
      </w:r>
      <w:r>
        <w:rPr>
          <w:rFonts w:hint="eastAsia" w:ascii="宋体" w:hAnsi="宋体" w:cs="宋体"/>
          <w:color w:val="auto"/>
          <w:sz w:val="21"/>
          <w:szCs w:val="21"/>
          <w:highlight w:val="none"/>
          <w:lang w:val="en-US" w:eastAsia="zh-CN"/>
        </w:rPr>
        <w:t>政策</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9、其他说明</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类似项目业绩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投标文件中提供投标人最近三年（时间计算以投标截止时间和合同签订时间为准）以来成功实施的同类项目的业绩或案例证明，</w:t>
      </w:r>
      <w:r>
        <w:rPr>
          <w:rFonts w:hint="eastAsia" w:ascii="宋体" w:hAnsi="宋体" w:eastAsia="宋体" w:cs="宋体"/>
          <w:color w:val="auto"/>
          <w:sz w:val="21"/>
          <w:szCs w:val="21"/>
          <w:highlight w:val="none"/>
        </w:rPr>
        <w:t>格式参考第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部分格式：类似项目业绩表，</w:t>
      </w:r>
      <w:r>
        <w:rPr>
          <w:rFonts w:hint="eastAsia" w:ascii="宋体" w:hAnsi="宋体" w:eastAsia="宋体" w:cs="宋体"/>
          <w:color w:val="auto"/>
          <w:sz w:val="21"/>
          <w:szCs w:val="21"/>
          <w:highlight w:val="none"/>
        </w:rPr>
        <w:t>同类项目业绩要求详见评标办法，由评标委员会认定该合同是否属于同类项目业绩。</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对投标人提供的合同，即使评标委员会在评标过程中已经确认，采购人和采购机构有权利对投标人提供的合同业绩进行落实。若投标人存在虚假欺骗行为，将承担相应的法律责任。</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关于联合体投标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（1）联合体各方均应当符合《中华人民共和国政府采购法》第22条第一款规定的条件。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（2）联合体各方之间应当签订共同投标协议，明确约定</w:t>
      </w:r>
      <w:r>
        <w:rPr>
          <w:rFonts w:hint="eastAsia" w:ascii="宋体" w:hAnsi="宋体" w:eastAsia="宋体" w:cs="宋体"/>
          <w:color w:val="auto"/>
          <w:sz w:val="21"/>
          <w:szCs w:val="21"/>
          <w:highlight w:val="none"/>
        </w:rPr>
        <w:t>联合体主体（牵头人）</w:t>
      </w:r>
      <w:r>
        <w:rPr>
          <w:rFonts w:hint="eastAsia" w:ascii="宋体" w:hAnsi="宋体" w:eastAsia="宋体" w:cs="宋体"/>
          <w:color w:val="auto"/>
          <w:sz w:val="21"/>
          <w:szCs w:val="21"/>
          <w:highlight w:val="none"/>
        </w:rPr>
        <w:t>及联合体各方承担的工作和相应的责任。联合体各方签订共同投标协议后，不得再以自己名义单独在同一项目中投标，也不得组成新的联合体参加同一项目投标。若该等情形被发现，其单独的投标和与此有关的联合体的投标均将被拒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（3）投标报名时，应以联合体协议中确定的</w:t>
      </w:r>
      <w:r>
        <w:rPr>
          <w:rFonts w:hint="eastAsia" w:ascii="宋体" w:hAnsi="宋体" w:eastAsia="宋体" w:cs="宋体"/>
          <w:color w:val="auto"/>
          <w:sz w:val="21"/>
          <w:szCs w:val="21"/>
          <w:highlight w:val="none"/>
        </w:rPr>
        <w:t>主体方</w:t>
      </w:r>
      <w:r>
        <w:rPr>
          <w:rFonts w:hint="eastAsia" w:ascii="宋体" w:hAnsi="宋体" w:eastAsia="宋体" w:cs="宋体"/>
          <w:color w:val="auto"/>
          <w:sz w:val="21"/>
          <w:szCs w:val="21"/>
          <w:highlight w:val="none"/>
        </w:rPr>
        <w:t>名义报名。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（4）联合体中有同类资质的供应商按照联合体分工承担相同工作的，应当按照资质等级较低的供应商确定资质等级。评审标准无明确或难以明确对应哪一方的打分内容的，则按主体方打分。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（5）联合体各方应当共同与采购人签订采购合同，就合同约定的事项对采购人承担连带责任。</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附件：采购需求说明</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附件：</w:t>
      </w:r>
    </w:p>
    <w:p>
      <w:pPr>
        <w:spacing w:before="240" w:after="240"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采购需求说明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标项一：北仑行政中心A座、太河楼物业服务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第一部分：北仑行政中心A座物业服务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一、采购内容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（一）项目名称：北仑行政中心A座物业服务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（二）服务期限：暂定三年。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二、项目概况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（一）物业类型：综合型办公大楼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（二）服务范围：办公大楼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（三）物业名称：北仑行政大楼A座（以下简称大楼）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（四）坐落位置：北仑中心区域内，东至长江路，北至四明山路，南至区府路，西与行政大楼B座相邻，</w:t>
      </w:r>
      <w:r>
        <w:rPr>
          <w:rFonts w:hint="eastAsia" w:ascii="宋体" w:hAnsi="宋体" w:eastAsia="宋体" w:cs="宋体"/>
          <w:color w:val="auto"/>
          <w:sz w:val="21"/>
          <w:szCs w:val="21"/>
          <w:highlight w:val="none"/>
        </w:rPr>
        <w:t>若投标人需进一步了解情况，请进行现场踏勘。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（五）服务面积：建筑面积82777.76平方米。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（六）大楼主要功能及设施设备情况：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北仑行政大楼于2005年9月15日起正式起用，是北仑行政中心主要组成部分，大楼的一至三层为集中会议接待中心，四层以上为办公层，楼内入住机关事业单位约40多家，办公人数1800人以上。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大楼内功能构成由共享大厅、办公室 、接待室 、会议室 、展览室、二楼餐厅、一楼商务餐厅、休闲活动室、医务室、大数据机房、车库等功能区域构成，楼内设有公共会议室20间，其中有180人、100人大会议室各1间、中型会议室8间(25人以上)、洽谈室4间，电视电话会议室2间，突发事件指挥中心1间、大小接待室3间。公共卫生间男女各63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2、交通停车及出入口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大楼区域内机动车停车位共610个，其中地上493个，地下117个，并设非机动车停车位，机动车与非机动车停车分区设计。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出入口情况：大楼地面共有4个出入口，地下有2个车辆出入口。其中北出入口（3号门岗）人员24小时值班。西出入口（4号门岗）及南出入口（1号门岗）实行工作日值班，西三楼南北连廊连接行政大楼B座，工作日进行值班管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3、基本设施情况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梯系统：共有电梯12台，其中8台16层站的客梯(含4台消防梯)，分别位于大楼四角，为德国原装蒂森克虏伯；1台16层站的货梯位于大楼西面，为广州合资蒂森；2台3层站的客梯位于大楼东面，用于会议室接待，为广州合资蒂森；1台2层站的升降梯位于大楼的西北面，供餐饮中心内部使用，为杭州霍普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暖通系统：制冷主机共4台，分别为三台蒸汽溴化锂吸收式冷水机组（每台制冷量为212.6万大卡)，品牌大连三洋；一台螺杆机组（制冷量为105万大卡），品牌约克；供热采用汽水板式热交器共4台，每台换热量为100万大卡。蒸汽来源外部接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调附属设备包括：组合式冷却塔7台，卧式变风量空调13台，立式变风量空调6台，吊顶式新风机组约34台，卧式暗装风机盘管约1240多台，吊顶式空气处理机27台，各类水泵26台(冷冻冷却水泵、热回水循环水泵)。3套VRV空调系统，10台30HP，2台10HP，1台8HP；分别供8F-12F 层、1F-2F餐饮中心、1F-3F消控中心、信息中心使用。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（3）给排水系统：采用一套变频恒压生活供水设备，功率7.5KW，转速2900转/分，直供。不锈钢水箱1个，水池2个，热水器7个，电热开水器14台，功率为3KW-6KW，容积式热交换器4台，各类水泵约40台。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（4）供配电系统：采用独立双电源回路供电，2座变电所，4台变压器，自备发电机2台，各类配电箱（柜)约385个。</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（5）消防系统：集中控制中心1个，一套消防报警主机及自动喷水灭火系统，一套气体报警主机，16台防排烟风机等。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（6）楼宇智能化系统：包括楼宇自控系统；安全防范系统；综合布线系统；计算机网络系统；有线电视系统；电子屏系统；多功能会议系统；机房、电源和接地系统等。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（7）其他：绿化灌溉系统；天然气泄漏报警系统；照明系统；玻璃幕墙工程等。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（七）大楼的运行特征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作为行政中心最主要的办公楼，其运行特点如下：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1、大楼安全保卫等级要求高，人员进出量大，来访人员成分构成复杂，门卫管理要求高；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2、发生群访性突发应急事件的概率较高；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3、接待活动多，部分来客级别高，会务、接待等服务要求高；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4、重要办公区域服务标准要求高，对工作及服务人员服务质量和保密性要求高；部分岗位对人员形象要求较高。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5、大楼设备运行已19年，设备总量多，维护要求高。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三、物业管理的总体要求、目标、委托事项和具体要求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（一）大楼物业管理的总体要求：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物业管理思路定位为封闭式、高档次的物业管理，要求供应商充分理解本项目的特点，对招标文件内所有的服务内容能按国家级物业管理示范大厦标准及操作规范作出实质性响应，以全国物业管理示范大厦的物业标准及操作规范制定物业管理具体服务方案并实施运作，严格按照既定管理目标管理大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大楼物业管理采取“整体委托后勤管理服务”的方式，实行统一管理，综合服务。</w:t>
      </w:r>
      <w:r>
        <w:rPr>
          <w:rFonts w:hint="eastAsia" w:ascii="宋体" w:hAnsi="宋体" w:eastAsia="宋体" w:cs="宋体"/>
          <w:color w:val="auto"/>
          <w:sz w:val="21"/>
          <w:szCs w:val="21"/>
          <w:highlight w:val="none"/>
        </w:rPr>
        <w:t>项目实行总负责制，要求由项目总负责人和各部分业务主管组成项目的核心服务团队，要求供应商承诺派出的核心服务团队成员到岗率达100%，并接受采购人的业务考核。要求供应商接管后，导入ISO9000质量管理系列体系，严格按ISO14000环境质量管理体系要求和OHSAS18000（或GB/T28001）职业健康安全管理体系的要求提供服务。要求各类服务人员配置合理，统筹使用，在后勤服务期间，必须仪容整洁、仪表端正、礼仪规范；专业技术人员必须持证上岗，标志明显，作风严谨，服务规范；同时要求在采购人的管理下做好节能工作，配合采购人实现将能耗控制在合理的水平内，并能逐年下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（二）物业管理需达到的总体目标：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1、入住单位物业的总体管理满意率在95%以上；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2、房屋及设备、设施完好率98%以上；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3、维修及时率100%，急修及时率100%；维修工程合格率95%以上；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4、绿化成活率100%，完好率95%以上；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5、清洁管理无盲点，管理服务范围保持环境整洁，工作垃圾日产日清；有效保洁率95%以上；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6、投诉处理和回访率应达到100%；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7、道路、停车场完好率达到98%以上；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8、无安全事故发生，事故发生率控制在区安全责任考核目标要求内。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（三）委托物业管理项目内容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对于委托供应商提供物业管理服务的具体内容如下：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和设备设施管理：负责对整个大楼房屋及上述设施、设备的日常管理、维修养护、日常巡视、故障检修、应急处理，范围包括大楼建筑安装系统、电气设备、供配电及公共照明系统、电梯系统、暖通系统、给排水系统、消防系统、安保监控系统、建筑智能化和弱电系统、灯光音响系统、建筑幕墙、建筑装饰和室内外配套工程、落水管、污水井、门窗设施、大楼外围公共设施、附属设施等，以及对其他外来服务和施工单位的监督、管理、配合等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秩序维护服务：负责公共秩序维护管理与服务；负责大楼内及外围日常安全保卫工作，负责做好突发事件、重大活动和信访事件处置时期的安全保卫工作，负责办公大楼治安、交通与消防管理工作，包括门岗服务、巡视管理服务、车辆管理服务、监控管理服务、治安管理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、保洁服务与管理：负责环保管理及办公大楼公共区域卫生服务；负责大楼内外公共区域的保洁，负责指定区域和房间的保洁，负责楼内外环境的管理；负责大楼各类墙面、大理石的清洁保养工作。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、绿化养护：负责室外绿化的养护管理；负责对室内绿化租摆单位的管理工作。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、收发服务：负责大楼内收发室功能服务。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、管理受采购人委托管理使用与物业相关的工程图纸、档案、竣工验收资料等；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、负责承办采购人委托的后勤事务工作。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（四）具体工作要求</w:t>
      </w:r>
      <w:bookmarkStart w:id="2" w:name="_Toc297576885"/>
      <w:bookmarkStart w:id="3" w:name="_Toc296267609"/>
      <w:bookmarkStart w:id="4" w:name="_Toc292975327"/>
      <w:bookmarkStart w:id="5" w:name="_Toc297576587"/>
      <w:bookmarkStart w:id="6" w:name="_Toc293674300"/>
      <w:bookmarkStart w:id="7" w:name="_Toc293438065"/>
      <w:bookmarkStart w:id="8" w:name="_Toc297576798"/>
      <w:bookmarkStart w:id="9" w:name="_Toc290975020"/>
      <w:bookmarkStart w:id="10" w:name="_Toc291516856"/>
      <w:bookmarkStart w:id="11" w:name="_Toc290976093"/>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1、房屋和设备设施维护服务</w:t>
      </w:r>
      <w:bookmarkEnd w:id="2"/>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（1）房屋和设备设施维护服务的目标。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依据现代企业管理要求，采用现代的设备设施管理理念、办法和手段，做好对房屋和设备管理维护工作，使其处于优良的状态，充分发挥设备的功能，提升应用价值，延长使用寿命，最大限度使物业得以保值；合理、科学地控制成本，建立健全设备管理制度，明确各种岗位工作标准，并制定具体的落实措施，为采购人提供优质高效的服务，并实现无重大责任事故或重大安全事故的安全生产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（2）设备设施服务的标准与要求：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严格按规范做好设备管理服务，确保各类设备系统正常使用。落实设备安全运行的岗位责任制；定期巡检和维护保养，严格执行维修保养和操作使用规程，并按规定记录设备运行状况。具体维修时根据各相关设备的保修情况联系设备提供商进行维护维修。负责与专业维保单位等第三方的联系及现场管理工作，记录专业维保单位的服务情况，并进一步向采购人提出合理化建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2.2定期开展设备检测工作，并将检测结果及时报告采购人（检测范围： 电梯检测、避雷检测、生活水质检测、绝缘工具检测（不含高压地毯）、计量表检测、压力容器检测、预防性分项检测）。各类设备维保合同也需及时上报采购人备案。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2.3设备机房环境整洁，物品摆放有序；机房内严禁吸烟、饮酒等，无关人员不得随意入内。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强化日常工作巡查，及时发现并解决问题，做好问题处理情况的记录。在接到维修通知后，应在15分钟内到达现场，维修及时率保证达到100％。原则上要求修期限为24小时。要求保证维修质量，减少返修，并有回访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2.5每月底向采购人提交设备管理服务运行情况工作报告。对各类消防器材每月检查和测试一次，并将检查、测试的结果书面报采购人。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2.6及时记录各类维修材料损耗和流向情况，定期分析物耗使用变化的具体原因。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制订供电、给排水事故等应急处理方案。有计划限停水电时，应及时通知采购人。一旦发生事故，维修人员须在15分钟内抵现场抢修。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 设备图纸、档案资料收集齐全、分类清晰、管理完善；建立设备台账，登记详细，账物相符。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2.9积极开展节能降耗工作，每月提供能耗数据分析报告，提出节能降耗的合理化建议。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（3）以下是需维护、保养、管理的设备设施系统名称。要求供应商提供管理服务方案，对设备、设施的运行和维护实施年、季、月的计划管理制度。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 供配电系统: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3.2给排水系统；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3.3消防系统；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3.4空调系统；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3.5电梯系统；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3.6楼宇自动化系统；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3.7安防系统；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3.8照明系统；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3.9监控系统；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3.10会议系统；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3.11高低压电器设备；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3.12发电机组；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3.13天然气泄漏报警系统；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3.14建筑与装修。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2、秩序维护服务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（1）秩序维护服务的的目标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依据现代秩序维护管理服务的要求，通过周密、严格、规范、高效的安全管理，做好防火、抵御自然灾害的各项常规工作，保证大楼区域内公共秩序井然有序，公共活动正常开展，人身、财产得以保障，防止交通事故和车辆被损、被盗情况的发生，并实现零事故的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（2）秩序维护服务标准与要求：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提供公共安全管理，要求确保大楼区域内人身财产安全，秩序维护员对大楼整个区域进行全天候秩序维护值勤，设立固定秩序维护岗位和流动巡逻岗，对违法违纪行为要及时处理，保障行政大楼公共秩序良好。主要门岗岗位24小时值班，监控室24小时安排人员值班；各办公区和公共区域定时巡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对停车场、车辆进行安全与交通管理，包括临时停车管理，保证停车场的车辆停放整齐、交通有序，保证车辆安全。维护正常交通秩序，防止交通事故和车辆被损、被盗情况的发生；中心区地面和地下车库定时巡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做好日常防火及做好抵御自然灾害的各项常规工作；建立各类应急预案（如防火、防盗、防破坏、防自然灾害事故、群体性事件等），培训相关人员达到相关要求并组织演练。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4 设立固定岗、游动岗和机动应急分队，建立一个严密可靠的安全队伍体系。具体秩序维护流动及固定岗位设定，巡更点及路线，全天巡更次数等秩序维护实施细则必须按采购人要求，中标供应商须无条件执行。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重大任务必须事先制订周密的方案，并严格按方案实施。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2.6各岗位工作要求如下: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门岗：维持门口秩序，保证出入畅通；做好外来车辆、办事人员出入大门的登记；外运物品须由业主单位开具证明并岗位核对后方可放行；对上访群众做好“劝、疏、阻”工作，并按程序及时上报有关部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（2）楼层岗：熟悉楼层办公分布情况及办公人员，落实不定期巡查制度；加强重点楼层（党政首脑机关）的安全防范，阻止无关人员的进入和上访群众的冲击。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（3）监控岗：操作人员必须持证上岗，熟知各类监控设备的性能、作用，熟练使用监控设备，实行24小时不间断的运转，提供完整无缺、清晰全面的记录。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（4）交通岗：做好机动车辆有序停放管理，维护出入秩序和停车秩序。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定期做好对防火设备和消防器材的使用、设置及保养情况的检查，并做好应对突发事件（灾害事故）的处置预案，以确保安全。发生突发事件时大楼的全体保安人员必须全体到岗待命，随时服从上级领导或公安部门的指挥、调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3、保洁和绿化服务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（1）保洁服务的范围：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1.1大楼范围所有公共部位包括公共会议室、活动室、大厅、电梯、走廊、楼梯、楼道、卫生间、茶水间、停车场及道路的保洁工作。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 指定区域的办公室室内保洁工作（室内面积约2000平米）。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楼内各类墙面、大理石的清洁保养工作。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楼外墙及玻璃幕墙（不少于2次/年）的清洁保养工作。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 垃圾的清运工作，并确保大楼排污正常。 </w:t>
      </w:r>
      <w:r>
        <w:rPr>
          <w:rFonts w:hint="eastAsia" w:ascii="宋体" w:hAnsi="宋体" w:eastAsia="宋体" w:cs="宋体"/>
          <w:color w:val="auto"/>
          <w:sz w:val="21"/>
          <w:szCs w:val="21"/>
          <w:highlight w:val="none"/>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 适当范围内的新增保洁管理服务项目。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（2）保洁服务的标准与要求：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清洁、保洁区内实行全天12小时保洁制，垃圾日产日清并按指定位置倒入，卫生设施齐全、完好率达99%以上，对损坏的卫生设施及时进行处理。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大厅内地面大理石应保持干净、光亮；其它部位，如墙面、台面、栏杆、椅子、沙发、灯座等应保持光亮、整洁；大厅玻璃门、窗、框应保持干净，光亮；大厅内不锈钢应保持光亮。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走廊：随时打扫，保持地面、墙壁、顶棚的洁净，无杂物，无污痕，无尘挂，清洁光亮；灯罩内无垃圾；走道四角及踢脚板应保持干净卫生。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洗手间：大楼内卫生间洗手液、卫生纸、擦手纸足量保障（每个洗手处需配置盒装擦手纸）；随时打扫，保持洁具、墙面、地面、玻璃等室内设施的清洁、无异味、无积水。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指定办公室的保洁：指定专人定时打扫，保持地面、墙面、家具、门窗、空调、踢脚线等部位的清洁卫生。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机动车和非机动车停车场的地面、立柱、墙面、管道保持干净卫生。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区域内公共场所大面积保洁服务时（如外墙清洗、地毯清洗等），需提前1个月将保洁计划书报采购人审核，经同意后方可实施。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 负责在区域内消灭蚊虫、苍蝇、蟑螂、老鼠等的工作，达到区爱卫会的有关标准。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供应商可选择专业保洁公司提供服务人员，但不能转移其管理责任。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（3）绿化养护的服务要求。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3.1外绿化由供应商负责日常养护，供应商可选择专业绿化公司养护，但不能转移管理责任。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室外绿化的种植和养护原则上按照《宁波市园林绿化管理条例》实施，达到绿化、净化、美化的要求。绿化养护需达到95%完好率目标。草坪无高大杂草，绿地无夹生或野生的攀援植物。花草树木长势良好，修剪整齐美观，无病虫害，无折损现象，无斑秃；绿化建筑小品无损坏；盆花无纸屑、烟头等杂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3.3每年制定年度绿化养护方案和绿化更新方案报采购人批准。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3.4供应商应在汛期、台风季节落实植株的保护措施，做好防护工作。要做好病虫灾害的防治工作，以保障树木的健康成长。要做好室外植物抗旱防冻的防护措施。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3.5室外绿化灌溉一律不得用自来水。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立统一服务电话，实行24小时值班值勤制度，随时接受采购人及用户对物业管理报修、求助、建议、问询、质疑、投拆等各类信息的收集和反馈，并及时处理，有回访制度和记录，处理率和回访率应达到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（2）提供收发室服务。</w:t>
      </w:r>
      <w:r>
        <w:rPr>
          <w:rFonts w:hint="eastAsia" w:ascii="宋体" w:hAnsi="宋体" w:eastAsia="宋体" w:cs="宋体"/>
          <w:color w:val="auto"/>
          <w:sz w:val="21"/>
          <w:szCs w:val="21"/>
          <w:highlight w:val="none"/>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（3）提供活动室服务。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（4）供应商还需提供防台防讯措施的方案。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四、机构配置和人员配置要求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（一）机构配置：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根据以上要求，供应商必须为大楼设立专门管理处，内设业户服务、设备管理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秩序维护、保洁绿化等相应专业部门，实施管辖区域内统一的物业管理。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（二）人员配置数量、岗位：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▲人员配置的数量要求如下：供应商必须配备不少于84人的管理服务团队。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物业服务岗位及人员配置表</w:t>
      </w:r>
    </w:p>
    <w:tbl>
      <w:tblPr>
        <w:tblStyle w:val="1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205"/>
        <w:gridCol w:w="1350"/>
        <w:gridCol w:w="900"/>
        <w:gridCol w:w="21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岗位人数</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服务部</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项目经理</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技术总监</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经理助理</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设备主管</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客服主管</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副主管</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接待话务员</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技术领班</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收发员</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强电工</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核算员兼仓管</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BA和能源管理</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资料管理员</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弱电工</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环境保洁部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保洁主管</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暖通工</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技工领班</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给排水、房修工</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保洁领班</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秩序部</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秩序维护主管</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保洁技工</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秩序领班</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保洁员</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3号岗门卫</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4号岗门卫</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3楼通道岗</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南门岗</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监控岗</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巡逻岗</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2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访客接待岗</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2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车辆管理岗</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2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夜班</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5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805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（三）人员素质要求：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1、主要核心岗位的人员素质要求：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r>
        <w:rPr>
          <w:rFonts w:hint="eastAsia" w:ascii="宋体" w:hAnsi="宋体" w:eastAsia="宋体" w:cs="宋体"/>
          <w:color w:val="auto"/>
          <w:sz w:val="21"/>
          <w:szCs w:val="21"/>
          <w:highlight w:val="none"/>
        </w:rPr>
        <w:t>（项目总负责人）</w:t>
      </w: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rPr>
        <w:t>本科</w:t>
      </w:r>
      <w:r>
        <w:rPr>
          <w:rFonts w:hint="eastAsia" w:ascii="宋体" w:hAnsi="宋体" w:eastAsia="宋体" w:cs="宋体"/>
          <w:color w:val="auto"/>
          <w:sz w:val="21"/>
          <w:szCs w:val="21"/>
          <w:highlight w:val="none"/>
        </w:rPr>
        <w:t>及以上学历，有管理过单体建筑面积在</w:t>
      </w:r>
      <w:r>
        <w:rPr>
          <w:rFonts w:hint="eastAsia" w:ascii="宋体" w:hAnsi="宋体" w:eastAsia="宋体" w:cs="宋体"/>
          <w:color w:val="auto"/>
          <w:sz w:val="21"/>
          <w:szCs w:val="21"/>
          <w:highlight w:val="none"/>
        </w:rPr>
        <w:t>5万㎡</w:t>
      </w:r>
      <w:r>
        <w:rPr>
          <w:rFonts w:hint="eastAsia" w:ascii="宋体" w:hAnsi="宋体" w:eastAsia="宋体" w:cs="宋体"/>
          <w:color w:val="auto"/>
          <w:sz w:val="21"/>
          <w:szCs w:val="21"/>
          <w:highlight w:val="none"/>
        </w:rPr>
        <w:t>（含）以上行政中心办公楼项目有3年以上工作经验，有物业管理师证书，有良好的团队精神和沟通技巧，有良好的指挥能力、语言交流能力和文字表达能力。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秩序维护主管</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rPr>
        <w:t>大专</w:t>
      </w:r>
      <w:r>
        <w:rPr>
          <w:rFonts w:hint="eastAsia" w:ascii="宋体" w:hAnsi="宋体" w:eastAsia="宋体" w:cs="宋体"/>
          <w:color w:val="auto"/>
          <w:sz w:val="21"/>
          <w:szCs w:val="21"/>
          <w:highlight w:val="none"/>
        </w:rPr>
        <w:t>及以上学历，有从事过</w:t>
      </w:r>
      <w:r>
        <w:rPr>
          <w:rFonts w:hint="eastAsia" w:ascii="宋体" w:hAnsi="宋体" w:eastAsia="宋体" w:cs="宋体"/>
          <w:color w:val="auto"/>
          <w:sz w:val="21"/>
          <w:szCs w:val="21"/>
          <w:highlight w:val="none"/>
        </w:rPr>
        <w:t>3年以</w:t>
      </w:r>
      <w:r>
        <w:rPr>
          <w:rFonts w:hint="eastAsia" w:ascii="宋体" w:hAnsi="宋体" w:eastAsia="宋体" w:cs="宋体"/>
          <w:color w:val="auto"/>
          <w:sz w:val="21"/>
          <w:szCs w:val="21"/>
          <w:highlight w:val="none"/>
        </w:rPr>
        <w:t>上非住宅物业类似管理工作并有《秩序维护员证》，懂得消防业务及监控智能化管理，仪表端正，并具备有较好的管理能力、沟通能力，能吃苦耐劳，责任心强，具备较强的处理突发事件的能力，最好为退伍军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保洁绿化主管</w:t>
      </w:r>
      <w:r>
        <w:rPr>
          <w:rFonts w:hint="eastAsia" w:ascii="宋体" w:hAnsi="宋体" w:eastAsia="宋体" w:cs="宋体"/>
          <w:color w:val="auto"/>
          <w:sz w:val="21"/>
          <w:szCs w:val="21"/>
          <w:highlight w:val="none"/>
        </w:rPr>
        <w:t>：具有大专及以上学历，非住宅物业管理相关领域3年以上管理经验，年龄在45周岁以下，仪表端正，要求女性。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设备设施主管</w:t>
      </w:r>
      <w:r>
        <w:rPr>
          <w:rFonts w:hint="eastAsia" w:ascii="宋体" w:hAnsi="宋体" w:eastAsia="宋体" w:cs="宋体"/>
          <w:color w:val="auto"/>
          <w:sz w:val="21"/>
          <w:szCs w:val="21"/>
          <w:highlight w:val="none"/>
        </w:rPr>
        <w:t>：具备本科及以上学历和中级及以上（工程师）职称，具备从事大楼设备管理五年以上工作经验。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设备管理技术总监：</w:t>
      </w:r>
      <w:r>
        <w:rPr>
          <w:rFonts w:hint="eastAsia" w:ascii="宋体" w:hAnsi="宋体" w:eastAsia="宋体" w:cs="宋体"/>
          <w:color w:val="auto"/>
          <w:sz w:val="21"/>
          <w:szCs w:val="21"/>
          <w:highlight w:val="none"/>
        </w:rPr>
        <w:t>中级及以上（工程师）职称（或具备同等资格水平），具备从事大楼设备管理10年以上工作经验。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其他管理岗位</w:t>
      </w:r>
      <w:r>
        <w:rPr>
          <w:rFonts w:hint="eastAsia" w:ascii="宋体" w:hAnsi="宋体" w:eastAsia="宋体" w:cs="宋体"/>
          <w:color w:val="auto"/>
          <w:sz w:val="21"/>
          <w:szCs w:val="21"/>
          <w:highlight w:val="none"/>
        </w:rPr>
        <w:t>：具有二年以上相关工作经验。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2、各岗位人员素质要求：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（1）设备维护类人员要求：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1.1所有人员有培训合格上岗证，持有相关资格职业证书，具有2年以上实际操做工作经验，身体健康，工作认真负责、吃苦耐劳，品德好。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1.2技术领班：男性，大专及以上学历或具有中级及以上技术职称，有相关行业从业证书，具有三年以上相关工作经历。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BA和能源管理岗位、音控岗位：男性，大专及以上学历或具有中级及以上技术职称，从事相关行业2年以上工作经验。具有电子技术、自动化等专业或从事过节能相关工作优先，年龄35周岁以下。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1.3.1负责北仑能源监管平台的日常运行及维护；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1.3.2协助节能科做好行政中心节能工作；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1.3.3每日查看并分析平台各级计量数据，查找高能耗及数据异常现象；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1.3.4按固定周期（周、月）分析平台一、二及计量数据，查找异动现象并分析原因；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1.3.5负责平台的维护，与建设方建立经常性联络机制，确保平台持续稳定运行。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1.4高压值班电工：持有相关从业资格职业证书，具有2年以上实操工作经验，具有相应维修能力。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1.5空调暖通工：持有暖通设备维修岗位证书，具有2年以上实操工作经验。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1.6电梯值班员：持有相关安全员资格证书，具有2年以上实操工作经验。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（2）秩序维护员的要求：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秩序维护员配置中必须有4名女性，其他均为男性，所有秩序维护员男性身高要求168cm及以上，女性158cm米以上，学历要求初中及以上，年龄要求20岁-60岁之间，其中宁波籍秩序维护员比例在20%以上。具有保安工作经验的人员，部队、武警、消防部队退役军人可适当放宽条件；身体健康，能说普通话，有较强的沟通能力，能吃苦耐劳，责任心强。其中，三号门岗的部分人员要求高于其他秩序维护员（主要指身高、形象、气质方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消控中心24小时值班的秩序维护员必须经过县级及以上消防部门培训合格才可上岗。秩序维护员中必须有2名人员专门负责消防业务。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（3）客服人员的要求：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女性，四十岁以下，身高160cm以上，高中及以上学历，形象气质佳，身体健康，普通话标准，懂宁波方言，工作认真负责，无不良嗜好及不良记录。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（4）其他工作人员的要求：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素质较好，仪表端正，敬业精神强，年龄在60周岁以下，无不良嗜好及不良记录；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（5）如特殊岗位年龄和其他条件另有需求，均须无条件接受采购人的要求。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（四）人员管理的基本要求。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1、要求在后勤服务期间，所用员工必须仪容整洁、仪表端正、礼仪规范。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2、除供应商自行对服务人员的培训外，如有需要，须接受采购人对服务人员的集中培训。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3、所有岗位均应建立岗位责任制，明确运作程序和工作质量标准，并无条件接受采购人监督检查。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4、所有配置人员必须专职为大楼服务，供应商不得委派兼职。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5、指定办公室的室内保洁服务人员必须由供应商员工承担，其他保洁人员允许专业服务外保单位派遣。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所有秩序维护员必须经过培训满足岗位能力需求和严格的政审后才能上岗。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7、各类专业技术（工程）人员须经过培训、考核并持有效证书方能上岗工作。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8、供应商应保持员工队伍相对稳定。各类主管、领班、</w:t>
      </w:r>
      <w:r>
        <w:rPr>
          <w:rFonts w:hint="eastAsia" w:ascii="宋体" w:hAnsi="宋体" w:eastAsia="宋体" w:cs="宋体"/>
          <w:color w:val="auto"/>
          <w:sz w:val="21"/>
          <w:szCs w:val="21"/>
          <w:highlight w:val="none"/>
        </w:rPr>
        <w:t>服务人员、</w:t>
      </w:r>
      <w:r>
        <w:rPr>
          <w:rFonts w:hint="eastAsia" w:ascii="宋体" w:hAnsi="宋体" w:eastAsia="宋体" w:cs="宋体"/>
          <w:color w:val="auto"/>
          <w:sz w:val="21"/>
          <w:szCs w:val="21"/>
          <w:highlight w:val="none"/>
        </w:rPr>
        <w:t>技术骨干等重要岗位聘用、离职、岗位调整需及时上报采购人同意。一般各类工程技术人员、秩序维护员、会务人员聘用、离职、岗位调整需及时向采购人备案。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9、供应商未能按标书配置人员，其物业费用扣减按合同和采购人对供应商的考核管理办法执行。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10、全体员工的劳动合同必须依法按时签订，并缴纳国家规定保险和税金及人身意外保险。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五、物业费用的组成和服务期限。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（一）物业管理服务费的组成。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分三部分组成：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第一部分费用</w:t>
      </w:r>
      <w:r>
        <w:rPr>
          <w:rFonts w:hint="eastAsia" w:ascii="宋体" w:hAnsi="宋体" w:eastAsia="宋体" w:cs="宋体"/>
          <w:color w:val="auto"/>
          <w:sz w:val="21"/>
          <w:szCs w:val="21"/>
          <w:highlight w:val="none"/>
        </w:rPr>
        <w:t>包括以下：（1）所有人员费用(工资、各种社会保险、福利和津贴、特殊岗位、加班费用)（2）人员综合费用（办公费用、服装费、工具和装备费、培训费、交通费等）（3）上述部分的管理费（4）上述部分的税金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第二部分费用</w:t>
      </w:r>
      <w:r>
        <w:rPr>
          <w:rFonts w:hint="eastAsia" w:ascii="宋体" w:hAnsi="宋体" w:eastAsia="宋体" w:cs="宋体"/>
          <w:color w:val="auto"/>
          <w:sz w:val="21"/>
          <w:szCs w:val="21"/>
          <w:highlight w:val="none"/>
        </w:rPr>
        <w:t>包括以下：（1）灭虫灭害费、排污、垃圾清运费等费用（2）保洁用品及工具消耗、公共区域保洁耗材费 (3) 物耗费用：包括各类物料、辅料和备品备件（4）小型公共维修、公共照明系统日常养护费、厨房设备零星维修、玻璃门、伸缩门维修（5）绿化养护费用（6）外墙、玻璃清洗费用（8）玻璃外墙漏水零星维修（9）电梯检测（10）上述部分的税金和管理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第三部分费用</w:t>
      </w:r>
      <w:r>
        <w:rPr>
          <w:rFonts w:hint="eastAsia" w:ascii="宋体" w:hAnsi="宋体" w:eastAsia="宋体" w:cs="宋体"/>
          <w:color w:val="auto"/>
          <w:sz w:val="21"/>
          <w:szCs w:val="21"/>
          <w:highlight w:val="none"/>
        </w:rPr>
        <w:t>包括以下：（1)各类设施设备的检测费用、专业技术外包，范围如下：消防系统、供水系统、电气设备、弱电系统、周界系统、车闸系统、避雷系统、暖通系统、 绝缘工具检测（不含高压地毯）、计量表检测、压力容器检测 、预防性专业分项测试、 VRV机组系统、发电机组系统、电梯系统、地下车库道闸系统、旗杆（49根）（2）上述部分的税金和管理费。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各项费用报价说明：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1、报价按年度费用综合测算报价，并按以上内容分三部分报价。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2、第一部分费用中人员费用按不少于84人测算，并已含大楼常规管理的人员加班费用。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第二部分的费用实行专款专用，结余部分不得转为物业公司利润，但可转入下年度使用，对该费用使用支出均需报采购人同意后方可实施和拨付使用。对于该费用的支出，采购人有权对其使用支出方案进行调整，供应商须满足采购人的合理要求和其监督实际支出情况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4、第三部分的费用使用原则同第二部分。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物业服务费用由投标人自行报价。其中人员基本工资不得低于宁波市政府相关部门最新发布的宁波市最低劳动工资。投标人应考虑潜在的市场风险及政策风险，在合同履行期间如遇法定基本工资上调等政策性因素的情况，合同价均不作调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除招标文件已注明外，警具（除对讲机、警用设备外）、员工服装、保洁用的日常工具和耗材、日常设备维护保养、部分检测费用及耗材、绿化养护耗材由物业公司负责，其费用包括在投标价中。物业办公用房和办公家具由采购人提供，物业办公用房面积合计约100平米，其他用房合计约120平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7、采购人单位应承担的费用：（1）能耗费用：包括水、电、燃气、蒸气；（2）室内盆花植物摆租服务费用；（3）房屋设备大中维修费用；（4）其他相关费用。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（二）物业支付方式：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费实行按月支付，年终结算，每月支付额度以物业费用总额度95%的12分之一进行等额支付，5%的物业费用年终考核后在下一年度的第一个月支付。考核金的8%将作为日常及年度物业优秀集体及员工的奖励金（与采购方商定考核奖励办法）。（如出现与标书中服务承诺重大偏离，可按合同和考核办法扣除相应的物业费用后支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（三）考核约定和保证金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要求供应商</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纳物业进场服务履约保证金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作为赔偿和不履行合同的保证金，合同到期退还。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取5%比率的物业费用，作为考核资金，次年第一个月支付。每个年末由采购人按照供应商承诺的服务目标及技术规程进行考核，如考核合格，采购人即向供应商支付年度服务费的余额。如达不到要求作相应扣减（扣减比例将由双方在合同条款或考核管理办法中明确）。考核应结合对服务对象满意度测评，采购人平时工作巡查记录，以及对不满意事项的整改情况。投标人应在十个工作日内以书面形式反馈整改结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对人员到岗率实行随时检查和每月考核相结合，如有人员不到位情况，则扣减相应费用，按实际到岗率同比率扣减相应服务费用。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3、考核办法详见《北仑区机关事务管理局物业管理服务监管与考核办法》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）管理期限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本轮物业管理合同期限暂定为三年。管理合同为一年一签，一年结束后，经考核，如达到满意程度，协商一致后续签下一年度的管理合同。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六、各项重要说明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（一）本项物业管理服务实行统一管理，综合服务，其中绿化养护、保洁、秩序维护、部分设施设备维护可引入专业公司，但中标方不得转移其管理责任。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（二）在发出中标通知书后，给予不超过一个月的准备期，要求中标供应商按期与原供应商进行交接。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（三）物业费用计算以大楼正式移交接管之日起计，之前物业管理人员费用和培训费用由供应商负责。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中标供应商需负责好各类建设图纸、工程档案等建筑档案的接管清点工作。接管后，需全面建立健全大楼物业管理档案资料，如设备巡视记录、保安巡岗记录、报修记录单、保洁工作记录以及其他需要记录在案的文档，并做好各项保密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（五）在物业管理工作中确保采购人提供的设备、设施完好，如因员工不慎导致设备、设施损坏、灭失，供应商应按原价赔偿。由于秩序维护服务不到位造成财产与设施损失的，供应商须承担相应的赔偿责任。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（六）人员服装样式须经采购人认可后方可穿着。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（七）中标供应商要遵守各项保密制度，防止不宜公开的资料、文件和信息的泄露。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（八）中标供应商应认真听取采购人提出的建议和意见，并接受采购人制定的考核管理规定，对在物业管理中出现的问题和薄弱环节应立即整改。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（九）中标供应商须将节能工作作为日常工作之一，并达到采购人和其他管理部门的节能考核之要求。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（十）合理化建议。中标供应商提出的合理化建议要求切实可行，具有可操作性。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（十一）采购人有权对中标供应商各工作岗位的服务质量随时进行抽查。如发现问题，供应商应及时整改。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（十二）如中标供应商非现大楼物业服务单位，须做好现有物业人员的招聘工作，其人员留用比率和名单需上报采购人，同时应自行事先做好与现有物业服务单位的沟通工作。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（十三）其它临时性杂项及应急服务在招标文件中未提及的，由投标人自行考虑并将相关费用包含在中标价中，漏项责任由投标人自负。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十四)核心管理团队到岗率必须达到100%，其人员素质和资历必须达到采购人对其人员素质要求和投标书承诺，如不能在投标书中承诺部分不得分，若采购人在投标文件中承诺的，但在实际管理时不能履行，视同违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七、其他说明：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本项目为物业管理采购，投标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必须对所有服务项目完全响应</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供应商投标所使用的资格、信誉、荣誉、业绩与企业认证证书必须为该供应商所拥有。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标项一：北仑行政中心A座、太河楼物业服务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第二部分：北仑行政中心会务等特约服务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一、采购内容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（一）项目名称：北仑行政中心会务等特约服务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（二）服务期限：暂定三年，与A座物业服务合同一致。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二、人员配置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▲人员配置的数量要求如下：供应商必须配备不少于40人的管理服务团队。 </w:t>
      </w:r>
    </w:p>
    <w:tbl>
      <w:tblPr>
        <w:tblStyle w:val="10"/>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3667"/>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36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03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会务服务</w:t>
            </w:r>
          </w:p>
        </w:tc>
        <w:tc>
          <w:tcPr>
            <w:tcW w:w="36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0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36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领班</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0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36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楼层服务员</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0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36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会务服务员</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0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36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保障人员</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内保</w:t>
            </w:r>
          </w:p>
        </w:tc>
        <w:tc>
          <w:tcPr>
            <w:tcW w:w="36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办公室</w:t>
            </w:r>
            <w:r>
              <w:rPr>
                <w:rFonts w:hint="eastAsia" w:ascii="宋体" w:hAnsi="宋体" w:eastAsia="宋体" w:cs="宋体"/>
                <w:color w:val="auto"/>
                <w:sz w:val="21"/>
                <w:szCs w:val="21"/>
                <w:highlight w:val="none"/>
              </w:rPr>
              <w:t>内保洁</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理发服务</w:t>
            </w:r>
          </w:p>
        </w:tc>
        <w:tc>
          <w:tcPr>
            <w:tcW w:w="36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理发师</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0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366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（1）会务礼仪的服务内容：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1.1会务服务的内容：主要指行政中心区域内公共会议室的会议服务；</w:t>
      </w:r>
      <w:r>
        <w:rPr>
          <w:rFonts w:hint="eastAsia" w:ascii="宋体" w:hAnsi="宋体" w:eastAsia="宋体" w:cs="宋体"/>
          <w:color w:val="auto"/>
          <w:sz w:val="21"/>
          <w:szCs w:val="21"/>
          <w:highlight w:val="none"/>
        </w:rPr>
        <w:t>以及大楼范围以外区级重大活动服务；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1.2礼仪服务的的内容：大堂礼仪服务、迎送服务、引领服务、签约服务、剪彩服务、授牌、颁奖等礼仪服务。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（2）会务礼仪服务的标准与要求：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2.1供应商按不同的功能定位和不同要求提供专业的会务服务，要求服务培训到位，服务做到专业化、标准化、星级化、品质化，达到五星级酒店会务服务标准。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2.2建立会议服务全程跟踪制度，规范会议室使用登记流程，细化会前、会中、会后服务的各个环节，大型会议会前制定详细周密的会议保障方案，会中提供优质服务，把握会议情况，会后做好总结记录工作。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2.3根据不同规格的会议，确定相应的服务人数，事先检查好调音设备、空调、灯光设备，所有服务人员应熟知会务要求；会场保持清洁、卫生、整齐，服务操作符合规范要求。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供应商必须制定培训计划并定期开展培训工作。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2.5礼仪会务服务人员工作时，着装须统一、整洁，端正，须熟悉服务的对象及其个性化服务的需求，熟知会议场所设施配置和功能，熟练使用各种设备和掌握各类服务的基本技能。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2.6做好保密工作，会议内容不外传，会议资料不外带，妥善做好处置工作。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2.7工作日提供固定的大堂礼仪岗服务。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2.8会务礼仪服务范围不仅限于大楼内，根据采购人需要可提供外派服务，且工作时间不仅限于工作日。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2.9人员的要求：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主管人员：女性，四十周岁以下，大专及以上学历，具有三年以上酒店会务管理经验，礼仪服务相关经验，形象气质佳，身体健康，普通话标准，工作认真负责，有较强的沟通、协调和管理能力。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会务礼仪人员：女性，四十周岁以下，身高160cm以上，高中及以上学历，形象气质佳，身体健康，普通话标准，懂宁波方言，工作认真负责，无不良嗜好及不良记录。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（3）理发服务内容：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设立理发室，主要为工作人员提供剪发洗头、吹风美发服务。理发服务费用</w:t>
      </w:r>
      <w:r>
        <w:rPr>
          <w:rFonts w:hint="eastAsia" w:ascii="宋体" w:hAnsi="宋体" w:eastAsia="宋体" w:cs="宋体"/>
          <w:color w:val="auto"/>
          <w:sz w:val="21"/>
          <w:szCs w:val="21"/>
          <w:highlight w:val="none"/>
          <w:lang w:eastAsia="zh-CN"/>
        </w:rPr>
        <w:t>及耗材</w:t>
      </w:r>
      <w:r>
        <w:rPr>
          <w:rFonts w:hint="eastAsia" w:ascii="宋体" w:hAnsi="宋体" w:eastAsia="宋体" w:cs="宋体"/>
          <w:color w:val="auto"/>
          <w:sz w:val="21"/>
          <w:szCs w:val="21"/>
          <w:highlight w:val="none"/>
        </w:rPr>
        <w:t>固定为120000元/年，不得上下浮动，</w:t>
      </w:r>
      <w:r>
        <w:rPr>
          <w:rFonts w:hint="eastAsia" w:ascii="宋体" w:hAnsi="宋体" w:eastAsia="宋体" w:cs="宋体"/>
          <w:color w:val="auto"/>
          <w:sz w:val="21"/>
          <w:szCs w:val="21"/>
          <w:highlight w:val="none"/>
          <w:lang w:eastAsia="zh-CN"/>
        </w:rPr>
        <w:t>由管理局监管，物业公司加强日常管理，</w:t>
      </w:r>
      <w:r>
        <w:rPr>
          <w:rFonts w:hint="eastAsia" w:ascii="宋体" w:hAnsi="宋体" w:eastAsia="宋体" w:cs="宋体"/>
          <w:color w:val="auto"/>
          <w:sz w:val="21"/>
          <w:szCs w:val="21"/>
          <w:highlight w:val="none"/>
        </w:rPr>
        <w:t>但包含在此次投标总价内，具体方案须报采购人核实同意。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四、费用的组成和服务期限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特约服务费用的组成：（1）所有人员费用(工资、各种社会保险、福利和津贴、特殊岗位、加班费用)（2）人员综合费用（办公费用、服装费、工具和装备费、培训费、交通费等）（3）上述部分的管理费（4）上述部分的税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管理期限：暂定三年，与A座物业服务合同期限一致。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（二）费用支付方式：实行按月支付，年终结算。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五、其他说明：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必须对所有服务项目完全响应</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标项一：北仑行政中心A座、太河楼物业服务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第三部分：北仑行政中心太河楼物业服务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一、采购内容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（一）项目名称：北仑行政中心太河楼物业服务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（二）服务期限：暂定2年零8个月，2024年10月1日至2027年5月31日。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二、项目概况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（一）物业类型：综合型办公大楼</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（二）服务范围：办公大楼</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（三）物业名称：北仑太河商务楼（以下简称大楼）</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（四）坐落位置：北仑新碶四明山路700 号，东至横河路，南至四明山路，西邻太河，北靠河道，与行政大楼紧邻，若投标人需进一步了解情况，请进行现场踏勘。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（五）主要经济技术指标：总占地面积4174 平方米，总建筑面积42472 平方米，其中地下建筑面积8615 平方米，地上建筑面积33857 平方米，建筑高度36.85米，建筑密度30%，容积率2.4，绿化面积约4868 平方米。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（六）大楼主要功能及设施设备情况：</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1、概况：一区办公楼：共10 层(地下1 层，地面9 层)，办公区域建筑面积约为21759 平方米，另有大楼东侧二层楼司法服务大厅建筑面积约3374 平方米，机房及其他建筑面积约904 平方米，地下层为停车库，建筑面积8615 平方米，停车数187 辆，室外停车数87 辆，一层为社保医保服务大厅，二层为食堂、餐厅和办公区，餐厅可容纳400 人就餐。3-9 层为办公区域，最多可容纳886 人办公，3-9 层每层有56 人中型会议室1 间，共计7 间，26 人小型会议室共13 间。二区干部周转用房：地面层数为10 层，建筑面积约7395 平方米，其中大套(89 ㎡)、</w:t>
      </w:r>
      <w:r>
        <w:rPr>
          <w:rFonts w:hint="eastAsia" w:ascii="宋体" w:hAnsi="宋体" w:eastAsia="宋体" w:cs="宋体"/>
          <w:color w:val="auto"/>
          <w:sz w:val="21"/>
          <w:szCs w:val="21"/>
          <w:highlight w:val="none"/>
        </w:rPr>
        <w:t>中套公寓（76㎡）各18 套。</w:t>
      </w:r>
      <w:r>
        <w:rPr>
          <w:rFonts w:hint="eastAsia" w:ascii="宋体" w:hAnsi="宋体" w:eastAsia="宋体" w:cs="宋体"/>
          <w:color w:val="auto"/>
          <w:sz w:val="21"/>
          <w:szCs w:val="21"/>
          <w:highlight w:val="none"/>
        </w:rPr>
        <w:t>另有108 套小套(约23 ㎡)，为临时宿舍。</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2、交通停车及出入口。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大楼区域内机动车停车位共311 个，其中地上124个，地下室187 个，并设非机动车停车位。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出入口情况：大楼地面共有2 个出入口，南出入口朝四明山路，东出入口朝横河路。地下室有2 个车辆出入口。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三、主要设备配置情况</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大楼水、电、暖、智能化系统及其主要设备设施：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（1）电梯。共11 台，其中一区6 台，二区4 台，餐梯1 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（2）给排水系统。太河商务大楼供水采用变频恒压供水（1-2 层直供自来水，其余楼层为大楼泵压供水）。各类水泵有：消火栓泵2 台、自喷泵2 台、消火栓稳压泵2 台、自喷稳压泵2 台、潜水泵42 台、变频恒压供水泵2 台。室内排水废、污分流，室外雨、污分流，厨房废水经隔油池处理，地下室废水经集水坑、排水泵提升至室外，处理后废水同其余废水管合并，排入市政污水管道。</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（3）供电。采用10KV 双回路供电，有单独10KV 的高低配电房，变压器总安装容量为2500KVA，设置2 台1250KVA 变压器。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（4）空调设施。空调为VRV多联机空调系统，其中室外机组33 台，室内机组587 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智能化系统。设置闭路电视监控系统、电子巡更系统、室内报警系统、可视对讲系统、车库管理系统、及紧急广播系统、综合布线系统、计算机网络系统、家庭综合布线系统、一卡通管理系统、多媒体会议系统、机房建设系统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四、物业管理的总体要求、目标、委托事项和具体要求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（一）大楼物业管理的总体要求：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大楼物业管理思路定位为开放式、高档次的物业管理，要求供应商充分理解本项目的特点，对招标文件内所有的服务内容能按</w:t>
      </w:r>
      <w:r>
        <w:rPr>
          <w:rFonts w:hint="eastAsia" w:ascii="宋体" w:hAnsi="宋体" w:eastAsia="宋体" w:cs="宋体"/>
          <w:color w:val="auto"/>
          <w:sz w:val="21"/>
          <w:szCs w:val="21"/>
          <w:highlight w:val="none"/>
        </w:rPr>
        <w:t>国家级物业管理示范大厦标准</w:t>
      </w:r>
      <w:r>
        <w:rPr>
          <w:rFonts w:hint="eastAsia" w:ascii="宋体" w:hAnsi="宋体" w:eastAsia="宋体" w:cs="宋体"/>
          <w:color w:val="auto"/>
          <w:sz w:val="21"/>
          <w:szCs w:val="21"/>
          <w:highlight w:val="none"/>
        </w:rPr>
        <w:t>及操作规范作出实质性响应，以全国物业管理示范大厦的物业标准及操作规范制定物业管理具体服务方案并实施运作，严格按照既定管理目标管理大楼。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大楼物业管理采取“整体委托后勤管理服务”的方式，实行统一管理，综合服务。</w:t>
      </w:r>
      <w:r>
        <w:rPr>
          <w:rFonts w:hint="eastAsia" w:ascii="宋体" w:hAnsi="宋体" w:eastAsia="宋体" w:cs="宋体"/>
          <w:color w:val="auto"/>
          <w:sz w:val="21"/>
          <w:szCs w:val="21"/>
          <w:highlight w:val="none"/>
        </w:rPr>
        <w:t>项目实行总负责制，要求由项目总负责人和各部分业务主管组成项目的核心服务团队，要求供应商承诺派出的核心服务团队成员到岗率达100%，并接受采购人的业务考核。要求供应商接管后，导入ISO9000质量管理系列体系，严格按ISO14000环境质量管理体系要求和OHSAS18000（或GB/T28001）职业健康安全管理体系的要求提供服务。要求各类服务人员配置合理，统筹使用，在后勤服务期间，必须仪容整洁、仪表端正、礼仪规范；专业技术人员必须持证上岗，标志明显，作风严谨，服务规范；同时要求在采购人的管理下做好节能工作，配合采购人实现将能耗控制在合理的水平内，并能逐年下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（二）物业管理需达到的总体目标：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1、入住单位物业的总体管理满意率在95%以上；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2、房屋及设备、设施完好率98%以上；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3、维修及时率100%，急修及时率100%；维修工程合格率95%以上；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4、绿化完好率95%以上；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5、清洁管理无盲点，管理服务范围保持环境整洁，工作垃圾日产日清；有效保洁率95%以上；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6、投诉处理和回访率应达到100%；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7、道路、停车场完好率达到98%以上；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8、事故发生率控制在区安全责任考核目标要求内。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（三）委托物业管理项目内容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对于委托供应商提供物业管理服务的具体内容如下：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和设备设施管理：负责对整个大楼房屋及设施、设备的日常管理、维修养护、日常巡视、故障检修、应急处理，范围包括大楼建筑安装系统、电气设备、供配电及照明系统、电梯系统、暖通系统、给排水系统、消防系统、安保监控系统、建筑智能化和弱电系统、灯光音响系统、建筑幕墙、建筑装饰和室内外配套工程、落水管、污水井、门窗设施、大楼外围公共设施、附属设施等，以及对其他外来服务和施工单位的监督、管理、配合等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秩序维护服务：负责公共秩序维护管理与服务；负责大楼内及外围日常安全保卫工作，负责做好突发事件、重大活动和信访事件处置时期的安全保卫工作，负责办公大楼治安、交通与消防管理工作，包括门岗服务、巡视管理服务、车辆管理服务、监控管理服务、治安管理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、保洁服务与管理：负责环保管理及办公大楼公共区域卫生服务；负责大楼内外公共区域的保洁，负责指定区域和房间的保洁，负责楼内外环境的管理；负责大楼各类墙面、大理石的清洁保养工作。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、绿化养护：负责室外绿化的养护管理；负责对室内绿化租摆单位的管理工作。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、收发服务：负责大楼内收发室功能服务。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、管理受采购人委托管理使用与物业相关的工程图纸、档案、竣工验收资料等；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、负责承办采购人委托的后勤事务工作。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（四）具体工作要求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1、房屋和设备设施维护服务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（1）房屋和设备设施维护服务的目标。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依据现代企业管理要求，采用现代的设备设施管理理念、办法和手段，做好对房屋和设备管理维护工作，使其处于优良的状态，充分发挥设备的功能，提升应用价值，延长使用寿命，最大限度使物业得以保值；合理、科学地控制成本，建立健全设备管理制度，明确各种岗位工作标准，并制定具体的落实措施，为采购人提供优质高效的服务，并实现无重大责任事故或重大安全事故的安全生产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（2）设备设施服务的标准与要求：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严格按规范做好房屋与设备管理服务，确保房屋使用、改装、室内装修等事项安全可靠确保各类设备系统正常使用。落实设备安全运行的岗位责任制；定期巡检和维护保养，严格执行维修保养和操作使用规程，并按规定记录设备运行状况。具体维修时根据各相关设备的保修情况联系设备提供商进行维护维修。负责与专业维保单位等第三方的联系及现场管理工作，记录专业维保单位的服务情况，并进一步向采购人提出合理化建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2.2定期开展设备检测工作（检测范围： 电梯检测、避雷检测、生活水质检测、绝缘工具检测（不含高压地毯）、计量表检测、压力容器检测、预防性分项检测），并将检测结果及时将报告采购人。各类设备维保合同也需及时上报采购人备案。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2.3设备机房环境整洁，物品摆放有序；机房内严禁吸烟、饮酒等，无关人员不得随意入内。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强化日常工作巡查，及时发现并解决问题，做好问题处理情况的记录。在接到维修通知后，应在15分钟内到达现场，维修及时率保证达到100％。原则上要求修期限为24小时。要求保证维修质量，减少返修，并有回访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2.5每月底向采购人提交设备管理服务运行情况工作报告。对各类消防器材每月检查和测试一次，并将检查、测试的结果书面报采购人。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2.6及时记录各类维修材料损耗和流向情况，定期分析物耗使用变化的具体原因。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制订供电、给排水事故等应急处理方案。有计划限停水电时，应及时通知采购人。一旦发生事故，维修人员须在15分钟内抵现场抢修。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 设备图纸、档案资料收集齐全、分类清晰、管理完善；建立设备台账，登记详细，账物相符。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2.9积极开展节能降耗工作，每月提供能耗数据分析报告，提出节能降耗的合理化建议。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（3）以下是需维护、保养、管理的设备设施系统名称。要求供应商提供管理服务方案，对设备、设施的运行和维护实施年、季、月的计划管理制度。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 供配电系统: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3.2给排水系统；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3.3消防系统；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3.4空调系统；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3.5电梯系统；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3.6楼宇自动化系统；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3.7安防系统；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3.8照明系统；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3.9监控系统；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3.10会议系统；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3.11高低压电器设备；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3.12天然气泄漏报警系统。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3.13建筑与装修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2、秩序维护服务服务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（1）秩序维护服务的的目标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依据现代秩序维护管理服务的要求，通过周密、严格、规范、高效的安全管理，做好防火、抵御自然灾害的各项常规工作，保证大楼区域内公共秩序井然有序，公共活动正常开展，人身、财产得以保障，防止交通事故和车辆被损、被盗情况的发生，并实现零事故的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（2）秩序维护服务标准与要求：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提供公共安全管理，要求确保大楼区域内人身财产安全，秩序维护员对大楼整个区域进行全天候秩序维护值勤，设立固定秩序维护岗位和流动巡逻岗，对违法违纪行为要及时处理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保障行政大楼公共秩序良好。主要门岗岗位24小时值班，监控室24小时安排人员值班；各办公区和公共区域定时巡逻；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对停车场、车辆进行安全与交通管理，包括临时停车管理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保证停车场的车辆停放整齐、交通有序，保证车辆安全。维护正常交通秩序，防止交通事故和车辆被损、被盗情况的发生；中心区地面和地下车库定时巡逻。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做好日常防火及做好抵御自然灾害的各项常规工作；建立各类应急预案（如防火、防盗、防破坏、防自然灾害事故、群体性事件等），培训相关人员达到相关要求并组织演练。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4 设立固定岗、游动岗和机动应急分队，建立一个严密可靠的安全队伍体系。具体秩序维护流动及固定岗位设定，巡更点及路线，全天巡更次数等秩序维护实施细则必须按采购人要求，中标供应商须无条件执行。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重大任务必须事先制订周密的方案，并严格按方案实施。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2.6各岗位工作要求如下: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门岗：维持门口秩序，保证出入畅通；做好外来车辆、办事人员出入大门的登记；外运物品须由业主单位开具证明并岗位核对后方可放行；对上访群众做好“劝、疏、阻”工作，并按程序及时上报有关部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（2）楼层岗：熟悉楼层办公分布情况及办公人员，落实不定期巡查制度；加强重点楼层（党政首脑机关）的安全防范，阻止无关人员的进入和上访群众的冲击。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（3）监控岗：操作人员必须持证上岗，熟知各类监控设备的性能、作用，熟练使用监控设备，实行24小时不间断的运转，提供完整无缺、清晰全面的记录。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（4）交通岗：做好机动车辆有序停放管理，维护出入秩序和停车秩序。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定期做好对防火设备和消防器材的使用、设置及保养情况的检查，并做好应对突发事件（灾害事故）的处置预案，以确保安全。发生突发事件时大楼的全体保安人员必须全体到岗待命，随时服从上级领导或公安部门的指挥、调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3、保洁和绿化服务。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（1）保洁服务的范围。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1.1大楼范围所有公共部位包括公共会议室、活动室、大厅、电梯、走廊、楼梯、楼道、卫生间、茶水间、停车场及道路的保洁工作。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 指定区域的办公室室内保洁工作（室内面积约2000平米）。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楼内各类墙面、大理石的清洁保养工作。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 楼外墙及玻璃幕墙（不少于1次/年）的清洁保养工作。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垃圾的清运工作，并确保大楼排污正常。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 适当范围内的新增保洁管理服务项目。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（2）保洁服务的标准与要求：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清洁、保洁区内实行全天12小时保洁制，垃圾日产日清并按指定位置倒入，卫生设施齐全、完好率达99%以上，对损坏的卫生设施及时进行处理。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大厅内地面大理石应保持干净、光亮；其它部位，如墙面、台面、栏杆、椅子、沙发、灯座等应保持光亮、整洁；大厅玻璃门、窗、框应保持干净，光亮；大厅内不锈钢应保持光亮。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走廊：随时打扫，保持地面、墙壁、顶棚的洁净，无杂物，无污痕，无尘挂，清洁光亮；灯罩内无垃圾；走道四角及踢脚板应保持干净卫生。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2.4 洗手间：大楼内卫生间洗手液、卫生纸、擦手纸足量保障（每个洗手处需配置盒装擦手纸）；随时打扫，保持洁具、墙面、地面、玻璃等室内设施的清洁、无异味、无积水。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指定办公室的保洁：指定专人定时打扫，保持地面、墙面、家具、门窗、空调、踢脚线等部位的清洁卫生。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机动车和非机动车停车场的地面、立柱、墙面、管道保持干净卫生。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区域内公共场所大面积保洁服务时（如外墙清洗、地毯清洗等），需提前1个月将保洁计划书报采购人审核，经同意后方可实施。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 负责在区域内消灭蚊虫、苍蝇、蟑螂、老鼠等的工作，达到区爱卫会的有关标准。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供应商可选择专业保洁公司提供服务人员，但不能转移其管理责任。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（3）绿化养护的服务要求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3.1外绿化由供应商负责日常养护，供应商可选择专业绿化公司养护，但不能转移管理责任。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室外绿化的种植和养护原则上按照《宁波市园林绿化管理条例》实施，达到绿化、净化、美化的要求。绿化养护需达到95%完好率目标。草坪无高大杂草，绿地无夹生或野生的攀援植物。花草树木长势良好，修剪整齐美观，无病虫害，无折损现象，无斑秃；绿化建筑小品无损坏；盆花无纸屑、烟头等杂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3.3每年制定年度绿化养护方案和绿化更新方案报采购人批准。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3.4供应商应在汛期、台风季节落实植株的保护措施，做好防护工作。要做好病虫灾害的防治工作，以保障树木的健康成长。要做好室外植物抗旱防冻的防护措施。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3.5室外绿化灌溉一律不得用自来水。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防台防汛等灾害抢救。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立统一服务电话，实行24小时值班值勤制度，随时接受采购人及用户对物业管理报修、求助、建议、问询、质疑、投拆等各类信息的收集和反馈，并及时处理，有回访制度和记录，处理率和回访率应达到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（2）提供收发室服务。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（3）供应商还需提供防台防讯措施的方案。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五、机构配置和人员配置要求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（一）机构配置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根据以上要求，供应商必须为大楼设立专门管理处，内设业户服务、设备管理、秩序维护、保洁绿化等相应专业部门，实施管辖区域内统一的物业管理。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（二）人员配置数量、岗位。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对物业人员配置的数量要求如下：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（1）▲供应商必须配备不少于46人的管理服务团队。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（2）具体部门岗位人数要求：业户服务部门3 名；保洁绿化部门22名，无兼职岗位，保洁服务可外包（内保洁人员除外）；秩序维护部门15名，无兼职岗位；设备管理部门6 名，无兼职岗位。具体岗位设置详见以下表格：</w:t>
      </w:r>
    </w:p>
    <w:tbl>
      <w:tblPr>
        <w:tblStyle w:val="1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2430"/>
        <w:gridCol w:w="1095"/>
        <w:gridCol w:w="1021"/>
        <w:gridCol w:w="1984"/>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岗位人数</w:t>
            </w:r>
          </w:p>
        </w:tc>
        <w:tc>
          <w:tcPr>
            <w:tcW w:w="10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业户服务（3人）</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设备管理（6人）</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设备主管</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核算员、仓管员兼收发员</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弱电工</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4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业务接待</w:t>
            </w:r>
          </w:p>
        </w:tc>
        <w:tc>
          <w:tcPr>
            <w:tcW w:w="109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高压值班电工</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4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空调工</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保洁绿化（22人）</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保洁绿化主管</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房修工</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保洁领班</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秩序维护（15人）</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秩序维护主管</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1#公寓楼内保洁</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秩序维护领班</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办公楼及外围保洁员</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巡逻岗</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2#公寓楼保洁员</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东门岗</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保洁技工</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地下室</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监控岗</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车辆岗</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542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46名</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（三）人员素质要求：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1、主要核心岗位的人员素质要求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r>
        <w:rPr>
          <w:rFonts w:hint="eastAsia" w:ascii="宋体" w:hAnsi="宋体" w:eastAsia="宋体" w:cs="宋体"/>
          <w:color w:val="auto"/>
          <w:sz w:val="21"/>
          <w:szCs w:val="21"/>
          <w:highlight w:val="none"/>
        </w:rPr>
        <w:t>（项目总负责人）</w:t>
      </w: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rPr>
        <w:t>大专</w:t>
      </w:r>
      <w:r>
        <w:rPr>
          <w:rFonts w:hint="eastAsia" w:ascii="宋体" w:hAnsi="宋体" w:eastAsia="宋体" w:cs="宋体"/>
          <w:color w:val="auto"/>
          <w:sz w:val="21"/>
          <w:szCs w:val="21"/>
          <w:highlight w:val="none"/>
        </w:rPr>
        <w:t>及以上学历，有高档办公大楼物业管理经验，有建设部</w:t>
      </w:r>
      <w:r>
        <w:rPr>
          <w:rFonts w:hint="eastAsia" w:ascii="宋体" w:hAnsi="宋体" w:eastAsia="宋体" w:cs="宋体"/>
          <w:color w:val="auto"/>
          <w:sz w:val="21"/>
          <w:szCs w:val="21"/>
          <w:highlight w:val="none"/>
        </w:rPr>
        <w:t>全国物业经理人</w:t>
      </w:r>
      <w:r>
        <w:rPr>
          <w:rFonts w:hint="eastAsia" w:ascii="宋体" w:hAnsi="宋体" w:eastAsia="宋体" w:cs="宋体"/>
          <w:color w:val="auto"/>
          <w:sz w:val="21"/>
          <w:szCs w:val="21"/>
          <w:highlight w:val="none"/>
        </w:rPr>
        <w:t>（或物业管理师）证书，有良好的团队精神和沟通技巧，有良好的指挥能力、语言交流能力和文字表达能力，有管理过单体建筑面积在3 万平米以上项目的经历。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秩序维护主管（男性）</w:t>
      </w:r>
      <w:r>
        <w:rPr>
          <w:rFonts w:hint="eastAsia" w:ascii="宋体" w:hAnsi="宋体" w:eastAsia="宋体" w:cs="宋体"/>
          <w:color w:val="auto"/>
          <w:sz w:val="21"/>
          <w:szCs w:val="21"/>
          <w:highlight w:val="none"/>
        </w:rPr>
        <w:t>：具有大专及以上学历，退伍军人优先，有从事过非住宅物业类似管理工作经历，仪表端正，有综合性大楼秩序维护经验和管理能力。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保洁主管</w:t>
      </w:r>
      <w:r>
        <w:rPr>
          <w:rFonts w:hint="eastAsia" w:ascii="宋体" w:hAnsi="宋体" w:eastAsia="宋体" w:cs="宋体"/>
          <w:color w:val="auto"/>
          <w:sz w:val="21"/>
          <w:szCs w:val="21"/>
          <w:highlight w:val="none"/>
        </w:rPr>
        <w:t>：具有高中及以上学历，有非住宅物业管理相关领域工作经历且45 岁以下，仪表端正，要求女性，最好具有星级酒店类似管理岗位三年以上工作经验。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设备设施主管</w:t>
      </w:r>
      <w:r>
        <w:rPr>
          <w:rFonts w:hint="eastAsia" w:ascii="宋体" w:hAnsi="宋体" w:eastAsia="宋体" w:cs="宋体"/>
          <w:color w:val="auto"/>
          <w:sz w:val="21"/>
          <w:szCs w:val="21"/>
          <w:highlight w:val="none"/>
        </w:rPr>
        <w:t>：具备本科及以上学历和中级及以上职称，具备从事大楼设备管理五年以上工作经验。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2、各岗位人员素质要求：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（1）设备维护类人员要求：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所有人员有培训合格上岗证，持有相关资格职业证书，具有实际操作工作经验，身体健康，工作认真负责，责任心强，吃苦耐劳，品德好。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高压值班电工：持有相关从业资格职业证书，具有实际操作工作经验，具有相应维修能力。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1.3电梯值班员：持有相关安全员资格证书，具有2年以上实操工作经验。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（2）秩序维护部人员要求：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保安人员配置中均为男性，所有保安人员男性身高要求168cm 及以上，学历要求初中及以上，年龄要求20岁-60岁之间。具有保安工作经验的人员，部队、武警、消防部队退役军人可适当放宽条件；身体健康，能说普通话，有较强的沟通能力，能吃苦耐劳，责任心强。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消控中心24小时值班的保安人员必须经过县级及以上消防部门培训合格才可上岗。保安人员中必须有1名人员专门负责消防业务。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（3）客服人员的要求：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女性，四十岁以下，身高160cm 以上，初中及以上学历，形象气质佳，身体健康，普通话标准，能懂宁波方言，工作认真负责，无不良嗜好及不良记录。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（4）其他工作人员的要求：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素质较好，仪表端正，敬业精神强，年龄在60周岁以下，无不良嗜好及不良记录；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（5）如特殊岗位年龄和其他条件另有需求，均须无条件接受采购人的要求。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（四）人员管理的基本要求。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1、要求在后勤服务期间，所用员工必须仪容整洁、仪表端正、礼仪规范。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2、除供应商自行对服务人员的培训外，如有需要，须接受采购人对服务人员的集中培训。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3、所有岗位均应建立岗位责任制，明确运作程序和工作质量标准，并无条件接受采购人监督检查。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4、所有配置人员必须专职为大楼服务，供应商不得委派兼职。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5、指定办公室的室内保洁服务人员必须由供应商员工承担，其他保洁人员允许专业服务外保单位派遣。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所有秩序维护员必须经过培训满足岗位能力需求和严格的政审后才能上岗。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7、各类专业技术（工程）人员须经过培训、考核并持有效证书方能上岗工作。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8、供应商应保持员工队伍相对稳定。各类主管、领班、</w:t>
      </w:r>
      <w:r>
        <w:rPr>
          <w:rFonts w:hint="eastAsia" w:ascii="宋体" w:hAnsi="宋体" w:eastAsia="宋体" w:cs="宋体"/>
          <w:color w:val="auto"/>
          <w:sz w:val="21"/>
          <w:szCs w:val="21"/>
          <w:highlight w:val="none"/>
        </w:rPr>
        <w:t>服务人员、</w:t>
      </w:r>
      <w:r>
        <w:rPr>
          <w:rFonts w:hint="eastAsia" w:ascii="宋体" w:hAnsi="宋体" w:eastAsia="宋体" w:cs="宋体"/>
          <w:color w:val="auto"/>
          <w:sz w:val="21"/>
          <w:szCs w:val="21"/>
          <w:highlight w:val="none"/>
        </w:rPr>
        <w:t>技术骨干等重要岗位聘用、离职、岗位调整需及时上报采购人同意。一般各类工程技术人员、秩序维护员、会务人员聘用、离职、岗位调整需及时向采购人备案。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9、供应商未能按标书配置人员，其物业费用扣减按合同和采购人对供应商的考核管理办法执行。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10、全体员工的劳动合同必须依法按时签订，并缴纳国家规定保险和税金及人身意外保险。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六、物业费用的组成和服务期限。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（一）物业管理服务费的组成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分三部分组成：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第一部分费用</w:t>
      </w:r>
      <w:r>
        <w:rPr>
          <w:rFonts w:hint="eastAsia" w:ascii="宋体" w:hAnsi="宋体" w:eastAsia="宋体" w:cs="宋体"/>
          <w:color w:val="auto"/>
          <w:sz w:val="21"/>
          <w:szCs w:val="21"/>
          <w:highlight w:val="none"/>
        </w:rPr>
        <w:t>包括以下：（1）所有人员费用(工资、各种社会保险、福利和津贴、特殊岗位、法定节假及日常加班费用)（2）人员综合费用（办公费用、服装费、工具和装备费、培训费、交通费等）（3）上述部分的管理费（4）上述部分的税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第二部分费用</w:t>
      </w:r>
      <w:r>
        <w:rPr>
          <w:rFonts w:hint="eastAsia" w:ascii="宋体" w:hAnsi="宋体" w:eastAsia="宋体" w:cs="宋体"/>
          <w:color w:val="auto"/>
          <w:sz w:val="21"/>
          <w:szCs w:val="21"/>
          <w:highlight w:val="none"/>
        </w:rPr>
        <w:t>包括以下：（1）灭虫灭害费、排污、垃圾清运费等费用（2）保洁用品及工具消耗、公共区域保洁耗材费 (3)物耗费用：包括各类物料、辅料和备品备件（4）小型公共维修、公共照明系统日常养护费、厨房设备零星维修、玻璃门、伸缩门维修（5）绿化养护费用（6）外墙、玻璃清洗费用（8）玻璃外墙漏水零星维修（9）电梯检测（10）上述部分的税金和管理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第三部分费用</w:t>
      </w:r>
      <w:r>
        <w:rPr>
          <w:rFonts w:hint="eastAsia" w:ascii="宋体" w:hAnsi="宋体" w:eastAsia="宋体" w:cs="宋体"/>
          <w:color w:val="auto"/>
          <w:sz w:val="21"/>
          <w:szCs w:val="21"/>
          <w:highlight w:val="none"/>
        </w:rPr>
        <w:t>包括以下：（1)各类设施设备的检测费用、专业技术外包，范围如下：消防系统、供水系统、电气设备、弱电系统、避雷系统、 绝缘工具检测（不含高压地毯）、计量表检测、压力容器检测 、预防性专业分项测试、VRV机组维保、电梯系统（2）上述部分的税金和管理费。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各项费用报价说明：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1、报价按年度费用综合测算报价，并按以上内容分三部分报价。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2、第一部分费用中人员费用按不少于</w:t>
      </w:r>
      <w:r>
        <w:rPr>
          <w:rFonts w:hint="eastAsia" w:ascii="宋体" w:hAnsi="宋体" w:eastAsia="宋体" w:cs="宋体"/>
          <w:color w:val="auto"/>
          <w:sz w:val="21"/>
          <w:szCs w:val="21"/>
          <w:highlight w:val="none"/>
          <w:lang w:val="en-US" w:eastAsia="zh-CN"/>
        </w:rPr>
        <w:t>46人</w:t>
      </w:r>
      <w:r>
        <w:rPr>
          <w:rFonts w:hint="eastAsia" w:ascii="宋体" w:hAnsi="宋体" w:eastAsia="宋体" w:cs="宋体"/>
          <w:color w:val="auto"/>
          <w:sz w:val="21"/>
          <w:szCs w:val="21"/>
          <w:highlight w:val="none"/>
        </w:rPr>
        <w:t>测算，并已含大楼常规管理的人员加班费用。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第二部分的费用实行专款专用，结余部分不得转为物业公司利润，但可转入下年度使用，对该费用使用支出均需报采购人同意后方可实施和拨付使用。对于该费用的支出，采购人有权对其使用支出方案进行调整，供应商须满足采购人的合理要求和其监督实际支出情况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4、第三部门的费用使用原则同第二部分。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物业服务费用由投标人自行报价。其中人员基本工资不得低于宁波市政府相关部门最新发布的宁波市最低劳动工资。投标人应考虑潜在的市场风险及政策风险，在合同履行期间如遇法定基本工资上调等政策性因素的情况，合同价均不作调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除招标文件已注明外，通信器材、警具装备（除对讲机、警用设备外）、员工服装、保洁用的日常工具和耗材、日常设备维护保养、部分检测费用及耗材、绿化养护耗材由物业公司负责，其费用包括在投标价中。物业办公用房和办公家具由采购人提供，物业办公用房面积合计约50 平米，其他用房合计约120 平米。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7、采购人单位应承担的费用：（1）能耗费用：包括水、电、燃气、蒸气；（2）室内盆花植物租赁费用（3）房屋设备大中维修费用（4）其他相关费用。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（二）物业支付方式：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费实行按月支付，年终结算，每月支付额度以物业费用总额度95%的12分之一进行等额支付，5%的物业费用年终考核后在下一年度的第一个月支付。考核金的8%将作为日常及年度物业优秀集体及员工的奖励金（与采购方商定考核奖励办法）。（如出现与标书中服务承诺重大偏离，可按合同和考核办法扣除相应的物业费用后支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（三）考核约定和保证金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要求供应商</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纳物业进场服务履约保证金</w:t>
      </w:r>
      <w:r>
        <w:rPr>
          <w:rFonts w:hint="eastAsia" w:ascii="宋体" w:hAnsi="宋体" w:eastAsia="宋体" w:cs="宋体"/>
          <w:color w:val="auto"/>
          <w:sz w:val="21"/>
          <w:szCs w:val="21"/>
          <w:highlight w:val="none"/>
        </w:rPr>
        <w:t>，作为赔偿和不履行合同的保证金，合同到期退还。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取5%比率的物业费用，作为考核资金，次年第一个月支付。每个年末由采购人按照供应商承诺的服务目标及技术规程进行考核，如考核合格，采购人即向供应商支付年度服务费的余额。如达不到要求作相应扣减（扣减比例将由双方在合同条款或考核管理办法中明确）。考核应结合对服务对象满意度测评，采购人平时工作巡查记录，以及对不满意事项的整改情况。投标人应在十个工作日内以书面形式反馈整改结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对人员到岗率实行随时检查和每月考核相结合，如有人员不到位情况，则扣减相应费用，按实际到岗率同比率扣减相应服务费用。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3、考核办法详见《北仑区机关事务管理局物业管理服务监管与考核办法》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（四）管理期限：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本轮物业管理合同期限暂定为暂定2年零8个月，2024年10月1日至2027年5月31日。管理合同为一年一签，合同期末经考核，如达到满意程度，协商一致后续签下一年度的管理合同。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七、各项重要说明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（一）本项物业管理服务实行统一管理，综合服务，其中绿化养护、保洁、秩序维护、部分设施设备维护可引入专业公司，但中标方不得转移其管理责任。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（二）在发出中标通知书后，给予不超过一个月的准备期，要求中标供应商按期与原供应商进行交接。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（三）物业费用计算以大楼正式移交接管之日起计，之前物业管理人员费用和培训费用由供应商负责。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中标供应商需负责好各类建设图纸、工程档案等建筑档案的接管清点工作。接管后，需全面建立健全大楼物业管理档案资料，如设备巡视记录、保安巡岗记录、报修记录单、保洁工作记录以及其他需要记录在案的文档，并做好各项保密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（五）在物业管理工作中确保采购人提供的设备、设施完好，如因员工不慎导致设备、设施损坏、灭失，供应商应按原价赔偿。由于秩序维护服务不到位造成财产与设施损失的，供应商须承担相应的赔偿责任。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（六）人员服装样式须经采购人认可后方可穿着。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（七）中标供应商要遵守各项保密制度，防止不宜公开的资料、文件和信息的泄露。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（八）中标供应商应认真听取采购人提出的建议和意见，并接受采购人制定的考核管理规定，对在物业管理中出现的问题和薄弱环节应立即整改。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（九）中标供应商须将节能工作作为日常工作之一，并达到采购人和其他管理部门的节能考核之要求。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（十）合理化建议。中标供应商提出的合理化建议要求切实可行，具有可操作性。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 采购人有权对中标供应商各工作岗位的服务质量随时进行抽查。如发现问题，供应商应及时整改。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（十二）如中标供应商非现大楼物业服务单位，须做好现有物业人员的招聘工作，其人员留用比率和名单需上报采购人，同时应自行事先做好与现有物业服务单位的沟通工作。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（十三）其它临时性杂项及应急服务在招标文件中未提及的，由投标人自行考虑并将相关费用包含在中标价中，漏项责任由投标人自负。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(十四)核心管理团队到岗率必须达到100%，其人员素质和资历必须达到采购人对其人员素质要求和投标书承诺，如不能在投标书中承诺部分不得分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若采购人在投标文件中承诺的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但在实际管理时不能履行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视同违约。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八、其他说明：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本项目为物业管理采购，投标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必须对所有服务项目完全响应</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供应商投标所使用的资格、信誉、荣誉、业绩与企业认证证书必须为该供应商所拥有。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标项二：北仑行政中心B楼、档案楼物业服务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第一部分：北仑行政中心B楼物业服务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一、采购内容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（一）项目名称：北仑行政中心B楼物业管理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（二）服务期限：暂定</w:t>
      </w:r>
      <w:r>
        <w:rPr>
          <w:rFonts w:hint="eastAsia" w:ascii="宋体" w:hAnsi="宋体" w:eastAsia="宋体" w:cs="宋体"/>
          <w:color w:val="auto"/>
          <w:sz w:val="21"/>
          <w:szCs w:val="21"/>
          <w:highlight w:val="none"/>
          <w:lang w:val="en-US" w:eastAsia="zh-CN"/>
        </w:rPr>
        <w:t>2年零8个月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二、项目概况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（一）物业类型：综合性办公大楼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（二）服务范围：办公大楼（一幢）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（三）物业名称：北仑区行政大楼B</w:t>
      </w:r>
      <w:r>
        <w:rPr>
          <w:rFonts w:hint="eastAsia" w:ascii="宋体" w:hAnsi="宋体" w:eastAsia="宋体" w:cs="宋体"/>
          <w:color w:val="auto"/>
          <w:sz w:val="21"/>
          <w:szCs w:val="21"/>
          <w:highlight w:val="none"/>
          <w:lang w:eastAsia="zh-CN"/>
        </w:rPr>
        <w:t>楼</w:t>
      </w:r>
      <w:r>
        <w:rPr>
          <w:rFonts w:hint="eastAsia" w:ascii="宋体" w:hAnsi="宋体" w:eastAsia="宋体" w:cs="宋体"/>
          <w:color w:val="auto"/>
          <w:sz w:val="21"/>
          <w:szCs w:val="21"/>
          <w:highlight w:val="none"/>
        </w:rPr>
        <w:t>（以下简称大楼）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（四）坐落位置：宁波市北仑区长江路1166号。若投标人需进一步了解情况，请进行现场踏勘。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（五）主要经济技术指标：总建筑面积55976.60平方米，室外绿化面积约17100平方米。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（六）大楼主要功能及设施设备情况：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概况：大楼共8层，地上7层，地下1层，每层电梯厅8个，共有办公室370间，会议室44间，公共卫生间42间。大楼东侧二层为北仑区行政服务大厅，是开放式办证服务中心；西侧一至二层为国地税纳税大厅及办公区域。二楼还设有可供500多人同时就餐的大型餐厅。三楼有</w:t>
      </w:r>
      <w:r>
        <w:rPr>
          <w:rFonts w:hint="eastAsia" w:ascii="宋体" w:hAnsi="宋体" w:eastAsia="宋体" w:cs="宋体"/>
          <w:strike w:val="0"/>
          <w:dstrike w:val="0"/>
          <w:color w:val="auto"/>
          <w:sz w:val="21"/>
          <w:szCs w:val="21"/>
          <w:highlight w:val="none"/>
          <w:lang w:val="en-US" w:eastAsia="zh-CN"/>
        </w:rPr>
        <w:t>公共资源交易中心</w:t>
      </w:r>
      <w:r>
        <w:rPr>
          <w:rFonts w:hint="eastAsia" w:ascii="宋体" w:hAnsi="宋体" w:eastAsia="宋体" w:cs="宋体"/>
          <w:color w:val="auto"/>
          <w:sz w:val="21"/>
          <w:szCs w:val="21"/>
          <w:highlight w:val="none"/>
        </w:rPr>
        <w:t>等单位办公，并设有大型会议室，可承接500人以上的大型会议。四楼至七楼为机关办公区域。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2、交通及出入口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有东、南、西、北四个主要出入口，东门为行政服务中心大门，与行政A楼相连；南门为礼仪通道，入门可直接进入一楼行政服务大厅；西门为国地税办税大厅入口；北门与四明山路相接，供工作/办事人员日常出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3、基本设施情况：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（1）电梯系统：共有电梯8台电梯，1台餐梯，供大楼食堂内部使用。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暧通系统：150万大卡溴化锂机组2台（江苏双良），100万大卡螺杆机组1台（特灵），100万大卡板式热交换器2台，142万大卡冷却塔3台（每小时280吨），各类水泵12台（其中75千瓦3台，50千瓦3台，37千瓦2台，30千瓦2台，18千瓦2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（3）给排水系统：变频生活水泵3台（格兰富）（每台7.5千瓦），排污泵8台（每台2.2千瓦），生活水箱1只（60吨）</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（4）供配电系统：变压器4台（每台800千伏安），变配电所2个，环网柜4只。</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（5）消防系统：地下一层至七层，共有烟感1990余只、温感60余只、喷淋点4000余个，室内消防栓176只，室外消防栓7只。</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（6）楼宇智能化系统：大楼监控系统，楼宇对讲系统，消防广播电话系统，红外线门禁系统，车闸系统，空调变频及控制方式有：开关量、时间量、风量。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（七）大楼的运行特征：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作为北仑行政中心办公楼，其运行特点如下：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（1）大楼安全等级要求高，人员进出量大，并且较多政府部门（教育局、</w:t>
      </w:r>
      <w:r>
        <w:rPr>
          <w:rFonts w:hint="eastAsia" w:ascii="宋体" w:hAnsi="宋体" w:eastAsia="宋体" w:cs="宋体"/>
          <w:color w:val="auto"/>
          <w:sz w:val="21"/>
          <w:szCs w:val="21"/>
          <w:highlight w:val="none"/>
          <w:lang w:eastAsia="zh-CN"/>
        </w:rPr>
        <w:t>公建中心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公共资源交易中心</w:t>
      </w:r>
      <w:r>
        <w:rPr>
          <w:rFonts w:hint="eastAsia" w:ascii="宋体" w:hAnsi="宋体" w:eastAsia="宋体" w:cs="宋体"/>
          <w:color w:val="auto"/>
          <w:sz w:val="21"/>
          <w:szCs w:val="21"/>
          <w:highlight w:val="none"/>
        </w:rPr>
        <w:t>以及行政服务中心、国地税等）在大楼内办公，来访、办事人员成分复杂，门卫管理要求高；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（2）应对突发应急事件要求较高；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（3）接待活动多，会务、接待等服务要求高；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（4）重要办公区域服务标准要求高，对工作及服务人员服务质量和保密性要求高；部分岗位对人员形象要求较高；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（5）大楼设备运行</w:t>
      </w:r>
      <w:r>
        <w:rPr>
          <w:rFonts w:hint="eastAsia" w:ascii="宋体" w:hAnsi="宋体" w:eastAsia="宋体" w:cs="宋体"/>
          <w:color w:val="auto"/>
          <w:sz w:val="21"/>
          <w:szCs w:val="21"/>
          <w:highlight w:val="none"/>
          <w:lang w:eastAsia="zh-CN"/>
        </w:rPr>
        <w:t>将近</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0年，设备总量多，维护要求高。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三、物业管理的总体要求、目标、委托事项和具体要求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（一）大楼物业管理的总体要求：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物业管理思路定位为外围开放式、楼内封闭式，高档次的物业管理，要求供应商充分理解本项目的特点，对招标文件内所有的服务内容按宁波市物业管理优秀大厦标准及操作规范作出实质性响应，以宁波市物业管理优秀大厦标准及操作规范制定物业管理具体服务方案并实施运作，严格按照既定管理目标管理大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大楼物业管理采取“整体委托后勤管理服务”的方式，实行统一管理，综合服务。</w:t>
      </w:r>
      <w:r>
        <w:rPr>
          <w:rFonts w:hint="eastAsia" w:ascii="宋体" w:hAnsi="宋体" w:eastAsia="宋体" w:cs="宋体"/>
          <w:color w:val="auto"/>
          <w:sz w:val="21"/>
          <w:szCs w:val="21"/>
          <w:highlight w:val="none"/>
        </w:rPr>
        <w:t>项目实行总负责制，要求由项目总负责人和各部分业务主管组成项目的核心服务团队，要求供应商承诺派出的核心服务团队成员到岗率达100%，并接受采购人的业务考核。要求供应商接管后，导入ISO9000质量管理系列体系，严格按ISO14000环境质量管理体系要求和OHSAS18000（或GB/T28001）职业健康安全管理体系的要求提供服务。要求各类服务人员配置合理，统筹使用，在后勤服务期间，必须仪容整洁、仪表端正、礼仪规范；专业技术人员必须持证上岗，标志明显，作风严谨，服务规范；同时要求在采购人的管理下做好节能工作，配合采购人实现将能耗控制在合理的水平内，并能逐年下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（二）物业管理需达到的总体目标：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1、入住单位物业的总体管理满意率在95%以上；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2、房屋及设备、设施完好率98%以上；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3、维修及时率100%，急修及时率100%；维修工程合格率100%，优良率95%以上；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4、绿化成活率98%，完好率98%以上；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5、清洁管理无盲点，管理服务范围保持环境整洁，工作垃圾日产日清；有效保洁率100%；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6、投诉处理和回访率应达到100%；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7、道路、停车场完好率达到98%以上；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8、无安全事故发生，设施设备故障发生率控制在区安全责任考核目标要求内。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（三）委托物业管理项目内容。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对于委托供应商提供物业管理服务的具体内容如下：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和设备设施管理：负责对整个大楼房屋及设施、设备的日常管理、维修养护、日常巡视、故障检修、应急处理。范围包括大楼建筑安装系统、电气设备、供配电及照明系统、电梯系统、暖通系统、给排水系统、消防系统、安保监控系统、建筑智能化和弱电系统、灯光音响系统、建筑幕墙、建筑装饰和室内外配套工程、落水管、污水井、门窗设施、大楼外围公共设施、附属设施等，以及对其他外来服务和施工单位的监督、管理、配合等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秩序维护服务：负责大楼公共秩序维护管理与服务；负责大楼内及外围日常安全保卫工作，负责做好各类应急事件、重大活动和信访事件处置时期的安全保卫工作，负责办公大楼治安、交通与消防管理工作，包括门岗服务、来宾接待服务、巡视管理服务、车辆管理服务、监控管理服务、治安管理服务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3、保洁服务与管理：负责办公大楼</w:t>
      </w:r>
      <w:r>
        <w:rPr>
          <w:rFonts w:hint="eastAsia" w:ascii="宋体" w:hAnsi="宋体" w:eastAsia="宋体" w:cs="宋体"/>
          <w:color w:val="auto"/>
          <w:sz w:val="21"/>
          <w:szCs w:val="21"/>
          <w:highlight w:val="none"/>
          <w:lang w:eastAsia="zh-CN"/>
        </w:rPr>
        <w:t>环境</w:t>
      </w:r>
      <w:r>
        <w:rPr>
          <w:rFonts w:hint="eastAsia" w:ascii="宋体" w:hAnsi="宋体" w:eastAsia="宋体" w:cs="宋体"/>
          <w:color w:val="auto"/>
          <w:sz w:val="21"/>
          <w:szCs w:val="21"/>
          <w:highlight w:val="none"/>
        </w:rPr>
        <w:t>管理及公共区域卫生服务；负责大楼内外公共区域的保洁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负责指定区域的保洁，负责楼内外环境的管理；负责大楼各类墙面、大理石的清洁保养工作。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4、绿化养护：负责室外绿化的养护管理和对室内绿化监管工作。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5、会务辅助服务：大楼内两代会以及重大活动服务时，协助机关事务管理局统一安排，做好会议服务的辅助支持工作，其服务时间不仅限于工作日，会场内的桌椅搬迁布置、人员加班等不再另计费用。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6、收发服务：负责大楼内收发室功能服务。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7、管理受采购人委托管理使用的各类资产及物业相关的工程图纸、档案、竣工验收资料等；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8、负责承办采购人委托的其他后勤事务工作。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（四）具体工作要求。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1、房屋和设备设施维护服务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（1）房屋和设备设施维护服务的目标。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依据现代企业管理要求，采用现代的设备设施管理理念、办法和手段，做好对房屋和设备管理维护工作，使其处于优良的状态，充分发挥设备的功能，提升应用价值，延长使用寿命，最大限度使物业得以保值；合理、科学地控制成本，建立健全设备管理制度，明确各种岗位工作标准，并制定具体的落实措施，为采购人提供优质高效的服务，并实现无安全事故的安全生产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（2）房屋和设备设施维护服务的标准与要求：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严格按规范做好房屋与设备管理服务，确保房屋使用、改装、室内装修等事项安全可靠确保各类设备系统正常使用。落实设备安全运行的岗位责任制；定期巡检和维护保养，严格执行维修保养和操作使用规程，并按规定记录设备运行状况。具体维修时根据各相关设备的保修情况联系设备提供商进行维护维修。负责与专业维保单位等第三方的联系及现场管理工作，记录专业维保单位的服务情况，并进一步向采购人提出合理化建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2.2定期开展设备检测工作，并将检测结果及时报告采购人。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2.3设备机房环境整洁，物品摆放有序；机房内严禁吸烟、饮酒等，无关人员不得随意入内。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强化日常工作巡查，及时发现并解决问题，做好问题处理情况的记录。在接到维修通知后，应在10分钟内到达现场，维修及时率保证达到100％。原则上要求维修期限为24小时。要求保证维修质量，减少返修，并有回访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2.5每月底向采购人提交设备管理服务运行情况工作报告。对各类消防器材每月检查和测试一次，并将检查、测试的结果书面报采购人。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2.6及时记录各类维修材料损耗和流向情况，定期分析物耗使用变化的具体原因。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制订供电、给排水事故等应急处理方案。有计划限停水电时，应及时通知采购人。一旦发生事故，维修人员须在10分钟内抵现场抢修。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 设备图纸、档案资料收集齐全、分类清晰、管理完善；建立设备台账，登记详细，账物相符。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2.9积极开展节能降耗工作，每月提供能耗数据分析报告，提出节能降耗的合理化建议。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2、秩序维护服务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（1）秩序维护服务的的目标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商依据现代秩序维护管理服务的要求，通过周密、严格、规范、高效的安全管理，做好防火、防盗抵御自然灾害的各项常规工作，保证大楼区域内公共秩序井然有序，公共活动正常开展，人身、财产得以保障，防止交通事故和车辆被损、被盗情况的发生，并实现零事故的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（2）秩序维护服务标准与要求：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提供公共安全管理要求确保大楼区域内人身财产安全，秩序维护员对大楼整个区域进行全天候秩序维护值勤巡逻，设立固定秩序维护岗位和流动巡逻岗，对违规行为要及时处置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保障行政大楼公共秩序良好。主要门岗岗位24小时值班，高配房、监控室24小时安排人员值班；各办公区和公共区域定时巡逻。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对停车场、车辆进行安全与交通管理，包括临时停车管理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保证停车场的车辆停放整齐、交通有序，保证车辆安全。维护正常交通秩序，防止交通事故和车辆被损、被盗情况的发生；中心区地面和地下车库定时巡逻。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做好日常防火及做好抵御自然灾害的各项常规工作；建立各类应急预案（如防火、防盗、防破坏、防自然灾害事故、群体性事件等），培训相关人员达到相关要求并组织演练。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4 设立固定岗、移动岗和机动应急分队，建立一个严密可靠的安全队伍体系。具体秩序维护流动及固定岗位设定，巡更点及路线，全天巡更次数等秩序维护实施细则必须按采购人要求，中标供应商须无条件执行。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2.5重大任务必须按事先制订周密的方（预）案，并严格按方案实施。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2.6各岗位工作要求如下: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（1）门岗：北门岗实行24小时不间断服务，维持门岗秩序；外运物品须由业主单位开具证明并岗位核对后方可放行；对上访群众做好“劝、疏、阻”工作，并按程序及时上报有关部门。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（2）楼层岗：熟悉楼层办公分布情况及办公人员，落实不定期不定线路，不留死角巡查制度；加强重点楼层（党政首脑机关）的巡查安全防范工作，阻止无关人员的进入和上访人员的冲击。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（3）监控岗：熟知消控设备、监控设备的性能、方位、作用，熟练消控、监控设备的基本操作，实行24小时不间断的运转，提供完整无缺、清晰全面的记录并严格执行保密制度。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（4）交通岗：做好机动车辆有序停放管理，维护出入秩序和停车秩序，管理好各种车辆，统一指挥各种机动车非机动车按规定停放。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（5）巡视岗：大楼区域内实行24小时定时巡视服务。制定不同的巡逻路线，重点部位做好巡逻记录。在遇到异常情况和业主紧急求助时，3分钟内赶到现场，采取相应措施。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定期做好对防火设备和消防器材的使用、设置及保养情况的检查，并做好应对各类突发事件（灾害事故）的处置预案，以确保安全。发生突发事件时大楼的全体保安人员必须在规定时间内全体到岗待命，随时服从上级领导或公安部门的指挥、调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3、保洁和绿化服务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（1）保洁服务的范围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1.1大楼范围所有公共部位包括公共会议室、活动室、大厅、电梯、走廊、楼梯、楼道、卫生间、茶水间、停车场及道路的保洁工作。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 指定区域的保洁工作。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 楼内各类墙面、大理石的清洁保养工作。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 楼外墙及玻璃幕墙（</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次/年）的清洁保养工作。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 垃圾的清运工作，并确保大楼排污正常。 </w:t>
      </w:r>
      <w:r>
        <w:rPr>
          <w:rFonts w:hint="eastAsia" w:ascii="宋体" w:hAnsi="宋体" w:eastAsia="宋体" w:cs="宋体"/>
          <w:color w:val="auto"/>
          <w:sz w:val="21"/>
          <w:szCs w:val="21"/>
          <w:highlight w:val="none"/>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 适当范围内的新增保洁管理服务项目。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（2）保洁服务的标准与要求：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清洁、保洁区内实行全天不定时动态保洁制，确保大楼办公环境清洁卫生，垃圾日产日清并按指定位置倒入，卫生设施齐全、完好率达99%以上，对损坏的卫生设施及时进行处理。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大厅内地面大理石应保持干净、光亮；其它部位，如墙面、台面、栏杆、椅子、沙发、灯座等应保持光亮、整洁；大厅玻璃门、窗、框应保持干净，光亮；大厅内不锈钢应保持光亮。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走廊：随时打扫，保持地面、墙壁、顶棚的洁净，无杂物，无污痕，无尘挂，清洁光亮；灯罩内无垃圾；走道四角及踢脚板应保持干净卫生。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洗手间：大楼内卫生间洗手液、卫生纸、擦手纸足量保障（每个洗手处需配置盒装擦手纸）；随时打扫，保持洁具、墙面、地面、玻璃等室内设施的清洁、无异味、无积水。保洁人员发现设施设备故障逐级汇报，并由主管及时登记并报公司维修部门，同时应按首问责任制要求，有义务跟踪处理结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指定办公室的保洁：指定专人定时打扫，保持地面、墙面、家具、门窗、空调、踢脚线等部位的清洁卫生。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机动车和非机动车停车场的地面、立柱、墙面、管道保持干净卫生。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区域内公共场所大面积保洁服务时（如外墙清洗、地毯清洗等），需提前1个月将保洁计划书报采购人审核，经同意后方可实施。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 负责在区域内消灭蚊虫、苍蝇、蟑螂、老鼠等的工作，达到区爱卫会的有关标准。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供应商可选择专业保洁公司提供服务人员，但不能转移其管理责任。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上述条款需附带作业频次等量化说明。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（3）绿化养护的服务要求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3.1外绿化由供应商负责日常养护，供应商可选择专业绿化公司养护，但不能转移管理责任。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室外绿化的种植和养护原则上按照《宁波市园林绿化管理条例》实施，达到绿化、净化、美化的要求。绿化养护需达到95%完好率目标。草坪无高大杂草，绿地无夹生或野生的攀援植物。花草树木长势良好，修剪整齐美观，无病虫害，无折损现象，无斑秃；盆花无纸屑、烟头等杂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3.3每年制定年度绿化养护方案和绿化更新方案报采购人批准。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3.4供应商应在汛期、台风季节落实植株的保护措施，做好防护工作。要做好病虫灾害的防治工作，以保障树木的健康成长。要做好室外植物抗旱防冻的防护措施。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3.5在绿化养护期间，应遵守有关规章制度及管理规定，规范整齐着装，人员配置与相关要求统一，养护人员做到文明操作。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3.6室外绿化养护的范围、内容和标准。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绿化养护范围：病虫防治，修剪定型，水肥管理，防寒防冻，清除杂草等，并根据服务要求制定绿化养护标准和年度养护计划，确保项目绿化养护达到采购人的认可和验证。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3.6.1草坪养护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内容：割草修整、喷药施肥、浇水排涝、清除杂草垃圾。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草皮修整，一月2-4次，从3月到12月，具体视草皮生长情况而定。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喷药施肥，视病虫发生情况和草皮长势进行，使用品种为绿色环保化肥和无害农药。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浇水排涝，浇水主要在夏季节，排涝主要在霉雨季节。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清除杂草垃圾，清除杂草一般在春季杂草高发时不间断进行，夏秋季则定期清除，清除垃圾则在清除杂草时附带进行。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3.6.2绿篱养护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内容：修剪、施肥、松土、防止防治病虫害、浇水。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修剪，春秋嫩枝萌发后进行修剪整形。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施肥、松土、在开春后入冬前进行松土施肥，施用肥料以及有机复合肥为主。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病虫害防治，春节病虫高峰期喷酒保护剂，防治剂视病虫害发生情况适时喷洒，使用品种为无害农药。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浇水，在草皮浇水时附带进行。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3.6.3乔木、花灌木养护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内容：松土培土，修剪，施肥浇水，病虫害防治。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松土，在春季进行，培土在入冬前进行。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修剪，一年一次在冬季落叶后进行，常绿植物则在春季萌发前进行。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3.6.4施肥、浇水、病虫防治同绿篱养护同时进行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1.草皮修整，一月2-4次，从3月到12月具体视草皮生长情况而定。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2.喷药施肥，视病虫发生情况和草皮长势进行，使用品种为绿色环保化肥和无害农药。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3.浇水排涝，浇水主要在夏季节，排涝主要在霉雨季节。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4.清除杂草垃圾，清除杂草一般在春季杂草高发时不间断进行，夏秋季则定期清除，清除垃圾则在清除杂草时附带进行。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防台防汛等灾害抢救。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4、会务辅助支持服务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4.1建立会议服务全程跟踪制度，规范会议室使用登记流程，细化会前、会中、会后服务的各个环节，大型会议会前制定详细周密的会议保障方案，会中提供优质服务，把握会议情况，会后做好总结记录工作。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4.2根据不同规格的会议，确定相应的服务人数，事先检查好调音设备、空调、灯光设备，所有服务人员应熟知会务要求；会场保持清洁、卫生、整齐，服务操作符合规范要求。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 供应商必须制定培训计划并定期开展培训工作。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4.4做好保密工作，会议内容不外传，会议资料不外带，妥善做好处置工作。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5、专项经费及外包项目管理要求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如供应商需将行政中心办公楼内设施设备维保及绿化、保洁等服务进行外包的，供应商需择优选择专业公司，且须征得采购人的同意后签订合同，正式合同签订后要及时上报采购人备案。</w:t>
      </w:r>
      <w:r>
        <w:rPr>
          <w:rFonts w:hint="eastAsia" w:ascii="宋体" w:hAnsi="宋体" w:eastAsia="宋体" w:cs="宋体"/>
          <w:color w:val="auto"/>
          <w:sz w:val="21"/>
          <w:szCs w:val="21"/>
          <w:highlight w:val="none"/>
          <w:lang w:eastAsia="zh-CN"/>
        </w:rPr>
        <w:t>针对委托给第三方专业维保单位，制定和落</w:t>
      </w:r>
      <w:r>
        <w:rPr>
          <w:rFonts w:hint="eastAsia" w:ascii="宋体" w:hAnsi="宋体" w:eastAsia="宋体" w:cs="宋体"/>
          <w:b w:val="0"/>
          <w:bCs w:val="0"/>
          <w:color w:val="auto"/>
          <w:sz w:val="21"/>
          <w:szCs w:val="21"/>
          <w:highlight w:val="none"/>
          <w:lang w:eastAsia="zh-CN"/>
        </w:rPr>
        <w:t>实《</w:t>
      </w:r>
      <w:r>
        <w:rPr>
          <w:rFonts w:hint="eastAsia" w:ascii="宋体" w:hAnsi="宋体" w:eastAsia="宋体" w:cs="宋体"/>
          <w:b w:val="0"/>
          <w:bCs w:val="0"/>
          <w:color w:val="auto"/>
          <w:sz w:val="21"/>
          <w:szCs w:val="21"/>
          <w:highlight w:val="none"/>
        </w:rPr>
        <w:t>对外委托</w:t>
      </w:r>
      <w:r>
        <w:rPr>
          <w:rFonts w:hint="eastAsia" w:ascii="宋体" w:hAnsi="宋体" w:eastAsia="宋体" w:cs="宋体"/>
          <w:b w:val="0"/>
          <w:bCs w:val="0"/>
          <w:color w:val="auto"/>
          <w:sz w:val="21"/>
          <w:szCs w:val="21"/>
          <w:highlight w:val="none"/>
          <w:lang w:eastAsia="zh-CN"/>
        </w:rPr>
        <w:t>维保</w:t>
      </w:r>
      <w:r>
        <w:rPr>
          <w:rFonts w:hint="eastAsia" w:ascii="宋体" w:hAnsi="宋体" w:eastAsia="宋体" w:cs="宋体"/>
          <w:b w:val="0"/>
          <w:bCs w:val="0"/>
          <w:color w:val="auto"/>
          <w:sz w:val="21"/>
          <w:szCs w:val="21"/>
          <w:highlight w:val="none"/>
        </w:rPr>
        <w:t>服务</w:t>
      </w:r>
      <w:r>
        <w:rPr>
          <w:rFonts w:hint="eastAsia" w:ascii="宋体" w:hAnsi="宋体" w:eastAsia="宋体" w:cs="宋体"/>
          <w:b w:val="0"/>
          <w:bCs w:val="0"/>
          <w:color w:val="auto"/>
          <w:sz w:val="21"/>
          <w:szCs w:val="21"/>
          <w:highlight w:val="none"/>
          <w:lang w:eastAsia="zh-CN"/>
        </w:rPr>
        <w:t>考核</w:t>
      </w:r>
      <w:r>
        <w:rPr>
          <w:rFonts w:hint="eastAsia" w:ascii="宋体" w:hAnsi="宋体" w:eastAsia="宋体" w:cs="宋体"/>
          <w:b w:val="0"/>
          <w:bCs w:val="0"/>
          <w:color w:val="auto"/>
          <w:sz w:val="21"/>
          <w:szCs w:val="21"/>
          <w:highlight w:val="none"/>
        </w:rPr>
        <w:t>标准</w:t>
      </w:r>
      <w:r>
        <w:rPr>
          <w:rFonts w:hint="eastAsia" w:ascii="宋体" w:hAnsi="宋体" w:eastAsia="宋体" w:cs="宋体"/>
          <w:b w:val="0"/>
          <w:bCs w:val="0"/>
          <w:color w:val="auto"/>
          <w:sz w:val="21"/>
          <w:szCs w:val="21"/>
          <w:highlight w:val="none"/>
          <w:lang w:eastAsia="zh-CN"/>
        </w:rPr>
        <w:t>和</w:t>
      </w:r>
      <w:r>
        <w:rPr>
          <w:rFonts w:hint="eastAsia" w:ascii="宋体" w:hAnsi="宋体" w:eastAsia="宋体" w:cs="宋体"/>
          <w:b w:val="0"/>
          <w:bCs w:val="0"/>
          <w:color w:val="auto"/>
          <w:sz w:val="21"/>
          <w:szCs w:val="21"/>
          <w:highlight w:val="none"/>
        </w:rPr>
        <w:t>作业规程</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lang w:eastAsia="zh-CN"/>
        </w:rPr>
        <w:t>严格按采购人要求做好维保服务的监管和资金使用。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立统一服务电话，实行24小时值班值勤制度，随时接受采购人及用户对物业管理报修、求助、建议、问询、质疑、投拆等各类信息的收集和反馈，并及时处理，有回访制度和记录，处理率和回访率应达到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（2）提供收发室服务。</w:t>
      </w:r>
      <w:r>
        <w:rPr>
          <w:rFonts w:hint="eastAsia" w:ascii="宋体" w:hAnsi="宋体" w:eastAsia="宋体" w:cs="宋体"/>
          <w:color w:val="auto"/>
          <w:sz w:val="21"/>
          <w:szCs w:val="21"/>
          <w:highlight w:val="none"/>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（3）供应商还需提供防台防讯措施的方案。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四、机构配置和人员配置要求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（一）机构配置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根据以上要求，供应商必须为大楼设立专门管理处，下设综服部、设备部、秩序维护部、保洁部等相应专业部门，实施管辖区域内统一的物业管理。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（二）人员配置数量、岗位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人员配置的数量要求如下：供应商必须配备不少于</w:t>
      </w: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人的管理服务团队，各岗位人员配置最低数要求如下：</w:t>
      </w:r>
    </w:p>
    <w:tbl>
      <w:tblPr>
        <w:tblStyle w:val="10"/>
        <w:tblW w:w="8789" w:type="dxa"/>
        <w:tblInd w:w="0" w:type="dxa"/>
        <w:tblLayout w:type="fixed"/>
        <w:tblCellMar>
          <w:top w:w="0" w:type="dxa"/>
          <w:left w:w="108" w:type="dxa"/>
          <w:bottom w:w="0" w:type="dxa"/>
          <w:right w:w="108" w:type="dxa"/>
        </w:tblCellMar>
      </w:tblPr>
      <w:tblGrid>
        <w:gridCol w:w="2268"/>
        <w:gridCol w:w="2977"/>
        <w:gridCol w:w="1984"/>
        <w:gridCol w:w="1560"/>
      </w:tblGrid>
      <w:tr>
        <w:tblPrEx>
          <w:tblCellMar>
            <w:top w:w="0" w:type="dxa"/>
            <w:left w:w="108" w:type="dxa"/>
            <w:bottom w:w="0" w:type="dxa"/>
            <w:right w:w="108" w:type="dxa"/>
          </w:tblCellMar>
        </w:tblPrEx>
        <w:trPr>
          <w:trHeight w:val="175" w:hRule="atLeast"/>
        </w:trPr>
        <w:tc>
          <w:tcPr>
            <w:tcW w:w="226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部门类别</w:t>
            </w:r>
          </w:p>
        </w:tc>
        <w:tc>
          <w:tcPr>
            <w:tcW w:w="297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198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人数</w:t>
            </w:r>
          </w:p>
        </w:tc>
        <w:tc>
          <w:tcPr>
            <w:tcW w:w="156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108" w:type="dxa"/>
            <w:bottom w:w="0" w:type="dxa"/>
            <w:right w:w="108" w:type="dxa"/>
          </w:tblCellMar>
        </w:tblPrEx>
        <w:trPr>
          <w:trHeight w:val="277" w:hRule="atLeast"/>
        </w:trPr>
        <w:tc>
          <w:tcPr>
            <w:tcW w:w="2268" w:type="dxa"/>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业户服务部5人</w:t>
            </w:r>
          </w:p>
        </w:tc>
        <w:tc>
          <w:tcPr>
            <w:tcW w:w="297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0" w:hRule="atLeast"/>
        </w:trPr>
        <w:tc>
          <w:tcPr>
            <w:tcW w:w="2268"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97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经理助理</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0" w:hRule="atLeast"/>
        </w:trPr>
        <w:tc>
          <w:tcPr>
            <w:tcW w:w="2268"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97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客服</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0" w:hRule="atLeast"/>
        </w:trPr>
        <w:tc>
          <w:tcPr>
            <w:tcW w:w="2268"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97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资料员</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0" w:hRule="atLeast"/>
        </w:trPr>
        <w:tc>
          <w:tcPr>
            <w:tcW w:w="2268"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97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收发员</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0" w:hRule="atLeast"/>
        </w:trPr>
        <w:tc>
          <w:tcPr>
            <w:tcW w:w="2268" w:type="dxa"/>
            <w:vMerge w:val="restart"/>
            <w:tcBorders>
              <w:top w:val="nil"/>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设备部7人</w:t>
            </w:r>
          </w:p>
        </w:tc>
        <w:tc>
          <w:tcPr>
            <w:tcW w:w="297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设备主管</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47" w:hRule="atLeast"/>
        </w:trPr>
        <w:tc>
          <w:tcPr>
            <w:tcW w:w="2268"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97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强电工</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97" w:hRule="atLeast"/>
        </w:trPr>
        <w:tc>
          <w:tcPr>
            <w:tcW w:w="2268"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97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弱电工</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33" w:hRule="atLeast"/>
        </w:trPr>
        <w:tc>
          <w:tcPr>
            <w:tcW w:w="2268"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97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维修工</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15" w:hRule="atLeast"/>
        </w:trPr>
        <w:tc>
          <w:tcPr>
            <w:tcW w:w="2268" w:type="dxa"/>
            <w:vMerge w:val="continue"/>
            <w:tcBorders>
              <w:left w:val="single" w:color="auto" w:sz="4" w:space="0"/>
              <w:bottom w:val="nil"/>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97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值班电工</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0" w:hRule="atLeast"/>
        </w:trPr>
        <w:tc>
          <w:tcPr>
            <w:tcW w:w="226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秩序维护部2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人</w:t>
            </w:r>
          </w:p>
        </w:tc>
        <w:tc>
          <w:tcPr>
            <w:tcW w:w="297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秩序维护主管</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70" w:hRule="atLeast"/>
        </w:trPr>
        <w:tc>
          <w:tcPr>
            <w:tcW w:w="2268"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97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领班</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60" w:hRule="atLeast"/>
        </w:trPr>
        <w:tc>
          <w:tcPr>
            <w:tcW w:w="22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977"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秩序维护员</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75" w:hRule="atLeast"/>
        </w:trPr>
        <w:tc>
          <w:tcPr>
            <w:tcW w:w="2268" w:type="dxa"/>
            <w:vMerge w:val="restart"/>
            <w:tcBorders>
              <w:top w:val="nil"/>
              <w:left w:val="single" w:color="auto" w:sz="4" w:space="0"/>
              <w:right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保洁部13人</w:t>
            </w:r>
          </w:p>
        </w:tc>
        <w:tc>
          <w:tcPr>
            <w:tcW w:w="2977"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保洁主管</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75" w:hRule="atLeast"/>
        </w:trPr>
        <w:tc>
          <w:tcPr>
            <w:tcW w:w="2268" w:type="dxa"/>
            <w:vMerge w:val="continue"/>
            <w:tcBorders>
              <w:left w:val="single" w:color="auto" w:sz="4" w:space="0"/>
              <w:right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977"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保洁技工</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75" w:hRule="atLeast"/>
        </w:trPr>
        <w:tc>
          <w:tcPr>
            <w:tcW w:w="2268" w:type="dxa"/>
            <w:vMerge w:val="continue"/>
            <w:tcBorders>
              <w:left w:val="single" w:color="auto" w:sz="4" w:space="0"/>
              <w:right w:val="nil"/>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977"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绿化工</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82" w:hRule="atLeast"/>
        </w:trPr>
        <w:tc>
          <w:tcPr>
            <w:tcW w:w="2268" w:type="dxa"/>
            <w:vMerge w:val="continue"/>
            <w:tcBorders>
              <w:left w:val="single" w:color="auto" w:sz="4" w:space="0"/>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977"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室内保洁员</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82" w:hRule="atLeast"/>
        </w:trPr>
        <w:tc>
          <w:tcPr>
            <w:tcW w:w="2268" w:type="dxa"/>
            <w:vMerge w:val="continue"/>
            <w:tcBorders>
              <w:left w:val="single" w:color="auto" w:sz="4" w:space="0"/>
              <w:bottom w:val="nil"/>
              <w:right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977"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外围保洁员</w:t>
            </w:r>
          </w:p>
        </w:tc>
        <w:tc>
          <w:tcPr>
            <w:tcW w:w="19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6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74" w:hRule="atLeast"/>
        </w:trPr>
        <w:tc>
          <w:tcPr>
            <w:tcW w:w="5245" w:type="dxa"/>
            <w:gridSpan w:val="2"/>
            <w:tcBorders>
              <w:top w:val="single" w:color="auto"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984" w:type="dxa"/>
            <w:tcBorders>
              <w:top w:val="nil"/>
              <w:left w:val="nil"/>
              <w:bottom w:val="single" w:color="000000"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w:t>
            </w:r>
          </w:p>
        </w:tc>
        <w:tc>
          <w:tcPr>
            <w:tcW w:w="1560" w:type="dxa"/>
            <w:tcBorders>
              <w:top w:val="nil"/>
              <w:left w:val="nil"/>
              <w:bottom w:val="single" w:color="000000"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（三）人员素质要求：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1、主要核心岗位的人员素质要求：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项目经理（项目总负责人）</w:t>
      </w: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rPr>
        <w:t>大专</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以上学历，年龄在</w:t>
      </w:r>
      <w:r>
        <w:rPr>
          <w:rFonts w:hint="eastAsia" w:ascii="宋体" w:hAnsi="宋体" w:eastAsia="宋体" w:cs="宋体"/>
          <w:color w:val="auto"/>
          <w:sz w:val="21"/>
          <w:szCs w:val="21"/>
          <w:highlight w:val="none"/>
        </w:rPr>
        <w:t>45周</w:t>
      </w:r>
      <w:r>
        <w:rPr>
          <w:rFonts w:hint="eastAsia" w:ascii="宋体" w:hAnsi="宋体" w:eastAsia="宋体" w:cs="宋体"/>
          <w:color w:val="auto"/>
          <w:sz w:val="21"/>
          <w:szCs w:val="21"/>
          <w:highlight w:val="none"/>
        </w:rPr>
        <w:t>岁以下，有管理过单体建筑面积在</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万㎡（含）</w:t>
      </w:r>
      <w:r>
        <w:rPr>
          <w:rFonts w:hint="eastAsia" w:ascii="宋体" w:hAnsi="宋体" w:eastAsia="宋体" w:cs="宋体"/>
          <w:color w:val="auto"/>
          <w:sz w:val="21"/>
          <w:szCs w:val="21"/>
          <w:highlight w:val="none"/>
        </w:rPr>
        <w:t>以上行政办公楼项目，且有五年以上工作经验，有全国物业经理证书或注册物业管理师证书，有良好的团队精神和沟通技巧，有良好的指挥协调、语言交流和文字表达能力。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秩序维护主管：</w:t>
      </w:r>
      <w:r>
        <w:rPr>
          <w:rFonts w:hint="eastAsia" w:ascii="宋体" w:hAnsi="宋体" w:eastAsia="宋体" w:cs="宋体"/>
          <w:color w:val="auto"/>
          <w:sz w:val="21"/>
          <w:szCs w:val="21"/>
          <w:highlight w:val="none"/>
        </w:rPr>
        <w:t>具有高中以上学历，年龄在</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周岁</w:t>
      </w:r>
      <w:r>
        <w:rPr>
          <w:rFonts w:hint="eastAsia" w:ascii="宋体" w:hAnsi="宋体" w:eastAsia="宋体" w:cs="宋体"/>
          <w:color w:val="auto"/>
          <w:sz w:val="21"/>
          <w:szCs w:val="21"/>
          <w:highlight w:val="none"/>
        </w:rPr>
        <w:t>以下，有从事过</w:t>
      </w:r>
      <w:r>
        <w:rPr>
          <w:rFonts w:hint="eastAsia" w:ascii="宋体" w:hAnsi="宋体" w:eastAsia="宋体" w:cs="宋体"/>
          <w:color w:val="auto"/>
          <w:sz w:val="21"/>
          <w:szCs w:val="21"/>
          <w:highlight w:val="none"/>
        </w:rPr>
        <w:t>3年以上</w:t>
      </w:r>
      <w:r>
        <w:rPr>
          <w:rFonts w:hint="eastAsia" w:ascii="宋体" w:hAnsi="宋体" w:eastAsia="宋体" w:cs="宋体"/>
          <w:color w:val="auto"/>
          <w:sz w:val="21"/>
          <w:szCs w:val="21"/>
          <w:highlight w:val="none"/>
        </w:rPr>
        <w:t>行政办公楼项目管理工作，懂得消防业务及监控智能化管理，仪表端正，并具备有较好的管理能力、沟通能力，能吃苦耐劳，责任心强，具备较强的处理应急事件的能力。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保洁主管：</w:t>
      </w:r>
      <w:r>
        <w:rPr>
          <w:rFonts w:hint="eastAsia" w:ascii="宋体" w:hAnsi="宋体" w:eastAsia="宋体" w:cs="宋体"/>
          <w:color w:val="auto"/>
          <w:sz w:val="21"/>
          <w:szCs w:val="21"/>
          <w:highlight w:val="none"/>
        </w:rPr>
        <w:t>具有高中以上学历，机关后勤物业管理相关领域</w:t>
      </w:r>
      <w:r>
        <w:rPr>
          <w:rFonts w:hint="eastAsia" w:ascii="宋体" w:hAnsi="宋体" w:eastAsia="宋体" w:cs="宋体"/>
          <w:color w:val="auto"/>
          <w:sz w:val="21"/>
          <w:szCs w:val="21"/>
          <w:highlight w:val="none"/>
        </w:rPr>
        <w:t>3年以上管理经验</w:t>
      </w:r>
      <w:r>
        <w:rPr>
          <w:rFonts w:hint="eastAsia" w:ascii="宋体" w:hAnsi="宋体" w:eastAsia="宋体" w:cs="宋体"/>
          <w:color w:val="auto"/>
          <w:sz w:val="21"/>
          <w:szCs w:val="21"/>
          <w:highlight w:val="none"/>
        </w:rPr>
        <w:t>，年龄在</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周岁</w:t>
      </w:r>
      <w:r>
        <w:rPr>
          <w:rFonts w:hint="eastAsia" w:ascii="宋体" w:hAnsi="宋体" w:eastAsia="宋体" w:cs="宋体"/>
          <w:color w:val="auto"/>
          <w:sz w:val="21"/>
          <w:szCs w:val="21"/>
          <w:highlight w:val="none"/>
        </w:rPr>
        <w:t>以下，仪表端正。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设备主管：</w:t>
      </w:r>
      <w:r>
        <w:rPr>
          <w:rFonts w:hint="eastAsia" w:ascii="宋体" w:hAnsi="宋体" w:eastAsia="宋体" w:cs="宋体"/>
          <w:color w:val="auto"/>
          <w:sz w:val="21"/>
          <w:szCs w:val="21"/>
          <w:highlight w:val="none"/>
        </w:rPr>
        <w:t>持有相关从业资格职业证书或持有设备维修岗位证书，具备从事行政办公楼设备管理</w:t>
      </w:r>
      <w:r>
        <w:rPr>
          <w:rFonts w:hint="eastAsia" w:ascii="宋体" w:hAnsi="宋体" w:eastAsia="宋体" w:cs="宋体"/>
          <w:color w:val="auto"/>
          <w:sz w:val="21"/>
          <w:szCs w:val="21"/>
          <w:highlight w:val="none"/>
        </w:rPr>
        <w:t>5年以上</w:t>
      </w:r>
      <w:r>
        <w:rPr>
          <w:rFonts w:hint="eastAsia" w:ascii="宋体" w:hAnsi="宋体" w:eastAsia="宋体" w:cs="宋体"/>
          <w:color w:val="auto"/>
          <w:sz w:val="21"/>
          <w:szCs w:val="21"/>
          <w:highlight w:val="none"/>
        </w:rPr>
        <w:t>工作经验。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2、各岗位人员素质要求：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（1）设备维护类人员要求：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1.1所有人员有培训合格上岗证，持有相关对口的职业资格证书，具有2年以上实际操做工作经验，身体健康，工作认真负责、吃苦耐劳，品德好。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1.2强电工：持有相关从业资格职业证书，具有2年以上实操工作经验，具有相应维修能力。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1.3维修工：有培训合格上岗证，持有相关资格职业证书，具有2年以上实际操作工作经验，身体健康，工作认真负责、吃苦耐劳，品德好。</w:t>
      </w:r>
    </w:p>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i w:val="0"/>
          <w:color w:val="auto"/>
          <w:kern w:val="2"/>
          <w:sz w:val="21"/>
          <w:szCs w:val="21"/>
          <w:highlight w:val="none"/>
          <w:lang w:val="en-US" w:eastAsia="zh-CN" w:bidi="ar-SA"/>
        </w:rPr>
      </w:pPr>
      <w:r>
        <w:rPr>
          <w:rFonts w:hint="eastAsia" w:ascii="宋体" w:hAnsi="宋体" w:eastAsia="宋体" w:cs="宋体"/>
          <w:i w:val="0"/>
          <w:color w:val="auto"/>
          <w:kern w:val="2"/>
          <w:sz w:val="21"/>
          <w:szCs w:val="21"/>
          <w:highlight w:val="none"/>
          <w:lang w:val="en-US" w:eastAsia="zh-CN" w:bidi="ar-SA"/>
        </w:rPr>
        <w:t>1.4电梯管理：配备1名电梯管理员，必须持有电梯管理员（特种作业）上岗证书。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（2）秩序维护员的要求：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个人身份信息清楚、齐全，无违法犯罪记录。年龄</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周岁以下，初中以上文化，身体健康，品貌端正。会说普通话，能听懂宁波本地方言。责任心强。退役军人或有过三年以上保安工作经历的可优先考虑。</w:t>
      </w:r>
      <w:r>
        <w:rPr>
          <w:rFonts w:hint="eastAsia" w:ascii="宋体" w:hAnsi="宋体" w:eastAsia="宋体" w:cs="宋体"/>
          <w:color w:val="auto"/>
          <w:sz w:val="21"/>
          <w:szCs w:val="21"/>
          <w:highlight w:val="none"/>
          <w:lang w:eastAsia="zh-CN"/>
        </w:rPr>
        <w:t>消控值班人员必须按规定持有消控操作证，至少提供</w:t>
      </w:r>
      <w:r>
        <w:rPr>
          <w:rFonts w:hint="eastAsia" w:ascii="宋体" w:hAnsi="宋体" w:eastAsia="宋体" w:cs="宋体"/>
          <w:color w:val="auto"/>
          <w:sz w:val="21"/>
          <w:szCs w:val="21"/>
          <w:highlight w:val="none"/>
          <w:lang w:val="en-US" w:eastAsia="zh-CN"/>
        </w:rPr>
        <w:t>4名。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（3）客服人员的要求：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女性，</w:t>
      </w:r>
      <w:r>
        <w:rPr>
          <w:rFonts w:hint="eastAsia" w:ascii="宋体" w:hAnsi="宋体" w:eastAsia="宋体" w:cs="宋体"/>
          <w:color w:val="auto"/>
          <w:sz w:val="21"/>
          <w:szCs w:val="21"/>
          <w:highlight w:val="none"/>
          <w:lang w:val="en-US" w:eastAsia="zh-CN"/>
        </w:rPr>
        <w:t>35周</w:t>
      </w:r>
      <w:r>
        <w:rPr>
          <w:rFonts w:hint="eastAsia" w:ascii="宋体" w:hAnsi="宋体" w:eastAsia="宋体" w:cs="宋体"/>
          <w:color w:val="auto"/>
          <w:sz w:val="21"/>
          <w:szCs w:val="21"/>
          <w:highlight w:val="none"/>
        </w:rPr>
        <w:t>岁以下，身高160cm以上，高中及以上学历，形象气质佳，身体健康，普通话标准，懂宁波方言，工作认真负责，会操作电脑，无不良嗜好及不良记录。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（4）其他工作人员的要求：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素质较好，仪表端正，敬业精神强，年龄在</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周岁以下，无不良嗜好及不良记录；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（5）如特殊岗位年龄和其他条件另有需求，均须无条件接受采购人的要求。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（四）人员管理的基本要求。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1、要求在后勤物业服务期间，所用员工必须仪容整洁、仪表端正、礼仪规范。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2、除供应商自行对服务人员的培训外，如有需要，须接受采购人对服务人员的集中培训和政府安检机构的强制认证培训。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3、所有岗位均应建立岗位责任制，明确运作程序和工作质量标准，并无条件接受采购人监督检查。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4、所有配置人员必须专职为大楼服务，部分技术支持由供应商在内部调剂且必须由采购人认可，供应商不得随意委派兼职。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5、指定办公室的室内保洁服务人员必须由供应商员工承担，其他保洁人员允许专业服务外保单位派遣。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所有秩序维护员必须经过培训满足岗位能力需求和严格的政审后才能上岗。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7、各类专业技术（工程）人员须经过培训、考核并持有效证书方能上岗工作。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8、供应商应保持员工队伍相对稳定。各类主管、领班、</w:t>
      </w:r>
      <w:r>
        <w:rPr>
          <w:rFonts w:hint="eastAsia" w:ascii="宋体" w:hAnsi="宋体" w:eastAsia="宋体" w:cs="宋体"/>
          <w:color w:val="auto"/>
          <w:sz w:val="21"/>
          <w:szCs w:val="21"/>
          <w:highlight w:val="none"/>
        </w:rPr>
        <w:t>服务人员、</w:t>
      </w:r>
      <w:r>
        <w:rPr>
          <w:rFonts w:hint="eastAsia" w:ascii="宋体" w:hAnsi="宋体" w:eastAsia="宋体" w:cs="宋体"/>
          <w:color w:val="auto"/>
          <w:sz w:val="21"/>
          <w:szCs w:val="21"/>
          <w:highlight w:val="none"/>
        </w:rPr>
        <w:t>技术骨干等重要岗位聘用、离职、岗位调整需及时上报采购人同意。一般各类工程技术人员、秩序维护员、会务人员、指定区域的保洁服务人员聘用、离职、岗位调整需及时向采购人备案。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9、供应商未能按标书配置人员，其物业费用扣减按合同和采购人对供应商的考核管理办法执行。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10、全体员工的劳动合同必须依法按时签订，并缴纳国家规定保险和税金及人身意外保险。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五、物业费用的组成和服务期限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（一）物业管理服务费的组成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分两部分组成：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一部分费用包括以下：（1）所有人员费用(工资、各种社会保险、福利和津贴、特殊岗位、法定节假及日常加班费用)（2）人员综合费用（办公费用、服装费、工具和装备费、培训费、食宿与交通费等）（3）上述部分的管理费和税金</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第二部分费用包括以下：（1）灭虫灭害费、排污、垃圾清运费等费用（2）保洁用品及工具消耗、公共区域保洁耗材费 (3) 物耗费用：包括各类物料、辅料和备品备件（4）小型公共维修费、公共照明系统日常养护费(5)各类设施设备的检测、年检费用、专业服务和维保费，范围如下：消防系统维保、供水系统维保、电气设备维保、弱电系统维保、避雷系统检测、暖通系统维保、 电力设施检测费 、压力容器检测 、</w:t>
      </w:r>
      <w:r>
        <w:rPr>
          <w:rFonts w:hint="eastAsia" w:ascii="宋体" w:hAnsi="宋体" w:eastAsia="宋体" w:cs="宋体"/>
          <w:color w:val="auto"/>
          <w:sz w:val="21"/>
          <w:szCs w:val="21"/>
          <w:highlight w:val="none"/>
          <w:lang w:val="en-US" w:eastAsia="zh-CN"/>
        </w:rPr>
        <w:t>中央空调维保、发电机维保、</w:t>
      </w:r>
      <w:r>
        <w:rPr>
          <w:rFonts w:hint="eastAsia" w:ascii="宋体" w:hAnsi="宋体" w:eastAsia="宋体" w:cs="宋体"/>
          <w:color w:val="auto"/>
          <w:sz w:val="21"/>
          <w:szCs w:val="21"/>
          <w:highlight w:val="none"/>
        </w:rPr>
        <w:t>电梯系统维保及年检（6）外绿化养护费用（7）外墙、玻璃清洗费用（8）上述部分的税金和管理费。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费用报价说明：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1、报价按年度费用综合测算报价，并按以上内容报价，费用中人员费用按</w:t>
      </w:r>
      <w:r>
        <w:rPr>
          <w:rFonts w:hint="eastAsia" w:ascii="宋体" w:hAnsi="宋体" w:eastAsia="宋体" w:cs="宋体"/>
          <w:color w:val="auto"/>
          <w:sz w:val="21"/>
          <w:szCs w:val="21"/>
          <w:highlight w:val="none"/>
          <w:lang w:val="en-US" w:eastAsia="zh-CN"/>
        </w:rPr>
        <w:t>51</w:t>
      </w:r>
      <w:r>
        <w:rPr>
          <w:rFonts w:hint="eastAsia" w:ascii="宋体" w:hAnsi="宋体" w:eastAsia="宋体" w:cs="宋体"/>
          <w:color w:val="auto"/>
          <w:sz w:val="21"/>
          <w:szCs w:val="21"/>
          <w:highlight w:val="none"/>
        </w:rPr>
        <w:t>人测算，并已含大楼常规管理的人员加班费用，每期人员费用、维保等其他费用须有采购人核准同意后支付。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2、第二部分的费用作为专项资金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实行专款专用，结余部分不得转为物业公司利润，但可转入下年度使用，对该费用使用支出均需报采购人同意后方可实施和拨付使用。对于该费用的支出，采购人有权对其使用支出方案进行调整，供应商须满足采购人的合理要求和其监督实际支出情况的要求。如不能按此要求报价，则视同废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3、物业服务费用由投标人自行报价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其中人员基本工资不得低于宁波市政府相关部门最新发布的宁波市最低劳动工资。投标人应考虑潜在的市场风险及政策风险，如在合同</w:t>
      </w:r>
      <w:r>
        <w:rPr>
          <w:rFonts w:hint="eastAsia" w:ascii="宋体" w:hAnsi="宋体" w:eastAsia="宋体" w:cs="宋体"/>
          <w:color w:val="auto"/>
          <w:sz w:val="21"/>
          <w:szCs w:val="21"/>
          <w:highlight w:val="none"/>
          <w:lang w:val="en-US" w:eastAsia="zh-CN"/>
        </w:rPr>
        <w:t>履行</w:t>
      </w:r>
      <w:r>
        <w:rPr>
          <w:rFonts w:hint="eastAsia" w:ascii="宋体" w:hAnsi="宋体" w:eastAsia="宋体" w:cs="宋体"/>
          <w:color w:val="auto"/>
          <w:sz w:val="21"/>
          <w:szCs w:val="21"/>
          <w:highlight w:val="none"/>
        </w:rPr>
        <w:t>期间，遇到社保缴费基数、比例</w:t>
      </w:r>
      <w:r>
        <w:rPr>
          <w:rFonts w:hint="eastAsia" w:ascii="宋体" w:hAnsi="宋体" w:eastAsia="宋体" w:cs="宋体"/>
          <w:color w:val="auto"/>
          <w:sz w:val="21"/>
          <w:szCs w:val="21"/>
          <w:highlight w:val="none"/>
          <w:lang w:val="en-US" w:eastAsia="zh-CN"/>
        </w:rPr>
        <w:t>及法</w:t>
      </w:r>
      <w:r>
        <w:rPr>
          <w:rFonts w:hint="eastAsia" w:ascii="宋体" w:hAnsi="宋体" w:eastAsia="宋体" w:cs="宋体"/>
          <w:color w:val="auto"/>
          <w:sz w:val="21"/>
          <w:szCs w:val="21"/>
          <w:highlight w:val="none"/>
        </w:rPr>
        <w:t>定基本工资上调等政策性因素的情况，应给予相应调整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4、除招标文件已注明外，警具（除对讲机、警用设备外）、员工服装、保洁用的日常工具和</w:t>
      </w:r>
      <w:r>
        <w:rPr>
          <w:rFonts w:hint="eastAsia" w:ascii="宋体" w:hAnsi="宋体" w:eastAsia="宋体" w:cs="宋体"/>
          <w:color w:val="auto"/>
          <w:sz w:val="21"/>
          <w:szCs w:val="21"/>
          <w:highlight w:val="none"/>
        </w:rPr>
        <w:t>耗材、日常设备维护保养、检测费用及耗材、绿化养护耗材由物业公司负责，其费用包括在投标价中。物业办公用房和办公家具由采购人提供。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5、采购人单位应承担的费用：（1）能耗费用：包括水、电、燃气、蒸气；（2）房屋设备大中维修费用（3）其他相关费用。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（二）物业支付方式：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甲方按月度将物业管理费支付给乙方，经考核后第二个月10日前支付上月物业费（节假日顺延）物业费实行按月支付，年终结算，</w:t>
      </w:r>
      <w:r>
        <w:rPr>
          <w:rFonts w:hint="eastAsia" w:ascii="宋体" w:hAnsi="宋体" w:eastAsia="宋体" w:cs="宋体"/>
          <w:color w:val="auto"/>
          <w:sz w:val="21"/>
          <w:szCs w:val="21"/>
          <w:highlight w:val="none"/>
        </w:rPr>
        <w:t>每月支付额度以物业费用总额度95%的12分之一进行等额支付，5%的物业费用年终考核后在下一年度的第一个月支付。考核金的5%将作为</w:t>
      </w:r>
      <w:r>
        <w:rPr>
          <w:rFonts w:hint="eastAsia" w:ascii="宋体" w:hAnsi="宋体" w:eastAsia="宋体" w:cs="宋体"/>
          <w:color w:val="auto"/>
          <w:sz w:val="21"/>
          <w:szCs w:val="21"/>
          <w:highlight w:val="none"/>
          <w:lang w:val="en-US" w:eastAsia="zh-CN"/>
        </w:rPr>
        <w:t>日常及</w:t>
      </w:r>
      <w:r>
        <w:rPr>
          <w:rFonts w:hint="eastAsia" w:ascii="宋体" w:hAnsi="宋体" w:eastAsia="宋体" w:cs="宋体"/>
          <w:color w:val="auto"/>
          <w:sz w:val="21"/>
          <w:szCs w:val="21"/>
          <w:highlight w:val="none"/>
        </w:rPr>
        <w:t>年度物业优秀集体及员工的奖励金（与采购方商定考核奖励办法）。（如出现与标书中服务承诺重大偏离，可按合同和考核办法扣除相应的物业费用后支付）。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（三）考核约定和保证金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要求供应商</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纳物业进场服务履约保证金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作为赔偿和不履行合同的保证金，合同到期退还。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、为了切实增强管理水平，提高服务质量，采购人将对中标供应商按照竞标文书的承诺及所签合同的规定和要求，供应商应遵守甲方制定的《物业管理考核办法》。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、考核应结合对服务对象满意度测评，采购人平时工作巡查记录，以及对不满意事项的整改情况。投标人应在十个工作日内以书面形式反馈整改结果。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、对人员到岗率实行随时检查和每月考核相结合，如有人员不到位情况或不符合招标响应，则扣减相应费用，按实际到岗率同比率扣减当期相应费用。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（四）管理期限：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本轮物业管理合同期限暂定为暂定2年零8个月，2024年10月1日至2027年5月31日。管理合同为一年一签，合同期末经考核，如达到满意程度，协商一致后续签下一年度的管理合同。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六、各项重要说明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（一）本项物业管理服务实行统一管理，综合服务，其中绿化养护、保洁、部分设施设备维护可引入专业公司，但中标方不得转移其管理责任。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（二）在发出中标通知书后，给予不超过一个月的准备期，要求中标供应商按期与原供应商进行交接。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（三）物业费用计算以大楼正式移交接管之日起计，之前物业管理人员费用和培训费用由供应商负责。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中标供应商需负责好各类建设图纸、工程档案等建筑档案的接管清点工作。接管后，需全面建立健全大楼物业管理档案资料，如设备巡视记录、保安巡岗记录、报修记录单、保洁工作记录以及其他需要记录在案的文档，并做好各项保密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（五）在物业管理工作中确保采购人提供的设备、设施完好，如因员工不慎导致设备、设施损坏、灭失，供应商应按原价赔偿。由于秩序维护服务不到位造成财产与设施损失的，供应商须承担相应的赔偿责任。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（六）秩序维护服装和会务礼仪人员服装样式须经采购人认可后方可穿着。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（七）中标供应商要遵守各项保密制度，防止不宜公开的资料、文件和信息的泄露。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（八）中标供应商应认真听取采购人提出的建议和意见，并接受采购人制定的考核管理规定，对在物业管理中出现的问题和薄弱环节应立即整改。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（九）中标供应商须将节能工作作为日常工作之一，并达到采购人和其他管理部门的节能考核之要求。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（十）合理化建议。中标供应商提出的合理化建议要求切实可行，具有可操作性。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 采购人有权对中标供应商各工作岗位的服务质量随时进行抽查。如发现问题，供应商应及时整改。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（十二）如中标供应商非现大楼物业服务单位，须做好现有物业人员的招聘工作，其人员留用比率和名单需上报采购人，同时应自行事先做好与现有物业服务单位的沟通工作。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（十三）其它临时性杂项及应急服务在招标文件中未提及的，由投标人自行考虑并将相关费用包含在中标价中，漏项责任由投标人自负。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(十四)核心管理团队到岗率必须达到100%，其人员素质和资历必须达到采购人对其人员素质要求和投标书承诺，如不能在投标书中承诺部分不得分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若采购人在投标文件中承诺的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但在实际管理时不能履行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视同违约。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七、其他说明：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本项目为物业管理采购，投标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必须对所有服务项目完全响应</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供应商投标所使用的资格、信誉、荣誉、业绩与企业认证证书必须为该供应商所拥有。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标项二：北仑行政中心B楼、档案楼物业服务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第二部分：北仑区档案馆物业服务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一、采购内容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（一）项目名称：北仑区档案馆物业服务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（二）服务期限：</w:t>
      </w:r>
      <w:r>
        <w:rPr>
          <w:rFonts w:hint="eastAsia" w:ascii="宋体" w:hAnsi="宋体" w:eastAsia="宋体" w:cs="宋体"/>
          <w:color w:val="auto"/>
          <w:sz w:val="21"/>
          <w:szCs w:val="21"/>
          <w:highlight w:val="none"/>
        </w:rPr>
        <w:t>暂定</w:t>
      </w:r>
      <w:r>
        <w:rPr>
          <w:rFonts w:hint="eastAsia" w:ascii="宋体" w:hAnsi="宋体" w:eastAsia="宋体" w:cs="宋体"/>
          <w:color w:val="auto"/>
          <w:sz w:val="21"/>
          <w:szCs w:val="21"/>
          <w:highlight w:val="none"/>
          <w:lang w:val="en-US" w:eastAsia="zh-CN"/>
        </w:rPr>
        <w:t>2年零8个月</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二、项目概况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（一）物业类型：综合性办公大楼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（二）服务范围：办公大楼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（三）物业名称：北仑区档案馆大楼（以下简称大楼</w:t>
      </w:r>
      <w:r>
        <w:rPr>
          <w:rFonts w:hint="eastAsia" w:ascii="宋体" w:hAnsi="宋体" w:eastAsia="宋体" w:cs="宋体"/>
          <w:color w:val="auto"/>
          <w:sz w:val="21"/>
          <w:szCs w:val="21"/>
          <w:highlight w:val="none"/>
          <w:lang w:eastAsia="zh-CN"/>
        </w:rPr>
        <w:t>，包括社会治理中心</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（四）坐落位置：宁波市北仑区北仑四明山路与长江路交叉口。若投标人需进一步了解情况，请进行现场踏勘。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（五）主要经济技术指标：总建筑面积23322平方米，室外绿化面积约9055平方米。外墙面积7313平方米。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（六）大楼主要功能及设施设备情况：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一区三层建筑面积约2478.56平方米，为信访局办公楼，其中一到二层为信访接待室、办公室、会议室等， 三层设有休息室14间。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二区~三区建筑面积约9338.89平方米为档案馆办公楼及档案室，其中二区一到三层、三区一到二层为档案室，三区三到四层为档案馆的办公室、会议室等。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四区一至三层建筑面积约11503.39平方米为室内停车场，一到三层设有一部分办公室并在二层配置健身房、活动室及会议室。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设有三个出入口：正大门为办公人员进出通道，西大门为信访群众出入口，东侧为停车场出入口。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大楼水、电、暖、消防、电梯、智能化系统及其主要设备设施</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779"/>
        <w:gridCol w:w="1985"/>
        <w:gridCol w:w="1134"/>
        <w:gridCol w:w="850"/>
        <w:gridCol w:w="70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功率</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设置部位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消火栓泵</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XBD4/20-100G/2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四区一层水泵房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喷淋泵</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XBD4/25-100G/2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四区一层水泵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稳压泵</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32LGW6.5-15×3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四区一层水泵房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混流风机</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SWF-1-10#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四区一层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混流风机</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SWF-1-9#</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四区二~三层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诱导风机</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YDF-B-I-3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四区一、二、三层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防火卷帘门电机</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DJM-800</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0.37KW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四区二~三层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细水雾泵</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CDLF32-120F-SWSC</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二区一层生活水泵房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细水雾稳压泵</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CDLF2-110F-SWSC</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二区一层生活水泵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生活水泵</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50DL12-12×2</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二区一层生活水泵房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管道风机</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CDF-11-2.5</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0.04KW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二区二层、三层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管道风机</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CDF-11-4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0.37KW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二区二层、三层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管道风机</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CDF-11-3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0.18KW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二区一层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管道风机</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CDF-11-3</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0.18KW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一区一层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电梯电动机</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YTTD160TVF2-4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二区电梯机房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电梯电动机</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YTTD160TVF1-4</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四区电梯机房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7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电梯电动机</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XIZI-UCMP01</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7.5KW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区电梯机房</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（七）大楼的运行特征：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（1）大楼安全保卫等级要求高，人员进出量大，（档案馆、信访、车管</w:t>
      </w:r>
      <w:r>
        <w:rPr>
          <w:rFonts w:hint="eastAsia" w:ascii="宋体" w:hAnsi="宋体" w:eastAsia="宋体" w:cs="宋体"/>
          <w:color w:val="auto"/>
          <w:sz w:val="21"/>
          <w:szCs w:val="21"/>
          <w:highlight w:val="none"/>
          <w:lang w:eastAsia="zh-CN"/>
        </w:rPr>
        <w:t>、社会治理中心</w:t>
      </w:r>
      <w:r>
        <w:rPr>
          <w:rFonts w:hint="eastAsia" w:ascii="宋体" w:hAnsi="宋体" w:eastAsia="宋体" w:cs="宋体"/>
          <w:color w:val="auto"/>
          <w:sz w:val="21"/>
          <w:szCs w:val="21"/>
          <w:highlight w:val="none"/>
        </w:rPr>
        <w:t>）在大楼内办公，来访人员成分复杂，门卫管理要求高；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（2）应对突发应急事件要求较高；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（3）重要办公区域服务标准要求高，对工作及服务人员服务质量和保密性要求高；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（4）大楼设备运行10</w:t>
      </w:r>
      <w:r>
        <w:rPr>
          <w:rFonts w:hint="eastAsia" w:ascii="宋体" w:hAnsi="宋体" w:eastAsia="宋体" w:cs="宋体"/>
          <w:color w:val="auto"/>
          <w:sz w:val="21"/>
          <w:szCs w:val="21"/>
          <w:highlight w:val="none"/>
          <w:lang w:eastAsia="zh-CN"/>
        </w:rPr>
        <w:t>多</w:t>
      </w:r>
      <w:r>
        <w:rPr>
          <w:rFonts w:hint="eastAsia" w:ascii="宋体" w:hAnsi="宋体" w:eastAsia="宋体" w:cs="宋体"/>
          <w:color w:val="auto"/>
          <w:sz w:val="21"/>
          <w:szCs w:val="21"/>
          <w:highlight w:val="none"/>
        </w:rPr>
        <w:t>年，设备总量多，维护要求高。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三、物业管理的总体要求、目标、委托事项和具体要求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（一）大楼物业管理的总体要求：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物业管理思路定位为外围开放式、楼内封闭式，高档次的物业管理，要求供应商充分理解本项目的特点，对招标文件内所有的服务内容按宁波市物业管理优秀大厦标准及操作规范作出实质性响应，以宁波市物业管理优秀大厦标准及操作规范制定物业管理具体服务方案并实施运作，严格按照既定管理目标管理大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大楼物业管理采取“整体委托后勤管理服务”的方式，实行统一管理，综合服务。</w:t>
      </w:r>
      <w:r>
        <w:rPr>
          <w:rFonts w:hint="eastAsia" w:ascii="宋体" w:hAnsi="宋体" w:eastAsia="宋体" w:cs="宋体"/>
          <w:color w:val="auto"/>
          <w:sz w:val="21"/>
          <w:szCs w:val="21"/>
          <w:highlight w:val="none"/>
        </w:rPr>
        <w:t>项目实行总负责制，要求由项目总负责人和各部分业务主管组成项目的核心服务团队，要求供应商承诺派出的核心服务团队成员到岗率100%，并接受采购人的业务考核。要求供应商接管后，导入ISO9000质量管理系列体系，严格按ISO14000环境质量管理体系要求和OHSAS18000（或GB/T28001）职业健康安全管理体系的要求提供服务。要求各类服务人员配置合理，统筹使用，在后勤服务期间，必须仪容整洁、仪表端正、礼仪规范；专业技术人员必须持证上岗，标志明显，作风严谨，服务规范；同时要求在采购人的管理下做好节能工作，配合采购人实现将能耗控制在合理的水平内，并能逐年下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（二）物业管理需达到的总体目标：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1、入住单位物业的总体管理满意率在95%以上；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2、房屋及设备、设施完好率98%以上；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3、维修及时率100%，急修及时率100%；维修工程合格率100%，优良率95%以上；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4、绿化成活率98%，完好率98%以上；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5、清洁管理无盲点，管理服务范围保持环境整洁，工作垃圾日产日清；有效保洁率100%；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6、投诉处理和回访率应达到100%；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7、道路、停车场完好率达到98%以上；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8、无安全事故发生，设施设备故障发生率控制在区安全责任考核目标要求内。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（三）委托物业管理项目内容。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对于委托供应商提供物业管理服务的具体内容如下：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和设备设施管理：负责对整个大楼房屋及设施、设备的日常管理、维修养护、日常巡视、故障检修、应急处理。范围包括大楼建筑安装系统、电气设备、供配电及照明系统、电梯系统、暖通系统、给排水系统、消防系统、安保监控系统、建筑智能化和弱电系统、灯光音响系统、建筑幕墙、建筑装饰和室内外配套工程、落水管、污水井、门窗设施、大楼外围公共设施、附属设施等，以及对其他外来服务和施工单位的监督、管理、配合等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秩序维护服务：负责大楼公共秩序维护管理与服务；负责大楼内及外围日常安全保卫工作，负责做好各类应急事件、重大活动和信访事件处置时期的安全保卫工作，负责办公大楼治安、交通与消防管理工作，包括门岗服务、来宾接待服务、巡视管理服务、车辆管理服务、监控管理服务、治安管理服务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3、保洁服务与管理：负责环保管理及办公大楼公共区域卫生服务；负责大楼内外公共区域的保洁，负责指定区域的保洁，负责楼内外环境的管理；负责大楼各类墙面、大理石的清洁保养工作。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4、绿化养护：负责室外绿化的养护管理和对室内绿化监管工作。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5、收发服务：负责大楼内收发室功能服务。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6、管理受采购人委托管理使用的各类资产及物业相关的工程图纸、档案、竣工验收资料等；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7、负责承办采购人委托的其他后勤事务工作。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（四）具体工作要求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1、房屋和设备设施维护服务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（1）房屋和设备设施维护服务的目标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依据现代企业管理要求，采用现代的设备设施管理理念、办法和手段，做好对房屋和设备管理维护工作，使其处于优良的状态，充分发挥设备的功能，提升应用价值，延长使用寿命，最大限度使物业得以保值；合理、科学地控制成本，建立健全设备管理制度，明确各种岗位工作标准，并制定具体的落实措施，为采购人提供优质高效的服务，并实现无安全事故的安全生产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（2）房屋和设备设施维护服务的标准与要求：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严格按规范做好设备管理服务，确保各类设备系统正常使用。落实设备安全运行的岗位责任制；定期巡检和维护保养，严格执行维修保养和操作使用规程，并按规定记录设备运行状况。具体维修时根据各相关设备的保修情况联系设备提供商进行维护维修。负责与专业维保单位等第三方的联系及现场管理工作，记录专业维保单位的服务情况，并进一步向采购人提出合理化建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2.2定期开展设备检测工作，并将检测结果及时报告采购人。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2.3设备机房环境整洁，物品摆放有序；机房内严禁吸烟、饮酒等，无关人员不得随意入内。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强化日常工作巡查，及时发现并解决问题，做好问题处理情况的记录。在接到维修通知后，应在10分钟内到达现场，维修及时率保证达到100％。原则上要求维修期限为24小时。要求保证维修质量，减少返修，并有回访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2.5每月底向采购人提交设备管理服务运行情况工作报告。对各类消防器材每月检查和测试一次，并将检查、测试的结果书面报采购人。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2.6及时记录各类维修材料损耗和流向情况，定期分析物耗使用变化的具体原因。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制订供电、给排水事故等应急处理方案。有计划限停水电时，应及时通知采购人。一旦发生事故，维修人员须在10分钟内抵现场抢修。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 设备图纸、档案资料收集齐全、分类清晰、管理完善；建立设备台账，登记详细，账物相符。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2.9积极开展节能降耗工作，每月提供能耗数据分析报告，提出节能降耗的合理化建议。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2、秩序维护服务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（1）秩序维护服务的的目标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商依据现代秩序维护管理服务的要求，通过周密、严格、规范、高效的安全管理，做好防火、防盗抵御自然灾害的各项常规工作，保证大楼区域内公共秩序井然有序，公共活动正常开展，人身、财产得以保障，防止交通事故和车辆被损、被盗情况的发生，并实现零事故的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（2）秩序维护服务标准与要求：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提供公共安全管理要求确保大楼区域内人身财产安全，秩序维护员对大楼整个区域进行全天候秩序维护值勤巡逻，设立固定秩序维护岗位和流动巡逻岗，对违规行为要及时处置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保障行政大楼公共秩序良好。主要门岗岗位24小时值班，高配房、监控室24小时安排人员值班；各办公区和公共区域定时巡逻。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对停车场、车辆进行安全与交通管理，包括临时停车管理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保证停车场的车辆停放整齐、交通有序，保证车辆安全。维护正常交通秩序，防止交通事故和车辆被损、被盗情况的发生；中心区地面和地下车库定时巡逻。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做好日常防火及做好抵御自然灾害的各项常规工作；建立各类应急预案（如防火、防盗、防破坏、防自然灾害事故、群体性事件等），培训相关人员达到相关要求并组织演练。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4 设立固定岗、移动岗和机动应急分队，建立一个严密可靠的安全队伍体系。具体秩序维护流动及固定岗位设定，巡更点及路线，全天巡更次数等秩序维护实施细则必须按采购人要求，中标供应商须无条件执行。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2.5重大任务必须按事先制订周密的方（预）案，并严格按方案实施。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2.6各岗位工作要求如下: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门岗：门岗实行24小时不间断服务，维持门岗秩序，做好办事人员出入大门的登记；外运物品须由业主单位开具证明并岗位核对后方可放行；对上访群众做好“劝、疏、阻”工作，并按程序及时上报有关部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（2）楼层岗：熟悉楼层办公分布情况及办公人员，落实不定期不定线路，不留死角巡查制度；加强重点楼层（党政首脑机关）的巡查安全防范工作，阻止无关人员的进入和上访人员的冲击。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（3）监控岗：熟知消控设备、监控设备的性能、方位、作用，熟练消控、监控设备的基本操作，实行24小时不间断的运转，提供完整无缺、清晰全面的记录并严格执行保密制度。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（4）交通岗：做好机动车辆有序停放管理，维护出入秩序和停车秩序，管理好各种车辆，统一指挥各种机动车非机动车按规定停放。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（5）巡视岗：大楼区域内实行全年365天24小时定时巡视服务。制定不同的巡逻路线，重点部位做好巡逻记录。在遇到异常情况和业主紧急求助时，3分钟内赶到现场，采取相应措施。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定期做好对防火设备和消防器材的使用、设置及保养情况的检查，并做好应对各类突发事件（灾害事故）的处置预案，以确保安全。发生突发事件时大楼的全体保安人员必须在规定时间内全体到岗待命，随时服从上级领导或公安部门的指挥、调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3、保洁和绿化服务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（1）保洁服务的范围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1.1大楼范围所有公共部位包括公共会议室、活动室、大厅、电梯、走廊、楼梯、楼道、卫生间、茶水间、停车场及道路的保洁工作。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 指定区域的保洁工作。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 楼内各类墙面、大理石的清洁保养工作。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 楼外墙及玻璃幕墙（1次/年）的清洁保养工作。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 垃圾的清运工作，并确保大楼排污正常。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 适当范围内的新增保洁管理服务项目。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（2）保洁服务的标准与要求：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清洁、保洁区内实行全天不定时动态保洁制，确保大楼办公环境清洁卫生，垃圾日产日清并按指定位置倒入，卫生设施齐全、完好率达99%以上，对损坏的卫生设施及时进行处理。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大厅内地面大理石应保持干净、光亮；其它部位，如墙面、台面、栏杆、椅子、沙发、灯座等应保持光亮、整洁；大厅玻璃门、窗、框应保持干净，光亮；大厅内不锈钢应保持光亮。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走廊：随时打扫，保持地面、墙壁、顶棚的洁净，无杂物，无污痕，无尘挂，清洁光亮；灯罩内无垃圾；走道四角及踢脚板应保持干净卫生。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洗手间：大楼内卫生间洗手液、卫生纸足量保障；随时打扫，保持洁具、墙面、地面、玻璃等室内设施的清洁、无异味、无积水。保洁人员发现设施设备故障逐级汇报，并由主管及时登记并报公司维修部门，同时应按首问责任制要求，有义务跟踪处理结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指定办公室的保洁：指定专人定时打扫，保持地面、墙面、家具、门窗、空调、踢脚线等部位的清洁卫生。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机动车和非机动车停车场的地面、立柱、墙面、管道保持干净卫生。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区域内公共场所大面积保洁服务时（如外墙清洗、地毯清洗等），需提前1个月将保洁计划书报采购人审核，经同意后方可实施。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 负责在区域内消灭蚊虫、苍蝇、蟑螂、老鼠等的工作，达到区爱卫会的有关标准。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供应商可选择专业保洁公司提供服务人员，但不能转移其管理责任。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上述条款需附带作业频次等量化说明。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（3）绿化养护的服务要求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3.1外绿化由供应商负责日常养护，供应商可选择专业绿化公司养护，但不能转移管理责任。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室外绿化的种植和养护原则上按照《宁波市园林绿化管理条例》实施，达到绿化、净化、美化的要求。绿化养护需达到95%完好率目标。草坪无高大杂草，绿地无夹生或野生的攀援植物。花草树木长势良好，修剪整齐美观，无病虫害，无折损现象，无斑秃；盆花无纸屑、烟头等杂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3.3每年制定年度绿化养护方案和绿化更新方案报采购人批准。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3.4供应商应在汛期、台风季节落实植株的保护措施，做好防护工作。要做好病虫灾害的防治工作，以保障树木的健康成长。要做好室外植物抗旱防冻的防护措施。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3.5在绿化养护期间，应遵守有关规章制度及管理规定，规范整齐着装，人员配置与相关要求统一，养护人员做到文明操作。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4、专项经费及外包项目管理要求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如供应商需将行政中心办公楼内设施设备维保及绿化、保洁等服务进行外包的，供应商需择优选择专业公司，且须征得采购人的同意后签订合同，正式合同签订后要及时上报采购人备案。</w:t>
      </w:r>
      <w:r>
        <w:rPr>
          <w:rFonts w:hint="eastAsia" w:ascii="宋体" w:hAnsi="宋体" w:eastAsia="宋体" w:cs="宋体"/>
          <w:color w:val="auto"/>
          <w:sz w:val="21"/>
          <w:szCs w:val="21"/>
          <w:highlight w:val="none"/>
          <w:lang w:eastAsia="zh-CN"/>
        </w:rPr>
        <w:t>针对委托给第三方专业维保单位，制定和</w:t>
      </w:r>
      <w:r>
        <w:rPr>
          <w:rFonts w:hint="eastAsia" w:ascii="宋体" w:hAnsi="宋体" w:eastAsia="宋体" w:cs="宋体"/>
          <w:b w:val="0"/>
          <w:bCs w:val="0"/>
          <w:color w:val="auto"/>
          <w:sz w:val="21"/>
          <w:szCs w:val="21"/>
          <w:highlight w:val="none"/>
          <w:lang w:eastAsia="zh-CN"/>
        </w:rPr>
        <w:t>落实《</w:t>
      </w:r>
      <w:r>
        <w:rPr>
          <w:rFonts w:hint="eastAsia" w:ascii="宋体" w:hAnsi="宋体" w:eastAsia="宋体" w:cs="宋体"/>
          <w:b w:val="0"/>
          <w:bCs w:val="0"/>
          <w:color w:val="auto"/>
          <w:sz w:val="21"/>
          <w:szCs w:val="21"/>
          <w:highlight w:val="none"/>
        </w:rPr>
        <w:t>对外委托</w:t>
      </w:r>
      <w:r>
        <w:rPr>
          <w:rFonts w:hint="eastAsia" w:ascii="宋体" w:hAnsi="宋体" w:eastAsia="宋体" w:cs="宋体"/>
          <w:b w:val="0"/>
          <w:bCs w:val="0"/>
          <w:color w:val="auto"/>
          <w:sz w:val="21"/>
          <w:szCs w:val="21"/>
          <w:highlight w:val="none"/>
          <w:lang w:eastAsia="zh-CN"/>
        </w:rPr>
        <w:t>维保</w:t>
      </w:r>
      <w:r>
        <w:rPr>
          <w:rFonts w:hint="eastAsia" w:ascii="宋体" w:hAnsi="宋体" w:eastAsia="宋体" w:cs="宋体"/>
          <w:b w:val="0"/>
          <w:bCs w:val="0"/>
          <w:color w:val="auto"/>
          <w:sz w:val="21"/>
          <w:szCs w:val="21"/>
          <w:highlight w:val="none"/>
        </w:rPr>
        <w:t>服务</w:t>
      </w:r>
      <w:r>
        <w:rPr>
          <w:rFonts w:hint="eastAsia" w:ascii="宋体" w:hAnsi="宋体" w:eastAsia="宋体" w:cs="宋体"/>
          <w:b w:val="0"/>
          <w:bCs w:val="0"/>
          <w:color w:val="auto"/>
          <w:sz w:val="21"/>
          <w:szCs w:val="21"/>
          <w:highlight w:val="none"/>
          <w:lang w:eastAsia="zh-CN"/>
        </w:rPr>
        <w:t>考核</w:t>
      </w:r>
      <w:r>
        <w:rPr>
          <w:rFonts w:hint="eastAsia" w:ascii="宋体" w:hAnsi="宋体" w:eastAsia="宋体" w:cs="宋体"/>
          <w:b w:val="0"/>
          <w:bCs w:val="0"/>
          <w:color w:val="auto"/>
          <w:sz w:val="21"/>
          <w:szCs w:val="21"/>
          <w:highlight w:val="none"/>
        </w:rPr>
        <w:t>标准</w:t>
      </w:r>
      <w:r>
        <w:rPr>
          <w:rFonts w:hint="eastAsia" w:ascii="宋体" w:hAnsi="宋体" w:eastAsia="宋体" w:cs="宋体"/>
          <w:b w:val="0"/>
          <w:bCs w:val="0"/>
          <w:color w:val="auto"/>
          <w:sz w:val="21"/>
          <w:szCs w:val="21"/>
          <w:highlight w:val="none"/>
          <w:lang w:eastAsia="zh-CN"/>
        </w:rPr>
        <w:t>和</w:t>
      </w:r>
      <w:r>
        <w:rPr>
          <w:rFonts w:hint="eastAsia" w:ascii="宋体" w:hAnsi="宋体" w:eastAsia="宋体" w:cs="宋体"/>
          <w:b w:val="0"/>
          <w:bCs w:val="0"/>
          <w:color w:val="auto"/>
          <w:sz w:val="21"/>
          <w:szCs w:val="21"/>
          <w:highlight w:val="none"/>
        </w:rPr>
        <w:t>作业规程</w:t>
      </w:r>
      <w:r>
        <w:rPr>
          <w:rFonts w:hint="eastAsia" w:ascii="宋体" w:hAnsi="宋体" w:eastAsia="宋体" w:cs="宋体"/>
          <w:b w:val="0"/>
          <w:bCs w:val="0"/>
          <w:color w:val="auto"/>
          <w:sz w:val="21"/>
          <w:szCs w:val="21"/>
          <w:highlight w:val="none"/>
          <w:lang w:eastAsia="zh-CN"/>
        </w:rPr>
        <w:t>》，严格</w:t>
      </w:r>
      <w:r>
        <w:rPr>
          <w:rFonts w:hint="eastAsia" w:ascii="宋体" w:hAnsi="宋体" w:eastAsia="宋体" w:cs="宋体"/>
          <w:color w:val="auto"/>
          <w:sz w:val="21"/>
          <w:szCs w:val="21"/>
          <w:highlight w:val="none"/>
          <w:lang w:eastAsia="zh-CN"/>
        </w:rPr>
        <w:t>按采购人要求做好维保服务的监管和资金使用。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5、其他服务要求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立统一服务电话，实行24小时值班值勤制度，随时接受采购人及用户对物业管理报修、求助、建议、问询、质疑、投拆等各类信息的收集和反馈，并及时处理，有回访制度和记录，处理率和回访率应达到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（2）提供收发室服务。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（3）提供活动室服务。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（4）供应商还需提供防台防讯措施的方案。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（5）对临时性设立的如谈话室、问询室等区域做好特殊秩序维护及卫生保洁服务。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四、机构配置和人员配置要求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（一）机构配置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根据以上要求，供应商必须为大楼设立专门管理处，下设综服部、设备部、秩序维护部、保洁部等相应专业部门，实施管辖区域内统一的物业管理。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人员配置数量、岗位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人员配置的数量要求如下：供应商必须配备不少于2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人的管理服务团队，各岗位人员配置最低数要求如下：</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552"/>
        <w:gridCol w:w="173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部门类别</w:t>
            </w:r>
          </w:p>
        </w:tc>
        <w:tc>
          <w:tcPr>
            <w:tcW w:w="255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173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人数</w:t>
            </w:r>
          </w:p>
        </w:tc>
        <w:tc>
          <w:tcPr>
            <w:tcW w:w="184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628"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业户服务部2人</w:t>
            </w:r>
          </w:p>
        </w:tc>
        <w:tc>
          <w:tcPr>
            <w:tcW w:w="255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628"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55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客户服务</w:t>
            </w:r>
          </w:p>
        </w:tc>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628" w:type="dxa"/>
            <w:vMerge w:val="restar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rPr>
              <w:t>设备部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w:t>
            </w:r>
          </w:p>
        </w:tc>
        <w:tc>
          <w:tcPr>
            <w:tcW w:w="255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设备主管</w:t>
            </w:r>
          </w:p>
        </w:tc>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628" w:type="dxa"/>
            <w:vMerge w:val="continue"/>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55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强电工</w:t>
            </w:r>
          </w:p>
        </w:tc>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628"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55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弱</w:t>
            </w:r>
            <w:r>
              <w:rPr>
                <w:rFonts w:hint="eastAsia" w:ascii="宋体" w:hAnsi="宋体" w:eastAsia="宋体" w:cs="宋体"/>
                <w:color w:val="auto"/>
                <w:sz w:val="21"/>
                <w:szCs w:val="21"/>
                <w:highlight w:val="none"/>
              </w:rPr>
              <w:t>电工</w:t>
            </w:r>
          </w:p>
        </w:tc>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28" w:type="dxa"/>
            <w:vMerge w:val="restar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秩序维护部12人</w:t>
            </w:r>
          </w:p>
        </w:tc>
        <w:tc>
          <w:tcPr>
            <w:tcW w:w="255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秩序维护主管</w:t>
            </w:r>
          </w:p>
        </w:tc>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28"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55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秩序维护员</w:t>
            </w:r>
          </w:p>
        </w:tc>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28" w:type="dxa"/>
            <w:vMerge w:val="restart"/>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保洁部</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人</w:t>
            </w:r>
          </w:p>
        </w:tc>
        <w:tc>
          <w:tcPr>
            <w:tcW w:w="255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保洁主管</w:t>
            </w:r>
          </w:p>
        </w:tc>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28"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55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保洁员</w:t>
            </w:r>
          </w:p>
        </w:tc>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628"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2552" w:type="dxa"/>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绿化工</w:t>
            </w:r>
          </w:p>
        </w:tc>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18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73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p>
        </w:tc>
        <w:tc>
          <w:tcPr>
            <w:tcW w:w="184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（三）人员素质要求：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1、主要核心岗位的人员素质要求：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r>
        <w:rPr>
          <w:rFonts w:hint="eastAsia" w:ascii="宋体" w:hAnsi="宋体" w:eastAsia="宋体" w:cs="宋体"/>
          <w:color w:val="auto"/>
          <w:sz w:val="21"/>
          <w:szCs w:val="21"/>
          <w:highlight w:val="none"/>
        </w:rPr>
        <w:t>（项目总负责人）</w:t>
      </w: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rPr>
        <w:t>大专</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以上学历，年龄在</w:t>
      </w:r>
      <w:r>
        <w:rPr>
          <w:rFonts w:hint="eastAsia" w:ascii="宋体" w:hAnsi="宋体" w:eastAsia="宋体" w:cs="宋体"/>
          <w:color w:val="auto"/>
          <w:sz w:val="21"/>
          <w:szCs w:val="21"/>
          <w:highlight w:val="none"/>
        </w:rPr>
        <w:t>45周岁</w:t>
      </w:r>
      <w:r>
        <w:rPr>
          <w:rFonts w:hint="eastAsia" w:ascii="宋体" w:hAnsi="宋体" w:eastAsia="宋体" w:cs="宋体"/>
          <w:color w:val="auto"/>
          <w:sz w:val="21"/>
          <w:szCs w:val="21"/>
          <w:highlight w:val="none"/>
        </w:rPr>
        <w:t>以下，有管理过单体建筑面积在</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万㎡（含）以上行政办公楼项目</w:t>
      </w:r>
      <w:r>
        <w:rPr>
          <w:rFonts w:hint="eastAsia" w:ascii="宋体" w:hAnsi="宋体" w:eastAsia="宋体" w:cs="宋体"/>
          <w:color w:val="auto"/>
          <w:sz w:val="21"/>
          <w:szCs w:val="21"/>
          <w:highlight w:val="none"/>
        </w:rPr>
        <w:t>，且有</w:t>
      </w:r>
      <w:r>
        <w:rPr>
          <w:rFonts w:hint="eastAsia" w:ascii="宋体" w:hAnsi="宋体" w:eastAsia="宋体" w:cs="宋体"/>
          <w:color w:val="auto"/>
          <w:sz w:val="21"/>
          <w:szCs w:val="21"/>
          <w:highlight w:val="none"/>
        </w:rPr>
        <w:t>五年以上工</w:t>
      </w:r>
      <w:r>
        <w:rPr>
          <w:rFonts w:hint="eastAsia" w:ascii="宋体" w:hAnsi="宋体" w:eastAsia="宋体" w:cs="宋体"/>
          <w:color w:val="auto"/>
          <w:sz w:val="21"/>
          <w:szCs w:val="21"/>
          <w:highlight w:val="none"/>
        </w:rPr>
        <w:t>作经验，有</w:t>
      </w:r>
      <w:r>
        <w:rPr>
          <w:rFonts w:hint="eastAsia" w:ascii="宋体" w:hAnsi="宋体" w:eastAsia="宋体" w:cs="宋体"/>
          <w:color w:val="auto"/>
          <w:sz w:val="21"/>
          <w:szCs w:val="21"/>
          <w:highlight w:val="none"/>
        </w:rPr>
        <w:t>全国物业经理证书</w:t>
      </w:r>
      <w:r>
        <w:rPr>
          <w:rFonts w:hint="eastAsia" w:ascii="宋体" w:hAnsi="宋体" w:eastAsia="宋体" w:cs="宋体"/>
          <w:color w:val="auto"/>
          <w:sz w:val="21"/>
          <w:szCs w:val="21"/>
          <w:highlight w:val="none"/>
        </w:rPr>
        <w:t>或注册物业管理师证书，有良好的团队精神和沟通技巧，有良好的指挥协调、语言交流和文字表达能力。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秩序维护主管</w:t>
      </w:r>
      <w:r>
        <w:rPr>
          <w:rFonts w:hint="eastAsia" w:ascii="宋体" w:hAnsi="宋体" w:eastAsia="宋体" w:cs="宋体"/>
          <w:color w:val="auto"/>
          <w:sz w:val="21"/>
          <w:szCs w:val="21"/>
          <w:highlight w:val="none"/>
        </w:rPr>
        <w:t>：具有高中以上学历，年龄在</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周岁以下，有从事过3年以上行政办公楼项目管理工作，懂得消防业务及监控智能化管理，仪表端正，并具备有较好的管理能力、沟通能力，能吃苦耐劳，责任心强，具备较强的处理应急事件的能力。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保洁主管：</w:t>
      </w:r>
      <w:r>
        <w:rPr>
          <w:rFonts w:hint="eastAsia" w:ascii="宋体" w:hAnsi="宋体" w:eastAsia="宋体" w:cs="宋体"/>
          <w:color w:val="auto"/>
          <w:sz w:val="21"/>
          <w:szCs w:val="21"/>
          <w:highlight w:val="none"/>
        </w:rPr>
        <w:t>具有高中以上学历，机关后勤物业管理相关领域3年以上管理经验，年龄在45周岁以下，仪表端正。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设备主管：</w:t>
      </w:r>
      <w:r>
        <w:rPr>
          <w:rFonts w:hint="eastAsia" w:ascii="宋体" w:hAnsi="宋体" w:eastAsia="宋体" w:cs="宋体"/>
          <w:color w:val="auto"/>
          <w:sz w:val="21"/>
          <w:szCs w:val="21"/>
          <w:highlight w:val="none"/>
        </w:rPr>
        <w:t>持有相关从业资格职业证书或持有设备维修岗位证书，具备从事行政办公楼设备管理5年以上工作经验。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2、各岗位人员素质要求：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（1）设备维护类人员要求：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1.1所有人员有培训合格上岗证，持有相关对口的职业资格证书，具有2年以上实际操做工作经验，身体健康，工作认真负责、吃苦耐劳，品德好。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1.2强电工：持有相关从业资格职业证书，具有2年以上实操工作经验，具有相应维修能力。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1.3维修工：有培训合格上岗证，持有相关资格职业证书，具有2年以上实际操作工作经验，身体健康，工作认真负责、吃苦耐劳，品德好。</w:t>
      </w:r>
    </w:p>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i w:val="0"/>
          <w:color w:val="auto"/>
          <w:kern w:val="2"/>
          <w:sz w:val="21"/>
          <w:szCs w:val="21"/>
          <w:highlight w:val="none"/>
          <w:lang w:val="en-US" w:eastAsia="zh-CN" w:bidi="ar-SA"/>
        </w:rPr>
        <w:t>1.4电梯管理：配备1名电梯管理员，必须持有电梯管理员（特种作业）上岗证书。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（2）秩序维护员的要求：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个人身份信息清楚、齐全，无违法犯罪记录。年龄5</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周岁以下，初中以上文化，身体健康，品貌端正。会说普通话，能听懂宁波本地方言。责任心强。退役军人或有过三年以上保安工作经历的可优先考虑。</w:t>
      </w:r>
      <w:r>
        <w:rPr>
          <w:rFonts w:hint="eastAsia" w:ascii="宋体" w:hAnsi="宋体" w:eastAsia="宋体" w:cs="宋体"/>
          <w:color w:val="auto"/>
          <w:sz w:val="21"/>
          <w:szCs w:val="21"/>
          <w:highlight w:val="none"/>
          <w:lang w:eastAsia="zh-CN"/>
        </w:rPr>
        <w:t>消控值班人员必须按规定持有消控操作证，至少提供</w:t>
      </w:r>
      <w:r>
        <w:rPr>
          <w:rFonts w:hint="eastAsia" w:ascii="宋体" w:hAnsi="宋体" w:eastAsia="宋体" w:cs="宋体"/>
          <w:color w:val="auto"/>
          <w:sz w:val="21"/>
          <w:szCs w:val="21"/>
          <w:highlight w:val="none"/>
          <w:lang w:val="en-US" w:eastAsia="zh-CN"/>
        </w:rPr>
        <w:t>4名。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（3）客户服务的要求：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女性，</w:t>
      </w:r>
      <w:r>
        <w:rPr>
          <w:rFonts w:hint="eastAsia" w:ascii="宋体" w:hAnsi="宋体" w:eastAsia="宋体" w:cs="宋体"/>
          <w:color w:val="auto"/>
          <w:sz w:val="21"/>
          <w:szCs w:val="21"/>
          <w:highlight w:val="none"/>
          <w:lang w:val="en-US" w:eastAsia="zh-CN"/>
        </w:rPr>
        <w:t>35周</w:t>
      </w:r>
      <w:r>
        <w:rPr>
          <w:rFonts w:hint="eastAsia" w:ascii="宋体" w:hAnsi="宋体" w:eastAsia="宋体" w:cs="宋体"/>
          <w:color w:val="auto"/>
          <w:sz w:val="21"/>
          <w:szCs w:val="21"/>
          <w:highlight w:val="none"/>
        </w:rPr>
        <w:t>岁以下，身高160cm以上，高中及以上学历，形象气质佳，身体健康，普通话标准，懂宁波方言，工作认真负责，会操作电脑，无不良嗜好及不良记录。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（4）其他工作人员的要求：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素质较好，仪表端正，敬业精神强，年龄在</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0周岁以下，无不良嗜好及不良记录；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（5）如特殊岗位年龄和其他条件另有需求，均须无条件接受采购人的要求。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（四）人员管理的基本要求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1、要求在后勤物业服务期间，所用员工必须仪容整洁、仪表端正、礼仪规范。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除供应商自行对服务人员的培训外，如有需要，须接受采购人对服务人员的集中培训和政府安检机构的强制认证培训。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3、所有岗位均应建立岗位责任制，明确运作程序和工作质量标准，并无条件接受采购人监督检查。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4、所有配置人员必须专职为大楼服务，部分技术支持由供应商在内部调剂且必须由采购人认可，供应商不得随意委派兼职。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5、指定办公室的室内保洁服务人员必须由供应商员工承担，其他保洁人员允许专业服务外</w:t>
      </w:r>
      <w:r>
        <w:rPr>
          <w:rFonts w:hint="eastAsia" w:ascii="宋体" w:hAnsi="宋体" w:eastAsia="宋体" w:cs="宋体"/>
          <w:strike w:val="0"/>
          <w:dstrike w:val="0"/>
          <w:color w:val="auto"/>
          <w:sz w:val="21"/>
          <w:szCs w:val="21"/>
          <w:highlight w:val="none"/>
          <w:lang w:val="en-US" w:eastAsia="zh-CN"/>
        </w:rPr>
        <w:t>包</w:t>
      </w:r>
      <w:r>
        <w:rPr>
          <w:rFonts w:hint="eastAsia" w:ascii="宋体" w:hAnsi="宋体" w:eastAsia="宋体" w:cs="宋体"/>
          <w:color w:val="auto"/>
          <w:sz w:val="21"/>
          <w:szCs w:val="21"/>
          <w:highlight w:val="none"/>
        </w:rPr>
        <w:t>单位派遣。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所有秩序维护员必须经过培训满足岗位能力需求和严格的政审后才能上岗。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7、各类专业技术（工程）人员须经过培训、考核并持有效证书方能上岗工作。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8、供应商应保持员工队伍相对稳定。各类主管、领班、</w:t>
      </w:r>
      <w:r>
        <w:rPr>
          <w:rFonts w:hint="eastAsia" w:ascii="宋体" w:hAnsi="宋体" w:eastAsia="宋体" w:cs="宋体"/>
          <w:color w:val="auto"/>
          <w:sz w:val="21"/>
          <w:szCs w:val="21"/>
          <w:highlight w:val="none"/>
        </w:rPr>
        <w:t>服务人员、</w:t>
      </w:r>
      <w:r>
        <w:rPr>
          <w:rFonts w:hint="eastAsia" w:ascii="宋体" w:hAnsi="宋体" w:eastAsia="宋体" w:cs="宋体"/>
          <w:color w:val="auto"/>
          <w:sz w:val="21"/>
          <w:szCs w:val="21"/>
          <w:highlight w:val="none"/>
        </w:rPr>
        <w:t>技术骨干等重要岗位聘用、离职、岗位调整需及时上报采购人同意。一般各类工程技术人员、秩序维护员、会务人员、指定区域的保洁服务人员聘用、离职、岗位调整需及时向采购人备案。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9、供应商未能按标书配置人员，其物业费用扣减按合同和采购人对供应商的考核管理办法执行。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10、全体员工的劳动合同必须依法按时签订，并缴纳国家规定保险和税金及人身意外保险。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五、物业费用的组成和服务期限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（一）物业管理服务费的组成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分两部分组成：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费用包括以下：（1）所有人员费用(工资、各种社会保险、福利和津贴、特殊岗位、法定节假及日常加班费用)（2）人员综合费用（办公费用、服装费、工具和装备费、培训费、食宿与交通费等）（3）上述部分的管理费和税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第二部分费用包括以下：（1）灭虫灭害费、排污、垃圾清运费等费用（2）保洁用品及工具消耗、公共区域保洁耗材费 (3) 物耗费用：包括各类物料、辅料和备品备件（4）小型公共维修费、公共照明系统日常养护费(5)各类设施设备的检测、年检费用、专业服务和维保费，范围如下：消防系统维保、供水系统维保、电气设备维保、弱电系统维保、避雷系统检测、暖通系统维保、 电力设施检测费 、压力容器检测 、</w:t>
      </w:r>
      <w:r>
        <w:rPr>
          <w:rFonts w:hint="eastAsia" w:ascii="宋体" w:hAnsi="宋体" w:eastAsia="宋体" w:cs="宋体"/>
          <w:color w:val="auto"/>
          <w:sz w:val="21"/>
          <w:szCs w:val="21"/>
          <w:highlight w:val="none"/>
          <w:lang w:val="en-US" w:eastAsia="zh-CN"/>
        </w:rPr>
        <w:t>分体空调维保、</w:t>
      </w:r>
      <w:r>
        <w:rPr>
          <w:rFonts w:hint="eastAsia" w:ascii="宋体" w:hAnsi="宋体" w:eastAsia="宋体" w:cs="宋体"/>
          <w:color w:val="auto"/>
          <w:sz w:val="21"/>
          <w:szCs w:val="21"/>
          <w:highlight w:val="none"/>
        </w:rPr>
        <w:t>电梯系统维保及年检（6）外绿化养护费用（7）外墙、玻璃清洗费用（8）上述部分的税金和管理费。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费用报价说明：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1、报价按年度费用综合测算报价，并按以上内容报价，费用中人员费用按不少于2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人测算，并已含大楼常规管理的人员加班费用，每期人员费用、维保等其他费用须有采购人核准同意后支付。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2、第二部分的费用作为专项资金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行专款专用，结余部分不得转为物业公司利润，但可转入下年度使用，对该费用使用支出均需报采购人同意后方可实施和拨付使用。对于该费用的支出，采购人有权对其使用支出方案进行调整，供应商须满足采购人的合理要求和其监督实际支出情况的要求。如不能按此要求报价，则视同废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3、物业服务费用由投标人自行报价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其中人员基本工资不得低于宁波市政府相关部门最新发布的宁波市最低劳动工资。投标人应考虑潜在的市场风险及政策风险，如在合同</w:t>
      </w:r>
      <w:r>
        <w:rPr>
          <w:rFonts w:hint="eastAsia" w:ascii="宋体" w:hAnsi="宋体" w:eastAsia="宋体" w:cs="宋体"/>
          <w:color w:val="auto"/>
          <w:sz w:val="21"/>
          <w:szCs w:val="21"/>
          <w:highlight w:val="none"/>
          <w:lang w:val="en-US" w:eastAsia="zh-CN"/>
        </w:rPr>
        <w:t>履行</w:t>
      </w:r>
      <w:r>
        <w:rPr>
          <w:rFonts w:hint="eastAsia" w:ascii="宋体" w:hAnsi="宋体" w:eastAsia="宋体" w:cs="宋体"/>
          <w:color w:val="auto"/>
          <w:sz w:val="21"/>
          <w:szCs w:val="21"/>
          <w:highlight w:val="none"/>
        </w:rPr>
        <w:t>期间，遇到社保缴费基数、比例</w:t>
      </w:r>
      <w:r>
        <w:rPr>
          <w:rFonts w:hint="eastAsia" w:ascii="宋体" w:hAnsi="宋体" w:eastAsia="宋体" w:cs="宋体"/>
          <w:color w:val="auto"/>
          <w:sz w:val="21"/>
          <w:szCs w:val="21"/>
          <w:highlight w:val="none"/>
          <w:lang w:val="en-US" w:eastAsia="zh-CN"/>
        </w:rPr>
        <w:t>及法</w:t>
      </w:r>
      <w:r>
        <w:rPr>
          <w:rFonts w:hint="eastAsia" w:ascii="宋体" w:hAnsi="宋体" w:eastAsia="宋体" w:cs="宋体"/>
          <w:color w:val="auto"/>
          <w:sz w:val="21"/>
          <w:szCs w:val="21"/>
          <w:highlight w:val="none"/>
        </w:rPr>
        <w:t>定基本工资上调等政策性因素的情况，应给予相应调整</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招标文件已注明外，警具（除对讲机、警用设备外）、员工服装、保洁用的日常工具和耗材、日常设备维护保养、检测费用及耗材、绿化养护耗材由物业公司负责，其费用包括在投标价中。物业办公用房和办公家具由采购人提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5、采购人单位应承担的费用：（1）能耗费用：包括水、电、燃气、蒸气；（2）房屋设备大中维修费用（3）其他相关费用。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（二）物业支付方式：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按月度将物业管理费支付给乙方，经考核后第二个月10日前为支付上月物业费（节假日顺延）。物业费实行按月支付，年终结算，每月支付额度以物业费用总额度95%的12分之一进行等额支付，5%的物业费用年终考核后在下一年度的第一个月支付。考核金的5%将</w:t>
      </w:r>
      <w:r>
        <w:rPr>
          <w:rFonts w:hint="eastAsia" w:ascii="宋体" w:hAnsi="宋体" w:eastAsia="宋体" w:cs="宋体"/>
          <w:color w:val="auto"/>
          <w:sz w:val="21"/>
          <w:szCs w:val="21"/>
          <w:highlight w:val="none"/>
          <w:lang w:eastAsia="zh-CN"/>
        </w:rPr>
        <w:t>作为日常及年度</w:t>
      </w:r>
      <w:r>
        <w:rPr>
          <w:rFonts w:hint="eastAsia" w:ascii="宋体" w:hAnsi="宋体" w:eastAsia="宋体" w:cs="宋体"/>
          <w:color w:val="auto"/>
          <w:sz w:val="21"/>
          <w:szCs w:val="21"/>
          <w:highlight w:val="none"/>
        </w:rPr>
        <w:t>物业优秀集体及员工的奖励金（与采购方商定考核奖励办法）。（如出现与标书中服务承诺重大偏离，可按合同和考核办法扣除相应的物业费用后支付）。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（三）考核约定和保证金。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要求供应商</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纳物业进场服务履约保证金</w:t>
      </w:r>
      <w:r>
        <w:rPr>
          <w:rFonts w:hint="eastAsia" w:ascii="宋体" w:hAnsi="宋体" w:eastAsia="宋体" w:cs="宋体"/>
          <w:color w:val="auto"/>
          <w:sz w:val="21"/>
          <w:szCs w:val="21"/>
          <w:highlight w:val="none"/>
        </w:rPr>
        <w:t>，作为赔偿和不履行合同的保证金，合同到期退还。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2、为了切实增强管理水平，提高服务质量，采购人将对中标供应商按照竞标文书的承诺及所签合同的规定和要求，供应商要遵守甲方的《北仑区机关事务管理局物业管理服务监管与考核办法》要求。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3、考核应结合对服务对象满意度测评，采购人平时工作巡查记录，以及对不满意事项的整改情况。投标人应在十个工作日内以书面形式反馈整改结果。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4、对人员到岗率实行随时检查和每月考核相结合，如有人员不到位情况或不符合招标响应，则扣减相应费用，按实际到岗率同比率扣减当期相应费用。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（四）管理期限：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本轮物业管理合同期限暂定为暂定2年零8个月，2024年10月1日至2027年5月31日。管理合同为一年一签，合同期末经考核，如达到满意程度，协商一致后续签下一年度的管理合同。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六、各项重要说明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（一）本项物业管理服务实行统一管理，综合服务，其中绿化养护、保洁、部分设施设备维护可引入专业公司，但中标方不得转移其管理责任。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（二）在发出中标通知书后，给予不超过一个月的准备期，要求中标供应商按期与原供应商进行交接。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（三）物业费用计算以大楼正式移交接管之日起计，之前物业管理人员费用和培训费用由供应商负责。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中标供应商需负责好各类建设图纸、工程档案等建筑档案的接管清点工作。接管后，需全面建立健全大楼物业管理档案资料，如设备巡视记录、保安巡岗记录、报修记录单、保洁工作记录以及其他需要记录在案的文档，并做好各项保密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（五）在物业管理工作中确保采购人提供的设备、设施完好，如因员工不慎导致设备、设施损坏、灭失，供应商应按原价赔偿。由于秩序维护服务不到位造成财产与设施损失的，供应商须承担相应的赔偿责任。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（六）秩序维护服装和会务礼仪人员服装样式须经采购人认可后方可穿着。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（七）中标供应商要遵守各项保密制度，防止不宜公开的资料、文件和信息的泄露。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（八）中标供应商应认真听取采购人提出的建议和意见，并接受采购人制定的考核管理规定，对在物业管理中出现的问题和薄弱环节应立即整改。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（九）中标供应商须将节能工作作为日常工作之一，并达到采购人和其他管理部门的节能考核之要求。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（十）合理化建议。中标供应商提出的合理化建议要求切实可行，具有可操作性。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 采购人有权对中标供应商各工作岗位的服务质量随时进行抽查。如发现问题，供应商应及时整改。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（十二）如中标供应商非现大楼物业服务单位，须做好现有物业人员的招聘工作，其人员留用比率和名单需上报采购人，同时应自行事先做好与现有物业服务单位的沟通工作。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（十三）其它临时性杂项及应急服务在招标文件中未提及的，由投标人自行考虑并将相关费用包含在中标价中，漏项责任由投标人自负。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(十四)核心管理团队到岗率必须达到100%，其人员素质和资历必须达到采购人对其人员素质要求和投标书承诺，如不能在投标书中承诺部分不得分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若采购人在投标文件中承诺的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但在实际管理时不能履行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视同违约。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七、其他说明：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本项目为物业管理采购，投标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必须对所有服务项目完全响应</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供应商投标所使用的资格、信誉、荣誉、业绩与企业认证证书必须为该供应商所拥有。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spacing w:line="312" w:lineRule="auto"/>
        <w:rPr>
          <w:rFonts w:hint="eastAsia" w:ascii="宋体" w:hAnsi="宋体" w:eastAsia="宋体" w:cs="Times New Roman"/>
          <w:b/>
          <w:color w:val="auto"/>
          <w:szCs w:val="21"/>
          <w:highlight w:val="none"/>
        </w:rPr>
      </w:pPr>
    </w:p>
    <w:p>
      <w:pPr>
        <w:spacing w:line="312"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附件：</w:t>
      </w:r>
    </w:p>
    <w:p>
      <w:pPr>
        <w:spacing w:line="312" w:lineRule="auto"/>
        <w:rPr>
          <w:rFonts w:hint="eastAsia" w:ascii="宋体" w:hAnsi="宋体" w:eastAsia="宋体" w:cs="Times New Roman"/>
          <w:b/>
          <w:color w:val="auto"/>
          <w:szCs w:val="21"/>
          <w:highlight w:val="none"/>
        </w:rPr>
      </w:pPr>
    </w:p>
    <w:p>
      <w:pPr>
        <w:spacing w:line="312" w:lineRule="auto"/>
        <w:jc w:val="center"/>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北仑区机关事务管理局物业管理服务监管与考核办法</w:t>
      </w:r>
    </w:p>
    <w:p>
      <w:pPr>
        <w:spacing w:line="312" w:lineRule="auto"/>
        <w:rPr>
          <w:rFonts w:hint="eastAsia" w:ascii="宋体" w:hAnsi="宋体" w:eastAsia="宋体" w:cs="Times New Roman"/>
          <w:b/>
          <w:color w:val="auto"/>
          <w:szCs w:val="21"/>
          <w:highlight w:val="none"/>
        </w:rPr>
      </w:pPr>
    </w:p>
    <w:p>
      <w:pPr>
        <w:spacing w:line="312" w:lineRule="auto"/>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第一章、总 则</w:t>
      </w:r>
    </w:p>
    <w:p>
      <w:pPr>
        <w:spacing w:line="360" w:lineRule="auto"/>
        <w:rPr>
          <w:color w:val="auto"/>
          <w:highlight w:val="none"/>
        </w:rPr>
      </w:pPr>
      <w:r>
        <w:rPr>
          <w:rFonts w:hint="eastAsia"/>
          <w:color w:val="auto"/>
          <w:highlight w:val="none"/>
        </w:rPr>
        <w:t>第一条 为切实增强管理水平，提高服务质量，努力实现对行政办公大楼管理科学化，操作规范化，服务优质化的目标，根据物业管理的有关法规，按照物业服务单位竞标文书或物业管理方案的承诺及所签合同的规定和要求，特制订《北仑区机关事务管理局物业管理服务监管与考核办法》(以下简称办法)。</w:t>
      </w:r>
    </w:p>
    <w:p>
      <w:pPr>
        <w:spacing w:line="360" w:lineRule="auto"/>
        <w:rPr>
          <w:color w:val="auto"/>
          <w:highlight w:val="none"/>
        </w:rPr>
      </w:pPr>
      <w:r>
        <w:rPr>
          <w:rFonts w:hint="eastAsia"/>
          <w:color w:val="auto"/>
          <w:highlight w:val="none"/>
        </w:rPr>
        <w:t>第二条 本办法作为代表业主行使管理职能的部门对物业管理、服务质量监督、考核的重要依据，旨在督导机关事务管理局所监管的物业管理部门为全区机关干部和人民群众提供一个优美、舒适的工作环境和高效、有序的工作秩序。</w:t>
      </w:r>
    </w:p>
    <w:p>
      <w:pPr>
        <w:spacing w:line="360" w:lineRule="auto"/>
        <w:rPr>
          <w:color w:val="auto"/>
          <w:highlight w:val="none"/>
        </w:rPr>
      </w:pPr>
      <w:r>
        <w:rPr>
          <w:rFonts w:hint="eastAsia"/>
          <w:color w:val="auto"/>
          <w:highlight w:val="none"/>
        </w:rPr>
        <w:t>第三条 本办法作为管理职能部门对物业公司的管理及服务实行全过程、全方位监管的制度，并根据监管结果，可作出相应的奖惩和处理。</w:t>
      </w:r>
    </w:p>
    <w:p>
      <w:pPr>
        <w:spacing w:line="360" w:lineRule="auto"/>
        <w:rPr>
          <w:color w:val="auto"/>
          <w:highlight w:val="none"/>
        </w:rPr>
      </w:pPr>
    </w:p>
    <w:p>
      <w:pPr>
        <w:spacing w:line="360" w:lineRule="auto"/>
        <w:jc w:val="center"/>
        <w:rPr>
          <w:color w:val="auto"/>
          <w:highlight w:val="none"/>
        </w:rPr>
      </w:pPr>
      <w:r>
        <w:rPr>
          <w:rFonts w:hint="eastAsia" w:ascii="宋体" w:hAnsi="宋体" w:eastAsia="宋体" w:cs="Times New Roman"/>
          <w:b/>
          <w:color w:val="auto"/>
          <w:szCs w:val="21"/>
          <w:highlight w:val="none"/>
        </w:rPr>
        <w:t>第二章、监管组织的构成</w:t>
      </w:r>
    </w:p>
    <w:p>
      <w:pPr>
        <w:spacing w:line="360" w:lineRule="auto"/>
        <w:rPr>
          <w:color w:val="auto"/>
          <w:highlight w:val="none"/>
        </w:rPr>
      </w:pPr>
      <w:r>
        <w:rPr>
          <w:rFonts w:hint="eastAsia"/>
          <w:color w:val="auto"/>
          <w:highlight w:val="none"/>
        </w:rPr>
        <w:t>第四条 区机关事务管理局作为《办法》的执行主体，成立监管小组，由分管局长任组长，职能科室负责人任副组长</w:t>
      </w:r>
      <w:r>
        <w:rPr>
          <w:rFonts w:hint="eastAsia"/>
          <w:color w:val="auto"/>
          <w:highlight w:val="none"/>
          <w:lang w:eastAsia="zh-CN"/>
        </w:rPr>
        <w:t>，</w:t>
      </w:r>
      <w:r>
        <w:rPr>
          <w:rFonts w:hint="eastAsia"/>
          <w:color w:val="auto"/>
          <w:highlight w:val="none"/>
        </w:rPr>
        <w:t>并配兼职监管员若干人。监管小组的职责是代表机关事务管理局对物业公司的管理及服务进行监管。</w:t>
      </w:r>
    </w:p>
    <w:p>
      <w:pPr>
        <w:spacing w:line="360" w:lineRule="auto"/>
        <w:rPr>
          <w:color w:val="auto"/>
          <w:highlight w:val="none"/>
        </w:rPr>
      </w:pPr>
      <w:r>
        <w:rPr>
          <w:rFonts w:hint="eastAsia"/>
          <w:color w:val="auto"/>
          <w:highlight w:val="none"/>
        </w:rPr>
        <w:t>第五条 监管小组的工作职责：</w:t>
      </w:r>
    </w:p>
    <w:p>
      <w:pPr>
        <w:spacing w:line="360" w:lineRule="auto"/>
        <w:rPr>
          <w:color w:val="auto"/>
          <w:highlight w:val="none"/>
        </w:rPr>
      </w:pPr>
      <w:r>
        <w:rPr>
          <w:rFonts w:hint="eastAsia"/>
          <w:color w:val="auto"/>
          <w:highlight w:val="none"/>
        </w:rPr>
        <w:t>（一）代表和维护产权人、使用人的合法权益；审查物业管理方案、制度；</w:t>
      </w:r>
    </w:p>
    <w:p>
      <w:pPr>
        <w:spacing w:line="360" w:lineRule="auto"/>
        <w:rPr>
          <w:color w:val="auto"/>
          <w:highlight w:val="none"/>
        </w:rPr>
      </w:pPr>
      <w:r>
        <w:rPr>
          <w:rFonts w:hint="eastAsia"/>
          <w:color w:val="auto"/>
          <w:highlight w:val="none"/>
        </w:rPr>
        <w:t>（二）负责对物业公司提供管理和服务的质量进行全程监管，检查监督物业公司投标文书和物业管理方案书的实施情况和制度的实行</w:t>
      </w:r>
      <w:r>
        <w:rPr>
          <w:rFonts w:hint="eastAsia"/>
          <w:color w:val="auto"/>
          <w:highlight w:val="none"/>
          <w:lang w:eastAsia="zh-CN"/>
        </w:rPr>
        <w:t>，</w:t>
      </w:r>
      <w:r>
        <w:rPr>
          <w:rFonts w:hint="eastAsia"/>
          <w:color w:val="auto"/>
          <w:highlight w:val="none"/>
        </w:rPr>
        <w:t>检查监督投标文书和物业管理方案书中承诺的履行情况。</w:t>
      </w:r>
    </w:p>
    <w:p>
      <w:pPr>
        <w:spacing w:line="360" w:lineRule="auto"/>
        <w:rPr>
          <w:color w:val="auto"/>
          <w:highlight w:val="none"/>
        </w:rPr>
      </w:pPr>
      <w:r>
        <w:rPr>
          <w:rFonts w:hint="eastAsia"/>
          <w:color w:val="auto"/>
          <w:highlight w:val="none"/>
        </w:rPr>
        <w:t>（三）审议物业公司制订的年度管理计划、大楼设备设施维修计划、物耗维保等专项资金使用计划及决算报告、节能方案和能耗分析报告；</w:t>
      </w:r>
    </w:p>
    <w:p>
      <w:pPr>
        <w:spacing w:line="360" w:lineRule="auto"/>
        <w:rPr>
          <w:color w:val="auto"/>
          <w:highlight w:val="none"/>
        </w:rPr>
      </w:pPr>
      <w:r>
        <w:rPr>
          <w:rFonts w:hint="eastAsia"/>
          <w:color w:val="auto"/>
          <w:highlight w:val="none"/>
        </w:rPr>
        <w:t>（四）负责对物业管理人员的监督及对物业公司的各项管理服务业务的满意率考评。</w:t>
      </w:r>
    </w:p>
    <w:p>
      <w:pPr>
        <w:spacing w:line="360" w:lineRule="auto"/>
        <w:rPr>
          <w:color w:val="auto"/>
          <w:highlight w:val="none"/>
        </w:rPr>
      </w:pPr>
      <w:r>
        <w:rPr>
          <w:rFonts w:hint="eastAsia"/>
          <w:color w:val="auto"/>
          <w:highlight w:val="none"/>
        </w:rPr>
        <w:t>（五）负责监管内容的履行情况，并填写检查记录和考核意见。</w:t>
      </w:r>
    </w:p>
    <w:p>
      <w:pPr>
        <w:spacing w:line="360" w:lineRule="auto"/>
        <w:rPr>
          <w:color w:val="auto"/>
          <w:highlight w:val="none"/>
        </w:rPr>
      </w:pPr>
      <w:r>
        <w:rPr>
          <w:rFonts w:hint="eastAsia"/>
          <w:color w:val="auto"/>
          <w:highlight w:val="none"/>
        </w:rPr>
        <w:t>（六）处理合同期间在物业管理工作中需甲方出面协调的问题。</w:t>
      </w:r>
    </w:p>
    <w:p>
      <w:pPr>
        <w:spacing w:line="360" w:lineRule="auto"/>
        <w:rPr>
          <w:color w:val="auto"/>
          <w:highlight w:val="none"/>
        </w:rPr>
      </w:pPr>
    </w:p>
    <w:p>
      <w:pPr>
        <w:spacing w:line="360" w:lineRule="auto"/>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第三章、监管的范围</w:t>
      </w:r>
    </w:p>
    <w:p>
      <w:pPr>
        <w:spacing w:line="360" w:lineRule="auto"/>
        <w:rPr>
          <w:color w:val="auto"/>
          <w:highlight w:val="none"/>
        </w:rPr>
      </w:pPr>
      <w:r>
        <w:rPr>
          <w:rFonts w:hint="eastAsia"/>
          <w:color w:val="auto"/>
          <w:highlight w:val="none"/>
        </w:rPr>
        <w:t>第六条 按照区机关事务管理局与物业服务单位所签合同的规定、要求，对以下业务实施监管：</w:t>
      </w:r>
    </w:p>
    <w:p>
      <w:pPr>
        <w:spacing w:line="360" w:lineRule="auto"/>
        <w:rPr>
          <w:color w:val="auto"/>
          <w:highlight w:val="none"/>
        </w:rPr>
      </w:pPr>
      <w:r>
        <w:rPr>
          <w:rFonts w:hint="eastAsia"/>
          <w:color w:val="auto"/>
          <w:highlight w:val="none"/>
        </w:rPr>
        <w:t>（一）设备设施管理。</w:t>
      </w:r>
    </w:p>
    <w:p>
      <w:pPr>
        <w:spacing w:line="360" w:lineRule="auto"/>
        <w:rPr>
          <w:color w:val="auto"/>
          <w:highlight w:val="none"/>
        </w:rPr>
      </w:pPr>
      <w:r>
        <w:rPr>
          <w:rFonts w:hint="eastAsia"/>
          <w:color w:val="auto"/>
          <w:highlight w:val="none"/>
        </w:rPr>
        <w:t>（二）大楼安保服务。</w:t>
      </w:r>
    </w:p>
    <w:p>
      <w:pPr>
        <w:spacing w:line="360" w:lineRule="auto"/>
        <w:rPr>
          <w:color w:val="auto"/>
          <w:highlight w:val="none"/>
        </w:rPr>
      </w:pPr>
      <w:r>
        <w:rPr>
          <w:rFonts w:hint="eastAsia"/>
          <w:color w:val="auto"/>
          <w:highlight w:val="none"/>
        </w:rPr>
        <w:t>（三）礼仪会务服务。</w:t>
      </w:r>
    </w:p>
    <w:p>
      <w:pPr>
        <w:spacing w:line="360" w:lineRule="auto"/>
        <w:rPr>
          <w:color w:val="auto"/>
          <w:highlight w:val="none"/>
        </w:rPr>
      </w:pPr>
      <w:r>
        <w:rPr>
          <w:rFonts w:hint="eastAsia"/>
          <w:color w:val="auto"/>
          <w:highlight w:val="none"/>
        </w:rPr>
        <w:t>（四）清卫保洁服务。</w:t>
      </w:r>
    </w:p>
    <w:p>
      <w:pPr>
        <w:spacing w:line="360" w:lineRule="auto"/>
        <w:rPr>
          <w:color w:val="auto"/>
          <w:highlight w:val="none"/>
        </w:rPr>
      </w:pPr>
      <w:r>
        <w:rPr>
          <w:rFonts w:hint="eastAsia"/>
          <w:color w:val="auto"/>
          <w:highlight w:val="none"/>
        </w:rPr>
        <w:t>（五）环境绿化管理。</w:t>
      </w:r>
    </w:p>
    <w:p>
      <w:pPr>
        <w:spacing w:line="360" w:lineRule="auto"/>
        <w:rPr>
          <w:color w:val="auto"/>
          <w:highlight w:val="none"/>
        </w:rPr>
      </w:pPr>
      <w:r>
        <w:rPr>
          <w:rFonts w:hint="eastAsia"/>
          <w:color w:val="auto"/>
          <w:highlight w:val="none"/>
        </w:rPr>
        <w:t>（六）专项资金使用。</w:t>
      </w:r>
    </w:p>
    <w:p>
      <w:pPr>
        <w:spacing w:line="360" w:lineRule="auto"/>
        <w:rPr>
          <w:color w:val="auto"/>
          <w:highlight w:val="none"/>
        </w:rPr>
      </w:pPr>
      <w:r>
        <w:rPr>
          <w:rFonts w:hint="eastAsia"/>
          <w:color w:val="auto"/>
          <w:highlight w:val="none"/>
        </w:rPr>
        <w:t>（七）岗位人员配置情况。</w:t>
      </w:r>
    </w:p>
    <w:p>
      <w:pPr>
        <w:spacing w:line="360" w:lineRule="auto"/>
        <w:rPr>
          <w:color w:val="auto"/>
          <w:highlight w:val="none"/>
        </w:rPr>
      </w:pPr>
      <w:r>
        <w:rPr>
          <w:rFonts w:hint="eastAsia"/>
          <w:color w:val="auto"/>
          <w:highlight w:val="none"/>
        </w:rPr>
        <w:t>（八）外包项目管理情况。</w:t>
      </w:r>
    </w:p>
    <w:p>
      <w:pPr>
        <w:spacing w:line="360" w:lineRule="auto"/>
        <w:rPr>
          <w:color w:val="auto"/>
          <w:highlight w:val="none"/>
        </w:rPr>
      </w:pPr>
    </w:p>
    <w:p>
      <w:pPr>
        <w:spacing w:line="360" w:lineRule="auto"/>
        <w:jc w:val="center"/>
        <w:rPr>
          <w:b/>
          <w:bCs/>
          <w:color w:val="auto"/>
          <w:highlight w:val="none"/>
        </w:rPr>
      </w:pPr>
      <w:r>
        <w:rPr>
          <w:rFonts w:hint="eastAsia"/>
          <w:b/>
          <w:bCs/>
          <w:color w:val="auto"/>
          <w:highlight w:val="none"/>
        </w:rPr>
        <w:t>第四章、监管的内容、标准及要求</w:t>
      </w:r>
    </w:p>
    <w:p>
      <w:pPr>
        <w:spacing w:line="360" w:lineRule="auto"/>
        <w:rPr>
          <w:color w:val="auto"/>
          <w:highlight w:val="none"/>
        </w:rPr>
      </w:pPr>
      <w:r>
        <w:rPr>
          <w:rFonts w:hint="eastAsia"/>
          <w:color w:val="auto"/>
          <w:highlight w:val="none"/>
        </w:rPr>
        <w:t>第七条  房屋设备设施管理、维护</w:t>
      </w:r>
    </w:p>
    <w:p>
      <w:pPr>
        <w:spacing w:line="360" w:lineRule="auto"/>
        <w:rPr>
          <w:color w:val="auto"/>
          <w:highlight w:val="none"/>
        </w:rPr>
      </w:pPr>
      <w:r>
        <w:rPr>
          <w:rFonts w:hint="eastAsia"/>
          <w:color w:val="auto"/>
          <w:highlight w:val="none"/>
        </w:rPr>
        <w:t>（一）机关各办公大楼的所有房屋、设备、设施的使用管理、维护均由相关物业公司负责，行政科负责对物业公司在实施房屋设备设施维护管理中的监管。</w:t>
      </w:r>
    </w:p>
    <w:p>
      <w:pPr>
        <w:spacing w:line="360" w:lineRule="auto"/>
        <w:rPr>
          <w:color w:val="auto"/>
          <w:highlight w:val="none"/>
        </w:rPr>
      </w:pPr>
      <w:r>
        <w:rPr>
          <w:rFonts w:hint="eastAsia"/>
          <w:color w:val="auto"/>
          <w:highlight w:val="none"/>
        </w:rPr>
        <w:t>（二）各类专业技术（工程）人员须经过培训、考核并持有效证书方能上岗工作。各类工程技术主管人员聘用、离职、岗位调整需及时上报行政科。一般各类工程技术人员聘用、离职、岗位调整需及时向行政科备案。</w:t>
      </w:r>
    </w:p>
    <w:p>
      <w:pPr>
        <w:spacing w:line="360" w:lineRule="auto"/>
        <w:rPr>
          <w:color w:val="auto"/>
          <w:highlight w:val="none"/>
        </w:rPr>
      </w:pPr>
      <w:r>
        <w:rPr>
          <w:rFonts w:hint="eastAsia"/>
          <w:color w:val="auto"/>
          <w:highlight w:val="none"/>
        </w:rPr>
        <w:t>(三)所有上岗人员必须熟悉各自操作运行设备的型号、功能、数量、位置、保修年限与单位，并做好设备原始档案及保养、维（大）修档案的记录。</w:t>
      </w:r>
    </w:p>
    <w:p>
      <w:pPr>
        <w:spacing w:line="360" w:lineRule="auto"/>
        <w:rPr>
          <w:color w:val="auto"/>
          <w:highlight w:val="none"/>
        </w:rPr>
      </w:pPr>
      <w:r>
        <w:rPr>
          <w:rFonts w:hint="eastAsia"/>
          <w:color w:val="auto"/>
          <w:highlight w:val="none"/>
        </w:rPr>
        <w:t>（四）、设备监管人员将根据各种设备的技术参数和竞标文书、物业方案书的承诺标准，对设备的运转、使用情况、维保情况进行定期的检查。每月底各物业公司设备部门应把本月设备运转维保（使用）详情以书面形式上报行政科。</w:t>
      </w:r>
    </w:p>
    <w:p>
      <w:pPr>
        <w:spacing w:line="360" w:lineRule="auto"/>
        <w:rPr>
          <w:color w:val="auto"/>
          <w:highlight w:val="none"/>
        </w:rPr>
      </w:pPr>
      <w:r>
        <w:rPr>
          <w:rFonts w:hint="eastAsia"/>
          <w:color w:val="auto"/>
          <w:highlight w:val="none"/>
        </w:rPr>
        <w:t>各种设备维保检测必须按标书、物业方案书的承诺标准和有关规定定期实施检测，并及时将报告上报行政科。各类设备维保合同也需及时上报行政科备案。</w:t>
      </w:r>
    </w:p>
    <w:p>
      <w:pPr>
        <w:spacing w:line="360" w:lineRule="auto"/>
        <w:rPr>
          <w:color w:val="auto"/>
          <w:highlight w:val="none"/>
        </w:rPr>
      </w:pPr>
      <w:r>
        <w:rPr>
          <w:rFonts w:hint="eastAsia"/>
          <w:color w:val="auto"/>
          <w:highlight w:val="none"/>
        </w:rPr>
        <w:t>(五)物业公司履行机关办公大楼水电、空调管理职责时，切实做好水电、冷暖气供应、维修与管理，以保障水电气的正常供应。同时制订落实停电停水等各类应急管理预案。</w:t>
      </w:r>
    </w:p>
    <w:p>
      <w:pPr>
        <w:spacing w:line="360" w:lineRule="auto"/>
        <w:rPr>
          <w:color w:val="auto"/>
          <w:highlight w:val="none"/>
        </w:rPr>
      </w:pPr>
      <w:r>
        <w:rPr>
          <w:rFonts w:hint="eastAsia"/>
          <w:color w:val="auto"/>
          <w:highlight w:val="none"/>
        </w:rPr>
        <w:t>（六）遇到大型会议及重要接待，物业公司对相关设备进行全面检查，并把检查结果及时反馈给行政科，以保障各项设备的正常使用和运转。</w:t>
      </w:r>
    </w:p>
    <w:p>
      <w:pPr>
        <w:spacing w:line="360" w:lineRule="auto"/>
        <w:rPr>
          <w:color w:val="auto"/>
          <w:highlight w:val="none"/>
        </w:rPr>
      </w:pPr>
      <w:r>
        <w:rPr>
          <w:rFonts w:hint="eastAsia"/>
          <w:color w:val="auto"/>
          <w:highlight w:val="none"/>
        </w:rPr>
        <w:t>（七） 在日常运作中，物业公司应采取多种有效措施，落实节能降耗，并每月形成能耗分析报告上报行政科，行政科有权对各项节能措施的落实情况进行督查。</w:t>
      </w:r>
    </w:p>
    <w:p>
      <w:pPr>
        <w:spacing w:line="360" w:lineRule="auto"/>
        <w:rPr>
          <w:color w:val="auto"/>
          <w:highlight w:val="none"/>
        </w:rPr>
      </w:pPr>
      <w:r>
        <w:rPr>
          <w:rFonts w:hint="eastAsia"/>
          <w:color w:val="auto"/>
          <w:highlight w:val="none"/>
        </w:rPr>
        <w:t>（八）房屋、设备、设施出现故障，物业公司应及时修复，不得无故拖延，对于物业无法维修或有重大影响的项目，应及时以书面形式上报管理部门，并提出解决方案。</w:t>
      </w:r>
    </w:p>
    <w:p>
      <w:pPr>
        <w:spacing w:line="360" w:lineRule="auto"/>
        <w:rPr>
          <w:color w:val="auto"/>
          <w:highlight w:val="none"/>
        </w:rPr>
      </w:pPr>
      <w:r>
        <w:rPr>
          <w:rFonts w:hint="eastAsia"/>
          <w:color w:val="auto"/>
          <w:highlight w:val="none"/>
        </w:rPr>
        <w:t>（九）设备监管人员根据标书或物业管理方案书承诺标准对设备维保工作履行监管职责，并根据有关考核办法实施考核。</w:t>
      </w:r>
    </w:p>
    <w:p>
      <w:pPr>
        <w:spacing w:line="360" w:lineRule="auto"/>
        <w:rPr>
          <w:color w:val="auto"/>
          <w:highlight w:val="none"/>
        </w:rPr>
      </w:pPr>
      <w:r>
        <w:rPr>
          <w:rFonts w:hint="eastAsia"/>
          <w:color w:val="auto"/>
          <w:highlight w:val="none"/>
        </w:rPr>
        <w:t>第八条  大楼秩序维护服务</w:t>
      </w:r>
    </w:p>
    <w:p>
      <w:pPr>
        <w:spacing w:line="360" w:lineRule="auto"/>
        <w:rPr>
          <w:color w:val="auto"/>
          <w:highlight w:val="none"/>
        </w:rPr>
      </w:pPr>
      <w:r>
        <w:rPr>
          <w:rFonts w:hint="eastAsia"/>
          <w:color w:val="auto"/>
          <w:highlight w:val="none"/>
        </w:rPr>
        <w:t>（一）机关大楼内的秩序维护工作由相关物业公司负责。保卫科负责对秩序维护的监管工作。</w:t>
      </w:r>
    </w:p>
    <w:p>
      <w:pPr>
        <w:spacing w:line="360" w:lineRule="auto"/>
        <w:rPr>
          <w:color w:val="auto"/>
          <w:highlight w:val="none"/>
        </w:rPr>
      </w:pPr>
      <w:r>
        <w:rPr>
          <w:rFonts w:hint="eastAsia"/>
          <w:color w:val="auto"/>
          <w:highlight w:val="none"/>
        </w:rPr>
        <w:t>(二)保安队员聘用标准须按标书或物业管理方案书执行，并经过严格的政审、培训和考核，合格后方能上岗值勤。保安管理人员进出、岗位调整前需及时上报保卫科同意。保安人员聘用、离职需及时向保卫科备案。</w:t>
      </w:r>
    </w:p>
    <w:p>
      <w:pPr>
        <w:spacing w:line="360" w:lineRule="auto"/>
        <w:rPr>
          <w:color w:val="auto"/>
          <w:highlight w:val="none"/>
        </w:rPr>
      </w:pPr>
      <w:r>
        <w:rPr>
          <w:rFonts w:hint="eastAsia"/>
          <w:color w:val="auto"/>
          <w:highlight w:val="none"/>
        </w:rPr>
        <w:t>（三）保安队员必须准确无误地掌握各个岗位的工作职责及工作重点，并认真做好台帐和纪录。值勤时必须着统一服装，佩统一装具，严格履行职责和执行各项规章制度。</w:t>
      </w:r>
    </w:p>
    <w:p>
      <w:pPr>
        <w:spacing w:line="360" w:lineRule="auto"/>
        <w:rPr>
          <w:color w:val="auto"/>
          <w:highlight w:val="none"/>
        </w:rPr>
      </w:pPr>
      <w:r>
        <w:rPr>
          <w:rFonts w:hint="eastAsia"/>
          <w:color w:val="auto"/>
          <w:highlight w:val="none"/>
        </w:rPr>
        <w:t>（四）秩序维护各岗位要求。</w:t>
      </w:r>
    </w:p>
    <w:p>
      <w:pPr>
        <w:spacing w:line="360" w:lineRule="auto"/>
        <w:rPr>
          <w:color w:val="auto"/>
          <w:highlight w:val="none"/>
        </w:rPr>
      </w:pPr>
      <w:r>
        <w:rPr>
          <w:rFonts w:hint="eastAsia"/>
          <w:color w:val="auto"/>
          <w:highlight w:val="none"/>
        </w:rPr>
        <w:t>（1）门岗：维持门口秩序，保证出入畅通；做好外来车辆、办事人员出入大门的登记；外运物品须由业主单位开具证明并岗位核对后方可放行；对上访群众做好“劝、疏、阻”工作，并按程序及时上报有关部门。</w:t>
      </w:r>
    </w:p>
    <w:p>
      <w:pPr>
        <w:spacing w:line="360" w:lineRule="auto"/>
        <w:rPr>
          <w:color w:val="auto"/>
          <w:highlight w:val="none"/>
        </w:rPr>
      </w:pPr>
      <w:r>
        <w:rPr>
          <w:rFonts w:hint="eastAsia"/>
          <w:color w:val="auto"/>
          <w:highlight w:val="none"/>
        </w:rPr>
        <w:t>（2）楼层岗：熟悉楼层办公分布情况及办公人员，落实不定期巡查制度；加强重点楼层（党政首脑机关）的安全防范，阻止无关人员的进入和上访群众的冲击。</w:t>
      </w:r>
    </w:p>
    <w:p>
      <w:pPr>
        <w:spacing w:line="360" w:lineRule="auto"/>
        <w:rPr>
          <w:color w:val="auto"/>
          <w:highlight w:val="none"/>
        </w:rPr>
      </w:pPr>
      <w:r>
        <w:rPr>
          <w:rFonts w:hint="eastAsia"/>
          <w:color w:val="auto"/>
          <w:highlight w:val="none"/>
        </w:rPr>
        <w:t>（3）监控岗：操作人员必须持证上岗，熟知各类监控设备的性能、作用，熟练使用监控设备，实行24小时不间断的运转，提供完整无缺、清晰全面的记录。</w:t>
      </w:r>
    </w:p>
    <w:p>
      <w:pPr>
        <w:spacing w:line="360" w:lineRule="auto"/>
        <w:rPr>
          <w:color w:val="auto"/>
          <w:highlight w:val="none"/>
        </w:rPr>
      </w:pPr>
      <w:r>
        <w:rPr>
          <w:rFonts w:hint="eastAsia"/>
          <w:color w:val="auto"/>
          <w:highlight w:val="none"/>
        </w:rPr>
        <w:t>（4）交通岗：做好机动车辆有序停放管理，维护出入秩序和停车秩序。</w:t>
      </w:r>
    </w:p>
    <w:p>
      <w:pPr>
        <w:spacing w:line="360" w:lineRule="auto"/>
        <w:rPr>
          <w:color w:val="auto"/>
          <w:highlight w:val="none"/>
        </w:rPr>
      </w:pPr>
      <w:r>
        <w:rPr>
          <w:rFonts w:hint="eastAsia"/>
          <w:color w:val="auto"/>
          <w:highlight w:val="none"/>
        </w:rPr>
        <w:t>（五）定期做好对防火设备和消防器材的使用、设置及保养情况的检查，并做好应对突发事件（灾害事故）的处置预案，以确保安全。发生突发事件时大楼的全体保安人员必须全体到岗待命，随时服从上级领导或公安部门的指挥、调遣。</w:t>
      </w:r>
    </w:p>
    <w:p>
      <w:pPr>
        <w:spacing w:line="360" w:lineRule="auto"/>
        <w:rPr>
          <w:color w:val="auto"/>
          <w:highlight w:val="none"/>
        </w:rPr>
      </w:pPr>
      <w:r>
        <w:rPr>
          <w:rFonts w:hint="eastAsia"/>
          <w:color w:val="auto"/>
          <w:highlight w:val="none"/>
        </w:rPr>
        <w:t>（六）保卫科根据标书或物业管理方案书承诺标准，对秩序维护工作履行监管职责，并根据有关考核办法实施考核。</w:t>
      </w:r>
    </w:p>
    <w:p>
      <w:pPr>
        <w:spacing w:line="360" w:lineRule="auto"/>
        <w:rPr>
          <w:color w:val="auto"/>
          <w:highlight w:val="none"/>
        </w:rPr>
      </w:pPr>
      <w:r>
        <w:rPr>
          <w:rFonts w:hint="eastAsia"/>
          <w:color w:val="auto"/>
          <w:highlight w:val="none"/>
        </w:rPr>
        <w:t>第九条  会务及礼仪服务</w:t>
      </w:r>
    </w:p>
    <w:p>
      <w:pPr>
        <w:spacing w:line="360" w:lineRule="auto"/>
        <w:rPr>
          <w:color w:val="auto"/>
          <w:highlight w:val="none"/>
        </w:rPr>
      </w:pPr>
      <w:r>
        <w:rPr>
          <w:rFonts w:hint="eastAsia"/>
          <w:color w:val="auto"/>
          <w:highlight w:val="none"/>
        </w:rPr>
        <w:t>（一）物业公司应按照投标书和物业方案书内容配备相应的会务及礼仪服务人员。行政科负责指导、监管各类会务活动的物业服务。</w:t>
      </w:r>
    </w:p>
    <w:p>
      <w:pPr>
        <w:spacing w:line="360" w:lineRule="auto"/>
        <w:rPr>
          <w:color w:val="auto"/>
          <w:highlight w:val="none"/>
        </w:rPr>
      </w:pPr>
      <w:r>
        <w:rPr>
          <w:rFonts w:hint="eastAsia"/>
          <w:color w:val="auto"/>
          <w:highlight w:val="none"/>
        </w:rPr>
        <w:t>（二）礼仪会务服务人员必须经过严格的培训、考核方能上岗工作，并具有良好的仪态仪表和形象。</w:t>
      </w:r>
      <w:r>
        <w:rPr>
          <w:rFonts w:hint="eastAsia"/>
          <w:color w:val="auto"/>
          <w:highlight w:val="none"/>
        </w:rPr>
        <w:t>会务管理和层服务人员</w:t>
      </w:r>
      <w:r>
        <w:rPr>
          <w:rFonts w:hint="eastAsia"/>
          <w:color w:val="auto"/>
          <w:highlight w:val="none"/>
        </w:rPr>
        <w:t>的聘用、离职、岗位调整需及时上报行政科。一般会务服务人员聘用、离职、岗位调整需及时向行政科备案。</w:t>
      </w:r>
    </w:p>
    <w:p>
      <w:pPr>
        <w:spacing w:line="360" w:lineRule="auto"/>
        <w:rPr>
          <w:color w:val="auto"/>
          <w:highlight w:val="none"/>
        </w:rPr>
      </w:pPr>
      <w:r>
        <w:rPr>
          <w:rFonts w:hint="eastAsia"/>
          <w:color w:val="auto"/>
          <w:highlight w:val="none"/>
        </w:rPr>
        <w:t>（三）礼仪会务服务的质量标准必须与投标文件的承诺相吻合并严格执行。</w:t>
      </w:r>
    </w:p>
    <w:p>
      <w:pPr>
        <w:spacing w:line="360" w:lineRule="auto"/>
        <w:rPr>
          <w:color w:val="auto"/>
          <w:highlight w:val="none"/>
        </w:rPr>
      </w:pPr>
      <w:r>
        <w:rPr>
          <w:rFonts w:hint="eastAsia"/>
          <w:color w:val="auto"/>
          <w:highlight w:val="none"/>
        </w:rPr>
        <w:t>（四）会务及礼仪服务人员应牢固地树立服务光荣的思想，增强服务意识，掌握服务技能，竭力为各类会议、接待提供高效、优质、准确、礼貌的服务。</w:t>
      </w:r>
    </w:p>
    <w:p>
      <w:pPr>
        <w:spacing w:line="360" w:lineRule="auto"/>
        <w:rPr>
          <w:color w:val="auto"/>
          <w:highlight w:val="none"/>
        </w:rPr>
      </w:pPr>
      <w:r>
        <w:rPr>
          <w:rFonts w:hint="eastAsia"/>
          <w:color w:val="auto"/>
          <w:highlight w:val="none"/>
        </w:rPr>
        <w:t>（五）礼仪会务服务人员工作时，着装须统一、整洁，端正，须熟悉服务的对象及其个性化服务的需求，熟知会议场所设施配置和功能，熟练使用各种设备和掌握各类服务的基本技能。物业公司必须制定培训计划并定期开展培训工作。</w:t>
      </w:r>
    </w:p>
    <w:p>
      <w:pPr>
        <w:spacing w:line="360" w:lineRule="auto"/>
        <w:rPr>
          <w:color w:val="auto"/>
          <w:highlight w:val="none"/>
        </w:rPr>
      </w:pPr>
      <w:r>
        <w:rPr>
          <w:rFonts w:hint="eastAsia"/>
          <w:color w:val="auto"/>
          <w:highlight w:val="none"/>
        </w:rPr>
        <w:t>（六）会务监管人员根据标书或物业管理方案书承诺标准对会务工作履行监管职责，并根据有关考核办法实施考核。</w:t>
      </w:r>
    </w:p>
    <w:p>
      <w:pPr>
        <w:spacing w:line="360" w:lineRule="auto"/>
        <w:rPr>
          <w:color w:val="auto"/>
          <w:highlight w:val="none"/>
        </w:rPr>
      </w:pPr>
      <w:r>
        <w:rPr>
          <w:rFonts w:hint="eastAsia"/>
          <w:color w:val="auto"/>
          <w:highlight w:val="none"/>
        </w:rPr>
        <w:t>第十条  清卫保洁服务、环境管理</w:t>
      </w:r>
    </w:p>
    <w:p>
      <w:pPr>
        <w:spacing w:line="360" w:lineRule="auto"/>
        <w:rPr>
          <w:color w:val="auto"/>
          <w:highlight w:val="none"/>
        </w:rPr>
      </w:pPr>
      <w:r>
        <w:rPr>
          <w:rFonts w:hint="eastAsia"/>
          <w:color w:val="auto"/>
          <w:highlight w:val="none"/>
        </w:rPr>
        <w:t>（一）物业公司负责做好机关办公大楼的日常清卫保洁工作，确保门厅大堂、楼梯通道、公共走廊、公厕、电梯、休息区域、</w:t>
      </w:r>
      <w:r>
        <w:rPr>
          <w:rFonts w:hint="eastAsia"/>
          <w:color w:val="auto"/>
          <w:highlight w:val="none"/>
        </w:rPr>
        <w:t>办公室等</w:t>
      </w:r>
      <w:r>
        <w:rPr>
          <w:rFonts w:hint="eastAsia"/>
          <w:color w:val="auto"/>
          <w:highlight w:val="none"/>
        </w:rPr>
        <w:t>及庭院周边环境的整洁。行政科负责监管清卫保洁服务。</w:t>
      </w:r>
    </w:p>
    <w:p>
      <w:pPr>
        <w:spacing w:line="360" w:lineRule="auto"/>
        <w:rPr>
          <w:color w:val="auto"/>
          <w:highlight w:val="none"/>
        </w:rPr>
      </w:pPr>
      <w:r>
        <w:rPr>
          <w:rFonts w:hint="eastAsia"/>
          <w:color w:val="auto"/>
          <w:highlight w:val="none"/>
        </w:rPr>
        <w:t>（二）物业公司保洁服务的质量标准、实施方案及具体的操作工艺流程，必须严格按投标文书或物业方案书的承诺和规定执行，不得随意降低和减少。</w:t>
      </w:r>
    </w:p>
    <w:p>
      <w:pPr>
        <w:spacing w:line="360" w:lineRule="auto"/>
        <w:rPr>
          <w:color w:val="auto"/>
          <w:highlight w:val="none"/>
        </w:rPr>
      </w:pPr>
      <w:r>
        <w:rPr>
          <w:rFonts w:hint="eastAsia"/>
          <w:color w:val="auto"/>
          <w:highlight w:val="none"/>
        </w:rPr>
        <w:t>（三）物业严格按投标文书或物业方案书的规定配备相应的保洁人员。所选保洁人员必须具有吃苦耐劳的精神和认真负责的责任心，上班须着统一服装、佩统一工号。</w:t>
      </w:r>
    </w:p>
    <w:p>
      <w:pPr>
        <w:spacing w:line="360" w:lineRule="auto"/>
        <w:rPr>
          <w:color w:val="auto"/>
          <w:highlight w:val="none"/>
        </w:rPr>
      </w:pPr>
      <w:r>
        <w:rPr>
          <w:rFonts w:hint="eastAsia"/>
          <w:color w:val="auto"/>
          <w:highlight w:val="none"/>
        </w:rPr>
        <w:t>（四）物业公司还应全面负责各办公大楼的环境管理，未经批准不得任意允许设置广告、展示牌、横幅等，确保办公大楼环境整洁、正气、优美。</w:t>
      </w:r>
    </w:p>
    <w:p>
      <w:pPr>
        <w:spacing w:line="360" w:lineRule="auto"/>
        <w:rPr>
          <w:color w:val="auto"/>
          <w:highlight w:val="none"/>
        </w:rPr>
      </w:pPr>
      <w:r>
        <w:rPr>
          <w:rFonts w:hint="eastAsia"/>
          <w:color w:val="auto"/>
          <w:highlight w:val="none"/>
        </w:rPr>
        <w:t>（五）清卫保洁监管根据标书或物业管理方案书标准对清卫保洁工作履行监管职责，时常检查其保洁效果，并根据有关考核办法实施考核。</w:t>
      </w:r>
    </w:p>
    <w:p>
      <w:pPr>
        <w:spacing w:line="360" w:lineRule="auto"/>
        <w:rPr>
          <w:color w:val="auto"/>
          <w:highlight w:val="none"/>
        </w:rPr>
      </w:pPr>
      <w:r>
        <w:rPr>
          <w:rFonts w:hint="eastAsia"/>
          <w:color w:val="auto"/>
          <w:highlight w:val="none"/>
        </w:rPr>
        <w:t>第十一条  绿化管理</w:t>
      </w:r>
    </w:p>
    <w:p>
      <w:pPr>
        <w:spacing w:line="360" w:lineRule="auto"/>
        <w:rPr>
          <w:color w:val="auto"/>
          <w:highlight w:val="none"/>
        </w:rPr>
      </w:pPr>
      <w:r>
        <w:rPr>
          <w:rFonts w:hint="eastAsia"/>
          <w:color w:val="auto"/>
          <w:highlight w:val="none"/>
        </w:rPr>
        <w:t>（一）机关办公大楼的外绿化由物业公司负责日常养护，物业公司可选择专业绿化公司养护，但不能转移其管理责任。内绿化按合同主体承担相应管理责任。行政科统一负责对内外绿化工作监管。</w:t>
      </w:r>
    </w:p>
    <w:p>
      <w:pPr>
        <w:spacing w:line="360" w:lineRule="auto"/>
        <w:rPr>
          <w:color w:val="auto"/>
          <w:highlight w:val="none"/>
        </w:rPr>
      </w:pPr>
      <w:r>
        <w:rPr>
          <w:rFonts w:hint="eastAsia"/>
          <w:color w:val="auto"/>
          <w:highlight w:val="none"/>
        </w:rPr>
        <w:t>（二）室外绿化的种植和养护原则上按照《宁波市园林绿化管理条例》实施，达到绿化、净化、美化的要求。各类乔木、灌木、草坪、四季花草的养护要严格按照标书或物业方案书的技术标准进行养护，确保其应有的存活率。</w:t>
      </w:r>
    </w:p>
    <w:p>
      <w:pPr>
        <w:spacing w:line="360" w:lineRule="auto"/>
        <w:rPr>
          <w:color w:val="auto"/>
          <w:highlight w:val="none"/>
        </w:rPr>
      </w:pPr>
      <w:r>
        <w:rPr>
          <w:rFonts w:hint="eastAsia"/>
          <w:color w:val="auto"/>
          <w:highlight w:val="none"/>
        </w:rPr>
        <w:t>（三）物业公司及其养护单位应在汛期、台风季节落实植株的保护措施，做好防护工作。要做好病虫灾害的防治工作，以保障树木的健康成长。要做好室外植物抗旱防冻的防护措施。室外绿化灌溉一律不得用自来水。</w:t>
      </w:r>
    </w:p>
    <w:p>
      <w:pPr>
        <w:spacing w:line="360" w:lineRule="auto"/>
        <w:rPr>
          <w:color w:val="auto"/>
          <w:highlight w:val="none"/>
        </w:rPr>
      </w:pPr>
      <w:r>
        <w:rPr>
          <w:rFonts w:hint="eastAsia"/>
          <w:color w:val="auto"/>
          <w:highlight w:val="none"/>
        </w:rPr>
        <w:t>（四）室内绿化的摆放数量、品种、大小要严格按照方案执行；植物形态、生长状况须与环境格调和谐。摆放要做到观赏性与季节性的有机结合，充分体现环保节约、合理布局。</w:t>
      </w:r>
    </w:p>
    <w:p>
      <w:pPr>
        <w:spacing w:line="360" w:lineRule="auto"/>
        <w:rPr>
          <w:color w:val="auto"/>
          <w:highlight w:val="none"/>
        </w:rPr>
      </w:pPr>
      <w:r>
        <w:rPr>
          <w:rFonts w:hint="eastAsia"/>
          <w:color w:val="auto"/>
          <w:highlight w:val="none"/>
        </w:rPr>
        <w:t>（五）对特殊要求的室内外绿化（如重大节日、大型会议）摆放，及时做出方案和预算，报行政科审核执行。</w:t>
      </w:r>
    </w:p>
    <w:p>
      <w:pPr>
        <w:spacing w:line="360" w:lineRule="auto"/>
        <w:rPr>
          <w:color w:val="auto"/>
          <w:highlight w:val="none"/>
        </w:rPr>
      </w:pPr>
      <w:r>
        <w:rPr>
          <w:rFonts w:hint="eastAsia"/>
          <w:color w:val="auto"/>
          <w:highlight w:val="none"/>
        </w:rPr>
        <w:t>（六）绿化监管人员根据有关投标书、方案书、合同的标准对室内外绿化工作履行监管职责，时常检查其养护和摆放效果，核对其所有盆花的数量、品种及规格大小，检查其是否按正常更换，并根据有关考核办法实施考核。</w:t>
      </w:r>
    </w:p>
    <w:p>
      <w:pPr>
        <w:spacing w:line="360" w:lineRule="auto"/>
        <w:rPr>
          <w:color w:val="auto"/>
          <w:highlight w:val="none"/>
        </w:rPr>
      </w:pPr>
      <w:r>
        <w:rPr>
          <w:rFonts w:hint="eastAsia"/>
          <w:color w:val="auto"/>
          <w:highlight w:val="none"/>
        </w:rPr>
        <w:t>第十二条 专项资金使用</w:t>
      </w:r>
    </w:p>
    <w:p>
      <w:pPr>
        <w:spacing w:line="360" w:lineRule="auto"/>
        <w:rPr>
          <w:color w:val="auto"/>
          <w:highlight w:val="none"/>
        </w:rPr>
      </w:pPr>
      <w:r>
        <w:rPr>
          <w:rFonts w:hint="eastAsia"/>
          <w:color w:val="auto"/>
          <w:highlight w:val="none"/>
        </w:rPr>
        <w:t>（一）依据合同规定，专项经费（指合同约定维修、维保、物耗的物业费用）必须严格按照专款专用的原则，不得挪作它用。</w:t>
      </w:r>
    </w:p>
    <w:p>
      <w:pPr>
        <w:spacing w:line="360" w:lineRule="auto"/>
        <w:rPr>
          <w:color w:val="auto"/>
          <w:highlight w:val="none"/>
        </w:rPr>
      </w:pPr>
      <w:r>
        <w:rPr>
          <w:rFonts w:hint="eastAsia"/>
          <w:color w:val="auto"/>
          <w:highlight w:val="none"/>
        </w:rPr>
        <w:t>（二）由于人员配置原因及未按合同要求予以完成的服务项目，其服务经费不能作为企业的利润，将作减扣处理。</w:t>
      </w:r>
    </w:p>
    <w:p>
      <w:pPr>
        <w:spacing w:line="360" w:lineRule="auto"/>
        <w:rPr>
          <w:color w:val="auto"/>
          <w:highlight w:val="none"/>
        </w:rPr>
      </w:pPr>
      <w:r>
        <w:rPr>
          <w:rFonts w:hint="eastAsia"/>
          <w:color w:val="auto"/>
          <w:highlight w:val="none"/>
        </w:rPr>
        <w:t>（三）在房屋设施设备维保中，需使用局里大中设备维修资金，物业公司必须以书面形式上报行政科并填写《维修项目审批表》，行政科负责对其实地勘查并签署意见报局领导审批同意维修后方能实施。</w:t>
      </w:r>
    </w:p>
    <w:p>
      <w:pPr>
        <w:spacing w:line="360" w:lineRule="auto"/>
        <w:rPr>
          <w:color w:val="auto"/>
          <w:highlight w:val="none"/>
        </w:rPr>
      </w:pPr>
      <w:r>
        <w:rPr>
          <w:rFonts w:hint="eastAsia"/>
          <w:color w:val="auto"/>
          <w:highlight w:val="none"/>
        </w:rPr>
        <w:t>（四）会务经费实行专款专用原则，对于成批会议用品购置，需事先填写《会务用品购置审批单》，由行政科和局领导审批方后实施。</w:t>
      </w:r>
    </w:p>
    <w:p>
      <w:pPr>
        <w:spacing w:line="360" w:lineRule="auto"/>
        <w:rPr>
          <w:color w:val="auto"/>
          <w:highlight w:val="none"/>
        </w:rPr>
      </w:pPr>
    </w:p>
    <w:p>
      <w:pPr>
        <w:spacing w:line="360" w:lineRule="auto"/>
        <w:jc w:val="center"/>
        <w:rPr>
          <w:b/>
          <w:bCs/>
          <w:color w:val="auto"/>
          <w:highlight w:val="none"/>
        </w:rPr>
      </w:pPr>
      <w:r>
        <w:rPr>
          <w:rFonts w:hint="eastAsia"/>
          <w:b/>
          <w:bCs/>
          <w:color w:val="auto"/>
          <w:highlight w:val="none"/>
        </w:rPr>
        <w:t>第五章、例会制度</w:t>
      </w:r>
    </w:p>
    <w:p>
      <w:pPr>
        <w:spacing w:line="360" w:lineRule="auto"/>
        <w:rPr>
          <w:color w:val="auto"/>
          <w:highlight w:val="none"/>
        </w:rPr>
      </w:pPr>
      <w:r>
        <w:rPr>
          <w:rFonts w:hint="eastAsia"/>
          <w:color w:val="auto"/>
          <w:highlight w:val="none"/>
        </w:rPr>
        <w:t>第十三条  为搞好物业监管工作，协调各类工作关系，促进业务交流，实行物业监管例会制度。</w:t>
      </w:r>
    </w:p>
    <w:p>
      <w:pPr>
        <w:spacing w:line="360" w:lineRule="auto"/>
        <w:rPr>
          <w:color w:val="auto"/>
          <w:highlight w:val="none"/>
        </w:rPr>
      </w:pPr>
      <w:r>
        <w:rPr>
          <w:rFonts w:hint="eastAsia"/>
          <w:color w:val="auto"/>
          <w:highlight w:val="none"/>
        </w:rPr>
        <w:t>第十四条  物业监管例会实行每月一次，由局物业监管小组全体成员、相关公司负责人及各部门主管人员参加。</w:t>
      </w:r>
    </w:p>
    <w:p>
      <w:pPr>
        <w:spacing w:line="360" w:lineRule="auto"/>
        <w:rPr>
          <w:color w:val="auto"/>
          <w:highlight w:val="none"/>
        </w:rPr>
      </w:pPr>
      <w:r>
        <w:rPr>
          <w:rFonts w:hint="eastAsia"/>
          <w:color w:val="auto"/>
          <w:highlight w:val="none"/>
        </w:rPr>
        <w:t>第十五条 例会的主要内容：</w:t>
      </w:r>
    </w:p>
    <w:p>
      <w:pPr>
        <w:spacing w:line="360" w:lineRule="auto"/>
        <w:rPr>
          <w:color w:val="auto"/>
          <w:highlight w:val="none"/>
        </w:rPr>
      </w:pPr>
      <w:r>
        <w:rPr>
          <w:rFonts w:hint="eastAsia"/>
          <w:color w:val="auto"/>
          <w:highlight w:val="none"/>
        </w:rPr>
        <w:t>（一）汇报物业管理工作的存在问题。</w:t>
      </w:r>
    </w:p>
    <w:p>
      <w:pPr>
        <w:spacing w:line="360" w:lineRule="auto"/>
        <w:rPr>
          <w:color w:val="auto"/>
          <w:highlight w:val="none"/>
        </w:rPr>
      </w:pPr>
      <w:r>
        <w:rPr>
          <w:rFonts w:hint="eastAsia"/>
          <w:color w:val="auto"/>
          <w:highlight w:val="none"/>
        </w:rPr>
        <w:t>（二）交流工作中有关节能、维保、会务管理、绿化、保洁等各方面的实际经验和有效措施。</w:t>
      </w:r>
    </w:p>
    <w:p>
      <w:pPr>
        <w:spacing w:line="360" w:lineRule="auto"/>
        <w:rPr>
          <w:color w:val="auto"/>
          <w:highlight w:val="none"/>
        </w:rPr>
      </w:pPr>
      <w:r>
        <w:rPr>
          <w:rFonts w:hint="eastAsia"/>
          <w:color w:val="auto"/>
          <w:highlight w:val="none"/>
        </w:rPr>
        <w:t>（三）查找点评工作中存在的不足之外，并提出整改措施。</w:t>
      </w:r>
    </w:p>
    <w:p>
      <w:pPr>
        <w:spacing w:line="360" w:lineRule="auto"/>
        <w:rPr>
          <w:color w:val="auto"/>
          <w:highlight w:val="none"/>
        </w:rPr>
      </w:pPr>
      <w:r>
        <w:rPr>
          <w:rFonts w:hint="eastAsia"/>
          <w:color w:val="auto"/>
          <w:highlight w:val="none"/>
        </w:rPr>
        <w:t>（四）客观反映设备运行状况、存在的隐患，并提出合理的建议。</w:t>
      </w:r>
    </w:p>
    <w:p>
      <w:pPr>
        <w:spacing w:line="360" w:lineRule="auto"/>
        <w:rPr>
          <w:color w:val="auto"/>
          <w:highlight w:val="none"/>
        </w:rPr>
      </w:pPr>
      <w:r>
        <w:rPr>
          <w:rFonts w:hint="eastAsia"/>
          <w:color w:val="auto"/>
          <w:highlight w:val="none"/>
        </w:rPr>
        <w:t>（五）反馈用户意见和考核意见。</w:t>
      </w:r>
    </w:p>
    <w:p>
      <w:pPr>
        <w:spacing w:line="360" w:lineRule="auto"/>
        <w:rPr>
          <w:color w:val="auto"/>
          <w:highlight w:val="none"/>
        </w:rPr>
      </w:pPr>
      <w:r>
        <w:rPr>
          <w:rFonts w:hint="eastAsia"/>
          <w:color w:val="auto"/>
          <w:highlight w:val="none"/>
        </w:rPr>
        <w:t>（六）布置工作计划。</w:t>
      </w:r>
    </w:p>
    <w:p>
      <w:pPr>
        <w:spacing w:line="360" w:lineRule="auto"/>
        <w:rPr>
          <w:color w:val="auto"/>
          <w:highlight w:val="none"/>
        </w:rPr>
      </w:pPr>
    </w:p>
    <w:p>
      <w:pPr>
        <w:spacing w:line="360" w:lineRule="auto"/>
        <w:jc w:val="center"/>
        <w:rPr>
          <w:b/>
          <w:bCs/>
          <w:color w:val="auto"/>
          <w:highlight w:val="none"/>
        </w:rPr>
      </w:pPr>
      <w:r>
        <w:rPr>
          <w:rFonts w:hint="eastAsia"/>
          <w:b/>
          <w:bCs/>
          <w:color w:val="auto"/>
          <w:highlight w:val="none"/>
        </w:rPr>
        <w:t>第六章、监督考核</w:t>
      </w:r>
    </w:p>
    <w:p>
      <w:pPr>
        <w:spacing w:line="360" w:lineRule="auto"/>
        <w:rPr>
          <w:color w:val="auto"/>
          <w:highlight w:val="none"/>
        </w:rPr>
      </w:pPr>
      <w:r>
        <w:rPr>
          <w:rFonts w:hint="eastAsia"/>
          <w:color w:val="auto"/>
          <w:highlight w:val="none"/>
        </w:rPr>
        <w:t>第十六条  为有效履行物业监管职责，监管小组代表机关事务管理局及业主对物业公司提供的各项服务进行考核评价，其考核结果依据作为物业费正常支付和下一轮物业合同签定的重要依据。</w:t>
      </w:r>
    </w:p>
    <w:p>
      <w:pPr>
        <w:spacing w:line="360" w:lineRule="auto"/>
        <w:rPr>
          <w:color w:val="auto"/>
          <w:highlight w:val="none"/>
        </w:rPr>
      </w:pPr>
      <w:r>
        <w:rPr>
          <w:rFonts w:hint="eastAsia"/>
          <w:color w:val="auto"/>
          <w:highlight w:val="none"/>
        </w:rPr>
        <w:t>第十七条  考核按各办公楼划分区域实行分块考核评比，考核内容分单项考核和综合考核两大类，评定方式均采用百分制，并分优秀、合格、不合格三档，具体内容见考核表（考核表由机关事务管理局负责制定）。单项考核分设备设施管理、秩序维护服务、礼仪会务服务、清卫保洁服务、环境绿化管理、人员到岗情况等六个项目，由相关业务科室及其对应监管人员实施考核评定，实行每月一次，次月初上报行政科汇总。</w:t>
      </w:r>
    </w:p>
    <w:p>
      <w:pPr>
        <w:spacing w:line="360" w:lineRule="auto"/>
        <w:rPr>
          <w:color w:val="auto"/>
          <w:highlight w:val="none"/>
        </w:rPr>
      </w:pPr>
      <w:r>
        <w:rPr>
          <w:rFonts w:hint="eastAsia"/>
          <w:color w:val="auto"/>
          <w:highlight w:val="none"/>
        </w:rPr>
        <w:t>其中对人员的到岗情况考核将按月单独进行，如出现到岗率低于100%的情况，机关事务管理局有权扣除物业费中不到岗人员的人事费用。(人员未到岗时间超出10天按缺岗处理)</w:t>
      </w:r>
    </w:p>
    <w:p>
      <w:pPr>
        <w:spacing w:line="360" w:lineRule="auto"/>
        <w:rPr>
          <w:color w:val="auto"/>
          <w:highlight w:val="none"/>
        </w:rPr>
      </w:pPr>
      <w:r>
        <w:rPr>
          <w:rFonts w:hint="eastAsia"/>
          <w:color w:val="auto"/>
          <w:highlight w:val="none"/>
        </w:rPr>
        <w:t>综合考核是对相关物业公司在履行合同及其物业方案、投标书有关承诺中的实际情况的评定。综合考核由机关事务管理局物业监管小组负责，各监督人员或邀请有关监督人员参加，采取查看记录、实地考察，并结合“满意率”调查情况，实行打分考核。综合考核每年度年底一次。</w:t>
      </w:r>
    </w:p>
    <w:p>
      <w:pPr>
        <w:spacing w:line="360" w:lineRule="auto"/>
        <w:rPr>
          <w:color w:val="auto"/>
          <w:highlight w:val="none"/>
        </w:rPr>
      </w:pPr>
      <w:r>
        <w:rPr>
          <w:rFonts w:hint="eastAsia"/>
          <w:color w:val="auto"/>
          <w:highlight w:val="none"/>
        </w:rPr>
        <w:t>第十八条  考核为合格将按合同规定支付考核资金，考核不合格的将根据规定解除合同，并追究责任。</w:t>
      </w:r>
    </w:p>
    <w:p>
      <w:pPr>
        <w:spacing w:line="360" w:lineRule="auto"/>
        <w:rPr>
          <w:color w:val="auto"/>
          <w:highlight w:val="none"/>
        </w:rPr>
      </w:pPr>
    </w:p>
    <w:p>
      <w:pPr>
        <w:spacing w:line="360" w:lineRule="auto"/>
        <w:jc w:val="center"/>
        <w:rPr>
          <w:b/>
          <w:bCs/>
          <w:color w:val="auto"/>
          <w:highlight w:val="none"/>
        </w:rPr>
      </w:pPr>
      <w:r>
        <w:rPr>
          <w:rFonts w:hint="eastAsia"/>
          <w:b/>
          <w:bCs/>
          <w:color w:val="auto"/>
          <w:highlight w:val="none"/>
        </w:rPr>
        <w:t>第七章、附 则</w:t>
      </w:r>
    </w:p>
    <w:p>
      <w:pPr>
        <w:spacing w:line="360" w:lineRule="auto"/>
        <w:rPr>
          <w:color w:val="auto"/>
          <w:highlight w:val="none"/>
        </w:rPr>
      </w:pPr>
      <w:r>
        <w:rPr>
          <w:rFonts w:hint="eastAsia"/>
          <w:color w:val="auto"/>
          <w:highlight w:val="none"/>
        </w:rPr>
        <w:t>第十九条  本办法作为物业公司在为机关办公楼提供物业管理服务中在履行合同及相关承诺的监管制度</w:t>
      </w:r>
      <w:r>
        <w:rPr>
          <w:rFonts w:hint="eastAsia"/>
          <w:color w:val="auto"/>
          <w:highlight w:val="none"/>
          <w:lang w:eastAsia="zh-CN"/>
        </w:rPr>
        <w:t>，</w:t>
      </w:r>
      <w:r>
        <w:rPr>
          <w:rFonts w:hint="eastAsia"/>
          <w:color w:val="auto"/>
          <w:highlight w:val="none"/>
        </w:rPr>
        <w:t>是物业合同的构成条件之一。</w:t>
      </w:r>
    </w:p>
    <w:p>
      <w:pPr>
        <w:spacing w:line="360" w:lineRule="auto"/>
        <w:rPr>
          <w:color w:val="auto"/>
          <w:highlight w:val="none"/>
        </w:rPr>
      </w:pPr>
      <w:r>
        <w:rPr>
          <w:rFonts w:hint="eastAsia"/>
          <w:color w:val="auto"/>
          <w:highlight w:val="none"/>
        </w:rPr>
        <w:t>第二十条  本办法由机关事务管理局行政科负责解释，自   年  月  日起实行。</w:t>
      </w:r>
    </w:p>
    <w:p>
      <w:pPr>
        <w:spacing w:line="360" w:lineRule="auto"/>
        <w:rPr>
          <w:color w:val="auto"/>
          <w:highlight w:val="none"/>
        </w:rPr>
      </w:pPr>
    </w:p>
    <w:p>
      <w:pPr>
        <w:spacing w:line="360" w:lineRule="auto"/>
        <w:rPr>
          <w:color w:val="auto"/>
          <w:highlight w:val="none"/>
        </w:rPr>
      </w:pPr>
    </w:p>
    <w:p>
      <w:pPr>
        <w:spacing w:line="360" w:lineRule="auto"/>
        <w:ind w:firstLine="0" w:firstLineChars="0"/>
        <w:jc w:val="right"/>
        <w:rPr>
          <w:color w:val="auto"/>
          <w:highlight w:val="none"/>
        </w:rPr>
      </w:pPr>
      <w:r>
        <w:rPr>
          <w:rFonts w:hint="eastAsia"/>
          <w:color w:val="auto"/>
          <w:highlight w:val="none"/>
        </w:rPr>
        <w:t>北仑区机关事务管理局</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 xml:space="preserve">部分  </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rPr>
        <w:t>合同</w:t>
      </w:r>
    </w:p>
    <w:p>
      <w:pPr>
        <w:spacing w:before="0" w:after="0" w:line="360" w:lineRule="auto"/>
        <w:jc w:val="left"/>
        <w:rPr>
          <w:rFonts w:hint="eastAsia" w:ascii="宋体" w:hAnsi="宋体" w:eastAsia="宋体" w:cs="宋体"/>
          <w:b/>
          <w:bCs/>
          <w:color w:val="auto"/>
          <w:highlight w:val="none"/>
        </w:rPr>
      </w:pPr>
    </w:p>
    <w:p>
      <w:pPr>
        <w:autoSpaceDE w:val="0"/>
        <w:autoSpaceDN w:val="0"/>
        <w:adjustRightInd w:val="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物业管理委托合同</w:t>
      </w:r>
    </w:p>
    <w:p>
      <w:pPr>
        <w:spacing w:before="0" w:after="0" w:line="360" w:lineRule="auto"/>
        <w:jc w:val="left"/>
        <w:rPr>
          <w:rFonts w:hint="eastAsia" w:ascii="宋体" w:hAnsi="宋体" w:eastAsia="宋体" w:cs="宋体"/>
          <w:b/>
          <w:bCs/>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第一章  总  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第一条  本合同当事人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委托方（以下简称甲方）：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住所地：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受委托方（以下简称乙方）：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住所地：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（物业名称）物业管理实行公开招标，乙方于  年  月  日中标，并于   年  月  日正式进行物业管理。甲、乙双方根据《民法典》、《物业管理条例》等法律、法规的规定，在平等、自愿的基础上，经协商一致，就甲方委托乙方物业管理事项达成以下协议。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第二条  物业基本情况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物业类型：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座落位置：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占地面积：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总建筑面积：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第二章  物业委托管理事项和管理期限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 xml:space="preserve">第三条  </w:t>
      </w:r>
      <w:r>
        <w:rPr>
          <w:rFonts w:hint="eastAsia" w:ascii="宋体" w:hAnsi="宋体" w:eastAsia="宋体" w:cs="宋体"/>
          <w:color w:val="auto"/>
          <w:highlight w:val="none"/>
        </w:rPr>
        <w:t>本合同就甲方委托乙方管理的事项仅做如下简要说明</w:t>
      </w:r>
      <w:r>
        <w:rPr>
          <w:rFonts w:hint="eastAsia" w:ascii="宋体" w:hAnsi="宋体" w:cs="宋体"/>
          <w:color w:val="auto"/>
          <w:highlight w:val="none"/>
          <w:lang w:eastAsia="zh-CN"/>
        </w:rPr>
        <w:t>，</w:t>
      </w:r>
      <w:r>
        <w:rPr>
          <w:rFonts w:hint="eastAsia" w:ascii="宋体" w:hAnsi="宋体" w:eastAsia="宋体" w:cs="宋体"/>
          <w:color w:val="auto"/>
          <w:highlight w:val="none"/>
        </w:rPr>
        <w:t>具体详见甲方发出的物业管理《招标文件》及乙方的物业管理《投标文件》(盖章)阐述之相关内容。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房屋和设备设施管理：负责对整个大楼房屋及设施、设备的日常管理、维修养护、日常巡视、故障检修、应急处理，范围包括大楼建筑安装系统、电气设备、供配电及照明系统、电梯系统、暖通系统、给排水系统、消防系统、安保监控系统、建筑智能化和弱电系统、车闸系统、灯光音响系统、建筑幕墙、建筑装饰和室内外配套工程、落水管、污水井、门窗设施、大楼外围公共设施、附属设施等，以及对其他外来服务和施工单位的监督、管理、配合等服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秩序维护服务：负责公共秩序维护管理与服务；负责大楼内及外围日常安全保卫工作，负责做好突发事件、重大活动和信访事件处置时期的安全保卫工作，负责办公大楼治安、交通与消防管理工作，包括门岗服务、巡视管理服务、车辆管理服务、监控管理服务、治安管理服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3、保洁服务与管理：负责环保管理及办公大楼公共区域卫生服务；负责大楼内外公共区域的保洁，负责指定区域和房间的保洁，负责楼内外环境的管理；负责大楼各类墙面、大理石的清洁保养工作。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4、绿化养护：负责室外绿化的养护管理；负责对室内绿化租摆单位的管理工作。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5、收发服务：负责大楼内收发室功能服务。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6、管理受机关事务管理局委托管理使用的各类资产及物业相关的工程图纸、档案、竣工验收资料等；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7、负责承办机关事务管理局委托的后勤事务工作。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8、安全生产责任：承担本合同期内物业委托管理范围内的安全生产主体责任。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9、特约服务礼仪会务服务，负责大楼内公共会议室各类会议服务、公共活动礼仪服务以及负责大楼范围外各类区级重大活动服务，包含迎送服务、引领服务、签约服务、剪彩服务、颁奖等礼仪服务，其服务时间不仅限于工作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10、特约服务理发服务，为工作人员提供剪发、烫发、洗头、吹风、焗油等美发服务。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 xml:space="preserve">第四条  </w:t>
      </w:r>
      <w:r>
        <w:rPr>
          <w:rFonts w:hint="eastAsia" w:ascii="宋体" w:hAnsi="宋体" w:eastAsia="宋体" w:cs="宋体"/>
          <w:color w:val="auto"/>
          <w:highlight w:val="none"/>
        </w:rPr>
        <w:t>本合同期内物业委托管理期限为  年</w:t>
      </w:r>
      <w:r>
        <w:rPr>
          <w:rFonts w:hint="eastAsia" w:ascii="宋体" w:hAnsi="宋体" w:cs="宋体"/>
          <w:color w:val="auto"/>
          <w:highlight w:val="none"/>
          <w:lang w:eastAsia="zh-CN"/>
        </w:rPr>
        <w:t>，</w:t>
      </w:r>
      <w:r>
        <w:rPr>
          <w:rFonts w:hint="eastAsia" w:ascii="宋体" w:hAnsi="宋体" w:eastAsia="宋体" w:cs="宋体"/>
          <w:color w:val="auto"/>
          <w:highlight w:val="none"/>
        </w:rPr>
        <w:t>具体日期自   年  月   日至  年  月  日止。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（在年度后勤服务期限内，先签订第一年物业管理合同，年底考核乙方服务水平达到甲方的满意度要求、完成了投标时的承诺且双方合作良好，再签次年物业合同，以此类推。）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第三章  物业管理服务要求与标准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第五条  </w:t>
      </w:r>
      <w:r>
        <w:rPr>
          <w:rFonts w:hint="eastAsia" w:ascii="宋体" w:hAnsi="宋体" w:eastAsia="宋体" w:cs="宋体"/>
          <w:color w:val="auto"/>
          <w:highlight w:val="none"/>
        </w:rPr>
        <w:t xml:space="preserve">乙方以业主满意度为指针，按国家级物业管理示范大厦标准和国家旅游四星级以上酒店的服务标准及操作规范实施运作，导入ISO9000质量管理体系、ISO14000环境管理体系及OHSAS18000（或GB/T28001）职业健康安全管理体系，严格按照既定目标管理大楼。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b/>
          <w:color w:val="auto"/>
          <w:highlight w:val="none"/>
        </w:rPr>
        <w:t xml:space="preserve">第六条  </w:t>
      </w:r>
      <w:r>
        <w:rPr>
          <w:rFonts w:hint="eastAsia" w:ascii="宋体" w:hAnsi="宋体" w:eastAsia="宋体" w:cs="宋体"/>
          <w:color w:val="auto"/>
          <w:highlight w:val="none"/>
        </w:rPr>
        <w:t>乙方须按下列约定，实现管理目标：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1、入住单位物业的总体管理满意率在95%以上；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2、房屋及设备、设施完好率98%以上；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3、维修及时率100%，急修及时率100%；维修工程合格率100%，优良率95%以上；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4、绿化成活率100%，完好率95%以上；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5、清洁管理无盲点，管理服务范围保持环境整洁，工作垃圾日产日清；有效保洁率95%以上；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6、投诉处理和回访率应达到100%；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7、道路、停车场完好率达到98%以上；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8、无安全事故发生，设施设备故障发生率控制在区安全责任考核目标要求内。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第七条</w:t>
      </w:r>
      <w:r>
        <w:rPr>
          <w:rFonts w:hint="eastAsia" w:ascii="宋体" w:hAnsi="宋体" w:eastAsia="宋体" w:cs="宋体"/>
          <w:color w:val="auto"/>
          <w:highlight w:val="none"/>
        </w:rPr>
        <w:t xml:space="preserve">  乙方在甲方的管理下做好节能工作，实现人均（单位）能耗逐年下降，指标按上级下达的节能考核目标确定。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第八条</w:t>
      </w:r>
      <w:r>
        <w:rPr>
          <w:rFonts w:hint="eastAsia" w:ascii="宋体" w:hAnsi="宋体" w:eastAsia="宋体" w:cs="宋体"/>
          <w:color w:val="auto"/>
          <w:highlight w:val="none"/>
        </w:rPr>
        <w:t xml:space="preserve"> 服务的质量标准。乙方应在本合同履行期限内，对本项目的后勤服务达到甲方在招标文件中提出的、乙方在投标文件中承诺的、以及在服务方案中具体表明的质量标准。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第四章  双方权利义务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kern w:val="2"/>
          <w:sz w:val="21"/>
          <w:szCs w:val="22"/>
          <w:highlight w:val="none"/>
          <w:lang w:val="en-US" w:eastAsia="zh-CN" w:bidi="ar-SA"/>
        </w:rPr>
        <w:t xml:space="preserve">第九条 </w:t>
      </w: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甲方权利义务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（一）代表和维护产权人、使用人的合法权益；审定乙方制定的物业管理方案、制度；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（二）检查监督乙方招标文书及管理方案的实施和制度的实行情况；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（三）审议乙方制订的年度管理计划、大楼设备设施维修（包含保养）计划、专项资金使用计划及决算报告、节能方案和能耗分析报告；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（四）按本合同的规定支付物业管理费和能耗费，并按有关规定提供给乙方必要的管理用房；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（五）负责对乙方执行日常工作的监督及乙方派驻现场的物业管理人员的监督；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（六）协助乙方做好物业管理工作的宣传教育和文化活动；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（七）处理合同期间在物业管理工作中需甲方出面协调的问题；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（八）负责对乙方物业管理业务及管理人员的满意率考评。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kern w:val="2"/>
          <w:sz w:val="21"/>
          <w:szCs w:val="22"/>
          <w:highlight w:val="none"/>
          <w:lang w:val="en-US" w:eastAsia="zh-CN" w:bidi="ar-SA"/>
        </w:rPr>
        <w:t>第十条</w:t>
      </w: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乙方权利义务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（一）根据有关法律、法规及本合同的约定，制定物业管理方案及实施物业管理方案，按物业方案书的承诺履行合同</w:t>
      </w:r>
      <w:r>
        <w:rPr>
          <w:rFonts w:hint="eastAsia" w:ascii="宋体" w:hAnsi="宋体" w:cs="宋体"/>
          <w:color w:val="auto"/>
          <w:highlight w:val="none"/>
          <w:lang w:eastAsia="zh-CN"/>
        </w:rPr>
        <w:t>，</w:t>
      </w:r>
      <w:r>
        <w:rPr>
          <w:rFonts w:hint="eastAsia" w:ascii="宋体" w:hAnsi="宋体" w:eastAsia="宋体" w:cs="宋体"/>
          <w:color w:val="auto"/>
          <w:highlight w:val="none"/>
        </w:rPr>
        <w:t>并配合甲方物业监管人员的业务检查</w:t>
      </w:r>
      <w:r>
        <w:rPr>
          <w:rFonts w:hint="eastAsia" w:ascii="宋体" w:hAnsi="宋体" w:cs="宋体"/>
          <w:color w:val="auto"/>
          <w:highlight w:val="none"/>
          <w:lang w:eastAsia="zh-CN"/>
        </w:rPr>
        <w:t>，</w:t>
      </w:r>
      <w:r>
        <w:rPr>
          <w:rFonts w:hint="eastAsia" w:ascii="宋体" w:hAnsi="宋体" w:eastAsia="宋体" w:cs="宋体"/>
          <w:color w:val="auto"/>
          <w:highlight w:val="none"/>
        </w:rPr>
        <w:t>接受物业监管考核制度的约束</w:t>
      </w:r>
      <w:r>
        <w:rPr>
          <w:rFonts w:hint="eastAsia" w:ascii="宋体" w:hAnsi="宋体" w:cs="宋体"/>
          <w:color w:val="auto"/>
          <w:highlight w:val="none"/>
          <w:lang w:eastAsia="zh-CN"/>
        </w:rPr>
        <w:t>，</w:t>
      </w:r>
      <w:r>
        <w:rPr>
          <w:rFonts w:hint="eastAsia" w:ascii="宋体" w:hAnsi="宋体" w:eastAsia="宋体" w:cs="宋体"/>
          <w:color w:val="auto"/>
          <w:highlight w:val="none"/>
        </w:rPr>
        <w:t>其考核结果作为物业费正常支付和下一轮物业合同签订的重要依据；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（二）对物业使用人违反法规、规章的行为，根据情节轻重，采取批评、规劝、警告、制止等措施或提请有关部门处理；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（三）选聘专业公司承担本物业的专项管理业务，但不得将本物业管理责任转让第三方；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（四）负责编制大楼、附属建筑物、设施、设备、绿化的年度维修养护计划，经双方议定后，由乙方组织实施；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（五）协助甲方对装修等工程进行现场指导和监管；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（六）乙方应按照甲方要求做好日常节能工作，指定专门能源管理工作部门，加强用能设备管理和能耗管理，并制订具体的节能管理措施；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（七）对本物业的公共设施不得擅自占用和改变使用功能，如需扩建或完善配套项目，须事先征得甲方同意，并报有关部门批准后，方可实施；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（八）本合同终止时，乙方必须向甲方移交全部管理用房、甲方资产及物业管理的全部档案资料。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第五章  物业管理服务费用及支付方式</w:t>
      </w:r>
    </w:p>
    <w:p>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highlight w:val="none"/>
        </w:rPr>
      </w:pPr>
      <w:r>
        <w:rPr>
          <w:rFonts w:hint="eastAsia" w:ascii="宋体" w:hAnsi="宋体" w:eastAsia="宋体" w:cs="宋体"/>
          <w:b/>
          <w:color w:val="auto"/>
          <w:sz w:val="21"/>
          <w:szCs w:val="22"/>
          <w:highlight w:val="none"/>
        </w:rPr>
        <w:t>第十一条</w:t>
      </w:r>
      <w:r>
        <w:rPr>
          <w:rFonts w:hint="eastAsia" w:ascii="宋体" w:hAnsi="宋体" w:eastAsia="宋体" w:cs="宋体"/>
          <w:b/>
          <w:color w:val="auto"/>
          <w:highlight w:val="none"/>
        </w:rPr>
        <w:t xml:space="preserve">  </w:t>
      </w:r>
      <w:r>
        <w:rPr>
          <w:rFonts w:hint="eastAsia" w:ascii="宋体" w:hAnsi="宋体" w:eastAsia="宋体" w:cs="宋体"/>
          <w:color w:val="auto"/>
          <w:sz w:val="21"/>
          <w:szCs w:val="22"/>
          <w:highlight w:val="none"/>
        </w:rPr>
        <w:t>物业管理服务费标准按乙方招标文件的商务标内容确定，服务范围和服务标准按投标文件执行，综合测算为建筑面积（按</w:t>
      </w:r>
      <w:r>
        <w:rPr>
          <w:rFonts w:hint="eastAsia" w:ascii="宋体" w:hAnsi="宋体" w:eastAsia="宋体" w:cs="宋体"/>
          <w:color w:val="auto"/>
          <w:sz w:val="21"/>
          <w:szCs w:val="22"/>
          <w:highlight w:val="none"/>
          <w:u w:val="none"/>
        </w:rPr>
        <w:t xml:space="preserve">    </w:t>
      </w:r>
      <w:r>
        <w:rPr>
          <w:rFonts w:hint="eastAsia" w:ascii="宋体" w:hAnsi="宋体" w:eastAsia="宋体" w:cs="宋体"/>
          <w:color w:val="auto"/>
          <w:sz w:val="21"/>
          <w:szCs w:val="22"/>
          <w:highlight w:val="none"/>
        </w:rPr>
        <w:t>平米）每平方米每月</w:t>
      </w:r>
      <w:r>
        <w:rPr>
          <w:rFonts w:hint="eastAsia" w:ascii="宋体" w:hAnsi="宋体" w:eastAsia="宋体" w:cs="宋体"/>
          <w:color w:val="auto"/>
          <w:sz w:val="21"/>
          <w:szCs w:val="22"/>
          <w:highlight w:val="none"/>
          <w:u w:val="none"/>
        </w:rPr>
        <w:t xml:space="preserve">     </w:t>
      </w:r>
      <w:r>
        <w:rPr>
          <w:rFonts w:hint="eastAsia" w:ascii="宋体" w:hAnsi="宋体" w:eastAsia="宋体" w:cs="宋体"/>
          <w:color w:val="auto"/>
          <w:sz w:val="21"/>
          <w:szCs w:val="22"/>
          <w:highlight w:val="none"/>
        </w:rPr>
        <w:t>元（含税），乙方向甲方收取的年度物业管理费为</w:t>
      </w:r>
      <w:r>
        <w:rPr>
          <w:rFonts w:hint="eastAsia" w:ascii="宋体" w:hAnsi="宋体" w:eastAsia="宋体" w:cs="宋体"/>
          <w:color w:val="auto"/>
          <w:sz w:val="21"/>
          <w:szCs w:val="22"/>
          <w:highlight w:val="none"/>
          <w:u w:val="none"/>
        </w:rPr>
        <w:t xml:space="preserve">     </w:t>
      </w:r>
      <w:r>
        <w:rPr>
          <w:rFonts w:hint="eastAsia" w:ascii="宋体" w:hAnsi="宋体" w:eastAsia="宋体" w:cs="宋体"/>
          <w:color w:val="auto"/>
          <w:sz w:val="21"/>
          <w:szCs w:val="22"/>
          <w:highlight w:val="none"/>
        </w:rPr>
        <w:t>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第十二条</w:t>
      </w:r>
      <w:r>
        <w:rPr>
          <w:rFonts w:hint="eastAsia" w:ascii="宋体" w:hAnsi="宋体" w:eastAsia="宋体" w:cs="宋体"/>
          <w:color w:val="auto"/>
          <w:highlight w:val="none"/>
        </w:rPr>
        <w:t xml:space="preserve"> 支付方式：甲方按月将物业管理费支付给乙方，每月   日支付上月物业费（节假日顺延）。每月支付上月服务费总额的95%，5%的物业费用年终考核后在下一年度的第一个月支付。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年度末由甲方按照乙方承诺的服务目标及技术规程进行考核，如考核合格，甲方即向乙方支付该年度服务费的余额。（如出现与标书中服务承诺重大偏离，可按合同和考核办法扣除相应的物业费用后支付，对人员到岗率实行每月考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rPr>
      </w:pPr>
      <w:r>
        <w:rPr>
          <w:rFonts w:hint="eastAsia" w:ascii="宋体" w:hAnsi="宋体" w:eastAsia="宋体" w:cs="宋体"/>
          <w:b/>
          <w:color w:val="auto"/>
          <w:highlight w:val="none"/>
        </w:rPr>
        <w:t>第十三条</w:t>
      </w:r>
      <w:r>
        <w:rPr>
          <w:rFonts w:hint="eastAsia" w:ascii="宋体" w:hAnsi="宋体" w:eastAsia="宋体" w:cs="宋体"/>
          <w:color w:val="auto"/>
          <w:highlight w:val="none"/>
        </w:rPr>
        <w:t xml:space="preserve"> 能耗费由乙方垫付，次月按发生额度凭已支付的票据由甲方拨付。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第十四条</w:t>
      </w:r>
      <w:r>
        <w:rPr>
          <w:rFonts w:hint="eastAsia" w:ascii="宋体" w:hAnsi="宋体" w:eastAsia="宋体" w:cs="宋体"/>
          <w:color w:val="auto"/>
          <w:highlight w:val="none"/>
        </w:rPr>
        <w:t xml:space="preserve"> 房屋及设施、设备的大中维修费用由甲方承担。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第六章  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 xml:space="preserve">第十五条 </w:t>
      </w:r>
      <w:r>
        <w:rPr>
          <w:rFonts w:hint="eastAsia" w:ascii="宋体" w:hAnsi="宋体" w:eastAsia="宋体" w:cs="宋体"/>
          <w:color w:val="auto"/>
          <w:highlight w:val="none"/>
        </w:rPr>
        <w:t>由于甲方未履行本合同中所约定之内容，使乙方不能完成物业管理目标的，乙方有权要求甲方在一定期限内解决，逾期未解决的，乙方有权终止合同，造成乙方经济损失的，甲方应给予乙方经济赔偿。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第十六条</w:t>
      </w:r>
      <w:r>
        <w:rPr>
          <w:rFonts w:hint="eastAsia" w:ascii="宋体" w:hAnsi="宋体" w:eastAsia="宋体" w:cs="宋体"/>
          <w:color w:val="auto"/>
          <w:highlight w:val="none"/>
        </w:rPr>
        <w:t xml:space="preserve">  由于乙方未按合同约定的质量标准履行后勤服务职责，从而不能完成物业管理服务目标的，甲方有权要求乙方在一定期限内整改，逾期未整改的，甲方有权终止合同。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未给甲方造成损失的，甲方可要求乙方整改，直至乙方达到后勤服务质量标准后，甲方再支付相应的后勤服务费用。给甲方造成损失的，甲方可要求乙方按实赔偿；情况严重的，甲方可根据损失情况，可要求乙方支付合同总额20 %以内的违约金；因乙方后勤服务质量问题导致甲方无法实现合同目的时，甲方有权单方面解除合同。</w:t>
      </w:r>
    </w:p>
    <w:p>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highlight w:val="none"/>
        </w:rPr>
      </w:pPr>
      <w:r>
        <w:rPr>
          <w:rFonts w:hint="eastAsia" w:ascii="宋体" w:hAnsi="宋体" w:eastAsia="宋体" w:cs="宋体"/>
          <w:b/>
          <w:color w:val="auto"/>
          <w:sz w:val="21"/>
          <w:szCs w:val="22"/>
          <w:highlight w:val="none"/>
        </w:rPr>
        <w:t xml:space="preserve">第十七条 </w:t>
      </w:r>
      <w:r>
        <w:rPr>
          <w:rFonts w:hint="eastAsia" w:ascii="宋体" w:hAnsi="宋体" w:eastAsia="宋体" w:cs="宋体"/>
          <w:color w:val="auto"/>
          <w:highlight w:val="none"/>
        </w:rPr>
        <w:t xml:space="preserve"> </w:t>
      </w:r>
      <w:r>
        <w:rPr>
          <w:rFonts w:hint="eastAsia" w:ascii="宋体" w:hAnsi="宋体" w:eastAsia="宋体" w:cs="宋体"/>
          <w:color w:val="auto"/>
          <w:kern w:val="2"/>
          <w:sz w:val="21"/>
          <w:szCs w:val="22"/>
          <w:highlight w:val="none"/>
          <w:lang w:val="en-US" w:eastAsia="zh-CN" w:bidi="ar-SA"/>
        </w:rPr>
        <w:t>甲</w:t>
      </w:r>
      <w:r>
        <w:rPr>
          <w:rFonts w:hint="eastAsia" w:ascii="宋体" w:hAnsi="宋体" w:eastAsia="宋体" w:cs="宋体"/>
          <w:color w:val="auto"/>
          <w:sz w:val="21"/>
          <w:szCs w:val="22"/>
          <w:highlight w:val="none"/>
        </w:rPr>
        <w:t>乙双方中任何一方无法律依据提前终止合同，造成另一方经济损失的，违约方应赔偿另一方一个月物业管理费作为违约金，造成经济损失的，应给予经济赔偿。</w:t>
      </w:r>
    </w:p>
    <w:p>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highlight w:val="none"/>
        </w:rPr>
      </w:pPr>
      <w:r>
        <w:rPr>
          <w:rFonts w:hint="eastAsia" w:ascii="宋体" w:hAnsi="宋体" w:eastAsia="宋体" w:cs="宋体"/>
          <w:b/>
          <w:bCs/>
          <w:color w:val="auto"/>
          <w:kern w:val="2"/>
          <w:sz w:val="21"/>
          <w:szCs w:val="22"/>
          <w:highlight w:val="none"/>
          <w:lang w:val="en-US" w:eastAsia="zh-CN" w:bidi="ar-SA"/>
        </w:rPr>
        <w:t>第十八条</w:t>
      </w:r>
      <w:r>
        <w:rPr>
          <w:rFonts w:hint="eastAsia" w:ascii="宋体" w:hAnsi="宋体" w:eastAsia="宋体" w:cs="宋体"/>
          <w:color w:val="auto"/>
          <w:highlight w:val="none"/>
        </w:rPr>
        <w:t xml:space="preserve">  </w:t>
      </w:r>
      <w:r>
        <w:rPr>
          <w:rFonts w:hint="eastAsia" w:ascii="宋体" w:hAnsi="宋体" w:eastAsia="宋体" w:cs="宋体"/>
          <w:color w:val="auto"/>
          <w:kern w:val="2"/>
          <w:sz w:val="21"/>
          <w:szCs w:val="22"/>
          <w:highlight w:val="none"/>
          <w:lang w:val="en-US" w:eastAsia="zh-CN" w:bidi="ar-SA"/>
        </w:rPr>
        <w:t>如乙方需另行订立委托管理合同的必须征得甲方同意，乙方对该被委托单位负有管理职责，如由于该被委托单位管理等不到位等原因造成的经济损失，乙方负有赔偿责任。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 xml:space="preserve">第十九条  </w:t>
      </w:r>
      <w:r>
        <w:rPr>
          <w:rFonts w:hint="eastAsia" w:ascii="宋体" w:hAnsi="宋体" w:eastAsia="宋体" w:cs="宋体"/>
          <w:color w:val="auto"/>
          <w:highlight w:val="none"/>
        </w:rPr>
        <w:t xml:space="preserve">争议之解决方式：在本合同执行中如发生争议，甲乙双方应通过友好协商解决，协商不成的，则通过相应之法律程序解决。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第七章  附  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 xml:space="preserve">第二十条  </w:t>
      </w:r>
      <w:r>
        <w:rPr>
          <w:rFonts w:hint="eastAsia" w:ascii="宋体" w:hAnsi="宋体" w:eastAsia="宋体" w:cs="宋体"/>
          <w:color w:val="auto"/>
          <w:highlight w:val="none"/>
        </w:rPr>
        <w:t>乙方提供的物业管理资质必须符合国家规定对物业管理的要求。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 xml:space="preserve">第二十一条  </w:t>
      </w:r>
      <w:r>
        <w:rPr>
          <w:rFonts w:hint="eastAsia" w:ascii="宋体" w:hAnsi="宋体" w:eastAsia="宋体" w:cs="宋体"/>
          <w:color w:val="auto"/>
          <w:highlight w:val="none"/>
        </w:rPr>
        <w:t>双方可对本合同之条款进行补充，以书面形式签订补充协议，补充协议与合同具有同等效力。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 xml:space="preserve">第二十二条  </w:t>
      </w:r>
      <w:r>
        <w:rPr>
          <w:rFonts w:hint="eastAsia" w:ascii="宋体" w:hAnsi="宋体" w:eastAsia="宋体" w:cs="宋体"/>
          <w:color w:val="auto"/>
          <w:highlight w:val="none"/>
        </w:rPr>
        <w:t>乙方的原投标文件及经甲方书面同意修改的年度物业管理方案作为合同的主要组成部分。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 xml:space="preserve">第二十三条  </w:t>
      </w:r>
      <w:r>
        <w:rPr>
          <w:rFonts w:hint="eastAsia" w:ascii="宋体" w:hAnsi="宋体" w:eastAsia="宋体" w:cs="宋体"/>
          <w:color w:val="auto"/>
          <w:highlight w:val="none"/>
        </w:rPr>
        <w:t>本合同及附件和补充协议未规定之事宜，均遵照中华人民共和国有关法律、法规执行。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 xml:space="preserve">第二十四条  </w:t>
      </w:r>
      <w:r>
        <w:rPr>
          <w:rFonts w:hint="eastAsia" w:ascii="宋体" w:hAnsi="宋体" w:eastAsia="宋体" w:cs="宋体"/>
          <w:color w:val="auto"/>
          <w:highlight w:val="none"/>
        </w:rPr>
        <w:t>本合同在履行期间，如遇不可抗力，致使合同无法履行时，双方应按有关法律规定及时协商处理。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 xml:space="preserve">第二十五条  </w:t>
      </w:r>
      <w:r>
        <w:rPr>
          <w:rFonts w:hint="eastAsia" w:ascii="宋体" w:hAnsi="宋体" w:eastAsia="宋体" w:cs="宋体"/>
          <w:color w:val="auto"/>
          <w:highlight w:val="none"/>
        </w:rPr>
        <w:t>因房屋建造质量、设备设施质量或安装技术等原因，达不到使用功能，造成重大事故的，由甲乙双方协调做好善后处理（产生质量事故的直接原因以政府主管部门的鉴定为准</w:t>
      </w:r>
      <w:r>
        <w:rPr>
          <w:rFonts w:hint="eastAsia" w:ascii="宋体" w:hAnsi="宋体" w:cs="宋体"/>
          <w:color w:val="auto"/>
          <w:highlight w:val="none"/>
          <w:lang w:eastAsia="zh-CN"/>
        </w:rPr>
        <w:t>，</w:t>
      </w:r>
      <w:r>
        <w:rPr>
          <w:rFonts w:hint="eastAsia" w:ascii="宋体" w:hAnsi="宋体" w:eastAsia="宋体" w:cs="宋体"/>
          <w:color w:val="auto"/>
          <w:highlight w:val="none"/>
        </w:rPr>
        <w:t>以此确定责任主体）。由于乙方未及时发现、监测、修复、报告等原因造成达不到使用功能或设备故障及资产管理不当的行为，造成重大事故的或财产损失的，由乙方负责处理及承担损失。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 xml:space="preserve">第二十六条  </w:t>
      </w:r>
      <w:r>
        <w:rPr>
          <w:rFonts w:hint="eastAsia" w:ascii="宋体" w:hAnsi="宋体" w:eastAsia="宋体" w:cs="宋体"/>
          <w:color w:val="auto"/>
          <w:highlight w:val="none"/>
        </w:rPr>
        <w:t>本合同期满后，如不续订合同的，当事人应在合同期满前六十天内向对方提出书面意见。乙方应做好退盘前人员经济补偿、遣散、稳定等工作，并遵照《浙江省物业管理条例》、《物业承接查验办法》、《浙江省物业项目服务退出管理办法》等法律法规规定，确保物业管理各项工作的平稳交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 xml:space="preserve">第二十七条  </w:t>
      </w:r>
      <w:r>
        <w:rPr>
          <w:rFonts w:hint="eastAsia" w:ascii="宋体" w:hAnsi="宋体" w:eastAsia="宋体" w:cs="宋体"/>
          <w:color w:val="auto"/>
          <w:highlight w:val="none"/>
        </w:rPr>
        <w:t>本合同正本一式陆份，甲乙双方各执贰份，区公共资源交易中心</w:t>
      </w:r>
      <w:r>
        <w:rPr>
          <w:rFonts w:hint="eastAsia" w:ascii="宋体" w:hAnsi="宋体" w:eastAsia="宋体" w:cs="宋体"/>
          <w:color w:val="auto"/>
          <w:highlight w:val="none"/>
        </w:rPr>
        <w:t>壹份</w:t>
      </w:r>
      <w:r>
        <w:rPr>
          <w:rFonts w:hint="eastAsia" w:ascii="宋体" w:hAnsi="宋体" w:eastAsia="宋体" w:cs="宋体"/>
          <w:color w:val="auto"/>
          <w:highlight w:val="none"/>
        </w:rPr>
        <w:t>，区财政局壹份，具有同等法律效力。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color w:val="auto"/>
          <w:highlight w:val="none"/>
        </w:rPr>
        <w:t xml:space="preserve">第二十八条  </w:t>
      </w:r>
      <w:r>
        <w:rPr>
          <w:rFonts w:hint="eastAsia" w:ascii="宋体" w:hAnsi="宋体" w:eastAsia="宋体" w:cs="宋体"/>
          <w:color w:val="auto"/>
          <w:highlight w:val="none"/>
        </w:rPr>
        <w:t>本合同由双方代表签字盖章后即生效。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甲方：（盖章）                                乙方：（盖章）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                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联系方式：（电话）                            联系方式：（电话）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时间：     年    月   日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时间：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部分  投标文件</w:t>
      </w:r>
      <w:r>
        <w:rPr>
          <w:rFonts w:hint="eastAsia" w:ascii="宋体" w:hAnsi="宋体" w:eastAsia="宋体" w:cs="宋体"/>
          <w:b/>
          <w:bCs/>
          <w:color w:val="auto"/>
          <w:sz w:val="36"/>
          <w:szCs w:val="36"/>
          <w:highlight w:val="none"/>
          <w:lang w:val="en-US" w:eastAsia="zh-CN"/>
        </w:rPr>
        <w:t>组成及</w:t>
      </w:r>
      <w:r>
        <w:rPr>
          <w:rFonts w:hint="eastAsia" w:ascii="宋体" w:hAnsi="宋体" w:eastAsia="宋体" w:cs="宋体"/>
          <w:b/>
          <w:bCs/>
          <w:color w:val="auto"/>
          <w:sz w:val="36"/>
          <w:szCs w:val="36"/>
          <w:highlight w:val="none"/>
        </w:rPr>
        <w:t>格式</w:t>
      </w:r>
    </w:p>
    <w:p>
      <w:pPr>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1、投标文件由资格证明文件、技术商务文件和报价文件三部分组成。</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2、投标人应按照招标文件要求的内容和提供的格式编写投标文件。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一、</w:t>
      </w:r>
      <w:r>
        <w:rPr>
          <w:rFonts w:hint="eastAsia" w:ascii="宋体" w:hAnsi="宋体"/>
          <w:b/>
          <w:bCs/>
          <w:color w:val="auto"/>
          <w:highlight w:val="none"/>
        </w:rPr>
        <w:t>资格</w:t>
      </w:r>
      <w:r>
        <w:rPr>
          <w:rFonts w:hint="eastAsia" w:ascii="宋体" w:hAnsi="宋体"/>
          <w:b/>
          <w:bCs/>
          <w:color w:val="auto"/>
          <w:highlight w:val="none"/>
          <w:lang w:val="en-US" w:eastAsia="zh-CN"/>
        </w:rPr>
        <w:t>证明文件组成</w:t>
      </w:r>
      <w:r>
        <w:rPr>
          <w:rFonts w:hint="eastAsia" w:ascii="宋体" w:hAnsi="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rPr>
        <w:t>1、投标人声明</w:t>
      </w:r>
      <w:r>
        <w:rPr>
          <w:rFonts w:hint="eastAsia" w:ascii="宋体" w:hAnsi="宋体"/>
          <w:color w:val="auto"/>
          <w:highlight w:val="none"/>
          <w:lang w:eastAsia="zh-CN"/>
        </w:rPr>
        <w:t>（</w:t>
      </w:r>
      <w:r>
        <w:rPr>
          <w:rFonts w:hint="eastAsia" w:ascii="宋体" w:hAnsi="宋体"/>
          <w:color w:val="auto"/>
          <w:highlight w:val="none"/>
          <w:lang w:val="en-US" w:eastAsia="zh-CN"/>
        </w:rPr>
        <w:t>见格式1</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r>
        <w:rPr>
          <w:rFonts w:hint="eastAsia" w:ascii="宋体" w:hAnsi="宋体"/>
          <w:color w:val="auto"/>
          <w:highlight w:val="none"/>
        </w:rPr>
        <w:t>（如是联合体投标，各方均须提供）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2、法定代表人身份证明书 或 法定代表人授权委托书</w:t>
      </w:r>
      <w:r>
        <w:rPr>
          <w:rFonts w:hint="eastAsia" w:ascii="宋体" w:hAnsi="宋体"/>
          <w:color w:val="auto"/>
          <w:highlight w:val="none"/>
          <w:lang w:eastAsia="zh-CN"/>
        </w:rPr>
        <w:t>（</w:t>
      </w:r>
      <w:r>
        <w:rPr>
          <w:rFonts w:hint="eastAsia" w:ascii="宋体" w:hAnsi="宋体"/>
          <w:color w:val="auto"/>
          <w:highlight w:val="none"/>
          <w:lang w:val="en-US" w:eastAsia="zh-CN"/>
        </w:rPr>
        <w:t>见格式2</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提供原件</w:t>
      </w:r>
      <w:r>
        <w:rPr>
          <w:rFonts w:hint="eastAsia" w:ascii="宋体" w:hAnsi="宋体"/>
          <w:color w:val="auto"/>
          <w:highlight w:val="none"/>
        </w:rPr>
        <w:t>彩色扫描件）</w:t>
      </w:r>
      <w:r>
        <w:rPr>
          <w:rFonts w:hint="eastAsia" w:ascii="宋体" w:hAnsi="宋体"/>
          <w:color w:val="auto"/>
          <w:highlight w:val="none"/>
        </w:rPr>
        <w:t>（如是联合体投标，</w:t>
      </w:r>
      <w:r>
        <w:rPr>
          <w:rFonts w:hint="eastAsia" w:ascii="宋体" w:hAnsi="宋体"/>
          <w:color w:val="auto"/>
          <w:highlight w:val="none"/>
          <w:lang w:val="en-US" w:eastAsia="zh-CN"/>
        </w:rPr>
        <w:t>牵头方</w:t>
      </w:r>
      <w:r>
        <w:rPr>
          <w:rFonts w:hint="eastAsia" w:ascii="宋体" w:hAnsi="宋体"/>
          <w:color w:val="auto"/>
          <w:highlight w:val="none"/>
        </w:rPr>
        <w:t>提供）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3、法定代表人身份证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lang w:val="en-US" w:eastAsia="zh-CN"/>
        </w:rPr>
        <w:t xml:space="preserve"> 或  全权代表身份证</w:t>
      </w:r>
      <w:r>
        <w:rPr>
          <w:rFonts w:hint="eastAsia" w:ascii="宋体" w:hAnsi="宋体"/>
          <w:color w:val="auto"/>
          <w:highlight w:val="none"/>
          <w:lang w:eastAsia="zh-CN"/>
        </w:rPr>
        <w:t>（</w:t>
      </w:r>
      <w:r>
        <w:rPr>
          <w:rFonts w:hint="eastAsia" w:ascii="宋体" w:hAnsi="宋体"/>
          <w:color w:val="auto"/>
          <w:highlight w:val="none"/>
          <w:lang w:val="en-US" w:eastAsia="zh-CN"/>
        </w:rPr>
        <w:t>正反面</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提供</w:t>
      </w:r>
      <w:r>
        <w:rPr>
          <w:rFonts w:hint="eastAsia" w:ascii="宋体" w:hAnsi="宋体"/>
          <w:color w:val="auto"/>
          <w:highlight w:val="none"/>
        </w:rPr>
        <w:t>扫描件）</w:t>
      </w:r>
      <w:r>
        <w:rPr>
          <w:rFonts w:hint="eastAsia" w:ascii="宋体" w:hAnsi="宋体"/>
          <w:color w:val="auto"/>
          <w:highlight w:val="none"/>
        </w:rPr>
        <w:t>（如是联合体投标，</w:t>
      </w:r>
      <w:r>
        <w:rPr>
          <w:rFonts w:hint="eastAsia" w:ascii="宋体" w:hAnsi="宋体"/>
          <w:color w:val="auto"/>
          <w:highlight w:val="none"/>
          <w:lang w:val="en-US" w:eastAsia="zh-CN"/>
        </w:rPr>
        <w:t>牵头方</w:t>
      </w:r>
      <w:r>
        <w:rPr>
          <w:rFonts w:hint="eastAsia" w:ascii="宋体" w:hAnsi="宋体"/>
          <w:color w:val="auto"/>
          <w:highlight w:val="none"/>
        </w:rPr>
        <w:t>提供）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投标人营业执照</w:t>
      </w:r>
      <w:r>
        <w:rPr>
          <w:rFonts w:hint="eastAsia" w:ascii="宋体" w:hAnsi="宋体"/>
          <w:color w:val="auto"/>
          <w:highlight w:val="none"/>
          <w:lang w:eastAsia="zh-CN"/>
        </w:rPr>
        <w:t>（</w:t>
      </w:r>
      <w:r>
        <w:rPr>
          <w:rFonts w:hint="eastAsia" w:ascii="宋体" w:hAnsi="宋体"/>
          <w:color w:val="auto"/>
          <w:highlight w:val="none"/>
          <w:lang w:val="en-US" w:eastAsia="zh-CN"/>
        </w:rPr>
        <w:t>提供</w:t>
      </w:r>
      <w:r>
        <w:rPr>
          <w:rFonts w:hint="eastAsia" w:ascii="宋体" w:hAnsi="宋体"/>
          <w:color w:val="auto"/>
          <w:highlight w:val="none"/>
        </w:rPr>
        <w:t>扫描件</w:t>
      </w:r>
      <w:r>
        <w:rPr>
          <w:rFonts w:hint="eastAsia" w:ascii="宋体" w:hAnsi="宋体"/>
          <w:color w:val="auto"/>
          <w:highlight w:val="none"/>
          <w:lang w:eastAsia="zh-CN"/>
        </w:rPr>
        <w:t>）</w:t>
      </w:r>
      <w:r>
        <w:rPr>
          <w:rFonts w:hint="eastAsia" w:ascii="宋体" w:hAnsi="宋体"/>
          <w:color w:val="auto"/>
          <w:highlight w:val="none"/>
        </w:rPr>
        <w:t>（如是联合体投标，各方均须提供）</w:t>
      </w:r>
    </w:p>
    <w:p>
      <w:pPr>
        <w:spacing w:line="360" w:lineRule="auto"/>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w:t>
      </w:r>
      <w:r>
        <w:rPr>
          <w:rFonts w:hint="eastAsia" w:ascii="宋体" w:hAnsi="宋体"/>
          <w:color w:val="auto"/>
          <w:highlight w:val="none"/>
          <w:lang w:val="en-US" w:eastAsia="zh-CN"/>
        </w:rPr>
        <w:t>具有</w:t>
      </w:r>
      <w:r>
        <w:rPr>
          <w:rFonts w:hint="eastAsia" w:ascii="宋体" w:hAnsi="宋体"/>
          <w:color w:val="auto"/>
          <w:highlight w:val="none"/>
        </w:rPr>
        <w:t>独立法人资格</w:t>
      </w:r>
      <w:r>
        <w:rPr>
          <w:rFonts w:hint="eastAsia" w:ascii="宋体" w:hAnsi="宋体"/>
          <w:color w:val="auto"/>
          <w:highlight w:val="none"/>
          <w:lang w:val="en-US" w:eastAsia="zh-CN"/>
        </w:rPr>
        <w:t>的</w:t>
      </w:r>
      <w:r>
        <w:rPr>
          <w:rFonts w:hint="eastAsia" w:ascii="宋体" w:hAnsi="宋体"/>
          <w:color w:val="auto"/>
          <w:highlight w:val="none"/>
        </w:rPr>
        <w:t>证明材料（提供投标人营业执照扫描件）</w:t>
      </w:r>
      <w:r>
        <w:rPr>
          <w:rFonts w:hint="eastAsia" w:ascii="宋体" w:hAnsi="宋体"/>
          <w:color w:val="auto"/>
          <w:highlight w:val="none"/>
        </w:rPr>
        <w:t>（如是联合体投标，各方均须提供）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highlight w:val="none"/>
          <w:lang w:eastAsia="zh-CN"/>
        </w:rPr>
      </w:pPr>
      <w:r>
        <w:rPr>
          <w:rFonts w:hint="eastAsia" w:ascii="宋体" w:hAnsi="宋体"/>
          <w:color w:val="auto"/>
          <w:highlight w:val="none"/>
          <w:lang w:val="en-US" w:eastAsia="zh-CN"/>
        </w:rPr>
        <w:t>6</w:t>
      </w:r>
      <w:r>
        <w:rPr>
          <w:rFonts w:hint="eastAsia" w:ascii="宋体" w:hAnsi="宋体"/>
          <w:color w:val="auto"/>
          <w:highlight w:val="none"/>
          <w:lang w:eastAsia="zh-CN"/>
        </w:rPr>
        <w:t>、联合体共同投标协议（见格式3）（联合体投标提供）（提供原件彩色扫描件）</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strike w:val="0"/>
          <w:dstrike w:val="0"/>
          <w:color w:val="auto"/>
          <w:highlight w:val="none"/>
          <w:lang w:val="en-US" w:eastAsia="zh-CN"/>
        </w:rPr>
      </w:pPr>
      <w:r>
        <w:rPr>
          <w:rFonts w:hint="eastAsia" w:ascii="宋体" w:hAnsi="宋体"/>
          <w:strike w:val="0"/>
          <w:dstrike w:val="0"/>
          <w:color w:val="auto"/>
          <w:highlight w:val="none"/>
          <w:lang w:val="en-US" w:eastAsia="zh-CN"/>
        </w:rPr>
        <w:t>1、投标人应按照资格证明文件组成所列内容提供资格证明材料。</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r>
        <w:rPr>
          <w:rFonts w:hint="default" w:ascii="宋体" w:hAnsi="宋体"/>
          <w:color w:val="auto"/>
          <w:sz w:val="21"/>
          <w:szCs w:val="21"/>
          <w:highlight w:val="none"/>
          <w:lang w:val="en-US" w:eastAsia="zh-CN"/>
        </w:rPr>
        <w:t>资格证明</w:t>
      </w:r>
      <w:r>
        <w:rPr>
          <w:rFonts w:hint="eastAsia" w:ascii="宋体" w:hAnsi="宋体"/>
          <w:color w:val="auto"/>
          <w:sz w:val="21"/>
          <w:szCs w:val="21"/>
          <w:highlight w:val="none"/>
          <w:lang w:val="en-US" w:eastAsia="zh-CN"/>
        </w:rPr>
        <w:t>材料</w:t>
      </w:r>
      <w:r>
        <w:rPr>
          <w:rFonts w:hint="default" w:ascii="宋体" w:hAnsi="宋体"/>
          <w:color w:val="auto"/>
          <w:sz w:val="21"/>
          <w:szCs w:val="21"/>
          <w:highlight w:val="none"/>
          <w:lang w:val="en-US" w:eastAsia="zh-CN"/>
        </w:rPr>
        <w:t>须逐页CA电子签章，否则资格审查不通过。</w:t>
      </w:r>
    </w:p>
    <w:p>
      <w:pPr>
        <w:spacing w:line="360" w:lineRule="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default" w:ascii="宋体" w:hAnsi="宋体"/>
          <w:color w:val="auto"/>
          <w:sz w:val="21"/>
          <w:szCs w:val="21"/>
          <w:highlight w:val="none"/>
          <w:lang w:val="en-US" w:eastAsia="zh-CN"/>
        </w:rPr>
        <w:t>资格证明文件中不得出现本项目的投标总价</w:t>
      </w:r>
      <w:r>
        <w:rPr>
          <w:rFonts w:hint="eastAsia" w:ascii="宋体" w:hAnsi="宋体" w:cs="宋体"/>
          <w:color w:val="auto"/>
          <w:szCs w:val="21"/>
          <w:highlight w:val="none"/>
        </w:rPr>
        <w:t>（固定价格采购除外）</w:t>
      </w:r>
      <w:r>
        <w:rPr>
          <w:rFonts w:hint="default" w:ascii="宋体" w:hAnsi="宋体"/>
          <w:color w:val="auto"/>
          <w:sz w:val="21"/>
          <w:szCs w:val="21"/>
          <w:highlight w:val="none"/>
          <w:lang w:val="en-US" w:eastAsia="zh-CN"/>
        </w:rPr>
        <w:t>，否则为无效投标。</w:t>
      </w:r>
    </w:p>
    <w:p>
      <w:pPr>
        <w:spacing w:line="360" w:lineRule="auto"/>
        <w:rPr>
          <w:rFonts w:hint="eastAsia" w:ascii="宋体" w:hAnsi="宋体"/>
          <w:color w:val="auto"/>
          <w:sz w:val="21"/>
          <w:szCs w:val="21"/>
          <w:highlight w:val="none"/>
          <w:lang w:val="en-US" w:eastAsia="zh-CN"/>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宁波市北仑区（开发区）公共资源交易中心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系中华人民共和国合法企业，经营地址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的法定代表人，我方愿意参加你中心组织的</w:t>
      </w:r>
      <w:r>
        <w:rPr>
          <w:rFonts w:hint="eastAsia" w:ascii="宋体" w:hAnsi="宋体" w:eastAsia="宋体" w:cs="宋体"/>
          <w:color w:val="auto"/>
          <w:highlight w:val="none"/>
          <w:u w:val="single"/>
        </w:rPr>
        <w:t xml:space="preserve"> </w:t>
      </w:r>
      <w:r>
        <w:rPr>
          <w:rFonts w:hint="eastAsia" w:ascii="宋体" w:hAnsi="宋体" w:eastAsia="宋体" w:cs="宋体"/>
          <w:b w:val="0"/>
          <w:bCs w:val="0"/>
          <w:color w:val="auto"/>
          <w:highlight w:val="none"/>
          <w:u w:val="single"/>
        </w:rPr>
        <w:t xml:space="preserve"> </w:t>
      </w:r>
      <w:r>
        <w:rPr>
          <w:rFonts w:hint="eastAsia" w:ascii="宋体" w:hAnsi="宋体" w:cs="宋体"/>
          <w:b w:val="0"/>
          <w:bCs w:val="0"/>
          <w:color w:val="auto"/>
          <w:highlight w:val="none"/>
          <w:u w:val="single"/>
          <w:lang w:eastAsia="zh-CN"/>
        </w:rPr>
        <w:t>北仑行政大楼物业管理</w:t>
      </w:r>
      <w:r>
        <w:rPr>
          <w:rFonts w:hint="eastAsia" w:ascii="宋体" w:hAnsi="宋体" w:eastAsia="宋体" w:cs="宋体"/>
          <w:b w:val="0"/>
          <w:bCs w:val="0"/>
          <w:color w:val="auto"/>
          <w:highlight w:val="none"/>
          <w:u w:val="single"/>
        </w:rPr>
        <w:t>（项目编号：</w:t>
      </w:r>
      <w:r>
        <w:rPr>
          <w:rFonts w:hint="eastAsia" w:ascii="宋体" w:hAnsi="宋体" w:cs="宋体"/>
          <w:b w:val="0"/>
          <w:bCs w:val="0"/>
          <w:color w:val="auto"/>
          <w:highlight w:val="none"/>
          <w:u w:val="single"/>
          <w:lang w:eastAsia="zh-CN"/>
        </w:rPr>
        <w:t>BLZFCG2024015</w:t>
      </w:r>
      <w:r>
        <w:rPr>
          <w:rFonts w:hint="eastAsia" w:ascii="宋体" w:hAnsi="宋体" w:eastAsia="宋体" w:cs="宋体"/>
          <w:b w:val="0"/>
          <w:bCs w:val="0"/>
          <w:color w:val="auto"/>
          <w:highlight w:val="none"/>
          <w:u w:val="single"/>
        </w:rPr>
        <w:t>）</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项目的投标，我方就本次投标有关事项郑重声明如下：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1、我方提交的所有投标文件、资料都是准确的和真实的。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2、我方不是采购人的附属机构；与采购人聘请的为此项目进行设计、编制规范、提供咨询服务的公司及其附属机构没有任何直接或间接的关联。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3、我方具</w:t>
      </w:r>
      <w:r>
        <w:rPr>
          <w:rFonts w:hint="eastAsia" w:ascii="宋体" w:hAnsi="宋体" w:cs="宋体"/>
          <w:color w:val="auto"/>
          <w:highlight w:val="none"/>
          <w:lang w:val="en-US" w:eastAsia="zh-CN"/>
        </w:rPr>
        <w:t>有健全的财务会计制度并依法缴纳税收和社会保障资金</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、我方已具备履行本项目所必需的设备和专业技术能力。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、我方在参加本次政府采购活动前三年内，在经营活动中没有重大违法记录。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rPr>
        <w:t>、以上事项如有虚假或隐瞒，我方愿意承担一切后果，并不再寻求任何旨在减轻或免除法律</w:t>
      </w:r>
      <w:r>
        <w:rPr>
          <w:rFonts w:hint="eastAsia" w:ascii="宋体" w:hAnsi="宋体" w:eastAsia="宋体" w:cs="宋体"/>
          <w:color w:val="auto"/>
          <w:highlight w:val="none"/>
        </w:rPr>
        <w:t>责任的辩解。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1、本</w:t>
      </w:r>
      <w:r>
        <w:rPr>
          <w:rFonts w:hint="eastAsia" w:ascii="宋体" w:hAnsi="宋体" w:eastAsia="宋体" w:cs="宋体"/>
          <w:b/>
          <w:bCs/>
          <w:color w:val="auto"/>
          <w:highlight w:val="none"/>
        </w:rPr>
        <w:t>声明须由法定代表人签署，否则声明无效。</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宁波市北仑区（开发区）公共资源交易中心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none"/>
        </w:rPr>
        <w:t>本人系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的法定代表人</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现为你中心组织的项目编号为</w:t>
      </w:r>
      <w:r>
        <w:rPr>
          <w:rFonts w:hint="eastAsia" w:ascii="宋体" w:hAnsi="宋体" w:cs="宋体"/>
          <w:color w:val="auto"/>
          <w:highlight w:val="none"/>
          <w:u w:val="single"/>
          <w:lang w:eastAsia="zh-CN"/>
        </w:rPr>
        <w:t>BLZFCG2024015</w:t>
      </w:r>
      <w:r>
        <w:rPr>
          <w:rFonts w:hint="eastAsia" w:ascii="宋体" w:hAnsi="宋体" w:eastAsia="宋体" w:cs="宋体"/>
          <w:color w:val="auto"/>
          <w:highlight w:val="none"/>
          <w:u w:val="none"/>
        </w:rPr>
        <w:t xml:space="preserve"> 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北仑行政大楼物业管理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政府采购项目，</w:t>
      </w:r>
      <w:r>
        <w:rPr>
          <w:rFonts w:hint="eastAsia" w:ascii="宋体" w:hAnsi="宋体" w:eastAsia="宋体" w:cs="宋体"/>
          <w:color w:val="auto"/>
          <w:highlight w:val="none"/>
          <w:u w:val="none"/>
          <w:lang w:val="en-US" w:eastAsia="zh-CN"/>
        </w:rPr>
        <w:t>代表本单位</w:t>
      </w:r>
      <w:r>
        <w:rPr>
          <w:rFonts w:hint="eastAsia" w:ascii="宋体" w:hAnsi="宋体" w:eastAsia="宋体" w:cs="宋体"/>
          <w:color w:val="auto"/>
          <w:highlight w:val="none"/>
          <w:u w:val="none"/>
        </w:rPr>
        <w:t>签署上述项目的投标文件</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处理与之有关的一切事务。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签</w:t>
      </w:r>
      <w:r>
        <w:rPr>
          <w:rFonts w:hint="eastAsia" w:ascii="宋体" w:hAnsi="宋体" w:cs="宋体"/>
          <w:color w:val="auto"/>
          <w:highlight w:val="none"/>
          <w:lang w:val="en-US" w:eastAsia="zh-CN"/>
        </w:rPr>
        <w:t>字</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1、投标单位安排法定代表人参加本项目投标的，只须提供本证明书即可。</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highlight w:val="none"/>
        </w:rPr>
      </w:pPr>
    </w:p>
    <w:p>
      <w:pPr>
        <w:spacing w:line="360" w:lineRule="auto"/>
        <w:rPr>
          <w:rFonts w:hint="eastAsia" w:ascii="宋体" w:hAnsi="宋体" w:eastAsia="宋体"/>
          <w:color w:val="auto"/>
          <w:highlight w:val="none"/>
          <w:lang w:eastAsia="zh-CN"/>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2-2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宁波市北仑区（开发区）公共资源交易中心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highlight w:val="none"/>
        </w:rPr>
      </w:pPr>
    </w:p>
    <w:p>
      <w:p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法定代表人姓名</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的法定代表人，现授权委托本单位在职职工</w:t>
      </w:r>
      <w:r>
        <w:rPr>
          <w:rFonts w:hint="eastAsia" w:ascii="宋体" w:hAnsi="宋体" w:eastAsia="宋体" w:cs="宋体"/>
          <w:color w:val="auto"/>
          <w:highlight w:val="none"/>
          <w:u w:val="single"/>
          <w:lang w:val="en-US" w:eastAsia="zh-CN"/>
        </w:rPr>
        <w:t xml:space="preserve">        （姓名、职务）        </w:t>
      </w:r>
      <w:r>
        <w:rPr>
          <w:rFonts w:hint="eastAsia" w:ascii="宋体" w:hAnsi="宋体" w:eastAsia="宋体" w:cs="宋体"/>
          <w:color w:val="auto"/>
          <w:highlight w:val="none"/>
        </w:rPr>
        <w:t>作为</w:t>
      </w:r>
      <w:r>
        <w:rPr>
          <w:rFonts w:hint="eastAsia" w:ascii="宋体" w:hAnsi="宋体" w:eastAsia="宋体" w:cs="宋体"/>
          <w:color w:val="auto"/>
          <w:highlight w:val="none"/>
          <w:lang w:val="en-US" w:eastAsia="zh-CN"/>
        </w:rPr>
        <w:t>全权</w:t>
      </w:r>
      <w:r>
        <w:rPr>
          <w:rFonts w:hint="eastAsia" w:ascii="宋体" w:hAnsi="宋体" w:eastAsia="宋体" w:cs="宋体"/>
          <w:color w:val="auto"/>
          <w:highlight w:val="none"/>
        </w:rPr>
        <w:t>代表以我方的名义参加你中心组织的</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eastAsia="zh-CN"/>
        </w:rPr>
        <w:t>北仑行政大楼物业管理</w:t>
      </w:r>
      <w:r>
        <w:rPr>
          <w:rFonts w:hint="eastAsia" w:ascii="宋体" w:hAnsi="宋体" w:eastAsia="宋体" w:cs="宋体"/>
          <w:color w:val="auto"/>
          <w:highlight w:val="none"/>
          <w:u w:val="single"/>
        </w:rPr>
        <w:t>（项目编号：</w:t>
      </w:r>
      <w:r>
        <w:rPr>
          <w:rFonts w:hint="eastAsia" w:ascii="宋体" w:hAnsi="宋体" w:cs="宋体"/>
          <w:color w:val="auto"/>
          <w:highlight w:val="none"/>
          <w:u w:val="single"/>
          <w:lang w:eastAsia="zh-CN"/>
        </w:rPr>
        <w:t>BLZFCG2024015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val="en-US" w:eastAsia="zh-CN"/>
        </w:rPr>
        <w:t>采购活动，</w:t>
      </w:r>
      <w:r>
        <w:rPr>
          <w:rFonts w:hint="eastAsia" w:ascii="宋体" w:hAnsi="宋体" w:eastAsia="宋体" w:cs="宋体"/>
          <w:color w:val="auto"/>
          <w:highlight w:val="none"/>
        </w:rPr>
        <w:t>并代表我方全权办理一切与之有关的事务。</w:t>
      </w:r>
    </w:p>
    <w:p>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日签字生效，</w:t>
      </w: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无转委</w:t>
      </w:r>
      <w:r>
        <w:rPr>
          <w:rFonts w:hint="eastAsia" w:ascii="宋体" w:hAnsi="宋体" w:eastAsia="宋体" w:cs="宋体"/>
          <w:color w:val="auto"/>
          <w:highlight w:val="none"/>
          <w:lang w:val="en-US" w:eastAsia="zh-CN"/>
        </w:rPr>
        <w:t>托</w:t>
      </w:r>
      <w:r>
        <w:rPr>
          <w:rFonts w:hint="eastAsia" w:ascii="宋体" w:hAnsi="宋体" w:eastAsia="宋体" w:cs="宋体"/>
          <w:color w:val="auto"/>
          <w:highlight w:val="none"/>
        </w:rPr>
        <w:t>权，特此声明。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全权代表</w:t>
      </w:r>
      <w:r>
        <w:rPr>
          <w:rFonts w:hint="eastAsia" w:ascii="宋体" w:hAnsi="宋体" w:eastAsia="宋体" w:cs="宋体"/>
          <w:color w:val="auto"/>
          <w:highlight w:val="none"/>
        </w:rPr>
        <w:t>姓名：</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全权代表签字：</w:t>
      </w:r>
      <w:r>
        <w:rPr>
          <w:rFonts w:hint="eastAsia" w:ascii="宋体" w:hAnsi="宋体" w:eastAsia="宋体" w:cs="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480" w:lineRule="auto"/>
        <w:ind w:left="2940" w:firstLine="420"/>
        <w:jc w:val="left"/>
        <w:rPr>
          <w:rFonts w:hint="eastAsia" w:ascii="宋体" w:hAnsi="宋体" w:eastAsia="宋体" w:cs="宋体"/>
          <w:color w:val="auto"/>
          <w:highlight w:val="none"/>
        </w:rPr>
      </w:pPr>
      <w:r>
        <w:rPr>
          <w:rFonts w:hint="eastAsia" w:ascii="宋体" w:hAnsi="宋体" w:eastAsia="宋体" w:cs="宋体"/>
          <w:color w:val="auto"/>
          <w:highlight w:val="none"/>
        </w:rPr>
        <w:t>投标人名称（加盖公章）：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法定代表人（签字或盖章）：</w:t>
      </w:r>
      <w:r>
        <w:rPr>
          <w:rFonts w:hint="eastAsia" w:ascii="宋体" w:hAnsi="宋体" w:eastAsia="宋体" w:cs="宋体"/>
          <w:color w:val="auto"/>
          <w:highlight w:val="none"/>
          <w:u w:val="single"/>
        </w:rPr>
        <w:t xml:space="preserve">                          </w:t>
      </w:r>
    </w:p>
    <w:p>
      <w:pPr>
        <w:spacing w:line="480" w:lineRule="auto"/>
        <w:ind w:left="2940" w:firstLine="42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1、投标单位安排全权代表参加本项目投标的，只须提供本授权书即可。</w:t>
      </w:r>
    </w:p>
    <w:p>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2、盖章签字后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eastAsia="宋体"/>
          <w:color w:val="auto"/>
          <w:highlight w:val="none"/>
          <w:lang w:eastAsia="zh-CN"/>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联合体共同投标协议</w:t>
      </w:r>
    </w:p>
    <w:p>
      <w:pPr>
        <w:spacing w:line="360" w:lineRule="auto"/>
        <w:rPr>
          <w:rFonts w:hint="eastAsia"/>
          <w:b w:val="0"/>
          <w:bCs/>
          <w:color w:val="auto"/>
          <w:szCs w:val="21"/>
          <w:highlight w:val="none"/>
          <w:u w:val="single"/>
        </w:rPr>
      </w:pPr>
      <w:r>
        <w:rPr>
          <w:rFonts w:hint="eastAsia"/>
          <w:b w:val="0"/>
          <w:bCs/>
          <w:color w:val="auto"/>
          <w:szCs w:val="21"/>
          <w:highlight w:val="none"/>
        </w:rPr>
        <w:t>甲方：</w:t>
      </w:r>
      <w:r>
        <w:rPr>
          <w:rFonts w:hint="eastAsia"/>
          <w:b w:val="0"/>
          <w:bCs/>
          <w:color w:val="auto"/>
          <w:szCs w:val="21"/>
          <w:highlight w:val="none"/>
          <w:u w:val="single"/>
        </w:rPr>
        <w:t xml:space="preserve">                                </w:t>
      </w:r>
    </w:p>
    <w:p>
      <w:pPr>
        <w:spacing w:line="360" w:lineRule="auto"/>
        <w:rPr>
          <w:rFonts w:hint="eastAsia" w:ascii="宋体" w:hAnsi="宋体"/>
          <w:b w:val="0"/>
          <w:bCs/>
          <w:color w:val="auto"/>
          <w:highlight w:val="none"/>
          <w:u w:val="single"/>
        </w:rPr>
      </w:pPr>
      <w:r>
        <w:rPr>
          <w:rFonts w:hint="eastAsia"/>
          <w:b w:val="0"/>
          <w:bCs/>
          <w:color w:val="auto"/>
          <w:szCs w:val="21"/>
          <w:highlight w:val="none"/>
        </w:rPr>
        <w:t>乙方：</w:t>
      </w:r>
      <w:r>
        <w:rPr>
          <w:rFonts w:hint="eastAsia"/>
          <w:b w:val="0"/>
          <w:bCs/>
          <w:color w:val="auto"/>
          <w:szCs w:val="21"/>
          <w:highlight w:val="none"/>
          <w:u w:val="single"/>
        </w:rPr>
        <w:t xml:space="preserve">                                </w:t>
      </w:r>
    </w:p>
    <w:p>
      <w:pPr>
        <w:rPr>
          <w:rFonts w:hint="eastAsia" w:ascii="宋体" w:hAnsi="宋体" w:eastAsia="宋体"/>
          <w:color w:val="auto"/>
          <w:highlight w:val="none"/>
          <w:lang w:val="en-US" w:eastAsia="zh-CN"/>
        </w:rPr>
      </w:pPr>
      <w:r>
        <w:rPr>
          <w:rFonts w:hint="eastAsia" w:ascii="宋体" w:hAnsi="宋体"/>
          <w:color w:val="auto"/>
          <w:highlight w:val="none"/>
          <w:lang w:val="en-US" w:eastAsia="zh-CN"/>
        </w:rPr>
        <w:t>……</w:t>
      </w:r>
    </w:p>
    <w:p>
      <w:pPr>
        <w:rPr>
          <w:rFonts w:hint="eastAsia" w:ascii="宋体" w:hAnsi="宋体"/>
          <w:color w:val="auto"/>
          <w:highlight w:val="none"/>
        </w:rPr>
      </w:pPr>
    </w:p>
    <w:p>
      <w:pPr>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甲、乙……各</w:t>
      </w:r>
      <w:r>
        <w:rPr>
          <w:rFonts w:hint="eastAsia" w:ascii="宋体" w:hAnsi="宋体"/>
          <w:color w:val="auto"/>
          <w:highlight w:val="none"/>
        </w:rPr>
        <w:t>方</w:t>
      </w:r>
      <w:r>
        <w:rPr>
          <w:rFonts w:hint="eastAsia" w:ascii="宋体" w:hAnsi="宋体"/>
          <w:color w:val="auto"/>
          <w:highlight w:val="none"/>
        </w:rPr>
        <w:t>经协商，自愿组成联合体，参加</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  </w:t>
      </w:r>
      <w:r>
        <w:rPr>
          <w:rFonts w:hint="eastAsia" w:ascii="宋体" w:hAnsi="宋体"/>
          <w:color w:val="auto"/>
          <w:highlight w:val="none"/>
        </w:rPr>
        <w:t>项目（项目编号：</w:t>
      </w:r>
      <w:r>
        <w:rPr>
          <w:rFonts w:ascii="宋体" w:hAnsi="宋体"/>
          <w:color w:val="auto"/>
          <w:highlight w:val="none"/>
          <w:u w:val="single"/>
        </w:rPr>
        <w:t></w:t>
      </w:r>
      <w:r>
        <w:rPr>
          <w:rFonts w:hint="eastAsia" w:ascii="宋体" w:hAnsi="宋体"/>
          <w:color w:val="auto"/>
          <w:highlight w:val="none"/>
        </w:rPr>
        <w:t>）的采购活动。现就联合进行投标之事宜，达成协议条款如下：</w:t>
      </w:r>
    </w:p>
    <w:p>
      <w:pPr>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一、</w:t>
      </w:r>
      <w:r>
        <w:rPr>
          <w:rFonts w:hint="eastAsia" w:ascii="宋体" w:hAnsi="宋体"/>
          <w:color w:val="auto"/>
          <w:highlight w:val="none"/>
          <w:lang w:val="en-US" w:eastAsia="zh-CN"/>
        </w:rPr>
        <w:t>各方</w:t>
      </w:r>
      <w:r>
        <w:rPr>
          <w:rFonts w:hint="eastAsia" w:ascii="宋体" w:hAnsi="宋体"/>
          <w:color w:val="auto"/>
          <w:highlight w:val="none"/>
        </w:rPr>
        <w:t>一致决定，以</w:t>
      </w:r>
      <w:r>
        <w:rPr>
          <w:rFonts w:hint="eastAsia" w:ascii="宋体" w:hAnsi="宋体"/>
          <w:color w:val="auto"/>
          <w:highlight w:val="none"/>
          <w:u w:val="single"/>
        </w:rPr>
        <w:t xml:space="preserve">                       </w:t>
      </w:r>
      <w:r>
        <w:rPr>
          <w:rFonts w:hint="eastAsia" w:ascii="宋体" w:hAnsi="宋体"/>
          <w:color w:val="auto"/>
          <w:highlight w:val="none"/>
        </w:rPr>
        <w:t>为联合体牵头人，</w:t>
      </w:r>
      <w:r>
        <w:rPr>
          <w:rFonts w:hint="eastAsia" w:ascii="宋体" w:hAnsi="宋体"/>
          <w:color w:val="auto"/>
          <w:highlight w:val="none"/>
          <w:u w:val="single"/>
        </w:rPr>
        <w:t xml:space="preserve">                   </w:t>
      </w:r>
      <w:r>
        <w:rPr>
          <w:rFonts w:hint="eastAsia" w:ascii="宋体" w:hAnsi="宋体"/>
          <w:color w:val="auto"/>
          <w:highlight w:val="none"/>
        </w:rPr>
        <w:t>为联合体成员，共同进行本项目的投标工作。按照招标文件的规定提交资格文件，并由授权代表</w:t>
      </w:r>
      <w:r>
        <w:rPr>
          <w:rFonts w:hint="eastAsia" w:ascii="宋体" w:hAnsi="宋体"/>
          <w:color w:val="auto"/>
          <w:szCs w:val="21"/>
          <w:highlight w:val="none"/>
        </w:rPr>
        <w:t xml:space="preserve">____________ </w:t>
      </w:r>
      <w:r>
        <w:rPr>
          <w:rFonts w:hint="eastAsia" w:ascii="宋体" w:hAnsi="宋体"/>
          <w:color w:val="auto"/>
          <w:highlight w:val="none"/>
        </w:rPr>
        <w:t>全权处理招标活动中的一切事宜。</w:t>
      </w:r>
    </w:p>
    <w:p>
      <w:pPr>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二、本次投标以联合体的名义参加投标，授权代表根据招标文件规定及投标内容对招标人所作的任何合法承诺，包括书面澄清及响应等均对联合投标</w:t>
      </w:r>
      <w:r>
        <w:rPr>
          <w:rFonts w:hint="eastAsia" w:ascii="宋体" w:hAnsi="宋体"/>
          <w:color w:val="auto"/>
          <w:highlight w:val="none"/>
        </w:rPr>
        <w:t>各方</w:t>
      </w:r>
      <w:r>
        <w:rPr>
          <w:rFonts w:hint="eastAsia" w:ascii="宋体" w:hAnsi="宋体"/>
          <w:color w:val="auto"/>
          <w:highlight w:val="none"/>
        </w:rPr>
        <w:t>产生约束力。</w:t>
      </w:r>
    </w:p>
    <w:p>
      <w:pPr>
        <w:spacing w:line="360" w:lineRule="auto"/>
        <w:rPr>
          <w:rFonts w:hint="eastAsia" w:ascii="宋体" w:hAnsi="宋体"/>
          <w:color w:val="auto"/>
          <w:highlight w:val="none"/>
          <w:u w:val="single"/>
        </w:rPr>
      </w:pPr>
      <w:r>
        <w:rPr>
          <w:rFonts w:ascii="宋体" w:hAnsi="宋体"/>
          <w:color w:val="auto"/>
          <w:highlight w:val="none"/>
        </w:rPr>
        <w:t></w:t>
      </w:r>
      <w:r>
        <w:rPr>
          <w:rFonts w:hint="eastAsia" w:ascii="宋体" w:hAnsi="宋体"/>
          <w:color w:val="auto"/>
          <w:highlight w:val="none"/>
        </w:rPr>
        <w:t>三、</w:t>
      </w:r>
      <w:r>
        <w:rPr>
          <w:rFonts w:hint="eastAsia" w:ascii="宋体" w:hAnsi="宋体"/>
          <w:color w:val="auto"/>
          <w:highlight w:val="none"/>
          <w:lang w:val="en-US" w:eastAsia="zh-CN"/>
        </w:rPr>
        <w:t>联合体各方分工及其它约定如下</w:t>
      </w:r>
      <w:r>
        <w:rPr>
          <w:rFonts w:hint="eastAsia" w:ascii="宋体" w:hAnsi="宋体"/>
          <w:color w:val="auto"/>
          <w:highlight w:val="none"/>
        </w:rPr>
        <w:t>：</w:t>
      </w:r>
      <w:r>
        <w:rPr>
          <w:rFonts w:hint="eastAsia" w:ascii="宋体" w:hAnsi="宋体"/>
          <w:color w:val="auto"/>
          <w:highlight w:val="none"/>
          <w:u w:val="single"/>
        </w:rPr>
        <w:t xml:space="preserve">                                                          </w:t>
      </w:r>
    </w:p>
    <w:p>
      <w:pPr>
        <w:spacing w:line="360" w:lineRule="auto"/>
        <w:rPr>
          <w:rFonts w:hint="eastAsia" w:ascii="宋体" w:hAnsi="宋体"/>
          <w:color w:val="auto"/>
          <w:highlight w:val="none"/>
          <w:u w:val="single"/>
        </w:rPr>
      </w:pPr>
      <w:r>
        <w:rPr>
          <w:rFonts w:hint="eastAsia" w:ascii="宋体" w:hAnsi="宋体"/>
          <w:color w:val="auto"/>
          <w:highlight w:val="none"/>
          <w:u w:val="single"/>
        </w:rPr>
        <w:t xml:space="preserve">                                                                                    </w:t>
      </w:r>
    </w:p>
    <w:p>
      <w:pPr>
        <w:spacing w:line="360" w:lineRule="auto"/>
        <w:rPr>
          <w:rFonts w:hint="eastAsia" w:ascii="宋体" w:hAnsi="宋体"/>
          <w:color w:val="auto"/>
          <w:highlight w:val="none"/>
          <w:u w:val="single"/>
        </w:rPr>
      </w:pPr>
      <w:r>
        <w:rPr>
          <w:rFonts w:hint="eastAsia" w:ascii="宋体" w:hAnsi="宋体"/>
          <w:color w:val="auto"/>
          <w:highlight w:val="none"/>
          <w:u w:val="single"/>
        </w:rPr>
        <w:t xml:space="preserve">                                                                                    </w:t>
      </w:r>
    </w:p>
    <w:p>
      <w:pPr>
        <w:spacing w:line="360" w:lineRule="auto"/>
        <w:rPr>
          <w:rFonts w:hint="eastAsia" w:ascii="宋体" w:hAnsi="宋体"/>
          <w:b/>
          <w:color w:val="auto"/>
          <w:highlight w:val="none"/>
        </w:rPr>
      </w:pPr>
      <w:r>
        <w:rPr>
          <w:rFonts w:hint="eastAsia" w:ascii="宋体" w:hAnsi="宋体"/>
          <w:b/>
          <w:color w:val="auto"/>
          <w:highlight w:val="none"/>
          <w:u w:val="single"/>
        </w:rPr>
        <w:t xml:space="preserve">                        </w:t>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p>
    <w:p>
      <w:pPr>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hint="eastAsia" w:ascii="宋体" w:hAnsi="宋体"/>
          <w:color w:val="auto"/>
          <w:highlight w:val="none"/>
        </w:rPr>
        <w:t>、</w:t>
      </w:r>
      <w:r>
        <w:rPr>
          <w:rFonts w:hint="eastAsia" w:ascii="宋体" w:hAnsi="宋体"/>
          <w:color w:val="auto"/>
          <w:highlight w:val="none"/>
        </w:rPr>
        <w:t>各方</w:t>
      </w:r>
      <w:r>
        <w:rPr>
          <w:rFonts w:hint="eastAsia" w:ascii="宋体" w:hAnsi="宋体"/>
          <w:color w:val="auto"/>
          <w:highlight w:val="none"/>
        </w:rPr>
        <w:t>不得再以自己名义或联合组织其他单位在</w:t>
      </w:r>
      <w:r>
        <w:rPr>
          <w:rFonts w:hint="eastAsia" w:ascii="宋体" w:hAnsi="宋体"/>
          <w:color w:val="auto"/>
          <w:highlight w:val="none"/>
          <w:lang w:val="en-US" w:eastAsia="zh-CN"/>
        </w:rPr>
        <w:t>本标项</w:t>
      </w:r>
      <w:r>
        <w:rPr>
          <w:rFonts w:hint="eastAsia" w:ascii="宋体" w:hAnsi="宋体"/>
          <w:color w:val="auto"/>
          <w:highlight w:val="none"/>
        </w:rPr>
        <w:t>中进行单独或联合投标。如发生上述问题导致本联合体投标成为无效标，联合体的其他成员可追究违约行为。</w:t>
      </w:r>
    </w:p>
    <w:p>
      <w:pPr>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hint="eastAsia" w:ascii="宋体" w:hAnsi="宋体"/>
          <w:color w:val="auto"/>
          <w:highlight w:val="none"/>
        </w:rPr>
        <w:t>、本协议提交</w:t>
      </w:r>
      <w:r>
        <w:rPr>
          <w:rFonts w:hint="eastAsia" w:ascii="宋体" w:hAnsi="宋体"/>
          <w:color w:val="auto"/>
          <w:highlight w:val="none"/>
        </w:rPr>
        <w:t>招标人</w:t>
      </w:r>
      <w:r>
        <w:rPr>
          <w:rFonts w:hint="eastAsia" w:ascii="宋体" w:hAnsi="宋体"/>
          <w:color w:val="auto"/>
          <w:highlight w:val="none"/>
        </w:rPr>
        <w:t>后，联合投标</w:t>
      </w:r>
      <w:r>
        <w:rPr>
          <w:rFonts w:hint="eastAsia" w:ascii="宋体" w:hAnsi="宋体"/>
          <w:color w:val="auto"/>
          <w:highlight w:val="none"/>
        </w:rPr>
        <w:t>各方</w:t>
      </w:r>
      <w:r>
        <w:rPr>
          <w:rFonts w:hint="eastAsia" w:ascii="宋体" w:hAnsi="宋体"/>
          <w:color w:val="auto"/>
          <w:highlight w:val="none"/>
        </w:rPr>
        <w:t>不得以任何形式对上述实质内容进行修改或撤销。</w:t>
      </w:r>
    </w:p>
    <w:p>
      <w:pPr>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hint="eastAsia" w:ascii="宋体" w:hAnsi="宋体"/>
          <w:color w:val="auto"/>
          <w:highlight w:val="none"/>
        </w:rPr>
        <w:t>、本协议一式</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份，联合体成员和</w:t>
      </w:r>
      <w:r>
        <w:rPr>
          <w:rFonts w:hint="eastAsia" w:ascii="宋体" w:hAnsi="宋体"/>
          <w:color w:val="auto"/>
          <w:highlight w:val="none"/>
        </w:rPr>
        <w:t>招标人</w:t>
      </w:r>
      <w:r>
        <w:rPr>
          <w:rFonts w:hint="eastAsia" w:ascii="宋体" w:hAnsi="宋体"/>
          <w:color w:val="auto"/>
          <w:highlight w:val="none"/>
        </w:rPr>
        <w:t>各执一份。</w:t>
      </w:r>
    </w:p>
    <w:p>
      <w:pPr>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七</w:t>
      </w:r>
      <w:r>
        <w:rPr>
          <w:rFonts w:hint="eastAsia" w:ascii="宋体" w:hAnsi="宋体"/>
          <w:color w:val="auto"/>
          <w:highlight w:val="none"/>
        </w:rPr>
        <w:t>、未中标，本协议自动废止。</w:t>
      </w:r>
    </w:p>
    <w:p>
      <w:pPr>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八</w:t>
      </w:r>
      <w:r>
        <w:rPr>
          <w:rFonts w:hint="eastAsia" w:ascii="宋体" w:hAnsi="宋体"/>
          <w:color w:val="auto"/>
          <w:highlight w:val="none"/>
        </w:rPr>
        <w:t>、本协议书自签署之日起生效，至各方履行完本项目签订的合同全部义务后自行失效。</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hint="eastAsia" w:ascii="宋体" w:hAnsi="宋体"/>
          <w:color w:val="auto"/>
          <w:highlight w:val="none"/>
        </w:rPr>
      </w:pPr>
      <w:r>
        <w:rPr>
          <w:rFonts w:hint="eastAsia" w:ascii="宋体" w:hAnsi="宋体"/>
          <w:color w:val="auto"/>
          <w:highlight w:val="none"/>
        </w:rPr>
        <w:t>甲方：（</w:t>
      </w:r>
      <w:r>
        <w:rPr>
          <w:rFonts w:hint="eastAsia" w:ascii="宋体" w:hAnsi="宋体"/>
          <w:color w:val="auto"/>
          <w:highlight w:val="none"/>
          <w:lang w:val="en-US" w:eastAsia="zh-CN"/>
        </w:rPr>
        <w:t>公</w:t>
      </w:r>
      <w:r>
        <w:rPr>
          <w:rFonts w:hint="eastAsia" w:ascii="宋体" w:hAnsi="宋体"/>
          <w:color w:val="auto"/>
          <w:highlight w:val="none"/>
        </w:rPr>
        <w:t xml:space="preserve">章）          </w:t>
      </w:r>
      <w:r>
        <w:rPr>
          <w:rFonts w:hint="eastAsia" w:ascii="宋体" w:hAnsi="宋体"/>
          <w:color w:val="auto"/>
          <w:highlight w:val="none"/>
          <w:lang w:val="en-US" w:eastAsia="zh-CN"/>
        </w:rPr>
        <w:t xml:space="preserve">  </w:t>
      </w: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 xml:space="preserve">   乙方：（</w:t>
      </w:r>
      <w:r>
        <w:rPr>
          <w:rFonts w:hint="eastAsia" w:ascii="宋体" w:hAnsi="宋体"/>
          <w:color w:val="auto"/>
          <w:highlight w:val="none"/>
          <w:lang w:val="en-US" w:eastAsia="zh-CN"/>
        </w:rPr>
        <w:t>公</w:t>
      </w:r>
      <w:r>
        <w:rPr>
          <w:rFonts w:hint="eastAsia" w:ascii="宋体" w:hAnsi="宋体"/>
          <w:color w:val="auto"/>
          <w:highlight w:val="none"/>
        </w:rPr>
        <w:t>章）</w:t>
      </w:r>
    </w:p>
    <w:p>
      <w:pPr>
        <w:spacing w:line="360" w:lineRule="auto"/>
        <w:rPr>
          <w:rFonts w:hint="eastAsia"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lang w:val="en-US" w:eastAsia="zh-CN"/>
        </w:rPr>
        <w:t>或授权代表</w:t>
      </w:r>
      <w:r>
        <w:rPr>
          <w:rFonts w:hint="eastAsia" w:ascii="宋体" w:hAnsi="宋体"/>
          <w:color w:val="auto"/>
          <w:highlight w:val="none"/>
        </w:rPr>
        <w:t xml:space="preserve">：（签字）         </w:t>
      </w:r>
      <w:r>
        <w:rPr>
          <w:rFonts w:hint="eastAsia" w:ascii="宋体" w:hAnsi="宋体"/>
          <w:color w:val="auto"/>
          <w:highlight w:val="none"/>
          <w:lang w:val="en-US" w:eastAsia="zh-CN"/>
        </w:rPr>
        <w:t xml:space="preserve">       </w:t>
      </w:r>
      <w:r>
        <w:rPr>
          <w:rFonts w:hint="eastAsia" w:ascii="宋体" w:hAnsi="宋体"/>
          <w:color w:val="auto"/>
          <w:highlight w:val="none"/>
        </w:rPr>
        <w:t>法定代表人</w:t>
      </w:r>
      <w:r>
        <w:rPr>
          <w:rFonts w:hint="eastAsia" w:ascii="宋体" w:hAnsi="宋体"/>
          <w:color w:val="auto"/>
          <w:highlight w:val="none"/>
          <w:lang w:val="en-US" w:eastAsia="zh-CN"/>
        </w:rPr>
        <w:t>或授权代表</w:t>
      </w:r>
      <w:r>
        <w:rPr>
          <w:rFonts w:hint="eastAsia" w:ascii="宋体" w:hAnsi="宋体"/>
          <w:color w:val="auto"/>
          <w:highlight w:val="none"/>
        </w:rPr>
        <w:t>：（签字）</w:t>
      </w:r>
    </w:p>
    <w:p>
      <w:pPr>
        <w:spacing w:line="360" w:lineRule="auto"/>
        <w:rPr>
          <w:rFonts w:hint="eastAsia" w:ascii="宋体" w:hAnsi="宋体"/>
          <w:color w:val="auto"/>
          <w:highlight w:val="none"/>
        </w:rPr>
      </w:pPr>
      <w:r>
        <w:rPr>
          <w:rFonts w:hint="eastAsia" w:ascii="宋体" w:hAnsi="宋体"/>
          <w:color w:val="auto"/>
          <w:highlight w:val="none"/>
          <w:lang w:val="en-US" w:eastAsia="zh-CN"/>
        </w:rPr>
        <w:t>日期：</w:t>
      </w:r>
      <w:r>
        <w:rPr>
          <w:rFonts w:hint="eastAsia" w:ascii="宋体" w:hAnsi="宋体"/>
          <w:color w:val="auto"/>
          <w:highlight w:val="none"/>
        </w:rPr>
        <w:t xml:space="preserve">       年  月   日                   </w:t>
      </w:r>
      <w:r>
        <w:rPr>
          <w:rFonts w:hint="eastAsia" w:ascii="宋体" w:hAnsi="宋体"/>
          <w:color w:val="auto"/>
          <w:highlight w:val="none"/>
          <w:lang w:val="en-US" w:eastAsia="zh-CN"/>
        </w:rPr>
        <w:t xml:space="preserve">   日期：</w:t>
      </w:r>
      <w:r>
        <w:rPr>
          <w:rFonts w:hint="eastAsia" w:ascii="宋体" w:hAnsi="宋体"/>
          <w:color w:val="auto"/>
          <w:highlight w:val="none"/>
        </w:rPr>
        <w:t xml:space="preserve">       年  月   日</w:t>
      </w:r>
    </w:p>
    <w:p>
      <w:pPr>
        <w:spacing w:line="360" w:lineRule="auto"/>
        <w:rPr>
          <w:rFonts w:hint="eastAsia" w:ascii="宋体" w:hAnsi="宋体"/>
          <w:color w:val="auto"/>
          <w:highlight w:val="none"/>
        </w:rPr>
      </w:pP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rPr>
        <w:t>说明：</w:t>
      </w:r>
      <w:r>
        <w:rPr>
          <w:rFonts w:hint="eastAsia" w:ascii="宋体" w:hAnsi="宋体" w:eastAsia="宋体" w:cs="宋体"/>
          <w:b/>
          <w:bCs/>
          <w:color w:val="auto"/>
          <w:highlight w:val="none"/>
          <w:lang w:val="en-US" w:eastAsia="zh-CN"/>
        </w:rPr>
        <w:t>盖章签字后</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提供</w:t>
      </w:r>
      <w:r>
        <w:rPr>
          <w:rFonts w:hint="eastAsia" w:ascii="宋体" w:hAnsi="宋体" w:cs="宋体"/>
          <w:b/>
          <w:bCs/>
          <w:color w:val="auto"/>
          <w:highlight w:val="none"/>
          <w:lang w:val="en-US" w:eastAsia="zh-CN"/>
        </w:rPr>
        <w:t>原件</w:t>
      </w:r>
      <w:r>
        <w:rPr>
          <w:rFonts w:hint="eastAsia" w:ascii="宋体" w:hAnsi="宋体" w:eastAsia="宋体" w:cs="宋体"/>
          <w:b/>
          <w:bCs/>
          <w:color w:val="auto"/>
          <w:highlight w:val="none"/>
          <w:lang w:val="en-US" w:eastAsia="zh-CN"/>
        </w:rPr>
        <w:t>彩色扫描件。</w:t>
      </w:r>
      <w:r>
        <w:rPr>
          <w:rFonts w:hint="eastAsia" w:ascii="宋体" w:hAnsi="宋体" w:cs="宋体"/>
          <w:b/>
          <w:bCs/>
          <w:color w:val="auto"/>
          <w:highlight w:val="none"/>
          <w:lang w:val="en-US" w:eastAsia="zh-CN"/>
        </w:rPr>
        <w:t>联合体投标的必须提供，否则投标无效。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二、</w:t>
      </w:r>
      <w:r>
        <w:rPr>
          <w:rFonts w:hint="eastAsia" w:ascii="宋体" w:hAnsi="宋体"/>
          <w:b/>
          <w:bCs/>
          <w:color w:val="auto"/>
          <w:highlight w:val="none"/>
          <w:lang w:val="en-US" w:eastAsia="zh-CN"/>
        </w:rPr>
        <w:t>技术商务</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1、封面（见技术商务</w:t>
      </w:r>
      <w:r>
        <w:rPr>
          <w:rFonts w:hint="eastAsia" w:ascii="宋体" w:hAnsi="宋体"/>
          <w:color w:val="auto"/>
          <w:highlight w:val="none"/>
        </w:rPr>
        <w:t>文件封面格式</w:t>
      </w:r>
      <w:r>
        <w:rPr>
          <w:rFonts w:hint="eastAsia" w:ascii="宋体" w:hAnsi="宋体"/>
          <w:color w:val="auto"/>
          <w:highlight w:val="none"/>
          <w:lang w:val="en-US" w:eastAsia="zh-CN"/>
        </w:rPr>
        <w:t>）</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eastAsia="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rPr>
        <w:t>评标索引表</w:t>
      </w:r>
      <w:r>
        <w:rPr>
          <w:rFonts w:hint="eastAsia" w:ascii="宋体" w:hAnsi="宋体"/>
          <w:color w:val="auto"/>
          <w:highlight w:val="none"/>
          <w:lang w:eastAsia="zh-CN"/>
        </w:rPr>
        <w:t>（</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4</w:t>
      </w:r>
      <w:r>
        <w:rPr>
          <w:rFonts w:hint="eastAsia" w:ascii="宋体" w:hAnsi="宋体"/>
          <w:color w:val="auto"/>
          <w:highlight w:val="none"/>
          <w:lang w:eastAsia="zh-CN"/>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4、投标函（见</w:t>
      </w:r>
      <w:r>
        <w:rPr>
          <w:rFonts w:hint="eastAsia" w:ascii="宋体" w:hAnsi="宋体"/>
          <w:color w:val="auto"/>
          <w:highlight w:val="none"/>
        </w:rPr>
        <w:t>格式</w:t>
      </w:r>
      <w:r>
        <w:rPr>
          <w:rFonts w:hint="eastAsia" w:ascii="宋体" w:hAnsi="宋体"/>
          <w:color w:val="auto"/>
          <w:highlight w:val="none"/>
          <w:lang w:val="en-US" w:eastAsia="zh-CN"/>
        </w:rPr>
        <w:t>5）</w:t>
      </w:r>
    </w:p>
    <w:p>
      <w:pPr>
        <w:spacing w:line="360" w:lineRule="auto"/>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服务条款偏离表（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商务条款偏离表（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物业服务方案（内容格式自拟，</w:t>
      </w:r>
      <w:r>
        <w:rPr>
          <w:rFonts w:hint="eastAsia" w:ascii="宋体" w:hAnsi="宋体"/>
          <w:color w:val="auto"/>
          <w:highlight w:val="none"/>
          <w:lang w:eastAsia="zh-CN"/>
        </w:rPr>
        <w:t>要求见招标文件第四部分</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突发事件应急预案（内容格式自拟，</w:t>
      </w:r>
      <w:r>
        <w:rPr>
          <w:rFonts w:hint="eastAsia" w:ascii="宋体" w:hAnsi="宋体"/>
          <w:color w:val="auto"/>
          <w:highlight w:val="none"/>
          <w:lang w:eastAsia="zh-CN"/>
        </w:rPr>
        <w:t>要求见招标文件第四部分</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lang w:eastAsia="zh-CN"/>
        </w:rPr>
        <w:t>、</w:t>
      </w:r>
      <w:r>
        <w:rPr>
          <w:rFonts w:hint="eastAsia" w:ascii="宋体" w:hAnsi="宋体"/>
          <w:color w:val="auto"/>
          <w:highlight w:val="none"/>
        </w:rPr>
        <w:t>项目实施方案（内容格式自拟，</w:t>
      </w:r>
      <w:r>
        <w:rPr>
          <w:rFonts w:hint="eastAsia" w:ascii="宋体" w:hAnsi="宋体"/>
          <w:color w:val="auto"/>
          <w:highlight w:val="none"/>
          <w:lang w:eastAsia="zh-CN"/>
        </w:rPr>
        <w:t>要求见招标文件第四部分</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lang w:eastAsia="zh-CN"/>
        </w:rPr>
        <w:t>、</w:t>
      </w:r>
      <w:r>
        <w:rPr>
          <w:rFonts w:hint="eastAsia" w:ascii="宋体" w:hAnsi="宋体"/>
          <w:color w:val="auto"/>
          <w:highlight w:val="none"/>
        </w:rPr>
        <w:t>项目人员配置方案（内容格式自拟，</w:t>
      </w:r>
      <w:r>
        <w:rPr>
          <w:rFonts w:hint="eastAsia" w:ascii="宋体" w:hAnsi="宋体"/>
          <w:color w:val="auto"/>
          <w:highlight w:val="none"/>
          <w:lang w:eastAsia="zh-CN"/>
        </w:rPr>
        <w:t>要求见招标文件第四部分</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lang w:eastAsia="zh-CN"/>
        </w:rPr>
        <w:t>、</w:t>
      </w:r>
      <w:r>
        <w:rPr>
          <w:rFonts w:hint="eastAsia" w:ascii="宋体" w:hAnsi="宋体"/>
          <w:color w:val="auto"/>
          <w:highlight w:val="none"/>
        </w:rPr>
        <w:t>拟派本项目的主要人员情况表（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12</w:t>
      </w:r>
      <w:r>
        <w:rPr>
          <w:rFonts w:hint="eastAsia" w:ascii="宋体" w:hAnsi="宋体"/>
          <w:color w:val="auto"/>
          <w:highlight w:val="none"/>
          <w:lang w:eastAsia="zh-CN"/>
        </w:rPr>
        <w:t>、</w:t>
      </w:r>
      <w:r>
        <w:rPr>
          <w:rFonts w:hint="eastAsia" w:ascii="宋体" w:hAnsi="宋体"/>
          <w:color w:val="auto"/>
          <w:highlight w:val="none"/>
        </w:rPr>
        <w:t>服务承诺及合理化建议（内容格式自拟，</w:t>
      </w:r>
      <w:r>
        <w:rPr>
          <w:rFonts w:hint="eastAsia" w:ascii="宋体" w:hAnsi="宋体"/>
          <w:color w:val="auto"/>
          <w:highlight w:val="none"/>
          <w:lang w:eastAsia="zh-CN"/>
        </w:rPr>
        <w:t>要求见招标文件第四部分</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13</w:t>
      </w:r>
      <w:r>
        <w:rPr>
          <w:rFonts w:hint="eastAsia" w:ascii="宋体" w:hAnsi="宋体"/>
          <w:color w:val="auto"/>
          <w:highlight w:val="none"/>
          <w:lang w:eastAsia="zh-CN"/>
        </w:rPr>
        <w:t>、</w:t>
      </w:r>
      <w:r>
        <w:rPr>
          <w:rFonts w:hint="eastAsia" w:ascii="宋体" w:hAnsi="宋体"/>
          <w:color w:val="auto"/>
          <w:highlight w:val="none"/>
        </w:rPr>
        <w:t>投标人取得的证书及荣誉情况表（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14</w:t>
      </w:r>
      <w:r>
        <w:rPr>
          <w:rFonts w:hint="eastAsia" w:ascii="宋体" w:hAnsi="宋体"/>
          <w:color w:val="auto"/>
          <w:highlight w:val="none"/>
          <w:lang w:eastAsia="zh-CN"/>
        </w:rPr>
        <w:t>、</w:t>
      </w:r>
      <w:r>
        <w:rPr>
          <w:rFonts w:hint="eastAsia" w:ascii="宋体" w:hAnsi="宋体"/>
          <w:color w:val="auto"/>
          <w:highlight w:val="none"/>
        </w:rPr>
        <w:t>类似项目业绩表（</w:t>
      </w:r>
      <w:r>
        <w:rPr>
          <w:rFonts w:hint="eastAsia" w:ascii="宋体" w:hAnsi="宋体"/>
          <w:color w:val="auto"/>
          <w:highlight w:val="none"/>
          <w:lang w:val="en-US" w:eastAsia="zh-CN"/>
        </w:rPr>
        <w:t>见</w:t>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lang w:val="en-US" w:eastAsia="zh-CN"/>
        </w:rPr>
        <w:t>15</w:t>
      </w:r>
      <w:r>
        <w:rPr>
          <w:rFonts w:hint="eastAsia" w:ascii="宋体" w:hAnsi="宋体"/>
          <w:color w:val="auto"/>
          <w:highlight w:val="none"/>
          <w:lang w:eastAsia="zh-CN"/>
        </w:rPr>
        <w:t>、</w:t>
      </w:r>
      <w:r>
        <w:rPr>
          <w:rFonts w:hint="eastAsia" w:ascii="宋体" w:hAnsi="宋体"/>
          <w:color w:val="auto"/>
          <w:highlight w:val="none"/>
        </w:rPr>
        <w:t>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1、投标人应按照技术商务文件组成所列内容和顺序编制技术商务文件。</w:t>
      </w:r>
    </w:p>
    <w:p>
      <w:pPr>
        <w:spacing w:line="360" w:lineRule="auto"/>
        <w:rPr>
          <w:rFonts w:hint="eastAsia" w:ascii="宋体" w:hAnsi="宋体" w:eastAsia="宋体"/>
          <w:color w:val="auto"/>
          <w:highlight w:val="none"/>
          <w:lang w:val="en-US" w:eastAsia="zh-CN"/>
        </w:rPr>
      </w:pPr>
      <w:r>
        <w:rPr>
          <w:rFonts w:hint="eastAsia" w:ascii="宋体" w:hAnsi="宋体"/>
          <w:color w:val="auto"/>
          <w:highlight w:val="none"/>
          <w:lang w:val="en-US" w:eastAsia="zh-CN"/>
        </w:rPr>
        <w:t>2、技术商务文件应按照招标文件格式要求进行CA电子签章，未有规定的投标人视情况签章。</w:t>
      </w:r>
    </w:p>
    <w:p>
      <w:pPr>
        <w:spacing w:line="360" w:lineRule="auto"/>
        <w:rPr>
          <w:rFonts w:hint="eastAsia" w:ascii="宋体" w:hAnsi="宋体"/>
          <w:color w:val="auto"/>
          <w:highlight w:val="none"/>
        </w:rPr>
      </w:pPr>
      <w:r>
        <w:rPr>
          <w:rFonts w:hint="eastAsia" w:ascii="宋体" w:hAnsi="宋体"/>
          <w:color w:val="auto"/>
          <w:sz w:val="21"/>
          <w:szCs w:val="21"/>
          <w:highlight w:val="none"/>
          <w:lang w:val="en-US" w:eastAsia="zh-CN"/>
        </w:rPr>
        <w:t>3、</w:t>
      </w:r>
      <w:r>
        <w:rPr>
          <w:rFonts w:hint="eastAsia" w:ascii="宋体" w:hAnsi="宋体"/>
          <w:color w:val="auto"/>
          <w:highlight w:val="none"/>
        </w:rPr>
        <w:t>技术商务文件可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技术商务文件中不得出现本项目的投标总价</w:t>
      </w:r>
      <w:r>
        <w:rPr>
          <w:rFonts w:hint="eastAsia" w:ascii="宋体" w:hAnsi="宋体" w:cs="宋体"/>
          <w:color w:val="auto"/>
          <w:szCs w:val="21"/>
          <w:highlight w:val="none"/>
        </w:rPr>
        <w:t>（固定价格采购除外）</w:t>
      </w:r>
      <w:r>
        <w:rPr>
          <w:rFonts w:hint="eastAsia" w:ascii="宋体" w:hAnsi="宋体"/>
          <w:color w:val="auto"/>
          <w:highlight w:val="none"/>
        </w:rPr>
        <w:t>，否则为无效投标。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技术商务</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rPr>
        <w:t>技术商务文件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北仑行政大楼物业管理</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BLZFCG2024015</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val="en-US"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评标索引表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北仑行政大楼物业管理</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BLZFCG2024015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321"/>
        <w:gridCol w:w="1170"/>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85" w:type="dxa"/>
            <w:noWrap w:val="0"/>
            <w:vAlign w:val="center"/>
          </w:tcPr>
          <w:p>
            <w:pPr>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序号</w:t>
            </w:r>
          </w:p>
        </w:tc>
        <w:tc>
          <w:tcPr>
            <w:tcW w:w="5321"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评分项目</w:t>
            </w:r>
          </w:p>
        </w:tc>
        <w:tc>
          <w:tcPr>
            <w:tcW w:w="117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w:t>
            </w:r>
          </w:p>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对应页码</w:t>
            </w:r>
          </w:p>
        </w:tc>
        <w:tc>
          <w:tcPr>
            <w:tcW w:w="1779"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auto"/>
                <w:sz w:val="21"/>
                <w:szCs w:val="21"/>
                <w:highlight w:val="none"/>
              </w:rPr>
            </w:pPr>
          </w:p>
        </w:tc>
        <w:tc>
          <w:tcPr>
            <w:tcW w:w="5321" w:type="dxa"/>
            <w:noWrap w:val="0"/>
            <w:vAlign w:val="center"/>
          </w:tcPr>
          <w:p>
            <w:pPr>
              <w:jc w:val="center"/>
              <w:rPr>
                <w:rFonts w:hint="eastAsia" w:ascii="宋体" w:hAnsi="宋体"/>
                <w:color w:val="auto"/>
                <w:sz w:val="21"/>
                <w:szCs w:val="21"/>
                <w:highlight w:val="none"/>
              </w:rPr>
            </w:pPr>
          </w:p>
        </w:tc>
        <w:tc>
          <w:tcPr>
            <w:tcW w:w="1170" w:type="dxa"/>
            <w:noWrap w:val="0"/>
            <w:vAlign w:val="center"/>
          </w:tcPr>
          <w:p>
            <w:pPr>
              <w:jc w:val="center"/>
              <w:rPr>
                <w:rFonts w:hint="eastAsia" w:ascii="宋体" w:hAnsi="宋体"/>
                <w:color w:val="auto"/>
                <w:sz w:val="21"/>
                <w:szCs w:val="21"/>
                <w:highlight w:val="none"/>
              </w:rPr>
            </w:pPr>
          </w:p>
        </w:tc>
        <w:tc>
          <w:tcPr>
            <w:tcW w:w="1779" w:type="dxa"/>
            <w:noWrap w:val="0"/>
            <w:vAlign w:val="center"/>
          </w:tcPr>
          <w:p>
            <w:pPr>
              <w:jc w:val="center"/>
              <w:rPr>
                <w:rFonts w:hint="eastAsia" w:ascii="宋体" w:hAnsi="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1、根据评分标准</w:t>
      </w:r>
      <w:r>
        <w:rPr>
          <w:rFonts w:hint="eastAsia" w:ascii="宋体" w:hAnsi="宋体" w:eastAsia="宋体" w:cs="宋体"/>
          <w:color w:val="auto"/>
          <w:highlight w:val="none"/>
          <w:lang w:val="en-US" w:eastAsia="zh-CN"/>
        </w:rPr>
        <w:t>表技术商务部分</w:t>
      </w:r>
      <w:r>
        <w:rPr>
          <w:rFonts w:hint="eastAsia" w:ascii="宋体" w:hAnsi="宋体" w:eastAsia="宋体" w:cs="宋体"/>
          <w:color w:val="auto"/>
          <w:highlight w:val="none"/>
          <w:lang w:eastAsia="zh-CN"/>
        </w:rPr>
        <w:t>逐条填写。</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宁波市北仑区（开发区）公共资源交易中心</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val="en-US" w:eastAsia="zh-CN"/>
        </w:rPr>
        <w:t>委派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全权代表</w:t>
      </w:r>
      <w:r>
        <w:rPr>
          <w:rFonts w:hint="eastAsia" w:ascii="宋体" w:hAnsi="宋体" w:eastAsia="宋体" w:cs="宋体"/>
          <w:color w:val="auto"/>
          <w:highlight w:val="none"/>
          <w:u w:val="single"/>
        </w:rPr>
        <w:t>姓名、职务</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参加你中</w:t>
      </w:r>
      <w:r>
        <w:rPr>
          <w:rFonts w:hint="eastAsia" w:ascii="宋体" w:hAnsi="宋体" w:eastAsia="宋体" w:cs="宋体"/>
          <w:color w:val="auto"/>
          <w:highlight w:val="none"/>
          <w:u w:val="none"/>
        </w:rPr>
        <w:t>心组织的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u w:val="single"/>
        </w:rPr>
        <w:t>、标项编号</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项目公开招标的有关活动，</w:t>
      </w:r>
      <w:r>
        <w:rPr>
          <w:rFonts w:hint="eastAsia" w:ascii="宋体" w:hAnsi="宋体" w:eastAsia="宋体" w:cs="宋体"/>
          <w:color w:val="auto"/>
          <w:highlight w:val="none"/>
          <w:u w:val="none"/>
        </w:rPr>
        <w:t>并对此项目进行投标。为此：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1</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我方同意</w:t>
      </w:r>
      <w:r>
        <w:rPr>
          <w:rFonts w:hint="eastAsia" w:ascii="宋体" w:hAnsi="宋体" w:eastAsia="宋体" w:cs="宋体"/>
          <w:color w:val="auto"/>
          <w:highlight w:val="none"/>
          <w:u w:val="none"/>
        </w:rPr>
        <w:t>在本项目招标文件中规定的</w:t>
      </w:r>
      <w:r>
        <w:rPr>
          <w:rFonts w:hint="eastAsia" w:ascii="宋体" w:hAnsi="宋体" w:eastAsia="宋体" w:cs="宋体"/>
          <w:color w:val="auto"/>
          <w:highlight w:val="none"/>
          <w:u w:val="none"/>
          <w:lang w:val="en-US" w:eastAsia="zh-CN"/>
        </w:rPr>
        <w:t>投标有效期内，</w:t>
      </w:r>
      <w:r>
        <w:rPr>
          <w:rFonts w:hint="eastAsia" w:ascii="宋体" w:hAnsi="宋体" w:eastAsia="宋体" w:cs="宋体"/>
          <w:color w:val="auto"/>
          <w:highlight w:val="none"/>
          <w:u w:val="none"/>
        </w:rPr>
        <w:t>遵守本投标文件中的承诺且在此期限</w:t>
      </w:r>
      <w:r>
        <w:rPr>
          <w:rFonts w:hint="eastAsia" w:ascii="宋体" w:hAnsi="宋体" w:cs="宋体"/>
          <w:color w:val="auto"/>
          <w:highlight w:val="none"/>
          <w:u w:val="none"/>
          <w:lang w:val="en-US" w:eastAsia="zh-CN"/>
        </w:rPr>
        <w:t>届</w:t>
      </w:r>
      <w:r>
        <w:rPr>
          <w:rFonts w:hint="eastAsia" w:ascii="宋体" w:hAnsi="宋体" w:eastAsia="宋体" w:cs="宋体"/>
          <w:color w:val="auto"/>
          <w:highlight w:val="none"/>
          <w:u w:val="none"/>
        </w:rPr>
        <w:t>满之前均具有约</w:t>
      </w:r>
      <w:r>
        <w:rPr>
          <w:rFonts w:hint="eastAsia" w:ascii="宋体" w:hAnsi="宋体" w:eastAsia="宋体" w:cs="宋体"/>
          <w:color w:val="auto"/>
          <w:highlight w:val="none"/>
          <w:u w:val="none"/>
        </w:rPr>
        <w:t>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我方保证遵守招标文件的全部规定</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并</w:t>
      </w:r>
      <w:r>
        <w:rPr>
          <w:rFonts w:hint="eastAsia" w:ascii="宋体" w:hAnsi="宋体" w:eastAsia="宋体" w:cs="宋体"/>
          <w:color w:val="auto"/>
          <w:highlight w:val="none"/>
          <w:u w:val="none"/>
        </w:rPr>
        <w:t>提供招标文件规定的全部投标文件。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本项目投标总价见</w:t>
      </w:r>
      <w:r>
        <w:rPr>
          <w:rFonts w:hint="eastAsia" w:ascii="宋体" w:hAnsi="宋体" w:eastAsia="宋体" w:cs="宋体"/>
          <w:color w:val="auto"/>
          <w:highlight w:val="none"/>
          <w:u w:val="none"/>
          <w:lang w:val="en-US" w:eastAsia="zh-CN"/>
        </w:rPr>
        <w:t>我方的报价文件</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如果我方中标，保证忠实地执行双方所签订的政府采购合同，并承担政府采购合同规定的责任和义务。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我方保证尊重评标委员会的评标结果，完全理解本项目不一定接受最低报价的投标。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6</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我方愿意向你中心提供任何与本项目投标有关的数据，并根据需要提供一切承诺的证明材料。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我方已详细审查全部招标文件，在投标之前已经与招标方进行了充分的沟通，完全理解并接受招标文件的各项规定和要求，对招标文件的合理性、合法性不再有异议。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rPr>
        <w:t>与本项目投标活动有关的一切正式往来信函请寄：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地址：</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联系电话</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服务条款偏离表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lang w:eastAsia="zh-CN"/>
        </w:rPr>
        <w:t>北仑行政大楼物业管理</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u w:val="single"/>
          <w:lang w:eastAsia="zh-CN"/>
        </w:rPr>
        <w:t>BLZFCG2024015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招标文件服务要求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1、服务条款内容主要是针对招标文件有关的服务要求等内容。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2、无偏离应在本表“投标文件响应情况”栏注明“无服务条款偏离”的字样。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7</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商务条款偏离表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北仑行政大楼物业管理</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BLZFCG2024015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690"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名称</w:t>
            </w:r>
          </w:p>
        </w:tc>
        <w:tc>
          <w:tcPr>
            <w:tcW w:w="3402"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招标文件商务要求</w:t>
            </w:r>
          </w:p>
        </w:tc>
        <w:tc>
          <w:tcPr>
            <w:tcW w:w="3188" w:type="dxa"/>
            <w:noWrap w:val="0"/>
            <w:vAlign w:val="center"/>
          </w:tcPr>
          <w:p>
            <w:pPr>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1</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服务期限</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付款方式</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3</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合同主要条款</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1690" w:type="dxa"/>
            <w:noWrap w:val="0"/>
            <w:vAlign w:val="center"/>
          </w:tcPr>
          <w:p>
            <w:pPr>
              <w:jc w:val="center"/>
              <w:rPr>
                <w:rFonts w:hint="eastAsia" w:ascii="宋体" w:hAnsi="宋体"/>
                <w:color w:val="auto"/>
                <w:sz w:val="18"/>
                <w:szCs w:val="18"/>
                <w:highlight w:val="none"/>
              </w:rPr>
            </w:pPr>
            <w:r>
              <w:rPr>
                <w:rFonts w:hint="eastAsia" w:ascii="宋体" w:hAnsi="宋体"/>
                <w:color w:val="auto"/>
                <w:sz w:val="18"/>
                <w:szCs w:val="18"/>
                <w:highlight w:val="none"/>
              </w:rPr>
              <w:t>…</w:t>
            </w: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auto"/>
                <w:sz w:val="18"/>
                <w:szCs w:val="18"/>
                <w:highlight w:val="none"/>
              </w:rPr>
            </w:pPr>
          </w:p>
        </w:tc>
        <w:tc>
          <w:tcPr>
            <w:tcW w:w="1690" w:type="dxa"/>
            <w:noWrap w:val="0"/>
            <w:vAlign w:val="center"/>
          </w:tcPr>
          <w:p>
            <w:pPr>
              <w:jc w:val="center"/>
              <w:rPr>
                <w:rFonts w:hint="eastAsia" w:ascii="宋体" w:hAnsi="宋体"/>
                <w:color w:val="auto"/>
                <w:sz w:val="18"/>
                <w:szCs w:val="18"/>
                <w:highlight w:val="none"/>
              </w:rPr>
            </w:pPr>
          </w:p>
        </w:tc>
        <w:tc>
          <w:tcPr>
            <w:tcW w:w="3402" w:type="dxa"/>
            <w:noWrap w:val="0"/>
            <w:vAlign w:val="center"/>
          </w:tcPr>
          <w:p>
            <w:pPr>
              <w:rPr>
                <w:rFonts w:hint="eastAsia" w:ascii="宋体" w:hAnsi="宋体"/>
                <w:color w:val="auto"/>
                <w:sz w:val="18"/>
                <w:szCs w:val="18"/>
                <w:highlight w:val="none"/>
              </w:rPr>
            </w:pPr>
          </w:p>
        </w:tc>
        <w:tc>
          <w:tcPr>
            <w:tcW w:w="3188" w:type="dxa"/>
            <w:noWrap w:val="0"/>
            <w:vAlign w:val="center"/>
          </w:tcPr>
          <w:p>
            <w:pPr>
              <w:rPr>
                <w:rFonts w:hint="eastAsia" w:ascii="宋体" w:hAnsi="宋体"/>
                <w:color w:val="auto"/>
                <w:sz w:val="18"/>
                <w:szCs w:val="18"/>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1、商务条款内容主要是针对招标文件有关的付款条件、服务期、合同主要条款等内容。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2、无偏离应在本表“投标文件响应情况”栏注明“无商务条款偏离”的字样。</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8</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拟派本项目的主要人员情况表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北仑行政大楼物业管理</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BLZFCG2024015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2268"/>
        <w:gridCol w:w="1134"/>
        <w:gridCol w:w="1426"/>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80" w:type="dxa"/>
            <w:gridSpan w:val="6"/>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项目经理（项目负责人）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85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226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113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42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6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1134" w:type="dxa"/>
            <w:noWrap w:val="0"/>
            <w:vAlign w:val="center"/>
          </w:tcPr>
          <w:p>
            <w:pPr>
              <w:jc w:val="center"/>
              <w:rPr>
                <w:rFonts w:hint="eastAsia" w:ascii="宋体" w:hAnsi="宋体" w:eastAsia="宋体" w:cs="宋体"/>
                <w:color w:val="auto"/>
                <w:sz w:val="21"/>
                <w:szCs w:val="21"/>
                <w:highlight w:val="none"/>
              </w:rPr>
            </w:pPr>
          </w:p>
        </w:tc>
        <w:tc>
          <w:tcPr>
            <w:tcW w:w="1426" w:type="dxa"/>
            <w:noWrap w:val="0"/>
            <w:vAlign w:val="center"/>
          </w:tcPr>
          <w:p>
            <w:pPr>
              <w:jc w:val="center"/>
              <w:rPr>
                <w:rFonts w:hint="eastAsia" w:ascii="宋体" w:hAnsi="宋体" w:eastAsia="宋体" w:cs="宋体"/>
                <w:color w:val="auto"/>
                <w:sz w:val="21"/>
                <w:szCs w:val="21"/>
                <w:highlight w:val="none"/>
              </w:rPr>
            </w:pPr>
          </w:p>
        </w:tc>
        <w:tc>
          <w:tcPr>
            <w:tcW w:w="1692"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80" w:type="dxa"/>
            <w:gridSpan w:val="6"/>
            <w:noWrap w:val="0"/>
            <w:tcMar>
              <w:top w:w="57" w:type="dxa"/>
              <w:bottom w:w="57" w:type="dxa"/>
            </w:tcMar>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工作简历及主要业绩（或另附简历）：</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80" w:type="dxa"/>
            <w:gridSpan w:val="6"/>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秩序维护主管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85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226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113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42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6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1134" w:type="dxa"/>
            <w:noWrap w:val="0"/>
            <w:vAlign w:val="center"/>
          </w:tcPr>
          <w:p>
            <w:pPr>
              <w:jc w:val="center"/>
              <w:rPr>
                <w:rFonts w:hint="eastAsia" w:ascii="宋体" w:hAnsi="宋体" w:eastAsia="宋体" w:cs="宋体"/>
                <w:color w:val="auto"/>
                <w:sz w:val="21"/>
                <w:szCs w:val="21"/>
                <w:highlight w:val="none"/>
              </w:rPr>
            </w:pPr>
          </w:p>
        </w:tc>
        <w:tc>
          <w:tcPr>
            <w:tcW w:w="1426" w:type="dxa"/>
            <w:noWrap w:val="0"/>
            <w:vAlign w:val="center"/>
          </w:tcPr>
          <w:p>
            <w:pPr>
              <w:jc w:val="center"/>
              <w:rPr>
                <w:rFonts w:hint="eastAsia" w:ascii="宋体" w:hAnsi="宋体" w:eastAsia="宋体" w:cs="宋体"/>
                <w:color w:val="auto"/>
                <w:sz w:val="21"/>
                <w:szCs w:val="21"/>
                <w:highlight w:val="none"/>
              </w:rPr>
            </w:pPr>
          </w:p>
        </w:tc>
        <w:tc>
          <w:tcPr>
            <w:tcW w:w="1692"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80" w:type="dxa"/>
            <w:gridSpan w:val="6"/>
            <w:noWrap w:val="0"/>
            <w:tcMar>
              <w:top w:w="57" w:type="dxa"/>
              <w:bottom w:w="57" w:type="dxa"/>
            </w:tcMar>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工作简历及主要业绩（或另附简历）：</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80" w:type="dxa"/>
            <w:gridSpan w:val="6"/>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设备主管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85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226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113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42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6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1134" w:type="dxa"/>
            <w:noWrap w:val="0"/>
            <w:vAlign w:val="center"/>
          </w:tcPr>
          <w:p>
            <w:pPr>
              <w:jc w:val="center"/>
              <w:rPr>
                <w:rFonts w:hint="eastAsia" w:ascii="宋体" w:hAnsi="宋体" w:eastAsia="宋体" w:cs="宋体"/>
                <w:color w:val="auto"/>
                <w:sz w:val="21"/>
                <w:szCs w:val="21"/>
                <w:highlight w:val="none"/>
              </w:rPr>
            </w:pPr>
          </w:p>
        </w:tc>
        <w:tc>
          <w:tcPr>
            <w:tcW w:w="1426" w:type="dxa"/>
            <w:noWrap w:val="0"/>
            <w:vAlign w:val="center"/>
          </w:tcPr>
          <w:p>
            <w:pPr>
              <w:jc w:val="center"/>
              <w:rPr>
                <w:rFonts w:hint="eastAsia" w:ascii="宋体" w:hAnsi="宋体" w:eastAsia="宋体" w:cs="宋体"/>
                <w:color w:val="auto"/>
                <w:sz w:val="21"/>
                <w:szCs w:val="21"/>
                <w:highlight w:val="none"/>
              </w:rPr>
            </w:pPr>
          </w:p>
        </w:tc>
        <w:tc>
          <w:tcPr>
            <w:tcW w:w="1692"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80" w:type="dxa"/>
            <w:gridSpan w:val="6"/>
            <w:noWrap w:val="0"/>
            <w:tcMar>
              <w:top w:w="57" w:type="dxa"/>
              <w:bottom w:w="57" w:type="dxa"/>
            </w:tcMar>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工作简历及主要业绩（或另附简历）：</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80" w:type="dxa"/>
            <w:gridSpan w:val="6"/>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保洁主管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85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226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113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42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6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1134" w:type="dxa"/>
            <w:noWrap w:val="0"/>
            <w:vAlign w:val="center"/>
          </w:tcPr>
          <w:p>
            <w:pPr>
              <w:jc w:val="center"/>
              <w:rPr>
                <w:rFonts w:hint="eastAsia" w:ascii="宋体" w:hAnsi="宋体" w:eastAsia="宋体" w:cs="宋体"/>
                <w:color w:val="auto"/>
                <w:sz w:val="21"/>
                <w:szCs w:val="21"/>
                <w:highlight w:val="none"/>
              </w:rPr>
            </w:pPr>
          </w:p>
        </w:tc>
        <w:tc>
          <w:tcPr>
            <w:tcW w:w="1426" w:type="dxa"/>
            <w:noWrap w:val="0"/>
            <w:vAlign w:val="center"/>
          </w:tcPr>
          <w:p>
            <w:pPr>
              <w:jc w:val="center"/>
              <w:rPr>
                <w:rFonts w:hint="eastAsia" w:ascii="宋体" w:hAnsi="宋体" w:eastAsia="宋体" w:cs="宋体"/>
                <w:color w:val="auto"/>
                <w:sz w:val="21"/>
                <w:szCs w:val="21"/>
                <w:highlight w:val="none"/>
              </w:rPr>
            </w:pPr>
          </w:p>
        </w:tc>
        <w:tc>
          <w:tcPr>
            <w:tcW w:w="1692"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80" w:type="dxa"/>
            <w:gridSpan w:val="6"/>
            <w:noWrap w:val="0"/>
            <w:tcMar>
              <w:top w:w="57" w:type="dxa"/>
              <w:bottom w:w="57" w:type="dxa"/>
            </w:tcMar>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工作简历及主要业绩（或另附简历）：</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80" w:type="dxa"/>
            <w:gridSpan w:val="6"/>
            <w:noWrap w:val="0"/>
            <w:vAlign w:val="center"/>
          </w:tcPr>
          <w:p>
            <w:pPr>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会务服务</w:t>
            </w:r>
            <w:r>
              <w:rPr>
                <w:rFonts w:hint="eastAsia" w:ascii="宋体" w:hAnsi="宋体" w:eastAsia="宋体" w:cs="宋体"/>
                <w:b/>
                <w:color w:val="auto"/>
                <w:sz w:val="21"/>
                <w:szCs w:val="21"/>
                <w:highlight w:val="none"/>
              </w:rPr>
              <w:t>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85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226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113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42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6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1134" w:type="dxa"/>
            <w:noWrap w:val="0"/>
            <w:vAlign w:val="center"/>
          </w:tcPr>
          <w:p>
            <w:pPr>
              <w:jc w:val="center"/>
              <w:rPr>
                <w:rFonts w:hint="eastAsia" w:ascii="宋体" w:hAnsi="宋体" w:eastAsia="宋体" w:cs="宋体"/>
                <w:color w:val="auto"/>
                <w:sz w:val="21"/>
                <w:szCs w:val="21"/>
                <w:highlight w:val="none"/>
              </w:rPr>
            </w:pPr>
          </w:p>
        </w:tc>
        <w:tc>
          <w:tcPr>
            <w:tcW w:w="1426" w:type="dxa"/>
            <w:noWrap w:val="0"/>
            <w:vAlign w:val="center"/>
          </w:tcPr>
          <w:p>
            <w:pPr>
              <w:jc w:val="center"/>
              <w:rPr>
                <w:rFonts w:hint="eastAsia" w:ascii="宋体" w:hAnsi="宋体" w:eastAsia="宋体" w:cs="宋体"/>
                <w:color w:val="auto"/>
                <w:sz w:val="21"/>
                <w:szCs w:val="21"/>
                <w:highlight w:val="none"/>
              </w:rPr>
            </w:pPr>
          </w:p>
        </w:tc>
        <w:tc>
          <w:tcPr>
            <w:tcW w:w="1692"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80" w:type="dxa"/>
            <w:gridSpan w:val="6"/>
            <w:noWrap w:val="0"/>
            <w:tcMar>
              <w:top w:w="57" w:type="dxa"/>
              <w:bottom w:w="57" w:type="dxa"/>
            </w:tcMar>
            <w:vAlign w:val="top"/>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工作简历及主要业绩（或另附简历）：</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80" w:type="dxa"/>
            <w:gridSpan w:val="6"/>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其它管理人员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85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226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1134"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w:t>
            </w:r>
          </w:p>
        </w:tc>
        <w:tc>
          <w:tcPr>
            <w:tcW w:w="142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6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1134" w:type="dxa"/>
            <w:noWrap w:val="0"/>
            <w:vAlign w:val="center"/>
          </w:tcPr>
          <w:p>
            <w:pPr>
              <w:jc w:val="center"/>
              <w:rPr>
                <w:rFonts w:hint="eastAsia" w:ascii="宋体" w:hAnsi="宋体" w:eastAsia="宋体" w:cs="宋体"/>
                <w:color w:val="auto"/>
                <w:sz w:val="21"/>
                <w:szCs w:val="21"/>
                <w:highlight w:val="none"/>
              </w:rPr>
            </w:pPr>
          </w:p>
        </w:tc>
        <w:tc>
          <w:tcPr>
            <w:tcW w:w="1426" w:type="dxa"/>
            <w:noWrap w:val="0"/>
            <w:vAlign w:val="center"/>
          </w:tcPr>
          <w:p>
            <w:pPr>
              <w:jc w:val="center"/>
              <w:rPr>
                <w:rFonts w:hint="eastAsia" w:ascii="宋体" w:hAnsi="宋体" w:eastAsia="宋体" w:cs="宋体"/>
                <w:color w:val="auto"/>
                <w:sz w:val="21"/>
                <w:szCs w:val="21"/>
                <w:highlight w:val="none"/>
              </w:rPr>
            </w:pPr>
          </w:p>
        </w:tc>
        <w:tc>
          <w:tcPr>
            <w:tcW w:w="1692"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1134" w:type="dxa"/>
            <w:noWrap w:val="0"/>
            <w:vAlign w:val="center"/>
          </w:tcPr>
          <w:p>
            <w:pPr>
              <w:jc w:val="center"/>
              <w:rPr>
                <w:rFonts w:hint="eastAsia" w:ascii="宋体" w:hAnsi="宋体" w:eastAsia="宋体" w:cs="宋体"/>
                <w:color w:val="auto"/>
                <w:sz w:val="21"/>
                <w:szCs w:val="21"/>
                <w:highlight w:val="none"/>
              </w:rPr>
            </w:pPr>
          </w:p>
        </w:tc>
        <w:tc>
          <w:tcPr>
            <w:tcW w:w="1426" w:type="dxa"/>
            <w:noWrap w:val="0"/>
            <w:vAlign w:val="center"/>
          </w:tcPr>
          <w:p>
            <w:pPr>
              <w:jc w:val="center"/>
              <w:rPr>
                <w:rFonts w:hint="eastAsia" w:ascii="宋体" w:hAnsi="宋体" w:eastAsia="宋体" w:cs="宋体"/>
                <w:color w:val="auto"/>
                <w:sz w:val="21"/>
                <w:szCs w:val="21"/>
                <w:highlight w:val="none"/>
              </w:rPr>
            </w:pPr>
          </w:p>
        </w:tc>
        <w:tc>
          <w:tcPr>
            <w:tcW w:w="1692"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1134" w:type="dxa"/>
            <w:noWrap w:val="0"/>
            <w:vAlign w:val="center"/>
          </w:tcPr>
          <w:p>
            <w:pPr>
              <w:jc w:val="center"/>
              <w:rPr>
                <w:rFonts w:hint="eastAsia" w:ascii="宋体" w:hAnsi="宋体" w:eastAsia="宋体" w:cs="宋体"/>
                <w:color w:val="auto"/>
                <w:sz w:val="21"/>
                <w:szCs w:val="21"/>
                <w:highlight w:val="none"/>
              </w:rPr>
            </w:pPr>
          </w:p>
        </w:tc>
        <w:tc>
          <w:tcPr>
            <w:tcW w:w="1426" w:type="dxa"/>
            <w:noWrap w:val="0"/>
            <w:vAlign w:val="center"/>
          </w:tcPr>
          <w:p>
            <w:pPr>
              <w:jc w:val="center"/>
              <w:rPr>
                <w:rFonts w:hint="eastAsia" w:ascii="宋体" w:hAnsi="宋体" w:eastAsia="宋体" w:cs="宋体"/>
                <w:color w:val="auto"/>
                <w:sz w:val="21"/>
                <w:szCs w:val="21"/>
                <w:highlight w:val="none"/>
              </w:rPr>
            </w:pPr>
          </w:p>
        </w:tc>
        <w:tc>
          <w:tcPr>
            <w:tcW w:w="1692"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auto"/>
                <w:sz w:val="21"/>
                <w:szCs w:val="21"/>
                <w:highlight w:val="none"/>
              </w:rPr>
            </w:pPr>
          </w:p>
        </w:tc>
        <w:tc>
          <w:tcPr>
            <w:tcW w:w="851" w:type="dxa"/>
            <w:noWrap w:val="0"/>
            <w:vAlign w:val="center"/>
          </w:tcPr>
          <w:p>
            <w:pPr>
              <w:jc w:val="center"/>
              <w:rPr>
                <w:rFonts w:hint="eastAsia" w:ascii="宋体" w:hAnsi="宋体" w:eastAsia="宋体" w:cs="宋体"/>
                <w:color w:val="auto"/>
                <w:sz w:val="21"/>
                <w:szCs w:val="21"/>
                <w:highlight w:val="none"/>
              </w:rPr>
            </w:pPr>
          </w:p>
        </w:tc>
        <w:tc>
          <w:tcPr>
            <w:tcW w:w="2268" w:type="dxa"/>
            <w:noWrap w:val="0"/>
            <w:vAlign w:val="center"/>
          </w:tcPr>
          <w:p>
            <w:pPr>
              <w:jc w:val="center"/>
              <w:rPr>
                <w:rFonts w:hint="eastAsia" w:ascii="宋体" w:hAnsi="宋体" w:eastAsia="宋体" w:cs="宋体"/>
                <w:color w:val="auto"/>
                <w:sz w:val="21"/>
                <w:szCs w:val="21"/>
                <w:highlight w:val="none"/>
              </w:rPr>
            </w:pPr>
          </w:p>
        </w:tc>
        <w:tc>
          <w:tcPr>
            <w:tcW w:w="1134" w:type="dxa"/>
            <w:noWrap w:val="0"/>
            <w:vAlign w:val="center"/>
          </w:tcPr>
          <w:p>
            <w:pPr>
              <w:jc w:val="center"/>
              <w:rPr>
                <w:rFonts w:hint="eastAsia" w:ascii="宋体" w:hAnsi="宋体" w:eastAsia="宋体" w:cs="宋体"/>
                <w:color w:val="auto"/>
                <w:sz w:val="21"/>
                <w:szCs w:val="21"/>
                <w:highlight w:val="none"/>
              </w:rPr>
            </w:pPr>
          </w:p>
        </w:tc>
        <w:tc>
          <w:tcPr>
            <w:tcW w:w="1426" w:type="dxa"/>
            <w:noWrap w:val="0"/>
            <w:vAlign w:val="center"/>
          </w:tcPr>
          <w:p>
            <w:pPr>
              <w:jc w:val="center"/>
              <w:rPr>
                <w:rFonts w:hint="eastAsia" w:ascii="宋体" w:hAnsi="宋体" w:eastAsia="宋体" w:cs="宋体"/>
                <w:color w:val="auto"/>
                <w:sz w:val="21"/>
                <w:szCs w:val="21"/>
                <w:highlight w:val="none"/>
              </w:rPr>
            </w:pPr>
          </w:p>
        </w:tc>
        <w:tc>
          <w:tcPr>
            <w:tcW w:w="1692" w:type="dxa"/>
            <w:noWrap w:val="0"/>
            <w:vAlign w:val="center"/>
          </w:tcPr>
          <w:p>
            <w:pPr>
              <w:jc w:val="center"/>
              <w:rPr>
                <w:rFonts w:hint="eastAsia" w:ascii="宋体" w:hAnsi="宋体" w:eastAsia="宋体" w:cs="宋体"/>
                <w:color w:val="auto"/>
                <w:sz w:val="21"/>
                <w:szCs w:val="21"/>
                <w:highlight w:val="none"/>
              </w:rPr>
            </w:pPr>
          </w:p>
        </w:tc>
      </w:tr>
    </w:tbl>
    <w:p>
      <w:pPr>
        <w:pStyle w:val="2"/>
        <w:spacing w:line="360" w:lineRule="auto"/>
        <w:ind w:firstLine="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说明：</w:t>
      </w:r>
    </w:p>
    <w:p>
      <w:pPr>
        <w:pStyle w:val="2"/>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1、拟派的</w:t>
      </w:r>
      <w:r>
        <w:rPr>
          <w:rFonts w:hint="eastAsia" w:ascii="宋体" w:hAnsi="宋体" w:eastAsia="宋体" w:cs="宋体"/>
          <w:color w:val="auto"/>
          <w:highlight w:val="none"/>
          <w:lang w:val="en-US" w:eastAsia="zh-CN"/>
        </w:rPr>
        <w:t>主要</w:t>
      </w:r>
      <w:r>
        <w:rPr>
          <w:rFonts w:hint="eastAsia" w:ascii="宋体" w:hAnsi="宋体" w:eastAsia="宋体" w:cs="宋体"/>
          <w:color w:val="auto"/>
          <w:highlight w:val="none"/>
          <w:lang w:eastAsia="zh-CN"/>
        </w:rPr>
        <w:t>人员须是投标单位正式职工，以社保证明为准。</w:t>
      </w:r>
    </w:p>
    <w:p>
      <w:pPr>
        <w:pStyle w:val="2"/>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szCs w:val="21"/>
          <w:highlight w:val="none"/>
          <w:lang w:val="en-US" w:eastAsia="zh-CN"/>
        </w:rPr>
        <w:t>2、工作经验（业绩）以业主单位出具的证明为准。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对照评分标准表，表后</w:t>
      </w:r>
      <w:r>
        <w:rPr>
          <w:rFonts w:hint="eastAsia" w:ascii="宋体" w:hAnsi="宋体" w:eastAsia="宋体" w:cs="宋体"/>
          <w:color w:val="auto"/>
          <w:highlight w:val="none"/>
          <w:lang w:val="en-US" w:eastAsia="zh-CN"/>
        </w:rPr>
        <w:t>附拟派</w:t>
      </w:r>
      <w:r>
        <w:rPr>
          <w:rFonts w:hint="eastAsia" w:ascii="宋体" w:hAnsi="宋体" w:eastAsia="宋体" w:cs="宋体"/>
          <w:color w:val="auto"/>
          <w:highlight w:val="none"/>
          <w:lang w:eastAsia="zh-CN"/>
        </w:rPr>
        <w:t>人员的</w:t>
      </w:r>
      <w:r>
        <w:rPr>
          <w:rFonts w:hint="eastAsia" w:ascii="宋体" w:hAnsi="宋体" w:eastAsia="宋体" w:cs="宋体"/>
          <w:color w:val="auto"/>
          <w:highlight w:val="none"/>
          <w:lang w:val="en-US" w:eastAsia="zh-CN"/>
        </w:rPr>
        <w:t>社保</w:t>
      </w:r>
      <w:r>
        <w:rPr>
          <w:rFonts w:hint="eastAsia" w:ascii="宋体" w:hAnsi="宋体" w:eastAsia="宋体" w:cs="宋体"/>
          <w:color w:val="auto"/>
          <w:highlight w:val="none"/>
          <w:lang w:eastAsia="zh-CN"/>
        </w:rPr>
        <w:t>证明、</w:t>
      </w:r>
      <w:r>
        <w:rPr>
          <w:rFonts w:hint="eastAsia" w:ascii="宋体" w:hAnsi="宋体" w:eastAsia="宋体" w:cs="宋体"/>
          <w:color w:val="auto"/>
          <w:highlight w:val="none"/>
          <w:lang w:val="en-US" w:eastAsia="zh-CN"/>
        </w:rPr>
        <w:t>业绩证明、相关</w:t>
      </w:r>
      <w:r>
        <w:rPr>
          <w:rFonts w:hint="eastAsia" w:ascii="宋体" w:hAnsi="宋体" w:eastAsia="宋体" w:cs="宋体"/>
          <w:color w:val="auto"/>
          <w:highlight w:val="none"/>
          <w:lang w:eastAsia="zh-CN"/>
        </w:rPr>
        <w:t>证书</w:t>
      </w:r>
      <w:r>
        <w:rPr>
          <w:rFonts w:hint="eastAsia" w:ascii="宋体" w:hAnsi="宋体" w:eastAsia="宋体" w:cs="宋体"/>
          <w:color w:val="auto"/>
          <w:highlight w:val="none"/>
          <w:lang w:val="en-US" w:eastAsia="zh-CN"/>
        </w:rPr>
        <w:t>的原件彩色扫描件</w:t>
      </w:r>
      <w:r>
        <w:rPr>
          <w:rFonts w:hint="eastAsia" w:ascii="宋体" w:hAnsi="宋体" w:eastAsia="宋体" w:cs="宋体"/>
          <w:color w:val="auto"/>
          <w:highlight w:val="none"/>
          <w:lang w:eastAsia="zh-CN"/>
        </w:rPr>
        <w:t>，未提供的，相关项目不得分。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、以上内容必须是真实的，否则一经查实，按相关规定处理。</w:t>
      </w:r>
    </w:p>
    <w:p>
      <w:pPr>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、列入本表人员如要更换，需经采购人同意，擅自更换或不到位的属违约行为。</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、投标人为谋取评审优势而提供无法为本项目服务的人员，将影响任务的分配，情况严重的将被解除合同，并按照相关规定处理，投标人必须慎重考虑并提供相关服务人员。</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9</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投标人取得的证书及荣誉情况表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北仑行政大楼物业管理</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BLZFCG2024015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2410"/>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8" w:type="dxa"/>
            <w:noWrap w:val="0"/>
            <w:vAlign w:val="center"/>
          </w:tcPr>
          <w:p>
            <w:pPr>
              <w:jc w:val="center"/>
              <w:rPr>
                <w:rFonts w:hint="eastAsia"/>
                <w:b/>
                <w:color w:val="auto"/>
                <w:sz w:val="21"/>
                <w:szCs w:val="21"/>
                <w:highlight w:val="none"/>
              </w:rPr>
            </w:pPr>
            <w:r>
              <w:rPr>
                <w:rFonts w:hint="eastAsia"/>
                <w:b/>
                <w:color w:val="auto"/>
                <w:sz w:val="21"/>
                <w:szCs w:val="21"/>
                <w:highlight w:val="none"/>
              </w:rPr>
              <w:t>序号</w:t>
            </w:r>
          </w:p>
        </w:tc>
        <w:tc>
          <w:tcPr>
            <w:tcW w:w="2824" w:type="dxa"/>
            <w:noWrap w:val="0"/>
            <w:vAlign w:val="center"/>
          </w:tcPr>
          <w:p>
            <w:pPr>
              <w:jc w:val="center"/>
              <w:rPr>
                <w:rFonts w:hint="eastAsia"/>
                <w:b/>
                <w:color w:val="auto"/>
                <w:sz w:val="21"/>
                <w:szCs w:val="21"/>
                <w:highlight w:val="none"/>
              </w:rPr>
            </w:pPr>
            <w:r>
              <w:rPr>
                <w:rFonts w:hint="eastAsia"/>
                <w:b/>
                <w:color w:val="auto"/>
                <w:sz w:val="21"/>
                <w:szCs w:val="21"/>
                <w:highlight w:val="none"/>
              </w:rPr>
              <w:t>名  称</w:t>
            </w:r>
          </w:p>
        </w:tc>
        <w:tc>
          <w:tcPr>
            <w:tcW w:w="2410" w:type="dxa"/>
            <w:noWrap w:val="0"/>
            <w:vAlign w:val="center"/>
          </w:tcPr>
          <w:p>
            <w:pPr>
              <w:jc w:val="center"/>
              <w:rPr>
                <w:rFonts w:hint="eastAsia"/>
                <w:b/>
                <w:color w:val="auto"/>
                <w:sz w:val="21"/>
                <w:szCs w:val="21"/>
                <w:highlight w:val="none"/>
              </w:rPr>
            </w:pPr>
            <w:r>
              <w:rPr>
                <w:rFonts w:hint="eastAsia"/>
                <w:b/>
                <w:color w:val="auto"/>
                <w:sz w:val="21"/>
                <w:szCs w:val="21"/>
                <w:highlight w:val="none"/>
              </w:rPr>
              <w:t>发证单位</w:t>
            </w:r>
          </w:p>
        </w:tc>
        <w:tc>
          <w:tcPr>
            <w:tcW w:w="1701" w:type="dxa"/>
            <w:noWrap w:val="0"/>
            <w:vAlign w:val="center"/>
          </w:tcPr>
          <w:p>
            <w:pPr>
              <w:jc w:val="center"/>
              <w:rPr>
                <w:rFonts w:hint="eastAsia"/>
                <w:b/>
                <w:color w:val="auto"/>
                <w:sz w:val="21"/>
                <w:szCs w:val="21"/>
                <w:highlight w:val="none"/>
              </w:rPr>
            </w:pPr>
            <w:r>
              <w:rPr>
                <w:rFonts w:hint="eastAsia"/>
                <w:b/>
                <w:color w:val="auto"/>
                <w:sz w:val="21"/>
                <w:szCs w:val="21"/>
                <w:highlight w:val="none"/>
              </w:rPr>
              <w:t>发证时间</w:t>
            </w:r>
          </w:p>
        </w:tc>
        <w:tc>
          <w:tcPr>
            <w:tcW w:w="1417" w:type="dxa"/>
            <w:noWrap w:val="0"/>
            <w:vAlign w:val="center"/>
          </w:tcPr>
          <w:p>
            <w:pPr>
              <w:jc w:val="center"/>
              <w:rPr>
                <w:rFonts w:hint="eastAsia"/>
                <w:b/>
                <w:color w:val="auto"/>
                <w:sz w:val="21"/>
                <w:szCs w:val="21"/>
                <w:highlight w:val="none"/>
              </w:rPr>
            </w:pPr>
            <w:r>
              <w:rPr>
                <w:rFonts w:hint="eastAsia"/>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ascii="宋体" w:hAnsi="宋体" w:eastAsia="宋体" w:cs="宋体"/>
                <w:color w:val="auto"/>
                <w:sz w:val="21"/>
                <w:szCs w:val="21"/>
                <w:highlight w:val="none"/>
              </w:rPr>
            </w:pPr>
          </w:p>
        </w:tc>
        <w:tc>
          <w:tcPr>
            <w:tcW w:w="2824" w:type="dxa"/>
            <w:noWrap w:val="0"/>
            <w:vAlign w:val="center"/>
          </w:tcPr>
          <w:p>
            <w:pPr>
              <w:jc w:val="center"/>
              <w:rPr>
                <w:rFonts w:hint="eastAsia" w:ascii="宋体" w:hAnsi="宋体" w:eastAsia="宋体" w:cs="宋体"/>
                <w:color w:val="auto"/>
                <w:sz w:val="21"/>
                <w:szCs w:val="21"/>
                <w:highlight w:val="none"/>
              </w:rPr>
            </w:pPr>
          </w:p>
        </w:tc>
        <w:tc>
          <w:tcPr>
            <w:tcW w:w="2410"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1417"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ascii="宋体" w:hAnsi="宋体" w:eastAsia="宋体" w:cs="宋体"/>
                <w:color w:val="auto"/>
                <w:sz w:val="21"/>
                <w:szCs w:val="21"/>
                <w:highlight w:val="none"/>
              </w:rPr>
            </w:pPr>
          </w:p>
        </w:tc>
        <w:tc>
          <w:tcPr>
            <w:tcW w:w="2824" w:type="dxa"/>
            <w:noWrap w:val="0"/>
            <w:vAlign w:val="center"/>
          </w:tcPr>
          <w:p>
            <w:pPr>
              <w:jc w:val="center"/>
              <w:rPr>
                <w:rFonts w:hint="eastAsia" w:ascii="宋体" w:hAnsi="宋体" w:eastAsia="宋体" w:cs="宋体"/>
                <w:color w:val="auto"/>
                <w:sz w:val="21"/>
                <w:szCs w:val="21"/>
                <w:highlight w:val="none"/>
              </w:rPr>
            </w:pPr>
          </w:p>
        </w:tc>
        <w:tc>
          <w:tcPr>
            <w:tcW w:w="2410"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1417"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ascii="宋体" w:hAnsi="宋体" w:eastAsia="宋体" w:cs="宋体"/>
                <w:color w:val="auto"/>
                <w:sz w:val="21"/>
                <w:szCs w:val="21"/>
                <w:highlight w:val="none"/>
              </w:rPr>
            </w:pPr>
          </w:p>
        </w:tc>
        <w:tc>
          <w:tcPr>
            <w:tcW w:w="2824" w:type="dxa"/>
            <w:noWrap w:val="0"/>
            <w:vAlign w:val="center"/>
          </w:tcPr>
          <w:p>
            <w:pPr>
              <w:jc w:val="center"/>
              <w:rPr>
                <w:rFonts w:hint="eastAsia" w:ascii="宋体" w:hAnsi="宋体" w:eastAsia="宋体" w:cs="宋体"/>
                <w:color w:val="auto"/>
                <w:sz w:val="21"/>
                <w:szCs w:val="21"/>
                <w:highlight w:val="none"/>
              </w:rPr>
            </w:pPr>
          </w:p>
        </w:tc>
        <w:tc>
          <w:tcPr>
            <w:tcW w:w="2410"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1417"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ascii="宋体" w:hAnsi="宋体" w:eastAsia="宋体" w:cs="宋体"/>
                <w:color w:val="auto"/>
                <w:sz w:val="21"/>
                <w:szCs w:val="21"/>
                <w:highlight w:val="none"/>
              </w:rPr>
            </w:pPr>
          </w:p>
        </w:tc>
        <w:tc>
          <w:tcPr>
            <w:tcW w:w="2824" w:type="dxa"/>
            <w:noWrap w:val="0"/>
            <w:vAlign w:val="center"/>
          </w:tcPr>
          <w:p>
            <w:pPr>
              <w:jc w:val="center"/>
              <w:rPr>
                <w:rFonts w:hint="eastAsia" w:ascii="宋体" w:hAnsi="宋体" w:eastAsia="宋体" w:cs="宋体"/>
                <w:color w:val="auto"/>
                <w:sz w:val="21"/>
                <w:szCs w:val="21"/>
                <w:highlight w:val="none"/>
              </w:rPr>
            </w:pPr>
          </w:p>
        </w:tc>
        <w:tc>
          <w:tcPr>
            <w:tcW w:w="2410"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1417"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ascii="宋体" w:hAnsi="宋体" w:eastAsia="宋体" w:cs="宋体"/>
                <w:color w:val="auto"/>
                <w:sz w:val="21"/>
                <w:szCs w:val="21"/>
                <w:highlight w:val="none"/>
              </w:rPr>
            </w:pPr>
          </w:p>
        </w:tc>
        <w:tc>
          <w:tcPr>
            <w:tcW w:w="2824" w:type="dxa"/>
            <w:noWrap w:val="0"/>
            <w:vAlign w:val="center"/>
          </w:tcPr>
          <w:p>
            <w:pPr>
              <w:jc w:val="center"/>
              <w:rPr>
                <w:rFonts w:hint="eastAsia" w:ascii="宋体" w:hAnsi="宋体" w:eastAsia="宋体" w:cs="宋体"/>
                <w:color w:val="auto"/>
                <w:sz w:val="21"/>
                <w:szCs w:val="21"/>
                <w:highlight w:val="none"/>
              </w:rPr>
            </w:pPr>
          </w:p>
        </w:tc>
        <w:tc>
          <w:tcPr>
            <w:tcW w:w="2410"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p>
        </w:tc>
        <w:tc>
          <w:tcPr>
            <w:tcW w:w="1417" w:type="dxa"/>
            <w:noWrap w:val="0"/>
            <w:vAlign w:val="center"/>
          </w:tcPr>
          <w:p>
            <w:pPr>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1、对照评分标准表，表后附相关证书及荣誉的原件彩色扫描件，未提供的，相关项目不得分。</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、以上内容必须是真实的，否则一经查实，按相关规定处理。</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10</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类似项目业绩表</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北仑行政大楼物业管理</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BLZFCG2024015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5"/>
        <w:gridCol w:w="2106"/>
        <w:gridCol w:w="1080"/>
        <w:gridCol w:w="1035"/>
        <w:gridCol w:w="114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0" w:type="dxa"/>
            <w:noWrap w:val="0"/>
            <w:vAlign w:val="center"/>
          </w:tcPr>
          <w:p>
            <w:pPr>
              <w:snapToGrid w:val="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625" w:type="dxa"/>
            <w:noWrap w:val="0"/>
            <w:vAlign w:val="center"/>
          </w:tcPr>
          <w:p>
            <w:pPr>
              <w:snapToGrid w:val="0"/>
              <w:jc w:val="center"/>
              <w:rPr>
                <w:rFonts w:hint="eastAsia" w:ascii="宋体" w:hAnsi="宋体" w:eastAsia="宋体" w:cs="宋体"/>
                <w:b/>
                <w:color w:val="auto"/>
                <w:highlight w:val="none"/>
              </w:rPr>
            </w:pPr>
            <w:r>
              <w:rPr>
                <w:rFonts w:hint="eastAsia" w:ascii="宋体" w:hAnsi="宋体" w:eastAsia="宋体" w:cs="宋体"/>
                <w:b/>
                <w:color w:val="auto"/>
                <w:highlight w:val="none"/>
              </w:rPr>
              <w:t>物业名称</w:t>
            </w:r>
          </w:p>
        </w:tc>
        <w:tc>
          <w:tcPr>
            <w:tcW w:w="2106" w:type="dxa"/>
            <w:noWrap w:val="0"/>
            <w:vAlign w:val="center"/>
          </w:tcPr>
          <w:p>
            <w:pPr>
              <w:snapToGrid w:val="0"/>
              <w:jc w:val="center"/>
              <w:rPr>
                <w:rFonts w:hint="eastAsia" w:ascii="宋体" w:hAnsi="宋体" w:eastAsia="宋体" w:cs="宋体"/>
                <w:b/>
                <w:color w:val="auto"/>
                <w:highlight w:val="none"/>
              </w:rPr>
            </w:pPr>
            <w:r>
              <w:rPr>
                <w:rFonts w:hint="eastAsia" w:ascii="宋体" w:hAnsi="宋体" w:eastAsia="宋体" w:cs="宋体"/>
                <w:b/>
                <w:color w:val="auto"/>
                <w:highlight w:val="none"/>
              </w:rPr>
              <w:t>业主名称</w:t>
            </w:r>
          </w:p>
        </w:tc>
        <w:tc>
          <w:tcPr>
            <w:tcW w:w="1080" w:type="dxa"/>
            <w:noWrap w:val="0"/>
            <w:vAlign w:val="center"/>
          </w:tcPr>
          <w:p>
            <w:pPr>
              <w:snapToGrid w:val="0"/>
              <w:jc w:val="center"/>
              <w:rPr>
                <w:rFonts w:hint="eastAsia" w:ascii="宋体" w:hAnsi="宋体" w:eastAsia="宋体" w:cs="宋体"/>
                <w:b/>
                <w:color w:val="auto"/>
                <w:highlight w:val="none"/>
              </w:rPr>
            </w:pPr>
            <w:r>
              <w:rPr>
                <w:rFonts w:hint="eastAsia" w:ascii="宋体" w:hAnsi="宋体" w:eastAsia="宋体" w:cs="宋体"/>
                <w:b/>
                <w:color w:val="auto"/>
                <w:highlight w:val="none"/>
              </w:rPr>
              <w:t>面积</w:t>
            </w:r>
          </w:p>
          <w:p>
            <w:pPr>
              <w:snapToGrid w:val="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（平方米）</w:t>
            </w:r>
          </w:p>
        </w:tc>
        <w:tc>
          <w:tcPr>
            <w:tcW w:w="1035" w:type="dxa"/>
            <w:noWrap w:val="0"/>
            <w:vAlign w:val="center"/>
          </w:tcPr>
          <w:p>
            <w:pPr>
              <w:snapToGrid w:val="0"/>
              <w:jc w:val="center"/>
              <w:rPr>
                <w:rFonts w:hint="eastAsia" w:ascii="宋体" w:hAnsi="宋体" w:eastAsia="宋体" w:cs="宋体"/>
                <w:b/>
                <w:color w:val="auto"/>
                <w:highlight w:val="none"/>
              </w:rPr>
            </w:pPr>
            <w:r>
              <w:rPr>
                <w:rFonts w:hint="eastAsia" w:ascii="宋体" w:hAnsi="宋体" w:eastAsia="宋体" w:cs="宋体"/>
                <w:b/>
                <w:color w:val="auto"/>
                <w:highlight w:val="none"/>
              </w:rPr>
              <w:t>合同</w:t>
            </w:r>
          </w:p>
          <w:p>
            <w:pPr>
              <w:snapToGrid w:val="0"/>
              <w:jc w:val="center"/>
              <w:rPr>
                <w:rFonts w:hint="eastAsia" w:ascii="宋体" w:hAnsi="宋体" w:eastAsia="宋体" w:cs="宋体"/>
                <w:b/>
                <w:color w:val="auto"/>
                <w:highlight w:val="none"/>
              </w:rPr>
            </w:pPr>
            <w:r>
              <w:rPr>
                <w:rFonts w:hint="eastAsia" w:ascii="宋体" w:hAnsi="宋体" w:eastAsia="宋体" w:cs="宋体"/>
                <w:b/>
                <w:color w:val="auto"/>
                <w:highlight w:val="none"/>
              </w:rPr>
              <w:t>金额</w:t>
            </w:r>
          </w:p>
        </w:tc>
        <w:tc>
          <w:tcPr>
            <w:tcW w:w="1140" w:type="dxa"/>
            <w:noWrap w:val="0"/>
            <w:vAlign w:val="center"/>
          </w:tcPr>
          <w:p>
            <w:pPr>
              <w:snapToGrid w:val="0"/>
              <w:jc w:val="center"/>
              <w:rPr>
                <w:rFonts w:hint="eastAsia" w:ascii="宋体" w:hAnsi="宋体" w:eastAsia="宋体" w:cs="宋体"/>
                <w:b/>
                <w:color w:val="auto"/>
                <w:highlight w:val="none"/>
              </w:rPr>
            </w:pPr>
            <w:r>
              <w:rPr>
                <w:rFonts w:hint="eastAsia" w:ascii="宋体" w:hAnsi="宋体" w:eastAsia="宋体" w:cs="宋体"/>
                <w:b/>
                <w:color w:val="auto"/>
                <w:highlight w:val="none"/>
              </w:rPr>
              <w:t>合同签订</w:t>
            </w:r>
          </w:p>
          <w:p>
            <w:pPr>
              <w:snapToGrid w:val="0"/>
              <w:jc w:val="center"/>
              <w:rPr>
                <w:rFonts w:hint="eastAsia" w:ascii="宋体" w:hAnsi="宋体" w:eastAsia="宋体" w:cs="宋体"/>
                <w:b/>
                <w:color w:val="auto"/>
                <w:highlight w:val="none"/>
              </w:rPr>
            </w:pPr>
            <w:r>
              <w:rPr>
                <w:rFonts w:hint="eastAsia" w:ascii="宋体" w:hAnsi="宋体" w:eastAsia="宋体" w:cs="宋体"/>
                <w:b/>
                <w:color w:val="auto"/>
                <w:highlight w:val="none"/>
              </w:rPr>
              <w:t>时间</w:t>
            </w:r>
          </w:p>
        </w:tc>
        <w:tc>
          <w:tcPr>
            <w:tcW w:w="1365" w:type="dxa"/>
            <w:noWrap w:val="0"/>
            <w:vAlign w:val="center"/>
          </w:tcPr>
          <w:p>
            <w:pPr>
              <w:snapToGrid w:val="0"/>
              <w:jc w:val="center"/>
              <w:rPr>
                <w:rFonts w:hint="eastAsia" w:ascii="宋体" w:hAnsi="宋体" w:eastAsia="宋体" w:cs="宋体"/>
                <w:b/>
                <w:color w:val="auto"/>
                <w:highlight w:val="none"/>
              </w:rPr>
            </w:pPr>
            <w:r>
              <w:rPr>
                <w:rFonts w:hint="eastAsia" w:ascii="宋体" w:hAnsi="宋体" w:eastAsia="宋体" w:cs="宋体"/>
                <w:b/>
                <w:color w:val="auto"/>
                <w:highlight w:val="none"/>
              </w:rPr>
              <w:t>业主联系人</w:t>
            </w:r>
          </w:p>
          <w:p>
            <w:pPr>
              <w:snapToGrid w:val="0"/>
              <w:jc w:val="center"/>
              <w:rPr>
                <w:rFonts w:hint="eastAsia" w:ascii="宋体" w:hAnsi="宋体" w:eastAsia="宋体" w:cs="宋体"/>
                <w:b/>
                <w:color w:val="auto"/>
                <w:highlight w:val="none"/>
              </w:rPr>
            </w:pPr>
            <w:r>
              <w:rPr>
                <w:rFonts w:hint="eastAsia" w:ascii="宋体" w:hAnsi="宋体" w:eastAsia="宋体" w:cs="宋体"/>
                <w:b/>
                <w:color w:val="auto"/>
                <w:highlight w:val="none"/>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pPr>
              <w:snapToGrid w:val="0"/>
              <w:jc w:val="center"/>
              <w:rPr>
                <w:rFonts w:hint="eastAsia" w:ascii="宋体" w:hAnsi="宋体" w:eastAsia="宋体" w:cs="宋体"/>
                <w:color w:val="auto"/>
                <w:sz w:val="21"/>
                <w:szCs w:val="21"/>
                <w:highlight w:val="none"/>
              </w:rPr>
            </w:pPr>
          </w:p>
        </w:tc>
        <w:tc>
          <w:tcPr>
            <w:tcW w:w="1625" w:type="dxa"/>
            <w:noWrap w:val="0"/>
            <w:vAlign w:val="center"/>
          </w:tcPr>
          <w:p>
            <w:pPr>
              <w:snapToGrid w:val="0"/>
              <w:jc w:val="center"/>
              <w:rPr>
                <w:rFonts w:hint="eastAsia" w:ascii="宋体" w:hAnsi="宋体" w:eastAsia="宋体" w:cs="宋体"/>
                <w:color w:val="auto"/>
                <w:sz w:val="21"/>
                <w:szCs w:val="21"/>
                <w:highlight w:val="none"/>
              </w:rPr>
            </w:pPr>
          </w:p>
        </w:tc>
        <w:tc>
          <w:tcPr>
            <w:tcW w:w="2106" w:type="dxa"/>
            <w:noWrap w:val="0"/>
            <w:vAlign w:val="center"/>
          </w:tcPr>
          <w:p>
            <w:pPr>
              <w:snapToGrid w:val="0"/>
              <w:jc w:val="center"/>
              <w:rPr>
                <w:rFonts w:hint="eastAsia" w:ascii="宋体" w:hAnsi="宋体" w:eastAsia="宋体" w:cs="宋体"/>
                <w:color w:val="auto"/>
                <w:sz w:val="21"/>
                <w:szCs w:val="21"/>
                <w:highlight w:val="none"/>
              </w:rPr>
            </w:pPr>
          </w:p>
        </w:tc>
        <w:tc>
          <w:tcPr>
            <w:tcW w:w="1080" w:type="dxa"/>
            <w:noWrap w:val="0"/>
            <w:vAlign w:val="center"/>
          </w:tcPr>
          <w:p>
            <w:pPr>
              <w:snapToGrid w:val="0"/>
              <w:jc w:val="center"/>
              <w:rPr>
                <w:rFonts w:hint="eastAsia" w:ascii="宋体" w:hAnsi="宋体" w:eastAsia="宋体" w:cs="宋体"/>
                <w:color w:val="auto"/>
                <w:sz w:val="21"/>
                <w:szCs w:val="21"/>
                <w:highlight w:val="none"/>
              </w:rPr>
            </w:pPr>
          </w:p>
        </w:tc>
        <w:tc>
          <w:tcPr>
            <w:tcW w:w="1035" w:type="dxa"/>
            <w:noWrap w:val="0"/>
            <w:vAlign w:val="center"/>
          </w:tcPr>
          <w:p>
            <w:pPr>
              <w:snapToGrid w:val="0"/>
              <w:jc w:val="center"/>
              <w:rPr>
                <w:rFonts w:hint="eastAsia" w:ascii="宋体" w:hAnsi="宋体" w:eastAsia="宋体" w:cs="宋体"/>
                <w:color w:val="auto"/>
                <w:sz w:val="21"/>
                <w:szCs w:val="21"/>
                <w:highlight w:val="none"/>
              </w:rPr>
            </w:pPr>
          </w:p>
        </w:tc>
        <w:tc>
          <w:tcPr>
            <w:tcW w:w="1140" w:type="dxa"/>
            <w:noWrap w:val="0"/>
            <w:vAlign w:val="center"/>
          </w:tcPr>
          <w:p>
            <w:pPr>
              <w:snapToGrid w:val="0"/>
              <w:jc w:val="center"/>
              <w:rPr>
                <w:rFonts w:hint="eastAsia" w:ascii="宋体" w:hAnsi="宋体" w:eastAsia="宋体" w:cs="宋体"/>
                <w:color w:val="auto"/>
                <w:sz w:val="21"/>
                <w:szCs w:val="21"/>
                <w:highlight w:val="none"/>
              </w:rPr>
            </w:pPr>
          </w:p>
        </w:tc>
        <w:tc>
          <w:tcPr>
            <w:tcW w:w="1365" w:type="dxa"/>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pPr>
              <w:snapToGrid w:val="0"/>
              <w:jc w:val="center"/>
              <w:rPr>
                <w:rFonts w:hint="eastAsia" w:ascii="宋体" w:hAnsi="宋体" w:eastAsia="宋体" w:cs="宋体"/>
                <w:color w:val="auto"/>
                <w:sz w:val="21"/>
                <w:szCs w:val="21"/>
                <w:highlight w:val="none"/>
              </w:rPr>
            </w:pPr>
          </w:p>
        </w:tc>
        <w:tc>
          <w:tcPr>
            <w:tcW w:w="1625" w:type="dxa"/>
            <w:noWrap w:val="0"/>
            <w:vAlign w:val="center"/>
          </w:tcPr>
          <w:p>
            <w:pPr>
              <w:snapToGrid w:val="0"/>
              <w:jc w:val="center"/>
              <w:rPr>
                <w:rFonts w:hint="eastAsia" w:ascii="宋体" w:hAnsi="宋体" w:eastAsia="宋体" w:cs="宋体"/>
                <w:color w:val="auto"/>
                <w:sz w:val="21"/>
                <w:szCs w:val="21"/>
                <w:highlight w:val="none"/>
              </w:rPr>
            </w:pPr>
          </w:p>
        </w:tc>
        <w:tc>
          <w:tcPr>
            <w:tcW w:w="2106" w:type="dxa"/>
            <w:noWrap w:val="0"/>
            <w:vAlign w:val="center"/>
          </w:tcPr>
          <w:p>
            <w:pPr>
              <w:snapToGrid w:val="0"/>
              <w:jc w:val="center"/>
              <w:rPr>
                <w:rFonts w:hint="eastAsia" w:ascii="宋体" w:hAnsi="宋体" w:eastAsia="宋体" w:cs="宋体"/>
                <w:color w:val="auto"/>
                <w:sz w:val="21"/>
                <w:szCs w:val="21"/>
                <w:highlight w:val="none"/>
              </w:rPr>
            </w:pPr>
          </w:p>
        </w:tc>
        <w:tc>
          <w:tcPr>
            <w:tcW w:w="1080" w:type="dxa"/>
            <w:noWrap w:val="0"/>
            <w:vAlign w:val="center"/>
          </w:tcPr>
          <w:p>
            <w:pPr>
              <w:snapToGrid w:val="0"/>
              <w:jc w:val="center"/>
              <w:rPr>
                <w:rFonts w:hint="eastAsia" w:ascii="宋体" w:hAnsi="宋体" w:eastAsia="宋体" w:cs="宋体"/>
                <w:color w:val="auto"/>
                <w:sz w:val="21"/>
                <w:szCs w:val="21"/>
                <w:highlight w:val="none"/>
              </w:rPr>
            </w:pPr>
          </w:p>
        </w:tc>
        <w:tc>
          <w:tcPr>
            <w:tcW w:w="1035" w:type="dxa"/>
            <w:noWrap w:val="0"/>
            <w:vAlign w:val="center"/>
          </w:tcPr>
          <w:p>
            <w:pPr>
              <w:snapToGrid w:val="0"/>
              <w:jc w:val="center"/>
              <w:rPr>
                <w:rFonts w:hint="eastAsia" w:ascii="宋体" w:hAnsi="宋体" w:eastAsia="宋体" w:cs="宋体"/>
                <w:color w:val="auto"/>
                <w:sz w:val="21"/>
                <w:szCs w:val="21"/>
                <w:highlight w:val="none"/>
              </w:rPr>
            </w:pPr>
          </w:p>
        </w:tc>
        <w:tc>
          <w:tcPr>
            <w:tcW w:w="1140" w:type="dxa"/>
            <w:noWrap w:val="0"/>
            <w:vAlign w:val="center"/>
          </w:tcPr>
          <w:p>
            <w:pPr>
              <w:snapToGrid w:val="0"/>
              <w:jc w:val="center"/>
              <w:rPr>
                <w:rFonts w:hint="eastAsia" w:ascii="宋体" w:hAnsi="宋体" w:eastAsia="宋体" w:cs="宋体"/>
                <w:color w:val="auto"/>
                <w:sz w:val="21"/>
                <w:szCs w:val="21"/>
                <w:highlight w:val="none"/>
              </w:rPr>
            </w:pPr>
          </w:p>
        </w:tc>
        <w:tc>
          <w:tcPr>
            <w:tcW w:w="1365" w:type="dxa"/>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pPr>
              <w:snapToGrid w:val="0"/>
              <w:jc w:val="center"/>
              <w:rPr>
                <w:rFonts w:hint="eastAsia" w:ascii="宋体" w:hAnsi="宋体" w:eastAsia="宋体" w:cs="宋体"/>
                <w:color w:val="auto"/>
                <w:sz w:val="21"/>
                <w:szCs w:val="21"/>
                <w:highlight w:val="none"/>
              </w:rPr>
            </w:pPr>
          </w:p>
        </w:tc>
        <w:tc>
          <w:tcPr>
            <w:tcW w:w="1625" w:type="dxa"/>
            <w:noWrap w:val="0"/>
            <w:vAlign w:val="center"/>
          </w:tcPr>
          <w:p>
            <w:pPr>
              <w:snapToGrid w:val="0"/>
              <w:jc w:val="center"/>
              <w:rPr>
                <w:rFonts w:hint="eastAsia" w:ascii="宋体" w:hAnsi="宋体" w:eastAsia="宋体" w:cs="宋体"/>
                <w:color w:val="auto"/>
                <w:sz w:val="21"/>
                <w:szCs w:val="21"/>
                <w:highlight w:val="none"/>
              </w:rPr>
            </w:pPr>
          </w:p>
        </w:tc>
        <w:tc>
          <w:tcPr>
            <w:tcW w:w="2106" w:type="dxa"/>
            <w:noWrap w:val="0"/>
            <w:vAlign w:val="center"/>
          </w:tcPr>
          <w:p>
            <w:pPr>
              <w:snapToGrid w:val="0"/>
              <w:jc w:val="center"/>
              <w:rPr>
                <w:rFonts w:hint="eastAsia" w:ascii="宋体" w:hAnsi="宋体" w:eastAsia="宋体" w:cs="宋体"/>
                <w:color w:val="auto"/>
                <w:sz w:val="21"/>
                <w:szCs w:val="21"/>
                <w:highlight w:val="none"/>
              </w:rPr>
            </w:pPr>
          </w:p>
        </w:tc>
        <w:tc>
          <w:tcPr>
            <w:tcW w:w="1080" w:type="dxa"/>
            <w:noWrap w:val="0"/>
            <w:vAlign w:val="center"/>
          </w:tcPr>
          <w:p>
            <w:pPr>
              <w:snapToGrid w:val="0"/>
              <w:jc w:val="center"/>
              <w:rPr>
                <w:rFonts w:hint="eastAsia" w:ascii="宋体" w:hAnsi="宋体" w:eastAsia="宋体" w:cs="宋体"/>
                <w:color w:val="auto"/>
                <w:sz w:val="21"/>
                <w:szCs w:val="21"/>
                <w:highlight w:val="none"/>
              </w:rPr>
            </w:pPr>
          </w:p>
        </w:tc>
        <w:tc>
          <w:tcPr>
            <w:tcW w:w="1035" w:type="dxa"/>
            <w:noWrap w:val="0"/>
            <w:vAlign w:val="center"/>
          </w:tcPr>
          <w:p>
            <w:pPr>
              <w:snapToGrid w:val="0"/>
              <w:jc w:val="center"/>
              <w:rPr>
                <w:rFonts w:hint="eastAsia" w:ascii="宋体" w:hAnsi="宋体" w:eastAsia="宋体" w:cs="宋体"/>
                <w:color w:val="auto"/>
                <w:sz w:val="21"/>
                <w:szCs w:val="21"/>
                <w:highlight w:val="none"/>
              </w:rPr>
            </w:pPr>
          </w:p>
        </w:tc>
        <w:tc>
          <w:tcPr>
            <w:tcW w:w="1140" w:type="dxa"/>
            <w:noWrap w:val="0"/>
            <w:vAlign w:val="center"/>
          </w:tcPr>
          <w:p>
            <w:pPr>
              <w:snapToGrid w:val="0"/>
              <w:jc w:val="center"/>
              <w:rPr>
                <w:rFonts w:hint="eastAsia" w:ascii="宋体" w:hAnsi="宋体" w:eastAsia="宋体" w:cs="宋体"/>
                <w:color w:val="auto"/>
                <w:sz w:val="21"/>
                <w:szCs w:val="21"/>
                <w:highlight w:val="none"/>
              </w:rPr>
            </w:pPr>
          </w:p>
        </w:tc>
        <w:tc>
          <w:tcPr>
            <w:tcW w:w="1365" w:type="dxa"/>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pPr>
              <w:snapToGrid w:val="0"/>
              <w:jc w:val="center"/>
              <w:rPr>
                <w:rFonts w:hint="eastAsia" w:ascii="宋体" w:hAnsi="宋体" w:eastAsia="宋体" w:cs="宋体"/>
                <w:color w:val="auto"/>
                <w:sz w:val="21"/>
                <w:szCs w:val="21"/>
                <w:highlight w:val="none"/>
              </w:rPr>
            </w:pPr>
          </w:p>
        </w:tc>
        <w:tc>
          <w:tcPr>
            <w:tcW w:w="1625" w:type="dxa"/>
            <w:noWrap w:val="0"/>
            <w:vAlign w:val="center"/>
          </w:tcPr>
          <w:p>
            <w:pPr>
              <w:snapToGrid w:val="0"/>
              <w:jc w:val="center"/>
              <w:rPr>
                <w:rFonts w:hint="eastAsia" w:ascii="宋体" w:hAnsi="宋体" w:eastAsia="宋体" w:cs="宋体"/>
                <w:color w:val="auto"/>
                <w:sz w:val="21"/>
                <w:szCs w:val="21"/>
                <w:highlight w:val="none"/>
              </w:rPr>
            </w:pPr>
          </w:p>
        </w:tc>
        <w:tc>
          <w:tcPr>
            <w:tcW w:w="2106" w:type="dxa"/>
            <w:noWrap w:val="0"/>
            <w:vAlign w:val="center"/>
          </w:tcPr>
          <w:p>
            <w:pPr>
              <w:snapToGrid w:val="0"/>
              <w:jc w:val="center"/>
              <w:rPr>
                <w:rFonts w:hint="eastAsia" w:ascii="宋体" w:hAnsi="宋体" w:eastAsia="宋体" w:cs="宋体"/>
                <w:color w:val="auto"/>
                <w:sz w:val="21"/>
                <w:szCs w:val="21"/>
                <w:highlight w:val="none"/>
              </w:rPr>
            </w:pPr>
          </w:p>
        </w:tc>
        <w:tc>
          <w:tcPr>
            <w:tcW w:w="1080" w:type="dxa"/>
            <w:noWrap w:val="0"/>
            <w:vAlign w:val="center"/>
          </w:tcPr>
          <w:p>
            <w:pPr>
              <w:snapToGrid w:val="0"/>
              <w:jc w:val="center"/>
              <w:rPr>
                <w:rFonts w:hint="eastAsia" w:ascii="宋体" w:hAnsi="宋体" w:eastAsia="宋体" w:cs="宋体"/>
                <w:color w:val="auto"/>
                <w:sz w:val="21"/>
                <w:szCs w:val="21"/>
                <w:highlight w:val="none"/>
              </w:rPr>
            </w:pPr>
          </w:p>
        </w:tc>
        <w:tc>
          <w:tcPr>
            <w:tcW w:w="1035" w:type="dxa"/>
            <w:noWrap w:val="0"/>
            <w:vAlign w:val="center"/>
          </w:tcPr>
          <w:p>
            <w:pPr>
              <w:snapToGrid w:val="0"/>
              <w:jc w:val="center"/>
              <w:rPr>
                <w:rFonts w:hint="eastAsia" w:ascii="宋体" w:hAnsi="宋体" w:eastAsia="宋体" w:cs="宋体"/>
                <w:color w:val="auto"/>
                <w:sz w:val="21"/>
                <w:szCs w:val="21"/>
                <w:highlight w:val="none"/>
              </w:rPr>
            </w:pPr>
          </w:p>
        </w:tc>
        <w:tc>
          <w:tcPr>
            <w:tcW w:w="1140" w:type="dxa"/>
            <w:noWrap w:val="0"/>
            <w:vAlign w:val="center"/>
          </w:tcPr>
          <w:p>
            <w:pPr>
              <w:snapToGrid w:val="0"/>
              <w:jc w:val="center"/>
              <w:rPr>
                <w:rFonts w:hint="eastAsia" w:ascii="宋体" w:hAnsi="宋体" w:eastAsia="宋体" w:cs="宋体"/>
                <w:color w:val="auto"/>
                <w:sz w:val="21"/>
                <w:szCs w:val="21"/>
                <w:highlight w:val="none"/>
              </w:rPr>
            </w:pPr>
          </w:p>
        </w:tc>
        <w:tc>
          <w:tcPr>
            <w:tcW w:w="1365" w:type="dxa"/>
            <w:noWrap w:val="0"/>
            <w:vAlign w:val="center"/>
          </w:tcPr>
          <w:p>
            <w:pPr>
              <w:snapToGri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pPr>
              <w:snapToGrid w:val="0"/>
              <w:jc w:val="center"/>
              <w:rPr>
                <w:rFonts w:hint="eastAsia" w:ascii="宋体" w:hAnsi="宋体" w:eastAsia="宋体" w:cs="宋体"/>
                <w:color w:val="auto"/>
                <w:sz w:val="21"/>
                <w:szCs w:val="21"/>
                <w:highlight w:val="none"/>
              </w:rPr>
            </w:pPr>
          </w:p>
        </w:tc>
        <w:tc>
          <w:tcPr>
            <w:tcW w:w="1625" w:type="dxa"/>
            <w:noWrap w:val="0"/>
            <w:vAlign w:val="center"/>
          </w:tcPr>
          <w:p>
            <w:pPr>
              <w:snapToGrid w:val="0"/>
              <w:jc w:val="center"/>
              <w:rPr>
                <w:rFonts w:hint="eastAsia" w:ascii="宋体" w:hAnsi="宋体" w:eastAsia="宋体" w:cs="宋体"/>
                <w:color w:val="auto"/>
                <w:sz w:val="21"/>
                <w:szCs w:val="21"/>
                <w:highlight w:val="none"/>
              </w:rPr>
            </w:pPr>
          </w:p>
        </w:tc>
        <w:tc>
          <w:tcPr>
            <w:tcW w:w="2106" w:type="dxa"/>
            <w:noWrap w:val="0"/>
            <w:vAlign w:val="center"/>
          </w:tcPr>
          <w:p>
            <w:pPr>
              <w:snapToGrid w:val="0"/>
              <w:jc w:val="center"/>
              <w:rPr>
                <w:rFonts w:hint="eastAsia" w:ascii="宋体" w:hAnsi="宋体" w:eastAsia="宋体" w:cs="宋体"/>
                <w:color w:val="auto"/>
                <w:sz w:val="21"/>
                <w:szCs w:val="21"/>
                <w:highlight w:val="none"/>
              </w:rPr>
            </w:pPr>
          </w:p>
        </w:tc>
        <w:tc>
          <w:tcPr>
            <w:tcW w:w="1080" w:type="dxa"/>
            <w:noWrap w:val="0"/>
            <w:vAlign w:val="center"/>
          </w:tcPr>
          <w:p>
            <w:pPr>
              <w:snapToGrid w:val="0"/>
              <w:jc w:val="center"/>
              <w:rPr>
                <w:rFonts w:hint="eastAsia" w:ascii="宋体" w:hAnsi="宋体" w:eastAsia="宋体" w:cs="宋体"/>
                <w:color w:val="auto"/>
                <w:sz w:val="21"/>
                <w:szCs w:val="21"/>
                <w:highlight w:val="none"/>
              </w:rPr>
            </w:pPr>
          </w:p>
        </w:tc>
        <w:tc>
          <w:tcPr>
            <w:tcW w:w="1035" w:type="dxa"/>
            <w:noWrap w:val="0"/>
            <w:vAlign w:val="center"/>
          </w:tcPr>
          <w:p>
            <w:pPr>
              <w:snapToGrid w:val="0"/>
              <w:jc w:val="center"/>
              <w:rPr>
                <w:rFonts w:hint="eastAsia" w:ascii="宋体" w:hAnsi="宋体" w:eastAsia="宋体" w:cs="宋体"/>
                <w:color w:val="auto"/>
                <w:sz w:val="21"/>
                <w:szCs w:val="21"/>
                <w:highlight w:val="none"/>
              </w:rPr>
            </w:pPr>
          </w:p>
        </w:tc>
        <w:tc>
          <w:tcPr>
            <w:tcW w:w="1140" w:type="dxa"/>
            <w:noWrap w:val="0"/>
            <w:vAlign w:val="center"/>
          </w:tcPr>
          <w:p>
            <w:pPr>
              <w:snapToGrid w:val="0"/>
              <w:jc w:val="center"/>
              <w:rPr>
                <w:rFonts w:hint="eastAsia" w:ascii="宋体" w:hAnsi="宋体" w:eastAsia="宋体" w:cs="宋体"/>
                <w:color w:val="auto"/>
                <w:sz w:val="21"/>
                <w:szCs w:val="21"/>
                <w:highlight w:val="none"/>
              </w:rPr>
            </w:pPr>
          </w:p>
        </w:tc>
        <w:tc>
          <w:tcPr>
            <w:tcW w:w="1365" w:type="dxa"/>
            <w:noWrap w:val="0"/>
            <w:vAlign w:val="center"/>
          </w:tcPr>
          <w:p>
            <w:pPr>
              <w:snapToGrid w:val="0"/>
              <w:jc w:val="cente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1、提供符合本招标文件要求的类似项目业绩，</w:t>
      </w:r>
      <w:r>
        <w:rPr>
          <w:rFonts w:hint="eastAsia" w:ascii="宋体" w:hAnsi="宋体" w:eastAsia="宋体" w:cs="宋体"/>
          <w:color w:val="auto"/>
          <w:highlight w:val="none"/>
          <w:lang w:val="en-US" w:eastAsia="zh-CN"/>
        </w:rPr>
        <w:t>表后附合同原件彩色扫描件和业主单位出具的合同履行良好的证明材料原件彩色扫描件，</w:t>
      </w:r>
      <w:r>
        <w:rPr>
          <w:rFonts w:hint="eastAsia" w:ascii="宋体" w:hAnsi="宋体" w:eastAsia="宋体" w:cs="宋体"/>
          <w:color w:val="auto"/>
          <w:highlight w:val="none"/>
          <w:lang w:val="en-US" w:eastAsia="zh-CN"/>
        </w:rPr>
        <w:t>未提供的，相关项目不得分。</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2、以上内容必须是真实的，否则一经查实，按相关规定处理。</w:t>
      </w: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val="en-US"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b/>
          <w:bCs/>
          <w:color w:val="auto"/>
          <w:highlight w:val="none"/>
        </w:rPr>
      </w:pPr>
      <w:r>
        <w:rPr>
          <w:rFonts w:ascii="宋体" w:hAnsi="宋体"/>
          <w:color w:val="auto"/>
          <w:highlight w:val="none"/>
        </w:rPr>
        <w:br w:type="page"/>
      </w:r>
      <w:r>
        <w:rPr>
          <w:rFonts w:hint="eastAsia" w:ascii="宋体" w:hAnsi="宋体"/>
          <w:color w:val="auto"/>
          <w:highlight w:val="none"/>
          <w:lang w:val="en-US" w:eastAsia="zh-CN"/>
        </w:rPr>
        <w:t>三、</w:t>
      </w:r>
      <w:r>
        <w:rPr>
          <w:rFonts w:hint="eastAsia" w:ascii="宋体" w:hAnsi="宋体"/>
          <w:b/>
          <w:bCs/>
          <w:color w:val="auto"/>
          <w:highlight w:val="none"/>
          <w:lang w:val="en-US" w:eastAsia="zh-CN"/>
        </w:rPr>
        <w:t>报价</w:t>
      </w:r>
      <w:r>
        <w:rPr>
          <w:rFonts w:hint="eastAsia" w:ascii="宋体" w:hAnsi="宋体"/>
          <w:b/>
          <w:bCs/>
          <w:color w:val="auto"/>
          <w:highlight w:val="none"/>
        </w:rPr>
        <w:t>文件</w:t>
      </w:r>
      <w:r>
        <w:rPr>
          <w:rFonts w:hint="eastAsia" w:ascii="宋体" w:hAnsi="宋体"/>
          <w:b/>
          <w:bCs/>
          <w:color w:val="auto"/>
          <w:highlight w:val="none"/>
          <w:lang w:val="en-US" w:eastAsia="zh-CN"/>
        </w:rPr>
        <w:t>组成</w:t>
      </w:r>
      <w:r>
        <w:rPr>
          <w:rFonts w:hint="eastAsia" w:ascii="宋体" w:hAnsi="宋体"/>
          <w:b/>
          <w:bCs/>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1、封面（见报价文件封面格式）</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2、目录</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3、开标一览表（见</w:t>
      </w:r>
      <w:r>
        <w:rPr>
          <w:rFonts w:hint="eastAsia" w:ascii="宋体" w:hAnsi="宋体"/>
          <w:color w:val="auto"/>
          <w:highlight w:val="none"/>
        </w:rPr>
        <w:t>格式</w:t>
      </w:r>
      <w:r>
        <w:rPr>
          <w:rFonts w:hint="eastAsia" w:ascii="宋体" w:hAnsi="宋体"/>
          <w:color w:val="auto"/>
          <w:highlight w:val="none"/>
          <w:lang w:val="en-US" w:eastAsia="zh-CN"/>
        </w:rPr>
        <w:t>11）</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4、投标分项报价表（见</w:t>
      </w:r>
      <w:r>
        <w:rPr>
          <w:rFonts w:hint="eastAsia" w:ascii="宋体" w:hAnsi="宋体"/>
          <w:color w:val="auto"/>
          <w:highlight w:val="none"/>
        </w:rPr>
        <w:t>格式</w:t>
      </w:r>
      <w:r>
        <w:rPr>
          <w:rFonts w:hint="eastAsia" w:ascii="宋体" w:hAnsi="宋体"/>
          <w:color w:val="auto"/>
          <w:highlight w:val="none"/>
          <w:lang w:val="en-US" w:eastAsia="zh-CN"/>
        </w:rPr>
        <w:t>12）</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5、物业管理服务费详细预算（见</w:t>
      </w:r>
      <w:r>
        <w:rPr>
          <w:rFonts w:hint="eastAsia" w:ascii="宋体" w:hAnsi="宋体"/>
          <w:color w:val="auto"/>
          <w:highlight w:val="none"/>
        </w:rPr>
        <w:t>格式</w:t>
      </w:r>
      <w:r>
        <w:rPr>
          <w:rFonts w:hint="eastAsia" w:ascii="宋体" w:hAnsi="宋体"/>
          <w:color w:val="auto"/>
          <w:highlight w:val="none"/>
          <w:lang w:val="en-US" w:eastAsia="zh-CN"/>
        </w:rPr>
        <w:t>13）</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6、中小企业声明函（见</w:t>
      </w:r>
      <w:r>
        <w:rPr>
          <w:rFonts w:hint="eastAsia" w:ascii="宋体" w:hAnsi="宋体"/>
          <w:color w:val="auto"/>
          <w:highlight w:val="none"/>
        </w:rPr>
        <w:t>格式</w:t>
      </w:r>
      <w:r>
        <w:rPr>
          <w:rFonts w:hint="eastAsia" w:ascii="宋体" w:hAnsi="宋体"/>
          <w:color w:val="auto"/>
          <w:highlight w:val="none"/>
          <w:lang w:val="en-US" w:eastAsia="zh-CN"/>
        </w:rPr>
        <w:t>14）（中小微企业提供）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7、残疾人福利性单位声明函（见</w:t>
      </w:r>
      <w:r>
        <w:rPr>
          <w:rFonts w:hint="eastAsia" w:ascii="宋体" w:hAnsi="宋体"/>
          <w:color w:val="auto"/>
          <w:highlight w:val="none"/>
        </w:rPr>
        <w:t>格式</w:t>
      </w:r>
      <w:r>
        <w:rPr>
          <w:rFonts w:hint="eastAsia" w:ascii="宋体" w:hAnsi="宋体"/>
          <w:color w:val="auto"/>
          <w:highlight w:val="none"/>
          <w:lang w:val="en-US" w:eastAsia="zh-CN"/>
        </w:rPr>
        <w:t>15）（残疾人福利性单位提供）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8、监狱企业证明文件（</w:t>
      </w:r>
      <w:r>
        <w:rPr>
          <w:rFonts w:hint="eastAsia" w:ascii="宋体" w:hAnsi="宋体"/>
          <w:color w:val="auto"/>
          <w:highlight w:val="none"/>
        </w:rPr>
        <w:t>要求见</w:t>
      </w:r>
      <w:r>
        <w:rPr>
          <w:rFonts w:hint="eastAsia" w:ascii="宋体" w:hAnsi="宋体"/>
          <w:color w:val="auto"/>
          <w:highlight w:val="none"/>
          <w:lang w:val="en-US" w:eastAsia="zh-CN"/>
        </w:rPr>
        <w:t>招标文件</w:t>
      </w: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部分</w:t>
      </w:r>
      <w:r>
        <w:rPr>
          <w:rFonts w:hint="eastAsia" w:ascii="宋体" w:hAnsi="宋体"/>
          <w:color w:val="auto"/>
          <w:highlight w:val="none"/>
          <w:lang w:val="en-US" w:eastAsia="zh-CN"/>
        </w:rPr>
        <w:t>）（监狱企业提供）</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9、政府采购统计基础信息表（见</w:t>
      </w:r>
      <w:r>
        <w:rPr>
          <w:rFonts w:hint="eastAsia" w:ascii="宋体" w:hAnsi="宋体"/>
          <w:color w:val="auto"/>
          <w:highlight w:val="none"/>
        </w:rPr>
        <w:t>格式</w:t>
      </w:r>
      <w:r>
        <w:rPr>
          <w:rFonts w:hint="eastAsia" w:ascii="宋体" w:hAnsi="宋体"/>
          <w:color w:val="auto"/>
          <w:highlight w:val="none"/>
          <w:lang w:val="en-US" w:eastAsia="zh-CN"/>
        </w:rPr>
        <w:t>16）</w:t>
      </w:r>
    </w:p>
    <w:p>
      <w:pPr>
        <w:spacing w:line="360" w:lineRule="auto"/>
        <w:rPr>
          <w:rFonts w:hint="eastAsia" w:ascii="宋体" w:hAnsi="宋体"/>
          <w:color w:val="auto"/>
          <w:highlight w:val="none"/>
        </w:rPr>
      </w:pPr>
      <w:r>
        <w:rPr>
          <w:rFonts w:hint="eastAsia" w:ascii="宋体" w:hAnsi="宋体"/>
          <w:color w:val="auto"/>
          <w:highlight w:val="none"/>
          <w:lang w:val="en-US" w:eastAsia="zh-CN"/>
        </w:rPr>
        <w:t>10、投标人认为需要提供的其他材料</w:t>
      </w:r>
    </w:p>
    <w:p>
      <w:pPr>
        <w:spacing w:line="360" w:lineRule="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说明</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1、投标人应按照报价文件组成所列内容和顺序编制报价文件。</w:t>
      </w:r>
    </w:p>
    <w:p>
      <w:pPr>
        <w:spacing w:line="360" w:lineRule="auto"/>
        <w:rPr>
          <w:rFonts w:hint="default" w:ascii="宋体" w:hAnsi="宋体"/>
          <w:color w:val="auto"/>
          <w:highlight w:val="none"/>
          <w:lang w:val="en-US" w:eastAsia="zh-CN"/>
        </w:rPr>
      </w:pPr>
      <w:r>
        <w:rPr>
          <w:rFonts w:hint="eastAsia" w:ascii="宋体" w:hAnsi="宋体"/>
          <w:color w:val="auto"/>
          <w:highlight w:val="none"/>
          <w:lang w:val="en-US" w:eastAsia="zh-CN"/>
        </w:rPr>
        <w:t>2、报价文件应按照招标文件格式要求进行CA电子签章，未有规定的投标人视情况签章。</w:t>
      </w:r>
    </w:p>
    <w:p>
      <w:pPr>
        <w:spacing w:line="360" w:lineRule="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r>
        <w:rPr>
          <w:rFonts w:hint="eastAsia" w:ascii="宋体" w:hAnsi="宋体"/>
          <w:color w:val="auto"/>
          <w:highlight w:val="none"/>
          <w:lang w:val="en-US" w:eastAsia="zh-CN"/>
        </w:rPr>
        <w:t>报价</w:t>
      </w:r>
      <w:r>
        <w:rPr>
          <w:rFonts w:hint="eastAsia" w:ascii="宋体" w:hAnsi="宋体"/>
          <w:color w:val="auto"/>
          <w:highlight w:val="none"/>
        </w:rPr>
        <w:t>文件可</w:t>
      </w:r>
      <w:r>
        <w:rPr>
          <w:rFonts w:hint="eastAsia" w:ascii="宋体" w:hAnsi="宋体"/>
          <w:color w:val="auto"/>
          <w:highlight w:val="none"/>
          <w:lang w:val="en-US" w:eastAsia="zh-CN"/>
        </w:rPr>
        <w:t>以</w:t>
      </w:r>
      <w:r>
        <w:rPr>
          <w:rFonts w:hint="eastAsia" w:ascii="宋体" w:hAnsi="宋体"/>
          <w:color w:val="auto"/>
          <w:highlight w:val="none"/>
        </w:rPr>
        <w:t>在招标文件格式的基础上适当调整，以使内容更加完备。</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lang w:val="en-US" w:eastAsia="zh-CN"/>
        </w:rPr>
        <w:t>报价</w:t>
      </w:r>
      <w:r>
        <w:rPr>
          <w:rFonts w:hint="eastAsia" w:ascii="宋体" w:hAnsi="宋体"/>
          <w:color w:val="auto"/>
          <w:highlight w:val="none"/>
        </w:rPr>
        <w:t>文件封面格式：</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before="156" w:beforeLines="50" w:after="156" w:afterLines="50" w:line="360" w:lineRule="auto"/>
        <w:jc w:val="center"/>
        <w:rPr>
          <w:rFonts w:hint="eastAsia" w:ascii="黑体" w:hAnsi="黑体" w:eastAsia="黑体"/>
          <w:color w:val="auto"/>
          <w:sz w:val="72"/>
          <w:szCs w:val="72"/>
          <w:highlight w:val="none"/>
        </w:rPr>
      </w:pPr>
      <w:r>
        <w:rPr>
          <w:rFonts w:hint="eastAsia" w:ascii="黑体" w:hAnsi="黑体" w:eastAsia="黑体"/>
          <w:color w:val="auto"/>
          <w:sz w:val="72"/>
          <w:szCs w:val="72"/>
          <w:highlight w:val="none"/>
          <w:lang w:val="en-US" w:eastAsia="zh-CN"/>
        </w:rPr>
        <w:t>报价</w:t>
      </w:r>
      <w:r>
        <w:rPr>
          <w:rFonts w:hint="eastAsia" w:ascii="黑体" w:hAnsi="黑体" w:eastAsia="黑体"/>
          <w:color w:val="auto"/>
          <w:sz w:val="72"/>
          <w:szCs w:val="72"/>
          <w:highlight w:val="none"/>
        </w:rPr>
        <w:t>文件</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lang w:eastAsia="zh-CN"/>
        </w:rPr>
        <w:t>北仑行政大楼物业管理</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项目编号：</w:t>
      </w:r>
      <w:r>
        <w:rPr>
          <w:rFonts w:hint="eastAsia" w:ascii="黑体" w:hAnsi="黑体" w:eastAsia="黑体"/>
          <w:color w:val="auto"/>
          <w:sz w:val="28"/>
          <w:szCs w:val="28"/>
          <w:highlight w:val="none"/>
          <w:u w:val="single"/>
          <w:lang w:eastAsia="zh-CN"/>
        </w:rPr>
        <w:t>BLZFCG2024015</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rPr>
        <w:t xml:space="preserve">     </w:t>
      </w:r>
      <w:r>
        <w:rPr>
          <w:rFonts w:hint="eastAsia" w:ascii="黑体" w:hAnsi="黑体" w:eastAsia="黑体"/>
          <w:color w:val="auto"/>
          <w:sz w:val="28"/>
          <w:szCs w:val="28"/>
          <w:highlight w:val="none"/>
          <w:lang w:val="en-US" w:eastAsia="zh-CN"/>
        </w:rPr>
        <w:t>标项</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投标人</w:t>
      </w:r>
      <w:r>
        <w:rPr>
          <w:rFonts w:hint="eastAsia" w:ascii="黑体" w:hAnsi="黑体" w:eastAsia="黑体"/>
          <w:color w:val="auto"/>
          <w:sz w:val="28"/>
          <w:szCs w:val="28"/>
          <w:highlight w:val="none"/>
          <w:lang w:eastAsia="zh-CN"/>
        </w:rPr>
        <w:t>名称</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lang w:val="en-US" w:eastAsia="zh-CN"/>
        </w:rPr>
        <w:t>CA签章</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auto"/>
          <w:sz w:val="28"/>
          <w:szCs w:val="28"/>
          <w:highlight w:val="none"/>
          <w:u w:val="single"/>
        </w:rPr>
      </w:pPr>
      <w:r>
        <w:rPr>
          <w:rFonts w:hint="eastAsia" w:ascii="黑体" w:hAnsi="黑体" w:eastAsia="黑体"/>
          <w:color w:val="auto"/>
          <w:sz w:val="28"/>
          <w:szCs w:val="28"/>
          <w:highlight w:val="none"/>
        </w:rPr>
        <w:t>日    期：</w:t>
      </w:r>
      <w:r>
        <w:rPr>
          <w:rFonts w:hint="eastAsia" w:ascii="黑体" w:hAnsi="黑体" w:eastAsia="黑体"/>
          <w:color w:val="auto"/>
          <w:sz w:val="28"/>
          <w:szCs w:val="28"/>
          <w:highlight w:val="none"/>
          <w:u w:val="single"/>
        </w:rPr>
        <w:t xml:space="preserve">                        </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11</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开标一览表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lang w:eastAsia="zh-CN"/>
        </w:rPr>
        <w:t>北仑行政大楼物业管理</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u w:val="single"/>
          <w:lang w:eastAsia="zh-CN"/>
        </w:rPr>
        <w:t>BLZFCG2024015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894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411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709"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项目名称</w:t>
            </w:r>
          </w:p>
        </w:tc>
        <w:tc>
          <w:tcPr>
            <w:tcW w:w="4110" w:type="dxa"/>
            <w:shd w:val="clear" w:color="auto" w:fill="auto"/>
            <w:noWrap w:val="0"/>
            <w:vAlign w:val="center"/>
          </w:tcPr>
          <w:p>
            <w:pPr>
              <w:widowControl/>
              <w:jc w:val="center"/>
              <w:rPr>
                <w:rFonts w:ascii="宋体" w:hAnsi="宋体" w:cs="宋体"/>
                <w:b/>
                <w:bCs/>
                <w:color w:val="auto"/>
                <w:kern w:val="0"/>
                <w:sz w:val="21"/>
                <w:szCs w:val="21"/>
                <w:highlight w:val="none"/>
              </w:rPr>
            </w:pPr>
            <w:r>
              <w:rPr>
                <w:rFonts w:hint="eastAsia" w:ascii="宋体" w:hAnsi="宋体" w:eastAsia="宋体" w:cs="宋体"/>
                <w:b/>
                <w:bCs/>
                <w:color w:val="auto"/>
                <w:sz w:val="21"/>
                <w:szCs w:val="21"/>
                <w:highlight w:val="none"/>
              </w:rPr>
              <w:t>投标总价（元）</w:t>
            </w:r>
          </w:p>
        </w:tc>
        <w:tc>
          <w:tcPr>
            <w:tcW w:w="2127" w:type="dxa"/>
            <w:shd w:val="clear" w:color="auto" w:fill="auto"/>
            <w:noWrap w:val="0"/>
            <w:vAlign w:val="center"/>
          </w:tcPr>
          <w:p>
            <w:pPr>
              <w:widowControl/>
              <w:jc w:val="center"/>
              <w:rPr>
                <w:rFonts w:ascii="宋体" w:hAnsi="宋体"/>
                <w:b/>
                <w:bCs/>
                <w:color w:val="auto"/>
                <w:sz w:val="21"/>
                <w:szCs w:val="21"/>
                <w:highlight w:val="none"/>
              </w:rPr>
            </w:pPr>
            <w:r>
              <w:rPr>
                <w:rFonts w:hint="eastAsia" w:ascii="宋体" w:hAnsi="宋体" w:eastAsia="宋体" w:cs="宋体"/>
                <w:b/>
                <w:bCs/>
                <w:color w:val="auto"/>
                <w:sz w:val="21"/>
                <w:szCs w:val="21"/>
                <w:highlight w:val="none"/>
              </w:rPr>
              <w:t>服务</w:t>
            </w:r>
            <w:r>
              <w:rPr>
                <w:rFonts w:hint="eastAsia" w:ascii="宋体" w:hAnsi="宋体" w:cs="宋体"/>
                <w:b/>
                <w:bCs/>
                <w:color w:val="auto"/>
                <w:sz w:val="21"/>
                <w:szCs w:val="21"/>
                <w:highlight w:val="none"/>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709" w:type="dxa"/>
            <w:vMerge w:val="restart"/>
            <w:shd w:val="clear" w:color="auto" w:fill="auto"/>
            <w:noWrap w:val="0"/>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eastAsia="zh-CN"/>
              </w:rPr>
              <w:t>北仑行政大楼物业管理</w:t>
            </w: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小写</w:t>
            </w:r>
            <w:r>
              <w:rPr>
                <w:rFonts w:hint="eastAsia" w:ascii="宋体" w:hAnsi="宋体"/>
                <w:color w:val="auto"/>
                <w:sz w:val="21"/>
                <w:szCs w:val="21"/>
                <w:highlight w:val="none"/>
                <w:lang w:eastAsia="zh-CN"/>
              </w:rPr>
              <w:t>：</w:t>
            </w:r>
          </w:p>
        </w:tc>
        <w:tc>
          <w:tcPr>
            <w:tcW w:w="2127" w:type="dxa"/>
            <w:vMerge w:val="restart"/>
            <w:shd w:val="clear" w:color="auto" w:fill="auto"/>
            <w:noWrap w:val="0"/>
            <w:vAlign w:val="center"/>
          </w:tcPr>
          <w:p>
            <w:pPr>
              <w:widowControl/>
              <w:jc w:val="center"/>
              <w:rPr>
                <w:rFonts w:hint="default" w:ascii="宋体" w:hAnsi="宋体" w:cs="宋体"/>
                <w:color w:val="auto"/>
                <w:kern w:val="0"/>
                <w:sz w:val="21"/>
                <w:szCs w:val="21"/>
                <w:highlight w:val="none"/>
                <w:lang w:val="en-US"/>
              </w:rPr>
            </w:pPr>
            <w:r>
              <w:rPr>
                <w:rFonts w:hint="eastAsia" w:ascii="宋体" w:hAnsi="宋体" w:cs="宋体"/>
                <w:color w:val="auto"/>
                <w:sz w:val="21"/>
                <w:szCs w:val="21"/>
                <w:highlight w:val="none"/>
                <w:lang w:val="en-US" w:eastAsia="zh-CN"/>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709" w:type="dxa"/>
            <w:vMerge w:val="continue"/>
            <w:shd w:val="clear" w:color="auto" w:fill="auto"/>
            <w:noWrap w:val="0"/>
            <w:vAlign w:val="center"/>
          </w:tcPr>
          <w:p>
            <w:pPr>
              <w:widowControl/>
              <w:jc w:val="center"/>
              <w:rPr>
                <w:rFonts w:hint="eastAsia" w:ascii="宋体" w:hAnsi="宋体"/>
                <w:color w:val="auto"/>
                <w:sz w:val="21"/>
                <w:szCs w:val="21"/>
                <w:highlight w:val="none"/>
              </w:rPr>
            </w:pPr>
          </w:p>
        </w:tc>
        <w:tc>
          <w:tcPr>
            <w:tcW w:w="4110" w:type="dxa"/>
            <w:shd w:val="clear" w:color="auto" w:fill="auto"/>
            <w:noWrap w:val="0"/>
            <w:vAlign w:val="center"/>
          </w:tcPr>
          <w:p>
            <w:pPr>
              <w:widowControl/>
              <w:rPr>
                <w:rFonts w:hint="eastAsia" w:ascii="宋体" w:hAnsi="宋体" w:eastAsia="宋体" w:cs="宋体"/>
                <w:color w:val="auto"/>
                <w:kern w:val="0"/>
                <w:sz w:val="21"/>
                <w:szCs w:val="21"/>
                <w:highlight w:val="none"/>
                <w:lang w:eastAsia="zh-CN"/>
              </w:rPr>
            </w:pPr>
            <w:r>
              <w:rPr>
                <w:rFonts w:hint="eastAsia" w:ascii="宋体" w:hAnsi="宋体"/>
                <w:color w:val="auto"/>
                <w:sz w:val="21"/>
                <w:szCs w:val="21"/>
                <w:highlight w:val="none"/>
              </w:rPr>
              <w:t>大写</w:t>
            </w:r>
            <w:r>
              <w:rPr>
                <w:rFonts w:hint="eastAsia" w:ascii="宋体" w:hAnsi="宋体"/>
                <w:color w:val="auto"/>
                <w:sz w:val="21"/>
                <w:szCs w:val="21"/>
                <w:highlight w:val="none"/>
                <w:lang w:eastAsia="zh-CN"/>
              </w:rPr>
              <w:t>：</w:t>
            </w:r>
          </w:p>
        </w:tc>
        <w:tc>
          <w:tcPr>
            <w:tcW w:w="2127" w:type="dxa"/>
            <w:vMerge w:val="continue"/>
            <w:shd w:val="clear" w:color="auto" w:fill="auto"/>
            <w:noWrap w:val="0"/>
            <w:vAlign w:val="center"/>
          </w:tcPr>
          <w:p>
            <w:pPr>
              <w:widowControl/>
              <w:jc w:val="left"/>
              <w:rPr>
                <w:rFonts w:hint="eastAsia" w:ascii="宋体" w:hAnsi="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946" w:type="dxa"/>
            <w:gridSpan w:val="3"/>
            <w:shd w:val="clear" w:color="auto" w:fill="auto"/>
            <w:noWrap w:val="0"/>
            <w:tcMar>
              <w:top w:w="170" w:type="dxa"/>
              <w:bottom w:w="170" w:type="dxa"/>
            </w:tcMar>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投标人说明：</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投标人是否为符合要求的小微企业：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投标人是否为符合要求的监狱企业：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投标人是否为符合要求的残疾人福利性单位：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联合体投标，小微企业的合同份额</w:t>
            </w:r>
            <w:r>
              <w:rPr>
                <w:rFonts w:hint="eastAsia" w:ascii="宋体" w:hAnsi="宋体" w:cs="宋体"/>
                <w:color w:val="auto"/>
                <w:kern w:val="0"/>
                <w:sz w:val="21"/>
                <w:szCs w:val="21"/>
                <w:highlight w:val="none"/>
              </w:rPr>
              <w:t>是否</w:t>
            </w:r>
            <w:r>
              <w:rPr>
                <w:rFonts w:hint="eastAsia" w:ascii="宋体" w:hAnsi="宋体" w:cs="宋体"/>
                <w:color w:val="auto"/>
                <w:kern w:val="0"/>
                <w:sz w:val="21"/>
                <w:szCs w:val="21"/>
                <w:highlight w:val="none"/>
                <w:lang w:val="en-US" w:eastAsia="zh-CN"/>
              </w:rPr>
              <w:t>占到合同总金额30%以上：</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（请填写：是、否）</w:t>
            </w:r>
          </w:p>
        </w:tc>
      </w:tr>
    </w:tbl>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说明：</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1、投标总价应为供应商提供本项目采购范围内的货物和服务所需的一切费用。</w:t>
      </w:r>
      <w:r>
        <w:rPr>
          <w:rFonts w:hint="eastAsia" w:ascii="宋体" w:hAnsi="宋体" w:eastAsia="宋体" w:cs="宋体"/>
          <w:color w:val="auto"/>
          <w:highlight w:val="none"/>
        </w:rPr>
        <w:t>本项目投标总价为</w:t>
      </w:r>
      <w:r>
        <w:rPr>
          <w:rFonts w:hint="eastAsia" w:ascii="宋体" w:hAnsi="宋体" w:cs="宋体"/>
          <w:color w:val="auto"/>
          <w:highlight w:val="none"/>
          <w:lang w:val="en-US" w:eastAsia="zh-CN"/>
        </w:rPr>
        <w:t>一</w:t>
      </w:r>
      <w:r>
        <w:rPr>
          <w:rFonts w:hint="eastAsia" w:ascii="宋体" w:hAnsi="宋体" w:eastAsia="宋体" w:cs="宋体"/>
          <w:color w:val="auto"/>
          <w:highlight w:val="none"/>
        </w:rPr>
        <w:t>年服务期的总费用。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2、本表格的“投标总价”应与投标分项报价表的“投标总价”一致。</w:t>
      </w:r>
    </w:p>
    <w:p>
      <w:pPr>
        <w:spacing w:line="360" w:lineRule="auto"/>
        <w:rPr>
          <w:rFonts w:hint="eastAsia" w:ascii="宋体" w:hAnsi="宋体" w:eastAsia="宋体" w:cs="宋体"/>
          <w:strike/>
          <w:dstrike w:val="0"/>
          <w:color w:val="auto"/>
          <w:highlight w:val="none"/>
          <w:lang w:eastAsia="zh-CN"/>
        </w:rPr>
      </w:pPr>
      <w:r>
        <w:rPr>
          <w:rFonts w:hint="eastAsia" w:ascii="宋体" w:hAnsi="宋体" w:eastAsia="宋体" w:cs="宋体"/>
          <w:color w:val="auto"/>
          <w:highlight w:val="none"/>
          <w:lang w:val="en-US" w:eastAsia="zh-CN"/>
        </w:rPr>
        <w:t>3、投标人在投标客户端填写的最终报价应当与加密上传的报价文件中“开标一览表”的投标总价一致，否则</w:t>
      </w:r>
      <w:r>
        <w:rPr>
          <w:rFonts w:hint="eastAsia" w:ascii="宋体" w:hAnsi="宋体" w:eastAsia="宋体" w:cs="宋体"/>
          <w:strike w:val="0"/>
          <w:dstrike w:val="0"/>
          <w:color w:val="auto"/>
          <w:highlight w:val="none"/>
          <w:lang w:val="en-US" w:eastAsia="zh-CN"/>
        </w:rPr>
        <w:t>以上传文件</w:t>
      </w:r>
      <w:r>
        <w:rPr>
          <w:rFonts w:hint="eastAsia" w:ascii="宋体" w:hAnsi="宋体" w:eastAsia="宋体" w:cs="宋体"/>
          <w:color w:val="auto"/>
          <w:highlight w:val="none"/>
          <w:lang w:val="en-US" w:eastAsia="zh-CN"/>
        </w:rPr>
        <w:t>开标一览表</w:t>
      </w:r>
      <w:r>
        <w:rPr>
          <w:rFonts w:hint="eastAsia" w:ascii="宋体" w:hAnsi="宋体" w:eastAsia="宋体" w:cs="宋体"/>
          <w:strike w:val="0"/>
          <w:dstrike w:val="0"/>
          <w:color w:val="auto"/>
          <w:highlight w:val="none"/>
          <w:lang w:val="en-US" w:eastAsia="zh-CN"/>
        </w:rPr>
        <w:t>中的报价为准，并对客户端报价进行修正。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12</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投标分项报价表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lang w:eastAsia="zh-CN"/>
        </w:rPr>
        <w:t>北仑行政大楼物业管理</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u w:val="single"/>
          <w:lang w:eastAsia="zh-CN"/>
        </w:rPr>
        <w:t>BLZFCG2024015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418"/>
        <w:gridCol w:w="1559"/>
        <w:gridCol w:w="992"/>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7"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1"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418"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面积</w:t>
            </w: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p>
        </w:tc>
        <w:tc>
          <w:tcPr>
            <w:tcW w:w="1559"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（元/月·㎡）</w:t>
            </w:r>
          </w:p>
        </w:tc>
        <w:tc>
          <w:tcPr>
            <w:tcW w:w="992"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周期</w:t>
            </w: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（月）</w:t>
            </w:r>
          </w:p>
        </w:tc>
        <w:tc>
          <w:tcPr>
            <w:tcW w:w="1418"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总价</w:t>
            </w: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w:t>
            </w:r>
          </w:p>
        </w:tc>
        <w:tc>
          <w:tcPr>
            <w:tcW w:w="1275" w:type="dxa"/>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80" w:type="dxa"/>
            <w:gridSpan w:val="7"/>
            <w:noWrap w:val="0"/>
            <w:vAlign w:val="center"/>
          </w:tcPr>
          <w:p>
            <w:pPr>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第一部分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lang w:val="en-US" w:eastAsia="zh-CN"/>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559"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default" w:ascii="宋体" w:hAnsi="宋体" w:eastAsia="宋体" w:cs="宋体"/>
                <w:color w:val="auto"/>
                <w:sz w:val="21"/>
                <w:szCs w:val="21"/>
                <w:highlight w:val="none"/>
                <w:lang w:val="en-US" w:eastAsia="zh-CN"/>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559"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default" w:ascii="宋体" w:hAnsi="宋体" w:eastAsia="宋体" w:cs="宋体"/>
                <w:color w:val="auto"/>
                <w:sz w:val="21"/>
                <w:szCs w:val="21"/>
                <w:highlight w:val="none"/>
                <w:lang w:val="en-US" w:eastAsia="zh-CN"/>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559"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p>
        </w:tc>
        <w:tc>
          <w:tcPr>
            <w:tcW w:w="992"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小计</w:t>
            </w:r>
          </w:p>
        </w:tc>
        <w:tc>
          <w:tcPr>
            <w:tcW w:w="1418"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559"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992"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418" w:type="dxa"/>
            <w:noWrap w:val="0"/>
            <w:vAlign w:val="center"/>
          </w:tcPr>
          <w:p>
            <w:pPr>
              <w:jc w:val="center"/>
              <w:rPr>
                <w:rFonts w:hint="eastAsia" w:ascii="宋体" w:hAnsi="宋体" w:eastAsia="宋体" w:cs="宋体"/>
                <w:color w:val="auto"/>
                <w:sz w:val="21"/>
                <w:szCs w:val="21"/>
                <w:highlight w:val="none"/>
                <w:lang w:val="en-US" w:eastAsia="zh-CN"/>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80" w:type="dxa"/>
            <w:gridSpan w:val="7"/>
            <w:noWrap w:val="0"/>
            <w:vAlign w:val="center"/>
          </w:tcPr>
          <w:p>
            <w:pPr>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lang w:val="en-US" w:eastAsia="zh-CN"/>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559"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lang w:val="en-US" w:eastAsia="zh-CN"/>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559"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default" w:ascii="宋体" w:hAnsi="宋体" w:eastAsia="宋体" w:cs="宋体"/>
                <w:color w:val="auto"/>
                <w:sz w:val="21"/>
                <w:szCs w:val="21"/>
                <w:highlight w:val="none"/>
                <w:lang w:val="en-US" w:eastAsia="zh-CN"/>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559"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小计</w:t>
            </w:r>
          </w:p>
        </w:tc>
        <w:tc>
          <w:tcPr>
            <w:tcW w:w="1418" w:type="dxa"/>
            <w:noWrap w:val="0"/>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p>
        </w:tc>
        <w:tc>
          <w:tcPr>
            <w:tcW w:w="1559" w:type="dxa"/>
            <w:noWrap w:val="0"/>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p>
        </w:tc>
        <w:tc>
          <w:tcPr>
            <w:tcW w:w="9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w:t>
            </w: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180" w:type="dxa"/>
            <w:gridSpan w:val="7"/>
            <w:noWrap w:val="0"/>
            <w:vAlign w:val="center"/>
          </w:tcPr>
          <w:p>
            <w:pPr>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lang w:val="en-US" w:eastAsia="zh-CN"/>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559"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lang w:val="en-US" w:eastAsia="zh-CN"/>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559"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default" w:ascii="宋体" w:hAnsi="宋体" w:eastAsia="宋体" w:cs="宋体"/>
                <w:color w:val="auto"/>
                <w:sz w:val="21"/>
                <w:szCs w:val="21"/>
                <w:highlight w:val="none"/>
                <w:lang w:val="en-US" w:eastAsia="zh-CN"/>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559" w:type="dxa"/>
            <w:noWrap w:val="0"/>
            <w:vAlign w:val="center"/>
          </w:tcPr>
          <w:p>
            <w:pPr>
              <w:jc w:val="center"/>
              <w:rPr>
                <w:rFonts w:hint="eastAsia" w:ascii="宋体" w:hAnsi="宋体" w:eastAsia="宋体" w:cs="宋体"/>
                <w:color w:val="auto"/>
                <w:sz w:val="21"/>
                <w:szCs w:val="21"/>
                <w:highlight w:val="none"/>
              </w:rPr>
            </w:pPr>
          </w:p>
        </w:tc>
        <w:tc>
          <w:tcPr>
            <w:tcW w:w="992" w:type="dxa"/>
            <w:noWrap w:val="0"/>
            <w:vAlign w:val="center"/>
          </w:tcPr>
          <w:p>
            <w:pPr>
              <w:jc w:val="center"/>
              <w:rPr>
                <w:rFonts w:hint="eastAsia" w:ascii="宋体" w:hAnsi="宋体" w:eastAsia="宋体" w:cs="宋体"/>
                <w:color w:val="auto"/>
                <w:sz w:val="21"/>
                <w:szCs w:val="21"/>
                <w:highlight w:val="none"/>
              </w:rPr>
            </w:pP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7" w:type="dxa"/>
            <w:noWrap w:val="0"/>
            <w:vAlign w:val="center"/>
          </w:tcPr>
          <w:p>
            <w:pPr>
              <w:jc w:val="center"/>
              <w:rPr>
                <w:rFonts w:hint="eastAsia" w:ascii="宋体" w:hAnsi="宋体" w:eastAsia="宋体" w:cs="宋体"/>
                <w:color w:val="auto"/>
                <w:sz w:val="21"/>
                <w:szCs w:val="21"/>
                <w:highlight w:val="none"/>
              </w:rPr>
            </w:pPr>
          </w:p>
        </w:tc>
        <w:tc>
          <w:tcPr>
            <w:tcW w:w="170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小计</w:t>
            </w:r>
          </w:p>
        </w:tc>
        <w:tc>
          <w:tcPr>
            <w:tcW w:w="141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55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992"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p>
        </w:tc>
        <w:tc>
          <w:tcPr>
            <w:tcW w:w="1418" w:type="dxa"/>
            <w:noWrap w:val="0"/>
            <w:vAlign w:val="center"/>
          </w:tcPr>
          <w:p>
            <w:pPr>
              <w:jc w:val="center"/>
              <w:rPr>
                <w:rFonts w:hint="eastAsia" w:ascii="宋体" w:hAnsi="宋体" w:eastAsia="宋体" w:cs="宋体"/>
                <w:color w:val="auto"/>
                <w:sz w:val="21"/>
                <w:szCs w:val="21"/>
                <w:highlight w:val="none"/>
              </w:rPr>
            </w:pPr>
          </w:p>
        </w:tc>
        <w:tc>
          <w:tcPr>
            <w:tcW w:w="1275"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518" w:type="dxa"/>
            <w:gridSpan w:val="2"/>
            <w:vMerge w:val="restart"/>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投标总价（元）</w:t>
            </w:r>
          </w:p>
        </w:tc>
        <w:tc>
          <w:tcPr>
            <w:tcW w:w="6662" w:type="dxa"/>
            <w:gridSpan w:val="5"/>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18" w:type="dxa"/>
            <w:gridSpan w:val="2"/>
            <w:vMerge w:val="continue"/>
            <w:noWrap w:val="0"/>
            <w:vAlign w:val="center"/>
          </w:tcPr>
          <w:p>
            <w:pPr>
              <w:rPr>
                <w:rFonts w:hint="eastAsia" w:ascii="宋体" w:hAnsi="宋体" w:eastAsia="宋体" w:cs="宋体"/>
                <w:b/>
                <w:color w:val="auto"/>
                <w:sz w:val="21"/>
                <w:szCs w:val="21"/>
                <w:highlight w:val="none"/>
              </w:rPr>
            </w:pPr>
          </w:p>
        </w:tc>
        <w:tc>
          <w:tcPr>
            <w:tcW w:w="6662" w:type="dxa"/>
            <w:gridSpan w:val="5"/>
            <w:noWrap w:val="0"/>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大写:</w:t>
            </w:r>
          </w:p>
        </w:tc>
      </w:tr>
    </w:tbl>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1、本表格的“投标总价”应与开标一览表的“投标总价”一致。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2、此表在不改变表式的情况下，可自行制作。</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投标人名称（CA签章）：</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日      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13</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物业管理服务费详细预算</w:t>
      </w:r>
    </w:p>
    <w:p>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项目</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lang w:eastAsia="zh-CN"/>
        </w:rPr>
        <w:t>：</w:t>
      </w:r>
      <w:r>
        <w:rPr>
          <w:rFonts w:hint="eastAsia" w:ascii="宋体" w:hAnsi="宋体" w:cs="宋体"/>
          <w:color w:val="auto"/>
          <w:highlight w:val="none"/>
          <w:u w:val="single"/>
          <w:lang w:eastAsia="zh-CN"/>
        </w:rPr>
        <w:t>北仑行政大楼物业管理</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项目编号：</w:t>
      </w:r>
      <w:r>
        <w:rPr>
          <w:rFonts w:hint="eastAsia" w:ascii="宋体" w:hAnsi="宋体" w:cs="宋体"/>
          <w:color w:val="auto"/>
          <w:highlight w:val="none"/>
          <w:u w:val="single"/>
          <w:lang w:eastAsia="zh-CN"/>
        </w:rPr>
        <w:t>BLZFCG2024015</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（内容及格式自拟）</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说明：</w:t>
      </w:r>
      <w:r>
        <w:rPr>
          <w:rFonts w:hint="eastAsia" w:ascii="宋体" w:hAnsi="宋体" w:eastAsia="宋体" w:cs="宋体"/>
          <w:color w:val="auto"/>
          <w:highlight w:val="none"/>
        </w:rPr>
        <w:t>本表具体内容由各供应商根据招标文件第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部分内容自制，</w:t>
      </w:r>
      <w:r>
        <w:rPr>
          <w:rFonts w:hint="eastAsia" w:ascii="宋体" w:hAnsi="宋体" w:eastAsia="宋体" w:cs="宋体"/>
          <w:color w:val="auto"/>
          <w:highlight w:val="none"/>
        </w:rPr>
        <w:t>但</w:t>
      </w:r>
      <w:r>
        <w:rPr>
          <w:rFonts w:hint="eastAsia" w:ascii="宋体" w:hAnsi="宋体" w:eastAsia="宋体" w:cs="宋体"/>
          <w:color w:val="auto"/>
          <w:highlight w:val="none"/>
        </w:rPr>
        <w:t>必须有物业管理服务费的总价，且物业管理服务费的总价必须与开标一览表中的投标总价一致，否则为无效标。</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14</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中小企业声明函</w:t>
      </w:r>
      <w:r>
        <w:rPr>
          <w:rFonts w:hint="eastAsia" w:eastAsia="黑体"/>
          <w:color w:val="auto"/>
          <w:spacing w:val="20"/>
          <w:sz w:val="36"/>
          <w:szCs w:val="32"/>
          <w:highlight w:val="none"/>
          <w:lang w:eastAsia="zh-CN"/>
        </w:rPr>
        <w:t>（</w:t>
      </w:r>
      <w:r>
        <w:rPr>
          <w:rFonts w:hint="eastAsia" w:eastAsia="黑体"/>
          <w:color w:val="auto"/>
          <w:spacing w:val="20"/>
          <w:sz w:val="36"/>
          <w:szCs w:val="32"/>
          <w:highlight w:val="none"/>
          <w:lang w:val="en-US" w:eastAsia="zh-CN"/>
        </w:rPr>
        <w:t>服务</w:t>
      </w:r>
      <w:r>
        <w:rPr>
          <w:rFonts w:hint="eastAsia" w:eastAsia="黑体"/>
          <w:color w:val="auto"/>
          <w:spacing w:val="20"/>
          <w:sz w:val="36"/>
          <w:szCs w:val="32"/>
          <w:highlight w:val="none"/>
          <w:lang w:eastAsia="zh-CN"/>
        </w:rPr>
        <w:t>）</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本公司郑重声明，根据《政府采购促进中小企业发展管理办法》（财库[2020]46号）的规定，</w:t>
      </w:r>
      <w:r>
        <w:rPr>
          <w:rFonts w:hint="eastAsia" w:ascii="宋体" w:hAnsi="宋体" w:eastAsia="宋体" w:cs="宋体"/>
          <w:color w:val="auto"/>
          <w:highlight w:val="none"/>
          <w:lang w:eastAsia="zh-CN"/>
        </w:rPr>
        <w:t>本公司参加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采购活动，服务全部由符合政策要求的中小企业承接。具</w:t>
      </w:r>
      <w:r>
        <w:rPr>
          <w:rFonts w:hint="eastAsia" w:ascii="宋体" w:hAnsi="宋体" w:eastAsia="宋体" w:cs="宋体"/>
          <w:color w:val="auto"/>
          <w:highlight w:val="none"/>
          <w:lang w:eastAsia="zh-CN"/>
        </w:rPr>
        <w:t>体情况如下：</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本项目采购的物业管理服务 </w:t>
      </w:r>
      <w:r>
        <w:rPr>
          <w:rFonts w:hint="eastAsia" w:ascii="宋体" w:hAnsi="宋体" w:eastAsia="宋体" w:cs="宋体"/>
          <w:color w:val="auto"/>
          <w:highlight w:val="none"/>
          <w:lang w:eastAsia="zh-CN"/>
        </w:rPr>
        <w:t>，属于</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物业管理</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；承接企业为</w:t>
      </w:r>
      <w:r>
        <w:rPr>
          <w:rFonts w:hint="eastAsia" w:ascii="宋体" w:hAnsi="宋体" w:eastAsia="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（投标人名称）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，从业人员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人，营业收入为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万元，资产总额为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万元，属于</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（请填写：中型、小型、微型）企业。</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本公司</w:t>
      </w:r>
      <w:r>
        <w:rPr>
          <w:rFonts w:hint="eastAsia" w:ascii="宋体" w:hAnsi="宋体" w:eastAsia="宋体" w:cs="宋体"/>
          <w:color w:val="auto"/>
          <w:highlight w:val="none"/>
          <w:lang w:eastAsia="zh-CN"/>
        </w:rPr>
        <w:t>，不属于大企业的分支机构，不存在控股股东为大企业的情形，也不存在与大企业的负责人为同一人的情形。</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本企业对上述声明内容的真实性负责。如有虚假，将依法承担相应责任。</w:t>
      </w:r>
    </w:p>
    <w:p>
      <w:pPr>
        <w:spacing w:line="360" w:lineRule="auto"/>
        <w:rPr>
          <w:rFonts w:hint="eastAsia" w:ascii="宋体" w:hAnsi="宋体" w:eastAsia="宋体" w:cs="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企业划分标准，按照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中小企业划型标准规定</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（工信部联企业[2011]300号）文件的规定。从业人员、营业收入、资产总额填报上一年度数据，无上一年度数据的新成立企业可不填报。</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符合相应条件的企业应根据招标文件要求提供《中小企业声明函》，未按要求提供声明函的不被认定为中小微型企业。</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提交中小企业声明函享受评审价格扣除优惠并中标的，内容随中标公告一同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val="en-US" w:eastAsia="zh-CN"/>
        </w:rPr>
      </w:pPr>
      <w:r>
        <w:rPr>
          <w:rFonts w:ascii="宋体" w:hAnsi="宋体"/>
          <w:color w:val="auto"/>
          <w:highlight w:val="none"/>
        </w:rPr>
        <w:br w:type="page"/>
      </w:r>
      <w:r>
        <w:rPr>
          <w:rFonts w:hint="eastAsia" w:ascii="宋体" w:hAnsi="宋体" w:eastAsia="宋体" w:cs="宋体"/>
          <w:b/>
          <w:bCs/>
          <w:color w:val="auto"/>
          <w:highlight w:val="none"/>
          <w:lang w:val="en-US" w:eastAsia="zh-CN"/>
        </w:rPr>
        <w:t>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1、执行财政部、工业和信息化部《政府采购促进中小企业发展管理办法》（财库〔2020〕46号）。政府采购活动中有关中小企业的相关规定如下：</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1.2在政府采购活动中，供应商提供的货物、工程或者服务符合下列情形的，享受《政府采购促进中小企业发展管理办法》规定的中小企业扶持政策：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（1）、在货物采购项目中，货物由中小企业制造，即货物由中小企业生产且使用该中小企业商号或者注册商标；</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（2）、在工程采购项目中，工程由中小企业承建，即工程施工单位为中小企业；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（3）、在服务采购项目中，服务由中小企业承接，即提供服务的人员为中小企业依照《中华人民共和国劳动合同法》订立劳动合同的从业人员。</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在货物采购项目中，供应商提供的货物既有中小企业制造货物，也有大型企业制造货物的，不享受《政府采购促进中小企业发展管理办法》规定的中小企业扶持政策。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以联合体形式参加政府采购活动，联合体各方均为中小企业的，联合体视同中小企业。</w:t>
      </w:r>
      <w:r>
        <w:rPr>
          <w:rFonts w:hint="eastAsia" w:ascii="宋体" w:hAnsi="宋体" w:eastAsia="宋体" w:cs="宋体"/>
          <w:color w:val="auto"/>
          <w:highlight w:val="none"/>
          <w:lang w:eastAsia="zh-CN"/>
        </w:rPr>
        <w:t>其中，联合体各方均为小微企业的，联合体视同小微企业。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1.3中小企业参加政府采购活动，应当出具《政府采购促进中小企业发展管理办法》规定的《中小企业声明函》（格式见本采购文件附件），否则不得享受相关中小企业扶持政策。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供应商提供声明函内容不实的，属于提供虚假材料谋取中标、成交，依照《中华人民共和国政府采购法》等国家有关规定追究相应责任。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适用招标投标法的政府采购工程建设项目，投标人提供声明函内容不实的，属于弄虚作假骗取中标，依照《中华人民共和国招标投标法》等国家有关规定追究相应责任。</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1.5《中小企业声明函》由参加投标的供应商提交，如供应商为代理商，须自行采集制造商的中小企业划分类型信息填入相应栏目并对其真实性负责。</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drawing>
          <wp:inline distT="0" distB="0" distL="114300" distR="114300">
            <wp:extent cx="5612765" cy="8722995"/>
            <wp:effectExtent l="0" t="0" r="6985" b="1905"/>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7"/>
                    <a:stretch>
                      <a:fillRect/>
                    </a:stretch>
                  </pic:blipFill>
                  <pic:spPr>
                    <a:xfrm>
                      <a:off x="0" y="0"/>
                      <a:ext cx="5612765" cy="8722995"/>
                    </a:xfrm>
                    <a:prstGeom prst="rect">
                      <a:avLst/>
                    </a:prstGeom>
                  </pic:spPr>
                </pic:pic>
              </a:graphicData>
            </a:graphic>
          </wp:inline>
        </w:drawing>
      </w:r>
      <w:r>
        <w:rPr>
          <w:rFonts w:hint="eastAsia" w:ascii="宋体" w:hAnsi="宋体" w:eastAsia="宋体" w:cs="宋体"/>
          <w:b/>
          <w:bCs/>
          <w:color w:val="auto"/>
          <w:highlight w:val="none"/>
          <w:lang w:eastAsia="zh-CN"/>
        </w:rPr>
        <w:t>风险提示：</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1.在货物采购项目中，供应商提供的货物既有中型企业制造，也有小微企业制造的，不享受办法规定的小微企业扶持政策。</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2.投标人应当对其出具的《中小企业声明函》真实性负责，投标人出具的《中小企业声明函》内容不实的，</w:t>
      </w:r>
      <w:r>
        <w:rPr>
          <w:rFonts w:hint="eastAsia" w:ascii="宋体" w:hAnsi="宋体" w:eastAsia="宋体" w:cs="宋体"/>
          <w:b/>
          <w:bCs/>
          <w:color w:val="auto"/>
          <w:highlight w:val="none"/>
          <w:lang w:eastAsia="zh-CN"/>
        </w:rPr>
        <w:t>属于提供虚假材料谋取中标</w:t>
      </w:r>
      <w:r>
        <w:rPr>
          <w:rFonts w:hint="eastAsia" w:ascii="宋体" w:hAnsi="宋体" w:eastAsia="宋体" w:cs="宋体"/>
          <w:color w:val="auto"/>
          <w:highlight w:val="none"/>
          <w:lang w:eastAsia="zh-CN"/>
        </w:rPr>
        <w:t>。在实际操作中，投标人希望获得《办法》规定政策支持的，应从制造商处获得充分、准确的信息。对相关制造商信息了解不充分，或者不能确定相关信息真实、准确的，不建议出具《中小企业声明函》。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15</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残疾人福利性单位声明函</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w:t>
      </w:r>
      <w:r>
        <w:rPr>
          <w:rFonts w:hint="eastAsia" w:ascii="宋体" w:hAnsi="宋体" w:eastAsia="宋体" w:cs="宋体"/>
          <w:color w:val="auto"/>
          <w:szCs w:val="21"/>
          <w:highlight w:val="none"/>
        </w:rPr>
        <w:t>人福利性单位，且本单位参加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rPr>
        <w:t>采购活动，由本单位向采购人提供服务。</w:t>
      </w:r>
    </w:p>
    <w:p>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本单位对上述声明的真实性负责。如有虚假，将依法承担相应责任。</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投标人名称（CA签章）：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说明</w:t>
      </w:r>
      <w:r>
        <w:rPr>
          <w:rFonts w:hint="eastAsia" w:ascii="宋体" w:hAnsi="宋体" w:eastAsia="宋体" w:cs="宋体"/>
          <w:b/>
          <w:bCs/>
          <w:color w:val="auto"/>
          <w:highlight w:val="none"/>
          <w:lang w:eastAsia="zh-CN"/>
        </w:rPr>
        <w:t>：</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在本次政府采购活动中，残疾人福利性单位视同小型、微型企业，享受评审中价格扣除等促进中小企业发展的政府采购政策。残疾人福利性单位属于小型、微型企业的，不重复享受政策。</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符合相应条件的企业应根据招标文件要求提供《残疾人福利性单位声明函》，未按要求提供声明函的不被认定为残疾人福利性单位。</w:t>
      </w:r>
    </w:p>
    <w:p>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提交残疾人福利性单位声明函享受评审价格扣除优惠并中标的，内容随中标公告一同</w:t>
      </w:r>
      <w:r>
        <w:rPr>
          <w:rFonts w:hint="eastAsia" w:ascii="宋体" w:hAnsi="宋体" w:cs="宋体"/>
          <w:color w:val="auto"/>
          <w:highlight w:val="none"/>
          <w:lang w:val="en-US" w:eastAsia="zh-CN"/>
        </w:rPr>
        <w:t>公开</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eastAsia="宋体" w:cs="宋体"/>
          <w:color w:val="auto"/>
          <w:highlight w:val="none"/>
          <w:lang w:eastAsia="zh-CN"/>
        </w:rPr>
      </w:pPr>
    </w:p>
    <w:p>
      <w:pPr>
        <w:spacing w:line="360" w:lineRule="auto"/>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格式</w:t>
      </w:r>
      <w:r>
        <w:rPr>
          <w:rFonts w:hint="eastAsia" w:ascii="宋体" w:hAnsi="宋体"/>
          <w:color w:val="auto"/>
          <w:highlight w:val="none"/>
          <w:lang w:val="en-US" w:eastAsia="zh-CN"/>
        </w:rPr>
        <w:t>16</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auto"/>
          <w:spacing w:val="20"/>
          <w:sz w:val="36"/>
          <w:szCs w:val="32"/>
          <w:highlight w:val="none"/>
        </w:rPr>
      </w:pPr>
      <w:r>
        <w:rPr>
          <w:rFonts w:hint="eastAsia" w:eastAsia="黑体"/>
          <w:color w:val="auto"/>
          <w:spacing w:val="20"/>
          <w:sz w:val="36"/>
          <w:szCs w:val="32"/>
          <w:highlight w:val="none"/>
        </w:rPr>
        <w:t>政府采购统计基础信息表</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u w:val="single"/>
          <w:lang w:eastAsia="zh-CN"/>
        </w:rPr>
        <w:t>北仑行政大楼物业管理</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u w:val="single"/>
          <w:lang w:eastAsia="zh-CN"/>
        </w:rPr>
        <w:t>BLZFCG2024015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标项：</w:t>
      </w:r>
      <w:r>
        <w:rPr>
          <w:rFonts w:hint="eastAsia" w:ascii="宋体" w:hAnsi="宋体" w:eastAsia="宋体" w:cs="宋体"/>
          <w:color w:val="auto"/>
          <w:highlight w:val="none"/>
          <w:u w:val="single"/>
          <w:lang w:val="en-US" w:eastAsia="zh-CN"/>
        </w:rPr>
        <w:t xml:space="preserve">          </w:t>
      </w:r>
    </w:p>
    <w:tbl>
      <w:tblPr>
        <w:tblStyle w:val="10"/>
        <w:tblW w:w="91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56"/>
        <w:gridCol w:w="5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投标单位名称</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是否国内企业</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是否宁波企业</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企业划分标准类型（大型、中型、小型、微型）</w:t>
            </w:r>
          </w:p>
        </w:tc>
        <w:tc>
          <w:tcPr>
            <w:tcW w:w="5190" w:type="dxa"/>
            <w:noWrap w:val="0"/>
            <w:vAlign w:val="center"/>
          </w:tcPr>
          <w:p>
            <w:pP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提供的货物是否本企业制造</w:t>
            </w:r>
          </w:p>
        </w:tc>
        <w:tc>
          <w:tcPr>
            <w:tcW w:w="519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货物原产地是否是中国境内</w:t>
            </w:r>
          </w:p>
        </w:tc>
        <w:tc>
          <w:tcPr>
            <w:tcW w:w="519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货物原产地是否是宁波</w:t>
            </w:r>
          </w:p>
        </w:tc>
        <w:tc>
          <w:tcPr>
            <w:tcW w:w="519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提供的货物是否是认证的节能产品</w:t>
            </w:r>
          </w:p>
        </w:tc>
        <w:tc>
          <w:tcPr>
            <w:tcW w:w="519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提供的货物是否是认证的环境标志产品</w:t>
            </w:r>
          </w:p>
        </w:tc>
        <w:tc>
          <w:tcPr>
            <w:tcW w:w="519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承担的服务是否本企业提供</w:t>
            </w:r>
          </w:p>
        </w:tc>
        <w:tc>
          <w:tcPr>
            <w:tcW w:w="5190" w:type="dxa"/>
            <w:noWrap w:val="0"/>
            <w:vAlign w:val="center"/>
          </w:tcPr>
          <w:p>
            <w:pPr>
              <w:rPr>
                <w:rFonts w:hint="eastAsia" w:ascii="宋体" w:hAnsi="宋体" w:eastAsia="宋体" w:cs="宋体"/>
                <w:color w:val="auto"/>
                <w:sz w:val="21"/>
                <w:szCs w:val="21"/>
                <w:highlight w:val="none"/>
              </w:rPr>
            </w:pPr>
          </w:p>
        </w:tc>
      </w:tr>
    </w:tbl>
    <w:p>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说明</w:t>
      </w:r>
      <w:r>
        <w:rPr>
          <w:rFonts w:hint="eastAsia" w:ascii="宋体" w:hAnsi="宋体" w:eastAsia="宋体" w:cs="宋体"/>
          <w:b/>
          <w:bCs/>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、企业划分标准，按照（工信部联企业[2011]300号）文件的规定。</w:t>
      </w: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投标人名称（CA签章）：</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日      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p>
    <w:p>
      <w:pPr>
        <w:spacing w:line="360" w:lineRule="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b/>
          <w:bCs/>
          <w:color w:val="auto"/>
          <w:sz w:val="36"/>
          <w:szCs w:val="36"/>
          <w:highlight w:val="none"/>
        </w:rPr>
      </w:pPr>
      <w:r>
        <w:rPr>
          <w:rFonts w:ascii="宋体" w:hAnsi="宋体"/>
          <w:b/>
          <w:bCs/>
          <w:color w:val="auto"/>
          <w:sz w:val="36"/>
          <w:szCs w:val="36"/>
          <w:highlight w:val="none"/>
        </w:rPr>
        <w:br w:type="page"/>
      </w:r>
      <w:r>
        <w:rPr>
          <w:rFonts w:hint="eastAsia" w:ascii="宋体" w:hAnsi="宋体"/>
          <w:b/>
          <w:bCs/>
          <w:color w:val="auto"/>
          <w:sz w:val="36"/>
          <w:szCs w:val="36"/>
          <w:highlight w:val="none"/>
        </w:rPr>
        <w:t>第</w:t>
      </w:r>
      <w:r>
        <w:rPr>
          <w:rFonts w:hint="eastAsia" w:ascii="宋体" w:hAnsi="宋体"/>
          <w:b/>
          <w:bCs/>
          <w:color w:val="auto"/>
          <w:sz w:val="36"/>
          <w:szCs w:val="36"/>
          <w:highlight w:val="none"/>
          <w:lang w:val="en-US" w:eastAsia="zh-CN"/>
        </w:rPr>
        <w:t>七</w:t>
      </w:r>
      <w:r>
        <w:rPr>
          <w:rFonts w:hint="eastAsia" w:ascii="宋体" w:hAnsi="宋体"/>
          <w:b/>
          <w:bCs/>
          <w:color w:val="auto"/>
          <w:sz w:val="36"/>
          <w:szCs w:val="36"/>
          <w:highlight w:val="none"/>
        </w:rPr>
        <w:t>部分  评标办法及评分标准</w:t>
      </w:r>
    </w:p>
    <w:p>
      <w:pPr>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1</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评标原则</w:t>
      </w:r>
    </w:p>
    <w:p>
      <w:pPr>
        <w:spacing w:line="360" w:lineRule="auto"/>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评标活动遵循公平、公正、客观的原则，按招标文件中规定的评标方法和标准进行。</w:t>
      </w:r>
    </w:p>
    <w:p>
      <w:pPr>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2</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评标办法</w:t>
      </w:r>
    </w:p>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本次招标采用综合评分法。</w:t>
      </w:r>
    </w:p>
    <w:p>
      <w:pPr>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rPr>
        <w:t>3</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评标委员会</w:t>
      </w:r>
    </w:p>
    <w:p>
      <w:pPr>
        <w:spacing w:line="360" w:lineRule="auto"/>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采购人和采购代理机构根据采购项目的内容特点按照规定组建评标委员会。</w:t>
      </w:r>
    </w:p>
    <w:p>
      <w:pPr>
        <w:spacing w:line="360" w:lineRule="auto"/>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评标委员会由采购人代表和评审专家组成，成员人数为5人以上单数，其中评审专家不少于成员总数的三分之二。</w:t>
      </w:r>
    </w:p>
    <w:p>
      <w:pPr>
        <w:spacing w:line="360" w:lineRule="auto"/>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4</w:t>
      </w:r>
      <w:r>
        <w:rPr>
          <w:rFonts w:hint="eastAsia" w:ascii="宋体" w:hAnsi="宋体"/>
          <w:b/>
          <w:bCs/>
          <w:color w:val="auto"/>
          <w:sz w:val="21"/>
          <w:szCs w:val="21"/>
          <w:highlight w:val="none"/>
          <w:lang w:eastAsia="zh-CN"/>
        </w:rPr>
        <w:t>、</w:t>
      </w:r>
      <w:r>
        <w:rPr>
          <w:rFonts w:hint="eastAsia" w:ascii="宋体" w:hAnsi="宋体"/>
          <w:b/>
          <w:bCs/>
          <w:color w:val="auto"/>
          <w:sz w:val="21"/>
          <w:szCs w:val="21"/>
          <w:highlight w:val="none"/>
        </w:rPr>
        <w:t>评标</w:t>
      </w:r>
    </w:p>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4.1资格文件审查</w:t>
      </w:r>
    </w:p>
    <w:p>
      <w:pPr>
        <w:spacing w:line="360" w:lineRule="auto"/>
        <w:rPr>
          <w:rFonts w:hint="eastAsia" w:ascii="宋体" w:hAnsi="宋体"/>
          <w:color w:val="auto"/>
          <w:highlight w:val="none"/>
        </w:rPr>
      </w:pPr>
      <w:r>
        <w:rPr>
          <w:rFonts w:hint="eastAsia" w:ascii="宋体" w:hAnsi="宋体"/>
          <w:color w:val="auto"/>
          <w:highlight w:val="none"/>
        </w:rPr>
        <w:t>开标后，采购人、采购代理机构按照招标文件的规定对投标人的资格</w:t>
      </w:r>
      <w:r>
        <w:rPr>
          <w:rFonts w:hint="eastAsia" w:ascii="宋体" w:hAnsi="宋体"/>
          <w:color w:val="auto"/>
          <w:highlight w:val="none"/>
          <w:lang w:val="en-US" w:eastAsia="zh-CN"/>
        </w:rPr>
        <w:t>证明</w:t>
      </w:r>
      <w:r>
        <w:rPr>
          <w:rFonts w:hint="eastAsia" w:ascii="宋体" w:hAnsi="宋体"/>
          <w:color w:val="auto"/>
          <w:highlight w:val="none"/>
        </w:rPr>
        <w:t>文件进行审查，以确定投标供应商是否具备投标资格。</w:t>
      </w:r>
    </w:p>
    <w:p>
      <w:pPr>
        <w:spacing w:line="360" w:lineRule="auto"/>
        <w:rPr>
          <w:rFonts w:hint="eastAsia" w:ascii="宋体" w:hAnsi="宋体"/>
          <w:color w:val="auto"/>
          <w:highlight w:val="none"/>
        </w:rPr>
      </w:pPr>
      <w:r>
        <w:rPr>
          <w:rFonts w:hint="eastAsia" w:ascii="宋体" w:hAnsi="宋体"/>
          <w:color w:val="auto"/>
          <w:highlight w:val="none"/>
        </w:rPr>
        <w:t>审查内容包括投标人提供的资格证明材料是否齐全规范，投标人资格、信用信息等是否满足招标文件的要求。审查不合格的投标人，不进入技术商务文件评审。</w:t>
      </w:r>
      <w:r>
        <w:rPr>
          <w:rFonts w:hint="eastAsia" w:ascii="宋体" w:hAnsi="宋体"/>
          <w:color w:val="auto"/>
          <w:highlight w:val="none"/>
        </w:rPr>
        <w:t>（具体见本部分无效投标的认定）</w:t>
      </w:r>
    </w:p>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4.2技术商务文件评审</w:t>
      </w:r>
    </w:p>
    <w:p>
      <w:pPr>
        <w:spacing w:line="360" w:lineRule="auto"/>
        <w:rPr>
          <w:rFonts w:hint="eastAsia" w:ascii="宋体" w:hAnsi="宋体"/>
          <w:color w:val="auto"/>
          <w:highlight w:val="none"/>
        </w:rPr>
      </w:pPr>
      <w:r>
        <w:rPr>
          <w:rFonts w:hint="eastAsia" w:ascii="宋体" w:hAnsi="宋体"/>
          <w:color w:val="auto"/>
          <w:highlight w:val="none"/>
          <w:lang w:val="en-US" w:eastAsia="zh-CN"/>
        </w:rPr>
        <w:t>4.2.1</w:t>
      </w:r>
      <w:r>
        <w:rPr>
          <w:rFonts w:hint="eastAsia" w:ascii="宋体" w:hAnsi="宋体"/>
          <w:color w:val="auto"/>
          <w:highlight w:val="none"/>
        </w:rPr>
        <w:t>技术商务文件符合性审查</w:t>
      </w:r>
    </w:p>
    <w:p>
      <w:pPr>
        <w:spacing w:line="360" w:lineRule="auto"/>
        <w:rPr>
          <w:rFonts w:hint="eastAsia" w:ascii="宋体" w:hAnsi="宋体"/>
          <w:color w:val="auto"/>
          <w:highlight w:val="none"/>
        </w:rPr>
      </w:pPr>
      <w:r>
        <w:rPr>
          <w:rFonts w:hint="eastAsia" w:ascii="宋体" w:hAnsi="宋体"/>
          <w:color w:val="auto"/>
          <w:highlight w:val="none"/>
        </w:rPr>
        <w:t>资格审查通过后，开启合格投标人的技术商务文件。</w:t>
      </w:r>
    </w:p>
    <w:p>
      <w:pPr>
        <w:spacing w:line="360" w:lineRule="auto"/>
        <w:rPr>
          <w:rFonts w:hint="eastAsia" w:ascii="宋体" w:hAnsi="宋体"/>
          <w:color w:val="auto"/>
          <w:highlight w:val="none"/>
        </w:rPr>
      </w:pPr>
      <w:r>
        <w:rPr>
          <w:rFonts w:hint="eastAsia" w:ascii="宋体" w:hAnsi="宋体"/>
          <w:color w:val="auto"/>
          <w:highlight w:val="none"/>
        </w:rPr>
        <w:t>评标委员会依据招标文件的规定，对投标人的技术商务文件的有效性、完整性和对招标文件的响应程度进行审查，以确定是否对招标文件的实质性要求作出响应。</w:t>
      </w:r>
    </w:p>
    <w:p>
      <w:pPr>
        <w:spacing w:line="360" w:lineRule="auto"/>
        <w:rPr>
          <w:rFonts w:hint="eastAsia" w:ascii="宋体" w:hAnsi="宋体"/>
          <w:color w:val="auto"/>
          <w:highlight w:val="none"/>
        </w:rPr>
      </w:pPr>
      <w:r>
        <w:rPr>
          <w:rFonts w:hint="eastAsia" w:ascii="宋体" w:hAnsi="宋体"/>
          <w:color w:val="auto"/>
          <w:highlight w:val="none"/>
        </w:rPr>
        <w:t>审查内容包括技术商务文件是否完整、文件签署是否齐全等，还包括投标文件是否对招标文件提出的所有实质性要求和条件作出响应，有无重大偏差；如有重大偏差者，作无效投标处理，不予进入详细评审。</w:t>
      </w:r>
      <w:r>
        <w:rPr>
          <w:rFonts w:hint="eastAsia" w:ascii="宋体" w:hAnsi="宋体"/>
          <w:color w:val="auto"/>
          <w:highlight w:val="none"/>
        </w:rPr>
        <w:t>（具体见本部分无效投标的认定）</w:t>
      </w:r>
    </w:p>
    <w:p>
      <w:pPr>
        <w:spacing w:line="360" w:lineRule="auto"/>
        <w:rPr>
          <w:rFonts w:hint="eastAsia" w:ascii="宋体" w:hAnsi="宋体"/>
          <w:color w:val="auto"/>
          <w:highlight w:val="none"/>
          <w:lang w:eastAsia="zh-CN"/>
        </w:rPr>
      </w:pPr>
      <w:r>
        <w:rPr>
          <w:rFonts w:hint="eastAsia" w:ascii="宋体" w:hAnsi="宋体"/>
          <w:color w:val="auto"/>
          <w:highlight w:val="none"/>
          <w:lang w:val="en-US" w:eastAsia="zh-CN"/>
        </w:rPr>
        <w:t>4.2.2</w:t>
      </w:r>
      <w:r>
        <w:rPr>
          <w:rFonts w:hint="eastAsia" w:ascii="宋体" w:hAnsi="宋体"/>
          <w:color w:val="auto"/>
          <w:highlight w:val="none"/>
        </w:rPr>
        <w:t>技术商务文件详细评审</w:t>
      </w:r>
    </w:p>
    <w:p>
      <w:pPr>
        <w:spacing w:line="360" w:lineRule="auto"/>
        <w:rPr>
          <w:rFonts w:hint="eastAsia" w:ascii="宋体" w:hAnsi="宋体" w:eastAsia="宋体"/>
          <w:color w:val="auto"/>
          <w:highlight w:val="none"/>
          <w:lang w:eastAsia="zh-CN"/>
        </w:rPr>
      </w:pPr>
      <w:r>
        <w:rPr>
          <w:rFonts w:hint="eastAsia" w:ascii="宋体" w:hAnsi="宋体"/>
          <w:color w:val="auto"/>
          <w:highlight w:val="none"/>
        </w:rPr>
        <w:t>评标委员会</w:t>
      </w:r>
      <w:r>
        <w:rPr>
          <w:rFonts w:hint="eastAsia" w:ascii="宋体" w:hAnsi="宋体"/>
          <w:color w:val="auto"/>
          <w:highlight w:val="none"/>
        </w:rPr>
        <w:t>对具备实质性响应的</w:t>
      </w:r>
      <w:r>
        <w:rPr>
          <w:rFonts w:hint="eastAsia" w:ascii="宋体" w:hAnsi="宋体"/>
          <w:color w:val="auto"/>
          <w:highlight w:val="none"/>
        </w:rPr>
        <w:t>技术商务文件</w:t>
      </w:r>
      <w:r>
        <w:rPr>
          <w:rFonts w:hint="eastAsia" w:ascii="宋体" w:hAnsi="宋体"/>
          <w:color w:val="auto"/>
          <w:highlight w:val="none"/>
        </w:rPr>
        <w:t>进行</w:t>
      </w:r>
      <w:r>
        <w:rPr>
          <w:rFonts w:hint="eastAsia" w:ascii="宋体" w:hAnsi="宋体"/>
          <w:color w:val="auto"/>
          <w:highlight w:val="none"/>
          <w:lang w:val="en-US" w:eastAsia="zh-CN"/>
        </w:rPr>
        <w:t>进一步</w:t>
      </w:r>
      <w:r>
        <w:rPr>
          <w:rFonts w:hint="eastAsia" w:ascii="宋体" w:hAnsi="宋体"/>
          <w:color w:val="auto"/>
          <w:highlight w:val="none"/>
        </w:rPr>
        <w:t>评估和比较</w:t>
      </w:r>
      <w:r>
        <w:rPr>
          <w:rFonts w:hint="eastAsia" w:ascii="宋体" w:hAnsi="宋体"/>
          <w:color w:val="auto"/>
          <w:highlight w:val="none"/>
          <w:lang w:eastAsia="zh-CN"/>
        </w:rPr>
        <w:t>。</w:t>
      </w:r>
    </w:p>
    <w:p>
      <w:pPr>
        <w:spacing w:line="360" w:lineRule="auto"/>
        <w:rPr>
          <w:rFonts w:hint="eastAsia" w:ascii="宋体" w:hAnsi="宋体"/>
          <w:color w:val="auto"/>
          <w:highlight w:val="none"/>
        </w:rPr>
      </w:pPr>
      <w:r>
        <w:rPr>
          <w:rFonts w:hint="eastAsia" w:ascii="宋体" w:hAnsi="宋体"/>
          <w:color w:val="auto"/>
          <w:highlight w:val="none"/>
        </w:rPr>
        <w:t>评标委员会成员根据投标人的技术商务文件及相关澄清文件</w:t>
      </w:r>
      <w:r>
        <w:rPr>
          <w:rFonts w:hint="eastAsia" w:ascii="宋体" w:hAnsi="宋体"/>
          <w:color w:val="auto"/>
          <w:highlight w:val="none"/>
          <w:lang w:eastAsia="zh-CN"/>
        </w:rPr>
        <w:t>，</w:t>
      </w:r>
      <w:r>
        <w:rPr>
          <w:rFonts w:hint="eastAsia" w:ascii="宋体" w:hAnsi="宋体"/>
          <w:color w:val="auto"/>
          <w:highlight w:val="none"/>
        </w:rPr>
        <w:t>按照评分标准表</w:t>
      </w:r>
      <w:r>
        <w:rPr>
          <w:rFonts w:hint="eastAsia" w:ascii="宋体" w:hAnsi="宋体"/>
          <w:color w:val="auto"/>
          <w:highlight w:val="none"/>
        </w:rPr>
        <w:t>（具体见本部分评分标准表）</w:t>
      </w:r>
      <w:r>
        <w:rPr>
          <w:rFonts w:hint="eastAsia" w:ascii="宋体" w:hAnsi="宋体"/>
          <w:color w:val="auto"/>
          <w:highlight w:val="none"/>
        </w:rPr>
        <w:t>对各投标人技术商务</w:t>
      </w:r>
      <w:r>
        <w:rPr>
          <w:rFonts w:hint="eastAsia" w:ascii="宋体" w:hAnsi="宋体"/>
          <w:color w:val="auto"/>
          <w:highlight w:val="none"/>
          <w:lang w:val="en-US" w:eastAsia="zh-CN"/>
        </w:rPr>
        <w:t>文件</w:t>
      </w:r>
      <w:r>
        <w:rPr>
          <w:rFonts w:hint="eastAsia" w:ascii="宋体" w:hAnsi="宋体"/>
          <w:color w:val="auto"/>
          <w:highlight w:val="none"/>
        </w:rPr>
        <w:t>进行打分。</w:t>
      </w:r>
    </w:p>
    <w:p>
      <w:pPr>
        <w:spacing w:line="360" w:lineRule="auto"/>
        <w:rPr>
          <w:rFonts w:hint="eastAsia" w:ascii="宋体" w:hAnsi="宋体"/>
          <w:color w:val="auto"/>
          <w:highlight w:val="none"/>
        </w:rPr>
      </w:pPr>
      <w:r>
        <w:rPr>
          <w:rFonts w:hint="eastAsia" w:ascii="宋体" w:hAnsi="宋体"/>
          <w:color w:val="auto"/>
          <w:highlight w:val="none"/>
        </w:rPr>
        <w:t>评标委员会成员打分采用记名方式，统计时汇总每一细项每位评标委员会成员的评分，取算术平均分（小数点后保留二位小数，四舍五入）。</w:t>
      </w:r>
    </w:p>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4.3报价文件评审</w:t>
      </w:r>
    </w:p>
    <w:p>
      <w:pPr>
        <w:spacing w:line="360" w:lineRule="auto"/>
        <w:rPr>
          <w:rFonts w:hint="eastAsia" w:ascii="宋体" w:hAnsi="宋体"/>
          <w:color w:val="auto"/>
          <w:highlight w:val="none"/>
        </w:rPr>
      </w:pPr>
      <w:r>
        <w:rPr>
          <w:rFonts w:hint="eastAsia" w:ascii="宋体" w:hAnsi="宋体"/>
          <w:color w:val="auto"/>
          <w:highlight w:val="none"/>
          <w:lang w:val="en-US" w:eastAsia="zh-CN"/>
        </w:rPr>
        <w:t>4.3.1报价文件</w:t>
      </w:r>
      <w:r>
        <w:rPr>
          <w:rFonts w:hint="eastAsia" w:ascii="宋体" w:hAnsi="宋体"/>
          <w:color w:val="auto"/>
          <w:highlight w:val="none"/>
        </w:rPr>
        <w:t>符合性审查</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技术商务文件评审结束后，开启有效投标人的报价文件。</w:t>
      </w:r>
    </w:p>
    <w:p>
      <w:pPr>
        <w:spacing w:line="360" w:lineRule="auto"/>
        <w:rPr>
          <w:rFonts w:hint="eastAsia" w:ascii="宋体" w:hAnsi="宋体"/>
          <w:color w:val="auto"/>
          <w:highlight w:val="none"/>
        </w:rPr>
      </w:pPr>
      <w:r>
        <w:rPr>
          <w:rFonts w:hint="eastAsia" w:ascii="宋体" w:hAnsi="宋体"/>
          <w:color w:val="auto"/>
          <w:highlight w:val="none"/>
        </w:rPr>
        <w:t>评标委员会对投标人的</w:t>
      </w:r>
      <w:r>
        <w:rPr>
          <w:rFonts w:hint="eastAsia" w:ascii="宋体" w:hAnsi="宋体"/>
          <w:color w:val="auto"/>
          <w:highlight w:val="none"/>
          <w:lang w:val="en-US" w:eastAsia="zh-CN"/>
        </w:rPr>
        <w:t>报价</w:t>
      </w:r>
      <w:r>
        <w:rPr>
          <w:rFonts w:hint="eastAsia" w:ascii="宋体" w:hAnsi="宋体"/>
          <w:color w:val="auto"/>
          <w:highlight w:val="none"/>
        </w:rPr>
        <w:t>文件的有效性、完整性和对招标文件的响应程度进行审查，以确定是否对招标文件的实质性要求作出响应。</w:t>
      </w:r>
    </w:p>
    <w:p>
      <w:pPr>
        <w:spacing w:line="360" w:lineRule="auto"/>
        <w:rPr>
          <w:rFonts w:hint="eastAsia" w:ascii="宋体" w:hAnsi="宋体"/>
          <w:color w:val="auto"/>
          <w:highlight w:val="none"/>
        </w:rPr>
      </w:pPr>
      <w:r>
        <w:rPr>
          <w:rFonts w:hint="eastAsia" w:ascii="宋体" w:hAnsi="宋体"/>
          <w:color w:val="auto"/>
          <w:highlight w:val="none"/>
        </w:rPr>
        <w:t>审查内容包括</w:t>
      </w:r>
      <w:r>
        <w:rPr>
          <w:rFonts w:hint="eastAsia" w:ascii="宋体" w:hAnsi="宋体"/>
          <w:color w:val="auto"/>
          <w:highlight w:val="none"/>
          <w:lang w:val="en-US" w:eastAsia="zh-CN"/>
        </w:rPr>
        <w:t>报价</w:t>
      </w:r>
      <w:r>
        <w:rPr>
          <w:rFonts w:hint="eastAsia" w:ascii="宋体" w:hAnsi="宋体"/>
          <w:color w:val="auto"/>
          <w:highlight w:val="none"/>
        </w:rPr>
        <w:t>文件是否完整、文件签署是否齐全</w:t>
      </w:r>
      <w:r>
        <w:rPr>
          <w:rFonts w:hint="eastAsia" w:ascii="宋体" w:hAnsi="宋体"/>
          <w:color w:val="auto"/>
          <w:highlight w:val="none"/>
          <w:lang w:eastAsia="zh-CN"/>
        </w:rPr>
        <w:t>，</w:t>
      </w:r>
      <w:r>
        <w:rPr>
          <w:rFonts w:hint="eastAsia" w:ascii="宋体" w:hAnsi="宋体"/>
          <w:color w:val="auto"/>
          <w:highlight w:val="none"/>
          <w:lang w:val="en-US" w:eastAsia="zh-CN"/>
        </w:rPr>
        <w:t>报价是否超出采购预算或最高限价，</w:t>
      </w:r>
      <w:r>
        <w:rPr>
          <w:rFonts w:hint="eastAsia" w:ascii="宋体" w:hAnsi="宋体"/>
          <w:color w:val="auto"/>
          <w:highlight w:val="none"/>
        </w:rPr>
        <w:t>投标文件是否对招标文件提出的实质性要求作出响应，有无重大偏差；如有重大偏差者，作无效投标处理，不予进入详细评审</w:t>
      </w:r>
      <w:r>
        <w:rPr>
          <w:rFonts w:hint="eastAsia" w:ascii="宋体" w:hAnsi="宋体"/>
          <w:color w:val="auto"/>
          <w:highlight w:val="none"/>
        </w:rPr>
        <w:t>。</w:t>
      </w:r>
      <w:r>
        <w:rPr>
          <w:rFonts w:hint="eastAsia" w:ascii="宋体" w:hAnsi="宋体"/>
          <w:color w:val="auto"/>
          <w:highlight w:val="none"/>
        </w:rPr>
        <w:t>（具体见本部分无效投标的认定）</w:t>
      </w:r>
    </w:p>
    <w:p>
      <w:pPr>
        <w:spacing w:line="360" w:lineRule="auto"/>
        <w:rPr>
          <w:rFonts w:hint="eastAsia" w:ascii="宋体" w:hAnsi="宋体"/>
          <w:color w:val="auto"/>
          <w:highlight w:val="none"/>
        </w:rPr>
      </w:pPr>
      <w:r>
        <w:rPr>
          <w:rFonts w:hint="eastAsia" w:ascii="宋体" w:hAnsi="宋体"/>
          <w:color w:val="auto"/>
          <w:highlight w:val="none"/>
          <w:lang w:val="en-US" w:eastAsia="zh-CN"/>
        </w:rPr>
        <w:t>4.3.2报价文件</w:t>
      </w:r>
      <w:r>
        <w:rPr>
          <w:rFonts w:hint="eastAsia" w:ascii="宋体" w:hAnsi="宋体"/>
          <w:color w:val="auto"/>
          <w:highlight w:val="none"/>
        </w:rPr>
        <w:t>详细评审</w:t>
      </w:r>
    </w:p>
    <w:p>
      <w:pPr>
        <w:spacing w:line="360" w:lineRule="auto"/>
        <w:rPr>
          <w:rFonts w:hint="eastAsia" w:ascii="宋体" w:hAnsi="宋体" w:eastAsia="宋体"/>
          <w:color w:val="auto"/>
          <w:highlight w:val="none"/>
          <w:lang w:eastAsia="zh-CN"/>
        </w:rPr>
      </w:pPr>
      <w:r>
        <w:rPr>
          <w:rFonts w:hint="eastAsia" w:ascii="宋体" w:hAnsi="宋体"/>
          <w:color w:val="auto"/>
          <w:highlight w:val="none"/>
        </w:rPr>
        <w:t>评标委员会</w:t>
      </w:r>
      <w:r>
        <w:rPr>
          <w:rFonts w:hint="eastAsia" w:ascii="宋体" w:hAnsi="宋体"/>
          <w:color w:val="auto"/>
          <w:highlight w:val="none"/>
        </w:rPr>
        <w:t>对具备实质性响应的</w:t>
      </w:r>
      <w:r>
        <w:rPr>
          <w:rFonts w:hint="eastAsia" w:ascii="宋体" w:hAnsi="宋体"/>
          <w:color w:val="auto"/>
          <w:highlight w:val="none"/>
          <w:lang w:val="en-US" w:eastAsia="zh-CN"/>
        </w:rPr>
        <w:t>报价</w:t>
      </w:r>
      <w:r>
        <w:rPr>
          <w:rFonts w:hint="eastAsia" w:ascii="宋体" w:hAnsi="宋体"/>
          <w:color w:val="auto"/>
          <w:highlight w:val="none"/>
        </w:rPr>
        <w:t>文件</w:t>
      </w:r>
      <w:r>
        <w:rPr>
          <w:rFonts w:hint="eastAsia" w:ascii="宋体" w:hAnsi="宋体"/>
          <w:color w:val="auto"/>
          <w:highlight w:val="none"/>
        </w:rPr>
        <w:t>进行</w:t>
      </w:r>
      <w:r>
        <w:rPr>
          <w:rFonts w:hint="eastAsia" w:ascii="宋体" w:hAnsi="宋体"/>
          <w:color w:val="auto"/>
          <w:highlight w:val="none"/>
          <w:lang w:val="en-US" w:eastAsia="zh-CN"/>
        </w:rPr>
        <w:t>进一步评审</w:t>
      </w:r>
      <w:r>
        <w:rPr>
          <w:rFonts w:hint="eastAsia" w:ascii="宋体" w:hAnsi="宋体"/>
          <w:color w:val="auto"/>
          <w:highlight w:val="none"/>
          <w:lang w:eastAsia="zh-CN"/>
        </w:rPr>
        <w:t>。</w:t>
      </w:r>
    </w:p>
    <w:p>
      <w:pPr>
        <w:spacing w:line="360" w:lineRule="auto"/>
        <w:rPr>
          <w:rFonts w:hint="eastAsia" w:ascii="宋体" w:hAnsi="宋体"/>
          <w:color w:val="auto"/>
          <w:highlight w:val="none"/>
          <w:lang w:eastAsia="zh-CN"/>
        </w:rPr>
      </w:pPr>
      <w:r>
        <w:rPr>
          <w:rFonts w:hint="eastAsia" w:ascii="宋体" w:hAnsi="宋体"/>
          <w:color w:val="auto"/>
          <w:highlight w:val="none"/>
          <w:lang w:eastAsia="zh-CN"/>
        </w:rPr>
        <w:t>评标委员会</w:t>
      </w:r>
      <w:r>
        <w:rPr>
          <w:rFonts w:hint="eastAsia" w:ascii="宋体" w:hAnsi="宋体"/>
          <w:color w:val="auto"/>
          <w:highlight w:val="none"/>
        </w:rPr>
        <w:t>认为投标人的报价明显低于其他通过符合性审查投标人的报价，有可能影响产品质量或者不能诚信履约的，应当要求其在</w:t>
      </w:r>
      <w:r>
        <w:rPr>
          <w:rFonts w:hint="eastAsia" w:ascii="宋体" w:hAnsi="宋体"/>
          <w:color w:val="auto"/>
          <w:highlight w:val="none"/>
        </w:rPr>
        <w:t>评标</w:t>
      </w:r>
      <w:r>
        <w:rPr>
          <w:rFonts w:hint="eastAsia" w:ascii="宋体" w:hAnsi="宋体"/>
          <w:color w:val="auto"/>
          <w:highlight w:val="none"/>
          <w:lang w:val="en-US" w:eastAsia="zh-CN"/>
        </w:rPr>
        <w:t>期间</w:t>
      </w:r>
      <w:r>
        <w:rPr>
          <w:rFonts w:hint="eastAsia" w:ascii="宋体" w:hAnsi="宋体"/>
          <w:color w:val="auto"/>
          <w:highlight w:val="none"/>
        </w:rPr>
        <w:t>合理的时间内提供书面说明，必要时提交相关证明材料，投标人不能证明其报价合理性的，作无效投标处理</w:t>
      </w:r>
      <w:r>
        <w:rPr>
          <w:rFonts w:hint="eastAsia" w:ascii="宋体" w:hAnsi="宋体"/>
          <w:color w:val="auto"/>
          <w:highlight w:val="none"/>
          <w:lang w:eastAsia="zh-CN"/>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4.3.3报价修正规则</w:t>
      </w:r>
    </w:p>
    <w:p>
      <w:pPr>
        <w:spacing w:line="360" w:lineRule="auto"/>
        <w:rPr>
          <w:rFonts w:hint="eastAsia" w:ascii="宋体" w:hAnsi="宋体"/>
          <w:color w:val="auto"/>
          <w:highlight w:val="none"/>
        </w:rPr>
      </w:pPr>
      <w:r>
        <w:rPr>
          <w:rFonts w:hint="eastAsia" w:ascii="宋体" w:hAnsi="宋体"/>
          <w:color w:val="auto"/>
          <w:highlight w:val="none"/>
        </w:rPr>
        <w:t>在评审中，对投标报价出现前后不一致的，除招标文件另有规定外，按照下列规定修正：</w:t>
      </w:r>
    </w:p>
    <w:p>
      <w:pPr>
        <w:spacing w:line="360" w:lineRule="auto"/>
        <w:rPr>
          <w:rFonts w:hint="eastAsia" w:ascii="宋体" w:hAnsi="宋体"/>
          <w:color w:val="auto"/>
          <w:highlight w:val="none"/>
        </w:rPr>
      </w:pPr>
      <w:r>
        <w:rPr>
          <w:rFonts w:hint="eastAsia" w:ascii="宋体" w:hAnsi="宋体"/>
          <w:color w:val="auto"/>
          <w:highlight w:val="none"/>
        </w:rPr>
        <w:t>（1）投标文件中开标一览表内容与投标文件中明细表内容不一致的，以开标一览表为准。</w:t>
      </w:r>
    </w:p>
    <w:p>
      <w:pPr>
        <w:spacing w:line="360" w:lineRule="auto"/>
        <w:rPr>
          <w:rFonts w:hint="eastAsia" w:ascii="宋体" w:hAnsi="宋体"/>
          <w:color w:val="auto"/>
          <w:highlight w:val="none"/>
        </w:rPr>
      </w:pPr>
      <w:r>
        <w:rPr>
          <w:rFonts w:hint="eastAsia" w:ascii="宋体" w:hAnsi="宋体"/>
          <w:color w:val="auto"/>
          <w:highlight w:val="none"/>
        </w:rPr>
        <w:t>（2）投标文件的大写金额和小写金额不一致的，以大写金额为准。</w:t>
      </w:r>
    </w:p>
    <w:p>
      <w:pPr>
        <w:spacing w:line="360" w:lineRule="auto"/>
        <w:rPr>
          <w:rFonts w:hint="eastAsia" w:ascii="宋体" w:hAnsi="宋体"/>
          <w:color w:val="auto"/>
          <w:highlight w:val="none"/>
        </w:rPr>
      </w:pPr>
      <w:r>
        <w:rPr>
          <w:rFonts w:hint="eastAsia" w:ascii="宋体" w:hAnsi="宋体"/>
          <w:color w:val="auto"/>
          <w:highlight w:val="none"/>
        </w:rPr>
        <w:t>（3）单价金额小数点或者百分比有明显错位的，以开标一览表的总价为准，并修改单价。</w:t>
      </w:r>
    </w:p>
    <w:p>
      <w:pPr>
        <w:spacing w:line="360" w:lineRule="auto"/>
        <w:rPr>
          <w:rFonts w:hint="eastAsia" w:ascii="宋体" w:hAnsi="宋体"/>
          <w:color w:val="auto"/>
          <w:highlight w:val="none"/>
        </w:rPr>
      </w:pPr>
      <w:r>
        <w:rPr>
          <w:rFonts w:hint="eastAsia" w:ascii="宋体" w:hAnsi="宋体"/>
          <w:color w:val="auto"/>
          <w:highlight w:val="none"/>
        </w:rPr>
        <w:t>（4）总价金额与按单价汇总金额不一致的，以单价金额计算结果为准。</w:t>
      </w:r>
    </w:p>
    <w:p>
      <w:pPr>
        <w:spacing w:line="360" w:lineRule="auto"/>
        <w:rPr>
          <w:rFonts w:hint="eastAsia" w:ascii="宋体" w:hAnsi="宋体"/>
          <w:color w:val="auto"/>
          <w:highlight w:val="none"/>
        </w:rPr>
      </w:pPr>
      <w:r>
        <w:rPr>
          <w:rFonts w:hint="eastAsia" w:ascii="宋体" w:hAnsi="宋体"/>
          <w:color w:val="auto"/>
          <w:highlight w:val="none"/>
        </w:rPr>
        <w:t>同时出现两种以上不一致的，按照前款规定的顺序修正。</w:t>
      </w:r>
    </w:p>
    <w:p>
      <w:pPr>
        <w:spacing w:line="360" w:lineRule="auto"/>
        <w:rPr>
          <w:rFonts w:hint="eastAsia" w:ascii="宋体" w:hAnsi="宋体"/>
          <w:color w:val="auto"/>
          <w:highlight w:val="none"/>
        </w:rPr>
      </w:pPr>
      <w:r>
        <w:rPr>
          <w:rFonts w:hint="eastAsia" w:ascii="宋体" w:hAnsi="宋体"/>
          <w:color w:val="auto"/>
          <w:highlight w:val="none"/>
        </w:rPr>
        <w:t>按上述方法调整后的投标报价经投标人确认后产生约束力，投标人不确认的，其投标无效。</w:t>
      </w:r>
    </w:p>
    <w:p>
      <w:pPr>
        <w:spacing w:line="360" w:lineRule="auto"/>
        <w:rPr>
          <w:rFonts w:hint="eastAsia" w:ascii="宋体" w:hAnsi="宋体"/>
          <w:color w:val="auto"/>
          <w:highlight w:val="none"/>
        </w:rPr>
      </w:pPr>
      <w:r>
        <w:rPr>
          <w:rFonts w:hint="eastAsia" w:ascii="宋体" w:hAnsi="宋体"/>
          <w:color w:val="auto"/>
          <w:highlight w:val="none"/>
          <w:lang w:val="en-US" w:eastAsia="zh-CN"/>
        </w:rPr>
        <w:t>4.3.4</w:t>
      </w:r>
      <w:r>
        <w:rPr>
          <w:rFonts w:hint="eastAsia" w:ascii="宋体" w:hAnsi="宋体"/>
          <w:color w:val="auto"/>
          <w:highlight w:val="none"/>
        </w:rPr>
        <w:t>计算报价得分</w:t>
      </w:r>
    </w:p>
    <w:p>
      <w:pPr>
        <w:spacing w:line="360" w:lineRule="auto"/>
        <w:rPr>
          <w:rFonts w:hint="eastAsia" w:ascii="宋体" w:hAnsi="宋体"/>
          <w:color w:val="auto"/>
          <w:highlight w:val="none"/>
          <w:lang w:eastAsia="zh-CN"/>
        </w:rPr>
      </w:pPr>
      <w:r>
        <w:rPr>
          <w:rFonts w:hint="eastAsia" w:ascii="宋体" w:hAnsi="宋体"/>
          <w:color w:val="auto"/>
          <w:highlight w:val="none"/>
          <w:lang w:val="en-US" w:eastAsia="zh-CN"/>
        </w:rPr>
        <w:t>报价</w:t>
      </w:r>
      <w:r>
        <w:rPr>
          <w:rFonts w:hint="eastAsia" w:ascii="宋体" w:hAnsi="宋体"/>
          <w:color w:val="auto"/>
          <w:highlight w:val="none"/>
        </w:rPr>
        <w:t>评审</w:t>
      </w:r>
      <w:r>
        <w:rPr>
          <w:rFonts w:hint="eastAsia" w:ascii="宋体" w:hAnsi="宋体"/>
          <w:color w:val="auto"/>
          <w:highlight w:val="none"/>
          <w:lang w:val="en-US" w:eastAsia="zh-CN"/>
        </w:rPr>
        <w:t>结束后</w:t>
      </w:r>
      <w:r>
        <w:rPr>
          <w:rFonts w:hint="eastAsia" w:ascii="宋体" w:hAnsi="宋体"/>
          <w:color w:val="auto"/>
          <w:highlight w:val="none"/>
          <w:lang w:eastAsia="zh-CN"/>
        </w:rPr>
        <w:t>，</w:t>
      </w:r>
      <w:r>
        <w:rPr>
          <w:rFonts w:hint="eastAsia" w:ascii="宋体" w:hAnsi="宋体"/>
          <w:color w:val="auto"/>
          <w:highlight w:val="none"/>
          <w:lang w:val="en-US" w:eastAsia="zh-CN"/>
        </w:rPr>
        <w:t>评标委员会</w:t>
      </w:r>
      <w:r>
        <w:rPr>
          <w:rFonts w:hint="eastAsia" w:ascii="宋体" w:hAnsi="宋体"/>
          <w:color w:val="auto"/>
          <w:highlight w:val="none"/>
        </w:rPr>
        <w:t>按评分标准表</w:t>
      </w:r>
      <w:r>
        <w:rPr>
          <w:rFonts w:hint="eastAsia" w:ascii="宋体" w:hAnsi="宋体"/>
          <w:color w:val="auto"/>
          <w:highlight w:val="none"/>
          <w:lang w:val="en-US" w:eastAsia="zh-CN"/>
        </w:rPr>
        <w:t>规定</w:t>
      </w:r>
      <w:r>
        <w:rPr>
          <w:rFonts w:hint="eastAsia" w:ascii="宋体" w:hAnsi="宋体"/>
          <w:color w:val="auto"/>
          <w:highlight w:val="none"/>
        </w:rPr>
        <w:t>计算</w:t>
      </w:r>
      <w:r>
        <w:rPr>
          <w:rFonts w:hint="eastAsia" w:ascii="宋体" w:hAnsi="宋体"/>
          <w:color w:val="auto"/>
          <w:highlight w:val="none"/>
          <w:lang w:val="en-US" w:eastAsia="zh-CN"/>
        </w:rPr>
        <w:t>各投标人的报价得分</w:t>
      </w:r>
      <w:r>
        <w:rPr>
          <w:rFonts w:hint="eastAsia" w:ascii="宋体" w:hAnsi="宋体"/>
          <w:color w:val="auto"/>
          <w:highlight w:val="none"/>
        </w:rPr>
        <w:t>（小数点后保留二位小数，四舍五入）</w:t>
      </w:r>
      <w:r>
        <w:rPr>
          <w:rFonts w:hint="eastAsia" w:ascii="宋体" w:hAnsi="宋体"/>
          <w:color w:val="auto"/>
          <w:highlight w:val="none"/>
          <w:lang w:eastAsia="zh-CN"/>
        </w:rPr>
        <w:t>。</w:t>
      </w:r>
    </w:p>
    <w:p>
      <w:pPr>
        <w:spacing w:line="360" w:lineRule="auto"/>
        <w:rPr>
          <w:rFonts w:hint="default"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4.4评审结果</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评标委员会对各投标人技术商务得分和报价得分进行汇总并排序。</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评标委员会根据全体评标成员签字的原始评标记录和评标结果编写评标报告。按得分由高到低顺序推荐中标候选人。</w:t>
      </w:r>
    </w:p>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5、询标澄清</w:t>
      </w:r>
    </w:p>
    <w:p>
      <w:pPr>
        <w:spacing w:line="360" w:lineRule="auto"/>
        <w:rPr>
          <w:rFonts w:hint="eastAsia" w:ascii="宋体" w:hAnsi="宋体"/>
          <w:color w:val="auto"/>
          <w:highlight w:val="none"/>
        </w:rPr>
      </w:pPr>
      <w:r>
        <w:rPr>
          <w:rFonts w:hint="eastAsia" w:ascii="宋体" w:hAnsi="宋体"/>
          <w:color w:val="auto"/>
          <w:highlight w:val="none"/>
          <w:lang w:val="en-US" w:eastAsia="zh-CN"/>
        </w:rPr>
        <w:t>5.1</w:t>
      </w:r>
      <w:r>
        <w:rPr>
          <w:rFonts w:hint="eastAsia" w:ascii="宋体" w:hAnsi="宋体"/>
          <w:color w:val="auto"/>
          <w:highlight w:val="none"/>
        </w:rPr>
        <w:t>对于投标文件中含义不明确、同类问题表述不一致或者有明显文字和计算错误的内容，评</w:t>
      </w:r>
      <w:r>
        <w:rPr>
          <w:rFonts w:hint="eastAsia" w:ascii="宋体" w:hAnsi="宋体"/>
          <w:color w:val="auto"/>
          <w:highlight w:val="none"/>
          <w:lang w:val="en-US" w:eastAsia="zh-CN"/>
        </w:rPr>
        <w:t>标</w:t>
      </w:r>
      <w:r>
        <w:rPr>
          <w:rFonts w:hint="eastAsia" w:ascii="宋体" w:hAnsi="宋体"/>
          <w:color w:val="auto"/>
          <w:highlight w:val="none"/>
        </w:rPr>
        <w:t>委员会</w:t>
      </w:r>
      <w:r>
        <w:rPr>
          <w:rFonts w:hint="eastAsia" w:ascii="宋体" w:hAnsi="宋体"/>
          <w:color w:val="auto"/>
          <w:highlight w:val="none"/>
          <w:lang w:val="en-US" w:eastAsia="zh-CN"/>
        </w:rPr>
        <w:t>可以</w:t>
      </w:r>
      <w:r>
        <w:rPr>
          <w:rFonts w:hint="eastAsia" w:ascii="宋体" w:hAnsi="宋体"/>
          <w:color w:val="auto"/>
          <w:highlight w:val="none"/>
        </w:rPr>
        <w:t>要求投标人作出必要的澄清、说明或者补正。</w:t>
      </w:r>
    </w:p>
    <w:p>
      <w:pPr>
        <w:spacing w:line="360" w:lineRule="auto"/>
        <w:rPr>
          <w:rFonts w:hint="eastAsia" w:ascii="宋体" w:hAnsi="宋体"/>
          <w:color w:val="auto"/>
          <w:highlight w:val="none"/>
          <w:lang w:eastAsia="zh-CN"/>
        </w:rPr>
      </w:pPr>
      <w:r>
        <w:rPr>
          <w:rFonts w:hint="eastAsia" w:ascii="宋体" w:hAnsi="宋体"/>
          <w:color w:val="auto"/>
          <w:highlight w:val="none"/>
          <w:lang w:val="en-US" w:eastAsia="zh-CN"/>
        </w:rPr>
        <w:t>5.2除</w:t>
      </w:r>
      <w:r>
        <w:rPr>
          <w:rFonts w:hint="eastAsia" w:ascii="宋体" w:hAnsi="宋体"/>
          <w:color w:val="auto"/>
          <w:highlight w:val="none"/>
        </w:rPr>
        <w:t>依法进行</w:t>
      </w:r>
      <w:r>
        <w:rPr>
          <w:rFonts w:hint="eastAsia" w:ascii="宋体" w:hAnsi="宋体"/>
          <w:color w:val="auto"/>
          <w:highlight w:val="none"/>
          <w:lang w:val="en-US" w:eastAsia="zh-CN"/>
        </w:rPr>
        <w:t>的</w:t>
      </w:r>
      <w:r>
        <w:rPr>
          <w:rFonts w:hint="eastAsia" w:ascii="宋体" w:hAnsi="宋体"/>
          <w:color w:val="auto"/>
          <w:highlight w:val="none"/>
        </w:rPr>
        <w:t>澄清、说明、补正外</w:t>
      </w:r>
      <w:r>
        <w:rPr>
          <w:rFonts w:hint="eastAsia" w:ascii="宋体" w:hAnsi="宋体"/>
          <w:color w:val="auto"/>
          <w:highlight w:val="none"/>
          <w:lang w:eastAsia="zh-CN"/>
        </w:rPr>
        <w:t>，</w:t>
      </w:r>
      <w:r>
        <w:rPr>
          <w:rFonts w:hint="eastAsia" w:ascii="宋体" w:hAnsi="宋体"/>
          <w:color w:val="auto"/>
          <w:highlight w:val="none"/>
        </w:rPr>
        <w:t>投标人不得通过对投标文件修正、</w:t>
      </w:r>
      <w:r>
        <w:rPr>
          <w:rFonts w:hint="eastAsia" w:ascii="宋体" w:hAnsi="宋体"/>
          <w:color w:val="auto"/>
          <w:highlight w:val="none"/>
          <w:lang w:val="en-US" w:eastAsia="zh-CN"/>
        </w:rPr>
        <w:t>撤销</w:t>
      </w:r>
      <w:r>
        <w:rPr>
          <w:rFonts w:hint="eastAsia" w:ascii="宋体" w:hAnsi="宋体"/>
          <w:color w:val="auto"/>
          <w:highlight w:val="none"/>
        </w:rPr>
        <w:t>不符合要求的条款或通过投标文件以外的补充、纠正、佐证等，使其投标成为实质上响应的投标</w:t>
      </w:r>
      <w:r>
        <w:rPr>
          <w:rFonts w:hint="eastAsia" w:ascii="宋体" w:hAnsi="宋体"/>
          <w:color w:val="auto"/>
          <w:highlight w:val="none"/>
          <w:lang w:eastAsia="zh-CN"/>
        </w:rPr>
        <w:t>。</w:t>
      </w:r>
    </w:p>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6、无效投标的认定</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实质上没有响应招标文件要求的投标被视为无效投标</w:t>
      </w:r>
      <w:r>
        <w:rPr>
          <w:rFonts w:hint="eastAsia" w:ascii="宋体" w:hAnsi="宋体" w:cs="Times New Roman"/>
          <w:color w:val="auto"/>
          <w:sz w:val="21"/>
          <w:szCs w:val="21"/>
          <w:highlight w:val="none"/>
          <w:lang w:eastAsia="zh-CN"/>
        </w:rPr>
        <w:t>，</w:t>
      </w:r>
      <w:r>
        <w:rPr>
          <w:rFonts w:hint="eastAsia" w:ascii="宋体" w:hAnsi="宋体" w:eastAsia="宋体" w:cs="Times New Roman"/>
          <w:color w:val="auto"/>
          <w:sz w:val="21"/>
          <w:szCs w:val="21"/>
          <w:highlight w:val="none"/>
        </w:rPr>
        <w:t>投标响应文件有下列情形之一的作无效投</w:t>
      </w:r>
      <w:r>
        <w:rPr>
          <w:rFonts w:hint="eastAsia" w:ascii="宋体" w:hAnsi="宋体" w:eastAsia="宋体" w:cs="Times New Roman"/>
          <w:color w:val="auto"/>
          <w:sz w:val="21"/>
          <w:szCs w:val="21"/>
          <w:highlight w:val="none"/>
        </w:rPr>
        <w:t>标处理</w:t>
      </w:r>
      <w:r>
        <w:rPr>
          <w:rFonts w:hint="eastAsia" w:ascii="宋体" w:hAnsi="宋体" w:eastAsia="宋体" w:cs="Times New Roman"/>
          <w:color w:val="auto"/>
          <w:sz w:val="21"/>
          <w:szCs w:val="21"/>
          <w:highlight w:val="none"/>
          <w:lang w:eastAsia="zh-CN"/>
        </w:rPr>
        <w:t>：</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6.1未按</w:t>
      </w:r>
      <w:r>
        <w:rPr>
          <w:rFonts w:hint="eastAsia" w:ascii="宋体" w:hAnsi="宋体" w:eastAsia="宋体" w:cs="Times New Roman"/>
          <w:color w:val="auto"/>
          <w:sz w:val="21"/>
          <w:szCs w:val="21"/>
          <w:highlight w:val="none"/>
          <w:lang w:val="en-US" w:eastAsia="zh-CN"/>
        </w:rPr>
        <w:t>采购公告</w:t>
      </w:r>
      <w:r>
        <w:rPr>
          <w:rFonts w:hint="eastAsia" w:ascii="宋体" w:hAnsi="宋体" w:eastAsia="宋体" w:cs="Times New Roman"/>
          <w:color w:val="auto"/>
          <w:sz w:val="21"/>
          <w:szCs w:val="21"/>
          <w:highlight w:val="none"/>
        </w:rPr>
        <w:t>规定</w:t>
      </w:r>
      <w:r>
        <w:rPr>
          <w:rFonts w:hint="eastAsia" w:ascii="宋体" w:hAnsi="宋体" w:eastAsia="宋体" w:cs="Times New Roman"/>
          <w:color w:val="auto"/>
          <w:sz w:val="21"/>
          <w:szCs w:val="21"/>
          <w:highlight w:val="none"/>
          <w:lang w:val="en-US" w:eastAsia="zh-CN"/>
        </w:rPr>
        <w:t>方式</w:t>
      </w:r>
      <w:r>
        <w:rPr>
          <w:rFonts w:hint="eastAsia" w:ascii="宋体" w:hAnsi="宋体" w:eastAsia="宋体" w:cs="Times New Roman"/>
          <w:color w:val="auto"/>
          <w:sz w:val="21"/>
          <w:szCs w:val="21"/>
          <w:highlight w:val="none"/>
        </w:rPr>
        <w:t>获取</w:t>
      </w:r>
      <w:r>
        <w:rPr>
          <w:rFonts w:hint="eastAsia" w:ascii="宋体" w:hAnsi="宋体" w:eastAsia="宋体" w:cs="Times New Roman"/>
          <w:color w:val="auto"/>
          <w:sz w:val="21"/>
          <w:szCs w:val="21"/>
          <w:highlight w:val="none"/>
          <w:lang w:val="en-US" w:eastAsia="zh-CN"/>
        </w:rPr>
        <w:t>招标</w:t>
      </w:r>
      <w:r>
        <w:rPr>
          <w:rFonts w:hint="eastAsia" w:ascii="宋体" w:hAnsi="宋体" w:eastAsia="宋体" w:cs="Times New Roman"/>
          <w:color w:val="auto"/>
          <w:sz w:val="21"/>
          <w:szCs w:val="21"/>
          <w:highlight w:val="none"/>
        </w:rPr>
        <w:t>文件的</w:t>
      </w:r>
      <w:r>
        <w:rPr>
          <w:rFonts w:hint="eastAsia" w:ascii="宋体" w:hAnsi="宋体" w:eastAsia="宋体" w:cs="Times New Roman"/>
          <w:color w:val="auto"/>
          <w:sz w:val="21"/>
          <w:szCs w:val="21"/>
          <w:highlight w:val="none"/>
          <w:lang w:eastAsia="zh-CN"/>
        </w:rPr>
        <w:t>。</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color w:val="auto"/>
          <w:highlight w:val="none"/>
          <w:lang w:val="en-US" w:eastAsia="zh-CN"/>
        </w:rPr>
        <w:t>6.2</w:t>
      </w:r>
      <w:r>
        <w:rPr>
          <w:rFonts w:hint="eastAsia" w:ascii="宋体" w:hAnsi="宋体" w:eastAsia="宋体" w:cs="Times New Roman"/>
          <w:color w:val="auto"/>
          <w:sz w:val="21"/>
          <w:szCs w:val="21"/>
          <w:highlight w:val="none"/>
        </w:rPr>
        <w:t>仅提交备份电子投标文件的</w:t>
      </w:r>
      <w:r>
        <w:rPr>
          <w:rFonts w:hint="eastAsia" w:ascii="宋体" w:hAnsi="宋体" w:eastAsia="宋体" w:cs="Times New Roman"/>
          <w:color w:val="auto"/>
          <w:sz w:val="21"/>
          <w:szCs w:val="21"/>
          <w:highlight w:val="none"/>
          <w:lang w:eastAsia="zh-CN"/>
        </w:rPr>
        <w:t>。</w:t>
      </w:r>
    </w:p>
    <w:p>
      <w:pPr>
        <w:spacing w:line="360" w:lineRule="auto"/>
        <w:rPr>
          <w:rFonts w:hint="eastAsia" w:ascii="宋体" w:hAnsi="宋体" w:eastAsia="宋体" w:cs="Times New Roman"/>
          <w:color w:val="auto"/>
          <w:sz w:val="21"/>
          <w:szCs w:val="21"/>
          <w:highlight w:val="none"/>
        </w:rPr>
      </w:pPr>
      <w:r>
        <w:rPr>
          <w:rFonts w:hint="eastAsia" w:ascii="宋体" w:hAnsi="宋体"/>
          <w:color w:val="auto"/>
          <w:highlight w:val="none"/>
          <w:lang w:eastAsia="zh-CN"/>
        </w:rPr>
        <w:t>6.3不具备招标文件规定的资格要求的</w:t>
      </w:r>
      <w:r>
        <w:rPr>
          <w:rFonts w:hint="eastAsia" w:ascii="宋体" w:hAnsi="宋体"/>
          <w:color w:val="auto"/>
          <w:highlight w:val="none"/>
          <w:lang w:val="en-US" w:eastAsia="zh-CN"/>
        </w:rPr>
        <w:t>或者</w:t>
      </w:r>
      <w:r>
        <w:rPr>
          <w:rFonts w:hint="eastAsia" w:ascii="宋体" w:hAnsi="宋体"/>
          <w:color w:val="auto"/>
          <w:highlight w:val="none"/>
          <w:lang w:eastAsia="zh-CN"/>
        </w:rPr>
        <w:t>未按招标文件要求提供资格证明文件的。</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6.4</w:t>
      </w:r>
      <w:r>
        <w:rPr>
          <w:rFonts w:hint="eastAsia" w:ascii="宋体" w:hAnsi="宋体"/>
          <w:color w:val="auto"/>
          <w:highlight w:val="none"/>
        </w:rPr>
        <w:t>单位负责人为同一人或者存在直接控股、管理关系的不同供应商，参加同一合同项下的政府采购活动</w:t>
      </w:r>
      <w:r>
        <w:rPr>
          <w:rFonts w:hint="eastAsia" w:ascii="宋体" w:hAnsi="宋体"/>
          <w:color w:val="auto"/>
          <w:highlight w:val="none"/>
          <w:lang w:val="en-US" w:eastAsia="zh-CN"/>
        </w:rPr>
        <w:t>的</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相关投标人</w:t>
      </w:r>
      <w:r>
        <w:rPr>
          <w:rFonts w:hint="eastAsia" w:ascii="宋体" w:hAnsi="宋体" w:eastAsia="宋体" w:cs="Times New Roman"/>
          <w:color w:val="auto"/>
          <w:sz w:val="21"/>
          <w:szCs w:val="21"/>
          <w:highlight w:val="none"/>
        </w:rPr>
        <w:t>均作无效投标处理）</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eastAsia="宋体" w:cs="Times New Roman"/>
          <w:color w:val="auto"/>
          <w:sz w:val="21"/>
          <w:szCs w:val="21"/>
          <w:highlight w:val="none"/>
          <w:lang w:val="en-US" w:eastAsia="zh-CN"/>
        </w:rPr>
        <w:t>6.5</w:t>
      </w:r>
      <w:r>
        <w:rPr>
          <w:rFonts w:hint="eastAsia" w:ascii="宋体" w:hAnsi="宋体"/>
          <w:color w:val="auto"/>
          <w:highlight w:val="none"/>
        </w:rPr>
        <w:t>为采购项目提供整体设计、规范编制或者项目管理、监理、检测等服务的供应商</w:t>
      </w:r>
      <w:r>
        <w:rPr>
          <w:rFonts w:hint="eastAsia" w:ascii="宋体" w:hAnsi="宋体"/>
          <w:color w:val="auto"/>
          <w:highlight w:val="none"/>
          <w:lang w:eastAsia="zh-CN"/>
        </w:rPr>
        <w:t>，</w:t>
      </w:r>
      <w:r>
        <w:rPr>
          <w:rFonts w:hint="eastAsia" w:ascii="宋体" w:hAnsi="宋体"/>
          <w:color w:val="auto"/>
          <w:highlight w:val="none"/>
        </w:rPr>
        <w:t>再参加该采购项目的其他采购活动</w:t>
      </w:r>
      <w:r>
        <w:rPr>
          <w:rFonts w:hint="eastAsia" w:ascii="宋体" w:hAnsi="宋体"/>
          <w:color w:val="auto"/>
          <w:highlight w:val="none"/>
          <w:lang w:val="en-US" w:eastAsia="zh-CN"/>
        </w:rPr>
        <w:t>的</w:t>
      </w:r>
      <w:r>
        <w:rPr>
          <w:rFonts w:hint="eastAsia" w:ascii="宋体" w:hAnsi="宋体"/>
          <w:color w:val="auto"/>
          <w:highlight w:val="none"/>
        </w:rPr>
        <w:t>。</w:t>
      </w:r>
    </w:p>
    <w:p>
      <w:pPr>
        <w:spacing w:line="360" w:lineRule="auto"/>
        <w:rPr>
          <w:rFonts w:hint="eastAsia" w:ascii="宋体" w:hAnsi="宋体"/>
          <w:color w:val="auto"/>
          <w:highlight w:val="none"/>
          <w:lang w:val="en-US" w:eastAsia="zh-CN"/>
        </w:rPr>
      </w:pPr>
      <w:r>
        <w:rPr>
          <w:rFonts w:hint="eastAsia" w:ascii="宋体" w:hAnsi="宋体"/>
          <w:color w:val="auto"/>
          <w:highlight w:val="none"/>
          <w:lang w:val="en-US" w:eastAsia="zh-CN"/>
        </w:rPr>
        <w:t>6.6经查询，投标人被“信用中国”、“中国政府采购网”列入失信被执行人、重大税收违法案件当事人名单、政府采购严重违法失信行为记录名单，且在禁止参加采购期限内的。</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lang w:val="en-US" w:eastAsia="zh-CN"/>
        </w:rPr>
        <w:t>投标文件</w:t>
      </w:r>
      <w:r>
        <w:rPr>
          <w:rFonts w:hint="eastAsia" w:ascii="宋体" w:hAnsi="宋体" w:eastAsia="宋体" w:cs="Times New Roman"/>
          <w:color w:val="auto"/>
          <w:sz w:val="21"/>
          <w:szCs w:val="21"/>
          <w:highlight w:val="none"/>
        </w:rPr>
        <w:t>未按</w:t>
      </w:r>
      <w:r>
        <w:rPr>
          <w:rFonts w:hint="eastAsia" w:ascii="宋体" w:hAnsi="宋体" w:eastAsia="宋体" w:cs="Times New Roman"/>
          <w:color w:val="auto"/>
          <w:sz w:val="21"/>
          <w:szCs w:val="21"/>
          <w:highlight w:val="none"/>
          <w:lang w:val="en-US" w:eastAsia="zh-CN"/>
        </w:rPr>
        <w:t>招标文件</w:t>
      </w:r>
      <w:r>
        <w:rPr>
          <w:rFonts w:hint="eastAsia" w:ascii="宋体" w:hAnsi="宋体" w:eastAsia="宋体" w:cs="Times New Roman"/>
          <w:color w:val="auto"/>
          <w:sz w:val="21"/>
          <w:szCs w:val="21"/>
          <w:highlight w:val="none"/>
        </w:rPr>
        <w:t>要求</w:t>
      </w:r>
      <w:r>
        <w:rPr>
          <w:rFonts w:hint="eastAsia" w:ascii="宋体" w:hAnsi="宋体" w:eastAsia="宋体" w:cs="Times New Roman"/>
          <w:color w:val="auto"/>
          <w:sz w:val="21"/>
          <w:szCs w:val="21"/>
          <w:highlight w:val="none"/>
          <w:lang w:val="en-US" w:eastAsia="zh-CN"/>
        </w:rPr>
        <w:t>密封、</w:t>
      </w:r>
      <w:r>
        <w:rPr>
          <w:rFonts w:hint="eastAsia" w:ascii="宋体" w:hAnsi="宋体" w:eastAsia="宋体" w:cs="Times New Roman"/>
          <w:color w:val="auto"/>
          <w:sz w:val="21"/>
          <w:szCs w:val="21"/>
          <w:highlight w:val="none"/>
        </w:rPr>
        <w:t>签署</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盖章的。</w:t>
      </w:r>
    </w:p>
    <w:p>
      <w:pPr>
        <w:spacing w:line="360" w:lineRule="auto"/>
        <w:rPr>
          <w:rFonts w:hint="default" w:ascii="宋体" w:hAnsi="宋体" w:eastAsia="宋体" w:cs="Times New Roman"/>
          <w:color w:val="auto"/>
          <w:sz w:val="21"/>
          <w:szCs w:val="21"/>
          <w:highlight w:val="none"/>
          <w:lang w:val="en-US"/>
        </w:rPr>
      </w:pPr>
      <w:r>
        <w:rPr>
          <w:rFonts w:hint="eastAsia" w:ascii="宋体" w:hAnsi="宋体" w:eastAsia="宋体" w:cs="Times New Roman"/>
          <w:color w:val="auto"/>
          <w:sz w:val="21"/>
          <w:szCs w:val="21"/>
          <w:highlight w:val="none"/>
          <w:lang w:val="en-US" w:eastAsia="zh-CN"/>
        </w:rPr>
        <w:t>6.</w:t>
      </w:r>
      <w:r>
        <w:rPr>
          <w:rFonts w:hint="eastAsia" w:ascii="宋体" w:hAnsi="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lang w:val="en-US" w:eastAsia="zh-CN"/>
        </w:rPr>
        <w:t>投标文件项目不齐全，经评审委员会认定为无法评审的。</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6.</w:t>
      </w:r>
      <w:r>
        <w:rPr>
          <w:rFonts w:hint="eastAsia" w:ascii="宋体" w:hAnsi="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投标有效期、付款方式、交货（服务）期限、质保期等条款不能满足招标文件要求的</w:t>
      </w:r>
      <w:r>
        <w:rPr>
          <w:rFonts w:hint="eastAsia" w:ascii="宋体" w:hAnsi="宋体" w:eastAsia="宋体" w:cs="Times New Roman"/>
          <w:color w:val="auto"/>
          <w:sz w:val="21"/>
          <w:szCs w:val="21"/>
          <w:highlight w:val="none"/>
          <w:lang w:eastAsia="zh-CN"/>
        </w:rPr>
        <w:t>。</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6.</w:t>
      </w:r>
      <w:r>
        <w:rPr>
          <w:rFonts w:hint="eastAsia" w:ascii="宋体" w:hAnsi="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不符合招标文件中有关分包、转包规定的</w:t>
      </w:r>
      <w:r>
        <w:rPr>
          <w:rFonts w:hint="eastAsia" w:ascii="宋体" w:hAnsi="宋体" w:eastAsia="宋体" w:cs="Times New Roman"/>
          <w:color w:val="auto"/>
          <w:sz w:val="21"/>
          <w:szCs w:val="21"/>
          <w:highlight w:val="none"/>
          <w:lang w:eastAsia="zh-CN"/>
        </w:rPr>
        <w:t>。</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6.</w:t>
      </w:r>
      <w:r>
        <w:rPr>
          <w:rFonts w:hint="eastAsia" w:ascii="宋体" w:hAnsi="宋体" w:cs="Times New Roman"/>
          <w:color w:val="auto"/>
          <w:sz w:val="21"/>
          <w:szCs w:val="21"/>
          <w:highlight w:val="none"/>
          <w:lang w:val="en-US" w:eastAsia="zh-CN"/>
        </w:rPr>
        <w:t>11</w:t>
      </w:r>
      <w:r>
        <w:rPr>
          <w:rFonts w:hint="eastAsia" w:ascii="宋体" w:hAnsi="宋体" w:eastAsia="宋体" w:cs="Times New Roman"/>
          <w:color w:val="auto"/>
          <w:sz w:val="21"/>
          <w:szCs w:val="21"/>
          <w:highlight w:val="none"/>
        </w:rPr>
        <w:t>“资格</w:t>
      </w:r>
      <w:r>
        <w:rPr>
          <w:rFonts w:hint="eastAsia" w:ascii="宋体" w:hAnsi="宋体" w:eastAsia="宋体" w:cs="Times New Roman"/>
          <w:color w:val="auto"/>
          <w:sz w:val="21"/>
          <w:szCs w:val="21"/>
          <w:highlight w:val="none"/>
          <w:lang w:val="en-US" w:eastAsia="zh-CN"/>
        </w:rPr>
        <w:t>证明</w:t>
      </w:r>
      <w:r>
        <w:rPr>
          <w:rFonts w:hint="eastAsia" w:ascii="宋体" w:hAnsi="宋体" w:eastAsia="宋体" w:cs="Times New Roman"/>
          <w:color w:val="auto"/>
          <w:sz w:val="21"/>
          <w:szCs w:val="21"/>
          <w:highlight w:val="none"/>
        </w:rPr>
        <w:t>文件”或“技术商务文件”中出现</w:t>
      </w:r>
      <w:r>
        <w:rPr>
          <w:rFonts w:hint="eastAsia" w:hAnsi="宋体"/>
          <w:color w:val="auto"/>
          <w:highlight w:val="none"/>
          <w:lang w:eastAsia="zh-CN"/>
        </w:rPr>
        <w:t>本项目的投标总价的</w:t>
      </w:r>
      <w:r>
        <w:rPr>
          <w:rFonts w:hint="eastAsia" w:ascii="宋体" w:hAnsi="宋体" w:cs="宋体"/>
          <w:color w:val="auto"/>
          <w:szCs w:val="21"/>
          <w:highlight w:val="none"/>
        </w:rPr>
        <w:t>（固定价格采购除外）</w:t>
      </w:r>
      <w:r>
        <w:rPr>
          <w:rFonts w:hint="eastAsia" w:ascii="宋体" w:hAnsi="宋体" w:eastAsia="宋体" w:cs="Times New Roman"/>
          <w:color w:val="auto"/>
          <w:sz w:val="21"/>
          <w:szCs w:val="21"/>
          <w:highlight w:val="none"/>
          <w:lang w:eastAsia="zh-CN"/>
        </w:rPr>
        <w:t>。</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6.1</w:t>
      </w:r>
      <w:r>
        <w:rPr>
          <w:rFonts w:hint="eastAsia" w:ascii="宋体" w:hAnsi="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Times New Roman"/>
          <w:color w:val="auto"/>
          <w:sz w:val="21"/>
          <w:szCs w:val="21"/>
          <w:highlight w:val="none"/>
          <w:lang w:eastAsia="zh-CN"/>
        </w:rPr>
        <w:t>。</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6.1</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投标文件标明的响应或偏离与事实不符或提供虚假材料投标的。</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6.1</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标“▲”的条款不能满足招标文件要求的。</w:t>
      </w:r>
    </w:p>
    <w:p>
      <w:pPr>
        <w:pStyle w:val="2"/>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6.1</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在报价评审时，如发现下列情形之一的，投标文件将被视为无效：</w:t>
      </w:r>
    </w:p>
    <w:p>
      <w:pPr>
        <w:pStyle w:val="2"/>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）未采用人民币报价或者未按照招标文件标明的币种报价的；</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（2）报价超过招标文件中规定的预算金额或者最高限价的；</w:t>
      </w:r>
    </w:p>
    <w:p>
      <w:pPr>
        <w:pStyle w:val="2"/>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）未按照招标文件规定报价的；</w:t>
      </w:r>
    </w:p>
    <w:p>
      <w:pPr>
        <w:pStyle w:val="2"/>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）投标报价具有选择性的；</w:t>
      </w:r>
    </w:p>
    <w:p>
      <w:pPr>
        <w:pStyle w:val="2"/>
        <w:spacing w:line="360" w:lineRule="auto"/>
        <w:ind w:firstLine="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不接受按修正错误的原则修正后的报价的</w:t>
      </w:r>
      <w:r>
        <w:rPr>
          <w:rFonts w:hint="eastAsia" w:ascii="宋体" w:hAnsi="宋体" w:eastAsia="宋体" w:cs="宋体"/>
          <w:color w:val="auto"/>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）评标委员会认为投标人报价明显低于其他通过符合性审查投标人报价的，且在合理的时间内不能提供其报价合理性书面说明的。</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6.1</w:t>
      </w:r>
      <w:r>
        <w:rPr>
          <w:rFonts w:hint="eastAsia" w:ascii="宋体" w:hAnsi="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有下列情形之一的，视为投标人串通投标，其投标无效</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并书面报告财政部门</w:t>
      </w:r>
      <w:r>
        <w:rPr>
          <w:rFonts w:hint="eastAsia" w:ascii="宋体" w:hAnsi="宋体" w:eastAsia="宋体" w:cs="Times New Roman"/>
          <w:color w:val="auto"/>
          <w:sz w:val="21"/>
          <w:szCs w:val="21"/>
          <w:highlight w:val="none"/>
        </w:rPr>
        <w:t>：</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不同投标人的投标文件由同一单位或者个人编制；</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不同投标人委托同一单位或者个人办理投标事宜；</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不同投标人的投标文件载明的项目管理成员或者联系人员为同一人；</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不同投标人的投标文件异常一致或者投标报价呈规律性差异；</w:t>
      </w:r>
    </w:p>
    <w:p>
      <w:pPr>
        <w:spacing w:line="360" w:lineRule="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不同投标人的投标文件相互混装</w:t>
      </w:r>
      <w:r>
        <w:rPr>
          <w:rFonts w:hint="eastAsia" w:ascii="宋体" w:hAnsi="宋体" w:eastAsia="宋体" w:cs="Times New Roman"/>
          <w:color w:val="auto"/>
          <w:sz w:val="21"/>
          <w:szCs w:val="21"/>
          <w:highlight w:val="none"/>
          <w:lang w:eastAsia="zh-CN"/>
        </w:rPr>
        <w:t>。</w:t>
      </w:r>
    </w:p>
    <w:p>
      <w:pPr>
        <w:pStyle w:val="2"/>
        <w:spacing w:line="360" w:lineRule="auto"/>
        <w:ind w:firstLine="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6.1</w:t>
      </w:r>
      <w:r>
        <w:rPr>
          <w:rFonts w:hint="eastAsia" w:hAnsi="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lang w:eastAsia="zh-CN"/>
        </w:rPr>
        <w:t>投标文件</w:t>
      </w:r>
      <w:r>
        <w:rPr>
          <w:rFonts w:hint="eastAsia" w:ascii="宋体" w:hAnsi="宋体" w:eastAsia="宋体" w:cs="Times New Roman"/>
          <w:color w:val="auto"/>
          <w:sz w:val="21"/>
          <w:szCs w:val="21"/>
          <w:highlight w:val="none"/>
        </w:rPr>
        <w:t>有重大偏差或</w:t>
      </w:r>
      <w:r>
        <w:rPr>
          <w:rFonts w:hint="eastAsia" w:hAnsi="宋体"/>
          <w:color w:val="auto"/>
          <w:highlight w:val="none"/>
        </w:rPr>
        <w:t>未实质性响应招标文件要求</w:t>
      </w:r>
      <w:r>
        <w:rPr>
          <w:rFonts w:hint="eastAsia" w:hAnsi="宋体"/>
          <w:color w:val="auto"/>
          <w:highlight w:val="none"/>
          <w:lang w:val="en-US" w:eastAsia="zh-CN"/>
        </w:rPr>
        <w:t>的</w:t>
      </w:r>
      <w:r>
        <w:rPr>
          <w:rFonts w:hint="eastAsia" w:hAnsi="宋体"/>
          <w:color w:val="auto"/>
          <w:highlight w:val="none"/>
        </w:rPr>
        <w:t>或者投标文件</w:t>
      </w:r>
      <w:r>
        <w:rPr>
          <w:rFonts w:hint="eastAsia" w:hAnsi="宋体"/>
          <w:color w:val="auto"/>
          <w:highlight w:val="none"/>
          <w:lang w:val="en-US" w:eastAsia="zh-CN"/>
        </w:rPr>
        <w:t>含</w:t>
      </w:r>
      <w:r>
        <w:rPr>
          <w:rFonts w:hint="eastAsia" w:hAnsi="宋体"/>
          <w:color w:val="auto"/>
          <w:highlight w:val="none"/>
        </w:rPr>
        <w:t>有采购人不能接受的附加条件的。</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w:t>
      </w:r>
      <w:r>
        <w:rPr>
          <w:rFonts w:hint="eastAsia" w:ascii="宋体" w:hAnsi="宋体" w:cs="Times New Roman"/>
          <w:color w:val="auto"/>
          <w:sz w:val="21"/>
          <w:szCs w:val="21"/>
          <w:highlight w:val="none"/>
          <w:lang w:val="en-US" w:eastAsia="zh-CN"/>
        </w:rPr>
        <w:t>18</w:t>
      </w:r>
      <w:r>
        <w:rPr>
          <w:rFonts w:hint="eastAsia" w:ascii="宋体" w:hAnsi="宋体" w:eastAsia="宋体" w:cs="Times New Roman"/>
          <w:color w:val="auto"/>
          <w:sz w:val="21"/>
          <w:szCs w:val="21"/>
          <w:highlight w:val="none"/>
        </w:rPr>
        <w:t>违反法律、法规及本</w:t>
      </w:r>
      <w:r>
        <w:rPr>
          <w:rFonts w:hint="eastAsia" w:ascii="宋体" w:hAnsi="宋体" w:eastAsia="宋体" w:cs="Times New Roman"/>
          <w:color w:val="auto"/>
          <w:sz w:val="21"/>
          <w:szCs w:val="21"/>
          <w:highlight w:val="none"/>
          <w:lang w:val="en-US" w:eastAsia="zh-CN"/>
        </w:rPr>
        <w:t>招标</w:t>
      </w:r>
      <w:r>
        <w:rPr>
          <w:rFonts w:hint="eastAsia" w:ascii="宋体" w:hAnsi="宋体" w:eastAsia="宋体" w:cs="Times New Roman"/>
          <w:color w:val="auto"/>
          <w:sz w:val="21"/>
          <w:szCs w:val="21"/>
          <w:highlight w:val="none"/>
        </w:rPr>
        <w:t>文件规定的其他无效投标情形。</w:t>
      </w:r>
    </w:p>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7、中标原则</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7.1评标委员会根据投标人的技术商务文件和报价文件的总得分高低排定顺序，推荐中标候选人，得分最高者即为中标候选人。得分相同的，按投标报价由低到高顺序排列。得分且投标报价相同的，按</w:t>
      </w:r>
      <w:r>
        <w:rPr>
          <w:rFonts w:hint="eastAsia" w:ascii="宋体" w:hAnsi="宋体" w:eastAsia="宋体" w:cs="Times New Roman"/>
          <w:color w:val="auto"/>
          <w:sz w:val="21"/>
          <w:szCs w:val="21"/>
          <w:highlight w:val="none"/>
        </w:rPr>
        <w:t>服务方案</w:t>
      </w:r>
      <w:r>
        <w:rPr>
          <w:rFonts w:hint="eastAsia" w:ascii="宋体" w:hAnsi="宋体" w:eastAsia="宋体" w:cs="Times New Roman"/>
          <w:color w:val="auto"/>
          <w:sz w:val="21"/>
          <w:szCs w:val="21"/>
          <w:highlight w:val="none"/>
        </w:rPr>
        <w:t>优劣顺序排列。如出现其它情况，由评标委员会决定。</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7.2采购人根据评审报告推荐的中标候选人确定中标供应商。</w:t>
      </w:r>
    </w:p>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8、中标结果</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采购代理机构将中标结果在政府采购指定媒体上公告，并同时向中标供应商发出中标通知书。</w:t>
      </w:r>
    </w:p>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9、评分标准</w:t>
      </w:r>
    </w:p>
    <w:p>
      <w:pPr>
        <w:spacing w:line="360" w:lineRule="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详见后附评分标准表。</w:t>
      </w:r>
    </w:p>
    <w:p>
      <w:pPr>
        <w:spacing w:line="360" w:lineRule="auto"/>
        <w:rPr>
          <w:rFonts w:hint="eastAsia" w:ascii="宋体" w:hAnsi="宋体" w:eastAsia="宋体" w:cs="Times New Roman"/>
          <w:color w:val="auto"/>
          <w:sz w:val="21"/>
          <w:szCs w:val="21"/>
          <w:highlight w:val="none"/>
        </w:rPr>
      </w:pPr>
    </w:p>
    <w:p>
      <w:pPr>
        <w:spacing w:line="360" w:lineRule="auto"/>
        <w:rPr>
          <w:rFonts w:hint="eastAsia" w:ascii="宋体" w:hAnsi="宋体" w:eastAsia="宋体" w:cs="Times New Roman"/>
          <w:color w:val="auto"/>
          <w:sz w:val="21"/>
          <w:szCs w:val="21"/>
          <w:highlight w:val="none"/>
        </w:rPr>
      </w:pPr>
    </w:p>
    <w:p>
      <w:pPr>
        <w:spacing w:line="360" w:lineRule="auto"/>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附：</w:t>
      </w:r>
      <w:r>
        <w:rPr>
          <w:rFonts w:hint="eastAsia" w:ascii="宋体" w:hAnsi="宋体" w:eastAsia="宋体" w:cs="Times New Roman"/>
          <w:b/>
          <w:bCs/>
          <w:color w:val="auto"/>
          <w:sz w:val="21"/>
          <w:szCs w:val="21"/>
          <w:highlight w:val="none"/>
        </w:rPr>
        <w:t>评分标准表</w:t>
      </w:r>
      <w:r>
        <w:rPr>
          <w:rFonts w:hint="eastAsia" w:ascii="宋体" w:hAnsi="宋体" w:cs="Times New Roman"/>
          <w:b/>
          <w:bCs/>
          <w:color w:val="auto"/>
          <w:sz w:val="21"/>
          <w:szCs w:val="21"/>
          <w:highlight w:val="none"/>
          <w:lang w:eastAsia="zh-CN"/>
        </w:rPr>
        <w:t>（</w:t>
      </w:r>
      <w:r>
        <w:rPr>
          <w:rFonts w:hint="eastAsia" w:ascii="宋体" w:hAnsi="宋体" w:cs="Times New Roman"/>
          <w:b/>
          <w:bCs/>
          <w:color w:val="auto"/>
          <w:sz w:val="21"/>
          <w:szCs w:val="21"/>
          <w:highlight w:val="none"/>
          <w:lang w:val="en-US" w:eastAsia="zh-CN"/>
        </w:rPr>
        <w:t>标项一、标项二</w:t>
      </w:r>
      <w:r>
        <w:rPr>
          <w:rFonts w:hint="eastAsia" w:ascii="宋体" w:hAnsi="宋体" w:cs="Times New Roman"/>
          <w:b/>
          <w:bCs/>
          <w:color w:val="auto"/>
          <w:sz w:val="21"/>
          <w:szCs w:val="21"/>
          <w:highlight w:val="none"/>
          <w:lang w:eastAsia="zh-CN"/>
        </w:rPr>
        <w:t>）</w:t>
      </w:r>
    </w:p>
    <w:p>
      <w:pPr>
        <w:spacing w:line="360" w:lineRule="auto"/>
        <w:rPr>
          <w:rFonts w:hint="eastAsia" w:ascii="宋体" w:hAnsi="宋体" w:eastAsia="宋体" w:cs="Times New Roman"/>
          <w:color w:val="auto"/>
          <w:sz w:val="21"/>
          <w:szCs w:val="21"/>
          <w:highlight w:val="none"/>
        </w:rPr>
      </w:pPr>
    </w:p>
    <w:p>
      <w:pPr>
        <w:spacing w:line="360" w:lineRule="auto"/>
        <w:rPr>
          <w:rFonts w:hint="eastAsia" w:ascii="宋体" w:hAnsi="宋体" w:eastAsia="宋体" w:cs="Times New Roman"/>
          <w:color w:val="auto"/>
          <w:sz w:val="21"/>
          <w:szCs w:val="21"/>
          <w:highlight w:val="none"/>
        </w:rPr>
      </w:pPr>
    </w:p>
    <w:p>
      <w:pPr>
        <w:pStyle w:val="6"/>
        <w:ind w:left="0" w:firstLine="0"/>
        <w:jc w:val="left"/>
        <w:rPr>
          <w:rFonts w:hint="eastAsia"/>
          <w:color w:val="auto"/>
          <w:sz w:val="21"/>
          <w:highlight w:val="none"/>
        </w:rPr>
      </w:pPr>
      <w:r>
        <w:rPr>
          <w:color w:val="auto"/>
          <w:sz w:val="21"/>
          <w:highlight w:val="none"/>
        </w:rPr>
        <w:br w:type="page"/>
      </w:r>
      <w:r>
        <w:rPr>
          <w:rFonts w:hint="eastAsia"/>
          <w:color w:val="auto"/>
          <w:sz w:val="21"/>
          <w:highlight w:val="none"/>
        </w:rPr>
        <w:t>附：</w:t>
      </w:r>
    </w:p>
    <w:p>
      <w:pPr>
        <w:adjustRightInd w:val="0"/>
        <w:snapToGrid w:val="0"/>
        <w:spacing w:before="156" w:beforeLines="50" w:after="156" w:afterLines="50" w:line="360" w:lineRule="auto"/>
        <w:jc w:val="center"/>
        <w:rPr>
          <w:rFonts w:hint="eastAsia" w:eastAsia="宋体"/>
          <w:b/>
          <w:color w:val="auto"/>
          <w:sz w:val="32"/>
          <w:szCs w:val="32"/>
          <w:highlight w:val="none"/>
          <w:lang w:eastAsia="zh-CN"/>
        </w:rPr>
      </w:pPr>
      <w:r>
        <w:rPr>
          <w:rFonts w:hint="eastAsia"/>
          <w:b/>
          <w:color w:val="auto"/>
          <w:sz w:val="32"/>
          <w:szCs w:val="32"/>
          <w:highlight w:val="none"/>
        </w:rPr>
        <w:t>评分标准表</w:t>
      </w:r>
      <w:r>
        <w:rPr>
          <w:rFonts w:hint="eastAsia"/>
          <w:b/>
          <w:color w:val="auto"/>
          <w:sz w:val="32"/>
          <w:szCs w:val="32"/>
          <w:highlight w:val="none"/>
          <w:lang w:eastAsia="zh-CN"/>
        </w:rPr>
        <w:t>（</w:t>
      </w:r>
      <w:r>
        <w:rPr>
          <w:rFonts w:hint="eastAsia"/>
          <w:b/>
          <w:color w:val="auto"/>
          <w:sz w:val="32"/>
          <w:szCs w:val="32"/>
          <w:highlight w:val="none"/>
          <w:lang w:val="en-US" w:eastAsia="zh-CN"/>
        </w:rPr>
        <w:t>标项一</w:t>
      </w:r>
      <w:r>
        <w:rPr>
          <w:rFonts w:hint="eastAsia"/>
          <w:b/>
          <w:color w:val="auto"/>
          <w:sz w:val="32"/>
          <w:szCs w:val="32"/>
          <w:highlight w:val="none"/>
          <w:lang w:eastAsia="zh-CN"/>
        </w:rPr>
        <w:t>）</w:t>
      </w:r>
    </w:p>
    <w:tbl>
      <w:tblPr>
        <w:tblStyle w:val="10"/>
        <w:tblW w:w="939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10"/>
        <w:gridCol w:w="701"/>
        <w:gridCol w:w="516"/>
        <w:gridCol w:w="804"/>
        <w:gridCol w:w="579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1" w:type="dxa"/>
            <w:gridSpan w:val="3"/>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579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评分内容及标准</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trPr>
        <w:tc>
          <w:tcPr>
            <w:tcW w:w="9391" w:type="dxa"/>
            <w:gridSpan w:val="6"/>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r>
              <w:rPr>
                <w:rFonts w:hint="eastAsia" w:ascii="宋体" w:hAnsi="宋体" w:eastAsia="宋体" w:cs="宋体"/>
                <w:b/>
                <w:color w:val="auto"/>
                <w:sz w:val="21"/>
                <w:szCs w:val="21"/>
                <w:highlight w:val="none"/>
                <w:lang w:val="en-US" w:eastAsia="zh-CN"/>
              </w:rPr>
              <w:t>商务</w:t>
            </w:r>
            <w:r>
              <w:rPr>
                <w:rFonts w:hint="eastAsia" w:ascii="宋体" w:hAnsi="宋体" w:eastAsia="宋体" w:cs="宋体"/>
                <w:b/>
                <w:color w:val="auto"/>
                <w:sz w:val="21"/>
                <w:szCs w:val="21"/>
                <w:highlight w:val="none"/>
              </w:rPr>
              <w:t>部分</w:t>
            </w:r>
            <w:r>
              <w:rPr>
                <w:rFonts w:hint="eastAsia" w:ascii="宋体" w:hAnsi="宋体" w:eastAsia="宋体" w:cs="宋体"/>
                <w:b/>
                <w:color w:val="auto"/>
                <w:sz w:val="21"/>
                <w:szCs w:val="21"/>
                <w:highlight w:val="none"/>
                <w:lang w:val="en-US" w:eastAsia="zh-CN"/>
              </w:rPr>
              <w:t>85</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80"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01" w:type="dxa"/>
            <w:vMerge w:val="restart"/>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42</w:t>
            </w:r>
            <w:r>
              <w:rPr>
                <w:rFonts w:hint="eastAsia" w:ascii="宋体" w:hAnsi="宋体" w:eastAsia="宋体" w:cs="宋体"/>
                <w:color w:val="auto"/>
                <w:sz w:val="21"/>
                <w:szCs w:val="21"/>
                <w:highlight w:val="none"/>
              </w:rPr>
              <w:t>分</w:t>
            </w: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项目调研</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分析</w:t>
            </w:r>
          </w:p>
        </w:tc>
        <w:tc>
          <w:tcPr>
            <w:tcW w:w="5790" w:type="dxa"/>
            <w:noWrap w:val="0"/>
            <w:tcMar>
              <w:top w:w="113" w:type="dxa"/>
              <w:left w:w="113" w:type="dxa"/>
              <w:bottom w:w="57" w:type="dxa"/>
              <w:right w:w="113" w:type="dxa"/>
            </w:tcMar>
            <w:vAlign w:val="center"/>
          </w:tcPr>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rPr>
              <w:t>对本项目的理解和同类项目的熟悉程度；对本项目整体构想的创新性、充分性和相符程度；物业管理目标明确性，起点高低程度及设置合理性。</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rPr>
              <w:t>对本项目整体管理情况的</w:t>
            </w:r>
            <w:r>
              <w:rPr>
                <w:rFonts w:hint="eastAsia" w:ascii="宋体" w:hAnsi="宋体" w:cs="宋体"/>
                <w:color w:val="auto"/>
                <w:sz w:val="21"/>
                <w:szCs w:val="21"/>
                <w:highlight w:val="none"/>
                <w:lang w:val="en-US" w:eastAsia="zh-CN"/>
              </w:rPr>
              <w:t>分析理解</w:t>
            </w:r>
            <w:r>
              <w:rPr>
                <w:rFonts w:hint="eastAsia" w:ascii="宋体" w:hAnsi="宋体" w:eastAsia="宋体" w:cs="宋体"/>
                <w:color w:val="auto"/>
                <w:sz w:val="21"/>
                <w:szCs w:val="21"/>
                <w:highlight w:val="none"/>
              </w:rPr>
              <w:t>程度、</w:t>
            </w:r>
            <w:r>
              <w:rPr>
                <w:rFonts w:hint="eastAsia" w:ascii="宋体" w:hAnsi="宋体" w:cs="宋体"/>
                <w:color w:val="auto"/>
                <w:sz w:val="21"/>
                <w:szCs w:val="21"/>
                <w:highlight w:val="none"/>
                <w:lang w:val="en-US" w:eastAsia="zh-CN"/>
              </w:rPr>
              <w:t>服务重点，</w:t>
            </w:r>
            <w:r>
              <w:rPr>
                <w:rFonts w:hint="eastAsia" w:ascii="宋体" w:hAnsi="宋体" w:eastAsia="宋体" w:cs="宋体"/>
                <w:color w:val="auto"/>
                <w:sz w:val="21"/>
                <w:szCs w:val="21"/>
                <w:highlight w:val="none"/>
              </w:rPr>
              <w:t>岗位分布充分性和相符程度。</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p>
        </w:tc>
        <w:tc>
          <w:tcPr>
            <w:tcW w:w="870" w:type="dxa"/>
            <w:noWrap w:val="0"/>
            <w:tcMar>
              <w:top w:w="113" w:type="dxa"/>
              <w:left w:w="113" w:type="dxa"/>
              <w:bottom w:w="57" w:type="dxa"/>
              <w:right w:w="113" w:type="dxa"/>
            </w:tcMar>
            <w:vAlign w:val="center"/>
          </w:tcPr>
          <w:p>
            <w:pPr>
              <w:jc w:val="center"/>
              <w:rPr>
                <w:rFonts w:hint="default" w:ascii="宋体" w:hAnsi="宋体" w:eastAsia="宋体" w:cs="宋体"/>
                <w:b/>
                <w:bCs/>
                <w:color w:val="auto"/>
                <w:sz w:val="21"/>
                <w:szCs w:val="21"/>
                <w:highlight w:val="none"/>
                <w:lang w:val="en-US"/>
              </w:rPr>
            </w:pPr>
            <w:r>
              <w:rPr>
                <w:rFonts w:hint="eastAsia" w:ascii="宋体" w:hAnsi="宋体" w:cs="宋体"/>
                <w:b/>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整体物业</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管理方案</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物业方案整体性进行评价。方案策划思路新、针对性强、独特超前。整体物业管理实施方案完善、可行，各项工作程序、标准、各项措施得力，具有较好的统筹协调能力，执行力强；物业服务管理各项承诺明确，具有可操性和监督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5，3，1，0</w:t>
            </w:r>
            <w:r>
              <w:rPr>
                <w:rFonts w:hint="eastAsia" w:ascii="宋体" w:hAnsi="宋体" w:eastAsia="宋体" w:cs="宋体"/>
                <w:color w:val="auto"/>
                <w:sz w:val="21"/>
                <w:szCs w:val="21"/>
                <w:highlight w:val="none"/>
                <w:lang w:eastAsia="zh-CN"/>
              </w:rPr>
              <w:t>）</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管理制度</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管理、激励、监督、奖惩等规章制度健全规范；体现高标准、高档次、科学合理、实际操作性强。内部考核和奖惩制度周密合理，组织制度完善，岗位职责明确，与采购人日常管理要求相符合。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秩序维护</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管理方案是否适应本项目的需求，是否有创新；管理工作项目、工作范围是否齐全；组织设置、岗位配置是否符合本项目的要求；人员管理是否合理；服务标准设计是否合理。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设备设施</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管理服务</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管理方案是否适应本项目的需求，是否有创新；管理工作项目、工作范围是否齐全；组织设置、岗位配置是否符合本项目的要求；人员管理是否合理；服务标准设计是否合理。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保洁管理</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管理方案是否适应本项目的需求，是否有创新；管理工作项目、工作范围是否齐全；组织设置、岗位配置是否符合本项目的要求；人员管理是否合理；服务标准设计是否合理。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会务保障</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管理方案是否适应本项目的需求，是否有创新且有实际可操作性；管理工作项目、工作范围是否齐全；组织设置、岗位配置是否符合本项目的要求；人员管理和服务标准是否符合本项目要求。</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应急管理</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对处理各类突发事件有详细的措施预案，针对突发事件所制定的应急预案完善、周密、可行，人员职责到位。</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节能管理</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节能降耗方案是否适应本项目的需求，是否有创新；工作项目、工作范围是否齐全。</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对该项目提出合理化建议，建议内容切实可行，具有可操作性。</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01" w:type="dxa"/>
            <w:vMerge w:val="restart"/>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人员配置</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各类人员配备齐全、合理、科学，岗位设置与采购人需求基本相符；各部门人员配备数量不低于采购人需求。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3，2，1，0</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（人员配置数量未达到采购人要求的，投标无效）</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516" w:type="dxa"/>
            <w:vMerge w:val="restart"/>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核心管理人员素质</w:t>
            </w:r>
          </w:p>
        </w:tc>
        <w:tc>
          <w:tcPr>
            <w:tcW w:w="804" w:type="dxa"/>
            <w:vMerge w:val="restart"/>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经理</w:t>
            </w:r>
          </w:p>
        </w:tc>
        <w:tc>
          <w:tcPr>
            <w:tcW w:w="5790" w:type="dxa"/>
            <w:noWrap w:val="0"/>
            <w:tcMar>
              <w:top w:w="113" w:type="dxa"/>
              <w:left w:w="113" w:type="dxa"/>
              <w:bottom w:w="57" w:type="dxa"/>
              <w:right w:w="113" w:type="dxa"/>
            </w:tcMar>
            <w:vAlign w:val="center"/>
          </w:tcPr>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拟派A座物业的项目经理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rPr>
              <w:t>本科</w:t>
            </w:r>
            <w:r>
              <w:rPr>
                <w:rFonts w:hint="eastAsia" w:ascii="宋体" w:hAnsi="宋体" w:eastAsia="宋体" w:cs="宋体"/>
                <w:color w:val="auto"/>
                <w:sz w:val="21"/>
                <w:szCs w:val="21"/>
                <w:highlight w:val="none"/>
              </w:rPr>
              <w:t>及以上学历的，得1分；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有物业经理上岗证</w:t>
            </w:r>
            <w:r>
              <w:rPr>
                <w:rFonts w:hint="eastAsia" w:ascii="宋体" w:hAnsi="宋体" w:eastAsia="宋体" w:cs="宋体"/>
                <w:color w:val="auto"/>
                <w:sz w:val="21"/>
                <w:szCs w:val="21"/>
                <w:highlight w:val="none"/>
                <w:lang w:eastAsia="zh-CN"/>
              </w:rPr>
              <w:t>（或物业管理师证书）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管理过单体建筑面积在</w:t>
            </w:r>
            <w:r>
              <w:rPr>
                <w:rFonts w:hint="eastAsia" w:ascii="宋体" w:hAnsi="宋体" w:eastAsia="宋体" w:cs="宋体"/>
                <w:color w:val="auto"/>
                <w:sz w:val="21"/>
                <w:szCs w:val="21"/>
                <w:highlight w:val="none"/>
              </w:rPr>
              <w:t>5万㎡</w:t>
            </w:r>
            <w:r>
              <w:rPr>
                <w:rFonts w:hint="eastAsia" w:ascii="宋体" w:hAnsi="宋体" w:eastAsia="宋体" w:cs="宋体"/>
                <w:color w:val="auto"/>
                <w:sz w:val="21"/>
                <w:szCs w:val="21"/>
                <w:highlight w:val="none"/>
              </w:rPr>
              <w:t>（含）以上行政中心办公楼项目三年</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以上的，得1分。</w:t>
            </w:r>
          </w:p>
          <w:p>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（提供相关证明文件）</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516"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804"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5790" w:type="dxa"/>
            <w:noWrap w:val="0"/>
            <w:tcMar>
              <w:top w:w="113" w:type="dxa"/>
              <w:left w:w="113" w:type="dxa"/>
              <w:bottom w:w="57" w:type="dxa"/>
              <w:right w:w="113" w:type="dxa"/>
            </w:tcMar>
            <w:vAlign w:val="center"/>
          </w:tcPr>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拟派太河楼物业的项目经理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rPr>
              <w:t>大专</w:t>
            </w:r>
            <w:r>
              <w:rPr>
                <w:rFonts w:hint="eastAsia" w:ascii="宋体" w:hAnsi="宋体" w:eastAsia="宋体" w:cs="宋体"/>
                <w:color w:val="auto"/>
                <w:sz w:val="21"/>
                <w:szCs w:val="21"/>
                <w:highlight w:val="none"/>
              </w:rPr>
              <w:t>及以上学历的，得1分；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有物业经理上岗证</w:t>
            </w:r>
            <w:r>
              <w:rPr>
                <w:rFonts w:hint="eastAsia" w:ascii="宋体" w:hAnsi="宋体" w:eastAsia="宋体" w:cs="宋体"/>
                <w:color w:val="auto"/>
                <w:sz w:val="21"/>
                <w:szCs w:val="21"/>
                <w:highlight w:val="none"/>
                <w:lang w:eastAsia="zh-CN"/>
              </w:rPr>
              <w:t>（或物业管理师证书）</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管理过单体建筑面积在</w:t>
            </w:r>
            <w:r>
              <w:rPr>
                <w:rFonts w:hint="eastAsia" w:ascii="宋体" w:hAnsi="宋体" w:eastAsia="宋体" w:cs="宋体"/>
                <w:color w:val="auto"/>
                <w:sz w:val="21"/>
                <w:szCs w:val="21"/>
                <w:highlight w:val="none"/>
              </w:rPr>
              <w:t>3万㎡</w:t>
            </w:r>
            <w:r>
              <w:rPr>
                <w:rFonts w:hint="eastAsia" w:ascii="宋体" w:hAnsi="宋体" w:eastAsia="宋体" w:cs="宋体"/>
                <w:color w:val="auto"/>
                <w:sz w:val="21"/>
                <w:szCs w:val="21"/>
                <w:highlight w:val="none"/>
              </w:rPr>
              <w:t>（含）以上行政中心办公楼项目三年</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以上的，得1分。</w:t>
            </w: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（提供相关证明文件）</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516"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804" w:type="dxa"/>
            <w:vMerge w:val="restart"/>
            <w:noWrap w:val="0"/>
            <w:tcMar>
              <w:top w:w="113" w:type="dxa"/>
              <w:left w:w="113" w:type="dxa"/>
              <w:bottom w:w="57" w:type="dxa"/>
              <w:right w:w="113" w:type="dxa"/>
            </w:tcMar>
            <w:vAlign w:val="center"/>
          </w:tcPr>
          <w:p>
            <w:pPr>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秩序</w:t>
            </w:r>
          </w:p>
          <w:p>
            <w:pPr>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w:t>
            </w:r>
          </w:p>
          <w:p>
            <w:pPr>
              <w:ind w:left="-107" w:leftChars="-51" w:right="-130" w:rightChars="-6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w:t>
            </w:r>
          </w:p>
        </w:tc>
        <w:tc>
          <w:tcPr>
            <w:tcW w:w="5790" w:type="dxa"/>
            <w:noWrap w:val="0"/>
            <w:tcMar>
              <w:top w:w="113" w:type="dxa"/>
              <w:left w:w="113" w:type="dxa"/>
              <w:bottom w:w="57" w:type="dxa"/>
              <w:right w:w="113" w:type="dxa"/>
            </w:tcMar>
            <w:vAlign w:val="center"/>
          </w:tcPr>
          <w:p>
            <w:pPr>
              <w:ind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拟派A座物业的秩序维护主管</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rPr>
              <w:t>大专</w:t>
            </w:r>
            <w:r>
              <w:rPr>
                <w:rFonts w:hint="eastAsia" w:ascii="宋体" w:hAnsi="宋体" w:eastAsia="宋体" w:cs="宋体"/>
                <w:color w:val="auto"/>
                <w:sz w:val="21"/>
                <w:szCs w:val="21"/>
                <w:highlight w:val="none"/>
              </w:rPr>
              <w:t>学历且有</w:t>
            </w:r>
            <w:r>
              <w:rPr>
                <w:rFonts w:hint="eastAsia" w:ascii="宋体" w:hAnsi="宋体" w:eastAsia="宋体" w:cs="宋体"/>
                <w:color w:val="auto"/>
                <w:sz w:val="21"/>
                <w:szCs w:val="21"/>
                <w:highlight w:val="none"/>
              </w:rPr>
              <w:t>秩序维护员证</w:t>
            </w:r>
            <w:r>
              <w:rPr>
                <w:rFonts w:hint="eastAsia" w:ascii="宋体" w:hAnsi="宋体" w:eastAsia="宋体" w:cs="宋体"/>
                <w:color w:val="auto"/>
                <w:sz w:val="21"/>
                <w:szCs w:val="21"/>
                <w:highlight w:val="none"/>
              </w:rPr>
              <w:t>的，得1分；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有物业经理上岗证</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且有建（构）筑物证的且具有3年</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以上非住宅物业类似管理工作经验的，得2分。</w:t>
            </w:r>
          </w:p>
          <w:p>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（提供相关证明文件）</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516"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804" w:type="dxa"/>
            <w:vMerge w:val="continue"/>
            <w:noWrap w:val="0"/>
            <w:tcMar>
              <w:top w:w="113" w:type="dxa"/>
              <w:left w:w="113" w:type="dxa"/>
              <w:bottom w:w="57" w:type="dxa"/>
              <w:right w:w="113" w:type="dxa"/>
            </w:tcMar>
            <w:vAlign w:val="center"/>
          </w:tcPr>
          <w:p>
            <w:pPr>
              <w:ind w:left="-107" w:leftChars="-51" w:right="-130" w:rightChars="-62"/>
              <w:jc w:val="center"/>
              <w:rPr>
                <w:rFonts w:hint="eastAsia" w:ascii="宋体" w:hAnsi="宋体" w:eastAsia="宋体" w:cs="宋体"/>
                <w:color w:val="auto"/>
                <w:sz w:val="21"/>
                <w:szCs w:val="21"/>
                <w:highlight w:val="none"/>
              </w:rPr>
            </w:pPr>
          </w:p>
        </w:tc>
        <w:tc>
          <w:tcPr>
            <w:tcW w:w="5790" w:type="dxa"/>
            <w:noWrap w:val="0"/>
            <w:tcMar>
              <w:top w:w="113" w:type="dxa"/>
              <w:left w:w="113" w:type="dxa"/>
              <w:bottom w:w="57" w:type="dxa"/>
              <w:right w:w="113" w:type="dxa"/>
            </w:tcMar>
            <w:vAlign w:val="center"/>
          </w:tcPr>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拟派太河楼物业的秩序维护主管</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rPr>
              <w:t>大专</w:t>
            </w:r>
            <w:r>
              <w:rPr>
                <w:rFonts w:hint="eastAsia" w:ascii="宋体" w:hAnsi="宋体" w:eastAsia="宋体" w:cs="宋体"/>
                <w:color w:val="auto"/>
                <w:sz w:val="21"/>
                <w:szCs w:val="21"/>
                <w:highlight w:val="none"/>
              </w:rPr>
              <w:t>学历且有</w:t>
            </w:r>
            <w:r>
              <w:rPr>
                <w:rFonts w:hint="eastAsia" w:ascii="宋体" w:hAnsi="宋体" w:eastAsia="宋体" w:cs="宋体"/>
                <w:color w:val="auto"/>
                <w:sz w:val="21"/>
                <w:szCs w:val="21"/>
                <w:highlight w:val="none"/>
              </w:rPr>
              <w:t>秩序维护员证</w:t>
            </w:r>
            <w:r>
              <w:rPr>
                <w:rFonts w:hint="eastAsia" w:ascii="宋体" w:hAnsi="宋体" w:eastAsia="宋体" w:cs="宋体"/>
                <w:color w:val="auto"/>
                <w:sz w:val="21"/>
                <w:szCs w:val="21"/>
                <w:highlight w:val="none"/>
              </w:rPr>
              <w:t>的，得1分；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有物业经理上岗证</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且有建（构）筑物证的且具有3年</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以上非住宅物业类似管理工作经验的，得1分。</w:t>
            </w: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（提供相关证明文件）</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p>
        </w:tc>
        <w:tc>
          <w:tcPr>
            <w:tcW w:w="701" w:type="dxa"/>
            <w:vMerge w:val="restart"/>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516" w:type="dxa"/>
            <w:vMerge w:val="restart"/>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804" w:type="dxa"/>
            <w:vMerge w:val="restart"/>
            <w:noWrap w:val="0"/>
            <w:tcMar>
              <w:top w:w="113" w:type="dxa"/>
              <w:left w:w="113" w:type="dxa"/>
              <w:bottom w:w="57" w:type="dxa"/>
              <w:right w:w="113" w:type="dxa"/>
            </w:tcMar>
            <w:vAlign w:val="center"/>
          </w:tcPr>
          <w:p>
            <w:pPr>
              <w:ind w:left="-107" w:leftChars="-51" w:right="-130" w:rightChars="-6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w:t>
            </w:r>
          </w:p>
          <w:p>
            <w:pPr>
              <w:ind w:left="-107" w:leftChars="-51" w:right="-130" w:rightChars="-6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设施</w:t>
            </w:r>
          </w:p>
          <w:p>
            <w:pPr>
              <w:ind w:left="-107" w:leftChars="-51" w:right="-130" w:rightChars="-6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5790" w:type="dxa"/>
            <w:noWrap w:val="0"/>
            <w:tcMar>
              <w:top w:w="113" w:type="dxa"/>
              <w:left w:w="113" w:type="dxa"/>
              <w:bottom w:w="57" w:type="dxa"/>
              <w:right w:w="113" w:type="dxa"/>
            </w:tcMar>
            <w:vAlign w:val="center"/>
          </w:tcPr>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拟派A座物业的设备设施管理人员</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设备设施主管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具有本科及以上学历同时具有一级注册消防工程师职称的，得1分</w:t>
            </w:r>
            <w:r>
              <w:rPr>
                <w:rFonts w:hint="eastAsia" w:ascii="宋体" w:hAnsi="宋体" w:cs="宋体"/>
                <w:color w:val="auto"/>
                <w:sz w:val="21"/>
                <w:szCs w:val="21"/>
                <w:highlight w:val="none"/>
                <w:lang w:eastAsia="zh-CN"/>
              </w:rPr>
              <w:t>；</w:t>
            </w:r>
          </w:p>
          <w:p>
            <w:pP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设备管理团队中具有给排水、建筑电气、弱电、工民建筑、计算机等各类中级及以上职称证书的，有1</w:t>
            </w:r>
            <w:r>
              <w:rPr>
                <w:rFonts w:hint="eastAsia" w:ascii="宋体" w:hAnsi="宋体" w:cs="宋体"/>
                <w:color w:val="auto"/>
                <w:sz w:val="21"/>
                <w:szCs w:val="21"/>
                <w:highlight w:val="none"/>
                <w:lang w:val="en-US" w:eastAsia="zh-CN"/>
              </w:rPr>
              <w:t>个</w:t>
            </w:r>
            <w:r>
              <w:rPr>
                <w:rFonts w:hint="eastAsia" w:ascii="宋体" w:hAnsi="宋体" w:eastAsia="宋体" w:cs="宋体"/>
                <w:color w:val="auto"/>
                <w:sz w:val="21"/>
                <w:szCs w:val="21"/>
                <w:highlight w:val="none"/>
              </w:rPr>
              <w:t>，得1分，最多得2 分。</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一人多证的不累计得分</w:t>
            </w:r>
            <w:r>
              <w:rPr>
                <w:rFonts w:hint="eastAsia" w:ascii="宋体" w:hAnsi="宋体" w:cs="宋体"/>
                <w:b w:val="0"/>
                <w:bCs w:val="0"/>
                <w:color w:val="auto"/>
                <w:sz w:val="21"/>
                <w:szCs w:val="21"/>
                <w:highlight w:val="none"/>
                <w:lang w:eastAsia="zh-CN"/>
              </w:rPr>
              <w:t>）</w:t>
            </w: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（提供相关证明文件）</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516"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804"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5790" w:type="dxa"/>
            <w:noWrap w:val="0"/>
            <w:tcMar>
              <w:top w:w="113" w:type="dxa"/>
              <w:left w:w="113" w:type="dxa"/>
              <w:bottom w:w="57" w:type="dxa"/>
              <w:right w:w="113" w:type="dxa"/>
            </w:tcMar>
            <w:vAlign w:val="center"/>
          </w:tcPr>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拟派太河楼物业的设备设施管理人员</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设备设施主管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具有本科及以上学历同时具有一级注册消防工程师工程师职称的，得1分</w:t>
            </w:r>
          </w:p>
          <w:p>
            <w:pP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设备管理团队中具有给排水、建筑电气、弱电、工民建筑、计算机等各类中级及以上职称证书的，有1</w:t>
            </w:r>
            <w:r>
              <w:rPr>
                <w:rFonts w:hint="eastAsia" w:ascii="宋体" w:hAnsi="宋体" w:cs="宋体"/>
                <w:color w:val="auto"/>
                <w:sz w:val="21"/>
                <w:szCs w:val="21"/>
                <w:highlight w:val="none"/>
                <w:lang w:val="en-US" w:eastAsia="zh-CN"/>
              </w:rPr>
              <w:t>个</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分，最多得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一人多证的不累计得分</w:t>
            </w:r>
            <w:r>
              <w:rPr>
                <w:rFonts w:hint="eastAsia" w:ascii="宋体" w:hAnsi="宋体" w:cs="宋体"/>
                <w:b w:val="0"/>
                <w:bCs w:val="0"/>
                <w:color w:val="auto"/>
                <w:sz w:val="21"/>
                <w:szCs w:val="21"/>
                <w:highlight w:val="none"/>
                <w:lang w:eastAsia="zh-CN"/>
              </w:rPr>
              <w:t>）</w:t>
            </w: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（提供相关证明文件）</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人员管理与</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培训计划</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有保障从业人员基本福利、社会保险、职业安全等措施和方案。人员培训有计划、内容、目标，且方式多样；人员录用与考核有标准，有奖惩淘汰机制；各类人员上岗仪表、行为、态度，标准统一、规范。</w:t>
            </w:r>
          </w:p>
        </w:tc>
        <w:tc>
          <w:tcPr>
            <w:tcW w:w="870" w:type="dxa"/>
            <w:noWrap w:val="0"/>
            <w:tcMar>
              <w:top w:w="113" w:type="dxa"/>
              <w:left w:w="113" w:type="dxa"/>
              <w:bottom w:w="57" w:type="dxa"/>
              <w:right w:w="113" w:type="dxa"/>
            </w:tcMar>
            <w:vAlign w:val="center"/>
          </w:tcPr>
          <w:p>
            <w:pPr>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7811" w:type="dxa"/>
            <w:gridSpan w:val="4"/>
            <w:noWrap w:val="0"/>
            <w:tcMar>
              <w:top w:w="113" w:type="dxa"/>
              <w:left w:w="113" w:type="dxa"/>
              <w:bottom w:w="57" w:type="dxa"/>
              <w:right w:w="113" w:type="dxa"/>
            </w:tcMar>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1、工作经验（业绩）以业主单位出具的证明为准。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2、在投标文件中提供社保部门出具的社保证明、业主单位出具的业绩证明、学历证书、资格证书、职称证书、退伍军人证、上岗证等证书（证明）的原件彩色扫描件，否则不得分。</w:t>
            </w:r>
          </w:p>
          <w:p>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联合体投标的，任一成员按要求提供证书，即可得分。</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701" w:type="dxa"/>
            <w:vMerge w:val="restart"/>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实力</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分</w:t>
            </w: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认证证书</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具有有效质量管理体系认证证书的，得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具有有效环境管理体系认证证书的，得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具有有效职业健康安全管理体系认证证书的，得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具有有效信息安全</w:t>
            </w:r>
            <w:r>
              <w:rPr>
                <w:rFonts w:hint="eastAsia" w:ascii="宋体" w:hAnsi="宋体" w:cs="宋体"/>
                <w:color w:val="auto"/>
                <w:sz w:val="21"/>
                <w:szCs w:val="21"/>
                <w:highlight w:val="none"/>
                <w:lang w:val="en-US" w:eastAsia="zh-CN"/>
              </w:rPr>
              <w:t>管理</w:t>
            </w:r>
            <w:r>
              <w:rPr>
                <w:rFonts w:hint="eastAsia" w:ascii="宋体" w:hAnsi="宋体" w:eastAsia="宋体" w:cs="宋体"/>
                <w:color w:val="auto"/>
                <w:sz w:val="21"/>
                <w:szCs w:val="21"/>
                <w:highlight w:val="none"/>
              </w:rPr>
              <w:t>体系认证证书的，得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在投标文件</w:t>
            </w:r>
            <w:r>
              <w:rPr>
                <w:rFonts w:hint="eastAsia" w:ascii="宋体" w:hAnsi="宋体" w:eastAsia="宋体" w:cs="宋体"/>
                <w:b w:val="0"/>
                <w:bCs w:val="0"/>
                <w:color w:val="auto"/>
                <w:sz w:val="21"/>
                <w:szCs w:val="21"/>
                <w:highlight w:val="none"/>
              </w:rPr>
              <w:t>中</w:t>
            </w:r>
            <w:r>
              <w:rPr>
                <w:rFonts w:hint="eastAsia" w:ascii="宋体" w:hAnsi="宋体" w:eastAsia="宋体" w:cs="宋体"/>
                <w:b w:val="0"/>
                <w:bCs w:val="0"/>
                <w:color w:val="auto"/>
                <w:sz w:val="21"/>
                <w:szCs w:val="21"/>
                <w:highlight w:val="none"/>
                <w:lang w:val="en-US" w:eastAsia="zh-CN"/>
              </w:rPr>
              <w:t>提供</w:t>
            </w:r>
            <w:r>
              <w:rPr>
                <w:rFonts w:hint="eastAsia" w:ascii="宋体" w:hAnsi="宋体" w:eastAsia="宋体" w:cs="宋体"/>
                <w:b w:val="0"/>
                <w:bCs w:val="0"/>
                <w:color w:val="auto"/>
                <w:sz w:val="21"/>
                <w:szCs w:val="21"/>
                <w:highlight w:val="none"/>
              </w:rPr>
              <w:t>证书</w:t>
            </w:r>
            <w:r>
              <w:rPr>
                <w:rFonts w:hint="eastAsia" w:ascii="宋体" w:hAnsi="宋体" w:eastAsia="宋体" w:cs="宋体"/>
                <w:b w:val="0"/>
                <w:bCs w:val="0"/>
                <w:color w:val="auto"/>
                <w:sz w:val="21"/>
                <w:szCs w:val="21"/>
                <w:highlight w:val="none"/>
                <w:lang w:val="en-US" w:eastAsia="zh-CN"/>
              </w:rPr>
              <w:t>的原件彩色扫描件</w:t>
            </w:r>
            <w:r>
              <w:rPr>
                <w:rFonts w:hint="eastAsia" w:ascii="宋体" w:hAnsi="宋体" w:eastAsia="宋体" w:cs="宋体"/>
                <w:b w:val="0"/>
                <w:bCs w:val="0"/>
                <w:color w:val="auto"/>
                <w:sz w:val="21"/>
                <w:szCs w:val="21"/>
                <w:highlight w:val="none"/>
              </w:rPr>
              <w:t>，否则不得分。</w:t>
            </w:r>
          </w:p>
          <w:p>
            <w:pPr>
              <w:rPr>
                <w:rFonts w:hint="eastAsia" w:ascii="宋体" w:hAnsi="宋体" w:eastAsia="宋体" w:cs="宋体"/>
                <w:b/>
                <w:bCs/>
                <w:color w:val="auto"/>
                <w:sz w:val="21"/>
                <w:szCs w:val="21"/>
                <w:highlight w:val="none"/>
              </w:rPr>
            </w:pPr>
            <w:r>
              <w:rPr>
                <w:rFonts w:hint="eastAsia" w:ascii="宋体" w:hAnsi="宋体" w:cs="宋体"/>
                <w:b w:val="0"/>
                <w:bCs w:val="0"/>
                <w:color w:val="auto"/>
                <w:sz w:val="21"/>
                <w:szCs w:val="21"/>
                <w:highlight w:val="none"/>
                <w:lang w:val="en-US" w:eastAsia="zh-CN"/>
              </w:rPr>
              <w:t>联合体投标的，任一成员按要求提供证书，即可得分</w:t>
            </w:r>
            <w:r>
              <w:rPr>
                <w:rFonts w:hint="eastAsia" w:ascii="宋体" w:hAnsi="宋体" w:eastAsia="宋体" w:cs="宋体"/>
                <w:b w:val="0"/>
                <w:bCs w:val="0"/>
                <w:color w:val="auto"/>
                <w:sz w:val="21"/>
                <w:szCs w:val="21"/>
                <w:highlight w:val="none"/>
              </w:rPr>
              <w:t>。</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投标人最近三年（时间计算以投标截止时间和合同签订时间为准）以来成功实施的同类项目的业绩或案例证明。</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投标人每提供一个类似业绩的证明材料，</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类似业绩认定标准：</w:t>
            </w: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类似</w:t>
            </w:r>
            <w:r>
              <w:rPr>
                <w:rFonts w:hint="eastAsia" w:ascii="宋体" w:hAnsi="宋体" w:eastAsia="宋体" w:cs="宋体"/>
                <w:color w:val="auto"/>
                <w:sz w:val="21"/>
                <w:szCs w:val="21"/>
                <w:highlight w:val="none"/>
              </w:rPr>
              <w:t>项目指行政中心办公楼项目，定义：指县、区（含同等级别的各类开发区和经济园区等）级及以上行政区域的首脑机关（党委、政府、人大、政协或管委会等）所在办公大楼，非一般性、单一的行政机关部门大楼。②不含前期管理项目。③同一个采购单位，签订多个合同的，按1个业绩计算。</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证明材料：</w:t>
            </w:r>
            <w:r>
              <w:rPr>
                <w:rFonts w:hint="eastAsia" w:ascii="宋体" w:hAnsi="宋体" w:eastAsia="宋体" w:cs="宋体"/>
                <w:b w:val="0"/>
                <w:bCs/>
                <w:color w:val="auto"/>
                <w:kern w:val="0"/>
                <w:sz w:val="21"/>
                <w:szCs w:val="21"/>
                <w:highlight w:val="none"/>
              </w:rPr>
              <w:t>在投标文件中提供</w:t>
            </w:r>
            <w:r>
              <w:rPr>
                <w:rFonts w:hint="eastAsia" w:ascii="宋体" w:hAnsi="宋体" w:eastAsia="宋体" w:cs="宋体"/>
                <w:b w:val="0"/>
                <w:bCs/>
                <w:color w:val="auto"/>
                <w:kern w:val="0"/>
                <w:sz w:val="21"/>
                <w:szCs w:val="21"/>
                <w:highlight w:val="none"/>
              </w:rPr>
              <w:t>合同</w:t>
            </w:r>
            <w:r>
              <w:rPr>
                <w:rFonts w:hint="eastAsia" w:ascii="宋体" w:hAnsi="宋体" w:eastAsia="宋体" w:cs="宋体"/>
                <w:b w:val="0"/>
                <w:bCs/>
                <w:color w:val="auto"/>
                <w:kern w:val="0"/>
                <w:sz w:val="21"/>
                <w:szCs w:val="21"/>
                <w:highlight w:val="none"/>
                <w:lang w:val="en-US" w:eastAsia="zh-CN"/>
              </w:rPr>
              <w:t>原件彩色扫描件和</w:t>
            </w:r>
            <w:r>
              <w:rPr>
                <w:rFonts w:hint="eastAsia" w:ascii="宋体" w:hAnsi="宋体" w:eastAsia="宋体" w:cs="宋体"/>
                <w:b w:val="0"/>
                <w:bCs/>
                <w:color w:val="auto"/>
                <w:kern w:val="0"/>
                <w:sz w:val="21"/>
                <w:szCs w:val="21"/>
                <w:highlight w:val="none"/>
              </w:rPr>
              <w:t>业主单位出具的合同履行良好的证明材料</w:t>
            </w:r>
            <w:r>
              <w:rPr>
                <w:rFonts w:hint="eastAsia" w:ascii="宋体" w:hAnsi="宋体" w:eastAsia="宋体" w:cs="宋体"/>
                <w:b w:val="0"/>
                <w:bCs/>
                <w:color w:val="auto"/>
                <w:kern w:val="0"/>
                <w:sz w:val="21"/>
                <w:szCs w:val="21"/>
                <w:highlight w:val="none"/>
                <w:lang w:val="en-US" w:eastAsia="zh-CN"/>
              </w:rPr>
              <w:t>原件彩色扫描件</w:t>
            </w:r>
            <w:r>
              <w:rPr>
                <w:rFonts w:hint="eastAsia" w:ascii="宋体" w:hAnsi="宋体" w:eastAsia="宋体" w:cs="宋体"/>
                <w:b w:val="0"/>
                <w:bCs/>
                <w:color w:val="auto"/>
                <w:sz w:val="21"/>
                <w:szCs w:val="21"/>
                <w:highlight w:val="none"/>
              </w:rPr>
              <w:t>，</w:t>
            </w:r>
            <w:r>
              <w:rPr>
                <w:rFonts w:hint="eastAsia" w:ascii="宋体" w:hAnsi="宋体" w:eastAsia="宋体" w:cs="宋体"/>
                <w:b w:val="0"/>
                <w:bCs w:val="0"/>
                <w:color w:val="auto"/>
                <w:sz w:val="21"/>
                <w:szCs w:val="21"/>
                <w:highlight w:val="none"/>
                <w:lang w:val="en-US" w:eastAsia="zh-CN"/>
              </w:rPr>
              <w:t>合同和履约证明缺一不可，否则不得分。</w:t>
            </w:r>
          </w:p>
          <w:p>
            <w:pP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联合体投标的，任一成员按要求提供</w:t>
            </w:r>
            <w:r>
              <w:rPr>
                <w:rFonts w:hint="eastAsia" w:ascii="宋体" w:hAnsi="宋体" w:cs="宋体"/>
                <w:b w:val="0"/>
                <w:bCs w:val="0"/>
                <w:color w:val="auto"/>
                <w:sz w:val="21"/>
                <w:szCs w:val="21"/>
                <w:highlight w:val="none"/>
                <w:lang w:val="en-US" w:eastAsia="zh-CN"/>
              </w:rPr>
              <w:t>类似业绩</w:t>
            </w:r>
            <w:r>
              <w:rPr>
                <w:rFonts w:hint="eastAsia" w:ascii="宋体" w:hAnsi="宋体" w:eastAsia="宋体" w:cs="宋体"/>
                <w:b w:val="0"/>
                <w:bCs w:val="0"/>
                <w:color w:val="auto"/>
                <w:sz w:val="21"/>
                <w:szCs w:val="21"/>
                <w:highlight w:val="none"/>
                <w:lang w:val="en-US" w:eastAsia="zh-CN"/>
              </w:rPr>
              <w:t>，即可得分。</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701" w:type="dxa"/>
            <w:vMerge w:val="restart"/>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陈述</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15分</w:t>
            </w: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现场陈述</w:t>
            </w:r>
          </w:p>
        </w:tc>
        <w:tc>
          <w:tcPr>
            <w:tcW w:w="5790" w:type="dxa"/>
            <w:noWrap w:val="0"/>
            <w:tcMar>
              <w:top w:w="113" w:type="dxa"/>
              <w:left w:w="113" w:type="dxa"/>
              <w:bottom w:w="57" w:type="dxa"/>
              <w:right w:w="113" w:type="dxa"/>
            </w:tcMar>
            <w:vAlign w:val="center"/>
          </w:tcPr>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对本项目的理解和熟悉程度高，项目针对性强；</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管理目标明确，工作思路清晰，并能根据项目的特点提出具体的管理设想；</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管理服务有特点，工作重点突出；</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陈述人仪容仪表和精神面貌良好；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各项管理服务承诺切实可行。</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问题回答</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由陈述人回答评委提问。</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答题应针对性强，准确性高，逻辑严密；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答题的内容应符合物业管理相关法规、政策；</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答题简洁，并有一定的创意和深度。</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p>
        </w:tc>
        <w:tc>
          <w:tcPr>
            <w:tcW w:w="7811" w:type="dxa"/>
            <w:gridSpan w:val="4"/>
            <w:noWrap w:val="0"/>
            <w:tcMar>
              <w:top w:w="113" w:type="dxa"/>
              <w:left w:w="113" w:type="dxa"/>
              <w:bottom w:w="57" w:type="dxa"/>
              <w:right w:w="113" w:type="dxa"/>
            </w:tcMar>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参加现场陈述人数不得超过</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人，陈述时间不超过15分钟。</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所有参加现场陈述的人员必须为投标</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现有在职职工，需在投标文件中提供投标人为其交纳社保的证明材料，</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出示本人身份证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否则此项不得分。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拟派项目经理必须到场，不进行现场陈述的或项目经理</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到场的，投标无效。</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trPr>
        <w:tc>
          <w:tcPr>
            <w:tcW w:w="9391" w:type="dxa"/>
            <w:gridSpan w:val="6"/>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报价部分 </w:t>
            </w:r>
            <w:r>
              <w:rPr>
                <w:rFonts w:hint="eastAsia" w:ascii="宋体" w:hAnsi="宋体" w:eastAsia="宋体" w:cs="宋体"/>
                <w:b/>
                <w:color w:val="auto"/>
                <w:sz w:val="21"/>
                <w:szCs w:val="21"/>
                <w:highlight w:val="none"/>
                <w:lang w:val="en-US" w:eastAsia="zh-CN"/>
              </w:rPr>
              <w:t>15</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2"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8681" w:type="dxa"/>
            <w:gridSpan w:val="5"/>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参与评审的价格＝有效投标报价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小微企业有效投标报价×</w:t>
            </w:r>
            <w:r>
              <w:rPr>
                <w:rFonts w:hint="eastAsia" w:ascii="宋体" w:hAnsi="宋体" w:eastAsia="宋体" w:cs="宋体"/>
                <w:color w:val="auto"/>
                <w:sz w:val="21"/>
                <w:szCs w:val="21"/>
                <w:highlight w:val="none"/>
                <w:lang w:val="en-US" w:eastAsia="zh-CN"/>
              </w:rPr>
              <w:t>10%</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参与评审的价格中最低的为评标基准价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其他供应商的价格分按照下列公式计算：</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报价得分＝（评标基准价/参与评审的价格）×</w:t>
            </w:r>
            <w:r>
              <w:rPr>
                <w:rFonts w:hint="eastAsia" w:ascii="宋体" w:hAnsi="宋体" w:eastAsia="宋体" w:cs="宋体"/>
                <w:color w:val="auto"/>
                <w:sz w:val="21"/>
                <w:szCs w:val="21"/>
                <w:highlight w:val="none"/>
                <w:lang w:val="en-US" w:eastAsia="zh-CN"/>
              </w:rPr>
              <w:t>15</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注：投标人的报价超过最高限价（不含最高限价）的作为无效报价。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人员基本工资不得低于本年度宁波市最低劳动工资，否则作无效报价处理。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政府采购活动，对满足招标文件要求的小微企业的价格给予10%的扣除；对于大中型企业与小微企业组成联合体投标的，且联合体协议约定小微企业的合同份额占到合同总金额30%以上的，对联合体的价格给予4%的扣除，用扣除后的价格参加评审。</w:t>
            </w:r>
          </w:p>
        </w:tc>
      </w:tr>
    </w:tbl>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r>
        <w:rPr>
          <w:rFonts w:hint="eastAsia" w:ascii="宋体" w:hAnsi="宋体" w:eastAsia="宋体" w:cs="Times New Roman"/>
          <w:b w:val="0"/>
          <w:bCs/>
          <w:color w:val="auto"/>
          <w:kern w:val="2"/>
          <w:sz w:val="21"/>
          <w:szCs w:val="24"/>
          <w:highlight w:val="none"/>
          <w:lang w:val="en-US" w:eastAsia="zh-CN" w:bidi="ar-SA"/>
        </w:rPr>
        <w:br w:type="page"/>
      </w:r>
    </w:p>
    <w:p>
      <w:pPr>
        <w:spacing w:line="360" w:lineRule="auto"/>
        <w:rPr>
          <w:rFonts w:hint="eastAsia" w:ascii="宋体" w:hAnsi="宋体" w:eastAsia="宋体" w:cs="Times New Roman"/>
          <w:b w:val="0"/>
          <w:bCs/>
          <w:color w:val="auto"/>
          <w:kern w:val="2"/>
          <w:sz w:val="21"/>
          <w:szCs w:val="24"/>
          <w:highlight w:val="none"/>
          <w:lang w:val="en-US" w:eastAsia="zh-CN" w:bidi="ar-SA"/>
        </w:rPr>
      </w:pPr>
    </w:p>
    <w:p>
      <w:pPr>
        <w:adjustRightInd w:val="0"/>
        <w:snapToGrid w:val="0"/>
        <w:spacing w:before="156" w:beforeLines="50" w:after="156" w:afterLines="50" w:line="360" w:lineRule="auto"/>
        <w:jc w:val="center"/>
        <w:rPr>
          <w:rFonts w:hint="eastAsia" w:eastAsia="宋体"/>
          <w:b/>
          <w:color w:val="auto"/>
          <w:sz w:val="32"/>
          <w:szCs w:val="32"/>
          <w:highlight w:val="none"/>
          <w:lang w:eastAsia="zh-CN"/>
        </w:rPr>
      </w:pPr>
      <w:r>
        <w:rPr>
          <w:rFonts w:hint="eastAsia"/>
          <w:b/>
          <w:color w:val="auto"/>
          <w:sz w:val="32"/>
          <w:szCs w:val="32"/>
          <w:highlight w:val="none"/>
        </w:rPr>
        <w:t>评分标准表</w:t>
      </w:r>
      <w:r>
        <w:rPr>
          <w:rFonts w:hint="eastAsia"/>
          <w:b/>
          <w:color w:val="auto"/>
          <w:sz w:val="32"/>
          <w:szCs w:val="32"/>
          <w:highlight w:val="none"/>
          <w:lang w:eastAsia="zh-CN"/>
        </w:rPr>
        <w:t>（</w:t>
      </w:r>
      <w:r>
        <w:rPr>
          <w:rFonts w:hint="eastAsia"/>
          <w:b/>
          <w:color w:val="auto"/>
          <w:sz w:val="32"/>
          <w:szCs w:val="32"/>
          <w:highlight w:val="none"/>
          <w:lang w:val="en-US" w:eastAsia="zh-CN"/>
        </w:rPr>
        <w:t>标项二</w:t>
      </w:r>
      <w:r>
        <w:rPr>
          <w:rFonts w:hint="eastAsia"/>
          <w:b/>
          <w:color w:val="auto"/>
          <w:sz w:val="32"/>
          <w:szCs w:val="32"/>
          <w:highlight w:val="none"/>
          <w:lang w:eastAsia="zh-CN"/>
        </w:rPr>
        <w:t>）</w:t>
      </w:r>
    </w:p>
    <w:tbl>
      <w:tblPr>
        <w:tblStyle w:val="10"/>
        <w:tblW w:w="939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10"/>
        <w:gridCol w:w="701"/>
        <w:gridCol w:w="516"/>
        <w:gridCol w:w="804"/>
        <w:gridCol w:w="579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4"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1" w:type="dxa"/>
            <w:gridSpan w:val="3"/>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评分项目</w:t>
            </w:r>
          </w:p>
        </w:tc>
        <w:tc>
          <w:tcPr>
            <w:tcW w:w="579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评分内容及标准</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trPr>
        <w:tc>
          <w:tcPr>
            <w:tcW w:w="9391" w:type="dxa"/>
            <w:gridSpan w:val="6"/>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r>
              <w:rPr>
                <w:rFonts w:hint="eastAsia" w:ascii="宋体" w:hAnsi="宋体" w:eastAsia="宋体" w:cs="宋体"/>
                <w:b/>
                <w:color w:val="auto"/>
                <w:sz w:val="21"/>
                <w:szCs w:val="21"/>
                <w:highlight w:val="none"/>
                <w:lang w:val="en-US" w:eastAsia="zh-CN"/>
              </w:rPr>
              <w:t>商务</w:t>
            </w:r>
            <w:r>
              <w:rPr>
                <w:rFonts w:hint="eastAsia" w:ascii="宋体" w:hAnsi="宋体" w:eastAsia="宋体" w:cs="宋体"/>
                <w:b/>
                <w:color w:val="auto"/>
                <w:sz w:val="21"/>
                <w:szCs w:val="21"/>
                <w:highlight w:val="none"/>
              </w:rPr>
              <w:t>部分</w:t>
            </w:r>
            <w:r>
              <w:rPr>
                <w:rFonts w:hint="eastAsia" w:ascii="宋体" w:hAnsi="宋体" w:eastAsia="宋体" w:cs="宋体"/>
                <w:b/>
                <w:color w:val="auto"/>
                <w:sz w:val="21"/>
                <w:szCs w:val="21"/>
                <w:highlight w:val="none"/>
                <w:lang w:val="en-US" w:eastAsia="zh-CN"/>
              </w:rPr>
              <w:t xml:space="preserve"> 85</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01" w:type="dxa"/>
            <w:vMerge w:val="restart"/>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39</w:t>
            </w:r>
            <w:r>
              <w:rPr>
                <w:rFonts w:hint="eastAsia" w:ascii="宋体" w:hAnsi="宋体" w:eastAsia="宋体" w:cs="宋体"/>
                <w:color w:val="auto"/>
                <w:sz w:val="21"/>
                <w:szCs w:val="21"/>
                <w:highlight w:val="none"/>
              </w:rPr>
              <w:t>分</w:t>
            </w: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项目调研</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w:t>
            </w:r>
          </w:p>
        </w:tc>
        <w:tc>
          <w:tcPr>
            <w:tcW w:w="5790" w:type="dxa"/>
            <w:noWrap w:val="0"/>
            <w:tcMar>
              <w:top w:w="113" w:type="dxa"/>
              <w:left w:w="113" w:type="dxa"/>
              <w:bottom w:w="57" w:type="dxa"/>
              <w:right w:w="113" w:type="dxa"/>
            </w:tcMar>
            <w:vAlign w:val="center"/>
          </w:tcPr>
          <w:p>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rPr>
              <w:t>对本项目的理解和同类项目的熟悉程度；对本项目整体构想的创新性、充分性和相符程度；物业管理目标明确性，起点高低程度及设置合理性。</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rPr>
              <w:t>对本项目整体管理情况的</w:t>
            </w:r>
            <w:r>
              <w:rPr>
                <w:rFonts w:hint="eastAsia" w:ascii="宋体" w:hAnsi="宋体" w:cs="宋体"/>
                <w:color w:val="auto"/>
                <w:sz w:val="21"/>
                <w:szCs w:val="21"/>
                <w:highlight w:val="none"/>
                <w:lang w:val="en-US" w:eastAsia="zh-CN"/>
              </w:rPr>
              <w:t>分析理解</w:t>
            </w:r>
            <w:r>
              <w:rPr>
                <w:rFonts w:hint="eastAsia" w:ascii="宋体" w:hAnsi="宋体" w:eastAsia="宋体" w:cs="宋体"/>
                <w:color w:val="auto"/>
                <w:sz w:val="21"/>
                <w:szCs w:val="21"/>
                <w:highlight w:val="none"/>
              </w:rPr>
              <w:t>程度、</w:t>
            </w:r>
            <w:r>
              <w:rPr>
                <w:rFonts w:hint="eastAsia" w:ascii="宋体" w:hAnsi="宋体" w:cs="宋体"/>
                <w:color w:val="auto"/>
                <w:sz w:val="21"/>
                <w:szCs w:val="21"/>
                <w:highlight w:val="none"/>
                <w:lang w:val="en-US" w:eastAsia="zh-CN"/>
              </w:rPr>
              <w:t>服务重点，</w:t>
            </w:r>
            <w:r>
              <w:rPr>
                <w:rFonts w:hint="eastAsia" w:ascii="宋体" w:hAnsi="宋体" w:eastAsia="宋体" w:cs="宋体"/>
                <w:color w:val="auto"/>
                <w:sz w:val="21"/>
                <w:szCs w:val="21"/>
                <w:highlight w:val="none"/>
              </w:rPr>
              <w:t>岗位分布充分性和相符程度。</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p>
        </w:tc>
        <w:tc>
          <w:tcPr>
            <w:tcW w:w="870" w:type="dxa"/>
            <w:noWrap w:val="0"/>
            <w:tcMar>
              <w:top w:w="113" w:type="dxa"/>
              <w:left w:w="113" w:type="dxa"/>
              <w:bottom w:w="57" w:type="dxa"/>
              <w:right w:w="113" w:type="dxa"/>
            </w:tcMar>
            <w:vAlign w:val="center"/>
          </w:tcPr>
          <w:p>
            <w:pPr>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整体物业</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管理方案</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物业方案整体性进行评价。方案策划思路新、针对性强、独特超前。整体物业管理实施方案完善、可行，各项工作程序、标准、各项措施得力，具有较好的统筹协调能力，执行力强；物业服务管理各项承诺明确，具有可操性和监督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5，3，1，0</w:t>
            </w:r>
            <w:r>
              <w:rPr>
                <w:rFonts w:hint="eastAsia" w:ascii="宋体" w:hAnsi="宋体" w:eastAsia="宋体" w:cs="宋体"/>
                <w:color w:val="auto"/>
                <w:sz w:val="21"/>
                <w:szCs w:val="21"/>
                <w:highlight w:val="none"/>
                <w:lang w:eastAsia="zh-CN"/>
              </w:rPr>
              <w:t>）</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管理制度</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管理、激励、监督、奖惩等规章制度健全规范；体现高标准、高档次、科学合理、实际操作性强。内部考核和奖惩制度周密合理，组织制度完善，岗位职责明确，与采购人日常管理要求相符合。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秩序维护</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管理方案是否适应本项目的需求，是否有创新；管理工作项目、工作范围是否齐全；组织设置、岗位配置是否符合本项目的要求；人员管理是否合理；服务标准设计是否合理。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设备设施</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管理服务</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管理方案是否适应本项目的需求，是否有创新；管理工作项目、工作范围是否齐全；组织设置、岗位配置是否符合本项目的要求；人员管理是否合理；服务标准设计是否合理。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保洁管理</w:t>
            </w:r>
          </w:p>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管理方案是否适应本项目的需求，是否有创新；管理工作项目、工作范围是否齐全；组织设置、岗位配置是否符合本项目的要求；人员管理是否合理；服务标准设计是否合理。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应急管理</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对处理各类突发事件有详细的措施预案，针对突发事件所制定的应急预案完善、周密、可行，人员职责到位。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3，2，1，0</w:t>
            </w:r>
            <w:r>
              <w:rPr>
                <w:rFonts w:hint="eastAsia" w:ascii="宋体" w:hAnsi="宋体" w:eastAsia="宋体" w:cs="宋体"/>
                <w:color w:val="auto"/>
                <w:sz w:val="21"/>
                <w:szCs w:val="21"/>
                <w:highlight w:val="none"/>
                <w:lang w:eastAsia="zh-CN"/>
              </w:rPr>
              <w:t>）</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节能管理</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节能降耗方案是否适应本项目的需求，是否有创新；工作项目、工作范围是否齐全。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3，2，1，0</w:t>
            </w:r>
            <w:r>
              <w:rPr>
                <w:rFonts w:hint="eastAsia" w:ascii="宋体" w:hAnsi="宋体" w:eastAsia="宋体" w:cs="宋体"/>
                <w:color w:val="auto"/>
                <w:sz w:val="21"/>
                <w:szCs w:val="21"/>
                <w:highlight w:val="none"/>
                <w:lang w:eastAsia="zh-CN"/>
              </w:rPr>
              <w:t>）</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701"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w:t>
            </w:r>
          </w:p>
          <w:p>
            <w:pPr>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建议</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对该项目提出合理化建议，建议内容切实可行，具有可操作性。</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01" w:type="dxa"/>
            <w:vMerge w:val="restart"/>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人员配置</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各类人员配备齐全、合理、科学，岗位设置与采购人需求基本相符；各部门人员配备数量不低于采购人需求。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3，2，1，0</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（人员配置数量未达到采购人要求的，投标无效）</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516" w:type="dxa"/>
            <w:vMerge w:val="restart"/>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核心管理人员素质</w:t>
            </w:r>
          </w:p>
        </w:tc>
        <w:tc>
          <w:tcPr>
            <w:tcW w:w="804" w:type="dxa"/>
            <w:vMerge w:val="restart"/>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经理</w:t>
            </w:r>
          </w:p>
        </w:tc>
        <w:tc>
          <w:tcPr>
            <w:tcW w:w="5790" w:type="dxa"/>
            <w:noWrap w:val="0"/>
            <w:tcMar>
              <w:top w:w="113" w:type="dxa"/>
              <w:left w:w="113" w:type="dxa"/>
              <w:bottom w:w="57" w:type="dxa"/>
              <w:right w:w="113" w:type="dxa"/>
            </w:tcMar>
            <w:vAlign w:val="center"/>
          </w:tcPr>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拟派B座物业的项目经理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大专</w:t>
            </w:r>
            <w:r>
              <w:rPr>
                <w:rFonts w:hint="eastAsia" w:ascii="宋体" w:hAnsi="宋体" w:eastAsia="宋体" w:cs="宋体"/>
                <w:color w:val="auto"/>
                <w:sz w:val="21"/>
                <w:szCs w:val="21"/>
                <w:highlight w:val="none"/>
              </w:rPr>
              <w:t>及以上学历的，得1分；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管理过单体建筑面积在</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万㎡（含）以上行政办公楼项目</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以上的，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有物业经理上岗证</w:t>
            </w:r>
            <w:r>
              <w:rPr>
                <w:rFonts w:hint="eastAsia" w:ascii="宋体" w:hAnsi="宋体" w:eastAsia="宋体" w:cs="宋体"/>
                <w:color w:val="auto"/>
                <w:sz w:val="21"/>
                <w:szCs w:val="21"/>
                <w:highlight w:val="none"/>
                <w:lang w:eastAsia="zh-CN"/>
              </w:rPr>
              <w:t>（或物业管理师证书）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得1分</w:t>
            </w:r>
            <w:r>
              <w:rPr>
                <w:rFonts w:hint="eastAsia" w:ascii="宋体" w:hAnsi="宋体" w:cs="宋体"/>
                <w:color w:val="auto"/>
                <w:sz w:val="21"/>
                <w:szCs w:val="21"/>
                <w:highlight w:val="none"/>
                <w:lang w:val="en-US" w:eastAsia="zh-CN"/>
              </w:rPr>
              <w:t>。</w:t>
            </w:r>
          </w:p>
          <w:p>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（提供相关证明文件）</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516"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804"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5790" w:type="dxa"/>
            <w:noWrap w:val="0"/>
            <w:tcMar>
              <w:top w:w="113" w:type="dxa"/>
              <w:left w:w="113" w:type="dxa"/>
              <w:bottom w:w="57" w:type="dxa"/>
              <w:right w:w="113" w:type="dxa"/>
            </w:tcMar>
            <w:vAlign w:val="center"/>
          </w:tcPr>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拟派档案楼物业的项目经理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大专</w:t>
            </w:r>
            <w:r>
              <w:rPr>
                <w:rFonts w:hint="eastAsia" w:ascii="宋体" w:hAnsi="宋体" w:eastAsia="宋体" w:cs="宋体"/>
                <w:color w:val="auto"/>
                <w:sz w:val="21"/>
                <w:szCs w:val="21"/>
                <w:highlight w:val="none"/>
              </w:rPr>
              <w:t>及以上学历的，得1分；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管理过单体建筑面积在</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万㎡（含）以上行政办公楼项目</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以上的，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有物业经理上岗证</w:t>
            </w:r>
            <w:r>
              <w:rPr>
                <w:rFonts w:hint="eastAsia" w:ascii="宋体" w:hAnsi="宋体" w:eastAsia="宋体" w:cs="宋体"/>
                <w:color w:val="auto"/>
                <w:sz w:val="21"/>
                <w:szCs w:val="21"/>
                <w:highlight w:val="none"/>
                <w:lang w:eastAsia="zh-CN"/>
              </w:rPr>
              <w:t>（或物业管理师证书）</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得1分</w:t>
            </w: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（提供相关证明文件）</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516"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804" w:type="dxa"/>
            <w:vMerge w:val="restart"/>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秩序维护</w:t>
            </w:r>
            <w:r>
              <w:rPr>
                <w:rFonts w:hint="eastAsia" w:ascii="宋体" w:hAnsi="宋体" w:eastAsia="宋体" w:cs="宋体"/>
                <w:color w:val="auto"/>
                <w:sz w:val="21"/>
                <w:szCs w:val="21"/>
                <w:highlight w:val="none"/>
              </w:rPr>
              <w:t>主管</w:t>
            </w:r>
          </w:p>
        </w:tc>
        <w:tc>
          <w:tcPr>
            <w:tcW w:w="5790" w:type="dxa"/>
            <w:noWrap w:val="0"/>
            <w:tcMar>
              <w:top w:w="113" w:type="dxa"/>
              <w:left w:w="113" w:type="dxa"/>
              <w:bottom w:w="57" w:type="dxa"/>
              <w:right w:w="113" w:type="dxa"/>
            </w:tcMar>
            <w:vAlign w:val="center"/>
          </w:tcPr>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拟派B座物业的秩序维护主管</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从事过</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rPr>
              <w:t>行政办公楼项目管理工作并有</w:t>
            </w:r>
            <w:r>
              <w:rPr>
                <w:rFonts w:hint="eastAsia" w:ascii="宋体" w:hAnsi="宋体" w:eastAsia="宋体" w:cs="宋体"/>
                <w:color w:val="auto"/>
                <w:sz w:val="21"/>
                <w:szCs w:val="21"/>
                <w:highlight w:val="none"/>
                <w:lang w:eastAsia="zh-CN"/>
              </w:rPr>
              <w:t>秩序维护员</w:t>
            </w:r>
            <w:r>
              <w:rPr>
                <w:rFonts w:hint="eastAsia" w:ascii="宋体" w:hAnsi="宋体" w:eastAsia="宋体" w:cs="宋体"/>
                <w:color w:val="auto"/>
                <w:sz w:val="21"/>
                <w:szCs w:val="21"/>
                <w:highlight w:val="none"/>
              </w:rPr>
              <w:t>上岗证</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得2分；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退伍军人</w:t>
            </w:r>
            <w:r>
              <w:rPr>
                <w:rFonts w:hint="eastAsia" w:ascii="宋体" w:hAnsi="宋体" w:eastAsia="宋体" w:cs="宋体"/>
                <w:color w:val="auto"/>
                <w:sz w:val="21"/>
                <w:szCs w:val="21"/>
                <w:highlight w:val="none"/>
                <w:lang w:val="en-US" w:eastAsia="zh-CN"/>
              </w:rPr>
              <w:t>证或</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高中</w:t>
            </w:r>
            <w:r>
              <w:rPr>
                <w:rFonts w:hint="eastAsia" w:ascii="宋体" w:hAnsi="宋体" w:eastAsia="宋体" w:cs="宋体"/>
                <w:color w:val="auto"/>
                <w:sz w:val="21"/>
                <w:szCs w:val="21"/>
                <w:highlight w:val="none"/>
              </w:rPr>
              <w:t>及以上学历</w:t>
            </w:r>
            <w:r>
              <w:rPr>
                <w:rFonts w:hint="eastAsia" w:ascii="宋体" w:hAnsi="宋体" w:eastAsia="宋体" w:cs="宋体"/>
                <w:color w:val="auto"/>
                <w:sz w:val="21"/>
                <w:szCs w:val="21"/>
                <w:highlight w:val="none"/>
                <w:lang w:val="en-US" w:eastAsia="zh-CN"/>
              </w:rPr>
              <w:t>的，得1分。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（提供相关证明文件）</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516"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804" w:type="dxa"/>
            <w:vMerge w:val="continue"/>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5790" w:type="dxa"/>
            <w:noWrap w:val="0"/>
            <w:tcMar>
              <w:top w:w="113" w:type="dxa"/>
              <w:left w:w="113" w:type="dxa"/>
              <w:bottom w:w="57" w:type="dxa"/>
              <w:right w:w="113" w:type="dxa"/>
            </w:tcMar>
            <w:vAlign w:val="center"/>
          </w:tcPr>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拟派档案楼物业的秩序维护主管</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从事过</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rPr>
              <w:t>行政办公楼项目管理工作并有</w:t>
            </w:r>
            <w:r>
              <w:rPr>
                <w:rFonts w:hint="eastAsia" w:ascii="宋体" w:hAnsi="宋体" w:eastAsia="宋体" w:cs="宋体"/>
                <w:color w:val="auto"/>
                <w:sz w:val="21"/>
                <w:szCs w:val="21"/>
                <w:highlight w:val="none"/>
                <w:lang w:eastAsia="zh-CN"/>
              </w:rPr>
              <w:t>秩序维护员</w:t>
            </w:r>
            <w:r>
              <w:rPr>
                <w:rFonts w:hint="eastAsia" w:ascii="宋体" w:hAnsi="宋体" w:eastAsia="宋体" w:cs="宋体"/>
                <w:color w:val="auto"/>
                <w:sz w:val="21"/>
                <w:szCs w:val="21"/>
                <w:highlight w:val="none"/>
              </w:rPr>
              <w:t>上岗证</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得2分；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退伍军人</w:t>
            </w:r>
            <w:r>
              <w:rPr>
                <w:rFonts w:hint="eastAsia" w:ascii="宋体" w:hAnsi="宋体" w:eastAsia="宋体" w:cs="宋体"/>
                <w:color w:val="auto"/>
                <w:sz w:val="21"/>
                <w:szCs w:val="21"/>
                <w:highlight w:val="none"/>
                <w:lang w:val="en-US" w:eastAsia="zh-CN"/>
              </w:rPr>
              <w:t>证或</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高中</w:t>
            </w:r>
            <w:r>
              <w:rPr>
                <w:rFonts w:hint="eastAsia" w:ascii="宋体" w:hAnsi="宋体" w:eastAsia="宋体" w:cs="宋体"/>
                <w:color w:val="auto"/>
                <w:sz w:val="21"/>
                <w:szCs w:val="21"/>
                <w:highlight w:val="none"/>
              </w:rPr>
              <w:t>及以上学历</w:t>
            </w:r>
            <w:r>
              <w:rPr>
                <w:rFonts w:hint="eastAsia" w:ascii="宋体" w:hAnsi="宋体" w:eastAsia="宋体" w:cs="宋体"/>
                <w:color w:val="auto"/>
                <w:sz w:val="21"/>
                <w:szCs w:val="21"/>
                <w:highlight w:val="none"/>
                <w:lang w:val="en-US" w:eastAsia="zh-CN"/>
              </w:rPr>
              <w:t>的，得1分。</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（提供相关证明文件）</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516"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804" w:type="dxa"/>
            <w:vMerge w:val="restart"/>
            <w:noWrap w:val="0"/>
            <w:tcMar>
              <w:top w:w="113" w:type="dxa"/>
              <w:left w:w="113" w:type="dxa"/>
              <w:bottom w:w="57" w:type="dxa"/>
              <w:right w:w="113" w:type="dxa"/>
            </w:tcMar>
            <w:vAlign w:val="center"/>
          </w:tcPr>
          <w:p>
            <w:pPr>
              <w:ind w:left="-107" w:leftChars="-51" w:right="-130" w:rightChars="-6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设备设施管理人员</w:t>
            </w:r>
          </w:p>
        </w:tc>
        <w:tc>
          <w:tcPr>
            <w:tcW w:w="5790" w:type="dxa"/>
            <w:noWrap w:val="0"/>
            <w:tcMar>
              <w:top w:w="113" w:type="dxa"/>
              <w:left w:w="113" w:type="dxa"/>
              <w:bottom w:w="57" w:type="dxa"/>
              <w:right w:w="113" w:type="dxa"/>
            </w:tcMar>
            <w:vAlign w:val="center"/>
          </w:tcPr>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拟派B座物业的</w:t>
            </w:r>
            <w:r>
              <w:rPr>
                <w:rFonts w:hint="eastAsia" w:ascii="宋体" w:hAnsi="宋体" w:eastAsia="宋体" w:cs="宋体"/>
                <w:b/>
                <w:bCs/>
                <w:color w:val="auto"/>
                <w:sz w:val="21"/>
                <w:szCs w:val="21"/>
                <w:highlight w:val="none"/>
              </w:rPr>
              <w:t>设备设施管理人员</w:t>
            </w:r>
          </w:p>
          <w:p>
            <w:pP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设备管理团队中</w:t>
            </w:r>
            <w:r>
              <w:rPr>
                <w:rFonts w:hint="eastAsia" w:ascii="宋体" w:hAnsi="宋体" w:eastAsia="宋体" w:cs="宋体"/>
                <w:color w:val="auto"/>
                <w:sz w:val="21"/>
                <w:szCs w:val="21"/>
                <w:highlight w:val="none"/>
              </w:rPr>
              <w:t>具有中级及以上技术职称</w:t>
            </w:r>
            <w:r>
              <w:rPr>
                <w:rFonts w:hint="eastAsia" w:ascii="宋体" w:hAnsi="宋体" w:eastAsia="宋体" w:cs="宋体"/>
                <w:color w:val="auto"/>
                <w:sz w:val="21"/>
                <w:szCs w:val="21"/>
                <w:highlight w:val="none"/>
                <w:lang w:eastAsia="zh-CN"/>
              </w:rPr>
              <w:t>、设备维修岗位证书的，</w:t>
            </w:r>
            <w:r>
              <w:rPr>
                <w:rFonts w:hint="eastAsia" w:ascii="宋体" w:hAnsi="宋体" w:eastAsia="宋体" w:cs="宋体"/>
                <w:color w:val="auto"/>
                <w:sz w:val="21"/>
                <w:szCs w:val="21"/>
                <w:highlight w:val="none"/>
              </w:rPr>
              <w:t>有1</w:t>
            </w:r>
            <w:r>
              <w:rPr>
                <w:rFonts w:hint="eastAsia" w:ascii="宋体" w:hAnsi="宋体" w:cs="宋体"/>
                <w:color w:val="auto"/>
                <w:sz w:val="21"/>
                <w:szCs w:val="21"/>
                <w:highlight w:val="none"/>
                <w:lang w:val="en-US" w:eastAsia="zh-CN"/>
              </w:rPr>
              <w:t>个</w:t>
            </w:r>
            <w:r>
              <w:rPr>
                <w:rFonts w:hint="eastAsia" w:ascii="宋体" w:hAnsi="宋体" w:eastAsia="宋体" w:cs="宋体"/>
                <w:color w:val="auto"/>
                <w:sz w:val="21"/>
                <w:szCs w:val="21"/>
                <w:highlight w:val="none"/>
              </w:rPr>
              <w:t>，得1分，最多得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一人多证的不累计得分</w:t>
            </w:r>
            <w:r>
              <w:rPr>
                <w:rFonts w:hint="eastAsia" w:ascii="宋体" w:hAnsi="宋体" w:cs="宋体"/>
                <w:b/>
                <w:bCs/>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（提供相关证明文件）</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516"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804" w:type="dxa"/>
            <w:vMerge w:val="continue"/>
            <w:noWrap w:val="0"/>
            <w:tcMar>
              <w:top w:w="113" w:type="dxa"/>
              <w:left w:w="113" w:type="dxa"/>
              <w:bottom w:w="57" w:type="dxa"/>
              <w:right w:w="113" w:type="dxa"/>
            </w:tcMar>
            <w:vAlign w:val="center"/>
          </w:tcPr>
          <w:p>
            <w:pPr>
              <w:ind w:left="-107" w:leftChars="-51" w:right="-130" w:rightChars="-62"/>
              <w:jc w:val="center"/>
              <w:rPr>
                <w:rFonts w:hint="eastAsia" w:ascii="宋体" w:hAnsi="宋体" w:eastAsia="宋体" w:cs="宋体"/>
                <w:color w:val="auto"/>
                <w:sz w:val="21"/>
                <w:szCs w:val="21"/>
                <w:highlight w:val="none"/>
              </w:rPr>
            </w:pP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拟派档案楼物业的</w:t>
            </w:r>
            <w:r>
              <w:rPr>
                <w:rFonts w:hint="eastAsia" w:ascii="宋体" w:hAnsi="宋体" w:eastAsia="宋体" w:cs="宋体"/>
                <w:b/>
                <w:bCs/>
                <w:color w:val="auto"/>
                <w:sz w:val="21"/>
                <w:szCs w:val="21"/>
                <w:highlight w:val="none"/>
              </w:rPr>
              <w:t>设备设施管理人员</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设备管理团队中</w:t>
            </w:r>
            <w:r>
              <w:rPr>
                <w:rFonts w:hint="eastAsia" w:ascii="宋体" w:hAnsi="宋体" w:eastAsia="宋体" w:cs="宋体"/>
                <w:color w:val="auto"/>
                <w:sz w:val="21"/>
                <w:szCs w:val="21"/>
                <w:highlight w:val="none"/>
                <w:lang w:eastAsia="zh-CN"/>
              </w:rPr>
              <w:t>具有特种设备操作证书、设备维修岗位证书的，</w:t>
            </w:r>
            <w:r>
              <w:rPr>
                <w:rFonts w:hint="eastAsia" w:ascii="宋体" w:hAnsi="宋体" w:eastAsia="宋体" w:cs="宋体"/>
                <w:color w:val="auto"/>
                <w:sz w:val="21"/>
                <w:szCs w:val="21"/>
                <w:highlight w:val="none"/>
              </w:rPr>
              <w:t>有1</w:t>
            </w:r>
            <w:r>
              <w:rPr>
                <w:rFonts w:hint="eastAsia" w:ascii="宋体" w:hAnsi="宋体" w:cs="宋体"/>
                <w:color w:val="auto"/>
                <w:sz w:val="21"/>
                <w:szCs w:val="21"/>
                <w:highlight w:val="none"/>
                <w:lang w:val="en-US" w:eastAsia="zh-CN"/>
              </w:rPr>
              <w:t>个</w:t>
            </w:r>
            <w:r>
              <w:rPr>
                <w:rFonts w:hint="eastAsia" w:ascii="宋体" w:hAnsi="宋体" w:eastAsia="宋体" w:cs="宋体"/>
                <w:color w:val="auto"/>
                <w:sz w:val="21"/>
                <w:szCs w:val="21"/>
                <w:highlight w:val="none"/>
              </w:rPr>
              <w:t>，得1分，最多得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一人多证的不累计得分</w:t>
            </w:r>
            <w:r>
              <w:rPr>
                <w:rFonts w:hint="eastAsia" w:ascii="宋体" w:hAnsi="宋体" w:cs="宋体"/>
                <w:b/>
                <w:bCs/>
                <w:color w:val="auto"/>
                <w:sz w:val="21"/>
                <w:szCs w:val="21"/>
                <w:highlight w:val="none"/>
                <w:lang w:eastAsia="zh-CN"/>
              </w:rPr>
              <w:t>）</w:t>
            </w: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（提供相关证明文件）</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人员管理与</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培训计划</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有保障从业人员基本福利、社会保险、职业安全等措施和方案。人员培训有计划、内容、目标，且方式多样；人员录用与考核有标准，有奖惩淘汰机制；各类人员上岗仪表、行为、态度，标准统一、规范。</w:t>
            </w:r>
          </w:p>
        </w:tc>
        <w:tc>
          <w:tcPr>
            <w:tcW w:w="870" w:type="dxa"/>
            <w:noWrap w:val="0"/>
            <w:tcMar>
              <w:top w:w="113" w:type="dxa"/>
              <w:left w:w="113" w:type="dxa"/>
              <w:bottom w:w="57" w:type="dxa"/>
              <w:right w:w="113" w:type="dxa"/>
            </w:tcMar>
            <w:vAlign w:val="center"/>
          </w:tcPr>
          <w:p>
            <w:pPr>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c>
          <w:tcPr>
            <w:tcW w:w="7811" w:type="dxa"/>
            <w:gridSpan w:val="4"/>
            <w:noWrap w:val="0"/>
            <w:tcMar>
              <w:top w:w="113" w:type="dxa"/>
              <w:left w:w="113" w:type="dxa"/>
              <w:bottom w:w="57" w:type="dxa"/>
              <w:right w:w="113" w:type="dxa"/>
            </w:tcMar>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1、工作经验（业绩）以业主单位出具的证明为准。</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2、在投标文件中提供社保部门出具的社保证明、业主单位出具的业绩证明、学历证书、资格证书、职称证书、退伍军人证、上岗证等证书（证明）的原件彩色扫描件，否则不得分。</w:t>
            </w:r>
          </w:p>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联合体投标的，任一成员按要求提供证书，即可得分。</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701" w:type="dxa"/>
            <w:vMerge w:val="restart"/>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实力</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w:t>
            </w:r>
            <w:r>
              <w:rPr>
                <w:rFonts w:hint="eastAsia" w:ascii="宋体" w:hAnsi="宋体" w:eastAsia="宋体" w:cs="宋体"/>
                <w:color w:val="auto"/>
                <w:sz w:val="21"/>
                <w:szCs w:val="21"/>
                <w:highlight w:val="none"/>
              </w:rPr>
              <w:t>分</w:t>
            </w: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认证证书</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具有有效质量管理体系认证证书的，得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具有有效环境管理体系认证证书的，得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具有有效职业健康安全管理体系认证证书的，得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具有有效信息安全</w:t>
            </w:r>
            <w:r>
              <w:rPr>
                <w:rFonts w:hint="eastAsia" w:ascii="宋体" w:hAnsi="宋体" w:cs="宋体"/>
                <w:color w:val="auto"/>
                <w:sz w:val="21"/>
                <w:szCs w:val="21"/>
                <w:highlight w:val="none"/>
                <w:lang w:val="en-US" w:eastAsia="zh-CN"/>
              </w:rPr>
              <w:t>管理</w:t>
            </w:r>
            <w:r>
              <w:rPr>
                <w:rFonts w:hint="eastAsia" w:ascii="宋体" w:hAnsi="宋体" w:eastAsia="宋体" w:cs="宋体"/>
                <w:color w:val="auto"/>
                <w:sz w:val="21"/>
                <w:szCs w:val="21"/>
                <w:highlight w:val="none"/>
              </w:rPr>
              <w:t>体系认证证书的，得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在投标文件中提供证书的原件彩色扫描件，否则不得分。</w:t>
            </w:r>
          </w:p>
          <w:p>
            <w:pPr>
              <w:rPr>
                <w:rFonts w:hint="default" w:ascii="宋体" w:hAnsi="宋体" w:eastAsia="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联合体投标的，任一成员按要求提供证书，即可得分</w:t>
            </w:r>
            <w:r>
              <w:rPr>
                <w:rFonts w:hint="eastAsia" w:ascii="宋体" w:hAnsi="宋体" w:eastAsia="宋体" w:cs="宋体"/>
                <w:b w:val="0"/>
                <w:bCs w:val="0"/>
                <w:color w:val="auto"/>
                <w:sz w:val="21"/>
                <w:szCs w:val="21"/>
                <w:highlight w:val="none"/>
              </w:rPr>
              <w:t>。</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投标人最近三年（时间计算以投标截止时间和合同签订时间为准）以来成功实施的同类项目的业绩或案例证明。</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投标人每提供一个类似业绩的证明材料，得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类似业绩认定标准：</w:t>
            </w:r>
            <w:r>
              <w:rPr>
                <w:rFonts w:hint="eastAsia" w:ascii="宋体" w:hAnsi="宋体" w:eastAsia="宋体" w:cs="宋体"/>
                <w:color w:val="auto"/>
                <w:sz w:val="21"/>
                <w:szCs w:val="21"/>
                <w:highlight w:val="none"/>
                <w:lang w:val="en-US" w:eastAsia="zh-CN"/>
              </w:rPr>
              <w:t>①类似项目指县、区（含同等级别的各类开发区和经济园区等）级及以上行政区域的仅限于行政办公或公用事业用途楼宇，不包含商场、酒店、学校、住宅等项目。②不含前期管理项目。③同一个采购单位，签订多个合同的，按1个业绩计算。</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证明材料：</w:t>
            </w:r>
            <w:r>
              <w:rPr>
                <w:rFonts w:hint="eastAsia" w:ascii="宋体" w:hAnsi="宋体" w:eastAsia="宋体" w:cs="宋体"/>
                <w:b w:val="0"/>
                <w:bCs/>
                <w:color w:val="auto"/>
                <w:kern w:val="0"/>
                <w:sz w:val="21"/>
                <w:szCs w:val="21"/>
                <w:highlight w:val="none"/>
              </w:rPr>
              <w:t>在投标文件中提供合同</w:t>
            </w:r>
            <w:r>
              <w:rPr>
                <w:rFonts w:hint="eastAsia" w:ascii="宋体" w:hAnsi="宋体" w:eastAsia="宋体" w:cs="宋体"/>
                <w:b w:val="0"/>
                <w:bCs/>
                <w:color w:val="auto"/>
                <w:kern w:val="0"/>
                <w:sz w:val="21"/>
                <w:szCs w:val="21"/>
                <w:highlight w:val="none"/>
                <w:lang w:val="en-US" w:eastAsia="zh-CN"/>
              </w:rPr>
              <w:t>原件彩色扫描件和</w:t>
            </w:r>
            <w:r>
              <w:rPr>
                <w:rFonts w:hint="eastAsia" w:ascii="宋体" w:hAnsi="宋体" w:eastAsia="宋体" w:cs="宋体"/>
                <w:b w:val="0"/>
                <w:bCs/>
                <w:color w:val="auto"/>
                <w:kern w:val="0"/>
                <w:sz w:val="21"/>
                <w:szCs w:val="21"/>
                <w:highlight w:val="none"/>
              </w:rPr>
              <w:t>业主单位出具的合同履行良好的证明材料</w:t>
            </w:r>
            <w:r>
              <w:rPr>
                <w:rFonts w:hint="eastAsia" w:ascii="宋体" w:hAnsi="宋体" w:eastAsia="宋体" w:cs="宋体"/>
                <w:b w:val="0"/>
                <w:bCs/>
                <w:color w:val="auto"/>
                <w:kern w:val="0"/>
                <w:sz w:val="21"/>
                <w:szCs w:val="21"/>
                <w:highlight w:val="none"/>
                <w:lang w:val="en-US" w:eastAsia="zh-CN"/>
              </w:rPr>
              <w:t>原件彩色扫描件</w:t>
            </w:r>
            <w:r>
              <w:rPr>
                <w:rFonts w:hint="eastAsia" w:ascii="宋体" w:hAnsi="宋体" w:eastAsia="宋体" w:cs="宋体"/>
                <w:b w:val="0"/>
                <w:bCs/>
                <w:color w:val="auto"/>
                <w:sz w:val="21"/>
                <w:szCs w:val="21"/>
                <w:highlight w:val="none"/>
              </w:rPr>
              <w:t>，</w:t>
            </w:r>
            <w:r>
              <w:rPr>
                <w:rFonts w:hint="eastAsia" w:ascii="宋体" w:hAnsi="宋体" w:eastAsia="宋体" w:cs="宋体"/>
                <w:b w:val="0"/>
                <w:bCs w:val="0"/>
                <w:color w:val="auto"/>
                <w:sz w:val="21"/>
                <w:szCs w:val="21"/>
                <w:highlight w:val="none"/>
                <w:lang w:val="en-US" w:eastAsia="zh-CN"/>
              </w:rPr>
              <w:t>合同和履约证明缺一不可，否则不得分。</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联合体投标的，任一成员按要求提供</w:t>
            </w:r>
            <w:r>
              <w:rPr>
                <w:rFonts w:hint="eastAsia" w:ascii="宋体" w:hAnsi="宋体" w:cs="宋体"/>
                <w:b w:val="0"/>
                <w:bCs w:val="0"/>
                <w:color w:val="auto"/>
                <w:sz w:val="21"/>
                <w:szCs w:val="21"/>
                <w:highlight w:val="none"/>
                <w:lang w:val="en-US" w:eastAsia="zh-CN"/>
              </w:rPr>
              <w:t>类似业绩</w:t>
            </w:r>
            <w:r>
              <w:rPr>
                <w:rFonts w:hint="eastAsia" w:ascii="宋体" w:hAnsi="宋体" w:eastAsia="宋体" w:cs="宋体"/>
                <w:b w:val="0"/>
                <w:bCs w:val="0"/>
                <w:color w:val="auto"/>
                <w:sz w:val="21"/>
                <w:szCs w:val="21"/>
                <w:highlight w:val="none"/>
                <w:lang w:val="en-US" w:eastAsia="zh-CN"/>
              </w:rPr>
              <w:t>，即可得分。</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701" w:type="dxa"/>
            <w:vMerge w:val="restart"/>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陈述</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15分</w:t>
            </w: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现场陈述</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对本项目的理解和熟悉程度高，项目针对性强；</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管理目标明确，工作思路清晰，并能根据项目的特点提出具体的管理设想；</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管理服务有特点，工作重点突出；</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陈述人仪容仪表和精神面貌良好；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各项管理服务承诺切实可行。</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701" w:type="dxa"/>
            <w:vMerge w:val="continue"/>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p>
        </w:tc>
        <w:tc>
          <w:tcPr>
            <w:tcW w:w="1320" w:type="dxa"/>
            <w:gridSpan w:val="2"/>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问题回答</w:t>
            </w:r>
          </w:p>
        </w:tc>
        <w:tc>
          <w:tcPr>
            <w:tcW w:w="5790" w:type="dxa"/>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由陈述人回答评委提问。</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答题应针对性强，准确性高，逻辑严密；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答题的内容应符合物业管理相关法规、政策；</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答题简洁，并有一定的创意和深度。</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p>
        </w:tc>
        <w:tc>
          <w:tcPr>
            <w:tcW w:w="7811" w:type="dxa"/>
            <w:gridSpan w:val="4"/>
            <w:noWrap w:val="0"/>
            <w:tcMar>
              <w:top w:w="113" w:type="dxa"/>
              <w:left w:w="113" w:type="dxa"/>
              <w:bottom w:w="57" w:type="dxa"/>
              <w:right w:w="113" w:type="dxa"/>
            </w:tcMar>
            <w:vAlign w:val="center"/>
          </w:tcPr>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参加现场陈述人数不得超过</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人，陈述时间不超过15分钟。</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所有参加现场陈述的人员必须为投标</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现有在职职工，需在投标文件中提供投标人为其交纳社保的证明材料，</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出示本人身份证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否则此项不得分。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拟派项目经理必须到场，不进行现场陈述的或项目经理</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到场的，投标无效。</w:t>
            </w:r>
          </w:p>
        </w:tc>
        <w:tc>
          <w:tcPr>
            <w:tcW w:w="87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trPr>
        <w:tc>
          <w:tcPr>
            <w:tcW w:w="9391" w:type="dxa"/>
            <w:gridSpan w:val="6"/>
            <w:noWrap w:val="0"/>
            <w:tcMar>
              <w:top w:w="113" w:type="dxa"/>
              <w:left w:w="113" w:type="dxa"/>
              <w:bottom w:w="57" w:type="dxa"/>
              <w:right w:w="113" w:type="dxa"/>
            </w:tcMar>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报价部分</w:t>
            </w:r>
            <w:r>
              <w:rPr>
                <w:rFonts w:hint="eastAsia" w:ascii="宋体" w:hAnsi="宋体" w:eastAsia="宋体" w:cs="宋体"/>
                <w:b/>
                <w:color w:val="auto"/>
                <w:sz w:val="21"/>
                <w:szCs w:val="21"/>
                <w:highlight w:val="none"/>
                <w:lang w:val="en-US" w:eastAsia="zh-CN"/>
              </w:rPr>
              <w:t>15</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2" w:hRule="atLeast"/>
          <w:tblHeader/>
        </w:trPr>
        <w:tc>
          <w:tcPr>
            <w:tcW w:w="710" w:type="dxa"/>
            <w:noWrap w:val="0"/>
            <w:tcMar>
              <w:top w:w="113" w:type="dxa"/>
              <w:left w:w="113" w:type="dxa"/>
              <w:bottom w:w="57" w:type="dxa"/>
              <w:right w:w="113" w:type="dxa"/>
            </w:tcMar>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8681" w:type="dxa"/>
            <w:gridSpan w:val="5"/>
            <w:noWrap w:val="0"/>
            <w:tcMar>
              <w:top w:w="113" w:type="dxa"/>
              <w:left w:w="113" w:type="dxa"/>
              <w:bottom w:w="57" w:type="dxa"/>
              <w:right w:w="113" w:type="dxa"/>
            </w:tcMar>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参与评审的价格＝有效投标报价－小微企业有效投标报价×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参与评审的价格中最低的为评标基准价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基准价得分：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其他供应商的价格分按照下列公式计算：</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报价得分＝（评标基准价/参与评审的价格）×</w:t>
            </w:r>
            <w:r>
              <w:rPr>
                <w:rFonts w:hint="eastAsia" w:ascii="宋体" w:hAnsi="宋体" w:eastAsia="宋体" w:cs="宋体"/>
                <w:color w:val="auto"/>
                <w:sz w:val="21"/>
                <w:szCs w:val="21"/>
                <w:highlight w:val="none"/>
                <w:lang w:val="en-US" w:eastAsia="zh-CN"/>
              </w:rPr>
              <w:t>15</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注：投标人的报价超过最高限价（不含最高限价）的作为无效报价。</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人员基本工资不得低于本年度宁波市最低劳动工资，否则作无效报价处理。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政府采购活动，对满足招标文件要求的小微企业的价格给予10%的扣除；对于大中型企业与小微企业组成联合体投标的，且联合体协议约定小微企业的合同份额占到合同总金额30%以上的，对联合体的价格给予4%的扣除，用扣除后的价格参加评审。</w:t>
            </w:r>
          </w:p>
        </w:tc>
      </w:tr>
    </w:tbl>
    <w:p>
      <w:pPr>
        <w:spacing w:line="360" w:lineRule="auto"/>
        <w:rPr>
          <w:rFonts w:hint="eastAsia" w:ascii="宋体" w:hAnsi="宋体" w:eastAsia="宋体" w:cs="Times New Roman"/>
          <w:b w:val="0"/>
          <w:bCs/>
          <w:color w:val="auto"/>
          <w:kern w:val="2"/>
          <w:sz w:val="21"/>
          <w:szCs w:val="24"/>
          <w:highlight w:val="none"/>
          <w:lang w:val="en-US" w:eastAsia="zh-CN" w:bidi="ar-SA"/>
        </w:rPr>
      </w:pPr>
    </w:p>
    <w:p>
      <w:pPr>
        <w:spacing w:line="360" w:lineRule="auto"/>
        <w:rPr>
          <w:rFonts w:hint="eastAsia" w:ascii="宋体" w:hAnsi="宋体" w:eastAsia="宋体" w:cs="Times New Roman"/>
          <w:b w:val="0"/>
          <w:bCs/>
          <w:color w:val="auto"/>
          <w:kern w:val="2"/>
          <w:sz w:val="21"/>
          <w:szCs w:val="24"/>
          <w:highlight w:val="none"/>
          <w:lang w:val="en-US" w:eastAsia="zh-CN" w:bidi="ar-SA"/>
        </w:rPr>
      </w:pPr>
    </w:p>
    <w:sectPr>
      <w:pgSz w:w="11906" w:h="16838"/>
      <w:pgMar w:top="1474" w:right="1474" w:bottom="1417" w:left="1588" w:header="851" w:footer="850"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hint="eastAsia" w:ascii="宋体" w:hAnsi="宋体" w:eastAsia="宋体"/>
        <w:lang w:eastAsia="zh-CN"/>
      </w:rPr>
    </w:pPr>
    <w:r>
      <w:rPr>
        <w:rFonts w:hint="eastAsia" w:ascii="宋体" w:hAnsi="宋体"/>
      </w:rPr>
      <w:t>项目名称：</w:t>
    </w:r>
    <w:r>
      <w:rPr>
        <w:rFonts w:hint="eastAsia" w:ascii="宋体" w:hAnsi="宋体"/>
        <w:lang w:eastAsia="zh-CN"/>
      </w:rPr>
      <w:t>北仑行政大楼物业管理</w:t>
    </w:r>
    <w:r>
      <w:rPr>
        <w:rFonts w:hint="eastAsia" w:ascii="宋体" w:hAnsi="宋体"/>
      </w:rPr>
      <w:t xml:space="preserve">                                  </w:t>
    </w:r>
    <w:r>
      <w:rPr>
        <w:rFonts w:hint="eastAsia" w:ascii="宋体" w:hAnsi="宋体"/>
        <w:lang w:val="en-US" w:eastAsia="zh-CN"/>
      </w:rPr>
      <w:t xml:space="preserve">            </w:t>
    </w:r>
    <w:r>
      <w:rPr>
        <w:rFonts w:hint="eastAsia" w:ascii="宋体" w:hAnsi="宋体"/>
      </w:rPr>
      <w:t>项目编号：</w:t>
    </w:r>
    <w:r>
      <w:rPr>
        <w:rFonts w:hint="eastAsia" w:ascii="宋体" w:hAnsi="宋体"/>
        <w:lang w:eastAsia="zh-CN"/>
      </w:rPr>
      <w:t>BLZFCG2024015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624F9"/>
    <w:multiLevelType w:val="singleLevel"/>
    <w:tmpl w:val="406624F9"/>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6"/>
    <w:rsid w:val="000E2877"/>
    <w:rsid w:val="000E5B56"/>
    <w:rsid w:val="00121526"/>
    <w:rsid w:val="00135C07"/>
    <w:rsid w:val="0014118F"/>
    <w:rsid w:val="001450C6"/>
    <w:rsid w:val="001B417A"/>
    <w:rsid w:val="001E0CA7"/>
    <w:rsid w:val="002878C2"/>
    <w:rsid w:val="002C0E4C"/>
    <w:rsid w:val="00497742"/>
    <w:rsid w:val="004E0E28"/>
    <w:rsid w:val="005700E9"/>
    <w:rsid w:val="005F7A77"/>
    <w:rsid w:val="006A2BBF"/>
    <w:rsid w:val="006F4EA6"/>
    <w:rsid w:val="0070020E"/>
    <w:rsid w:val="00723F96"/>
    <w:rsid w:val="00784091"/>
    <w:rsid w:val="00871EA8"/>
    <w:rsid w:val="00895663"/>
    <w:rsid w:val="00961685"/>
    <w:rsid w:val="00970FAA"/>
    <w:rsid w:val="00A30CB3"/>
    <w:rsid w:val="00A4772F"/>
    <w:rsid w:val="00AA573D"/>
    <w:rsid w:val="00B63179"/>
    <w:rsid w:val="00B728A5"/>
    <w:rsid w:val="00BB26DA"/>
    <w:rsid w:val="00BF693D"/>
    <w:rsid w:val="00CC07EC"/>
    <w:rsid w:val="00CC1E09"/>
    <w:rsid w:val="00CE7AF8"/>
    <w:rsid w:val="00DB6C05"/>
    <w:rsid w:val="00E46C55"/>
    <w:rsid w:val="00E60A37"/>
    <w:rsid w:val="00F21B99"/>
    <w:rsid w:val="00F400A7"/>
    <w:rsid w:val="00F4016E"/>
    <w:rsid w:val="013A4489"/>
    <w:rsid w:val="01425064"/>
    <w:rsid w:val="01664C41"/>
    <w:rsid w:val="019C6C58"/>
    <w:rsid w:val="01B933AA"/>
    <w:rsid w:val="01E2776C"/>
    <w:rsid w:val="02391432"/>
    <w:rsid w:val="02842A7E"/>
    <w:rsid w:val="029047B6"/>
    <w:rsid w:val="02D6293B"/>
    <w:rsid w:val="02FA24BF"/>
    <w:rsid w:val="03037B4A"/>
    <w:rsid w:val="03163D9C"/>
    <w:rsid w:val="03191BCF"/>
    <w:rsid w:val="032F63FA"/>
    <w:rsid w:val="03435A91"/>
    <w:rsid w:val="036B4D71"/>
    <w:rsid w:val="037B577A"/>
    <w:rsid w:val="03B57F58"/>
    <w:rsid w:val="03DA3716"/>
    <w:rsid w:val="03E6730B"/>
    <w:rsid w:val="03FA3367"/>
    <w:rsid w:val="03FE27DD"/>
    <w:rsid w:val="043F5274"/>
    <w:rsid w:val="04484C31"/>
    <w:rsid w:val="04744DBA"/>
    <w:rsid w:val="04756809"/>
    <w:rsid w:val="047B0A3C"/>
    <w:rsid w:val="048A3988"/>
    <w:rsid w:val="04BA542B"/>
    <w:rsid w:val="04BA57BA"/>
    <w:rsid w:val="04C07991"/>
    <w:rsid w:val="04D17CC9"/>
    <w:rsid w:val="04D64DB1"/>
    <w:rsid w:val="04D7530F"/>
    <w:rsid w:val="04DE679D"/>
    <w:rsid w:val="04EB5C24"/>
    <w:rsid w:val="04FD5332"/>
    <w:rsid w:val="0509588F"/>
    <w:rsid w:val="05102512"/>
    <w:rsid w:val="055B6EDA"/>
    <w:rsid w:val="05650F6C"/>
    <w:rsid w:val="056E6B3B"/>
    <w:rsid w:val="05780C54"/>
    <w:rsid w:val="057E6B35"/>
    <w:rsid w:val="058D70D4"/>
    <w:rsid w:val="0594203D"/>
    <w:rsid w:val="05B03ACD"/>
    <w:rsid w:val="05CD7AD2"/>
    <w:rsid w:val="05D3507C"/>
    <w:rsid w:val="05D975DB"/>
    <w:rsid w:val="05EC1945"/>
    <w:rsid w:val="060D3DC0"/>
    <w:rsid w:val="060E3E53"/>
    <w:rsid w:val="061B542F"/>
    <w:rsid w:val="06253790"/>
    <w:rsid w:val="063A520D"/>
    <w:rsid w:val="066A0AA1"/>
    <w:rsid w:val="066C0440"/>
    <w:rsid w:val="067F5E23"/>
    <w:rsid w:val="06833C80"/>
    <w:rsid w:val="068F64E5"/>
    <w:rsid w:val="06941A0B"/>
    <w:rsid w:val="06B85439"/>
    <w:rsid w:val="06D32A2E"/>
    <w:rsid w:val="06E96117"/>
    <w:rsid w:val="06FC191B"/>
    <w:rsid w:val="07074DF0"/>
    <w:rsid w:val="071C5C13"/>
    <w:rsid w:val="071F35FD"/>
    <w:rsid w:val="0740342C"/>
    <w:rsid w:val="077D4558"/>
    <w:rsid w:val="07A546C1"/>
    <w:rsid w:val="07AC5381"/>
    <w:rsid w:val="07B443F2"/>
    <w:rsid w:val="07DF5AEC"/>
    <w:rsid w:val="08734EB1"/>
    <w:rsid w:val="08A878F4"/>
    <w:rsid w:val="08AB620D"/>
    <w:rsid w:val="08CE5841"/>
    <w:rsid w:val="08DE1650"/>
    <w:rsid w:val="08F009B7"/>
    <w:rsid w:val="090D0587"/>
    <w:rsid w:val="09384E84"/>
    <w:rsid w:val="093F5D0F"/>
    <w:rsid w:val="0969543E"/>
    <w:rsid w:val="09805A2A"/>
    <w:rsid w:val="09912566"/>
    <w:rsid w:val="0992460A"/>
    <w:rsid w:val="09924D73"/>
    <w:rsid w:val="09976256"/>
    <w:rsid w:val="09BE54EE"/>
    <w:rsid w:val="09C86C6E"/>
    <w:rsid w:val="09D07FED"/>
    <w:rsid w:val="09D71826"/>
    <w:rsid w:val="09E4278A"/>
    <w:rsid w:val="0A0E19ED"/>
    <w:rsid w:val="0A9C5906"/>
    <w:rsid w:val="0AA32829"/>
    <w:rsid w:val="0AAE057E"/>
    <w:rsid w:val="0ACA711F"/>
    <w:rsid w:val="0ADD1CA5"/>
    <w:rsid w:val="0AEB64AF"/>
    <w:rsid w:val="0AFF3E15"/>
    <w:rsid w:val="0B0C319B"/>
    <w:rsid w:val="0B1253DD"/>
    <w:rsid w:val="0B393DBB"/>
    <w:rsid w:val="0B4124B3"/>
    <w:rsid w:val="0B4C12E6"/>
    <w:rsid w:val="0B624A04"/>
    <w:rsid w:val="0B672468"/>
    <w:rsid w:val="0B706ECC"/>
    <w:rsid w:val="0B833327"/>
    <w:rsid w:val="0B8E056E"/>
    <w:rsid w:val="0BA93473"/>
    <w:rsid w:val="0BAC4891"/>
    <w:rsid w:val="0BBF0E37"/>
    <w:rsid w:val="0BE8747A"/>
    <w:rsid w:val="0C0D5F9F"/>
    <w:rsid w:val="0C6E0A26"/>
    <w:rsid w:val="0C946143"/>
    <w:rsid w:val="0CAD3E44"/>
    <w:rsid w:val="0CED00A3"/>
    <w:rsid w:val="0CFC5BBC"/>
    <w:rsid w:val="0D01205A"/>
    <w:rsid w:val="0D2E340C"/>
    <w:rsid w:val="0D4732B1"/>
    <w:rsid w:val="0D6123DC"/>
    <w:rsid w:val="0D8D3C1E"/>
    <w:rsid w:val="0D90216F"/>
    <w:rsid w:val="0D914581"/>
    <w:rsid w:val="0DB41252"/>
    <w:rsid w:val="0DD35A03"/>
    <w:rsid w:val="0DE7157B"/>
    <w:rsid w:val="0E5B31C8"/>
    <w:rsid w:val="0E767D6D"/>
    <w:rsid w:val="0E7F5C61"/>
    <w:rsid w:val="0E93723B"/>
    <w:rsid w:val="0E980D8D"/>
    <w:rsid w:val="0ED72C20"/>
    <w:rsid w:val="0F0100DA"/>
    <w:rsid w:val="0F1215F7"/>
    <w:rsid w:val="0F3908B1"/>
    <w:rsid w:val="0F3B659B"/>
    <w:rsid w:val="0F6350DD"/>
    <w:rsid w:val="0F780FB2"/>
    <w:rsid w:val="0F8260A1"/>
    <w:rsid w:val="0F87456B"/>
    <w:rsid w:val="0F977B11"/>
    <w:rsid w:val="0FCB2931"/>
    <w:rsid w:val="0FDF2A3C"/>
    <w:rsid w:val="0FE853C3"/>
    <w:rsid w:val="100F2F61"/>
    <w:rsid w:val="10275884"/>
    <w:rsid w:val="103E2E4D"/>
    <w:rsid w:val="105813F5"/>
    <w:rsid w:val="10583791"/>
    <w:rsid w:val="10A43DFF"/>
    <w:rsid w:val="10B63D07"/>
    <w:rsid w:val="10C72FA4"/>
    <w:rsid w:val="10CB4329"/>
    <w:rsid w:val="10E13D46"/>
    <w:rsid w:val="110A5891"/>
    <w:rsid w:val="11155938"/>
    <w:rsid w:val="11214408"/>
    <w:rsid w:val="112B0454"/>
    <w:rsid w:val="112F056E"/>
    <w:rsid w:val="11314455"/>
    <w:rsid w:val="11630C64"/>
    <w:rsid w:val="1171136D"/>
    <w:rsid w:val="117F10DE"/>
    <w:rsid w:val="11944960"/>
    <w:rsid w:val="119A03E1"/>
    <w:rsid w:val="11B40C2C"/>
    <w:rsid w:val="11B40C40"/>
    <w:rsid w:val="11F33485"/>
    <w:rsid w:val="12141B61"/>
    <w:rsid w:val="12440EC6"/>
    <w:rsid w:val="1245068D"/>
    <w:rsid w:val="12F07485"/>
    <w:rsid w:val="13145E0C"/>
    <w:rsid w:val="13376695"/>
    <w:rsid w:val="134469D4"/>
    <w:rsid w:val="135C1BE0"/>
    <w:rsid w:val="13673605"/>
    <w:rsid w:val="137F0401"/>
    <w:rsid w:val="138E44E3"/>
    <w:rsid w:val="1396463B"/>
    <w:rsid w:val="13BB05B7"/>
    <w:rsid w:val="13E44328"/>
    <w:rsid w:val="13EE4ABC"/>
    <w:rsid w:val="140F0496"/>
    <w:rsid w:val="1410624E"/>
    <w:rsid w:val="141E4EB5"/>
    <w:rsid w:val="14292A1B"/>
    <w:rsid w:val="14495F5E"/>
    <w:rsid w:val="14577520"/>
    <w:rsid w:val="14796F4E"/>
    <w:rsid w:val="14832628"/>
    <w:rsid w:val="14B521D3"/>
    <w:rsid w:val="14BC1AC1"/>
    <w:rsid w:val="14BE5AF7"/>
    <w:rsid w:val="14DD5408"/>
    <w:rsid w:val="14DF54C8"/>
    <w:rsid w:val="14E62AC8"/>
    <w:rsid w:val="15086C88"/>
    <w:rsid w:val="15101F55"/>
    <w:rsid w:val="151411CB"/>
    <w:rsid w:val="151843DF"/>
    <w:rsid w:val="151F4576"/>
    <w:rsid w:val="15247A71"/>
    <w:rsid w:val="15387F4B"/>
    <w:rsid w:val="15494556"/>
    <w:rsid w:val="158F5D58"/>
    <w:rsid w:val="15A844B7"/>
    <w:rsid w:val="15B33315"/>
    <w:rsid w:val="15BB2629"/>
    <w:rsid w:val="15C10DDB"/>
    <w:rsid w:val="15C162D5"/>
    <w:rsid w:val="15C35743"/>
    <w:rsid w:val="15DC5E68"/>
    <w:rsid w:val="15DD560C"/>
    <w:rsid w:val="15F31AC3"/>
    <w:rsid w:val="15F34F03"/>
    <w:rsid w:val="15FA4D2C"/>
    <w:rsid w:val="163E107B"/>
    <w:rsid w:val="16407AD6"/>
    <w:rsid w:val="16527EBB"/>
    <w:rsid w:val="166915AD"/>
    <w:rsid w:val="16832281"/>
    <w:rsid w:val="169F5F36"/>
    <w:rsid w:val="16E3427B"/>
    <w:rsid w:val="16EA089D"/>
    <w:rsid w:val="16EC606C"/>
    <w:rsid w:val="17355FCF"/>
    <w:rsid w:val="176B58A6"/>
    <w:rsid w:val="176E1C79"/>
    <w:rsid w:val="177A6042"/>
    <w:rsid w:val="17820498"/>
    <w:rsid w:val="17AA72D2"/>
    <w:rsid w:val="17BE5AF5"/>
    <w:rsid w:val="17EC683A"/>
    <w:rsid w:val="17F03EA7"/>
    <w:rsid w:val="17F17C59"/>
    <w:rsid w:val="18111D99"/>
    <w:rsid w:val="1822568E"/>
    <w:rsid w:val="1824534B"/>
    <w:rsid w:val="1829381A"/>
    <w:rsid w:val="182D0427"/>
    <w:rsid w:val="18401FE8"/>
    <w:rsid w:val="184D1FA1"/>
    <w:rsid w:val="18556E59"/>
    <w:rsid w:val="18787C15"/>
    <w:rsid w:val="187E017C"/>
    <w:rsid w:val="189649B3"/>
    <w:rsid w:val="189E21F5"/>
    <w:rsid w:val="18A1422E"/>
    <w:rsid w:val="18C754DD"/>
    <w:rsid w:val="18CF7185"/>
    <w:rsid w:val="18E72586"/>
    <w:rsid w:val="190D7878"/>
    <w:rsid w:val="190F7AE6"/>
    <w:rsid w:val="19183AB4"/>
    <w:rsid w:val="191F3160"/>
    <w:rsid w:val="198D4BBB"/>
    <w:rsid w:val="19A35444"/>
    <w:rsid w:val="19A91F54"/>
    <w:rsid w:val="19E8490B"/>
    <w:rsid w:val="19EE4126"/>
    <w:rsid w:val="19F4556A"/>
    <w:rsid w:val="19FC3484"/>
    <w:rsid w:val="1A232E15"/>
    <w:rsid w:val="1A297FD2"/>
    <w:rsid w:val="1A31109A"/>
    <w:rsid w:val="1A340363"/>
    <w:rsid w:val="1A424041"/>
    <w:rsid w:val="1A436488"/>
    <w:rsid w:val="1A475519"/>
    <w:rsid w:val="1A4A42B1"/>
    <w:rsid w:val="1A677227"/>
    <w:rsid w:val="1A6B6437"/>
    <w:rsid w:val="1A6E4B13"/>
    <w:rsid w:val="1A764380"/>
    <w:rsid w:val="1A955AFD"/>
    <w:rsid w:val="1AB5169E"/>
    <w:rsid w:val="1AB70653"/>
    <w:rsid w:val="1AC84749"/>
    <w:rsid w:val="1AF052B1"/>
    <w:rsid w:val="1B052B57"/>
    <w:rsid w:val="1B06344E"/>
    <w:rsid w:val="1B0E0471"/>
    <w:rsid w:val="1B126ABD"/>
    <w:rsid w:val="1B3618E7"/>
    <w:rsid w:val="1B3F2E65"/>
    <w:rsid w:val="1B4068BC"/>
    <w:rsid w:val="1B5B0B10"/>
    <w:rsid w:val="1B64306D"/>
    <w:rsid w:val="1B6B4DB1"/>
    <w:rsid w:val="1B861BDC"/>
    <w:rsid w:val="1BBC3641"/>
    <w:rsid w:val="1C0F2510"/>
    <w:rsid w:val="1C391654"/>
    <w:rsid w:val="1C3A7381"/>
    <w:rsid w:val="1C482DED"/>
    <w:rsid w:val="1C4B5977"/>
    <w:rsid w:val="1C4E792B"/>
    <w:rsid w:val="1C6339ED"/>
    <w:rsid w:val="1C7007E8"/>
    <w:rsid w:val="1C7706F6"/>
    <w:rsid w:val="1C8E5A9E"/>
    <w:rsid w:val="1CBC7934"/>
    <w:rsid w:val="1CC40005"/>
    <w:rsid w:val="1CCB2653"/>
    <w:rsid w:val="1CCE184C"/>
    <w:rsid w:val="1CD8554E"/>
    <w:rsid w:val="1CE01EEC"/>
    <w:rsid w:val="1D027ADC"/>
    <w:rsid w:val="1D207934"/>
    <w:rsid w:val="1D251ECC"/>
    <w:rsid w:val="1D403BD3"/>
    <w:rsid w:val="1D555136"/>
    <w:rsid w:val="1D5B3465"/>
    <w:rsid w:val="1D5F6D56"/>
    <w:rsid w:val="1D7A6120"/>
    <w:rsid w:val="1D7C62F9"/>
    <w:rsid w:val="1D7E5055"/>
    <w:rsid w:val="1D815E25"/>
    <w:rsid w:val="1D8164C2"/>
    <w:rsid w:val="1D9938A2"/>
    <w:rsid w:val="1DBB23DA"/>
    <w:rsid w:val="1DCE1935"/>
    <w:rsid w:val="1DF10D10"/>
    <w:rsid w:val="1E25320C"/>
    <w:rsid w:val="1E334A61"/>
    <w:rsid w:val="1E5C6074"/>
    <w:rsid w:val="1E912928"/>
    <w:rsid w:val="1E955FDD"/>
    <w:rsid w:val="1EB6259B"/>
    <w:rsid w:val="1EDA5857"/>
    <w:rsid w:val="1EEC49E3"/>
    <w:rsid w:val="1EFE27F0"/>
    <w:rsid w:val="1F076DED"/>
    <w:rsid w:val="1F103B84"/>
    <w:rsid w:val="1F29500A"/>
    <w:rsid w:val="1F3C64D2"/>
    <w:rsid w:val="1F7C11E1"/>
    <w:rsid w:val="1F837E72"/>
    <w:rsid w:val="1F8C20FE"/>
    <w:rsid w:val="1FA51E71"/>
    <w:rsid w:val="1FB614BE"/>
    <w:rsid w:val="1FEE5DE9"/>
    <w:rsid w:val="20031954"/>
    <w:rsid w:val="202D2518"/>
    <w:rsid w:val="203A6CF6"/>
    <w:rsid w:val="2041191C"/>
    <w:rsid w:val="204F0563"/>
    <w:rsid w:val="20522900"/>
    <w:rsid w:val="2087037A"/>
    <w:rsid w:val="20B040D1"/>
    <w:rsid w:val="20D410C4"/>
    <w:rsid w:val="20DC45BC"/>
    <w:rsid w:val="21190F27"/>
    <w:rsid w:val="2134008A"/>
    <w:rsid w:val="213B3AB2"/>
    <w:rsid w:val="21415167"/>
    <w:rsid w:val="21A56A25"/>
    <w:rsid w:val="21C40F15"/>
    <w:rsid w:val="21DD7F7D"/>
    <w:rsid w:val="21E02CC5"/>
    <w:rsid w:val="21E749B5"/>
    <w:rsid w:val="220F55B8"/>
    <w:rsid w:val="223F0C0C"/>
    <w:rsid w:val="2252374B"/>
    <w:rsid w:val="2259200A"/>
    <w:rsid w:val="22C30452"/>
    <w:rsid w:val="22DB32F4"/>
    <w:rsid w:val="22DF3701"/>
    <w:rsid w:val="22E43F69"/>
    <w:rsid w:val="230C783A"/>
    <w:rsid w:val="23554516"/>
    <w:rsid w:val="23780867"/>
    <w:rsid w:val="23867E18"/>
    <w:rsid w:val="239148FA"/>
    <w:rsid w:val="23A351BE"/>
    <w:rsid w:val="23B03021"/>
    <w:rsid w:val="23BD0220"/>
    <w:rsid w:val="2427319A"/>
    <w:rsid w:val="243C1A9A"/>
    <w:rsid w:val="243C4DD2"/>
    <w:rsid w:val="244535C3"/>
    <w:rsid w:val="2451787D"/>
    <w:rsid w:val="2458771C"/>
    <w:rsid w:val="246A11DA"/>
    <w:rsid w:val="24C73CD3"/>
    <w:rsid w:val="24D0797C"/>
    <w:rsid w:val="24E0727C"/>
    <w:rsid w:val="24F839B5"/>
    <w:rsid w:val="25236158"/>
    <w:rsid w:val="253C725A"/>
    <w:rsid w:val="254B45A4"/>
    <w:rsid w:val="256B3CA0"/>
    <w:rsid w:val="256D597E"/>
    <w:rsid w:val="259D0E7B"/>
    <w:rsid w:val="25D427ED"/>
    <w:rsid w:val="26077AAE"/>
    <w:rsid w:val="2626603D"/>
    <w:rsid w:val="262D563A"/>
    <w:rsid w:val="262D773F"/>
    <w:rsid w:val="26400C4E"/>
    <w:rsid w:val="265748F8"/>
    <w:rsid w:val="26592BEB"/>
    <w:rsid w:val="265A6401"/>
    <w:rsid w:val="26756C9A"/>
    <w:rsid w:val="268A6439"/>
    <w:rsid w:val="26A8657E"/>
    <w:rsid w:val="270D56A1"/>
    <w:rsid w:val="270D5B6F"/>
    <w:rsid w:val="27237C25"/>
    <w:rsid w:val="272A6A19"/>
    <w:rsid w:val="27312457"/>
    <w:rsid w:val="273B27A3"/>
    <w:rsid w:val="27430F49"/>
    <w:rsid w:val="27675ADD"/>
    <w:rsid w:val="27760CFD"/>
    <w:rsid w:val="27885E75"/>
    <w:rsid w:val="27891CFD"/>
    <w:rsid w:val="27943A5C"/>
    <w:rsid w:val="27B97E2D"/>
    <w:rsid w:val="27D2424E"/>
    <w:rsid w:val="2816667B"/>
    <w:rsid w:val="281D789C"/>
    <w:rsid w:val="28577774"/>
    <w:rsid w:val="28923B61"/>
    <w:rsid w:val="28A8662A"/>
    <w:rsid w:val="28B17186"/>
    <w:rsid w:val="28CC4E64"/>
    <w:rsid w:val="28E55652"/>
    <w:rsid w:val="28EB47CF"/>
    <w:rsid w:val="28F82CEE"/>
    <w:rsid w:val="29451C20"/>
    <w:rsid w:val="295A3EEF"/>
    <w:rsid w:val="298223F2"/>
    <w:rsid w:val="29873A6F"/>
    <w:rsid w:val="2990186E"/>
    <w:rsid w:val="29943091"/>
    <w:rsid w:val="29A17581"/>
    <w:rsid w:val="29C04B32"/>
    <w:rsid w:val="29C8068F"/>
    <w:rsid w:val="29D63E9E"/>
    <w:rsid w:val="29F82483"/>
    <w:rsid w:val="2A184859"/>
    <w:rsid w:val="2A64477C"/>
    <w:rsid w:val="2A6B2C43"/>
    <w:rsid w:val="2A7C3988"/>
    <w:rsid w:val="2A816F32"/>
    <w:rsid w:val="2A852F01"/>
    <w:rsid w:val="2A8B4DB8"/>
    <w:rsid w:val="2A8C309D"/>
    <w:rsid w:val="2AE77593"/>
    <w:rsid w:val="2AFF0AA7"/>
    <w:rsid w:val="2B0A765E"/>
    <w:rsid w:val="2B2F6B8C"/>
    <w:rsid w:val="2B8078C6"/>
    <w:rsid w:val="2BB60025"/>
    <w:rsid w:val="2BB6178F"/>
    <w:rsid w:val="2BDB2B72"/>
    <w:rsid w:val="2BE138B4"/>
    <w:rsid w:val="2BEF7E49"/>
    <w:rsid w:val="2BF524B4"/>
    <w:rsid w:val="2C172EAF"/>
    <w:rsid w:val="2C343419"/>
    <w:rsid w:val="2C4405C4"/>
    <w:rsid w:val="2C840EB6"/>
    <w:rsid w:val="2C8F150E"/>
    <w:rsid w:val="2C9B4A36"/>
    <w:rsid w:val="2CA64B83"/>
    <w:rsid w:val="2CB535A9"/>
    <w:rsid w:val="2CBD15EB"/>
    <w:rsid w:val="2CEC076D"/>
    <w:rsid w:val="2D037A4F"/>
    <w:rsid w:val="2D1F1EB3"/>
    <w:rsid w:val="2D2508F9"/>
    <w:rsid w:val="2D627807"/>
    <w:rsid w:val="2DA868D2"/>
    <w:rsid w:val="2DAD0B89"/>
    <w:rsid w:val="2DDB3659"/>
    <w:rsid w:val="2DDD4BCB"/>
    <w:rsid w:val="2DEC7033"/>
    <w:rsid w:val="2DEF69FE"/>
    <w:rsid w:val="2DF46E97"/>
    <w:rsid w:val="2E0B598F"/>
    <w:rsid w:val="2E372719"/>
    <w:rsid w:val="2E4676A8"/>
    <w:rsid w:val="2E7573F0"/>
    <w:rsid w:val="2E7A4A66"/>
    <w:rsid w:val="2E862AC0"/>
    <w:rsid w:val="2ED524A2"/>
    <w:rsid w:val="2F0451D0"/>
    <w:rsid w:val="2F49141D"/>
    <w:rsid w:val="2F626587"/>
    <w:rsid w:val="2F7F78DA"/>
    <w:rsid w:val="2F8F23A9"/>
    <w:rsid w:val="2FA2502E"/>
    <w:rsid w:val="2FA538E8"/>
    <w:rsid w:val="2FC50151"/>
    <w:rsid w:val="2FDB7F84"/>
    <w:rsid w:val="2FDE2A7E"/>
    <w:rsid w:val="300A0550"/>
    <w:rsid w:val="301422BC"/>
    <w:rsid w:val="30147E30"/>
    <w:rsid w:val="304D072B"/>
    <w:rsid w:val="307D7B20"/>
    <w:rsid w:val="308405BA"/>
    <w:rsid w:val="30B63A56"/>
    <w:rsid w:val="30DA6D09"/>
    <w:rsid w:val="312D02F7"/>
    <w:rsid w:val="31676662"/>
    <w:rsid w:val="31760836"/>
    <w:rsid w:val="31860E50"/>
    <w:rsid w:val="31894F6F"/>
    <w:rsid w:val="31E61244"/>
    <w:rsid w:val="31E74446"/>
    <w:rsid w:val="31F6020D"/>
    <w:rsid w:val="320F66F9"/>
    <w:rsid w:val="32124A1C"/>
    <w:rsid w:val="32515965"/>
    <w:rsid w:val="32691B0D"/>
    <w:rsid w:val="32733A5C"/>
    <w:rsid w:val="3284349E"/>
    <w:rsid w:val="32854434"/>
    <w:rsid w:val="3297148B"/>
    <w:rsid w:val="32B75C86"/>
    <w:rsid w:val="32BF4F28"/>
    <w:rsid w:val="33005A44"/>
    <w:rsid w:val="33030C23"/>
    <w:rsid w:val="33054A89"/>
    <w:rsid w:val="330707A3"/>
    <w:rsid w:val="33342A24"/>
    <w:rsid w:val="33401EC0"/>
    <w:rsid w:val="33532FA4"/>
    <w:rsid w:val="33611E21"/>
    <w:rsid w:val="33633BFF"/>
    <w:rsid w:val="33776899"/>
    <w:rsid w:val="339C0653"/>
    <w:rsid w:val="339E23A0"/>
    <w:rsid w:val="33A20BE8"/>
    <w:rsid w:val="33CC05E4"/>
    <w:rsid w:val="33CE7AB5"/>
    <w:rsid w:val="33EA6DB0"/>
    <w:rsid w:val="33F62651"/>
    <w:rsid w:val="34474A55"/>
    <w:rsid w:val="344A2984"/>
    <w:rsid w:val="34522A6B"/>
    <w:rsid w:val="34823B76"/>
    <w:rsid w:val="34871723"/>
    <w:rsid w:val="349C7049"/>
    <w:rsid w:val="349C7EAD"/>
    <w:rsid w:val="34BA7332"/>
    <w:rsid w:val="34C3445E"/>
    <w:rsid w:val="34C55A0A"/>
    <w:rsid w:val="352D0B0D"/>
    <w:rsid w:val="354355BA"/>
    <w:rsid w:val="354B056A"/>
    <w:rsid w:val="35646C4F"/>
    <w:rsid w:val="358D17E7"/>
    <w:rsid w:val="35C65A27"/>
    <w:rsid w:val="35C718EF"/>
    <w:rsid w:val="35F136E7"/>
    <w:rsid w:val="360139DC"/>
    <w:rsid w:val="3616521F"/>
    <w:rsid w:val="3639503C"/>
    <w:rsid w:val="36433EB3"/>
    <w:rsid w:val="365C50E6"/>
    <w:rsid w:val="36676A95"/>
    <w:rsid w:val="36D21BB2"/>
    <w:rsid w:val="36EE0537"/>
    <w:rsid w:val="36F054D6"/>
    <w:rsid w:val="36F870A6"/>
    <w:rsid w:val="3707366D"/>
    <w:rsid w:val="37185172"/>
    <w:rsid w:val="37253A78"/>
    <w:rsid w:val="374F6631"/>
    <w:rsid w:val="37577FE2"/>
    <w:rsid w:val="3764754E"/>
    <w:rsid w:val="376C6BB9"/>
    <w:rsid w:val="37894D67"/>
    <w:rsid w:val="379E135F"/>
    <w:rsid w:val="37EA30E5"/>
    <w:rsid w:val="382702D4"/>
    <w:rsid w:val="38351A7B"/>
    <w:rsid w:val="38420F9D"/>
    <w:rsid w:val="384E380F"/>
    <w:rsid w:val="3852462D"/>
    <w:rsid w:val="387704E8"/>
    <w:rsid w:val="38904C3F"/>
    <w:rsid w:val="38A66799"/>
    <w:rsid w:val="38BF2A60"/>
    <w:rsid w:val="38CF6292"/>
    <w:rsid w:val="38E944FB"/>
    <w:rsid w:val="38FA559B"/>
    <w:rsid w:val="39055E32"/>
    <w:rsid w:val="39146F3A"/>
    <w:rsid w:val="39161D88"/>
    <w:rsid w:val="39377D21"/>
    <w:rsid w:val="39473658"/>
    <w:rsid w:val="3949013B"/>
    <w:rsid w:val="394C7B27"/>
    <w:rsid w:val="3959641A"/>
    <w:rsid w:val="399332B5"/>
    <w:rsid w:val="399961A1"/>
    <w:rsid w:val="39BF5515"/>
    <w:rsid w:val="39C93ECA"/>
    <w:rsid w:val="39CC65F1"/>
    <w:rsid w:val="39E856FE"/>
    <w:rsid w:val="39F96117"/>
    <w:rsid w:val="3A521D71"/>
    <w:rsid w:val="3A773DA5"/>
    <w:rsid w:val="3AD56D0C"/>
    <w:rsid w:val="3AEB5A3F"/>
    <w:rsid w:val="3AED1F00"/>
    <w:rsid w:val="3B031276"/>
    <w:rsid w:val="3B672662"/>
    <w:rsid w:val="3B6F6DE8"/>
    <w:rsid w:val="3B746C92"/>
    <w:rsid w:val="3B817163"/>
    <w:rsid w:val="3BCC2587"/>
    <w:rsid w:val="3C1F6EE0"/>
    <w:rsid w:val="3C280836"/>
    <w:rsid w:val="3C8252E0"/>
    <w:rsid w:val="3CC53CF8"/>
    <w:rsid w:val="3CE21E84"/>
    <w:rsid w:val="3CF227E3"/>
    <w:rsid w:val="3D51706F"/>
    <w:rsid w:val="3D6607DF"/>
    <w:rsid w:val="3DA90477"/>
    <w:rsid w:val="3DD16322"/>
    <w:rsid w:val="3DE503F8"/>
    <w:rsid w:val="3E315955"/>
    <w:rsid w:val="3E3E6EC1"/>
    <w:rsid w:val="3E6D5F0D"/>
    <w:rsid w:val="3E79544F"/>
    <w:rsid w:val="3E942232"/>
    <w:rsid w:val="3E9A68F3"/>
    <w:rsid w:val="3EA9200D"/>
    <w:rsid w:val="3EC141CA"/>
    <w:rsid w:val="3ED64358"/>
    <w:rsid w:val="3EF55C4B"/>
    <w:rsid w:val="3EF80599"/>
    <w:rsid w:val="3F13441D"/>
    <w:rsid w:val="3F2248A9"/>
    <w:rsid w:val="3F556D75"/>
    <w:rsid w:val="3F972E90"/>
    <w:rsid w:val="3F9F67BD"/>
    <w:rsid w:val="3FA46875"/>
    <w:rsid w:val="3FC24A26"/>
    <w:rsid w:val="401C4F36"/>
    <w:rsid w:val="40464813"/>
    <w:rsid w:val="40517DE4"/>
    <w:rsid w:val="406F3E76"/>
    <w:rsid w:val="40AA05D2"/>
    <w:rsid w:val="40B22686"/>
    <w:rsid w:val="40BE4191"/>
    <w:rsid w:val="40CE3A65"/>
    <w:rsid w:val="40D92788"/>
    <w:rsid w:val="40DB2171"/>
    <w:rsid w:val="40DF216C"/>
    <w:rsid w:val="40F53F2C"/>
    <w:rsid w:val="413565B8"/>
    <w:rsid w:val="415178A6"/>
    <w:rsid w:val="41A57166"/>
    <w:rsid w:val="41E23B57"/>
    <w:rsid w:val="42266276"/>
    <w:rsid w:val="422E19C7"/>
    <w:rsid w:val="422F4080"/>
    <w:rsid w:val="42446FE6"/>
    <w:rsid w:val="425D1CE7"/>
    <w:rsid w:val="42642026"/>
    <w:rsid w:val="426E7F1A"/>
    <w:rsid w:val="42885795"/>
    <w:rsid w:val="42A02D8A"/>
    <w:rsid w:val="42C67A6B"/>
    <w:rsid w:val="42CA75B8"/>
    <w:rsid w:val="42D77C74"/>
    <w:rsid w:val="431E7BB3"/>
    <w:rsid w:val="433B2095"/>
    <w:rsid w:val="43494B5D"/>
    <w:rsid w:val="435B7DF5"/>
    <w:rsid w:val="438011AD"/>
    <w:rsid w:val="438132DD"/>
    <w:rsid w:val="43A26652"/>
    <w:rsid w:val="43A35ED9"/>
    <w:rsid w:val="43A939C0"/>
    <w:rsid w:val="43AB6138"/>
    <w:rsid w:val="43B24252"/>
    <w:rsid w:val="43D823EE"/>
    <w:rsid w:val="43E444A5"/>
    <w:rsid w:val="43EC0E01"/>
    <w:rsid w:val="44122884"/>
    <w:rsid w:val="442633D0"/>
    <w:rsid w:val="442B1C67"/>
    <w:rsid w:val="44330FD2"/>
    <w:rsid w:val="443A6B2B"/>
    <w:rsid w:val="444A24BC"/>
    <w:rsid w:val="444C5166"/>
    <w:rsid w:val="447D08B4"/>
    <w:rsid w:val="447D6659"/>
    <w:rsid w:val="447F110D"/>
    <w:rsid w:val="448067B6"/>
    <w:rsid w:val="44A30FE7"/>
    <w:rsid w:val="44C27A29"/>
    <w:rsid w:val="44C37C6B"/>
    <w:rsid w:val="44DC64BA"/>
    <w:rsid w:val="44E827CB"/>
    <w:rsid w:val="44F46A7F"/>
    <w:rsid w:val="44F47784"/>
    <w:rsid w:val="44F82DF0"/>
    <w:rsid w:val="450326A0"/>
    <w:rsid w:val="453237EF"/>
    <w:rsid w:val="45370164"/>
    <w:rsid w:val="454D3BB7"/>
    <w:rsid w:val="458206FC"/>
    <w:rsid w:val="459E223B"/>
    <w:rsid w:val="45D4490F"/>
    <w:rsid w:val="45D66747"/>
    <w:rsid w:val="45F472DF"/>
    <w:rsid w:val="46156C09"/>
    <w:rsid w:val="46213E19"/>
    <w:rsid w:val="462817D5"/>
    <w:rsid w:val="46775A90"/>
    <w:rsid w:val="468A042F"/>
    <w:rsid w:val="46AF3A3E"/>
    <w:rsid w:val="46CF68EE"/>
    <w:rsid w:val="46D45767"/>
    <w:rsid w:val="46E81F21"/>
    <w:rsid w:val="473463D7"/>
    <w:rsid w:val="47472DF1"/>
    <w:rsid w:val="476360FF"/>
    <w:rsid w:val="47C507D3"/>
    <w:rsid w:val="47DF45D4"/>
    <w:rsid w:val="480619DE"/>
    <w:rsid w:val="48162498"/>
    <w:rsid w:val="48240225"/>
    <w:rsid w:val="48273267"/>
    <w:rsid w:val="484D7B05"/>
    <w:rsid w:val="485208BC"/>
    <w:rsid w:val="486752CD"/>
    <w:rsid w:val="487B125B"/>
    <w:rsid w:val="487B5097"/>
    <w:rsid w:val="48867F6B"/>
    <w:rsid w:val="488F0C8B"/>
    <w:rsid w:val="489B5E83"/>
    <w:rsid w:val="489D0DDF"/>
    <w:rsid w:val="48B13100"/>
    <w:rsid w:val="48B20D65"/>
    <w:rsid w:val="48E76D74"/>
    <w:rsid w:val="490A02F8"/>
    <w:rsid w:val="491A0E67"/>
    <w:rsid w:val="491F19CB"/>
    <w:rsid w:val="49370360"/>
    <w:rsid w:val="496030C3"/>
    <w:rsid w:val="496F3973"/>
    <w:rsid w:val="49B8356F"/>
    <w:rsid w:val="49BF3470"/>
    <w:rsid w:val="49CF2371"/>
    <w:rsid w:val="49D63B2A"/>
    <w:rsid w:val="49E07309"/>
    <w:rsid w:val="4A1C2238"/>
    <w:rsid w:val="4A84034E"/>
    <w:rsid w:val="4A8E6E4F"/>
    <w:rsid w:val="4A90490E"/>
    <w:rsid w:val="4AAF1A75"/>
    <w:rsid w:val="4AB3753C"/>
    <w:rsid w:val="4ADF295A"/>
    <w:rsid w:val="4B156FF4"/>
    <w:rsid w:val="4B2B675B"/>
    <w:rsid w:val="4B4F1305"/>
    <w:rsid w:val="4B87418A"/>
    <w:rsid w:val="4B885F1B"/>
    <w:rsid w:val="4B941F8D"/>
    <w:rsid w:val="4BA42905"/>
    <w:rsid w:val="4BAC36C9"/>
    <w:rsid w:val="4BB346EA"/>
    <w:rsid w:val="4BBD4700"/>
    <w:rsid w:val="4BF219E8"/>
    <w:rsid w:val="4C035531"/>
    <w:rsid w:val="4C0C32F3"/>
    <w:rsid w:val="4C1E2E0A"/>
    <w:rsid w:val="4C6304CC"/>
    <w:rsid w:val="4C631EDA"/>
    <w:rsid w:val="4C654E38"/>
    <w:rsid w:val="4C862E65"/>
    <w:rsid w:val="4CB216E2"/>
    <w:rsid w:val="4CB74918"/>
    <w:rsid w:val="4CEA7CB9"/>
    <w:rsid w:val="4CF177CB"/>
    <w:rsid w:val="4CF37FED"/>
    <w:rsid w:val="4CF678CA"/>
    <w:rsid w:val="4D0047A6"/>
    <w:rsid w:val="4D175216"/>
    <w:rsid w:val="4D191608"/>
    <w:rsid w:val="4D694C41"/>
    <w:rsid w:val="4DD51956"/>
    <w:rsid w:val="4E4966CD"/>
    <w:rsid w:val="4E7B75DD"/>
    <w:rsid w:val="4EA535D3"/>
    <w:rsid w:val="4EB4046C"/>
    <w:rsid w:val="4EB777B3"/>
    <w:rsid w:val="4EFA0293"/>
    <w:rsid w:val="4F2471BE"/>
    <w:rsid w:val="4F4C19E2"/>
    <w:rsid w:val="4F6A06FF"/>
    <w:rsid w:val="4F7821DB"/>
    <w:rsid w:val="4F8641B6"/>
    <w:rsid w:val="4F911A9D"/>
    <w:rsid w:val="4FA7519D"/>
    <w:rsid w:val="4FC04D6D"/>
    <w:rsid w:val="4FEC2B8D"/>
    <w:rsid w:val="4FF23641"/>
    <w:rsid w:val="4FF53A7A"/>
    <w:rsid w:val="4FFE3BFE"/>
    <w:rsid w:val="50367F44"/>
    <w:rsid w:val="503E4D4A"/>
    <w:rsid w:val="506051EB"/>
    <w:rsid w:val="50841485"/>
    <w:rsid w:val="5092395C"/>
    <w:rsid w:val="5097037B"/>
    <w:rsid w:val="50A42A64"/>
    <w:rsid w:val="50BB0CFF"/>
    <w:rsid w:val="50C3048A"/>
    <w:rsid w:val="50FA635A"/>
    <w:rsid w:val="51005BB2"/>
    <w:rsid w:val="511111F1"/>
    <w:rsid w:val="511A208C"/>
    <w:rsid w:val="513423E9"/>
    <w:rsid w:val="514E3B10"/>
    <w:rsid w:val="5153765D"/>
    <w:rsid w:val="5165318A"/>
    <w:rsid w:val="516B725C"/>
    <w:rsid w:val="51921376"/>
    <w:rsid w:val="519637F6"/>
    <w:rsid w:val="519A2902"/>
    <w:rsid w:val="519C4E03"/>
    <w:rsid w:val="51C54570"/>
    <w:rsid w:val="51D266A4"/>
    <w:rsid w:val="51DE56EE"/>
    <w:rsid w:val="51F07C41"/>
    <w:rsid w:val="523C7246"/>
    <w:rsid w:val="523E2E24"/>
    <w:rsid w:val="52990C1F"/>
    <w:rsid w:val="52A5443D"/>
    <w:rsid w:val="52EF307F"/>
    <w:rsid w:val="53320972"/>
    <w:rsid w:val="533B562B"/>
    <w:rsid w:val="53594062"/>
    <w:rsid w:val="53814A6A"/>
    <w:rsid w:val="53835FCF"/>
    <w:rsid w:val="53963790"/>
    <w:rsid w:val="539B2E3A"/>
    <w:rsid w:val="53C04521"/>
    <w:rsid w:val="53DF58E9"/>
    <w:rsid w:val="53E30766"/>
    <w:rsid w:val="540E237B"/>
    <w:rsid w:val="544457B9"/>
    <w:rsid w:val="548375C7"/>
    <w:rsid w:val="54BA768E"/>
    <w:rsid w:val="54C071C6"/>
    <w:rsid w:val="54D9267C"/>
    <w:rsid w:val="54F749A7"/>
    <w:rsid w:val="55001B02"/>
    <w:rsid w:val="55042847"/>
    <w:rsid w:val="550C309A"/>
    <w:rsid w:val="551662CA"/>
    <w:rsid w:val="551E01D6"/>
    <w:rsid w:val="552F7CD5"/>
    <w:rsid w:val="553232B5"/>
    <w:rsid w:val="55367803"/>
    <w:rsid w:val="55485AA9"/>
    <w:rsid w:val="555A40CF"/>
    <w:rsid w:val="5571439B"/>
    <w:rsid w:val="557E5697"/>
    <w:rsid w:val="558839D1"/>
    <w:rsid w:val="55C446A5"/>
    <w:rsid w:val="55E534C4"/>
    <w:rsid w:val="55F417F2"/>
    <w:rsid w:val="55FB6B21"/>
    <w:rsid w:val="5612066B"/>
    <w:rsid w:val="562044D8"/>
    <w:rsid w:val="56293E3D"/>
    <w:rsid w:val="562F0788"/>
    <w:rsid w:val="564E62D7"/>
    <w:rsid w:val="5659399A"/>
    <w:rsid w:val="56645440"/>
    <w:rsid w:val="566800DF"/>
    <w:rsid w:val="56704D0A"/>
    <w:rsid w:val="567706CF"/>
    <w:rsid w:val="567C3995"/>
    <w:rsid w:val="56894A3D"/>
    <w:rsid w:val="56B8428B"/>
    <w:rsid w:val="56F30B79"/>
    <w:rsid w:val="56F41FE6"/>
    <w:rsid w:val="574B69B1"/>
    <w:rsid w:val="57632B09"/>
    <w:rsid w:val="57776F19"/>
    <w:rsid w:val="57937FFB"/>
    <w:rsid w:val="57BF65B4"/>
    <w:rsid w:val="57D9685E"/>
    <w:rsid w:val="57F93186"/>
    <w:rsid w:val="580F6EE2"/>
    <w:rsid w:val="58174237"/>
    <w:rsid w:val="581C281F"/>
    <w:rsid w:val="581F6200"/>
    <w:rsid w:val="58297C82"/>
    <w:rsid w:val="582D6394"/>
    <w:rsid w:val="58372EA6"/>
    <w:rsid w:val="585F74A0"/>
    <w:rsid w:val="58707E04"/>
    <w:rsid w:val="58762DC6"/>
    <w:rsid w:val="588E3206"/>
    <w:rsid w:val="58943BBB"/>
    <w:rsid w:val="589C427F"/>
    <w:rsid w:val="58A075EF"/>
    <w:rsid w:val="58A47686"/>
    <w:rsid w:val="58A8618E"/>
    <w:rsid w:val="58AE3138"/>
    <w:rsid w:val="58AE52FE"/>
    <w:rsid w:val="58B052FB"/>
    <w:rsid w:val="58B611E5"/>
    <w:rsid w:val="58DF1D2E"/>
    <w:rsid w:val="58F958E6"/>
    <w:rsid w:val="58FC7AC9"/>
    <w:rsid w:val="590B0801"/>
    <w:rsid w:val="592574B7"/>
    <w:rsid w:val="593B6397"/>
    <w:rsid w:val="593F2508"/>
    <w:rsid w:val="596A4D8B"/>
    <w:rsid w:val="596F07B3"/>
    <w:rsid w:val="597A288C"/>
    <w:rsid w:val="5993050D"/>
    <w:rsid w:val="599D1D11"/>
    <w:rsid w:val="59B95C5B"/>
    <w:rsid w:val="5A0D47F3"/>
    <w:rsid w:val="5A1030A8"/>
    <w:rsid w:val="5A2B12F0"/>
    <w:rsid w:val="5A6B0C6D"/>
    <w:rsid w:val="5A8C3A1A"/>
    <w:rsid w:val="5A9206A4"/>
    <w:rsid w:val="5AAA288A"/>
    <w:rsid w:val="5ACB7E61"/>
    <w:rsid w:val="5AFC632C"/>
    <w:rsid w:val="5AFF6746"/>
    <w:rsid w:val="5B00252E"/>
    <w:rsid w:val="5B057762"/>
    <w:rsid w:val="5B0C4999"/>
    <w:rsid w:val="5B1B28AA"/>
    <w:rsid w:val="5B210307"/>
    <w:rsid w:val="5B236068"/>
    <w:rsid w:val="5B3D2B8E"/>
    <w:rsid w:val="5B3E2EA1"/>
    <w:rsid w:val="5B4A5638"/>
    <w:rsid w:val="5B5263FF"/>
    <w:rsid w:val="5B69426B"/>
    <w:rsid w:val="5B702506"/>
    <w:rsid w:val="5BAB2B2E"/>
    <w:rsid w:val="5BCF3EF7"/>
    <w:rsid w:val="5C1318A1"/>
    <w:rsid w:val="5C343794"/>
    <w:rsid w:val="5C5B6A90"/>
    <w:rsid w:val="5C7034D0"/>
    <w:rsid w:val="5C7528FD"/>
    <w:rsid w:val="5CD6638E"/>
    <w:rsid w:val="5CDA6EEE"/>
    <w:rsid w:val="5CDE00D8"/>
    <w:rsid w:val="5CEB7214"/>
    <w:rsid w:val="5D0E7453"/>
    <w:rsid w:val="5D3E4B67"/>
    <w:rsid w:val="5D4C11EC"/>
    <w:rsid w:val="5D577ED5"/>
    <w:rsid w:val="5D860304"/>
    <w:rsid w:val="5D8D3F32"/>
    <w:rsid w:val="5DA76F13"/>
    <w:rsid w:val="5DD1653F"/>
    <w:rsid w:val="5DDA3530"/>
    <w:rsid w:val="5DDC14D5"/>
    <w:rsid w:val="5DEA7B44"/>
    <w:rsid w:val="5E0013EB"/>
    <w:rsid w:val="5E03225B"/>
    <w:rsid w:val="5E143F68"/>
    <w:rsid w:val="5E177981"/>
    <w:rsid w:val="5E4439DB"/>
    <w:rsid w:val="5E4E0B0D"/>
    <w:rsid w:val="5E6D14C7"/>
    <w:rsid w:val="5E7C7849"/>
    <w:rsid w:val="5E820C76"/>
    <w:rsid w:val="5EBE6983"/>
    <w:rsid w:val="5EC657EF"/>
    <w:rsid w:val="5EE81921"/>
    <w:rsid w:val="5EF013CD"/>
    <w:rsid w:val="5F601106"/>
    <w:rsid w:val="600B47D9"/>
    <w:rsid w:val="60140FAF"/>
    <w:rsid w:val="604D3168"/>
    <w:rsid w:val="60A46F13"/>
    <w:rsid w:val="60B45576"/>
    <w:rsid w:val="60B761C7"/>
    <w:rsid w:val="60D27AD2"/>
    <w:rsid w:val="60F8450C"/>
    <w:rsid w:val="60FD3345"/>
    <w:rsid w:val="60FE01F7"/>
    <w:rsid w:val="610D1BD1"/>
    <w:rsid w:val="61121FF6"/>
    <w:rsid w:val="612800F5"/>
    <w:rsid w:val="61293FCC"/>
    <w:rsid w:val="6153492F"/>
    <w:rsid w:val="6168749F"/>
    <w:rsid w:val="61730FDD"/>
    <w:rsid w:val="61771BCF"/>
    <w:rsid w:val="619F2DC2"/>
    <w:rsid w:val="61BB1429"/>
    <w:rsid w:val="61D73478"/>
    <w:rsid w:val="61F3365A"/>
    <w:rsid w:val="61F4651E"/>
    <w:rsid w:val="62206805"/>
    <w:rsid w:val="623E640B"/>
    <w:rsid w:val="626929CB"/>
    <w:rsid w:val="626E1488"/>
    <w:rsid w:val="626F340D"/>
    <w:rsid w:val="6271160A"/>
    <w:rsid w:val="62896E74"/>
    <w:rsid w:val="62C9318E"/>
    <w:rsid w:val="62CC6328"/>
    <w:rsid w:val="62E6347A"/>
    <w:rsid w:val="62E86B1E"/>
    <w:rsid w:val="630028D4"/>
    <w:rsid w:val="633B4B27"/>
    <w:rsid w:val="639026F2"/>
    <w:rsid w:val="639E196A"/>
    <w:rsid w:val="63A24C2F"/>
    <w:rsid w:val="63BF631E"/>
    <w:rsid w:val="63EC3E16"/>
    <w:rsid w:val="64185F0F"/>
    <w:rsid w:val="64593D89"/>
    <w:rsid w:val="645C0B49"/>
    <w:rsid w:val="64675E7E"/>
    <w:rsid w:val="646D2F79"/>
    <w:rsid w:val="64B33E67"/>
    <w:rsid w:val="64BD428B"/>
    <w:rsid w:val="64C146F8"/>
    <w:rsid w:val="64CC10BD"/>
    <w:rsid w:val="64D428D6"/>
    <w:rsid w:val="64E918B6"/>
    <w:rsid w:val="64F05B4D"/>
    <w:rsid w:val="64F40D0D"/>
    <w:rsid w:val="65053BE9"/>
    <w:rsid w:val="65055E4D"/>
    <w:rsid w:val="650826A5"/>
    <w:rsid w:val="650D2548"/>
    <w:rsid w:val="651D4A52"/>
    <w:rsid w:val="65236686"/>
    <w:rsid w:val="65277B65"/>
    <w:rsid w:val="652A666B"/>
    <w:rsid w:val="65343BB9"/>
    <w:rsid w:val="65524F61"/>
    <w:rsid w:val="65581AB3"/>
    <w:rsid w:val="656D2D8C"/>
    <w:rsid w:val="658F68AE"/>
    <w:rsid w:val="65976E06"/>
    <w:rsid w:val="65D53232"/>
    <w:rsid w:val="65F761A2"/>
    <w:rsid w:val="660F5FD1"/>
    <w:rsid w:val="661A56A8"/>
    <w:rsid w:val="662C53CC"/>
    <w:rsid w:val="6639371C"/>
    <w:rsid w:val="6655781C"/>
    <w:rsid w:val="66614173"/>
    <w:rsid w:val="66672BA9"/>
    <w:rsid w:val="668C712F"/>
    <w:rsid w:val="66B23796"/>
    <w:rsid w:val="66B65345"/>
    <w:rsid w:val="66C334FD"/>
    <w:rsid w:val="66CA26B4"/>
    <w:rsid w:val="66D115C2"/>
    <w:rsid w:val="66E20972"/>
    <w:rsid w:val="67593735"/>
    <w:rsid w:val="67A374B3"/>
    <w:rsid w:val="67D84495"/>
    <w:rsid w:val="67E17D40"/>
    <w:rsid w:val="681F5F6D"/>
    <w:rsid w:val="68432C37"/>
    <w:rsid w:val="685364BA"/>
    <w:rsid w:val="685A7BF3"/>
    <w:rsid w:val="68A12FA5"/>
    <w:rsid w:val="68BF6331"/>
    <w:rsid w:val="68C01362"/>
    <w:rsid w:val="68E85470"/>
    <w:rsid w:val="69030B95"/>
    <w:rsid w:val="691A4EC3"/>
    <w:rsid w:val="69204E4A"/>
    <w:rsid w:val="694E1880"/>
    <w:rsid w:val="694F4832"/>
    <w:rsid w:val="697C2CF6"/>
    <w:rsid w:val="698660F0"/>
    <w:rsid w:val="69976C13"/>
    <w:rsid w:val="699D4DD9"/>
    <w:rsid w:val="6A190A53"/>
    <w:rsid w:val="6A1D0FA3"/>
    <w:rsid w:val="6A435241"/>
    <w:rsid w:val="6A5C053E"/>
    <w:rsid w:val="6A6E1A2A"/>
    <w:rsid w:val="6A6E3AC3"/>
    <w:rsid w:val="6A8C6BF6"/>
    <w:rsid w:val="6A9A03D2"/>
    <w:rsid w:val="6AA031D1"/>
    <w:rsid w:val="6AA914B0"/>
    <w:rsid w:val="6AAE32F7"/>
    <w:rsid w:val="6AAF0A79"/>
    <w:rsid w:val="6AB520CA"/>
    <w:rsid w:val="6AC9102E"/>
    <w:rsid w:val="6ACF6167"/>
    <w:rsid w:val="6AD02C0E"/>
    <w:rsid w:val="6AD173AD"/>
    <w:rsid w:val="6AD63F97"/>
    <w:rsid w:val="6AF721E5"/>
    <w:rsid w:val="6AF80F19"/>
    <w:rsid w:val="6AFB3541"/>
    <w:rsid w:val="6BA81160"/>
    <w:rsid w:val="6BE14913"/>
    <w:rsid w:val="6BEC55D3"/>
    <w:rsid w:val="6C0A6ADC"/>
    <w:rsid w:val="6C1A22EB"/>
    <w:rsid w:val="6C282983"/>
    <w:rsid w:val="6C3B096A"/>
    <w:rsid w:val="6C500B83"/>
    <w:rsid w:val="6C504565"/>
    <w:rsid w:val="6C5E515F"/>
    <w:rsid w:val="6C7B26A4"/>
    <w:rsid w:val="6CD26A08"/>
    <w:rsid w:val="6CDC31C0"/>
    <w:rsid w:val="6CF818CA"/>
    <w:rsid w:val="6D374B9F"/>
    <w:rsid w:val="6D7B21FB"/>
    <w:rsid w:val="6D8B4C36"/>
    <w:rsid w:val="6D94576F"/>
    <w:rsid w:val="6DA66AC4"/>
    <w:rsid w:val="6DA82030"/>
    <w:rsid w:val="6DBD4EEC"/>
    <w:rsid w:val="6DC649E7"/>
    <w:rsid w:val="6DC764D3"/>
    <w:rsid w:val="6E51305C"/>
    <w:rsid w:val="6E5637C0"/>
    <w:rsid w:val="6E776F35"/>
    <w:rsid w:val="6E782F65"/>
    <w:rsid w:val="6EBB2294"/>
    <w:rsid w:val="6ED809D8"/>
    <w:rsid w:val="6EEC645D"/>
    <w:rsid w:val="6F151709"/>
    <w:rsid w:val="6F4A4F5B"/>
    <w:rsid w:val="6F7E2080"/>
    <w:rsid w:val="6F8119CC"/>
    <w:rsid w:val="6F83207A"/>
    <w:rsid w:val="6F94533D"/>
    <w:rsid w:val="6F965D31"/>
    <w:rsid w:val="6FA36B46"/>
    <w:rsid w:val="6FA45754"/>
    <w:rsid w:val="6FC12DB3"/>
    <w:rsid w:val="6FCB6FE1"/>
    <w:rsid w:val="6FE30CD2"/>
    <w:rsid w:val="6FFB415F"/>
    <w:rsid w:val="701A2F1E"/>
    <w:rsid w:val="702165A9"/>
    <w:rsid w:val="70241B0B"/>
    <w:rsid w:val="70274D4E"/>
    <w:rsid w:val="70535733"/>
    <w:rsid w:val="70647E27"/>
    <w:rsid w:val="70727DFF"/>
    <w:rsid w:val="70A4359F"/>
    <w:rsid w:val="70AE257C"/>
    <w:rsid w:val="70CE5045"/>
    <w:rsid w:val="70D71582"/>
    <w:rsid w:val="70DA74CB"/>
    <w:rsid w:val="70DF293E"/>
    <w:rsid w:val="715B74F0"/>
    <w:rsid w:val="7166081B"/>
    <w:rsid w:val="716A021D"/>
    <w:rsid w:val="71B723A2"/>
    <w:rsid w:val="71C251FE"/>
    <w:rsid w:val="71CE231F"/>
    <w:rsid w:val="720F737C"/>
    <w:rsid w:val="723D5E58"/>
    <w:rsid w:val="72625490"/>
    <w:rsid w:val="729E3D0C"/>
    <w:rsid w:val="72C63A04"/>
    <w:rsid w:val="72CC0920"/>
    <w:rsid w:val="72D11CBD"/>
    <w:rsid w:val="72F94664"/>
    <w:rsid w:val="73026CFD"/>
    <w:rsid w:val="73325730"/>
    <w:rsid w:val="733C5D5B"/>
    <w:rsid w:val="73414D05"/>
    <w:rsid w:val="7348728B"/>
    <w:rsid w:val="735A6820"/>
    <w:rsid w:val="736A164B"/>
    <w:rsid w:val="73A533EB"/>
    <w:rsid w:val="73B37B7D"/>
    <w:rsid w:val="73CD70A4"/>
    <w:rsid w:val="73D2703D"/>
    <w:rsid w:val="74044C87"/>
    <w:rsid w:val="740639BB"/>
    <w:rsid w:val="741D0651"/>
    <w:rsid w:val="741E1310"/>
    <w:rsid w:val="74216AB9"/>
    <w:rsid w:val="743417C6"/>
    <w:rsid w:val="743E056C"/>
    <w:rsid w:val="749771DD"/>
    <w:rsid w:val="74A124AA"/>
    <w:rsid w:val="74B010EE"/>
    <w:rsid w:val="74BA69AB"/>
    <w:rsid w:val="74BE0D67"/>
    <w:rsid w:val="74DE2189"/>
    <w:rsid w:val="74DE462D"/>
    <w:rsid w:val="74F438B9"/>
    <w:rsid w:val="74FA794F"/>
    <w:rsid w:val="754032D4"/>
    <w:rsid w:val="754B6E9B"/>
    <w:rsid w:val="755C7411"/>
    <w:rsid w:val="756842A3"/>
    <w:rsid w:val="757F2CCE"/>
    <w:rsid w:val="75826D3A"/>
    <w:rsid w:val="75900F33"/>
    <w:rsid w:val="75B61286"/>
    <w:rsid w:val="75BE13F7"/>
    <w:rsid w:val="75BE143A"/>
    <w:rsid w:val="75D436B7"/>
    <w:rsid w:val="75E0592A"/>
    <w:rsid w:val="75E15891"/>
    <w:rsid w:val="75E23EC1"/>
    <w:rsid w:val="761F408D"/>
    <w:rsid w:val="7648019C"/>
    <w:rsid w:val="764F23CD"/>
    <w:rsid w:val="765467AB"/>
    <w:rsid w:val="767A0EE3"/>
    <w:rsid w:val="769260FE"/>
    <w:rsid w:val="769446ED"/>
    <w:rsid w:val="76B71EF6"/>
    <w:rsid w:val="76D25CCB"/>
    <w:rsid w:val="76D50759"/>
    <w:rsid w:val="76DA7F3B"/>
    <w:rsid w:val="76EF4690"/>
    <w:rsid w:val="770327F0"/>
    <w:rsid w:val="7709218B"/>
    <w:rsid w:val="77120C2C"/>
    <w:rsid w:val="77121245"/>
    <w:rsid w:val="77172036"/>
    <w:rsid w:val="773E75AE"/>
    <w:rsid w:val="77481E13"/>
    <w:rsid w:val="777C2930"/>
    <w:rsid w:val="777F0EDD"/>
    <w:rsid w:val="779E4689"/>
    <w:rsid w:val="77BF6271"/>
    <w:rsid w:val="77C054A1"/>
    <w:rsid w:val="77D24FDA"/>
    <w:rsid w:val="77EE1222"/>
    <w:rsid w:val="78135A45"/>
    <w:rsid w:val="78364A07"/>
    <w:rsid w:val="78567139"/>
    <w:rsid w:val="78AA22B0"/>
    <w:rsid w:val="78C11DD3"/>
    <w:rsid w:val="78C3736C"/>
    <w:rsid w:val="78F42648"/>
    <w:rsid w:val="790A0DAD"/>
    <w:rsid w:val="7944785C"/>
    <w:rsid w:val="79624778"/>
    <w:rsid w:val="7978157A"/>
    <w:rsid w:val="79A70518"/>
    <w:rsid w:val="79AC2293"/>
    <w:rsid w:val="79C474B4"/>
    <w:rsid w:val="79C90EBD"/>
    <w:rsid w:val="79EA4504"/>
    <w:rsid w:val="7A031D83"/>
    <w:rsid w:val="7A310B04"/>
    <w:rsid w:val="7A336ADD"/>
    <w:rsid w:val="7A3E3A95"/>
    <w:rsid w:val="7A406322"/>
    <w:rsid w:val="7A462DA1"/>
    <w:rsid w:val="7A645054"/>
    <w:rsid w:val="7A6D282D"/>
    <w:rsid w:val="7AA53EB3"/>
    <w:rsid w:val="7AA77A6C"/>
    <w:rsid w:val="7ABF12DC"/>
    <w:rsid w:val="7ACB16D4"/>
    <w:rsid w:val="7AD65423"/>
    <w:rsid w:val="7AF84C6C"/>
    <w:rsid w:val="7AFE2E1A"/>
    <w:rsid w:val="7B0E2E3D"/>
    <w:rsid w:val="7B13120A"/>
    <w:rsid w:val="7B2E64F8"/>
    <w:rsid w:val="7B3D3CDC"/>
    <w:rsid w:val="7B4A1804"/>
    <w:rsid w:val="7B504560"/>
    <w:rsid w:val="7B653887"/>
    <w:rsid w:val="7B9A21FA"/>
    <w:rsid w:val="7BBE0895"/>
    <w:rsid w:val="7BC33D93"/>
    <w:rsid w:val="7BD42193"/>
    <w:rsid w:val="7BD631E9"/>
    <w:rsid w:val="7BD91198"/>
    <w:rsid w:val="7BFF6E85"/>
    <w:rsid w:val="7C0E602C"/>
    <w:rsid w:val="7C1641BD"/>
    <w:rsid w:val="7C273B64"/>
    <w:rsid w:val="7C467BBF"/>
    <w:rsid w:val="7C833A2B"/>
    <w:rsid w:val="7CB3100D"/>
    <w:rsid w:val="7CBD4AB7"/>
    <w:rsid w:val="7CD1627A"/>
    <w:rsid w:val="7CD35875"/>
    <w:rsid w:val="7CDF2114"/>
    <w:rsid w:val="7D0503FE"/>
    <w:rsid w:val="7D250A5C"/>
    <w:rsid w:val="7D306717"/>
    <w:rsid w:val="7D3A2075"/>
    <w:rsid w:val="7D3E337A"/>
    <w:rsid w:val="7D765A69"/>
    <w:rsid w:val="7D773AD7"/>
    <w:rsid w:val="7D8C10BB"/>
    <w:rsid w:val="7D98473E"/>
    <w:rsid w:val="7DC52577"/>
    <w:rsid w:val="7DE219FE"/>
    <w:rsid w:val="7E00273D"/>
    <w:rsid w:val="7E0B5BA1"/>
    <w:rsid w:val="7E0F6644"/>
    <w:rsid w:val="7E4A6AF4"/>
    <w:rsid w:val="7E5D0626"/>
    <w:rsid w:val="7ED03074"/>
    <w:rsid w:val="7EE0446A"/>
    <w:rsid w:val="7F351F48"/>
    <w:rsid w:val="7F903BC3"/>
    <w:rsid w:val="7FA15205"/>
    <w:rsid w:val="7FDF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15" w:lineRule="atLeast"/>
      <w:ind w:firstLine="420"/>
      <w:jc w:val="left"/>
      <w:textAlignment w:val="baseline"/>
    </w:pPr>
    <w:rPr>
      <w:rFonts w:ascii="宋体"/>
      <w:kern w:val="0"/>
      <w:szCs w:val="20"/>
    </w:rPr>
  </w:style>
  <w:style w:type="paragraph" w:styleId="3">
    <w:name w:val="Body Text"/>
    <w:basedOn w:val="1"/>
    <w:next w:val="4"/>
    <w:qFormat/>
    <w:uiPriority w:val="0"/>
    <w:pPr>
      <w:spacing w:afterLines="0" w:afterAutospacing="0"/>
    </w:pPr>
    <w:rPr>
      <w:rFonts w:ascii="宋体" w:hAnsi="宋体" w:eastAsia="黑体" w:cs="黑体"/>
      <w:color w:val="000000"/>
      <w:szCs w:val="28"/>
      <w:lang w:eastAsia="en-US" w:bidi="en-US"/>
    </w:rPr>
  </w:style>
  <w:style w:type="paragraph" w:styleId="4">
    <w:name w:val="Body Text First Indent"/>
    <w:basedOn w:val="3"/>
    <w:next w:val="1"/>
    <w:qFormat/>
    <w:uiPriority w:val="0"/>
    <w:pPr>
      <w:ind w:firstLine="420" w:firstLineChars="100"/>
    </w:pPr>
    <w:rPr>
      <w:sz w:val="21"/>
      <w:szCs w:val="24"/>
    </w:rPr>
  </w:style>
  <w:style w:type="paragraph" w:styleId="5">
    <w:name w:val="Body Text Indent"/>
    <w:basedOn w:val="1"/>
    <w:next w:val="1"/>
    <w:qFormat/>
    <w:uiPriority w:val="0"/>
    <w:pPr>
      <w:spacing w:after="120"/>
      <w:ind w:left="420" w:leftChars="200"/>
    </w:pPr>
    <w:rPr>
      <w:szCs w:val="20"/>
    </w:rPr>
  </w:style>
  <w:style w:type="paragraph" w:styleId="6">
    <w:name w:val="Body Text Indent 2"/>
    <w:basedOn w:val="1"/>
    <w:qFormat/>
    <w:uiPriority w:val="0"/>
    <w:pPr>
      <w:spacing w:line="360" w:lineRule="auto"/>
      <w:ind w:left="420" w:firstLine="482"/>
    </w:pPr>
    <w:rPr>
      <w:rFonts w:ascii="宋体" w:hAnsi="宋体"/>
      <w:b/>
      <w:sz w:val="24"/>
      <w:szCs w:val="24"/>
    </w:rPr>
  </w:style>
  <w:style w:type="paragraph" w:styleId="7">
    <w:name w:val="footer"/>
    <w:basedOn w:val="1"/>
    <w:link w:val="13"/>
    <w:unhideWhenUsed/>
    <w:qFormat/>
    <w:uiPriority w:val="99"/>
    <w:pPr>
      <w:tabs>
        <w:tab w:val="center" w:pos="4153"/>
        <w:tab w:val="right" w:pos="8306"/>
      </w:tabs>
      <w:snapToGrid w:val="0"/>
      <w:jc w:val="left"/>
    </w:pPr>
    <w:rPr>
      <w:rFonts w:ascii="Times New Roman" w:hAnsi="Times New Roman"/>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9">
    <w:name w:val="Body Text First Indent 2"/>
    <w:basedOn w:val="5"/>
    <w:next w:val="3"/>
    <w:qFormat/>
    <w:uiPriority w:val="0"/>
    <w:pPr>
      <w:spacing w:before="100" w:beforeAutospacing="1"/>
      <w:ind w:firstLine="200" w:firstLineChars="200"/>
    </w:pPr>
    <w:rPr>
      <w:rFonts w:ascii="Times New Roman"/>
      <w:kern w:val="2"/>
      <w:sz w:val="21"/>
      <w:szCs w:val="21"/>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paragraph" w:customStyle="1" w:styleId="14">
    <w:name w:val="Default"/>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paragraph" w:styleId="15">
    <w:name w:val="List Paragraph"/>
    <w:basedOn w:val="1"/>
    <w:qFormat/>
    <w:uiPriority w:val="34"/>
    <w:pPr>
      <w:ind w:firstLine="420" w:firstLineChars="2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24386</Words>
  <Characters>25605</Characters>
  <Lines>30</Lines>
  <Paragraphs>8</Paragraphs>
  <TotalTime>0</TotalTime>
  <ScaleCrop>false</ScaleCrop>
  <LinksUpToDate>false</LinksUpToDate>
  <CharactersWithSpaces>28342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2020-05-27T01:52:00Z</dcterms:created>
  <dc:creator>ljm95</dc:creator>
  <dc:description>电子投标（2024版）</dc:description>
  <cp:lastModifiedBy>Administrator</cp:lastModifiedBy>
  <cp:lastPrinted>2020-11-09T02:15:00Z</cp:lastPrinted>
  <dcterms:modified xsi:type="dcterms:W3CDTF">2024-04-24T02:37:29Z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