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招</w:t>
      </w:r>
      <w:r>
        <w:rPr>
          <w:rFonts w:ascii="宋体" w:hAnsi="宋体"/>
          <w:b/>
          <w:color w:val="auto"/>
          <w:sz w:val="84"/>
          <w:szCs w:val="84"/>
          <w:highlight w:val="none"/>
        </w:rPr>
        <w:t xml:space="preserve">  </w:t>
      </w:r>
      <w:r>
        <w:rPr>
          <w:rFonts w:hint="eastAsia" w:ascii="宋体" w:hAnsi="宋体"/>
          <w:b/>
          <w:color w:val="auto"/>
          <w:sz w:val="84"/>
          <w:szCs w:val="84"/>
          <w:highlight w:val="none"/>
        </w:rPr>
        <w:t>标</w:t>
      </w:r>
      <w:r>
        <w:rPr>
          <w:rFonts w:ascii="宋体" w:hAnsi="宋体"/>
          <w:b/>
          <w:color w:val="auto"/>
          <w:sz w:val="84"/>
          <w:szCs w:val="84"/>
          <w:highlight w:val="none"/>
        </w:rPr>
        <w:t xml:space="preserve">  </w:t>
      </w:r>
      <w:r>
        <w:rPr>
          <w:rFonts w:hint="eastAsia" w:ascii="宋体" w:hAnsi="宋体"/>
          <w:b/>
          <w:color w:val="auto"/>
          <w:sz w:val="84"/>
          <w:szCs w:val="84"/>
          <w:highlight w:val="none"/>
        </w:rPr>
        <w:t>文</w:t>
      </w:r>
      <w:r>
        <w:rPr>
          <w:rFonts w:ascii="宋体" w:hAnsi="宋体"/>
          <w:b/>
          <w:color w:val="auto"/>
          <w:sz w:val="84"/>
          <w:szCs w:val="84"/>
          <w:highlight w:val="none"/>
        </w:rPr>
        <w:t xml:space="preserve">  </w:t>
      </w:r>
      <w:r>
        <w:rPr>
          <w:rFonts w:hint="eastAsia" w:ascii="宋体" w:hAnsi="宋体"/>
          <w:b/>
          <w:color w:val="auto"/>
          <w:sz w:val="84"/>
          <w:szCs w:val="84"/>
          <w:highlight w:val="none"/>
        </w:rPr>
        <w:t>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北仑区校园保安服务</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BLZFCG2023050</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5"/>
      <w:bookmarkStart w:id="1" w:name="OLE_LINK4"/>
      <w:r>
        <w:rPr>
          <w:rFonts w:hint="eastAsia"/>
          <w:b/>
          <w:bCs/>
          <w:color w:val="auto"/>
          <w:sz w:val="30"/>
          <w:szCs w:val="30"/>
          <w:highlight w:val="none"/>
          <w:lang w:eastAsia="zh-CN"/>
        </w:rPr>
        <w:t>宁波市北仑区教育局</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三</w:t>
      </w:r>
      <w:r>
        <w:rPr>
          <w:rFonts w:hint="eastAsia" w:ascii="宋体" w:hAnsi="宋体"/>
          <w:b/>
          <w:bCs/>
          <w:color w:val="auto"/>
          <w:sz w:val="36"/>
          <w:highlight w:val="none"/>
        </w:rPr>
        <w:t xml:space="preserve"> 年 </w:t>
      </w:r>
      <w:r>
        <w:rPr>
          <w:rFonts w:hint="eastAsia" w:ascii="宋体" w:hAnsi="宋体"/>
          <w:b/>
          <w:bCs/>
          <w:color w:val="auto"/>
          <w:sz w:val="36"/>
          <w:highlight w:val="none"/>
          <w:lang w:val="en-US" w:eastAsia="zh-CN"/>
        </w:rPr>
        <w:t>十一</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default" w:ascii="黑体" w:hAnsi="黑体" w:eastAsia="黑体"/>
          <w:color w:val="auto"/>
          <w:sz w:val="30"/>
          <w:highlight w:val="none"/>
          <w:lang w:val="en-US" w:eastAsia="zh-CN"/>
        </w:rPr>
      </w:pPr>
      <w:r>
        <w:rPr>
          <w:rFonts w:hint="eastAsia" w:ascii="黑体" w:hAnsi="黑体" w:eastAsia="黑体"/>
          <w:color w:val="auto"/>
          <w:sz w:val="30"/>
          <w:highlight w:val="none"/>
        </w:rPr>
        <w:t>1、第一部分………………………………</w:t>
      </w:r>
      <w:r>
        <w:rPr>
          <w:rFonts w:hint="eastAsia" w:ascii="黑体" w:hAnsi="黑体" w:eastAsia="黑体"/>
          <w:color w:val="auto"/>
          <w:sz w:val="30"/>
          <w:highlight w:val="none"/>
          <w:lang w:val="en-US" w:eastAsia="zh-CN"/>
        </w:rPr>
        <w:t>投标邀请</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2、第</w:t>
      </w:r>
      <w:r>
        <w:rPr>
          <w:rFonts w:hint="eastAsia" w:ascii="黑体" w:hAnsi="黑体" w:eastAsia="黑体"/>
          <w:color w:val="auto"/>
          <w:sz w:val="30"/>
          <w:highlight w:val="none"/>
          <w:lang w:val="en-US" w:eastAsia="zh-CN"/>
        </w:rPr>
        <w:t>二</w:t>
      </w:r>
      <w:r>
        <w:rPr>
          <w:rFonts w:hint="eastAsia" w:ascii="黑体" w:hAnsi="黑体" w:eastAsia="黑体"/>
          <w:color w:val="auto"/>
          <w:sz w:val="30"/>
          <w:highlight w:val="none"/>
        </w:rPr>
        <w:t>部分………………………………前附表</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3、第</w:t>
      </w:r>
      <w:r>
        <w:rPr>
          <w:rFonts w:hint="eastAsia" w:ascii="黑体" w:hAnsi="黑体" w:eastAsia="黑体"/>
          <w:color w:val="auto"/>
          <w:sz w:val="30"/>
          <w:highlight w:val="none"/>
          <w:lang w:val="en-US" w:eastAsia="zh-CN"/>
        </w:rPr>
        <w:t>三</w:t>
      </w:r>
      <w:r>
        <w:rPr>
          <w:rFonts w:hint="eastAsia" w:ascii="黑体" w:hAnsi="黑体" w:eastAsia="黑体"/>
          <w:color w:val="auto"/>
          <w:sz w:val="30"/>
          <w:highlight w:val="none"/>
        </w:rPr>
        <w:t>部分………………………………投标人须知</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4、第</w:t>
      </w:r>
      <w:r>
        <w:rPr>
          <w:rFonts w:hint="eastAsia" w:ascii="黑体" w:hAnsi="黑体" w:eastAsia="黑体"/>
          <w:color w:val="auto"/>
          <w:sz w:val="30"/>
          <w:highlight w:val="none"/>
          <w:lang w:val="en-US" w:eastAsia="zh-CN"/>
        </w:rPr>
        <w:t>四</w:t>
      </w:r>
      <w:r>
        <w:rPr>
          <w:rFonts w:hint="eastAsia" w:ascii="黑体" w:hAnsi="黑体" w:eastAsia="黑体"/>
          <w:color w:val="auto"/>
          <w:sz w:val="30"/>
          <w:highlight w:val="none"/>
        </w:rPr>
        <w:t>部分………………………………项目内容及要求</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5、第</w:t>
      </w:r>
      <w:r>
        <w:rPr>
          <w:rFonts w:hint="eastAsia" w:ascii="黑体" w:hAnsi="黑体" w:eastAsia="黑体"/>
          <w:color w:val="auto"/>
          <w:sz w:val="30"/>
          <w:highlight w:val="none"/>
          <w:lang w:val="en-US" w:eastAsia="zh-CN"/>
        </w:rPr>
        <w:t>五</w:t>
      </w:r>
      <w:r>
        <w:rPr>
          <w:rFonts w:hint="eastAsia" w:ascii="黑体" w:hAnsi="黑体" w:eastAsia="黑体"/>
          <w:color w:val="auto"/>
          <w:sz w:val="30"/>
          <w:highlight w:val="none"/>
        </w:rPr>
        <w:t>部分………………………………采购合同</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6、第</w:t>
      </w:r>
      <w:r>
        <w:rPr>
          <w:rFonts w:hint="eastAsia" w:ascii="黑体" w:hAnsi="黑体" w:eastAsia="黑体"/>
          <w:color w:val="auto"/>
          <w:sz w:val="30"/>
          <w:highlight w:val="none"/>
          <w:lang w:val="en-US" w:eastAsia="zh-CN"/>
        </w:rPr>
        <w:t>六</w:t>
      </w:r>
      <w:r>
        <w:rPr>
          <w:rFonts w:hint="eastAsia" w:ascii="黑体" w:hAnsi="黑体" w:eastAsia="黑体"/>
          <w:color w:val="auto"/>
          <w:sz w:val="30"/>
          <w:highlight w:val="none"/>
        </w:rPr>
        <w:t>部分………………………………投标文件组成及格式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w:t>
      </w:r>
      <w:r>
        <w:rPr>
          <w:rFonts w:hint="eastAsia" w:ascii="黑体" w:hAnsi="黑体" w:eastAsia="黑体"/>
          <w:color w:val="auto"/>
          <w:sz w:val="30"/>
          <w:highlight w:val="none"/>
          <w:lang w:val="en-US" w:eastAsia="zh-CN"/>
        </w:rPr>
        <w:t>七</w:t>
      </w:r>
      <w:r>
        <w:rPr>
          <w:rFonts w:hint="eastAsia" w:ascii="黑体" w:hAnsi="黑体" w:eastAsia="黑体"/>
          <w:color w:val="auto"/>
          <w:sz w:val="30"/>
          <w:highlight w:val="none"/>
        </w:rPr>
        <w:t>部分………………………………评标办法及评分标准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投标邀请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宁波市北仑区教育局</w:t>
      </w:r>
      <w:r>
        <w:rPr>
          <w:rFonts w:hint="eastAsia" w:ascii="宋体" w:hAnsi="宋体" w:eastAsia="宋体" w:cs="宋体"/>
          <w:color w:val="auto"/>
          <w:highlight w:val="none"/>
        </w:rPr>
        <w:t>委托，就</w:t>
      </w:r>
      <w:r>
        <w:rPr>
          <w:rFonts w:hint="eastAsia" w:ascii="宋体" w:hAnsi="宋体" w:cs="宋体"/>
          <w:color w:val="auto"/>
          <w:highlight w:val="none"/>
          <w:lang w:eastAsia="zh-CN"/>
        </w:rPr>
        <w:t>北仑区校园保安服务</w:t>
      </w:r>
      <w:r>
        <w:rPr>
          <w:rFonts w:hint="eastAsia" w:ascii="宋体" w:hAnsi="宋体" w:eastAsia="宋体" w:cs="宋体"/>
          <w:color w:val="auto"/>
          <w:highlight w:val="none"/>
        </w:rPr>
        <w:t>项目</w:t>
      </w:r>
      <w:r>
        <w:rPr>
          <w:rFonts w:hint="eastAsia" w:ascii="宋体" w:hAnsi="宋体" w:cs="宋体"/>
          <w:color w:val="auto"/>
          <w:highlight w:val="none"/>
          <w:lang w:val="en-US" w:eastAsia="zh-CN"/>
        </w:rPr>
        <w:t>以</w:t>
      </w:r>
      <w:r>
        <w:rPr>
          <w:rFonts w:hint="eastAsia" w:ascii="宋体" w:hAnsi="宋体" w:eastAsia="宋体" w:cs="宋体"/>
          <w:color w:val="auto"/>
          <w:highlight w:val="none"/>
        </w:rPr>
        <w:t>公开招标</w:t>
      </w:r>
      <w:r>
        <w:rPr>
          <w:rFonts w:hint="eastAsia" w:ascii="宋体" w:hAnsi="宋体" w:cs="宋体"/>
          <w:color w:val="auto"/>
          <w:highlight w:val="none"/>
          <w:lang w:val="en-US" w:eastAsia="zh-CN"/>
        </w:rPr>
        <w:t>的方式进行采购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eastAsia="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BLZFCG2023050</w:t>
      </w:r>
    </w:p>
    <w:p>
      <w:pPr>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北仑区校园保安服务</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采购方式：公开招标</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eastAsia="宋体" w:cs="宋体"/>
          <w:color w:val="auto"/>
          <w:highlight w:val="none"/>
          <w:lang w:eastAsia="zh-CN"/>
        </w:rPr>
        <w:t>人民币</w:t>
      </w:r>
      <w:r>
        <w:rPr>
          <w:rFonts w:hint="eastAsia" w:ascii="宋体" w:hAnsi="宋体" w:cs="宋体"/>
          <w:color w:val="auto"/>
          <w:highlight w:val="none"/>
          <w:lang w:val="en-US" w:eastAsia="zh-CN"/>
        </w:rPr>
        <w:t>2252.88</w:t>
      </w:r>
      <w:r>
        <w:rPr>
          <w:rFonts w:hint="eastAsia" w:ascii="宋体" w:hAnsi="宋体" w:eastAsia="宋体" w:cs="宋体"/>
          <w:color w:val="auto"/>
          <w:highlight w:val="none"/>
          <w:lang w:eastAsia="zh-CN"/>
        </w:rPr>
        <w:t>万元/年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eastAsia="宋体" w:cs="宋体"/>
          <w:color w:val="auto"/>
          <w:highlight w:val="none"/>
          <w:lang w:eastAsia="zh-CN"/>
        </w:rPr>
        <w:t>人民币</w:t>
      </w:r>
      <w:r>
        <w:rPr>
          <w:rFonts w:hint="eastAsia" w:ascii="宋体" w:hAnsi="宋体" w:cs="宋体"/>
          <w:color w:val="auto"/>
          <w:highlight w:val="none"/>
          <w:lang w:val="en-US" w:eastAsia="zh-CN"/>
        </w:rPr>
        <w:t>2252.88</w:t>
      </w:r>
      <w:r>
        <w:rPr>
          <w:rFonts w:hint="eastAsia" w:ascii="宋体" w:hAnsi="宋体" w:eastAsia="宋体" w:cs="宋体"/>
          <w:color w:val="auto"/>
          <w:highlight w:val="none"/>
          <w:lang w:eastAsia="zh-CN"/>
        </w:rPr>
        <w:t>万元/年</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cs="宋体"/>
          <w:b w:val="0"/>
          <w:bCs w:val="0"/>
          <w:color w:val="auto"/>
          <w:highlight w:val="none"/>
          <w:lang w:eastAsia="zh-CN"/>
        </w:rPr>
        <w:t>北仑区校园保安服务</w:t>
      </w:r>
      <w:r>
        <w:rPr>
          <w:rFonts w:hint="eastAsia" w:ascii="宋体" w:hAnsi="宋体" w:eastAsia="宋体" w:cs="宋体"/>
          <w:color w:val="auto"/>
          <w:highlight w:val="none"/>
        </w:rPr>
        <w:t>，为北仑区</w:t>
      </w:r>
      <w:r>
        <w:rPr>
          <w:rFonts w:hint="eastAsia" w:ascii="宋体" w:hAnsi="宋体" w:eastAsia="宋体" w:cs="宋体"/>
          <w:color w:val="auto"/>
          <w:highlight w:val="none"/>
          <w:lang w:val="en-US" w:eastAsia="zh-CN"/>
        </w:rPr>
        <w:t>145</w:t>
      </w:r>
      <w:r>
        <w:rPr>
          <w:rFonts w:hint="eastAsia" w:ascii="宋体" w:hAnsi="宋体" w:eastAsia="宋体" w:cs="宋体"/>
          <w:color w:val="auto"/>
          <w:highlight w:val="none"/>
        </w:rPr>
        <w:t>所</w:t>
      </w:r>
      <w:r>
        <w:rPr>
          <w:rFonts w:hint="eastAsia" w:ascii="宋体" w:hAnsi="宋体" w:eastAsia="宋体" w:cs="宋体"/>
          <w:color w:val="auto"/>
          <w:highlight w:val="none"/>
          <w:lang w:eastAsia="zh-CN"/>
        </w:rPr>
        <w:t>中小学、幼儿园</w:t>
      </w:r>
      <w:r>
        <w:rPr>
          <w:rFonts w:hint="eastAsia" w:ascii="宋体" w:hAnsi="宋体" w:eastAsia="宋体" w:cs="宋体"/>
          <w:color w:val="auto"/>
          <w:highlight w:val="none"/>
        </w:rPr>
        <w:t>学校</w:t>
      </w:r>
      <w:r>
        <w:rPr>
          <w:rFonts w:hint="eastAsia" w:ascii="宋体" w:hAnsi="宋体" w:eastAsia="宋体" w:cs="宋体"/>
          <w:color w:val="auto"/>
          <w:highlight w:val="none"/>
          <w:lang w:eastAsia="zh-CN"/>
        </w:rPr>
        <w:t>配备</w:t>
      </w:r>
      <w:r>
        <w:rPr>
          <w:rFonts w:hint="eastAsia" w:ascii="宋体" w:hAnsi="宋体" w:eastAsia="宋体" w:cs="宋体"/>
          <w:color w:val="auto"/>
          <w:highlight w:val="none"/>
          <w:lang w:val="en-US" w:eastAsia="zh-CN"/>
        </w:rPr>
        <w:t>447名校园保安，</w:t>
      </w:r>
      <w:r>
        <w:rPr>
          <w:rFonts w:hint="eastAsia" w:ascii="宋体" w:hAnsi="宋体" w:eastAsia="宋体" w:cs="宋体"/>
          <w:color w:val="auto"/>
          <w:highlight w:val="none"/>
        </w:rPr>
        <w:t>提供安全防偷盗、</w:t>
      </w:r>
      <w:r>
        <w:rPr>
          <w:rFonts w:hint="eastAsia" w:ascii="宋体" w:hAnsi="宋体" w:eastAsia="宋体" w:cs="宋体"/>
          <w:color w:val="auto"/>
          <w:highlight w:val="none"/>
          <w:lang w:eastAsia="zh-CN"/>
        </w:rPr>
        <w:t>防暴力入侵、</w:t>
      </w:r>
      <w:r>
        <w:rPr>
          <w:rFonts w:hint="eastAsia" w:ascii="宋体" w:hAnsi="宋体" w:eastAsia="宋体" w:cs="宋体"/>
          <w:color w:val="auto"/>
          <w:highlight w:val="none"/>
        </w:rPr>
        <w:t>秩序维护管理等安保服务</w:t>
      </w:r>
      <w:r>
        <w:rPr>
          <w:rFonts w:hint="eastAsia" w:ascii="宋体" w:hAnsi="宋体" w:eastAsia="宋体" w:cs="宋体"/>
          <w:color w:val="auto"/>
          <w:highlight w:val="none"/>
          <w:lang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eastAsia="宋体" w:cs="宋体"/>
          <w:color w:val="auto"/>
          <w:highlight w:val="none"/>
        </w:rPr>
        <w:t>本项目一招</w:t>
      </w:r>
      <w:r>
        <w:rPr>
          <w:rFonts w:hint="eastAsia" w:ascii="宋体" w:hAnsi="宋体" w:cs="宋体"/>
          <w:color w:val="auto"/>
          <w:highlight w:val="none"/>
          <w:lang w:val="en-US" w:eastAsia="zh-CN"/>
        </w:rPr>
        <w:t>三</w:t>
      </w:r>
      <w:r>
        <w:rPr>
          <w:rFonts w:hint="eastAsia" w:ascii="宋体" w:hAnsi="宋体" w:eastAsia="宋体" w:cs="宋体"/>
          <w:color w:val="auto"/>
          <w:highlight w:val="none"/>
        </w:rPr>
        <w:t>年，合同</w:t>
      </w:r>
      <w:r>
        <w:rPr>
          <w:rFonts w:hint="eastAsia" w:ascii="宋体" w:hAnsi="宋体" w:cs="宋体"/>
          <w:color w:val="auto"/>
          <w:highlight w:val="none"/>
          <w:lang w:val="en-US" w:eastAsia="zh-CN"/>
        </w:rPr>
        <w:t>一</w:t>
      </w:r>
      <w:r>
        <w:rPr>
          <w:rFonts w:hint="eastAsia" w:ascii="宋体" w:hAnsi="宋体" w:eastAsia="宋体" w:cs="宋体"/>
          <w:color w:val="auto"/>
          <w:highlight w:val="none"/>
        </w:rPr>
        <w:t>年一签，采购人有权根据上年合同履约考核情况决定是否续签。</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8、本项目不接受</w:t>
      </w:r>
      <w:r>
        <w:rPr>
          <w:rFonts w:hint="eastAsia" w:ascii="宋体" w:hAnsi="宋体" w:eastAsia="宋体" w:cs="宋体"/>
          <w:color w:val="auto"/>
          <w:highlight w:val="none"/>
        </w:rPr>
        <w:t>联合体投标</w:t>
      </w:r>
      <w:r>
        <w:rPr>
          <w:rFonts w:hint="eastAsia" w:ascii="宋体" w:hAnsi="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二、投标人的资格要求</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2、落实政府采购政策需满足的资格要求：</w:t>
      </w:r>
      <w:r>
        <w:rPr>
          <w:rFonts w:hint="eastAsia" w:ascii="宋体" w:hAnsi="宋体" w:cs="宋体"/>
          <w:color w:val="auto"/>
          <w:highlight w:val="none"/>
          <w:lang w:val="en-US" w:eastAsia="zh-CN"/>
        </w:rPr>
        <w:t>本项目为专门面向中小企业的采购项目，供应商须为中小微企业（或残疾人福利性单位或监狱企业）。</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（1）具有独立法人资格</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2</w:t>
      </w:r>
      <w:r>
        <w:rPr>
          <w:rFonts w:hint="eastAsia" w:ascii="宋体" w:hAnsi="宋体" w:eastAsia="宋体" w:cs="宋体"/>
          <w:color w:val="auto"/>
          <w:highlight w:val="none"/>
        </w:rPr>
        <w:t>）具有保安服务许可证</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三、招标文件获取时间及方式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1、时间：即日起至投标截止时间前。</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四、提交投标文件截止时间、开标时间和地点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1、提交（上传）投标文件截止时间和开标时间：</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lang w:val="en-US" w:eastAsia="zh-CN"/>
        </w:rPr>
        <w:t>23</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电子投标文件上传地点和开标网址：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备份电子投标文件提交地点和</w:t>
      </w: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五、投标注意事项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1、参加投标的供应商</w:t>
      </w:r>
      <w:r>
        <w:rPr>
          <w:rFonts w:hint="eastAsia" w:ascii="宋体" w:hAnsi="宋体" w:eastAsia="宋体" w:cs="宋体"/>
          <w:color w:val="auto"/>
          <w:highlight w:val="none"/>
        </w:rPr>
        <w:t>有义务在采购活动期间浏览宁波政府采购网（www.nbzfcg.cn）和宁波公共资源交易网北仑区分网（beilun.nbggzy.cn），采购人（采购代理机构）在以上两个网站发布的与本次招标项目有关的信息视为已送达各供应商</w:t>
      </w:r>
      <w:r>
        <w:rPr>
          <w:rFonts w:hint="eastAsia" w:ascii="宋体" w:hAnsi="宋体" w:eastAsia="宋体" w:cs="宋体"/>
          <w:color w:val="auto"/>
          <w:highlight w:val="none"/>
        </w:rPr>
        <w:t>，不再采用其它方式传达相关信息。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2、本项目采用网上投标，不接受纸质投标文件，请投标供应商按照招标文件和政府采购云平台的要求编制、加密上传电子投标文件。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w:t>
      </w:r>
      <w:r>
        <w:rPr>
          <w:rFonts w:hint="eastAsia" w:ascii="宋体" w:hAnsi="宋体" w:eastAsia="宋体" w:cs="宋体"/>
          <w:color w:val="auto"/>
          <w:highlight w:val="none"/>
        </w:rPr>
        <w:t>法使用，则视为无效投标。供应商制作电子投标文件和解密投标文件时必须使用同一</w:t>
      </w:r>
      <w:r>
        <w:rPr>
          <w:rFonts w:hint="eastAsia" w:ascii="宋体" w:hAnsi="宋体" w:cs="宋体"/>
          <w:color w:val="auto"/>
          <w:highlight w:val="none"/>
          <w:lang w:val="en-US" w:eastAsia="zh-CN"/>
        </w:rPr>
        <w:t>个</w:t>
      </w:r>
      <w:r>
        <w:rPr>
          <w:rFonts w:hint="eastAsia" w:ascii="宋体" w:hAnsi="宋体" w:eastAsia="宋体" w:cs="宋体"/>
          <w:color w:val="auto"/>
          <w:highlight w:val="none"/>
        </w:rPr>
        <w:t>CA数字证书。</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、本项目有现场陈述的环节，投标供应商应派代表到现场参加开评标会议。</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w:t>
      </w:r>
      <w:r>
        <w:rPr>
          <w:rFonts w:hint="eastAsia" w:ascii="宋体" w:hAnsi="宋体" w:eastAsia="宋体" w:cs="宋体"/>
          <w:color w:val="auto"/>
          <w:highlight w:val="none"/>
        </w:rPr>
        <w:t>文件制作加密上传等），可登录政府采购云平台网站（www.zcygov.cn）“服务中心”版块查阅相关的帮助文档和教学视频，也可致电政采云平台技术支持热线咨询，热线电话：95763（工作日8</w:t>
      </w:r>
      <w:r>
        <w:rPr>
          <w:rFonts w:hint="eastAsia" w:ascii="宋体" w:hAnsi="宋体" w:cs="宋体"/>
          <w:color w:val="auto"/>
          <w:highlight w:val="none"/>
          <w:lang w:val="en-US" w:eastAsia="zh-CN"/>
        </w:rPr>
        <w:t>︰</w:t>
      </w:r>
      <w:r>
        <w:rPr>
          <w:rFonts w:hint="eastAsia" w:ascii="宋体" w:hAnsi="宋体" w:eastAsia="宋体" w:cs="宋体"/>
          <w:color w:val="auto"/>
          <w:highlight w:val="none"/>
        </w:rPr>
        <w:t>00-20</w:t>
      </w:r>
      <w:r>
        <w:rPr>
          <w:rFonts w:hint="eastAsia" w:ascii="宋体" w:hAnsi="宋体" w:cs="宋体"/>
          <w:color w:val="auto"/>
          <w:highlight w:val="none"/>
          <w:lang w:val="en-US" w:eastAsia="zh-CN"/>
        </w:rPr>
        <w:t>︰</w:t>
      </w:r>
      <w:r>
        <w:rPr>
          <w:rFonts w:hint="eastAsia" w:ascii="宋体" w:hAnsi="宋体" w:eastAsia="宋体" w:cs="宋体"/>
          <w:color w:val="auto"/>
          <w:highlight w:val="none"/>
        </w:rPr>
        <w:t>00）。</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宁波市北仑区教育局</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rPr>
        <w:t>北仑区四明山路773号行政大楼B座四楼</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eastAsia="宋体" w:cs="宋体"/>
          <w:color w:val="auto"/>
          <w:highlight w:val="none"/>
        </w:rPr>
        <w:t>徐丁双     电话：0574-89383958</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 xml:space="preserve">阿云  </w:t>
      </w:r>
      <w:r>
        <w:rPr>
          <w:rFonts w:hint="eastAsia" w:ascii="宋体" w:hAnsi="宋体" w:eastAsia="宋体" w:cs="宋体"/>
          <w:color w:val="auto"/>
          <w:highlight w:val="none"/>
        </w:rPr>
        <w:t xml:space="preserve">    电话：0574-89383947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6"/>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北仑区校园保安服务</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宁波市北仑区教育局</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eastAsia="宋体" w:cs="宋体"/>
                <w:color w:val="auto"/>
                <w:highlight w:val="none"/>
              </w:rPr>
              <w:t>徐丁双     电话：0574-89383958</w:t>
            </w:r>
          </w:p>
          <w:p>
            <w:pPr>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rPr>
              <w:t>北仑区四明山路773号行政大楼B座四楼</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 xml:space="preserve">阿云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电话：0574-89383947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w:t>
            </w:r>
            <w:r>
              <w:rPr>
                <w:rFonts w:hint="eastAsia" w:ascii="宋体" w:hAnsi="宋体" w:eastAsia="宋体" w:cs="宋体"/>
                <w:color w:val="auto"/>
                <w:highlight w:val="none"/>
              </w:rPr>
              <w:t>址：北仑区四明山路773号行政大楼B座315室</w:t>
            </w:r>
          </w:p>
          <w:p>
            <w:pPr>
              <w:rPr>
                <w:rFonts w:hint="eastAsia" w:ascii="宋体" w:hAnsi="宋体" w:eastAsia="宋体" w:cs="宋体"/>
                <w:color w:val="auto"/>
                <w:highlight w:val="none"/>
              </w:rPr>
            </w:pPr>
            <w:r>
              <w:rPr>
                <w:rFonts w:hint="eastAsia" w:ascii="宋体" w:hAnsi="宋体" w:eastAsia="宋体" w:cs="宋体"/>
                <w:color w:val="auto"/>
                <w:highlight w:val="none"/>
              </w:rPr>
              <w:t>邮</w:t>
            </w:r>
            <w:r>
              <w:rPr>
                <w:rFonts w:hint="eastAsia" w:ascii="宋体" w:hAnsi="宋体" w:eastAsia="宋体" w:cs="宋体"/>
                <w:color w:val="auto"/>
                <w:highlight w:val="none"/>
              </w:rPr>
              <w:t>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采购预算（最高限价）：</w:t>
            </w:r>
            <w:r>
              <w:rPr>
                <w:rFonts w:hint="eastAsia" w:ascii="宋体" w:hAnsi="宋体" w:eastAsia="宋体" w:cs="宋体"/>
                <w:color w:val="auto"/>
                <w:highlight w:val="none"/>
                <w:lang w:eastAsia="zh-CN"/>
              </w:rPr>
              <w:t>人民币</w:t>
            </w:r>
            <w:r>
              <w:rPr>
                <w:rFonts w:hint="eastAsia" w:ascii="宋体" w:hAnsi="宋体" w:cs="宋体"/>
                <w:color w:val="auto"/>
                <w:highlight w:val="none"/>
                <w:lang w:val="en-US" w:eastAsia="zh-CN"/>
              </w:rPr>
              <w:t>2252.88</w:t>
            </w:r>
            <w:r>
              <w:rPr>
                <w:rFonts w:hint="eastAsia" w:ascii="宋体" w:hAnsi="宋体" w:eastAsia="宋体" w:cs="宋体"/>
                <w:color w:val="auto"/>
                <w:highlight w:val="none"/>
                <w:lang w:eastAsia="zh-CN"/>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r>
              <w:rPr>
                <w:rFonts w:hint="eastAsia" w:ascii="宋体" w:hAnsi="宋体" w:eastAsia="宋体" w:cs="宋体"/>
                <w:color w:val="auto"/>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7</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eastAsia="宋体" w:cs="宋体"/>
                <w:color w:val="auto"/>
                <w:highlight w:val="none"/>
              </w:rPr>
              <w:t>：</w:t>
            </w:r>
            <w:r>
              <w:rPr>
                <w:rFonts w:hint="eastAsia" w:ascii="宋体" w:hAnsi="宋体" w:cs="宋体"/>
                <w:color w:val="auto"/>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ascii="宋体" w:hAnsi="宋体" w:cs="宋体"/>
                <w:color w:val="auto"/>
                <w:highlight w:val="none"/>
                <w:lang w:val="en-US" w:eastAsia="zh-CN"/>
              </w:rPr>
              <w:t>项目</w:t>
            </w:r>
            <w:r>
              <w:rPr>
                <w:rFonts w:hint="eastAsia" w:ascii="宋体" w:hAnsi="宋体" w:eastAsia="宋体" w:cs="宋体"/>
                <w:color w:val="auto"/>
                <w:highlight w:val="none"/>
              </w:rPr>
              <w:t>采购</w:t>
            </w:r>
            <w:r>
              <w:rPr>
                <w:rFonts w:hint="eastAsia" w:ascii="宋体" w:hAnsi="宋体" w:cs="宋体"/>
                <w:color w:val="auto"/>
                <w:highlight w:val="none"/>
                <w:lang w:val="en-US" w:eastAsia="zh-CN"/>
              </w:rPr>
              <w:t>服务</w:t>
            </w:r>
            <w:r>
              <w:rPr>
                <w:rFonts w:hint="eastAsia" w:ascii="宋体" w:hAnsi="宋体" w:eastAsia="宋体" w:cs="宋体"/>
                <w:color w:val="auto"/>
                <w:highlight w:val="none"/>
              </w:rPr>
              <w:t>对应的中小企业划分标准所属行业：</w:t>
            </w:r>
            <w:r>
              <w:rPr>
                <w:rFonts w:hint="eastAsia" w:ascii="宋体" w:hAnsi="宋体" w:eastAsia="宋体" w:cs="宋体"/>
                <w:color w:val="auto"/>
                <w:highlight w:val="none"/>
                <w:lang w:val="en-US" w:eastAsia="zh-CN"/>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9</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是否允许投标人将项目非主体、非关键性工</w:t>
            </w:r>
            <w:r>
              <w:rPr>
                <w:rFonts w:hint="eastAsia" w:ascii="宋体" w:hAnsi="宋体" w:eastAsia="宋体" w:cs="宋体"/>
                <w:color w:val="auto"/>
                <w:highlight w:val="none"/>
              </w:rPr>
              <w:t>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w:t>
            </w:r>
            <w:r>
              <w:rPr>
                <w:rFonts w:hint="eastAsia" w:ascii="宋体" w:hAnsi="宋体" w:eastAsia="宋体" w:cs="宋体"/>
                <w:color w:val="auto"/>
                <w:highlight w:val="none"/>
              </w:rPr>
              <w:t>由他人完成：</w:t>
            </w:r>
            <w:r>
              <w:rPr>
                <w:rFonts w:hint="eastAsia" w:ascii="宋体" w:hAnsi="宋体" w:cs="宋体"/>
                <w:color w:val="auto"/>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提交（上传）投标文件截止时间</w:t>
            </w:r>
            <w:r>
              <w:rPr>
                <w:rFonts w:hint="eastAsia" w:ascii="宋体" w:hAnsi="宋体" w:eastAsia="宋体" w:cs="宋体"/>
                <w:color w:val="auto"/>
                <w:highlight w:val="none"/>
                <w:lang w:val="en-US" w:eastAsia="zh-CN"/>
              </w:rPr>
              <w:t>和开标时间</w:t>
            </w:r>
            <w:r>
              <w:rPr>
                <w:rFonts w:hint="eastAsia" w:ascii="宋体" w:hAnsi="宋体" w:eastAsia="宋体" w:cs="宋体"/>
                <w:color w:val="auto"/>
                <w:highlight w:val="none"/>
              </w:rPr>
              <w:t>：</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23</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本项目采用网上投标，不接受纸质投标文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23</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注：投标人可自行决定是否提交备份电子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投标人名称并加盖</w:t>
            </w:r>
            <w:r>
              <w:rPr>
                <w:rFonts w:hint="eastAsia" w:ascii="宋体" w:hAnsi="宋体" w:eastAsia="宋体" w:cs="宋体"/>
                <w:b w:val="0"/>
                <w:bCs w:val="0"/>
                <w:color w:val="auto"/>
                <w:highlight w:val="none"/>
                <w:lang w:val="en-US" w:eastAsia="zh-CN"/>
              </w:rPr>
              <w:t>投标人</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合同</w:t>
            </w:r>
            <w:r>
              <w:rPr>
                <w:rFonts w:hint="eastAsia" w:ascii="宋体" w:hAnsi="宋体" w:cs="宋体"/>
                <w:color w:val="auto"/>
                <w:highlight w:val="none"/>
                <w:lang w:val="en-US" w:eastAsia="zh-CN"/>
              </w:rPr>
              <w:t>及相关承诺书</w:t>
            </w:r>
            <w:r>
              <w:rPr>
                <w:rFonts w:hint="eastAsia" w:ascii="宋体" w:hAnsi="宋体" w:eastAsia="宋体" w:cs="宋体"/>
                <w:color w:val="auto"/>
                <w:highlight w:val="none"/>
              </w:rPr>
              <w:t>签订后7个工作日内，中标供应商须以支票、银行转账、银行保函或保险保函等非现金方式向采购人交纳20万元履约保证金。履约保证金在供应商履行完采购合同约定的所有义务事项后7个工作日内无息退还，合同期内如中标供应商未能履行合同规定的任何义务时，采购人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sz w:val="21"/>
                <w:szCs w:val="21"/>
                <w:highlight w:val="none"/>
              </w:rPr>
              <w:t>16</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eastAsia="宋体" w:cs="宋体"/>
                <w:color w:val="auto"/>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18</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不同投标人的投标文件出自同一终端设备的或在相同Internet主机分配地址（相同IP地址）网上投标的，相关投标人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投标人须知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1.1本招标文件适用于采购公告中所述项目的招标、投标、评标、定标、合同</w:t>
      </w:r>
      <w:r>
        <w:rPr>
          <w:rFonts w:hint="eastAsia" w:ascii="宋体" w:hAnsi="宋体" w:eastAsia="宋体" w:cs="宋体"/>
          <w:color w:val="auto"/>
          <w:sz w:val="21"/>
          <w:szCs w:val="21"/>
          <w:highlight w:val="none"/>
          <w:lang w:val="en-US" w:eastAsia="zh-CN"/>
        </w:rPr>
        <w:t>签订及</w:t>
      </w:r>
      <w:r>
        <w:rPr>
          <w:rFonts w:hint="eastAsia" w:ascii="宋体" w:hAnsi="宋体" w:eastAsia="宋体" w:cs="宋体"/>
          <w:color w:val="auto"/>
          <w:sz w:val="21"/>
          <w:szCs w:val="21"/>
          <w:highlight w:val="none"/>
        </w:rPr>
        <w:t>履约、验收、付款等行为（法律、法规另有规定的，从其规定）。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符合本招标文件规定并参加投标的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“货物”指依据本招标文件中所述采购需求，投标人须向采购人提供的一切材料、设备、备品备件、工具、手册及其它有关技术资料和材料，以及实现货物功能价值所必须的配套技术和服务。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“服务”指依据本招标文件中所述采购需求，投标人应该履行的承诺和义务。</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合格的投标人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（3）符合、承认并承诺履行本招标文件各项规定。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4.2无论投标过程中的做法和结果如何，投标人自行承担所有与参加投标有关的全部费用。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参加投标的供应商有义务在采购</w:t>
      </w:r>
      <w:r>
        <w:rPr>
          <w:rFonts w:hint="eastAsia" w:ascii="宋体" w:hAnsi="宋体" w:eastAsia="宋体" w:cs="宋体"/>
          <w:color w:val="auto"/>
          <w:sz w:val="21"/>
          <w:szCs w:val="21"/>
          <w:highlight w:val="none"/>
        </w:rPr>
        <w:t>活动期间浏览宁波政府采购网（www.nbzfcg.cn）和宁波公共资源交易网北仑区分网（beilun.nbggzy.cn），采购人（采购代理机构）在以上两个网站发布的与本次招标项目有关的信息视为已送达各供应商，不</w:t>
      </w:r>
      <w:r>
        <w:rPr>
          <w:rFonts w:hint="eastAsia" w:ascii="宋体" w:hAnsi="宋体" w:eastAsia="宋体" w:cs="宋体"/>
          <w:color w:val="auto"/>
          <w:sz w:val="21"/>
          <w:szCs w:val="21"/>
          <w:highlight w:val="none"/>
        </w:rPr>
        <w:t>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B、招标文件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.1招标文件由本文件目录所列内容组成。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7.3招标文件的修改内容将作为招标文件的一部分，对投标人有约束力。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C、投标文件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8.2投标人投标文件所提供的全部材料必须真实可靠，所述内容真实有效，不得弄虚作假。</w:t>
      </w:r>
      <w:r>
        <w:rPr>
          <w:rFonts w:hint="eastAsia" w:ascii="宋体" w:hAnsi="宋体" w:eastAsia="宋体" w:cs="宋体"/>
          <w:b w:val="0"/>
          <w:bCs w:val="0"/>
          <w:color w:val="auto"/>
          <w:sz w:val="21"/>
          <w:szCs w:val="21"/>
          <w:highlight w:val="none"/>
        </w:rPr>
        <w:t>若投标文件填报的内容数据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w:t>
      </w:r>
      <w:r>
        <w:rPr>
          <w:rFonts w:hint="eastAsia" w:ascii="宋体" w:hAnsi="宋体" w:eastAsia="宋体" w:cs="宋体"/>
          <w:b w:val="0"/>
          <w:bCs w:val="0"/>
          <w:color w:val="auto"/>
          <w:sz w:val="21"/>
          <w:szCs w:val="21"/>
          <w:highlight w:val="none"/>
        </w:rPr>
        <w:t>其投标文件为无效投标文件，并按相关规定处理，由此引起的一切后果及法律责任由投标人承担。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9.1投标文件以及投标人与采购代理机构就有关投标的所有来往函电均应使用中文简体字。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9.2除在招标文件技术规格中另有规定外，计量单位使用中华人民共和国法定计量单位。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10.1投标文件由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用以证明投标人是否具备本项目的投标资格。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10.2.2投标人应按招标文件要求的内容和格式提供资格证明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10.2.4资格证明文件中</w:t>
      </w:r>
      <w:r>
        <w:rPr>
          <w:rFonts w:hint="eastAsia" w:ascii="宋体" w:hAnsi="宋体" w:eastAsia="宋体" w:cs="宋体"/>
          <w:color w:val="auto"/>
          <w:sz w:val="21"/>
          <w:szCs w:val="21"/>
          <w:highlight w:val="none"/>
          <w:lang w:eastAsia="zh-CN"/>
        </w:rPr>
        <w:t>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10.3.2投标人应按招标文件要求的内容和格式提供技术商务文件，</w:t>
      </w:r>
      <w:r>
        <w:rPr>
          <w:rFonts w:hint="eastAsia" w:ascii="宋体" w:hAnsi="宋体" w:cs="宋体"/>
          <w:color w:val="auto"/>
          <w:sz w:val="21"/>
          <w:szCs w:val="21"/>
          <w:highlight w:val="none"/>
          <w:lang w:val="en-US" w:eastAsia="zh-CN"/>
        </w:rPr>
        <w:t>具体详见本招标文件第六部分投标文件组成及格式。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10.3.3技术商务文件中不得出现本项目的投标总价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val="en-US" w:eastAsia="zh-CN"/>
        </w:rPr>
        <w:t>，否则投标无效。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10.4.1报价文件用于评价投标人的投标报价是否响应招标要求，是否符合相关的政府采购政策等。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10.4.2投标人应按招标文件要求的内容和格式提供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具体详见本招标文件第六部分投标文件组成及格式。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1投标文件分为电子投标文件和备份电子投标文件。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11.2投标人应</w:t>
      </w:r>
      <w:r>
        <w:rPr>
          <w:rFonts w:hint="eastAsia" w:ascii="宋体" w:hAnsi="宋体" w:eastAsia="宋体" w:cs="宋体"/>
          <w:color w:val="auto"/>
          <w:highlight w:val="none"/>
        </w:rPr>
        <w:t>按照招标文件和政府采购云平台的要求编制、加密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.3投标文件</w:t>
      </w:r>
      <w:r>
        <w:rPr>
          <w:rFonts w:hint="eastAsia" w:ascii="宋体" w:hAnsi="宋体" w:eastAsia="宋体" w:cs="宋体"/>
          <w:color w:val="auto"/>
          <w:highlight w:val="none"/>
          <w:lang w:val="en-US" w:eastAsia="zh-CN"/>
        </w:rPr>
        <w:t>应根据招标要求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而导致失分或无效投标处理的风险由投标人承担。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11.4投标人</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是否提交备份电子投标文件，以便在上传的电子投标文件解密失败后启用备份投标文件。</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仅提交备份电子投标文件的，投标响应无效。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.1组成投标文件的各项资料均应遵守本条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.2投标人名称应填写全称，不能随意简称，要求加盖公章的应加盖公章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.3招标文件中规定的全权代表签名应由全权代表亲自签署，法定代表人可以签名或盖章。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12.4投标人选择提供</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项目名称、项目编号、投标人名称并加盖公章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.1投标报价是履行合同的最终价格，包含购买货物及服务需交纳的所有税费及其他一切相关费用</w:t>
      </w:r>
      <w:r>
        <w:rPr>
          <w:rFonts w:hint="eastAsia" w:ascii="宋体" w:hAnsi="宋体" w:eastAsia="宋体" w:cs="宋体"/>
          <w:color w:val="auto"/>
          <w:highlight w:val="none"/>
        </w:rPr>
        <w:t>，具体详见本招标文件第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.2投标人少报或漏报的工作量，采购人将视为已包含在投标总价中，并不予调整。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.5超出采购人最高限价的投标为无效投标。</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D、投标文件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投标截止时间和投标地点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投标截止时间和投标地点见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采购代理机构推迟投标截止时间或更改投标地点，将以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公告的方式通知所有投标人。在这种情况下，采购人和投标人的权利和义务将受到新的截止时间和新的投标地点的约束。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投标文件的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上传至政采云平台，逾期上传的投标无效。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17.2选择提交备份电子投标文件的投标人应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份电子投标文件送达至开标现场，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备份电子投标文件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eastAsia="宋体" w:cs="宋体"/>
          <w:color w:val="auto"/>
          <w:sz w:val="21"/>
          <w:szCs w:val="21"/>
          <w:highlight w:val="none"/>
        </w:rPr>
        <w:t>投标截止时间前，投标人可以对</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补充或者修改投标文件的，应先撤回原</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的投标文件加密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。投标截止时间前未完成上传的，视为投标文件撤回。不接受其他途径的补充和修改。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eastAsia="宋体" w:cs="宋体"/>
          <w:color w:val="auto"/>
          <w:sz w:val="21"/>
          <w:szCs w:val="21"/>
          <w:highlight w:val="none"/>
        </w:rPr>
        <w:t>投标截止时间前，投标人可以撤回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开标后，投标人不得撤回投标，否则报采购监督部门处理。</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E、开标和评标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开标</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采购代理机构按招标文件规定的时间、地点进行开标。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投标供应商法定代表人或其授权代表</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18.3投标</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可以根据项目特点确定是否派代表</w:t>
      </w:r>
      <w:r>
        <w:rPr>
          <w:rFonts w:hint="eastAsia" w:ascii="宋体" w:hAnsi="宋体" w:eastAsia="宋体" w:cs="宋体"/>
          <w:b w:val="0"/>
          <w:bCs w:val="0"/>
          <w:color w:val="auto"/>
          <w:sz w:val="21"/>
          <w:szCs w:val="21"/>
          <w:highlight w:val="none"/>
        </w:rPr>
        <w:t>出席现场开标会议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参加现场会议的供应商代表应遵守会场纪律。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18.4开标会议由采购代理机构主持，并按以下程序进行：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（1）主持人宣布开标会议开始及会场纪律，介绍到会人员。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（2）采购代理机构发出解密指令，投标供应商对加密电子投标文件进行在线解密。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投标文件</w:t>
      </w:r>
      <w:r>
        <w:rPr>
          <w:rFonts w:hint="eastAsia" w:ascii="宋体" w:hAnsi="宋体" w:eastAsia="宋体" w:cs="宋体"/>
          <w:color w:val="auto"/>
          <w:highlight w:val="none"/>
          <w:lang w:val="en-US" w:eastAsia="zh-CN"/>
        </w:rPr>
        <w:t>解密结束，开启投标文件，对“资格证明文件”进行审查。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（4）资格审查通过后，进行“技术商务文件”评审。</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（5）公布技术商务评审情况，开启“报价文件”</w:t>
      </w:r>
      <w:r>
        <w:rPr>
          <w:rFonts w:hint="eastAsia" w:ascii="宋体" w:hAnsi="宋体" w:eastAsia="宋体" w:cs="宋体"/>
          <w:strike w:val="0"/>
          <w:dstrike w:val="0"/>
          <w:color w:val="auto"/>
          <w:highlight w:val="none"/>
          <w:lang w:val="en-US" w:eastAsia="zh-CN"/>
        </w:rPr>
        <w:t>，投标人对投标报价进行在线确认</w:t>
      </w:r>
      <w:r>
        <w:rPr>
          <w:rFonts w:hint="eastAsia" w:ascii="宋体" w:hAnsi="宋体" w:eastAsia="宋体" w:cs="宋体"/>
          <w:strike w:val="0"/>
          <w:color w:val="auto"/>
          <w:highlight w:val="none"/>
          <w:lang w:val="en-US" w:eastAsia="zh-CN"/>
        </w:rPr>
        <w:t>。投标人对报价信息不予确认的不影响后续评标过程。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（6）对“报价文件”进行评审，计算价格分。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eastAsia="宋体" w:cs="宋体"/>
          <w:b w:val="0"/>
          <w:bCs w:val="0"/>
          <w:color w:val="auto"/>
          <w:sz w:val="21"/>
          <w:szCs w:val="21"/>
          <w:highlight w:val="none"/>
        </w:rPr>
        <w:t>开评标期间，投标供应商应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产生的风险由投标人自行承担。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19、投标文件解密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19.1采购代理机构宣布开标后，将通过政采云平台发出解密指令，投标人登录政采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19.2解密电子投标文件的时间为解密指令发出后30分钟内。解密成功的，备份电子投标文件自动失效。若在规定时间内无法解密或解密失败，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，若备份投标文件仍无法使用，则视为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19.3</w:t>
      </w:r>
      <w:r>
        <w:rPr>
          <w:rFonts w:hint="eastAsia" w:ascii="宋体" w:hAnsi="宋体" w:eastAsia="宋体" w:cs="宋体"/>
          <w:color w:val="auto"/>
          <w:highlight w:val="none"/>
        </w:rPr>
        <w:t>电子投标文件在解密前处于保密状态。解密成功后，“资格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文件”、“技术商务文件”、“报价文件”各自处于数据隔离状态，</w:t>
      </w:r>
      <w:r>
        <w:rPr>
          <w:rFonts w:hint="eastAsia" w:ascii="宋体" w:hAnsi="宋体" w:cs="宋体"/>
          <w:color w:val="auto"/>
          <w:highlight w:val="none"/>
          <w:lang w:val="en-US" w:eastAsia="zh-CN"/>
        </w:rPr>
        <w:t>文件的内容</w:t>
      </w:r>
      <w:r>
        <w:rPr>
          <w:rFonts w:hint="eastAsia" w:ascii="宋体" w:hAnsi="宋体" w:eastAsia="宋体" w:cs="宋体"/>
          <w:color w:val="auto"/>
          <w:highlight w:val="none"/>
        </w:rPr>
        <w:t>只有</w:t>
      </w:r>
      <w:r>
        <w:rPr>
          <w:rFonts w:hint="eastAsia" w:ascii="宋体" w:hAnsi="宋体" w:cs="宋体"/>
          <w:color w:val="auto"/>
          <w:highlight w:val="none"/>
          <w:lang w:val="en-US" w:eastAsia="zh-CN"/>
        </w:rPr>
        <w:t>进行到相应的评审</w:t>
      </w:r>
      <w:r>
        <w:rPr>
          <w:rFonts w:hint="eastAsia" w:ascii="宋体" w:hAnsi="宋体" w:eastAsia="宋体" w:cs="宋体"/>
          <w:color w:val="auto"/>
          <w:highlight w:val="none"/>
        </w:rPr>
        <w:t>环节时可见。</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20、评标委员会</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20.1采购人和采购代理机构根据采购项目的内容特点按照规定组建评标委员会。</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21、对投标文件的评审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开标后，采购人或者采购代理机构对投标人的资格进行审查。审查内容为投标人提供的资格证明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是否齐全并满足招标文件的要求。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eastAsia="宋体" w:cs="宋体"/>
          <w:color w:val="auto"/>
          <w:highlight w:val="none"/>
        </w:rPr>
        <w:t>评标委员会对符合资格的投标人的投标文件进行符合性审查，以确定其是否满足招标文件的实质性要求。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评标委员会对具备实质性响应的投标文件进行评估和比较。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评标委员会对投标文件的判定，只依据投标文件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包括样品、演示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的本身内容，不依据开标后的任何外来证明材料。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评标办法及评分标准见本招标文件第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部分评标办法及评分标准。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22、投标文件的澄清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22.2</w:t>
      </w:r>
      <w:r>
        <w:rPr>
          <w:rFonts w:hint="eastAsia" w:ascii="宋体" w:hAnsi="宋体" w:eastAsia="宋体" w:cs="宋体"/>
          <w:color w:val="auto"/>
          <w:highlight w:val="none"/>
        </w:rPr>
        <w:t>评审期间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指派技术（商务）人员及法定代表人（或全权代表）</w:t>
      </w:r>
      <w:r>
        <w:rPr>
          <w:rFonts w:hint="eastAsia" w:ascii="宋体" w:hAnsi="宋体" w:eastAsia="宋体" w:cs="宋体"/>
          <w:color w:val="auto"/>
          <w:highlight w:val="none"/>
          <w:lang w:val="en-US" w:eastAsia="zh-CN"/>
        </w:rPr>
        <w:t>在规定的时间内</w:t>
      </w:r>
      <w:r>
        <w:rPr>
          <w:rFonts w:hint="eastAsia" w:ascii="宋体" w:hAnsi="宋体" w:eastAsia="宋体" w:cs="宋体"/>
          <w:color w:val="auto"/>
          <w:highlight w:val="none"/>
        </w:rPr>
        <w:t>进行澄清</w:t>
      </w:r>
      <w:r>
        <w:rPr>
          <w:rFonts w:hint="eastAsia" w:ascii="宋体" w:hAnsi="宋体" w:eastAsia="宋体" w:cs="宋体"/>
          <w:color w:val="auto"/>
          <w:highlight w:val="none"/>
          <w:lang w:val="en-US" w:eastAsia="zh-CN"/>
        </w:rPr>
        <w:t>和说明</w:t>
      </w:r>
      <w:r>
        <w:rPr>
          <w:rFonts w:hint="eastAsia" w:ascii="宋体" w:hAnsi="宋体" w:eastAsia="宋体" w:cs="宋体"/>
          <w:color w:val="auto"/>
          <w:highlight w:val="none"/>
        </w:rPr>
        <w:t>，否则</w:t>
      </w:r>
      <w:r>
        <w:rPr>
          <w:rFonts w:hint="eastAsia" w:ascii="宋体" w:hAnsi="宋体" w:eastAsia="宋体" w:cs="宋体"/>
          <w:color w:val="auto"/>
          <w:szCs w:val="20"/>
          <w:highlight w:val="none"/>
        </w:rPr>
        <w:t>将被视作自动放弃</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由此造成的后果由投标人自行承担</w:t>
      </w:r>
      <w:r>
        <w:rPr>
          <w:rFonts w:hint="eastAsia" w:ascii="宋体" w:hAnsi="宋体" w:eastAsia="宋体" w:cs="宋体"/>
          <w:color w:val="auto"/>
          <w:szCs w:val="20"/>
          <w:highlight w:val="none"/>
        </w:rPr>
        <w:t>。</w:t>
      </w:r>
    </w:p>
    <w:p>
      <w:pPr>
        <w:spacing w:line="360" w:lineRule="auto"/>
        <w:rPr>
          <w:rFonts w:hint="eastAsia" w:ascii="宋体" w:hAnsi="宋体" w:eastAsia="宋体" w:cs="宋体"/>
          <w:color w:val="auto"/>
          <w:szCs w:val="20"/>
          <w:highlight w:val="none"/>
          <w:lang w:val="en-US" w:eastAsia="zh-CN"/>
        </w:rPr>
      </w:pPr>
      <w:r>
        <w:rPr>
          <w:rFonts w:hint="eastAsia" w:ascii="宋体" w:hAnsi="宋体" w:eastAsia="宋体" w:cs="宋体"/>
          <w:color w:val="auto"/>
          <w:highlight w:val="none"/>
          <w:lang w:val="en-US" w:eastAsia="zh-CN"/>
        </w:rPr>
        <w:t>22.3对投标文件的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eastAsia="宋体" w:cs="宋体"/>
          <w:color w:val="auto"/>
          <w:highlight w:val="none"/>
        </w:rPr>
        <w:t>投标人的澄清、说明或补正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该澄清、说明或者补正将作为投标文件的一部分。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eastAsia="宋体" w:cs="宋体"/>
          <w:color w:val="auto"/>
          <w:highlight w:val="none"/>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23、废标情形</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.1投标人不足3家未能开标的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.2经资格审查，合格投标人不足3家未能评标的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.3在评标过程中，评标委员会发现有下列情形之一的，应对采购项目予以废标：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（1）有效投标人不足3家的；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（3）因重大变故，采购任务取消的。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.4废标后，采购代理机构</w:t>
      </w:r>
      <w:r>
        <w:rPr>
          <w:rFonts w:hint="eastAsia" w:ascii="宋体" w:hAnsi="宋体" w:eastAsia="宋体" w:cs="宋体"/>
          <w:color w:val="auto"/>
          <w:highlight w:val="none"/>
          <w:lang w:val="en-US" w:eastAsia="zh-CN"/>
        </w:rPr>
        <w:t>通过公告的形式将</w:t>
      </w:r>
      <w:r>
        <w:rPr>
          <w:rFonts w:hint="eastAsia" w:ascii="宋体" w:hAnsi="宋体" w:eastAsia="宋体" w:cs="宋体"/>
          <w:color w:val="auto"/>
          <w:highlight w:val="none"/>
        </w:rPr>
        <w:t>废标结果通知所有投标人。</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24、评审监控及保密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.1本项目评标过程实行全程录音、录像监控，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开标、</w:t>
      </w:r>
      <w:r>
        <w:rPr>
          <w:rFonts w:hint="eastAsia" w:ascii="宋体" w:hAnsi="宋体" w:eastAsia="宋体" w:cs="宋体"/>
          <w:color w:val="auto"/>
          <w:highlight w:val="none"/>
        </w:rPr>
        <w:t>评标过程中所进行的试图影响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不得泄露评审情况以及评审过程中获悉的国家秘密、商业秘密。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25、中止电子交易的情形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.1采购人将依法把合同授予最佳投标者，具体方法见本招标文件第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.1中标人确定之日起后2个工作日内，采购代理机构将在指定的政府采购信息发布媒体上公告</w:t>
      </w:r>
      <w:r>
        <w:rPr>
          <w:rFonts w:hint="eastAsia" w:ascii="宋体" w:hAnsi="宋体" w:eastAsia="宋体" w:cs="宋体"/>
          <w:color w:val="auto"/>
          <w:sz w:val="21"/>
          <w:szCs w:val="21"/>
          <w:highlight w:val="none"/>
        </w:rPr>
        <w:t>中标结果，同时向中标人发出中标通知书。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.1中标人在收到中标通知书后，应按照规定的时间、地点，与采购人签订采购合同。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.2招标文件、补充文件、投标文件及评标过程中的有关澄清、说明或者补正文件均为签订合同的依据。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或中标人</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val="en-US" w:eastAsia="zh-CN"/>
        </w:rPr>
        <w:t>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.5签约后即为招标结束。采购代理机构不退回任何文件资料。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29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 xml:space="preserve">应当包括下列主要内容：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北仑区校园保安服务</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BLZFCG2023050</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3.2本次招标项目应按国际标准或专业标准执行，最后按照国家有关规定及合同约定进行验收。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3.3本项目所有工作均由中标供应商负总责任。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3.4本项目要求使用的标准如与中标供应商所执行标准发生矛盾时，按较高标准执行。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4、服务地点与期限要求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4.2本项目服务期限：</w:t>
      </w:r>
      <w:r>
        <w:rPr>
          <w:rFonts w:hint="eastAsia" w:ascii="宋体" w:hAnsi="宋体" w:eastAsia="宋体" w:cs="宋体"/>
          <w:color w:val="auto"/>
          <w:sz w:val="21"/>
          <w:szCs w:val="21"/>
          <w:highlight w:val="none"/>
        </w:rPr>
        <w:t>本项目一招</w:t>
      </w: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rPr>
        <w:t>年，合同</w:t>
      </w: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年一签，采购人有权根据上年合同履约考核情况决定是否续签。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以下为投标人在投标文件中需要包含的最基本内容。若投标人提供的服务方案与采购人要求不一致，必须在服务条款偏离表中说明。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5.1项目服务方案</w:t>
      </w:r>
    </w:p>
    <w:p>
      <w:pPr>
        <w:spacing w:line="360" w:lineRule="auto"/>
        <w:rPr>
          <w:rFonts w:hint="eastAsia" w:ascii="宋体" w:hAnsi="宋体"/>
          <w:color w:val="auto"/>
          <w:highlight w:val="none"/>
        </w:rPr>
      </w:pPr>
      <w:r>
        <w:rPr>
          <w:rFonts w:hint="eastAsia" w:ascii="宋体" w:hAnsi="宋体" w:eastAsia="宋体" w:cs="宋体"/>
          <w:color w:val="auto"/>
          <w:sz w:val="21"/>
          <w:szCs w:val="21"/>
          <w:highlight w:val="none"/>
        </w:rPr>
        <w:t>根据采购需求，结合供应商自身情况，编制项目服务方案。服务方案应包括</w:t>
      </w:r>
      <w:r>
        <w:rPr>
          <w:rFonts w:hint="eastAsia" w:ascii="宋体" w:hAnsi="宋体"/>
          <w:color w:val="auto"/>
          <w:highlight w:val="none"/>
        </w:rPr>
        <w:t>对本安保项目了解程度的阐述、安保服务方案、服务目标、特殊时期安保管理应急方案等内容。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项目实施方案应包括总体实施方案、管理机构设置和内部管理制度、人员配备及管理方案、培训计划等，内容应简洁实用。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5.3服务承诺及合理化建议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包括服务质量保障措施、服务响应及承诺、针对本项目的具有可行性的合理化建议等内容。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详见本部分附件</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.2如果供应商提供的货物或服务与投标文件、相关澄清文件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w:t>
      </w:r>
      <w:r>
        <w:rPr>
          <w:rFonts w:hint="eastAsia" w:ascii="宋体" w:hAnsi="宋体" w:eastAsia="宋体" w:cs="宋体"/>
          <w:color w:val="auto"/>
          <w:sz w:val="21"/>
          <w:szCs w:val="21"/>
          <w:highlight w:val="none"/>
        </w:rPr>
        <w:t>专门面向</w:t>
      </w:r>
      <w:r>
        <w:rPr>
          <w:rFonts w:hint="eastAsia" w:ascii="宋体" w:hAnsi="宋体" w:eastAsia="宋体" w:cs="宋体"/>
          <w:color w:val="auto"/>
          <w:sz w:val="21"/>
          <w:szCs w:val="21"/>
          <w:highlight w:val="none"/>
        </w:rPr>
        <w:t>中小企业项目，根据《政府采购促进中小企业发展管理办法》（财库[2020]46号）及相关规定，</w:t>
      </w:r>
      <w:r>
        <w:rPr>
          <w:rFonts w:hint="eastAsia" w:ascii="宋体" w:hAnsi="宋体" w:eastAsia="宋体" w:cs="宋体"/>
          <w:color w:val="auto"/>
          <w:sz w:val="21"/>
          <w:szCs w:val="21"/>
          <w:highlight w:val="none"/>
        </w:rPr>
        <w:t>符合中小微企业认定标准的供应商，在参加本次政府采购活动时，须提供《中小企业声明函》，</w:t>
      </w:r>
      <w:r>
        <w:rPr>
          <w:rFonts w:hint="eastAsia" w:ascii="宋体" w:hAnsi="宋体" w:eastAsia="宋体" w:cs="宋体"/>
          <w:color w:val="auto"/>
          <w:sz w:val="21"/>
          <w:szCs w:val="21"/>
          <w:highlight w:val="none"/>
        </w:rPr>
        <w:t>格式参考第六部分格式：中小企业声明函，</w:t>
      </w:r>
      <w:r>
        <w:rPr>
          <w:rFonts w:hint="eastAsia" w:ascii="宋体" w:hAnsi="宋体" w:eastAsia="宋体" w:cs="宋体"/>
          <w:color w:val="auto"/>
          <w:sz w:val="21"/>
          <w:szCs w:val="21"/>
          <w:highlight w:val="none"/>
        </w:rPr>
        <w:t>并对声明的真实性负责。未按要求提供声明函的不被认定为中小</w:t>
      </w:r>
      <w:r>
        <w:rPr>
          <w:rFonts w:hint="eastAsia" w:ascii="宋体" w:hAnsi="宋体" w:cs="宋体"/>
          <w:color w:val="auto"/>
          <w:sz w:val="21"/>
          <w:szCs w:val="21"/>
          <w:highlight w:val="none"/>
          <w:lang w:val="en-US" w:eastAsia="zh-CN"/>
        </w:rPr>
        <w:t>微</w:t>
      </w:r>
      <w:r>
        <w:rPr>
          <w:rFonts w:hint="eastAsia" w:ascii="宋体" w:hAnsi="宋体" w:eastAsia="宋体" w:cs="宋体"/>
          <w:color w:val="auto"/>
          <w:sz w:val="21"/>
          <w:szCs w:val="21"/>
          <w:highlight w:val="none"/>
        </w:rPr>
        <w:t>企业。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8.1.2采购人或采购代理机构将随中标、成交结果公开中标、成交供应商的《中小企业声明函》内容，接受社会监督。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8.2.1根据《三部门联合发布关于促进残疾人就业政府采购政策的通知》（财库[2017]141号）规定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本次政府采购活动，残疾人福利性单位视同小型、微型企业，</w:t>
      </w:r>
      <w:r>
        <w:rPr>
          <w:rFonts w:hint="eastAsia" w:ascii="宋体" w:hAnsi="宋体" w:eastAsia="宋体" w:cs="宋体"/>
          <w:color w:val="auto"/>
          <w:sz w:val="21"/>
          <w:szCs w:val="21"/>
          <w:highlight w:val="none"/>
        </w:rPr>
        <w:t>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8.2.3符合条件的残疾人福利性单位在参加本次政府采购活动时，应当提供《残疾人福利性单位声明函》，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格式参考第六部分格式：残疾人福利性单位声明函，</w:t>
      </w:r>
      <w:r>
        <w:rPr>
          <w:rFonts w:hint="eastAsia" w:ascii="宋体" w:hAnsi="宋体" w:eastAsia="宋体" w:cs="宋体"/>
          <w:color w:val="auto"/>
          <w:sz w:val="21"/>
          <w:szCs w:val="21"/>
          <w:highlight w:val="none"/>
        </w:rPr>
        <w:t>并对声明的真实性负责。未按要求提供声明函的不被认定为残疾人福利性单位。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8.2.4采购人或采购代理机构将随中标、成交结果公开中标、成交供应商的《残疾人福利性单位声明函》内容，接受社会监督。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w:t>
      </w:r>
      <w:r>
        <w:rPr>
          <w:rFonts w:hint="eastAsia" w:ascii="宋体" w:hAnsi="宋体" w:eastAsia="宋体" w:cs="宋体"/>
          <w:color w:val="auto"/>
          <w:sz w:val="21"/>
          <w:szCs w:val="21"/>
          <w:highlight w:val="none"/>
        </w:rPr>
        <w:t>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8.3.2监狱企业参加政府采购活动时，应当提供由省级以上监狱管理局、戒毒管理局（含新疆生产建设兵团）出具的属于监狱企业的证明文件。未提供证明文件的不被认定为监狱企业。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9、其他说明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投标文件中提供投标人最近三年（时间计算以投标截止时间和合同签订时间为准）以来成功实施的同类项目的业绩或案例证明，</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w:t>
      </w:r>
      <w:r>
        <w:rPr>
          <w:rFonts w:hint="eastAsia" w:ascii="宋体" w:hAnsi="宋体" w:eastAsia="宋体" w:cs="宋体"/>
          <w:color w:val="auto"/>
          <w:sz w:val="21"/>
          <w:szCs w:val="21"/>
          <w:highlight w:val="none"/>
        </w:rPr>
        <w:t>同类项目业绩要求详见评标办法，由评标委员会认定该合同是否属于同类项目业绩。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附件：采购需求说明</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采购需求说明</w:t>
      </w:r>
    </w:p>
    <w:p>
      <w:pPr>
        <w:spacing w:line="360" w:lineRule="auto"/>
        <w:rPr>
          <w:b/>
          <w:bCs/>
          <w:color w:val="auto"/>
          <w:highlight w:val="none"/>
        </w:rPr>
      </w:pPr>
      <w:r>
        <w:rPr>
          <w:b/>
          <w:bCs/>
          <w:color w:val="auto"/>
          <w:highlight w:val="none"/>
        </w:rPr>
        <w:t>一、</w:t>
      </w:r>
      <w:r>
        <w:rPr>
          <w:rFonts w:hint="eastAsia"/>
          <w:b/>
          <w:bCs/>
          <w:color w:val="auto"/>
          <w:highlight w:val="none"/>
        </w:rPr>
        <w:t>招标内容</w:t>
      </w:r>
    </w:p>
    <w:tbl>
      <w:tblPr>
        <w:tblStyle w:val="6"/>
        <w:tblW w:w="9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7"/>
        <w:gridCol w:w="7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highlight w:val="none"/>
              </w:rPr>
            </w:pPr>
            <w:r>
              <w:rPr>
                <w:color w:val="auto"/>
                <w:highlight w:val="none"/>
              </w:rPr>
              <w:t>采购内容</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color w:val="auto"/>
                <w:highlight w:val="none"/>
                <w:lang w:eastAsia="zh-CN"/>
              </w:rPr>
            </w:pPr>
            <w:r>
              <w:rPr>
                <w:rFonts w:hint="eastAsia" w:ascii="宋体" w:hAnsi="宋体" w:cs="宋体"/>
                <w:color w:val="auto"/>
                <w:szCs w:val="21"/>
                <w:highlight w:val="none"/>
                <w:lang w:eastAsia="zh-CN"/>
              </w:rPr>
              <w:t>北仑区校园保安服务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highlight w:val="none"/>
              </w:rPr>
            </w:pPr>
            <w:r>
              <w:rPr>
                <w:rFonts w:hint="eastAsia"/>
                <w:color w:val="auto"/>
                <w:highlight w:val="none"/>
              </w:rPr>
              <w:t>服务期限</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auto"/>
                <w:highlight w:val="none"/>
              </w:rPr>
            </w:pPr>
            <w:r>
              <w:rPr>
                <w:rFonts w:hint="eastAsia" w:ascii="宋体" w:hAnsi="宋体" w:eastAsia="宋体" w:cs="宋体"/>
                <w:color w:val="auto"/>
                <w:highlight w:val="none"/>
              </w:rPr>
              <w:t>本项目一招</w:t>
            </w:r>
            <w:r>
              <w:rPr>
                <w:rFonts w:hint="eastAsia" w:ascii="宋体" w:hAnsi="宋体" w:cs="宋体"/>
                <w:color w:val="auto"/>
                <w:highlight w:val="none"/>
                <w:lang w:val="en-US" w:eastAsia="zh-CN"/>
              </w:rPr>
              <w:t>三</w:t>
            </w:r>
            <w:r>
              <w:rPr>
                <w:rFonts w:hint="eastAsia" w:ascii="宋体" w:hAnsi="宋体" w:eastAsia="宋体" w:cs="宋体"/>
                <w:color w:val="auto"/>
                <w:highlight w:val="none"/>
              </w:rPr>
              <w:t>年，合同</w:t>
            </w:r>
            <w:r>
              <w:rPr>
                <w:rFonts w:hint="eastAsia" w:ascii="宋体" w:hAnsi="宋体" w:cs="宋体"/>
                <w:color w:val="auto"/>
                <w:highlight w:val="none"/>
                <w:lang w:val="en-US" w:eastAsia="zh-CN"/>
              </w:rPr>
              <w:t>一</w:t>
            </w:r>
            <w:r>
              <w:rPr>
                <w:rFonts w:hint="eastAsia" w:ascii="宋体" w:hAnsi="宋体" w:eastAsia="宋体" w:cs="宋体"/>
                <w:color w:val="auto"/>
                <w:highlight w:val="none"/>
              </w:rPr>
              <w:t>年一签，采购人有权根据上年合同履约考核情况决定是否续签。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color w:val="auto"/>
                <w:highlight w:val="none"/>
              </w:rPr>
            </w:pPr>
            <w:r>
              <w:rPr>
                <w:rFonts w:hint="eastAsia"/>
                <w:color w:val="auto"/>
                <w:highlight w:val="none"/>
              </w:rPr>
              <w:t>服务内容</w:t>
            </w:r>
          </w:p>
        </w:tc>
        <w:tc>
          <w:tcPr>
            <w:tcW w:w="7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eastAsia="宋体"/>
                <w:color w:val="auto"/>
                <w:highlight w:val="none"/>
                <w:lang w:eastAsia="zh-CN"/>
              </w:rPr>
            </w:pPr>
            <w:r>
              <w:rPr>
                <w:rFonts w:hint="eastAsia" w:ascii="宋体" w:hAnsi="宋体" w:cs="宋体"/>
                <w:color w:val="auto"/>
                <w:szCs w:val="21"/>
                <w:highlight w:val="none"/>
              </w:rPr>
              <w:t>按照上级有关文件，结合北仑区区域实际，为</w:t>
            </w:r>
            <w:r>
              <w:rPr>
                <w:rFonts w:hint="eastAsia" w:ascii="宋体" w:hAnsi="宋体" w:cs="宋体"/>
                <w:color w:val="auto"/>
                <w:szCs w:val="21"/>
                <w:highlight w:val="none"/>
                <w:lang w:val="en-US" w:eastAsia="zh-CN"/>
              </w:rPr>
              <w:t>145</w:t>
            </w:r>
            <w:r>
              <w:rPr>
                <w:rFonts w:hint="eastAsia" w:ascii="宋体" w:hAnsi="宋体" w:cs="宋体"/>
                <w:color w:val="auto"/>
                <w:szCs w:val="21"/>
                <w:highlight w:val="none"/>
              </w:rPr>
              <w:t>所</w:t>
            </w:r>
            <w:r>
              <w:rPr>
                <w:rFonts w:hint="eastAsia" w:ascii="宋体" w:hAnsi="宋体"/>
                <w:color w:val="auto"/>
                <w:szCs w:val="21"/>
                <w:highlight w:val="none"/>
                <w:lang w:eastAsia="zh-CN"/>
              </w:rPr>
              <w:t>中小学、幼儿园</w:t>
            </w:r>
            <w:r>
              <w:rPr>
                <w:rFonts w:hint="eastAsia" w:ascii="宋体" w:hAnsi="宋体" w:cs="宋体"/>
                <w:color w:val="auto"/>
                <w:szCs w:val="21"/>
                <w:highlight w:val="none"/>
              </w:rPr>
              <w:t>学校</w:t>
            </w:r>
            <w:r>
              <w:rPr>
                <w:rFonts w:hint="eastAsia" w:ascii="宋体" w:hAnsi="宋体" w:cs="宋体"/>
                <w:color w:val="auto"/>
                <w:szCs w:val="21"/>
                <w:highlight w:val="none"/>
                <w:lang w:eastAsia="zh-CN"/>
              </w:rPr>
              <w:t>配备</w:t>
            </w:r>
            <w:r>
              <w:rPr>
                <w:rFonts w:hint="eastAsia" w:ascii="宋体" w:hAnsi="宋体" w:cs="宋体"/>
                <w:color w:val="auto"/>
                <w:szCs w:val="21"/>
                <w:highlight w:val="none"/>
                <w:lang w:val="en-US" w:eastAsia="zh-CN"/>
              </w:rPr>
              <w:t>447名校园保安，</w:t>
            </w:r>
            <w:r>
              <w:rPr>
                <w:rFonts w:hint="eastAsia" w:ascii="宋体" w:hAnsi="宋体" w:cs="宋体"/>
                <w:color w:val="auto"/>
                <w:szCs w:val="21"/>
                <w:highlight w:val="none"/>
              </w:rPr>
              <w:t>提供</w:t>
            </w:r>
            <w:r>
              <w:rPr>
                <w:rFonts w:hint="eastAsia"/>
                <w:bCs/>
                <w:color w:val="auto"/>
                <w:szCs w:val="21"/>
                <w:highlight w:val="none"/>
              </w:rPr>
              <w:t>安全防偷盗、</w:t>
            </w:r>
            <w:r>
              <w:rPr>
                <w:rFonts w:hint="eastAsia"/>
                <w:bCs/>
                <w:color w:val="auto"/>
                <w:szCs w:val="21"/>
                <w:highlight w:val="none"/>
                <w:lang w:eastAsia="zh-CN"/>
              </w:rPr>
              <w:t>防暴力入侵、</w:t>
            </w:r>
            <w:r>
              <w:rPr>
                <w:rFonts w:hint="eastAsia"/>
                <w:bCs/>
                <w:color w:val="auto"/>
                <w:szCs w:val="21"/>
                <w:highlight w:val="none"/>
              </w:rPr>
              <w:t>秩序维护管理等</w:t>
            </w:r>
            <w:r>
              <w:rPr>
                <w:rFonts w:hint="eastAsia" w:ascii="宋体" w:hAnsi="宋体" w:cs="宋体"/>
                <w:color w:val="auto"/>
                <w:szCs w:val="21"/>
                <w:highlight w:val="none"/>
              </w:rPr>
              <w:t>安保服务</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color w:val="auto"/>
                <w:highlight w:val="none"/>
              </w:rPr>
            </w:pPr>
            <w:r>
              <w:rPr>
                <w:rFonts w:hint="eastAsia"/>
                <w:color w:val="auto"/>
                <w:highlight w:val="none"/>
              </w:rPr>
              <w:t>采购预算</w:t>
            </w:r>
          </w:p>
        </w:tc>
        <w:tc>
          <w:tcPr>
            <w:tcW w:w="74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Cs w:val="21"/>
                <w:highlight w:val="none"/>
              </w:rPr>
            </w:pPr>
            <w:r>
              <w:rPr>
                <w:rFonts w:hint="eastAsia" w:ascii="宋体" w:hAnsi="宋体" w:eastAsia="宋体" w:cs="宋体"/>
                <w:color w:val="auto"/>
                <w:highlight w:val="none"/>
                <w:lang w:eastAsia="zh-CN"/>
              </w:rPr>
              <w:t>人民币</w:t>
            </w:r>
            <w:r>
              <w:rPr>
                <w:rFonts w:hint="eastAsia" w:ascii="宋体" w:hAnsi="宋体" w:cs="宋体"/>
                <w:color w:val="auto"/>
                <w:highlight w:val="none"/>
                <w:lang w:val="en-US" w:eastAsia="zh-CN"/>
              </w:rPr>
              <w:t>2252.88</w:t>
            </w:r>
            <w:r>
              <w:rPr>
                <w:rFonts w:hint="eastAsia" w:ascii="宋体" w:hAnsi="宋体" w:eastAsia="宋体" w:cs="宋体"/>
                <w:color w:val="auto"/>
                <w:highlight w:val="none"/>
                <w:lang w:eastAsia="zh-CN"/>
              </w:rPr>
              <w:t>万元/年</w:t>
            </w:r>
          </w:p>
        </w:tc>
      </w:tr>
    </w:tbl>
    <w:p>
      <w:pPr>
        <w:spacing w:line="360" w:lineRule="auto"/>
        <w:rPr>
          <w:rFonts w:hint="eastAsia" w:ascii="宋体" w:hAnsi="宋体" w:eastAsia="宋体" w:cs="宋体"/>
          <w:color w:val="auto"/>
          <w:sz w:val="21"/>
          <w:szCs w:val="21"/>
          <w:highlight w:val="none"/>
        </w:rPr>
      </w:pPr>
    </w:p>
    <w:p>
      <w:pPr>
        <w:spacing w:line="360" w:lineRule="auto"/>
        <w:rPr>
          <w:b/>
          <w:color w:val="auto"/>
          <w:highlight w:val="none"/>
        </w:rPr>
      </w:pPr>
      <w:r>
        <w:rPr>
          <w:rFonts w:hint="eastAsia"/>
          <w:b/>
          <w:color w:val="auto"/>
          <w:highlight w:val="none"/>
        </w:rPr>
        <w:t>二</w:t>
      </w:r>
      <w:r>
        <w:rPr>
          <w:b/>
          <w:color w:val="auto"/>
          <w:highlight w:val="none"/>
        </w:rPr>
        <w:t>、</w:t>
      </w:r>
      <w:r>
        <w:rPr>
          <w:rFonts w:hint="eastAsia"/>
          <w:b/>
          <w:color w:val="auto"/>
          <w:highlight w:val="none"/>
        </w:rPr>
        <w:t>招标要求</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（一）项目简介</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145</w:t>
      </w:r>
      <w:r>
        <w:rPr>
          <w:rFonts w:hint="eastAsia" w:ascii="宋体" w:hAnsi="宋体" w:cs="宋体"/>
          <w:color w:val="auto"/>
          <w:szCs w:val="21"/>
          <w:highlight w:val="none"/>
          <w:lang w:eastAsia="zh-CN"/>
        </w:rPr>
        <w:t>所中小学、幼儿园，20</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lang w:eastAsia="zh-CN"/>
        </w:rPr>
        <w:t>年拟配</w:t>
      </w:r>
      <w:r>
        <w:rPr>
          <w:rFonts w:hint="eastAsia" w:ascii="宋体" w:hAnsi="宋体" w:cs="宋体"/>
          <w:color w:val="auto"/>
          <w:szCs w:val="21"/>
          <w:highlight w:val="none"/>
          <w:lang w:val="en-US" w:eastAsia="zh-CN"/>
        </w:rPr>
        <w:t>447</w:t>
      </w:r>
      <w:r>
        <w:rPr>
          <w:rFonts w:hint="eastAsia" w:ascii="宋体" w:hAnsi="宋体" w:cs="宋体"/>
          <w:color w:val="auto"/>
          <w:szCs w:val="21"/>
          <w:highlight w:val="none"/>
          <w:lang w:eastAsia="zh-CN"/>
        </w:rPr>
        <w:t>名校园保安（根据实际学校数量和保安配备人数决定）。详见附表1：</w:t>
      </w:r>
      <w:r>
        <w:rPr>
          <w:rFonts w:hint="eastAsia" w:ascii="宋体" w:hAnsi="宋体" w:cs="宋体"/>
          <w:color w:val="auto"/>
          <w:szCs w:val="21"/>
          <w:highlight w:val="none"/>
          <w:lang w:val="en-US" w:eastAsia="zh-CN"/>
        </w:rPr>
        <w:t>2023年中小学、幼儿园校园保安配备表</w:t>
      </w:r>
      <w:r>
        <w:rPr>
          <w:rFonts w:hint="eastAsia" w:ascii="宋体" w:hAnsi="宋体" w:cs="宋体"/>
          <w:color w:val="auto"/>
          <w:szCs w:val="21"/>
          <w:highlight w:val="none"/>
        </w:rPr>
        <w:t>。</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（二）保安员条件</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政治素质和道德品行良好，自愿并热爱从事校园保安服务工作的人员，无违法违纪历史。</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初中以上文化程度</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年龄在20至</w:t>
      </w: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周岁，身高1.65米以上，</w:t>
      </w:r>
      <w:r>
        <w:rPr>
          <w:rFonts w:hint="eastAsia" w:ascii="宋体" w:hAnsi="宋体" w:cs="宋体"/>
          <w:color w:val="auto"/>
          <w:szCs w:val="21"/>
          <w:highlight w:val="none"/>
          <w:lang w:eastAsia="zh-CN"/>
        </w:rPr>
        <w:t>无色盲色弱等疾病</w:t>
      </w:r>
      <w:r>
        <w:rPr>
          <w:rFonts w:hint="eastAsia" w:ascii="宋体" w:hAnsi="宋体" w:cs="宋体"/>
          <w:color w:val="auto"/>
          <w:szCs w:val="21"/>
          <w:highlight w:val="none"/>
        </w:rPr>
        <w:t>。</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身体健康（体检合格）、五官端正、无纹身、口齿清楚、智力良好。</w:t>
      </w:r>
    </w:p>
    <w:p>
      <w:pPr>
        <w:shd w:val="clear" w:color="auto" w:fill="FFFFFF"/>
        <w:tabs>
          <w:tab w:val="left" w:pos="5404"/>
        </w:tabs>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校园保安上岗前均参加保安业务、校园安保业务培训，考取并持有浙江省保安员资格证</w:t>
      </w:r>
      <w:r>
        <w:rPr>
          <w:rFonts w:hint="eastAsia" w:ascii="宋体" w:hAnsi="宋体" w:cs="宋体"/>
          <w:color w:val="auto"/>
          <w:szCs w:val="21"/>
          <w:highlight w:val="none"/>
          <w:lang w:eastAsia="zh-CN"/>
        </w:rPr>
        <w:t>。</w:t>
      </w:r>
    </w:p>
    <w:p>
      <w:pPr>
        <w:shd w:val="clear" w:color="auto" w:fill="FFFFFF"/>
        <w:tabs>
          <w:tab w:val="left" w:pos="5404"/>
        </w:tabs>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新上岗队员必须符合保安员招聘及录用条件，专职保安人员首次聘任年龄不超过50周岁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聘期年龄</w:t>
      </w:r>
      <w:r>
        <w:rPr>
          <w:rFonts w:hint="eastAsia" w:ascii="宋体" w:hAnsi="宋体" w:cs="宋体"/>
          <w:color w:val="auto"/>
          <w:szCs w:val="21"/>
          <w:highlight w:val="none"/>
        </w:rPr>
        <w:t>超过</w:t>
      </w:r>
      <w:r>
        <w:rPr>
          <w:rFonts w:hint="eastAsia" w:ascii="宋体" w:hAnsi="宋体" w:cs="宋体"/>
          <w:color w:val="auto"/>
          <w:szCs w:val="21"/>
          <w:highlight w:val="none"/>
          <w:lang w:val="en-US" w:eastAsia="zh-CN"/>
        </w:rPr>
        <w:t>55</w:t>
      </w:r>
      <w:r>
        <w:rPr>
          <w:rFonts w:hint="eastAsia" w:ascii="宋体" w:hAnsi="宋体" w:cs="宋体"/>
          <w:color w:val="auto"/>
          <w:szCs w:val="21"/>
          <w:highlight w:val="none"/>
        </w:rPr>
        <w:t>周岁的，保安公司需到北仑区教育局备案</w:t>
      </w:r>
      <w:r>
        <w:rPr>
          <w:rFonts w:hint="eastAsia" w:ascii="宋体" w:hAnsi="宋体" w:cs="宋体"/>
          <w:color w:val="auto"/>
          <w:szCs w:val="21"/>
          <w:highlight w:val="none"/>
          <w:lang w:eastAsia="zh-CN"/>
        </w:rPr>
        <w:t>，</w:t>
      </w:r>
      <w:r>
        <w:rPr>
          <w:rFonts w:hint="eastAsia" w:ascii="宋体" w:hAnsi="宋体" w:cs="宋体"/>
          <w:color w:val="auto"/>
          <w:szCs w:val="21"/>
          <w:highlight w:val="none"/>
        </w:rPr>
        <w:t>聘期年龄不超过60周岁</w:t>
      </w:r>
      <w:r>
        <w:rPr>
          <w:rFonts w:hint="eastAsia" w:ascii="宋体" w:hAnsi="宋体" w:cs="宋体"/>
          <w:color w:val="auto"/>
          <w:szCs w:val="21"/>
          <w:highlight w:val="none"/>
          <w:lang w:eastAsia="zh-CN"/>
        </w:rPr>
        <w:t>。</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.要求中标</w:t>
      </w:r>
      <w:r>
        <w:rPr>
          <w:rFonts w:hint="eastAsia" w:ascii="宋体" w:hAnsi="宋体" w:cs="宋体"/>
          <w:color w:val="auto"/>
          <w:szCs w:val="21"/>
          <w:highlight w:val="none"/>
          <w:lang w:eastAsia="zh-CN"/>
        </w:rPr>
        <w:t>单位</w:t>
      </w:r>
      <w:r>
        <w:rPr>
          <w:rFonts w:hint="eastAsia" w:ascii="宋体" w:hAnsi="宋体" w:cs="宋体"/>
          <w:color w:val="auto"/>
          <w:szCs w:val="21"/>
          <w:highlight w:val="none"/>
        </w:rPr>
        <w:t>在</w:t>
      </w:r>
      <w:r>
        <w:rPr>
          <w:rFonts w:hint="eastAsia" w:ascii="宋体" w:hAnsi="宋体" w:cs="宋体"/>
          <w:color w:val="auto"/>
          <w:szCs w:val="21"/>
          <w:highlight w:val="none"/>
          <w:lang w:eastAsia="zh-CN"/>
        </w:rPr>
        <w:t>中标后</w:t>
      </w:r>
      <w:r>
        <w:rPr>
          <w:rFonts w:hint="eastAsia" w:ascii="宋体" w:hAnsi="宋体" w:cs="宋体"/>
          <w:color w:val="auto"/>
          <w:szCs w:val="21"/>
          <w:highlight w:val="none"/>
          <w:lang w:val="en-US" w:eastAsia="zh-CN"/>
        </w:rPr>
        <w:t>15天内</w:t>
      </w:r>
      <w:r>
        <w:rPr>
          <w:rFonts w:hint="eastAsia" w:ascii="宋体" w:hAnsi="宋体" w:cs="宋体"/>
          <w:color w:val="auto"/>
          <w:szCs w:val="21"/>
          <w:highlight w:val="none"/>
        </w:rPr>
        <w:t>配备好所有保安人员并到岗。否则采购单位有权取消中标资格，选择第二中标候选人中标或重新招标。</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（三）保安员工作职责</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1.保安人员必须严格按照《北仑区</w:t>
      </w:r>
      <w:r>
        <w:rPr>
          <w:rFonts w:hint="eastAsia" w:ascii="宋体" w:hAnsi="宋体" w:cs="宋体"/>
          <w:color w:val="auto"/>
          <w:szCs w:val="21"/>
          <w:highlight w:val="none"/>
          <w:lang w:eastAsia="zh-CN"/>
        </w:rPr>
        <w:t>校园</w:t>
      </w:r>
      <w:r>
        <w:rPr>
          <w:rFonts w:hint="eastAsia" w:ascii="宋体" w:hAnsi="宋体" w:cs="宋体"/>
          <w:color w:val="auto"/>
          <w:szCs w:val="21"/>
          <w:highlight w:val="none"/>
        </w:rPr>
        <w:t>保安队员考核细则》（附表2）值班执勤。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上、放学期间，保安员必须全副武装（统一着保安制服、防刺服、武装带、保安头盔</w:t>
      </w:r>
      <w:r>
        <w:rPr>
          <w:rFonts w:hint="eastAsia" w:ascii="宋体" w:hAnsi="宋体" w:cs="宋体"/>
          <w:color w:val="auto"/>
          <w:szCs w:val="21"/>
          <w:highlight w:val="none"/>
          <w:lang w:eastAsia="zh-CN"/>
        </w:rPr>
        <w:t>，携带</w:t>
      </w:r>
      <w:r>
        <w:rPr>
          <w:rFonts w:hint="eastAsia" w:ascii="宋体" w:hAnsi="宋体" w:cs="宋体"/>
          <w:color w:val="auto"/>
          <w:szCs w:val="21"/>
          <w:highlight w:val="none"/>
        </w:rPr>
        <w:t>橡皮棍、辣椒水等）在校门口值班执勤，注意观察、严密警戒，保持高度警惕。</w:t>
      </w:r>
    </w:p>
    <w:p>
      <w:pPr>
        <w:shd w:val="clear" w:color="auto" w:fill="FFFFFF"/>
        <w:tabs>
          <w:tab w:val="left" w:pos="5404"/>
        </w:tabs>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3．除学生上下学期间外，保安员应紧闭校门，严格执行“四个一律”（</w:t>
      </w:r>
      <w:r>
        <w:rPr>
          <w:rFonts w:ascii="宋体" w:hAnsi="宋体" w:cs="宋体"/>
          <w:color w:val="auto"/>
          <w:szCs w:val="21"/>
          <w:highlight w:val="none"/>
        </w:rPr>
        <w:t>“外来人员一律由教职工带入校园并逐一登记；闲散可疑人员一律禁止进入校园；外来车辆一律禁止进入校园；上学、放学时段一律安排教师和保安人员在门口护送”</w:t>
      </w:r>
      <w:r>
        <w:rPr>
          <w:rFonts w:hint="eastAsia" w:ascii="宋体" w:hAnsi="宋体" w:cs="宋体"/>
          <w:color w:val="auto"/>
          <w:szCs w:val="21"/>
          <w:highlight w:val="none"/>
        </w:rPr>
        <w:t>）管理制度，原则上不允许任何车辆、人员进入，确实需要进入校园的人员和车辆，保安员要按照有关规定进行盘查、登记、请示、汇报，由校方领导和老师认领或同意后方可进入，并及时关闭校门。</w:t>
      </w:r>
      <w:r>
        <w:rPr>
          <w:rFonts w:hint="eastAsia" w:ascii="宋体" w:hAnsi="宋体" w:cs="宋体"/>
          <w:color w:val="auto"/>
          <w:szCs w:val="21"/>
          <w:highlight w:val="none"/>
          <w:lang w:eastAsia="zh-CN"/>
        </w:rPr>
        <w:t>疫情防控期间，按照省、市、区疫情防控相关要求执行。</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4．保安员</w:t>
      </w:r>
      <w:r>
        <w:rPr>
          <w:rFonts w:hint="eastAsia" w:ascii="宋体" w:hAnsi="宋体" w:cs="宋体"/>
          <w:color w:val="auto"/>
          <w:szCs w:val="21"/>
          <w:highlight w:val="none"/>
          <w:lang w:eastAsia="zh-CN"/>
        </w:rPr>
        <w:t>每日要不少于</w:t>
      </w:r>
      <w:r>
        <w:rPr>
          <w:rFonts w:hint="eastAsia" w:ascii="宋体" w:hAnsi="宋体" w:cs="宋体"/>
          <w:color w:val="auto"/>
          <w:szCs w:val="21"/>
          <w:highlight w:val="none"/>
          <w:lang w:val="en-US" w:eastAsia="zh-CN"/>
        </w:rPr>
        <w:t>5次对学校进行巡查，</w:t>
      </w:r>
      <w:r>
        <w:rPr>
          <w:rFonts w:hint="eastAsia" w:ascii="宋体" w:hAnsi="宋体" w:cs="宋体"/>
          <w:color w:val="auto"/>
          <w:szCs w:val="21"/>
          <w:highlight w:val="none"/>
        </w:rPr>
        <w:t>夜间在教职工离校后紧闭校门，巡查校区门窗及重点部位。巡逻时必须佩带橡皮棍和强光灯，并保持高度警惕性，若有响动快速反映，准确判断警情，有必要及时报警。</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5.每位保安员必须独立并熟练操作监控</w:t>
      </w:r>
      <w:r>
        <w:rPr>
          <w:rFonts w:hint="eastAsia" w:ascii="宋体" w:hAnsi="宋体" w:cs="宋体"/>
          <w:color w:val="auto"/>
          <w:szCs w:val="21"/>
          <w:highlight w:val="none"/>
          <w:lang w:eastAsia="zh-CN"/>
        </w:rPr>
        <w:t>、</w:t>
      </w:r>
      <w:r>
        <w:rPr>
          <w:rFonts w:hint="eastAsia" w:ascii="宋体" w:hAnsi="宋体" w:cs="宋体"/>
          <w:color w:val="auto"/>
          <w:szCs w:val="21"/>
          <w:highlight w:val="none"/>
        </w:rPr>
        <w:t>报警</w:t>
      </w:r>
      <w:r>
        <w:rPr>
          <w:rFonts w:hint="eastAsia" w:ascii="宋体" w:hAnsi="宋体" w:cs="宋体"/>
          <w:color w:val="auto"/>
          <w:szCs w:val="21"/>
          <w:highlight w:val="none"/>
          <w:lang w:eastAsia="zh-CN"/>
        </w:rPr>
        <w:t>、访客等</w:t>
      </w:r>
      <w:r>
        <w:rPr>
          <w:rFonts w:hint="eastAsia" w:ascii="宋体" w:hAnsi="宋体" w:cs="宋体"/>
          <w:color w:val="auto"/>
          <w:szCs w:val="21"/>
          <w:highlight w:val="none"/>
        </w:rPr>
        <w:t>系统，按照《北仑区校园**室（联系点）规范管理实施意见》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6.保安员要按《北仑区校园**室（联系点）规范管理实施意见》摆放各类设备设施，保持校园**室（联系点）整洁，同时做好各种**台账的登记管理。</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（四）保安员工作时间</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.双人岗：学生上下学期间保证有</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名保安员在岗值勤，其余时间保证有</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.三人岗：学生在校期间保证有</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名保安员在岗值勤，其余时间保证有</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.三班倒岗：学生在校期间保证有</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名及以上保安员在岗执勤，其余时间保证有</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（五）培训管理</w:t>
      </w:r>
    </w:p>
    <w:p>
      <w:pPr>
        <w:spacing w:line="360" w:lineRule="auto"/>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校园保安上岗前必须进行校园安保相关培训，经培训合格后方可上岗。</w:t>
      </w:r>
      <w:r>
        <w:rPr>
          <w:rFonts w:hint="eastAsia" w:ascii="宋体" w:hAnsi="宋体" w:cs="宋体"/>
          <w:color w:val="auto"/>
          <w:szCs w:val="21"/>
          <w:highlight w:val="none"/>
        </w:rPr>
        <w:t>保安公司</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年不少于</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次对校园保安人员进行集中培训</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天（可选择暑假期间），培训内容包括：保安员业务、法律知识、体能技能训练、消防业务知识、技防监控操作等。培训前，应制订培训课程，上报教育局、公安局治安大队，安排培训教材和讲课教师，新队员必须在上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个月内考取浙江省保安员资格证。</w:t>
      </w:r>
    </w:p>
    <w:p>
      <w:pPr>
        <w:spacing w:line="360" w:lineRule="auto"/>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2.保安公司对保安员要负责政审、业务培训、组织考试、发放上岗证等，并对其日常工作进行检查管理。</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3.保安公司应积极配合教育部门参加校园应急演练，每年不少于</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次，通过演练，培养队员的安全意识和日常突发事件的应变能力，每年对校园保安进行2次的专业培训，保证学校保安良好的整体素质。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4.保安公司每星期对校园保安不少于2次的督查，主要检查：值勤保安员的值勤纪律、内务卫生、警容风纪、值班记录等，对违规违纪的队员必须在7个工作日内进行调换。每月对保安员进行</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次考核并汇总，同时结合学校对校园保安人员的考核情况，根据学校要求，对考核不合格保安员在7个工作日内完成调换，提升保安员的整体素质。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5.公司每年对区内所有学校组织专人进行全面检查4次，安排时间每个学期放假之前和开学之前，有针对性的进行检查，重点对各校园查找存在的各种安全隐患提出合理建议，配合学校消除不安全隐患，检查技防报警系统和保安器材的完好等。</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6.保安公司管理人员每月不少于</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次到学校走访，与校园安保主管领导进行沟通，及时了解保安员的值勤情况、思想动态，征求和听取服务单位意见，改进和完善服务工作。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7.公司每季对学校进行</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次客户回访函，由校园主管如实对保安公司的服务、督查管理，保安员的仪容仪表、礼节礼貌、文明用语、内务卫生、执勤技能、遵纪守法、职业道德等进行评定，并提出宝贵意见和建议。</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（六）应急情况处置</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校园保安人员遇到发现暴力事件时，应及时报告公司和服务单位领导，并携带防卫器材赶到事发现场，控制局势，冷静制止，预防事态恶化，在万不得已的情况下，可采取防卫措施，确保校园师生和群众的人身安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2.当治安刑事案件发生时，保安员应及时拨打“110”，同时做好现场保护工作。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3.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4.遇到自然灾害时，根据上级指示和工作所需做好一切准备工作，积极参加救援工作。</w:t>
      </w:r>
    </w:p>
    <w:p>
      <w:pPr>
        <w:shd w:val="clear" w:color="auto" w:fill="FFFFFF"/>
        <w:tabs>
          <w:tab w:val="left" w:pos="5404"/>
        </w:tabs>
        <w:spacing w:line="360" w:lineRule="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（七）配套服务</w:t>
      </w:r>
    </w:p>
    <w:p>
      <w:pPr>
        <w:shd w:val="clear" w:color="auto" w:fill="FFFFFF"/>
        <w:tabs>
          <w:tab w:val="left" w:pos="5404"/>
        </w:tabs>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校园CK报警服务和维修业务由中标保安公司承担，服务费用学校自行支付，服务费用为1200元/年。</w:t>
      </w:r>
    </w:p>
    <w:p>
      <w:pPr>
        <w:numPr>
          <w:ilvl w:val="0"/>
          <w:numId w:val="1"/>
        </w:numPr>
        <w:shd w:val="clear" w:color="auto" w:fill="FFFFFF"/>
        <w:tabs>
          <w:tab w:val="left" w:pos="5404"/>
        </w:tabs>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其他</w:t>
      </w:r>
    </w:p>
    <w:p>
      <w:pPr>
        <w:numPr>
          <w:ilvl w:val="0"/>
          <w:numId w:val="0"/>
        </w:numPr>
        <w:shd w:val="clear" w:color="auto" w:fill="FFFFFF"/>
        <w:tabs>
          <w:tab w:val="left" w:pos="5404"/>
        </w:tabs>
        <w:spacing w:line="360" w:lineRule="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本项目保安制服由保安公司提供，防刺服、武装带、保安头盔、橡皮棍、辣椒水等由学校自行购买。</w:t>
      </w:r>
    </w:p>
    <w:p>
      <w:pPr>
        <w:spacing w:line="360" w:lineRule="auto"/>
        <w:outlineLvl w:val="1"/>
        <w:rPr>
          <w:rFonts w:hint="eastAsia" w:ascii="宋体" w:hAnsi="宋体"/>
          <w:b/>
          <w:color w:val="auto"/>
          <w:szCs w:val="21"/>
          <w:highlight w:val="none"/>
        </w:rPr>
      </w:pPr>
      <w:bookmarkStart w:id="2" w:name="_Toc439667465"/>
    </w:p>
    <w:p>
      <w:pPr>
        <w:spacing w:line="360" w:lineRule="auto"/>
        <w:outlineLvl w:val="1"/>
        <w:rPr>
          <w:rFonts w:hint="eastAsia" w:ascii="宋体" w:hAnsi="宋体"/>
          <w:b/>
          <w:color w:val="auto"/>
          <w:szCs w:val="21"/>
          <w:highlight w:val="none"/>
        </w:rPr>
      </w:pPr>
      <w:r>
        <w:rPr>
          <w:rFonts w:hint="eastAsia" w:ascii="宋体" w:hAnsi="宋体"/>
          <w:b/>
          <w:color w:val="auto"/>
          <w:szCs w:val="21"/>
          <w:highlight w:val="none"/>
        </w:rPr>
        <w:t>三、考核和考核奖金及服务经费的核拨</w:t>
      </w:r>
      <w:bookmarkEnd w:id="2"/>
    </w:p>
    <w:p>
      <w:pPr>
        <w:spacing w:line="360" w:lineRule="auto"/>
        <w:rPr>
          <w:color w:val="auto"/>
          <w:szCs w:val="21"/>
          <w:highlight w:val="none"/>
        </w:rPr>
      </w:pPr>
      <w:r>
        <w:rPr>
          <w:color w:val="auto"/>
          <w:szCs w:val="21"/>
          <w:highlight w:val="none"/>
        </w:rPr>
        <w:t>1</w:t>
      </w:r>
      <w:r>
        <w:rPr>
          <w:rFonts w:hAnsi="宋体"/>
          <w:color w:val="auto"/>
          <w:szCs w:val="21"/>
          <w:highlight w:val="none"/>
        </w:rPr>
        <w:t>、考核验收：</w:t>
      </w:r>
      <w:r>
        <w:rPr>
          <w:rFonts w:hint="eastAsia" w:hAnsi="宋体"/>
          <w:color w:val="auto"/>
          <w:szCs w:val="21"/>
          <w:highlight w:val="none"/>
        </w:rPr>
        <w:t>由</w:t>
      </w:r>
      <w:r>
        <w:rPr>
          <w:rFonts w:hAnsi="宋体"/>
          <w:color w:val="auto"/>
          <w:szCs w:val="21"/>
          <w:highlight w:val="none"/>
        </w:rPr>
        <w:t>区</w:t>
      </w:r>
      <w:r>
        <w:rPr>
          <w:rFonts w:hint="eastAsia" w:hAnsi="宋体"/>
          <w:color w:val="auto"/>
          <w:szCs w:val="21"/>
          <w:highlight w:val="none"/>
        </w:rPr>
        <w:t>教育局、学校共同组成的</w:t>
      </w:r>
      <w:r>
        <w:rPr>
          <w:rFonts w:hAnsi="宋体"/>
          <w:color w:val="auto"/>
          <w:szCs w:val="21"/>
          <w:highlight w:val="none"/>
        </w:rPr>
        <w:t>考核小组每月不定期采取检查</w:t>
      </w:r>
      <w:r>
        <w:rPr>
          <w:rFonts w:hint="eastAsia" w:hAnsi="宋体"/>
          <w:color w:val="auto"/>
          <w:szCs w:val="21"/>
          <w:highlight w:val="none"/>
        </w:rPr>
        <w:t>安保服务</w:t>
      </w:r>
      <w:r>
        <w:rPr>
          <w:rFonts w:hAnsi="宋体"/>
          <w:color w:val="auto"/>
          <w:szCs w:val="21"/>
          <w:highlight w:val="none"/>
        </w:rPr>
        <w:t>要点、普查与随机抽查相结合办法对</w:t>
      </w:r>
      <w:r>
        <w:rPr>
          <w:rFonts w:hint="eastAsia" w:hAnsi="宋体"/>
          <w:color w:val="auto"/>
          <w:szCs w:val="21"/>
          <w:highlight w:val="none"/>
        </w:rPr>
        <w:t>保安人员及保安服务公司的服务</w:t>
      </w:r>
      <w:r>
        <w:rPr>
          <w:rFonts w:hAnsi="宋体"/>
          <w:color w:val="auto"/>
          <w:szCs w:val="21"/>
          <w:highlight w:val="none"/>
        </w:rPr>
        <w:t>质量进行考核验收；此外，</w:t>
      </w:r>
      <w:r>
        <w:rPr>
          <w:rFonts w:hint="eastAsia" w:hAnsi="宋体"/>
          <w:color w:val="auto"/>
          <w:szCs w:val="21"/>
          <w:highlight w:val="none"/>
        </w:rPr>
        <w:t>上级机关或部门</w:t>
      </w:r>
      <w:r>
        <w:rPr>
          <w:rFonts w:hAnsi="宋体"/>
          <w:color w:val="auto"/>
          <w:szCs w:val="21"/>
          <w:highlight w:val="none"/>
        </w:rPr>
        <w:t>对</w:t>
      </w:r>
      <w:r>
        <w:rPr>
          <w:rFonts w:hint="eastAsia" w:hAnsi="宋体"/>
          <w:color w:val="auto"/>
          <w:szCs w:val="21"/>
          <w:highlight w:val="none"/>
        </w:rPr>
        <w:t>保安人员及保安服务公司安保管理</w:t>
      </w:r>
      <w:r>
        <w:rPr>
          <w:rFonts w:hAnsi="宋体"/>
          <w:color w:val="auto"/>
          <w:szCs w:val="21"/>
          <w:highlight w:val="none"/>
        </w:rPr>
        <w:t>情况的</w:t>
      </w:r>
      <w:r>
        <w:rPr>
          <w:rFonts w:hint="eastAsia" w:hAnsi="宋体"/>
          <w:color w:val="auto"/>
          <w:szCs w:val="21"/>
          <w:highlight w:val="none"/>
        </w:rPr>
        <w:t>随机督查情况</w:t>
      </w:r>
      <w:r>
        <w:rPr>
          <w:rFonts w:hAnsi="宋体"/>
          <w:color w:val="auto"/>
          <w:szCs w:val="21"/>
          <w:highlight w:val="none"/>
        </w:rPr>
        <w:t>也计入每月的考核成绩。</w:t>
      </w:r>
    </w:p>
    <w:p>
      <w:pPr>
        <w:spacing w:line="360" w:lineRule="auto"/>
        <w:rPr>
          <w:rFonts w:hAnsi="宋体"/>
          <w:color w:val="auto"/>
          <w:szCs w:val="21"/>
          <w:highlight w:val="none"/>
        </w:rPr>
      </w:pPr>
      <w:r>
        <w:rPr>
          <w:color w:val="auto"/>
          <w:szCs w:val="21"/>
          <w:highlight w:val="none"/>
        </w:rPr>
        <w:t>2</w:t>
      </w:r>
      <w:r>
        <w:rPr>
          <w:rFonts w:hAnsi="宋体"/>
          <w:color w:val="auto"/>
          <w:szCs w:val="21"/>
          <w:highlight w:val="none"/>
        </w:rPr>
        <w:t>、考核</w:t>
      </w:r>
      <w:r>
        <w:rPr>
          <w:rFonts w:hint="eastAsia" w:hAnsi="宋体"/>
          <w:color w:val="auto"/>
          <w:szCs w:val="21"/>
          <w:highlight w:val="none"/>
        </w:rPr>
        <w:t>细则</w:t>
      </w:r>
      <w:r>
        <w:rPr>
          <w:rFonts w:hAnsi="宋体"/>
          <w:color w:val="auto"/>
          <w:szCs w:val="21"/>
          <w:highlight w:val="none"/>
        </w:rPr>
        <w:t>：</w:t>
      </w:r>
      <w:r>
        <w:rPr>
          <w:rFonts w:hint="eastAsia" w:hAnsi="宋体"/>
          <w:color w:val="auto"/>
          <w:szCs w:val="21"/>
          <w:highlight w:val="none"/>
        </w:rPr>
        <w:t>保安人员的考核细则详见附表2：《北仑区</w:t>
      </w:r>
      <w:r>
        <w:rPr>
          <w:rFonts w:hint="eastAsia" w:hAnsi="宋体"/>
          <w:color w:val="auto"/>
          <w:szCs w:val="21"/>
          <w:highlight w:val="none"/>
          <w:lang w:eastAsia="zh-CN"/>
        </w:rPr>
        <w:t>校园</w:t>
      </w:r>
      <w:r>
        <w:rPr>
          <w:rFonts w:hint="eastAsia" w:hAnsi="宋体"/>
          <w:color w:val="auto"/>
          <w:szCs w:val="21"/>
          <w:highlight w:val="none"/>
        </w:rPr>
        <w:t>保安队员考核细则》；保安服务公司的考核细则详见附表4：《北仑区校园保安服务管理实施意见》。</w:t>
      </w:r>
    </w:p>
    <w:p>
      <w:pPr>
        <w:spacing w:line="360" w:lineRule="auto"/>
        <w:rPr>
          <w:rFonts w:hint="eastAsia" w:hAnsi="宋体"/>
          <w:color w:val="auto"/>
          <w:szCs w:val="21"/>
          <w:highlight w:val="none"/>
        </w:rPr>
      </w:pPr>
      <w:r>
        <w:rPr>
          <w:color w:val="auto"/>
          <w:szCs w:val="21"/>
          <w:highlight w:val="none"/>
        </w:rPr>
        <w:t>3</w:t>
      </w:r>
      <w:r>
        <w:rPr>
          <w:rFonts w:hAnsi="宋体"/>
          <w:color w:val="auto"/>
          <w:szCs w:val="21"/>
          <w:highlight w:val="none"/>
        </w:rPr>
        <w:t>、</w:t>
      </w:r>
      <w:r>
        <w:rPr>
          <w:rFonts w:hint="eastAsia" w:hAnsi="宋体"/>
          <w:color w:val="auto"/>
          <w:szCs w:val="21"/>
          <w:highlight w:val="none"/>
        </w:rPr>
        <w:t>考核奖金和服务经费的核拨</w:t>
      </w:r>
      <w:r>
        <w:rPr>
          <w:rFonts w:hAnsi="宋体"/>
          <w:color w:val="auto"/>
          <w:szCs w:val="21"/>
          <w:highlight w:val="none"/>
        </w:rPr>
        <w:t>：</w:t>
      </w:r>
    </w:p>
    <w:p>
      <w:pPr>
        <w:spacing w:line="360" w:lineRule="auto"/>
        <w:rPr>
          <w:rFonts w:hint="eastAsia" w:hAnsi="宋体"/>
          <w:color w:val="auto"/>
          <w:szCs w:val="21"/>
          <w:highlight w:val="none"/>
        </w:rPr>
      </w:pPr>
      <w:r>
        <w:rPr>
          <w:rFonts w:hint="eastAsia" w:hAnsi="宋体"/>
          <w:color w:val="auto"/>
          <w:szCs w:val="21"/>
          <w:highlight w:val="none"/>
        </w:rPr>
        <w:t>（1）保安人员考核奖金的核拨：学校负责对本校的保安人员进行月度考核，</w:t>
      </w:r>
      <w:r>
        <w:rPr>
          <w:rFonts w:hAnsi="宋体"/>
          <w:color w:val="auto"/>
          <w:szCs w:val="21"/>
          <w:highlight w:val="none"/>
        </w:rPr>
        <w:t>根据考评结果按月进行核拨</w:t>
      </w:r>
      <w:r>
        <w:rPr>
          <w:rFonts w:hint="eastAsia"/>
          <w:color w:val="auto"/>
          <w:sz w:val="22"/>
          <w:szCs w:val="22"/>
          <w:highlight w:val="none"/>
          <w:shd w:val="clear" w:color="auto" w:fill="FFFFFF"/>
        </w:rPr>
        <w:t>。</w:t>
      </w:r>
    </w:p>
    <w:p>
      <w:pPr>
        <w:spacing w:line="360" w:lineRule="auto"/>
        <w:rPr>
          <w:rFonts w:hint="eastAsia"/>
          <w:color w:val="auto"/>
          <w:highlight w:val="none"/>
        </w:rPr>
      </w:pPr>
      <w:r>
        <w:rPr>
          <w:rFonts w:hint="eastAsia"/>
          <w:color w:val="auto"/>
          <w:highlight w:val="none"/>
        </w:rPr>
        <w:t>（2）保安公司服务经费的核拨：结合北仑区教育局对保安公司的考核情况</w:t>
      </w:r>
      <w:r>
        <w:rPr>
          <w:rFonts w:hint="eastAsia"/>
          <w:color w:val="auto"/>
          <w:highlight w:val="none"/>
          <w:lang w:eastAsia="zh-CN"/>
        </w:rPr>
        <w:t>，保安公司</w:t>
      </w:r>
      <w:r>
        <w:rPr>
          <w:rFonts w:hint="eastAsia"/>
          <w:color w:val="auto"/>
          <w:highlight w:val="none"/>
        </w:rPr>
        <w:t>应当在每月8日</w:t>
      </w:r>
      <w:r>
        <w:rPr>
          <w:rFonts w:hint="eastAsia"/>
          <w:color w:val="auto"/>
          <w:highlight w:val="none"/>
          <w:lang w:eastAsia="zh-CN"/>
        </w:rPr>
        <w:t>前</w:t>
      </w:r>
      <w:r>
        <w:rPr>
          <w:rFonts w:hint="eastAsia"/>
          <w:color w:val="auto"/>
          <w:highlight w:val="none"/>
        </w:rPr>
        <w:t>及时支付员工上月工资，</w:t>
      </w:r>
      <w:r>
        <w:rPr>
          <w:rFonts w:hint="eastAsia"/>
          <w:color w:val="auto"/>
          <w:highlight w:val="none"/>
          <w:lang w:eastAsia="zh-CN"/>
        </w:rPr>
        <w:t>支付标准不得低于最低</w:t>
      </w:r>
      <w:r>
        <w:rPr>
          <w:rFonts w:hint="eastAsia"/>
          <w:color w:val="auto"/>
          <w:highlight w:val="none"/>
          <w:lang w:eastAsia="zh-CN"/>
        </w:rPr>
        <w:t>工资标准</w:t>
      </w:r>
      <w:r>
        <w:rPr>
          <w:rFonts w:hint="eastAsia"/>
          <w:color w:val="auto"/>
          <w:highlight w:val="none"/>
          <w:lang w:eastAsia="zh-CN"/>
        </w:rPr>
        <w:t>，</w:t>
      </w:r>
      <w:r>
        <w:rPr>
          <w:rFonts w:hint="eastAsia"/>
          <w:color w:val="auto"/>
          <w:highlight w:val="none"/>
        </w:rPr>
        <w:t>并向</w:t>
      </w:r>
      <w:r>
        <w:rPr>
          <w:rFonts w:hint="eastAsia"/>
          <w:color w:val="auto"/>
          <w:highlight w:val="none"/>
          <w:lang w:eastAsia="zh-CN"/>
        </w:rPr>
        <w:t>学校</w:t>
      </w:r>
      <w:r>
        <w:rPr>
          <w:rFonts w:hint="eastAsia"/>
          <w:color w:val="auto"/>
          <w:highlight w:val="none"/>
        </w:rPr>
        <w:t>提供开具的正式发票和员工工资发放凭证复印件等相关齐全的资料，</w:t>
      </w:r>
      <w:r>
        <w:rPr>
          <w:rFonts w:hint="eastAsia"/>
          <w:color w:val="auto"/>
          <w:highlight w:val="none"/>
          <w:lang w:eastAsia="zh-CN"/>
        </w:rPr>
        <w:t>学校</w:t>
      </w:r>
      <w:r>
        <w:rPr>
          <w:rFonts w:hint="eastAsia"/>
          <w:color w:val="auto"/>
          <w:highlight w:val="none"/>
        </w:rPr>
        <w:t>收到相关资料并核验无误后于次月8号后的</w:t>
      </w:r>
      <w:r>
        <w:rPr>
          <w:rFonts w:hint="eastAsia"/>
          <w:color w:val="auto"/>
          <w:highlight w:val="none"/>
          <w:lang w:val="en-US" w:eastAsia="zh-CN"/>
        </w:rPr>
        <w:t>1</w:t>
      </w:r>
      <w:r>
        <w:rPr>
          <w:rFonts w:hint="eastAsia"/>
          <w:color w:val="auto"/>
          <w:highlight w:val="none"/>
        </w:rPr>
        <w:t>周内进行结算支付。北仑区教育局对保安</w:t>
      </w:r>
      <w:r>
        <w:rPr>
          <w:rFonts w:hint="eastAsia"/>
          <w:color w:val="auto"/>
          <w:highlight w:val="none"/>
          <w:lang w:eastAsia="zh-CN"/>
        </w:rPr>
        <w:t>工资发放情况</w:t>
      </w:r>
      <w:r>
        <w:rPr>
          <w:rFonts w:hint="eastAsia"/>
          <w:color w:val="auto"/>
          <w:highlight w:val="none"/>
        </w:rPr>
        <w:t>进行</w:t>
      </w:r>
      <w:r>
        <w:rPr>
          <w:rFonts w:hint="eastAsia"/>
          <w:color w:val="auto"/>
          <w:highlight w:val="none"/>
          <w:lang w:eastAsia="zh-CN"/>
        </w:rPr>
        <w:t>核查</w:t>
      </w:r>
      <w:r>
        <w:rPr>
          <w:rFonts w:hint="eastAsia"/>
          <w:color w:val="auto"/>
          <w:highlight w:val="none"/>
        </w:rPr>
        <w:t>，</w:t>
      </w:r>
      <w:r>
        <w:rPr>
          <w:rFonts w:hint="eastAsia"/>
          <w:color w:val="auto"/>
          <w:highlight w:val="none"/>
          <w:lang w:eastAsia="zh-CN"/>
        </w:rPr>
        <w:t>核查如果发现保安公司未按约定及时支付保安工资的，</w:t>
      </w:r>
      <w:r>
        <w:rPr>
          <w:rFonts w:hint="eastAsia"/>
          <w:color w:val="auto"/>
          <w:highlight w:val="none"/>
        </w:rPr>
        <w:t>在履约保证金中扣除</w:t>
      </w:r>
      <w:r>
        <w:rPr>
          <w:rFonts w:hint="eastAsia"/>
          <w:color w:val="auto"/>
          <w:highlight w:val="none"/>
          <w:lang w:eastAsia="zh-CN"/>
        </w:rPr>
        <w:t>，并作为依据纳入对保安公司的考核</w:t>
      </w:r>
      <w:r>
        <w:rPr>
          <w:rFonts w:hint="eastAsia"/>
          <w:color w:val="auto"/>
          <w:highlight w:val="none"/>
        </w:rPr>
        <w:t>。</w:t>
      </w:r>
    </w:p>
    <w:p>
      <w:pPr>
        <w:spacing w:line="360" w:lineRule="auto"/>
        <w:rPr>
          <w:rFonts w:hint="eastAsia"/>
          <w:color w:val="auto"/>
          <w:highlight w:val="none"/>
        </w:rPr>
      </w:pPr>
    </w:p>
    <w:p>
      <w:pPr>
        <w:spacing w:line="360" w:lineRule="auto"/>
        <w:outlineLvl w:val="1"/>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四</w:t>
      </w:r>
      <w:r>
        <w:rPr>
          <w:rFonts w:hint="eastAsia" w:ascii="宋体" w:hAnsi="宋体" w:eastAsia="宋体" w:cs="宋体"/>
          <w:b/>
          <w:color w:val="auto"/>
          <w:sz w:val="21"/>
          <w:szCs w:val="21"/>
          <w:highlight w:val="none"/>
          <w:lang w:val="en-US" w:eastAsia="zh-CN"/>
        </w:rPr>
        <w:t>、其他说明</w:t>
      </w:r>
    </w:p>
    <w:p>
      <w:pPr>
        <w:spacing w:line="360" w:lineRule="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1、本项目为安保服务采购，投标供应商必须对所有服务项目完全响应。</w:t>
      </w:r>
    </w:p>
    <w:p>
      <w:pPr>
        <w:spacing w:line="360" w:lineRule="auto"/>
        <w:rPr>
          <w:rFonts w:hint="eastAsia" w:ascii="宋体" w:hAnsi="宋体" w:eastAsia="宋体" w:cs="宋体"/>
          <w:b/>
          <w:color w:val="auto"/>
          <w:sz w:val="21"/>
          <w:szCs w:val="21"/>
          <w:highlight w:val="none"/>
        </w:rPr>
      </w:pPr>
      <w:r>
        <w:rPr>
          <w:rFonts w:hint="default" w:ascii="宋体" w:hAnsi="宋体" w:eastAsia="宋体" w:cs="宋体"/>
          <w:color w:val="auto"/>
          <w:sz w:val="21"/>
          <w:szCs w:val="21"/>
          <w:highlight w:val="none"/>
          <w:lang w:val="en-US" w:eastAsia="zh-CN"/>
        </w:rPr>
        <w:t>2、供应商投标所使用的资格、信誉、荣誉、业绩与企业认证证书必须为该供应商所拥有。</w:t>
      </w:r>
    </w:p>
    <w:p>
      <w:pPr>
        <w:spacing w:line="360" w:lineRule="auto"/>
        <w:rPr>
          <w:rFonts w:hint="eastAsia"/>
          <w:color w:val="auto"/>
          <w:highlight w:val="none"/>
        </w:rPr>
      </w:pPr>
    </w:p>
    <w:p>
      <w:pPr>
        <w:rPr>
          <w:rFonts w:hint="eastAsia" w:ascii="宋体" w:hAnsi="宋体"/>
          <w:b/>
          <w:color w:val="auto"/>
          <w:szCs w:val="21"/>
          <w:highlight w:val="none"/>
        </w:rPr>
      </w:pPr>
      <w:bookmarkStart w:id="3" w:name="_Toc439667466"/>
      <w:r>
        <w:rPr>
          <w:rFonts w:hint="eastAsia" w:ascii="宋体" w:hAnsi="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outlineLvl w:val="1"/>
        <w:rPr>
          <w:rFonts w:hint="eastAsia"/>
          <w:b/>
          <w:bCs/>
          <w:color w:val="auto"/>
          <w:highlight w:val="none"/>
          <w:lang w:val="en-US" w:eastAsia="zh-CN"/>
        </w:rPr>
      </w:pPr>
      <w:r>
        <w:rPr>
          <w:rFonts w:hint="eastAsia" w:ascii="宋体" w:hAnsi="宋体"/>
          <w:b/>
          <w:color w:val="auto"/>
          <w:szCs w:val="21"/>
          <w:highlight w:val="none"/>
        </w:rPr>
        <w:t>附表1：</w:t>
      </w:r>
      <w:bookmarkEnd w:id="3"/>
      <w:r>
        <w:rPr>
          <w:rFonts w:hint="eastAsia"/>
          <w:b/>
          <w:bCs/>
          <w:color w:val="auto"/>
          <w:highlight w:val="none"/>
          <w:lang w:val="en-US" w:eastAsia="zh-CN"/>
        </w:rPr>
        <w:t>2023年北仑区校园保安配备表</w:t>
      </w:r>
    </w:p>
    <w:p>
      <w:pPr>
        <w:spacing w:line="360" w:lineRule="auto"/>
        <w:jc w:val="center"/>
        <w:outlineLvl w:val="1"/>
        <w:rPr>
          <w:rFonts w:hint="eastAsia" w:eastAsia="宋体" w:cs="Times New Roman"/>
          <w:b/>
          <w:bCs/>
          <w:color w:val="auto"/>
          <w:highlight w:val="none"/>
          <w:lang w:val="en-US" w:eastAsia="zh-CN"/>
        </w:rPr>
      </w:pPr>
      <w:r>
        <w:rPr>
          <w:rFonts w:hint="eastAsia" w:eastAsia="宋体" w:cs="Times New Roman"/>
          <w:b/>
          <w:bCs/>
          <w:color w:val="auto"/>
          <w:highlight w:val="none"/>
          <w:lang w:val="en-US" w:eastAsia="zh-CN"/>
        </w:rPr>
        <w:t>2023年北仑区校园保安配备表</w:t>
      </w:r>
    </w:p>
    <w:tbl>
      <w:tblPr>
        <w:tblStyle w:val="6"/>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29"/>
        <w:gridCol w:w="5026"/>
        <w:gridCol w:w="1568"/>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保安数</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北仑中学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明港中学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泰河中学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滨海国际集团</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东海实验学校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育英小学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顾国和外国语学校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浙师大附属芦江书院</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区中心幼儿园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区实验幼儿园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梧桐幼儿园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新蕾幼儿园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开发区幼儿园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教育三中心</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阳光学校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顾国和中学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长江中学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松花江中学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庐山中学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泰河学校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岷山学校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绍成小学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华山小学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育才小学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长江小学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淮河小学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高塘学校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江南中学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小浃江中学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小浃江小学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小港实验小学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小港中心学校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小港学达小学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大碶中学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灵山书院</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区实验小学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大碶小学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博平小学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芦渎中学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柴桥实验</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白峰中学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白峰小学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郭巨学校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宁波联合实验中学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蔚斗小学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三山学校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春晓实验学校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霞浦学校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霞浦大胡校区</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九峰小学</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梅山学校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里仁童苑幼儿园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北仑太平洋幼儿园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新蕾四季幼儿园(+分园)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仙荷幼儿园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岩河幼儿园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新碶大路第一幼儿园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新碶仁爱幼儿园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长来幼儿园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新碶银杏幼儿园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新碶贝碶幼儿园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新碶快乐幼儿园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大港幼儿园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新碶高塘幼儿园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算山长来幼儿园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宝宝乐幼儿园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大同幼儿园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京华茗苑幼儿园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世茂幼儿园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吉利幼儿园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辽河幼儿园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小山新山幼儿园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泰河幼儿园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博聪幼儿园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三之三幼儿园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吉的堡幼儿园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新碶蓝天幼儿园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松花江幼儿园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北极星幼儿园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美央幼儿园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新潮幼儿园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北仑小港幼儿园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小港长山幼儿园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小港下邵幼儿园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小港堰山育芽幼儿园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小港小荧星幼儿园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厚生幼儿园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谢墅幼儿园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城区幼儿园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江南幼儿园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小港育才幼儿园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小峡江幼儿园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小港枫林幼儿园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小港红联幼儿园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小港红联佳乐幼儿园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春苗幼儿园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戚家山中心幼儿园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阳光幼儿园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大碶中心幼儿园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周翠玉幼儿园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派舍提香幼儿园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保税南区幼儿园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金灵幼儿园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金灵幼儿园分园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银儿幼儿园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银儿幼儿园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惠琴幼儿园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育才幼儿园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叶秋幼儿园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领尚幼儿园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大碶凯兴幼儿园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大碶供销社幼儿园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柴桥穿山幼儿园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柴桥紫石幼儿园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柴桥天兴幼儿园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柴桥街道幼儿园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柴桥后所幼儿园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柴桥育苗幼儿园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九峰幼儿园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霞浦幼儿园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黄鹂幼儿园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陈华浦幼儿园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百灵幼儿园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启明星幼儿园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贝贝幼儿园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友飞幼儿园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昆亭幼儿园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春晓幼儿园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严玉德幼儿园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白峰中心幼儿园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136</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上阳幼儿园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137</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官庄幼儿园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138</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郭巨幼儿园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139</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梅山幼儿园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140</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香山幼儿园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141</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港城幼儿园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142</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灵山幼儿园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143</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凤洋幼儿园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144</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枫丹新悦幼儿园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145</w:t>
            </w: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星辰实验幼儿园</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92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502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合计</w:t>
            </w:r>
          </w:p>
        </w:tc>
        <w:tc>
          <w:tcPr>
            <w:tcW w:w="156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447</w:t>
            </w:r>
          </w:p>
        </w:tc>
        <w:tc>
          <w:tcPr>
            <w:tcW w:w="128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r>
    </w:tbl>
    <w:p>
      <w:pPr>
        <w:spacing w:line="360" w:lineRule="auto"/>
        <w:outlineLvl w:val="1"/>
        <w:rPr>
          <w:rFonts w:hint="eastAsia" w:ascii="宋体" w:hAnsi="宋体"/>
          <w:b/>
          <w:color w:val="auto"/>
          <w:szCs w:val="21"/>
          <w:highlight w:val="none"/>
        </w:rPr>
      </w:pPr>
    </w:p>
    <w:p>
      <w:pP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br w:type="page"/>
      </w:r>
    </w:p>
    <w:p>
      <w:pPr>
        <w:widowControl/>
        <w:shd w:val="clear" w:color="auto" w:fill="FFFFFF"/>
        <w:spacing w:line="360"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附表2：《北仑区</w:t>
      </w:r>
      <w:r>
        <w:rPr>
          <w:rFonts w:hint="eastAsia" w:ascii="宋体" w:hAnsi="宋体" w:cs="宋体"/>
          <w:b/>
          <w:bCs/>
          <w:color w:val="auto"/>
          <w:kern w:val="0"/>
          <w:szCs w:val="21"/>
          <w:highlight w:val="none"/>
          <w:lang w:eastAsia="zh-CN"/>
        </w:rPr>
        <w:t>校园</w:t>
      </w:r>
      <w:r>
        <w:rPr>
          <w:rFonts w:ascii="宋体" w:hAnsi="宋体" w:cs="宋体"/>
          <w:b/>
          <w:bCs/>
          <w:color w:val="auto"/>
          <w:kern w:val="0"/>
          <w:szCs w:val="21"/>
          <w:highlight w:val="none"/>
        </w:rPr>
        <w:t>保安队员考核</w:t>
      </w:r>
      <w:r>
        <w:rPr>
          <w:rFonts w:hint="eastAsia" w:ascii="宋体" w:hAnsi="宋体" w:cs="宋体"/>
          <w:b/>
          <w:bCs/>
          <w:color w:val="auto"/>
          <w:kern w:val="0"/>
          <w:szCs w:val="21"/>
          <w:highlight w:val="none"/>
        </w:rPr>
        <w:t>细则》</w:t>
      </w:r>
    </w:p>
    <w:p>
      <w:pPr>
        <w:widowControl/>
        <w:shd w:val="clear" w:color="auto" w:fill="FFFFFF"/>
        <w:spacing w:line="360" w:lineRule="auto"/>
        <w:rPr>
          <w:rFonts w:hint="eastAsia" w:ascii="宋体" w:hAnsi="宋体" w:cs="宋体"/>
          <w:b/>
          <w:bCs/>
          <w:color w:val="auto"/>
          <w:kern w:val="0"/>
          <w:szCs w:val="21"/>
          <w:highlight w:val="none"/>
        </w:rPr>
      </w:pPr>
    </w:p>
    <w:p>
      <w:pPr>
        <w:widowControl/>
        <w:shd w:val="clear" w:color="auto" w:fill="FFFFFF"/>
        <w:spacing w:line="360" w:lineRule="auto"/>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北仑区</w:t>
      </w:r>
      <w:r>
        <w:rPr>
          <w:rFonts w:hint="eastAsia" w:ascii="宋体" w:hAnsi="宋体" w:cs="宋体"/>
          <w:b/>
          <w:bCs/>
          <w:color w:val="auto"/>
          <w:kern w:val="0"/>
          <w:szCs w:val="21"/>
          <w:highlight w:val="none"/>
          <w:lang w:eastAsia="zh-CN"/>
        </w:rPr>
        <w:t>校园</w:t>
      </w:r>
      <w:r>
        <w:rPr>
          <w:rFonts w:ascii="宋体" w:hAnsi="宋体" w:cs="宋体"/>
          <w:b/>
          <w:bCs/>
          <w:color w:val="auto"/>
          <w:kern w:val="0"/>
          <w:szCs w:val="21"/>
          <w:highlight w:val="none"/>
        </w:rPr>
        <w:t>保安队员考核</w:t>
      </w:r>
      <w:r>
        <w:rPr>
          <w:rFonts w:hint="eastAsia" w:ascii="宋体" w:hAnsi="宋体" w:cs="宋体"/>
          <w:b/>
          <w:bCs/>
          <w:color w:val="auto"/>
          <w:kern w:val="0"/>
          <w:szCs w:val="21"/>
          <w:highlight w:val="none"/>
        </w:rPr>
        <w:t>细则</w:t>
      </w:r>
    </w:p>
    <w:tbl>
      <w:tblPr>
        <w:tblStyle w:val="6"/>
        <w:tblW w:w="9442" w:type="dxa"/>
        <w:tblCellSpacing w:w="0" w:type="dxa"/>
        <w:tblInd w:w="0" w:type="dxa"/>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80"/>
        <w:gridCol w:w="6973"/>
        <w:gridCol w:w="580"/>
      </w:tblGrid>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一级指标</w:t>
            </w:r>
          </w:p>
        </w:tc>
        <w:tc>
          <w:tcPr>
            <w:tcW w:w="880" w:type="dxa"/>
            <w:vAlign w:val="center"/>
          </w:tcPr>
          <w:p>
            <w:pPr>
              <w:widowControl/>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二级指标</w:t>
            </w:r>
          </w:p>
        </w:tc>
        <w:tc>
          <w:tcPr>
            <w:tcW w:w="6973" w:type="dxa"/>
            <w:vAlign w:val="center"/>
          </w:tcPr>
          <w:p>
            <w:pPr>
              <w:widowControl/>
              <w:spacing w:line="400" w:lineRule="exact"/>
              <w:ind w:firstLine="480"/>
              <w:jc w:val="center"/>
              <w:rPr>
                <w:rFonts w:hint="eastAsia" w:ascii="宋体" w:hAnsi="宋体" w:cs="宋体"/>
                <w:b/>
                <w:color w:val="auto"/>
                <w:kern w:val="0"/>
                <w:szCs w:val="21"/>
                <w:highlight w:val="none"/>
              </w:rPr>
            </w:pPr>
            <w:r>
              <w:rPr>
                <w:rFonts w:hint="eastAsia" w:ascii="宋体" w:hAnsi="宋体" w:cs="宋体"/>
                <w:b/>
                <w:bCs/>
                <w:color w:val="auto"/>
                <w:kern w:val="0"/>
                <w:szCs w:val="21"/>
                <w:highlight w:val="none"/>
              </w:rPr>
              <w:t>考核内容（下表括号中数字为该项分值）</w:t>
            </w:r>
          </w:p>
        </w:tc>
        <w:tc>
          <w:tcPr>
            <w:tcW w:w="580" w:type="dxa"/>
            <w:vAlign w:val="center"/>
          </w:tcPr>
          <w:p>
            <w:pPr>
              <w:widowControl/>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考核得分</w:t>
            </w: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考核</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w:t>
            </w:r>
          </w:p>
        </w:tc>
        <w:tc>
          <w:tcPr>
            <w:tcW w:w="880"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遵守纪律</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（20分）</w:t>
            </w:r>
          </w:p>
        </w:tc>
        <w:tc>
          <w:tcPr>
            <w:tcW w:w="6973" w:type="dxa"/>
            <w:vAlign w:val="center"/>
          </w:tcPr>
          <w:p>
            <w:pPr>
              <w:widowControl/>
              <w:spacing w:line="400" w:lineRule="exact"/>
              <w:rPr>
                <w:rFonts w:hint="eastAsia" w:ascii="宋体" w:hAnsi="宋体" w:cs="宋体"/>
                <w:b/>
                <w:bCs/>
                <w:color w:val="auto"/>
                <w:kern w:val="0"/>
                <w:szCs w:val="21"/>
                <w:highlight w:val="none"/>
              </w:rPr>
            </w:pPr>
            <w:r>
              <w:rPr>
                <w:rFonts w:hint="eastAsia" w:ascii="宋体" w:hAnsi="宋体" w:cs="宋体"/>
                <w:color w:val="auto"/>
                <w:kern w:val="0"/>
                <w:szCs w:val="21"/>
                <w:highlight w:val="none"/>
              </w:rPr>
              <w:t>服从学校领导管理，</w:t>
            </w:r>
            <w:r>
              <w:rPr>
                <w:rFonts w:ascii="宋体" w:hAnsi="宋体" w:cs="宋体"/>
                <w:color w:val="auto"/>
                <w:kern w:val="0"/>
                <w:szCs w:val="21"/>
                <w:highlight w:val="none"/>
              </w:rPr>
              <w:t>按规定履行职责</w:t>
            </w:r>
            <w:r>
              <w:rPr>
                <w:rFonts w:hint="eastAsia" w:ascii="宋体" w:hAnsi="宋体" w:cs="宋体"/>
                <w:color w:val="auto"/>
                <w:kern w:val="0"/>
                <w:szCs w:val="21"/>
                <w:highlight w:val="none"/>
              </w:rPr>
              <w:t>，不</w:t>
            </w:r>
            <w:r>
              <w:rPr>
                <w:rFonts w:ascii="宋体" w:hAnsi="宋体" w:cs="宋体"/>
                <w:color w:val="auto"/>
                <w:kern w:val="0"/>
                <w:szCs w:val="21"/>
                <w:highlight w:val="none"/>
              </w:rPr>
              <w:t>失职、渎职、不作为</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jc w:val="center"/>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遵守</w:t>
            </w:r>
            <w:r>
              <w:rPr>
                <w:rFonts w:ascii="宋体" w:hAnsi="宋体" w:cs="宋体"/>
                <w:color w:val="auto"/>
                <w:kern w:val="0"/>
                <w:szCs w:val="21"/>
                <w:highlight w:val="none"/>
              </w:rPr>
              <w:t>有关规章制度和规定</w:t>
            </w:r>
            <w:r>
              <w:rPr>
                <w:rFonts w:hint="eastAsia" w:ascii="宋体" w:hAnsi="宋体" w:cs="宋体"/>
                <w:color w:val="auto"/>
                <w:kern w:val="0"/>
                <w:szCs w:val="21"/>
                <w:highlight w:val="none"/>
              </w:rPr>
              <w:t>，</w:t>
            </w:r>
            <w:r>
              <w:rPr>
                <w:rFonts w:ascii="宋体" w:hAnsi="宋体" w:cs="宋体"/>
                <w:color w:val="auto"/>
                <w:kern w:val="0"/>
                <w:szCs w:val="21"/>
                <w:highlight w:val="none"/>
              </w:rPr>
              <w:t>按</w:t>
            </w:r>
            <w:r>
              <w:rPr>
                <w:rFonts w:hint="eastAsia" w:ascii="宋体" w:hAnsi="宋体" w:cs="宋体"/>
                <w:color w:val="auto"/>
                <w:kern w:val="0"/>
                <w:szCs w:val="21"/>
                <w:highlight w:val="none"/>
              </w:rPr>
              <w:t>时</w:t>
            </w:r>
            <w:r>
              <w:rPr>
                <w:rFonts w:ascii="宋体" w:hAnsi="宋体" w:cs="宋体"/>
                <w:color w:val="auto"/>
                <w:kern w:val="0"/>
                <w:szCs w:val="21"/>
                <w:highlight w:val="none"/>
              </w:rPr>
              <w:t>交接班</w:t>
            </w:r>
            <w:r>
              <w:rPr>
                <w:rFonts w:hint="eastAsia" w:ascii="宋体" w:hAnsi="宋体" w:cs="宋体"/>
                <w:color w:val="auto"/>
                <w:kern w:val="0"/>
                <w:szCs w:val="21"/>
                <w:highlight w:val="none"/>
              </w:rPr>
              <w:t>，不</w:t>
            </w:r>
            <w:r>
              <w:rPr>
                <w:rFonts w:ascii="宋体" w:hAnsi="宋体" w:cs="宋体"/>
                <w:color w:val="auto"/>
                <w:kern w:val="0"/>
                <w:szCs w:val="21"/>
                <w:highlight w:val="none"/>
              </w:rPr>
              <w:t>迟到、早退、脱岗</w:t>
            </w:r>
            <w:r>
              <w:rPr>
                <w:rFonts w:hint="eastAsia" w:ascii="宋体" w:hAnsi="宋体" w:cs="宋体"/>
                <w:color w:val="auto"/>
                <w:kern w:val="0"/>
                <w:szCs w:val="21"/>
                <w:highlight w:val="none"/>
              </w:rPr>
              <w:t>，不</w:t>
            </w:r>
            <w:r>
              <w:rPr>
                <w:rFonts w:ascii="宋体" w:hAnsi="宋体" w:cs="宋体"/>
                <w:color w:val="auto"/>
                <w:kern w:val="0"/>
                <w:szCs w:val="21"/>
                <w:highlight w:val="none"/>
              </w:rPr>
              <w:t>擅自调换班次、岗位</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ascii="宋体" w:hAnsi="宋体" w:cs="宋体"/>
                <w:color w:val="auto"/>
                <w:kern w:val="0"/>
                <w:szCs w:val="21"/>
                <w:highlight w:val="none"/>
              </w:rPr>
            </w:pPr>
          </w:p>
        </w:tc>
        <w:tc>
          <w:tcPr>
            <w:tcW w:w="880" w:type="dxa"/>
            <w:vMerge w:val="restart"/>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保持形象</w:t>
            </w:r>
          </w:p>
          <w:p>
            <w:pPr>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（15分）</w:t>
            </w:r>
          </w:p>
        </w:tc>
        <w:tc>
          <w:tcPr>
            <w:tcW w:w="6973"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按规定着装、配戴徽章或标记</w:t>
            </w:r>
            <w:r>
              <w:rPr>
                <w:rFonts w:hint="eastAsia" w:ascii="宋体" w:hAnsi="宋体" w:cs="宋体"/>
                <w:color w:val="auto"/>
                <w:kern w:val="0"/>
                <w:szCs w:val="21"/>
                <w:highlight w:val="none"/>
              </w:rPr>
              <w:t>、</w:t>
            </w:r>
            <w:r>
              <w:rPr>
                <w:rFonts w:ascii="宋体" w:hAnsi="宋体" w:cs="宋体"/>
                <w:color w:val="auto"/>
                <w:kern w:val="0"/>
                <w:szCs w:val="21"/>
                <w:highlight w:val="none"/>
              </w:rPr>
              <w:t>携带</w:t>
            </w:r>
            <w:r>
              <w:rPr>
                <w:rFonts w:hint="eastAsia" w:ascii="宋体" w:hAnsi="宋体" w:cs="宋体"/>
                <w:color w:val="auto"/>
                <w:kern w:val="0"/>
                <w:szCs w:val="21"/>
                <w:highlight w:val="none"/>
              </w:rPr>
              <w:t>保安</w:t>
            </w:r>
            <w:r>
              <w:rPr>
                <w:rFonts w:ascii="宋体" w:hAnsi="宋体" w:cs="宋体"/>
                <w:color w:val="auto"/>
                <w:kern w:val="0"/>
                <w:szCs w:val="21"/>
                <w:highlight w:val="none"/>
              </w:rPr>
              <w:t>装备</w:t>
            </w:r>
            <w:r>
              <w:rPr>
                <w:rFonts w:hint="eastAsia" w:ascii="宋体" w:hAnsi="宋体" w:cs="宋体"/>
                <w:color w:val="auto"/>
                <w:kern w:val="0"/>
                <w:szCs w:val="21"/>
                <w:highlight w:val="none"/>
              </w:rPr>
              <w:t>，</w:t>
            </w:r>
            <w:r>
              <w:rPr>
                <w:rFonts w:ascii="宋体" w:hAnsi="宋体" w:cs="宋体"/>
                <w:color w:val="auto"/>
                <w:kern w:val="0"/>
                <w:szCs w:val="21"/>
                <w:highlight w:val="none"/>
              </w:rPr>
              <w:t>值勤时衣着整洁、精神饱满</w:t>
            </w:r>
            <w:r>
              <w:rPr>
                <w:rFonts w:hint="eastAsia" w:ascii="宋体" w:hAnsi="宋体" w:cs="宋体"/>
                <w:color w:val="auto"/>
                <w:kern w:val="0"/>
                <w:szCs w:val="21"/>
                <w:highlight w:val="none"/>
              </w:rPr>
              <w:t>,</w:t>
            </w:r>
            <w:r>
              <w:rPr>
                <w:rFonts w:ascii="宋体" w:hAnsi="宋体" w:cs="宋体"/>
                <w:color w:val="auto"/>
                <w:kern w:val="0"/>
                <w:szCs w:val="21"/>
                <w:highlight w:val="none"/>
              </w:rPr>
              <w:t>热情、规范</w:t>
            </w:r>
            <w:r>
              <w:rPr>
                <w:rFonts w:hint="eastAsia" w:ascii="宋体" w:hAnsi="宋体" w:cs="宋体"/>
                <w:color w:val="auto"/>
                <w:kern w:val="0"/>
                <w:szCs w:val="21"/>
                <w:highlight w:val="none"/>
              </w:rPr>
              <w:t>接待</w:t>
            </w:r>
            <w:r>
              <w:rPr>
                <w:rFonts w:ascii="宋体" w:hAnsi="宋体" w:cs="宋体"/>
                <w:color w:val="auto"/>
                <w:kern w:val="0"/>
                <w:szCs w:val="21"/>
                <w:highlight w:val="none"/>
              </w:rPr>
              <w:t>来访人员</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ascii="宋体" w:hAnsi="宋体" w:cs="宋体"/>
                <w:color w:val="auto"/>
                <w:kern w:val="0"/>
                <w:szCs w:val="21"/>
                <w:highlight w:val="none"/>
              </w:rPr>
            </w:pPr>
          </w:p>
        </w:tc>
        <w:tc>
          <w:tcPr>
            <w:tcW w:w="880" w:type="dxa"/>
            <w:vMerge w:val="continue"/>
            <w:vAlign w:val="center"/>
          </w:tcPr>
          <w:p>
            <w:pPr>
              <w:spacing w:line="400" w:lineRule="exact"/>
              <w:jc w:val="center"/>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负责校门周边卫生，注意保持清洁，值班室物品有序摆放（5）。</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认真履责</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（55分）</w:t>
            </w: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按规定</w:t>
            </w:r>
            <w:r>
              <w:rPr>
                <w:rFonts w:hint="eastAsia" w:ascii="宋体" w:hAnsi="宋体" w:cs="宋体"/>
                <w:color w:val="auto"/>
                <w:kern w:val="0"/>
                <w:szCs w:val="21"/>
                <w:highlight w:val="none"/>
                <w:lang w:eastAsia="zh-CN"/>
              </w:rPr>
              <w:t>规范</w:t>
            </w:r>
            <w:r>
              <w:rPr>
                <w:rFonts w:ascii="宋体" w:hAnsi="宋体" w:cs="宋体"/>
                <w:color w:val="auto"/>
                <w:kern w:val="0"/>
                <w:szCs w:val="21"/>
                <w:highlight w:val="none"/>
              </w:rPr>
              <w:t>登记出入大门的人员和车辆，对外来人员进行询问，查验有效证件并办理登记手续，及时与有关人员联系并填写好会客单</w:t>
            </w:r>
            <w:r>
              <w:rPr>
                <w:rFonts w:hint="eastAsia" w:ascii="宋体" w:hAnsi="宋体" w:cs="宋体"/>
                <w:color w:val="auto"/>
                <w:kern w:val="0"/>
                <w:szCs w:val="21"/>
                <w:highlight w:val="none"/>
              </w:rPr>
              <w:t>，</w:t>
            </w:r>
            <w:r>
              <w:rPr>
                <w:rFonts w:ascii="宋体" w:hAnsi="宋体" w:cs="宋体"/>
                <w:color w:val="auto"/>
                <w:kern w:val="0"/>
                <w:szCs w:val="21"/>
                <w:highlight w:val="none"/>
              </w:rPr>
              <w:t>离校时收回执单</w:t>
            </w:r>
            <w:r>
              <w:rPr>
                <w:rFonts w:hint="eastAsia" w:ascii="宋体" w:hAnsi="宋体" w:cs="宋体"/>
                <w:color w:val="auto"/>
                <w:kern w:val="0"/>
                <w:szCs w:val="21"/>
                <w:highlight w:val="none"/>
              </w:rPr>
              <w:t>，</w:t>
            </w:r>
            <w:r>
              <w:rPr>
                <w:rFonts w:ascii="宋体" w:hAnsi="宋体" w:cs="宋体"/>
                <w:color w:val="auto"/>
                <w:kern w:val="0"/>
                <w:szCs w:val="21"/>
                <w:highlight w:val="none"/>
              </w:rPr>
              <w:t>禁止无关人员和车辆进入校园</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指挥、疏导车辆停放在指定位置，保证出入畅通</w:t>
            </w:r>
            <w:r>
              <w:rPr>
                <w:rFonts w:hint="eastAsia" w:ascii="宋体" w:hAnsi="宋体" w:cs="宋体"/>
                <w:color w:val="auto"/>
                <w:kern w:val="0"/>
                <w:szCs w:val="21"/>
                <w:highlight w:val="none"/>
              </w:rPr>
              <w:t>，</w:t>
            </w:r>
            <w:r>
              <w:rPr>
                <w:rFonts w:ascii="宋体" w:hAnsi="宋体" w:cs="宋体"/>
                <w:color w:val="auto"/>
                <w:kern w:val="0"/>
                <w:szCs w:val="21"/>
                <w:highlight w:val="none"/>
              </w:rPr>
              <w:t>学校上学、放学时段到大门</w:t>
            </w:r>
            <w:r>
              <w:rPr>
                <w:rFonts w:hint="eastAsia" w:ascii="宋体" w:hAnsi="宋体" w:cs="宋体"/>
                <w:color w:val="auto"/>
                <w:kern w:val="0"/>
                <w:szCs w:val="21"/>
                <w:highlight w:val="none"/>
              </w:rPr>
              <w:t>执勤，协同老师维护交通秩序（10）。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严格按照学校的作息时间开闭校门</w:t>
            </w:r>
            <w:r>
              <w:rPr>
                <w:rFonts w:hint="eastAsia" w:ascii="宋体" w:hAnsi="宋体" w:cs="宋体"/>
                <w:color w:val="auto"/>
                <w:kern w:val="0"/>
                <w:szCs w:val="21"/>
                <w:highlight w:val="none"/>
              </w:rPr>
              <w:t>，及时</w:t>
            </w:r>
            <w:r>
              <w:rPr>
                <w:rFonts w:ascii="宋体" w:hAnsi="宋体" w:cs="宋体"/>
                <w:color w:val="auto"/>
                <w:kern w:val="0"/>
                <w:szCs w:val="21"/>
                <w:highlight w:val="none"/>
              </w:rPr>
              <w:t>登记迟到或早退的学生</w:t>
            </w:r>
            <w:r>
              <w:rPr>
                <w:rFonts w:hint="eastAsia" w:ascii="宋体" w:hAnsi="宋体" w:cs="宋体"/>
                <w:color w:val="auto"/>
                <w:kern w:val="0"/>
                <w:szCs w:val="21"/>
                <w:highlight w:val="none"/>
              </w:rPr>
              <w:t>，</w:t>
            </w:r>
            <w:r>
              <w:rPr>
                <w:rFonts w:ascii="宋体" w:hAnsi="宋体" w:cs="宋体"/>
                <w:color w:val="auto"/>
                <w:kern w:val="0"/>
                <w:szCs w:val="21"/>
                <w:highlight w:val="none"/>
              </w:rPr>
              <w:t>上课时间，学生未办理请假手续严禁外出</w:t>
            </w:r>
            <w:r>
              <w:rPr>
                <w:rFonts w:hint="eastAsia" w:ascii="宋体" w:hAnsi="宋体" w:cs="宋体"/>
                <w:color w:val="auto"/>
                <w:kern w:val="0"/>
                <w:szCs w:val="21"/>
                <w:highlight w:val="none"/>
              </w:rPr>
              <w:t>，</w:t>
            </w:r>
            <w:r>
              <w:rPr>
                <w:rFonts w:ascii="宋体" w:hAnsi="宋体" w:cs="宋体"/>
                <w:color w:val="auto"/>
                <w:kern w:val="0"/>
                <w:szCs w:val="21"/>
                <w:highlight w:val="none"/>
              </w:rPr>
              <w:t>非上学时间</w:t>
            </w:r>
            <w:r>
              <w:rPr>
                <w:rFonts w:hint="eastAsia" w:ascii="宋体" w:hAnsi="宋体" w:cs="宋体"/>
                <w:color w:val="auto"/>
                <w:kern w:val="0"/>
                <w:szCs w:val="21"/>
                <w:highlight w:val="none"/>
              </w:rPr>
              <w:t>认真</w:t>
            </w:r>
            <w:r>
              <w:rPr>
                <w:rFonts w:ascii="宋体" w:hAnsi="宋体" w:cs="宋体"/>
                <w:color w:val="auto"/>
                <w:kern w:val="0"/>
                <w:szCs w:val="21"/>
                <w:highlight w:val="none"/>
              </w:rPr>
              <w:t>检查门窗锁闭情况</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通过监控系统监视校园情况，认真做好当班记录，</w:t>
            </w:r>
            <w:r>
              <w:rPr>
                <w:rFonts w:hint="eastAsia" w:ascii="宋体" w:hAnsi="宋体" w:cs="宋体"/>
                <w:color w:val="auto"/>
                <w:kern w:val="0"/>
                <w:szCs w:val="21"/>
                <w:highlight w:val="none"/>
              </w:rPr>
              <w:t>发现</w:t>
            </w:r>
            <w:r>
              <w:rPr>
                <w:rFonts w:ascii="宋体" w:hAnsi="宋体" w:cs="宋体"/>
                <w:color w:val="auto"/>
                <w:kern w:val="0"/>
                <w:szCs w:val="21"/>
                <w:highlight w:val="none"/>
              </w:rPr>
              <w:t>特殊情况或突发事件，及时向主管部门及学校领导报告</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熟悉巡逻区域的基本情况</w:t>
            </w:r>
            <w:r>
              <w:rPr>
                <w:rFonts w:hint="eastAsia" w:ascii="宋体" w:hAnsi="宋体" w:cs="宋体"/>
                <w:color w:val="auto"/>
                <w:kern w:val="0"/>
                <w:szCs w:val="21"/>
                <w:highlight w:val="none"/>
              </w:rPr>
              <w:t>，</w:t>
            </w:r>
            <w:r>
              <w:rPr>
                <w:rFonts w:ascii="宋体" w:hAnsi="宋体" w:cs="宋体"/>
                <w:color w:val="auto"/>
                <w:kern w:val="0"/>
                <w:szCs w:val="21"/>
                <w:highlight w:val="none"/>
              </w:rPr>
              <w:t>巡逻时不影响学校的正常工作</w:t>
            </w:r>
            <w:r>
              <w:rPr>
                <w:rFonts w:hint="eastAsia" w:ascii="宋体" w:hAnsi="宋体" w:cs="宋体"/>
                <w:color w:val="auto"/>
                <w:kern w:val="0"/>
                <w:szCs w:val="21"/>
                <w:highlight w:val="none"/>
              </w:rPr>
              <w:t>，认真</w:t>
            </w:r>
            <w:r>
              <w:rPr>
                <w:rFonts w:ascii="宋体" w:hAnsi="宋体" w:cs="宋体"/>
                <w:color w:val="auto"/>
                <w:kern w:val="0"/>
                <w:szCs w:val="21"/>
                <w:highlight w:val="none"/>
              </w:rPr>
              <w:t>盘查可疑人员，及时将闲杂人员劝离，发现问题及时向相关管理部门反映，每次巡查后应做好巡查记录</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hint="eastAsia"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Align w:val="top"/>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道德高尚（10分）</w:t>
            </w: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对学生、家长、群众的求救，</w:t>
            </w:r>
            <w:r>
              <w:rPr>
                <w:rFonts w:hint="eastAsia" w:ascii="宋体" w:hAnsi="宋体" w:cs="宋体"/>
                <w:color w:val="auto"/>
                <w:kern w:val="0"/>
                <w:szCs w:val="21"/>
                <w:highlight w:val="none"/>
              </w:rPr>
              <w:t>积极予以援救，不</w:t>
            </w:r>
            <w:r>
              <w:rPr>
                <w:rFonts w:ascii="宋体" w:hAnsi="宋体" w:cs="宋体"/>
                <w:color w:val="auto"/>
                <w:kern w:val="0"/>
                <w:szCs w:val="21"/>
                <w:highlight w:val="none"/>
              </w:rPr>
              <w:t>利用职务之便，吃、拿、卡、要</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一票否决项</w:t>
            </w:r>
          </w:p>
        </w:tc>
        <w:tc>
          <w:tcPr>
            <w:tcW w:w="880" w:type="dxa"/>
            <w:vMerge w:val="restart"/>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私自脱岗、</w:t>
            </w:r>
            <w:r>
              <w:rPr>
                <w:rFonts w:ascii="宋体" w:hAnsi="宋体" w:cs="宋体"/>
                <w:color w:val="auto"/>
                <w:kern w:val="0"/>
                <w:szCs w:val="21"/>
                <w:highlight w:val="none"/>
              </w:rPr>
              <w:t>酒后上岗或上岗饮酒</w:t>
            </w:r>
            <w:r>
              <w:rPr>
                <w:rFonts w:hint="eastAsia" w:ascii="宋体" w:hAnsi="宋体" w:cs="宋体"/>
                <w:color w:val="auto"/>
                <w:kern w:val="0"/>
                <w:szCs w:val="21"/>
                <w:highlight w:val="none"/>
              </w:rPr>
              <w:t>。</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上级检查发现没有</w:t>
            </w:r>
            <w:r>
              <w:rPr>
                <w:rFonts w:ascii="宋体" w:hAnsi="宋体" w:cs="宋体"/>
                <w:color w:val="auto"/>
                <w:kern w:val="0"/>
                <w:szCs w:val="21"/>
                <w:highlight w:val="none"/>
              </w:rPr>
              <w:t>按照有关规定履行职责</w:t>
            </w:r>
            <w:r>
              <w:rPr>
                <w:rFonts w:hint="eastAsia" w:ascii="宋体" w:hAnsi="宋体" w:cs="宋体"/>
                <w:color w:val="auto"/>
                <w:kern w:val="0"/>
                <w:szCs w:val="21"/>
                <w:highlight w:val="none"/>
              </w:rPr>
              <w:t>或</w:t>
            </w:r>
            <w:r>
              <w:rPr>
                <w:rFonts w:ascii="宋体" w:hAnsi="宋体" w:cs="宋体"/>
                <w:color w:val="auto"/>
                <w:kern w:val="0"/>
                <w:szCs w:val="21"/>
                <w:highlight w:val="none"/>
              </w:rPr>
              <w:t>被学生、家长、老师、群众等投诉，经查，情节</w:t>
            </w:r>
            <w:r>
              <w:rPr>
                <w:rFonts w:hint="eastAsia" w:ascii="宋体" w:hAnsi="宋体" w:cs="宋体"/>
                <w:color w:val="auto"/>
                <w:kern w:val="0"/>
                <w:szCs w:val="21"/>
                <w:highlight w:val="none"/>
              </w:rPr>
              <w:t>属实的。</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拾得财物不主动上交或不退还失主而占为己有的</w:t>
            </w:r>
            <w:r>
              <w:rPr>
                <w:rFonts w:hint="eastAsia" w:ascii="宋体" w:hAnsi="宋体" w:cs="宋体"/>
                <w:color w:val="auto"/>
                <w:kern w:val="0"/>
                <w:szCs w:val="21"/>
                <w:highlight w:val="none"/>
              </w:rPr>
              <w:t>。</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加</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分</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880" w:type="dxa"/>
            <w:vMerge w:val="restart"/>
            <w:vAlign w:val="center"/>
          </w:tcPr>
          <w:p>
            <w:pPr>
              <w:widowControl/>
              <w:spacing w:line="400" w:lineRule="exact"/>
              <w:rPr>
                <w:rFonts w:hint="eastAsia"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为破获案件</w:t>
            </w:r>
            <w:r>
              <w:rPr>
                <w:rFonts w:ascii="宋体" w:hAnsi="宋体" w:cs="宋体"/>
                <w:color w:val="auto"/>
                <w:kern w:val="0"/>
                <w:szCs w:val="21"/>
                <w:highlight w:val="none"/>
              </w:rPr>
              <w:t>提供重要线索的</w:t>
            </w:r>
            <w:r>
              <w:rPr>
                <w:rFonts w:hint="eastAsia" w:ascii="宋体" w:hAnsi="宋体" w:cs="宋体"/>
                <w:color w:val="auto"/>
                <w:kern w:val="0"/>
                <w:szCs w:val="21"/>
                <w:highlight w:val="none"/>
              </w:rPr>
              <w:t>或</w:t>
            </w:r>
            <w:r>
              <w:rPr>
                <w:rFonts w:ascii="宋体" w:hAnsi="宋体" w:cs="宋体"/>
                <w:color w:val="auto"/>
                <w:kern w:val="0"/>
                <w:szCs w:val="21"/>
                <w:highlight w:val="none"/>
              </w:rPr>
              <w:t>抓获被刑拘</w:t>
            </w:r>
            <w:r>
              <w:rPr>
                <w:rFonts w:hint="eastAsia" w:ascii="宋体" w:hAnsi="宋体" w:cs="宋体"/>
                <w:color w:val="auto"/>
                <w:kern w:val="0"/>
                <w:szCs w:val="21"/>
                <w:highlight w:val="none"/>
              </w:rPr>
              <w:t>、</w:t>
            </w:r>
            <w:r>
              <w:rPr>
                <w:rFonts w:ascii="宋体" w:hAnsi="宋体" w:cs="宋体"/>
                <w:color w:val="auto"/>
                <w:kern w:val="0"/>
                <w:szCs w:val="21"/>
                <w:highlight w:val="none"/>
              </w:rPr>
              <w:t>逮捕的犯罪嫌疑人</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遇突发事件</w:t>
            </w:r>
            <w:r>
              <w:rPr>
                <w:rFonts w:hint="eastAsia" w:ascii="宋体" w:hAnsi="宋体" w:cs="宋体"/>
                <w:color w:val="auto"/>
                <w:kern w:val="0"/>
                <w:szCs w:val="21"/>
                <w:highlight w:val="none"/>
              </w:rPr>
              <w:t>、</w:t>
            </w:r>
            <w:r>
              <w:rPr>
                <w:rFonts w:ascii="宋体" w:hAnsi="宋体" w:cs="宋体"/>
                <w:color w:val="auto"/>
                <w:kern w:val="0"/>
                <w:szCs w:val="21"/>
                <w:highlight w:val="none"/>
              </w:rPr>
              <w:t>险情</w:t>
            </w:r>
            <w:r>
              <w:rPr>
                <w:rFonts w:hint="eastAsia" w:ascii="宋体" w:hAnsi="宋体" w:cs="宋体"/>
                <w:color w:val="auto"/>
                <w:kern w:val="0"/>
                <w:szCs w:val="21"/>
                <w:highlight w:val="none"/>
              </w:rPr>
              <w:t>等</w:t>
            </w:r>
            <w:r>
              <w:rPr>
                <w:rFonts w:ascii="宋体" w:hAnsi="宋体" w:cs="宋体"/>
                <w:color w:val="auto"/>
                <w:kern w:val="0"/>
                <w:szCs w:val="21"/>
                <w:highlight w:val="none"/>
              </w:rPr>
              <w:t>紧急情况，挺身而出、见义勇为的</w:t>
            </w:r>
            <w:r>
              <w:rPr>
                <w:rFonts w:hint="eastAsia" w:ascii="宋体" w:hAnsi="宋体" w:cs="宋体"/>
                <w:color w:val="auto"/>
                <w:kern w:val="0"/>
                <w:szCs w:val="21"/>
                <w:highlight w:val="none"/>
              </w:rPr>
              <w:t>,</w:t>
            </w:r>
            <w:r>
              <w:rPr>
                <w:rFonts w:ascii="宋体" w:hAnsi="宋体" w:cs="宋体"/>
                <w:color w:val="auto"/>
                <w:kern w:val="0"/>
                <w:szCs w:val="21"/>
                <w:highlight w:val="none"/>
              </w:rPr>
              <w:t>受到</w:t>
            </w:r>
            <w:r>
              <w:rPr>
                <w:rFonts w:hint="eastAsia" w:ascii="宋体" w:hAnsi="宋体" w:cs="宋体"/>
                <w:color w:val="auto"/>
                <w:kern w:val="0"/>
                <w:szCs w:val="21"/>
                <w:highlight w:val="none"/>
              </w:rPr>
              <w:t>上级</w:t>
            </w:r>
            <w:r>
              <w:rPr>
                <w:rFonts w:ascii="宋体" w:hAnsi="宋体" w:cs="宋体"/>
                <w:color w:val="auto"/>
                <w:kern w:val="0"/>
                <w:szCs w:val="21"/>
                <w:highlight w:val="none"/>
              </w:rPr>
              <w:t>新闻媒体宣传报道或收到表扬信、锦旗</w:t>
            </w:r>
            <w:r>
              <w:rPr>
                <w:rFonts w:hint="eastAsia" w:ascii="宋体" w:hAnsi="宋体" w:cs="宋体"/>
                <w:color w:val="auto"/>
                <w:kern w:val="0"/>
                <w:szCs w:val="21"/>
                <w:highlight w:val="none"/>
              </w:rPr>
              <w:t>等</w:t>
            </w:r>
            <w:r>
              <w:rPr>
                <w:rFonts w:ascii="宋体" w:hAnsi="宋体" w:cs="宋体"/>
                <w:color w:val="auto"/>
                <w:kern w:val="0"/>
                <w:szCs w:val="21"/>
                <w:highlight w:val="none"/>
              </w:rPr>
              <w:t>，为学校、</w:t>
            </w:r>
            <w:r>
              <w:rPr>
                <w:rFonts w:hint="eastAsia" w:ascii="宋体" w:hAnsi="宋体" w:cs="宋体"/>
                <w:color w:val="auto"/>
                <w:kern w:val="0"/>
                <w:szCs w:val="21"/>
                <w:highlight w:val="none"/>
              </w:rPr>
              <w:t>保安公司</w:t>
            </w:r>
            <w:r>
              <w:rPr>
                <w:rFonts w:ascii="宋体" w:hAnsi="宋体" w:cs="宋体"/>
                <w:color w:val="auto"/>
                <w:kern w:val="0"/>
                <w:szCs w:val="21"/>
                <w:highlight w:val="none"/>
              </w:rPr>
              <w:t>赢得声誉的</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发现学校重大安全隐患（火警、水电、交通等），及时报告、报警、排除的</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single" w:color="000000" w:sz="4" w:space="0"/>
            <w:left w:val="single" w:color="000000" w:sz="4" w:space="0"/>
            <w:bottom w:val="inset" w:color="000000" w:sz="6"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80" w:type="dxa"/>
            <w:vMerge w:val="continue"/>
            <w:vAlign w:val="center"/>
          </w:tcPr>
          <w:p>
            <w:pPr>
              <w:widowControl/>
              <w:spacing w:line="400" w:lineRule="exact"/>
              <w:rPr>
                <w:rFonts w:ascii="宋体" w:hAnsi="宋体" w:cs="宋体"/>
                <w:color w:val="auto"/>
                <w:kern w:val="0"/>
                <w:szCs w:val="21"/>
                <w:highlight w:val="none"/>
              </w:rPr>
            </w:pPr>
          </w:p>
        </w:tc>
        <w:tc>
          <w:tcPr>
            <w:tcW w:w="6973"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工作成绩突出，被</w:t>
            </w:r>
            <w:r>
              <w:rPr>
                <w:rFonts w:hint="eastAsia" w:ascii="宋体" w:hAnsi="宋体" w:cs="宋体"/>
                <w:color w:val="auto"/>
                <w:kern w:val="0"/>
                <w:szCs w:val="21"/>
                <w:highlight w:val="none"/>
              </w:rPr>
              <w:t>上级评为安保工作先进个人，</w:t>
            </w:r>
            <w:r>
              <w:rPr>
                <w:rFonts w:ascii="宋体" w:hAnsi="宋体" w:cs="宋体"/>
                <w:color w:val="auto"/>
                <w:kern w:val="0"/>
                <w:szCs w:val="21"/>
                <w:highlight w:val="none"/>
              </w:rPr>
              <w:t>有其他突出事迹、重大功绩者</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bl>
    <w:p>
      <w:pPr>
        <w:spacing w:line="400" w:lineRule="exact"/>
        <w:rPr>
          <w:rFonts w:hint="eastAsia"/>
          <w:b/>
          <w:color w:val="auto"/>
          <w:szCs w:val="21"/>
          <w:highlight w:val="none"/>
        </w:rPr>
      </w:pPr>
      <w:r>
        <w:rPr>
          <w:rFonts w:hint="eastAsia"/>
          <w:b/>
          <w:color w:val="auto"/>
          <w:szCs w:val="21"/>
          <w:highlight w:val="none"/>
        </w:rPr>
        <w:t>备注：</w:t>
      </w:r>
    </w:p>
    <w:p>
      <w:pPr>
        <w:spacing w:line="400" w:lineRule="exact"/>
        <w:rPr>
          <w:rFonts w:hint="eastAsia"/>
          <w:b/>
          <w:color w:val="auto"/>
          <w:szCs w:val="21"/>
          <w:highlight w:val="none"/>
        </w:rPr>
      </w:pPr>
      <w:r>
        <w:rPr>
          <w:rFonts w:hint="eastAsia"/>
          <w:b/>
          <w:color w:val="auto"/>
          <w:szCs w:val="21"/>
          <w:highlight w:val="none"/>
        </w:rPr>
        <w:t>1、考核采取百分制，以每个保安个体为单位。</w:t>
      </w:r>
    </w:p>
    <w:p>
      <w:pPr>
        <w:spacing w:line="400" w:lineRule="exact"/>
        <w:rPr>
          <w:rFonts w:hint="eastAsia"/>
          <w:b/>
          <w:color w:val="auto"/>
          <w:szCs w:val="21"/>
          <w:highlight w:val="none"/>
        </w:rPr>
      </w:pPr>
      <w:r>
        <w:rPr>
          <w:rFonts w:hint="eastAsia"/>
          <w:b/>
          <w:color w:val="auto"/>
          <w:szCs w:val="21"/>
          <w:highlight w:val="none"/>
        </w:rPr>
        <w:t>2、考核按等级划分成A、B、C三级。其中，90分（包括90分）以上为A级，</w:t>
      </w:r>
      <w:r>
        <w:rPr>
          <w:rFonts w:hint="eastAsia"/>
          <w:b/>
          <w:color w:val="auto"/>
          <w:szCs w:val="21"/>
          <w:highlight w:val="none"/>
        </w:rPr>
        <w:t>当月考核奖为</w:t>
      </w:r>
      <w:r>
        <w:rPr>
          <w:rFonts w:hint="eastAsia"/>
          <w:b/>
          <w:color w:val="auto"/>
          <w:szCs w:val="21"/>
          <w:highlight w:val="none"/>
          <w:lang w:val="en-US" w:eastAsia="zh-CN"/>
        </w:rPr>
        <w:t>5</w:t>
      </w:r>
      <w:r>
        <w:rPr>
          <w:rFonts w:hint="eastAsia"/>
          <w:b/>
          <w:color w:val="auto"/>
          <w:szCs w:val="21"/>
          <w:highlight w:val="none"/>
        </w:rPr>
        <w:t>00</w:t>
      </w:r>
      <w:r>
        <w:rPr>
          <w:rFonts w:hint="eastAsia"/>
          <w:b/>
          <w:color w:val="auto"/>
          <w:szCs w:val="21"/>
          <w:highlight w:val="none"/>
        </w:rPr>
        <w:t>元；70—89分（包括70分）为B级，当月</w:t>
      </w:r>
      <w:r>
        <w:rPr>
          <w:rFonts w:hint="eastAsia"/>
          <w:b/>
          <w:color w:val="auto"/>
          <w:szCs w:val="21"/>
          <w:highlight w:val="none"/>
        </w:rPr>
        <w:t>考核奖为</w:t>
      </w:r>
      <w:r>
        <w:rPr>
          <w:rFonts w:hint="eastAsia"/>
          <w:b/>
          <w:color w:val="auto"/>
          <w:szCs w:val="21"/>
          <w:highlight w:val="none"/>
          <w:lang w:val="en-US" w:eastAsia="zh-CN"/>
        </w:rPr>
        <w:t>3</w:t>
      </w:r>
      <w:r>
        <w:rPr>
          <w:rFonts w:hint="eastAsia"/>
          <w:b/>
          <w:color w:val="auto"/>
          <w:szCs w:val="21"/>
          <w:highlight w:val="none"/>
        </w:rPr>
        <w:t>00元</w:t>
      </w:r>
      <w:r>
        <w:rPr>
          <w:rFonts w:hint="eastAsia"/>
          <w:b/>
          <w:color w:val="auto"/>
          <w:szCs w:val="21"/>
          <w:highlight w:val="none"/>
        </w:rPr>
        <w:t>；69分以下为C级，当月考核奖为100元。</w:t>
      </w:r>
      <w:r>
        <w:rPr>
          <w:rFonts w:hint="eastAsia"/>
          <w:b/>
          <w:color w:val="auto"/>
          <w:szCs w:val="21"/>
          <w:highlight w:val="none"/>
          <w:lang w:eastAsia="zh-CN"/>
        </w:rPr>
        <w:t>在上级明察暗访中，发现脱岗、酒后上岗等严重违纪问题，视为无等级，扣发当月所有考核奖。</w:t>
      </w:r>
      <w:r>
        <w:rPr>
          <w:b/>
          <w:color w:val="auto"/>
          <w:szCs w:val="21"/>
          <w:highlight w:val="none"/>
        </w:rPr>
        <w:br w:type="textWrapping"/>
      </w:r>
      <w:r>
        <w:rPr>
          <w:rFonts w:hint="eastAsia"/>
          <w:b/>
          <w:color w:val="auto"/>
          <w:szCs w:val="21"/>
          <w:highlight w:val="none"/>
        </w:rPr>
        <w:t>3、有一票否决项目其中任意一条者即扣发当月全部考核奖，满足加分项每条增加5分，加分项只能在做出贡献或获得荣誉当月加分一次。</w:t>
      </w:r>
    </w:p>
    <w:p>
      <w:pPr>
        <w:spacing w:line="400" w:lineRule="exact"/>
        <w:rPr>
          <w:rFonts w:hint="eastAsia"/>
          <w:b/>
          <w:color w:val="auto"/>
          <w:szCs w:val="21"/>
          <w:highlight w:val="none"/>
        </w:rPr>
      </w:pPr>
      <w:r>
        <w:rPr>
          <w:rFonts w:hint="eastAsia"/>
          <w:b/>
          <w:color w:val="auto"/>
          <w:szCs w:val="21"/>
          <w:highlight w:val="none"/>
        </w:rPr>
        <w:t>4、考核成绩应告知保安人员。</w:t>
      </w:r>
    </w:p>
    <w:p>
      <w:pPr>
        <w:widowControl/>
        <w:shd w:val="clear" w:color="auto" w:fill="FFFFFF"/>
        <w:spacing w:line="360" w:lineRule="auto"/>
        <w:jc w:val="left"/>
        <w:rPr>
          <w:rFonts w:hint="eastAsia"/>
          <w:b/>
          <w:color w:val="auto"/>
          <w:szCs w:val="21"/>
          <w:highlight w:val="none"/>
        </w:rPr>
      </w:pPr>
      <w:r>
        <w:rPr>
          <w:rFonts w:hint="eastAsia"/>
          <w:b/>
          <w:color w:val="auto"/>
          <w:szCs w:val="21"/>
          <w:highlight w:val="none"/>
        </w:rPr>
        <w:t>5、《</w:t>
      </w:r>
      <w:r>
        <w:rPr>
          <w:rFonts w:hint="eastAsia" w:ascii="宋体" w:hAnsi="宋体" w:cs="宋体"/>
          <w:b/>
          <w:bCs/>
          <w:color w:val="auto"/>
          <w:kern w:val="0"/>
          <w:szCs w:val="21"/>
          <w:highlight w:val="none"/>
          <w:lang w:eastAsia="zh-CN"/>
        </w:rPr>
        <w:t>中小学、幼儿园</w:t>
      </w:r>
      <w:r>
        <w:rPr>
          <w:rFonts w:ascii="宋体" w:hAnsi="宋体" w:cs="宋体"/>
          <w:b/>
          <w:bCs/>
          <w:color w:val="auto"/>
          <w:kern w:val="0"/>
          <w:szCs w:val="21"/>
          <w:highlight w:val="none"/>
        </w:rPr>
        <w:t>保安队员考核</w:t>
      </w:r>
      <w:r>
        <w:rPr>
          <w:rFonts w:hint="eastAsia" w:ascii="宋体" w:hAnsi="宋体" w:cs="宋体"/>
          <w:b/>
          <w:bCs/>
          <w:color w:val="auto"/>
          <w:kern w:val="0"/>
          <w:szCs w:val="21"/>
          <w:highlight w:val="none"/>
        </w:rPr>
        <w:t>表</w:t>
      </w:r>
      <w:r>
        <w:rPr>
          <w:rFonts w:hint="eastAsia"/>
          <w:b/>
          <w:color w:val="auto"/>
          <w:szCs w:val="21"/>
          <w:highlight w:val="none"/>
        </w:rPr>
        <w:t xml:space="preserve">》应由考核小组组长签名和被考核保安人员签名生效。 </w:t>
      </w:r>
    </w:p>
    <w:p>
      <w:pPr>
        <w:spacing w:line="400" w:lineRule="exact"/>
        <w:rPr>
          <w:rFonts w:hint="eastAsia"/>
          <w:b/>
          <w:color w:val="auto"/>
          <w:szCs w:val="21"/>
          <w:highlight w:val="none"/>
        </w:rPr>
      </w:pPr>
      <w:r>
        <w:rPr>
          <w:rFonts w:hint="eastAsia"/>
          <w:b/>
          <w:color w:val="auto"/>
          <w:szCs w:val="21"/>
          <w:highlight w:val="none"/>
        </w:rPr>
        <w:t>6、北仑区教育局可结合工作实际对以上考核细则进行修订。</w:t>
      </w:r>
    </w:p>
    <w:p>
      <w:pPr>
        <w:widowControl/>
        <w:shd w:val="clear" w:color="auto" w:fill="FFFFFF"/>
        <w:spacing w:line="360" w:lineRule="auto"/>
        <w:rPr>
          <w:rFonts w:hint="eastAsia"/>
          <w:b/>
          <w:color w:val="auto"/>
          <w:szCs w:val="21"/>
          <w:highlight w:val="none"/>
        </w:rPr>
      </w:pPr>
      <w:r>
        <w:rPr>
          <w:rFonts w:hint="eastAsia"/>
          <w:b/>
          <w:color w:val="auto"/>
          <w:szCs w:val="21"/>
          <w:highlight w:val="none"/>
        </w:rPr>
        <w:t xml:space="preserve"> </w:t>
      </w:r>
    </w:p>
    <w:p>
      <w:pP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br w:type="page"/>
      </w:r>
    </w:p>
    <w:p>
      <w:pPr>
        <w:widowControl/>
        <w:shd w:val="clear" w:color="auto" w:fill="FFFFFF"/>
        <w:spacing w:line="360"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附表3：《</w:t>
      </w:r>
      <w:r>
        <w:rPr>
          <w:rFonts w:hint="eastAsia" w:ascii="宋体" w:hAnsi="宋体" w:cs="宋体"/>
          <w:b/>
          <w:bCs/>
          <w:color w:val="auto"/>
          <w:kern w:val="0"/>
          <w:szCs w:val="21"/>
          <w:highlight w:val="none"/>
          <w:lang w:eastAsia="zh-CN"/>
        </w:rPr>
        <w:t>北仑区校园</w:t>
      </w:r>
      <w:r>
        <w:rPr>
          <w:rFonts w:ascii="宋体" w:hAnsi="宋体" w:cs="宋体"/>
          <w:b/>
          <w:bCs/>
          <w:color w:val="auto"/>
          <w:kern w:val="0"/>
          <w:szCs w:val="21"/>
          <w:highlight w:val="none"/>
        </w:rPr>
        <w:t>保安队员考核</w:t>
      </w:r>
      <w:r>
        <w:rPr>
          <w:rFonts w:hint="eastAsia" w:ascii="宋体" w:hAnsi="宋体" w:cs="宋体"/>
          <w:b/>
          <w:bCs/>
          <w:color w:val="auto"/>
          <w:kern w:val="0"/>
          <w:szCs w:val="21"/>
          <w:highlight w:val="none"/>
        </w:rPr>
        <w:t>表》</w:t>
      </w:r>
    </w:p>
    <w:p>
      <w:pPr>
        <w:widowControl/>
        <w:shd w:val="clear" w:color="auto" w:fill="FFFFFF"/>
        <w:spacing w:line="360" w:lineRule="auto"/>
        <w:rPr>
          <w:rFonts w:hint="eastAsia" w:ascii="宋体" w:hAnsi="宋体" w:cs="宋体"/>
          <w:b/>
          <w:bCs/>
          <w:color w:val="auto"/>
          <w:kern w:val="0"/>
          <w:szCs w:val="21"/>
          <w:highlight w:val="none"/>
        </w:rPr>
      </w:pPr>
    </w:p>
    <w:p>
      <w:pPr>
        <w:widowControl/>
        <w:shd w:val="clear" w:color="auto" w:fill="FFFFFF"/>
        <w:spacing w:line="360" w:lineRule="auto"/>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北仑区校园</w:t>
      </w:r>
      <w:r>
        <w:rPr>
          <w:rFonts w:ascii="宋体" w:hAnsi="宋体" w:cs="宋体"/>
          <w:b/>
          <w:bCs/>
          <w:color w:val="auto"/>
          <w:kern w:val="0"/>
          <w:szCs w:val="21"/>
          <w:highlight w:val="none"/>
        </w:rPr>
        <w:t>保安队员考核</w:t>
      </w:r>
      <w:r>
        <w:rPr>
          <w:rFonts w:hint="eastAsia" w:ascii="宋体" w:hAnsi="宋体" w:cs="宋体"/>
          <w:b/>
          <w:bCs/>
          <w:color w:val="auto"/>
          <w:kern w:val="0"/>
          <w:szCs w:val="21"/>
          <w:highlight w:val="none"/>
        </w:rPr>
        <w:t>表</w:t>
      </w:r>
    </w:p>
    <w:tbl>
      <w:tblPr>
        <w:tblStyle w:val="6"/>
        <w:tblW w:w="9442" w:type="dxa"/>
        <w:tblCellSpacing w:w="0" w:type="dxa"/>
        <w:tblInd w:w="0" w:type="dxa"/>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74"/>
        <w:gridCol w:w="6979"/>
        <w:gridCol w:w="580"/>
      </w:tblGrid>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一级指标</w:t>
            </w:r>
          </w:p>
        </w:tc>
        <w:tc>
          <w:tcPr>
            <w:tcW w:w="874" w:type="dxa"/>
            <w:vAlign w:val="center"/>
          </w:tcPr>
          <w:p>
            <w:pPr>
              <w:widowControl/>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二级指标</w:t>
            </w:r>
          </w:p>
        </w:tc>
        <w:tc>
          <w:tcPr>
            <w:tcW w:w="6979" w:type="dxa"/>
            <w:vAlign w:val="center"/>
          </w:tcPr>
          <w:p>
            <w:pPr>
              <w:widowControl/>
              <w:spacing w:line="400" w:lineRule="exact"/>
              <w:ind w:firstLine="480"/>
              <w:jc w:val="center"/>
              <w:rPr>
                <w:rFonts w:hint="eastAsia" w:ascii="宋体" w:hAnsi="宋体" w:cs="宋体"/>
                <w:b/>
                <w:color w:val="auto"/>
                <w:kern w:val="0"/>
                <w:szCs w:val="21"/>
                <w:highlight w:val="none"/>
              </w:rPr>
            </w:pPr>
            <w:r>
              <w:rPr>
                <w:rFonts w:hint="eastAsia" w:ascii="宋体" w:hAnsi="宋体" w:cs="宋体"/>
                <w:b/>
                <w:bCs/>
                <w:color w:val="auto"/>
                <w:kern w:val="0"/>
                <w:szCs w:val="21"/>
                <w:highlight w:val="none"/>
              </w:rPr>
              <w:t>考核内容（下表括号中数字为该项分值）</w:t>
            </w:r>
          </w:p>
        </w:tc>
        <w:tc>
          <w:tcPr>
            <w:tcW w:w="580" w:type="dxa"/>
            <w:vAlign w:val="center"/>
          </w:tcPr>
          <w:p>
            <w:pPr>
              <w:widowControl/>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考核得分</w:t>
            </w: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考核</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w:t>
            </w:r>
          </w:p>
        </w:tc>
        <w:tc>
          <w:tcPr>
            <w:tcW w:w="874"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遵守纪律</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（20分）</w:t>
            </w:r>
          </w:p>
        </w:tc>
        <w:tc>
          <w:tcPr>
            <w:tcW w:w="6979" w:type="dxa"/>
            <w:vAlign w:val="center"/>
          </w:tcPr>
          <w:p>
            <w:pPr>
              <w:widowControl/>
              <w:spacing w:line="400" w:lineRule="exact"/>
              <w:rPr>
                <w:rFonts w:hint="eastAsia" w:ascii="宋体" w:hAnsi="宋体" w:cs="宋体"/>
                <w:b/>
                <w:bCs/>
                <w:color w:val="auto"/>
                <w:kern w:val="0"/>
                <w:szCs w:val="21"/>
                <w:highlight w:val="none"/>
              </w:rPr>
            </w:pPr>
            <w:r>
              <w:rPr>
                <w:rFonts w:hint="eastAsia" w:ascii="宋体" w:hAnsi="宋体" w:cs="宋体"/>
                <w:color w:val="auto"/>
                <w:kern w:val="0"/>
                <w:szCs w:val="21"/>
                <w:highlight w:val="none"/>
              </w:rPr>
              <w:t>服从学校领导管理，</w:t>
            </w:r>
            <w:r>
              <w:rPr>
                <w:rFonts w:ascii="宋体" w:hAnsi="宋体" w:cs="宋体"/>
                <w:color w:val="auto"/>
                <w:kern w:val="0"/>
                <w:szCs w:val="21"/>
                <w:highlight w:val="none"/>
              </w:rPr>
              <w:t>按规定履行职责</w:t>
            </w:r>
            <w:r>
              <w:rPr>
                <w:rFonts w:hint="eastAsia" w:ascii="宋体" w:hAnsi="宋体" w:cs="宋体"/>
                <w:color w:val="auto"/>
                <w:kern w:val="0"/>
                <w:szCs w:val="21"/>
                <w:highlight w:val="none"/>
              </w:rPr>
              <w:t>，不</w:t>
            </w:r>
            <w:r>
              <w:rPr>
                <w:rFonts w:ascii="宋体" w:hAnsi="宋体" w:cs="宋体"/>
                <w:color w:val="auto"/>
                <w:kern w:val="0"/>
                <w:szCs w:val="21"/>
                <w:highlight w:val="none"/>
              </w:rPr>
              <w:t>失职、渎职、不作为</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jc w:val="center"/>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遵守</w:t>
            </w:r>
            <w:r>
              <w:rPr>
                <w:rFonts w:ascii="宋体" w:hAnsi="宋体" w:cs="宋体"/>
                <w:color w:val="auto"/>
                <w:kern w:val="0"/>
                <w:szCs w:val="21"/>
                <w:highlight w:val="none"/>
              </w:rPr>
              <w:t>有关规章制度和规定</w:t>
            </w:r>
            <w:r>
              <w:rPr>
                <w:rFonts w:hint="eastAsia" w:ascii="宋体" w:hAnsi="宋体" w:cs="宋体"/>
                <w:color w:val="auto"/>
                <w:kern w:val="0"/>
                <w:szCs w:val="21"/>
                <w:highlight w:val="none"/>
              </w:rPr>
              <w:t>，</w:t>
            </w:r>
            <w:r>
              <w:rPr>
                <w:rFonts w:ascii="宋体" w:hAnsi="宋体" w:cs="宋体"/>
                <w:color w:val="auto"/>
                <w:kern w:val="0"/>
                <w:szCs w:val="21"/>
                <w:highlight w:val="none"/>
              </w:rPr>
              <w:t>按</w:t>
            </w:r>
            <w:r>
              <w:rPr>
                <w:rFonts w:hint="eastAsia" w:ascii="宋体" w:hAnsi="宋体" w:cs="宋体"/>
                <w:color w:val="auto"/>
                <w:kern w:val="0"/>
                <w:szCs w:val="21"/>
                <w:highlight w:val="none"/>
              </w:rPr>
              <w:t>时</w:t>
            </w:r>
            <w:r>
              <w:rPr>
                <w:rFonts w:ascii="宋体" w:hAnsi="宋体" w:cs="宋体"/>
                <w:color w:val="auto"/>
                <w:kern w:val="0"/>
                <w:szCs w:val="21"/>
                <w:highlight w:val="none"/>
              </w:rPr>
              <w:t>交接班</w:t>
            </w:r>
            <w:r>
              <w:rPr>
                <w:rFonts w:hint="eastAsia" w:ascii="宋体" w:hAnsi="宋体" w:cs="宋体"/>
                <w:color w:val="auto"/>
                <w:kern w:val="0"/>
                <w:szCs w:val="21"/>
                <w:highlight w:val="none"/>
              </w:rPr>
              <w:t>，不</w:t>
            </w:r>
            <w:r>
              <w:rPr>
                <w:rFonts w:ascii="宋体" w:hAnsi="宋体" w:cs="宋体"/>
                <w:color w:val="auto"/>
                <w:kern w:val="0"/>
                <w:szCs w:val="21"/>
                <w:highlight w:val="none"/>
              </w:rPr>
              <w:t>迟到、早退、脱岗</w:t>
            </w:r>
            <w:r>
              <w:rPr>
                <w:rFonts w:hint="eastAsia" w:ascii="宋体" w:hAnsi="宋体" w:cs="宋体"/>
                <w:color w:val="auto"/>
                <w:kern w:val="0"/>
                <w:szCs w:val="21"/>
                <w:highlight w:val="none"/>
              </w:rPr>
              <w:t>，不</w:t>
            </w:r>
            <w:r>
              <w:rPr>
                <w:rFonts w:ascii="宋体" w:hAnsi="宋体" w:cs="宋体"/>
                <w:color w:val="auto"/>
                <w:kern w:val="0"/>
                <w:szCs w:val="21"/>
                <w:highlight w:val="none"/>
              </w:rPr>
              <w:t>擅自调换班次、岗位</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ascii="宋体" w:hAnsi="宋体" w:cs="宋体"/>
                <w:color w:val="auto"/>
                <w:kern w:val="0"/>
                <w:szCs w:val="21"/>
                <w:highlight w:val="none"/>
              </w:rPr>
            </w:pPr>
          </w:p>
        </w:tc>
        <w:tc>
          <w:tcPr>
            <w:tcW w:w="874" w:type="dxa"/>
            <w:vMerge w:val="restart"/>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保持形象</w:t>
            </w:r>
          </w:p>
          <w:p>
            <w:pPr>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（15分）</w:t>
            </w:r>
          </w:p>
        </w:tc>
        <w:tc>
          <w:tcPr>
            <w:tcW w:w="6979"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按规定着装、配戴徽章或标记</w:t>
            </w:r>
            <w:r>
              <w:rPr>
                <w:rFonts w:hint="eastAsia" w:ascii="宋体" w:hAnsi="宋体" w:cs="宋体"/>
                <w:color w:val="auto"/>
                <w:kern w:val="0"/>
                <w:szCs w:val="21"/>
                <w:highlight w:val="none"/>
              </w:rPr>
              <w:t>、</w:t>
            </w:r>
            <w:r>
              <w:rPr>
                <w:rFonts w:ascii="宋体" w:hAnsi="宋体" w:cs="宋体"/>
                <w:color w:val="auto"/>
                <w:kern w:val="0"/>
                <w:szCs w:val="21"/>
                <w:highlight w:val="none"/>
              </w:rPr>
              <w:t>携带</w:t>
            </w:r>
            <w:r>
              <w:rPr>
                <w:rFonts w:hint="eastAsia" w:ascii="宋体" w:hAnsi="宋体" w:cs="宋体"/>
                <w:color w:val="auto"/>
                <w:kern w:val="0"/>
                <w:szCs w:val="21"/>
                <w:highlight w:val="none"/>
              </w:rPr>
              <w:t>保安</w:t>
            </w:r>
            <w:r>
              <w:rPr>
                <w:rFonts w:ascii="宋体" w:hAnsi="宋体" w:cs="宋体"/>
                <w:color w:val="auto"/>
                <w:kern w:val="0"/>
                <w:szCs w:val="21"/>
                <w:highlight w:val="none"/>
              </w:rPr>
              <w:t>装备</w:t>
            </w:r>
            <w:r>
              <w:rPr>
                <w:rFonts w:hint="eastAsia" w:ascii="宋体" w:hAnsi="宋体" w:cs="宋体"/>
                <w:color w:val="auto"/>
                <w:kern w:val="0"/>
                <w:szCs w:val="21"/>
                <w:highlight w:val="none"/>
              </w:rPr>
              <w:t>，</w:t>
            </w:r>
            <w:r>
              <w:rPr>
                <w:rFonts w:ascii="宋体" w:hAnsi="宋体" w:cs="宋体"/>
                <w:color w:val="auto"/>
                <w:kern w:val="0"/>
                <w:szCs w:val="21"/>
                <w:highlight w:val="none"/>
              </w:rPr>
              <w:t>值勤时衣着整洁、精神饱满</w:t>
            </w:r>
            <w:r>
              <w:rPr>
                <w:rFonts w:hint="eastAsia" w:ascii="宋体" w:hAnsi="宋体" w:cs="宋体"/>
                <w:color w:val="auto"/>
                <w:kern w:val="0"/>
                <w:szCs w:val="21"/>
                <w:highlight w:val="none"/>
              </w:rPr>
              <w:t>,</w:t>
            </w:r>
            <w:r>
              <w:rPr>
                <w:rFonts w:ascii="宋体" w:hAnsi="宋体" w:cs="宋体"/>
                <w:color w:val="auto"/>
                <w:kern w:val="0"/>
                <w:szCs w:val="21"/>
                <w:highlight w:val="none"/>
              </w:rPr>
              <w:t>热情、规范</w:t>
            </w:r>
            <w:r>
              <w:rPr>
                <w:rFonts w:hint="eastAsia" w:ascii="宋体" w:hAnsi="宋体" w:cs="宋体"/>
                <w:color w:val="auto"/>
                <w:kern w:val="0"/>
                <w:szCs w:val="21"/>
                <w:highlight w:val="none"/>
              </w:rPr>
              <w:t>接待</w:t>
            </w:r>
            <w:r>
              <w:rPr>
                <w:rFonts w:ascii="宋体" w:hAnsi="宋体" w:cs="宋体"/>
                <w:color w:val="auto"/>
                <w:kern w:val="0"/>
                <w:szCs w:val="21"/>
                <w:highlight w:val="none"/>
              </w:rPr>
              <w:t>来访人员</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ascii="宋体" w:hAnsi="宋体" w:cs="宋体"/>
                <w:color w:val="auto"/>
                <w:kern w:val="0"/>
                <w:szCs w:val="21"/>
                <w:highlight w:val="none"/>
              </w:rPr>
            </w:pPr>
          </w:p>
        </w:tc>
        <w:tc>
          <w:tcPr>
            <w:tcW w:w="874" w:type="dxa"/>
            <w:vMerge w:val="continue"/>
            <w:vAlign w:val="center"/>
          </w:tcPr>
          <w:p>
            <w:pPr>
              <w:spacing w:line="400" w:lineRule="exact"/>
              <w:jc w:val="center"/>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负责校门周边卫生，注意保持清洁，值班室物品有序摆放（5）。</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认真履责</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（55分）</w:t>
            </w: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按规定</w:t>
            </w:r>
            <w:r>
              <w:rPr>
                <w:rFonts w:ascii="宋体" w:hAnsi="宋体" w:cs="宋体"/>
                <w:color w:val="auto"/>
                <w:kern w:val="0"/>
                <w:szCs w:val="21"/>
                <w:highlight w:val="none"/>
              </w:rPr>
              <w:t>登记出入大门的人员和车辆，对外来人员进行询问，查验有效证件并办理登记手续，及时与有关人员联系并填写好会客单</w:t>
            </w:r>
            <w:r>
              <w:rPr>
                <w:rFonts w:hint="eastAsia" w:ascii="宋体" w:hAnsi="宋体" w:cs="宋体"/>
                <w:color w:val="auto"/>
                <w:kern w:val="0"/>
                <w:szCs w:val="21"/>
                <w:highlight w:val="none"/>
              </w:rPr>
              <w:t>，</w:t>
            </w:r>
            <w:r>
              <w:rPr>
                <w:rFonts w:ascii="宋体" w:hAnsi="宋体" w:cs="宋体"/>
                <w:color w:val="auto"/>
                <w:kern w:val="0"/>
                <w:szCs w:val="21"/>
                <w:highlight w:val="none"/>
              </w:rPr>
              <w:t>离校时收回执单</w:t>
            </w:r>
            <w:r>
              <w:rPr>
                <w:rFonts w:hint="eastAsia" w:ascii="宋体" w:hAnsi="宋体" w:cs="宋体"/>
                <w:color w:val="auto"/>
                <w:kern w:val="0"/>
                <w:szCs w:val="21"/>
                <w:highlight w:val="none"/>
              </w:rPr>
              <w:t>，</w:t>
            </w:r>
            <w:r>
              <w:rPr>
                <w:rFonts w:ascii="宋体" w:hAnsi="宋体" w:cs="宋体"/>
                <w:color w:val="auto"/>
                <w:kern w:val="0"/>
                <w:szCs w:val="21"/>
                <w:highlight w:val="none"/>
              </w:rPr>
              <w:t>禁止无关人员和车辆进入校园</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指挥、疏导车辆停放在指定位置，保证出入畅通</w:t>
            </w:r>
            <w:r>
              <w:rPr>
                <w:rFonts w:hint="eastAsia" w:ascii="宋体" w:hAnsi="宋体" w:cs="宋体"/>
                <w:color w:val="auto"/>
                <w:kern w:val="0"/>
                <w:szCs w:val="21"/>
                <w:highlight w:val="none"/>
              </w:rPr>
              <w:t>，</w:t>
            </w:r>
            <w:r>
              <w:rPr>
                <w:rFonts w:ascii="宋体" w:hAnsi="宋体" w:cs="宋体"/>
                <w:color w:val="auto"/>
                <w:kern w:val="0"/>
                <w:szCs w:val="21"/>
                <w:highlight w:val="none"/>
              </w:rPr>
              <w:t>学校上学、放学时段到大门</w:t>
            </w:r>
            <w:r>
              <w:rPr>
                <w:rFonts w:hint="eastAsia" w:ascii="宋体" w:hAnsi="宋体" w:cs="宋体"/>
                <w:color w:val="auto"/>
                <w:kern w:val="0"/>
                <w:szCs w:val="21"/>
                <w:highlight w:val="none"/>
              </w:rPr>
              <w:t>执勤，协同老师维护交通秩序（10）。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严格按照学校的作息时间开闭校门</w:t>
            </w:r>
            <w:r>
              <w:rPr>
                <w:rFonts w:hint="eastAsia" w:ascii="宋体" w:hAnsi="宋体" w:cs="宋体"/>
                <w:color w:val="auto"/>
                <w:kern w:val="0"/>
                <w:szCs w:val="21"/>
                <w:highlight w:val="none"/>
              </w:rPr>
              <w:t>，及时</w:t>
            </w:r>
            <w:r>
              <w:rPr>
                <w:rFonts w:ascii="宋体" w:hAnsi="宋体" w:cs="宋体"/>
                <w:color w:val="auto"/>
                <w:kern w:val="0"/>
                <w:szCs w:val="21"/>
                <w:highlight w:val="none"/>
              </w:rPr>
              <w:t>登记迟到或早退的学生</w:t>
            </w:r>
            <w:r>
              <w:rPr>
                <w:rFonts w:hint="eastAsia" w:ascii="宋体" w:hAnsi="宋体" w:cs="宋体"/>
                <w:color w:val="auto"/>
                <w:kern w:val="0"/>
                <w:szCs w:val="21"/>
                <w:highlight w:val="none"/>
              </w:rPr>
              <w:t>，</w:t>
            </w:r>
            <w:r>
              <w:rPr>
                <w:rFonts w:ascii="宋体" w:hAnsi="宋体" w:cs="宋体"/>
                <w:color w:val="auto"/>
                <w:kern w:val="0"/>
                <w:szCs w:val="21"/>
                <w:highlight w:val="none"/>
              </w:rPr>
              <w:t>上课时间，学生未办理请假手续严禁外出</w:t>
            </w:r>
            <w:r>
              <w:rPr>
                <w:rFonts w:hint="eastAsia" w:ascii="宋体" w:hAnsi="宋体" w:cs="宋体"/>
                <w:color w:val="auto"/>
                <w:kern w:val="0"/>
                <w:szCs w:val="21"/>
                <w:highlight w:val="none"/>
              </w:rPr>
              <w:t>，</w:t>
            </w:r>
            <w:r>
              <w:rPr>
                <w:rFonts w:ascii="宋体" w:hAnsi="宋体" w:cs="宋体"/>
                <w:color w:val="auto"/>
                <w:kern w:val="0"/>
                <w:szCs w:val="21"/>
                <w:highlight w:val="none"/>
              </w:rPr>
              <w:t>非上学时间</w:t>
            </w:r>
            <w:r>
              <w:rPr>
                <w:rFonts w:hint="eastAsia" w:ascii="宋体" w:hAnsi="宋体" w:cs="宋体"/>
                <w:color w:val="auto"/>
                <w:kern w:val="0"/>
                <w:szCs w:val="21"/>
                <w:highlight w:val="none"/>
              </w:rPr>
              <w:t>认真</w:t>
            </w:r>
            <w:r>
              <w:rPr>
                <w:rFonts w:ascii="宋体" w:hAnsi="宋体" w:cs="宋体"/>
                <w:color w:val="auto"/>
                <w:kern w:val="0"/>
                <w:szCs w:val="21"/>
                <w:highlight w:val="none"/>
              </w:rPr>
              <w:t>检查门窗锁闭情况</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通过监控系统监视校园情况，认真做好当班记录，</w:t>
            </w:r>
            <w:r>
              <w:rPr>
                <w:rFonts w:hint="eastAsia" w:ascii="宋体" w:hAnsi="宋体" w:cs="宋体"/>
                <w:color w:val="auto"/>
                <w:kern w:val="0"/>
                <w:szCs w:val="21"/>
                <w:highlight w:val="none"/>
              </w:rPr>
              <w:t>发现</w:t>
            </w:r>
            <w:r>
              <w:rPr>
                <w:rFonts w:ascii="宋体" w:hAnsi="宋体" w:cs="宋体"/>
                <w:color w:val="auto"/>
                <w:kern w:val="0"/>
                <w:szCs w:val="21"/>
                <w:highlight w:val="none"/>
              </w:rPr>
              <w:t>特殊情况或突发事件，及时向主管部门及学校领导报告</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ascii="宋体" w:hAnsi="宋体" w:cs="宋体"/>
                <w:color w:val="auto"/>
                <w:kern w:val="0"/>
                <w:szCs w:val="21"/>
                <w:highlight w:val="none"/>
              </w:rPr>
              <w:t>熟悉巡逻区域的基本情况</w:t>
            </w:r>
            <w:r>
              <w:rPr>
                <w:rFonts w:hint="eastAsia" w:ascii="宋体" w:hAnsi="宋体" w:cs="宋体"/>
                <w:color w:val="auto"/>
                <w:kern w:val="0"/>
                <w:szCs w:val="21"/>
                <w:highlight w:val="none"/>
              </w:rPr>
              <w:t>，</w:t>
            </w:r>
            <w:r>
              <w:rPr>
                <w:rFonts w:ascii="宋体" w:hAnsi="宋体" w:cs="宋体"/>
                <w:color w:val="auto"/>
                <w:kern w:val="0"/>
                <w:szCs w:val="21"/>
                <w:highlight w:val="none"/>
              </w:rPr>
              <w:t>巡逻时不影响学校的正常工作</w:t>
            </w:r>
            <w:r>
              <w:rPr>
                <w:rFonts w:hint="eastAsia" w:ascii="宋体" w:hAnsi="宋体" w:cs="宋体"/>
                <w:color w:val="auto"/>
                <w:kern w:val="0"/>
                <w:szCs w:val="21"/>
                <w:highlight w:val="none"/>
              </w:rPr>
              <w:t>，认真</w:t>
            </w:r>
            <w:r>
              <w:rPr>
                <w:rFonts w:ascii="宋体" w:hAnsi="宋体" w:cs="宋体"/>
                <w:color w:val="auto"/>
                <w:kern w:val="0"/>
                <w:szCs w:val="21"/>
                <w:highlight w:val="none"/>
              </w:rPr>
              <w:t>盘查可疑人员，及时将闲杂人员劝离，发现问题及时向相关管理部门反映，每次巡查后应做好巡查记录</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hint="eastAsia"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Align w:val="top"/>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道德高尚（10分）</w:t>
            </w: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对学生、家长、群众的求救，</w:t>
            </w:r>
            <w:r>
              <w:rPr>
                <w:rFonts w:hint="eastAsia" w:ascii="宋体" w:hAnsi="宋体" w:cs="宋体"/>
                <w:color w:val="auto"/>
                <w:kern w:val="0"/>
                <w:szCs w:val="21"/>
                <w:highlight w:val="none"/>
              </w:rPr>
              <w:t>积极予以援救，不</w:t>
            </w:r>
            <w:r>
              <w:rPr>
                <w:rFonts w:ascii="宋体" w:hAnsi="宋体" w:cs="宋体"/>
                <w:color w:val="auto"/>
                <w:kern w:val="0"/>
                <w:szCs w:val="21"/>
                <w:highlight w:val="none"/>
              </w:rPr>
              <w:t>利用职务之便，吃、拿、卡、要</w:t>
            </w:r>
            <w:r>
              <w:rPr>
                <w:rFonts w:hint="eastAsia" w:ascii="宋体" w:hAnsi="宋体" w:cs="宋体"/>
                <w:color w:val="auto"/>
                <w:kern w:val="0"/>
                <w:szCs w:val="21"/>
                <w:highlight w:val="none"/>
              </w:rPr>
              <w:t>（10）。</w:t>
            </w:r>
          </w:p>
        </w:tc>
        <w:tc>
          <w:tcPr>
            <w:tcW w:w="580" w:type="dxa"/>
            <w:vAlign w:val="center"/>
          </w:tcPr>
          <w:p>
            <w:pPr>
              <w:widowControl/>
              <w:spacing w:line="400" w:lineRule="exact"/>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一票否决项</w:t>
            </w:r>
          </w:p>
        </w:tc>
        <w:tc>
          <w:tcPr>
            <w:tcW w:w="874" w:type="dxa"/>
            <w:vMerge w:val="restart"/>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私自脱岗、</w:t>
            </w:r>
            <w:r>
              <w:rPr>
                <w:rFonts w:ascii="宋体" w:hAnsi="宋体" w:cs="宋体"/>
                <w:color w:val="auto"/>
                <w:kern w:val="0"/>
                <w:szCs w:val="21"/>
                <w:highlight w:val="none"/>
              </w:rPr>
              <w:t>酒后上岗或上岗饮酒</w:t>
            </w:r>
            <w:r>
              <w:rPr>
                <w:rFonts w:hint="eastAsia" w:ascii="宋体" w:hAnsi="宋体" w:cs="宋体"/>
                <w:color w:val="auto"/>
                <w:kern w:val="0"/>
                <w:szCs w:val="21"/>
                <w:highlight w:val="none"/>
              </w:rPr>
              <w:t>。</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上级检查发现没有</w:t>
            </w:r>
            <w:r>
              <w:rPr>
                <w:rFonts w:ascii="宋体" w:hAnsi="宋体" w:cs="宋体"/>
                <w:color w:val="auto"/>
                <w:kern w:val="0"/>
                <w:szCs w:val="21"/>
                <w:highlight w:val="none"/>
              </w:rPr>
              <w:t>按照有关规定履行职责</w:t>
            </w:r>
            <w:r>
              <w:rPr>
                <w:rFonts w:hint="eastAsia" w:ascii="宋体" w:hAnsi="宋体" w:cs="宋体"/>
                <w:color w:val="auto"/>
                <w:kern w:val="0"/>
                <w:szCs w:val="21"/>
                <w:highlight w:val="none"/>
              </w:rPr>
              <w:t>或</w:t>
            </w:r>
            <w:r>
              <w:rPr>
                <w:rFonts w:ascii="宋体" w:hAnsi="宋体" w:cs="宋体"/>
                <w:color w:val="auto"/>
                <w:kern w:val="0"/>
                <w:szCs w:val="21"/>
                <w:highlight w:val="none"/>
              </w:rPr>
              <w:t>被学生、家长、老师、群众等投诉，经查，情节</w:t>
            </w:r>
            <w:r>
              <w:rPr>
                <w:rFonts w:hint="eastAsia" w:ascii="宋体" w:hAnsi="宋体" w:cs="宋体"/>
                <w:color w:val="auto"/>
                <w:kern w:val="0"/>
                <w:szCs w:val="21"/>
                <w:highlight w:val="none"/>
              </w:rPr>
              <w:t>属实的。</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拾得财物不主动上交或不退还失主而占为己有的</w:t>
            </w:r>
            <w:r>
              <w:rPr>
                <w:rFonts w:hint="eastAsia" w:ascii="宋体" w:hAnsi="宋体" w:cs="宋体"/>
                <w:color w:val="auto"/>
                <w:kern w:val="0"/>
                <w:szCs w:val="21"/>
                <w:highlight w:val="none"/>
              </w:rPr>
              <w:t>。</w:t>
            </w:r>
          </w:p>
        </w:tc>
        <w:tc>
          <w:tcPr>
            <w:tcW w:w="580" w:type="dxa"/>
            <w:vAlign w:val="center"/>
          </w:tcPr>
          <w:p>
            <w:pPr>
              <w:widowControl/>
              <w:spacing w:line="400" w:lineRule="exact"/>
              <w:ind w:firstLine="345"/>
              <w:jc w:val="center"/>
              <w:rPr>
                <w:rFonts w:hint="eastAsia" w:ascii="宋体" w:hAnsi="宋体" w:cs="宋体"/>
                <w:b/>
                <w:bCs/>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加</w:t>
            </w:r>
          </w:p>
          <w:p>
            <w:pPr>
              <w:widowControl/>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分</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874" w:type="dxa"/>
            <w:vMerge w:val="restart"/>
            <w:vAlign w:val="center"/>
          </w:tcPr>
          <w:p>
            <w:pPr>
              <w:widowControl/>
              <w:spacing w:line="400" w:lineRule="exact"/>
              <w:rPr>
                <w:rFonts w:hint="eastAsia"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为破获案件</w:t>
            </w:r>
            <w:r>
              <w:rPr>
                <w:rFonts w:ascii="宋体" w:hAnsi="宋体" w:cs="宋体"/>
                <w:color w:val="auto"/>
                <w:kern w:val="0"/>
                <w:szCs w:val="21"/>
                <w:highlight w:val="none"/>
              </w:rPr>
              <w:t>提供重要线索的</w:t>
            </w:r>
            <w:r>
              <w:rPr>
                <w:rFonts w:hint="eastAsia" w:ascii="宋体" w:hAnsi="宋体" w:cs="宋体"/>
                <w:color w:val="auto"/>
                <w:kern w:val="0"/>
                <w:szCs w:val="21"/>
                <w:highlight w:val="none"/>
              </w:rPr>
              <w:t>或</w:t>
            </w:r>
            <w:r>
              <w:rPr>
                <w:rFonts w:ascii="宋体" w:hAnsi="宋体" w:cs="宋体"/>
                <w:color w:val="auto"/>
                <w:kern w:val="0"/>
                <w:szCs w:val="21"/>
                <w:highlight w:val="none"/>
              </w:rPr>
              <w:t>抓获被刑拘</w:t>
            </w:r>
            <w:r>
              <w:rPr>
                <w:rFonts w:hint="eastAsia" w:ascii="宋体" w:hAnsi="宋体" w:cs="宋体"/>
                <w:color w:val="auto"/>
                <w:kern w:val="0"/>
                <w:szCs w:val="21"/>
                <w:highlight w:val="none"/>
              </w:rPr>
              <w:t>、</w:t>
            </w:r>
            <w:r>
              <w:rPr>
                <w:rFonts w:ascii="宋体" w:hAnsi="宋体" w:cs="宋体"/>
                <w:color w:val="auto"/>
                <w:kern w:val="0"/>
                <w:szCs w:val="21"/>
                <w:highlight w:val="none"/>
              </w:rPr>
              <w:t>逮捕的犯罪嫌疑人</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遇突发事件</w:t>
            </w:r>
            <w:r>
              <w:rPr>
                <w:rFonts w:hint="eastAsia" w:ascii="宋体" w:hAnsi="宋体" w:cs="宋体"/>
                <w:color w:val="auto"/>
                <w:kern w:val="0"/>
                <w:szCs w:val="21"/>
                <w:highlight w:val="none"/>
              </w:rPr>
              <w:t>、</w:t>
            </w:r>
            <w:r>
              <w:rPr>
                <w:rFonts w:ascii="宋体" w:hAnsi="宋体" w:cs="宋体"/>
                <w:color w:val="auto"/>
                <w:kern w:val="0"/>
                <w:szCs w:val="21"/>
                <w:highlight w:val="none"/>
              </w:rPr>
              <w:t>险情</w:t>
            </w:r>
            <w:r>
              <w:rPr>
                <w:rFonts w:hint="eastAsia" w:ascii="宋体" w:hAnsi="宋体" w:cs="宋体"/>
                <w:color w:val="auto"/>
                <w:kern w:val="0"/>
                <w:szCs w:val="21"/>
                <w:highlight w:val="none"/>
              </w:rPr>
              <w:t>等</w:t>
            </w:r>
            <w:r>
              <w:rPr>
                <w:rFonts w:ascii="宋体" w:hAnsi="宋体" w:cs="宋体"/>
                <w:color w:val="auto"/>
                <w:kern w:val="0"/>
                <w:szCs w:val="21"/>
                <w:highlight w:val="none"/>
              </w:rPr>
              <w:t>紧急情况，挺身而出、见义勇为的</w:t>
            </w:r>
            <w:r>
              <w:rPr>
                <w:rFonts w:hint="eastAsia" w:ascii="宋体" w:hAnsi="宋体" w:cs="宋体"/>
                <w:color w:val="auto"/>
                <w:kern w:val="0"/>
                <w:szCs w:val="21"/>
                <w:highlight w:val="none"/>
              </w:rPr>
              <w:t>,</w:t>
            </w:r>
            <w:r>
              <w:rPr>
                <w:rFonts w:ascii="宋体" w:hAnsi="宋体" w:cs="宋体"/>
                <w:color w:val="auto"/>
                <w:kern w:val="0"/>
                <w:szCs w:val="21"/>
                <w:highlight w:val="none"/>
              </w:rPr>
              <w:t>受到</w:t>
            </w:r>
            <w:r>
              <w:rPr>
                <w:rFonts w:hint="eastAsia" w:ascii="宋体" w:hAnsi="宋体" w:cs="宋体"/>
                <w:color w:val="auto"/>
                <w:kern w:val="0"/>
                <w:szCs w:val="21"/>
                <w:highlight w:val="none"/>
              </w:rPr>
              <w:t>上级</w:t>
            </w:r>
            <w:r>
              <w:rPr>
                <w:rFonts w:ascii="宋体" w:hAnsi="宋体" w:cs="宋体"/>
                <w:color w:val="auto"/>
                <w:kern w:val="0"/>
                <w:szCs w:val="21"/>
                <w:highlight w:val="none"/>
              </w:rPr>
              <w:t>新闻媒体宣传报道或收到表扬信、锦旗</w:t>
            </w:r>
            <w:r>
              <w:rPr>
                <w:rFonts w:hint="eastAsia" w:ascii="宋体" w:hAnsi="宋体" w:cs="宋体"/>
                <w:color w:val="auto"/>
                <w:kern w:val="0"/>
                <w:szCs w:val="21"/>
                <w:highlight w:val="none"/>
              </w:rPr>
              <w:t>等</w:t>
            </w:r>
            <w:r>
              <w:rPr>
                <w:rFonts w:ascii="宋体" w:hAnsi="宋体" w:cs="宋体"/>
                <w:color w:val="auto"/>
                <w:kern w:val="0"/>
                <w:szCs w:val="21"/>
                <w:highlight w:val="none"/>
              </w:rPr>
              <w:t>，为学校、</w:t>
            </w:r>
            <w:r>
              <w:rPr>
                <w:rFonts w:hint="eastAsia" w:ascii="宋体" w:hAnsi="宋体" w:cs="宋体"/>
                <w:color w:val="auto"/>
                <w:kern w:val="0"/>
                <w:szCs w:val="21"/>
                <w:highlight w:val="none"/>
              </w:rPr>
              <w:t>保安公司</w:t>
            </w:r>
            <w:r>
              <w:rPr>
                <w:rFonts w:ascii="宋体" w:hAnsi="宋体" w:cs="宋体"/>
                <w:color w:val="auto"/>
                <w:kern w:val="0"/>
                <w:szCs w:val="21"/>
                <w:highlight w:val="none"/>
              </w:rPr>
              <w:t>赢得声誉的</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发现学校重大安全隐患（火警、水电、交通等），及时报告、报警、排除的</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ascii="宋体" w:hAnsi="宋体" w:cs="宋体"/>
                <w:color w:val="auto"/>
                <w:kern w:val="0"/>
                <w:szCs w:val="21"/>
                <w:highlight w:val="none"/>
              </w:rPr>
            </w:pPr>
          </w:p>
        </w:tc>
        <w:tc>
          <w:tcPr>
            <w:tcW w:w="874" w:type="dxa"/>
            <w:vMerge w:val="continue"/>
            <w:vAlign w:val="center"/>
          </w:tcPr>
          <w:p>
            <w:pPr>
              <w:widowControl/>
              <w:spacing w:line="400" w:lineRule="exact"/>
              <w:rPr>
                <w:rFonts w:ascii="宋体" w:hAnsi="宋体" w:cs="宋体"/>
                <w:color w:val="auto"/>
                <w:kern w:val="0"/>
                <w:szCs w:val="21"/>
                <w:highlight w:val="none"/>
              </w:rPr>
            </w:pPr>
          </w:p>
        </w:tc>
        <w:tc>
          <w:tcPr>
            <w:tcW w:w="6979" w:type="dxa"/>
            <w:vAlign w:val="center"/>
          </w:tcPr>
          <w:p>
            <w:pPr>
              <w:widowControl/>
              <w:spacing w:line="400" w:lineRule="exact"/>
              <w:rPr>
                <w:rFonts w:ascii="宋体" w:hAnsi="宋体" w:cs="宋体"/>
                <w:color w:val="auto"/>
                <w:kern w:val="0"/>
                <w:szCs w:val="21"/>
                <w:highlight w:val="none"/>
              </w:rPr>
            </w:pPr>
            <w:r>
              <w:rPr>
                <w:rFonts w:ascii="宋体" w:hAnsi="宋体" w:cs="宋体"/>
                <w:color w:val="auto"/>
                <w:kern w:val="0"/>
                <w:szCs w:val="21"/>
                <w:highlight w:val="none"/>
              </w:rPr>
              <w:t>工作成绩突出，被</w:t>
            </w:r>
            <w:r>
              <w:rPr>
                <w:rFonts w:hint="eastAsia" w:ascii="宋体" w:hAnsi="宋体" w:cs="宋体"/>
                <w:color w:val="auto"/>
                <w:kern w:val="0"/>
                <w:szCs w:val="21"/>
                <w:highlight w:val="none"/>
              </w:rPr>
              <w:t>上级评为安保工作先进个人，</w:t>
            </w:r>
            <w:r>
              <w:rPr>
                <w:rFonts w:ascii="宋体" w:hAnsi="宋体" w:cs="宋体"/>
                <w:color w:val="auto"/>
                <w:kern w:val="0"/>
                <w:szCs w:val="21"/>
                <w:highlight w:val="none"/>
              </w:rPr>
              <w:t>有其他突出事迹、重大功绩者</w:t>
            </w:r>
            <w:r>
              <w:rPr>
                <w:rFonts w:hint="eastAsia" w:ascii="宋体" w:hAnsi="宋体" w:cs="宋体"/>
                <w:color w:val="auto"/>
                <w:kern w:val="0"/>
                <w:szCs w:val="21"/>
                <w:highlight w:val="none"/>
              </w:rPr>
              <w:t>。</w:t>
            </w:r>
          </w:p>
        </w:tc>
        <w:tc>
          <w:tcPr>
            <w:tcW w:w="580" w:type="dxa"/>
            <w:vAlign w:val="center"/>
          </w:tcPr>
          <w:p>
            <w:pPr>
              <w:widowControl/>
              <w:spacing w:line="400" w:lineRule="exact"/>
              <w:jc w:val="center"/>
              <w:rPr>
                <w:rFonts w:hint="eastAsia" w:ascii="宋体" w:hAnsi="宋体" w:cs="宋体"/>
                <w:color w:val="auto"/>
                <w:kern w:val="0"/>
                <w:szCs w:val="21"/>
                <w:highlight w:val="none"/>
              </w:rPr>
            </w:pPr>
          </w:p>
        </w:tc>
      </w:tr>
    </w:tbl>
    <w:p>
      <w:pPr>
        <w:spacing w:line="360" w:lineRule="auto"/>
        <w:rPr>
          <w:rFonts w:hint="eastAsia"/>
          <w:color w:val="auto"/>
          <w:szCs w:val="21"/>
          <w:highlight w:val="none"/>
        </w:rPr>
      </w:pPr>
      <w:r>
        <w:rPr>
          <w:rFonts w:hint="eastAsia"/>
          <w:color w:val="auto"/>
          <w:szCs w:val="21"/>
          <w:highlight w:val="none"/>
        </w:rPr>
        <w:t>考核学校：                 考核时间：               考核成绩：</w:t>
      </w:r>
    </w:p>
    <w:p>
      <w:pPr>
        <w:spacing w:line="360" w:lineRule="auto"/>
        <w:rPr>
          <w:rFonts w:hint="eastAsia"/>
          <w:b/>
          <w:color w:val="auto"/>
          <w:szCs w:val="21"/>
          <w:highlight w:val="none"/>
        </w:rPr>
      </w:pPr>
      <w:r>
        <w:rPr>
          <w:rFonts w:hint="eastAsia"/>
          <w:color w:val="auto"/>
          <w:szCs w:val="21"/>
          <w:highlight w:val="none"/>
        </w:rPr>
        <w:t>考核小组组长签名：                                  被考核保安人员签名：</w:t>
      </w:r>
      <w:r>
        <w:rPr>
          <w:rFonts w:hint="eastAsia"/>
          <w:b/>
          <w:color w:val="auto"/>
          <w:szCs w:val="21"/>
          <w:highlight w:val="none"/>
        </w:rPr>
        <w:t xml:space="preserve">  </w:t>
      </w:r>
    </w:p>
    <w:p>
      <w:pPr>
        <w:widowControl/>
        <w:shd w:val="clear" w:color="auto" w:fill="FFFFFF"/>
        <w:spacing w:line="360" w:lineRule="auto"/>
        <w:rPr>
          <w:rFonts w:hint="eastAsia" w:ascii="宋体" w:hAnsi="宋体" w:cs="宋体"/>
          <w:b/>
          <w:bCs/>
          <w:color w:val="auto"/>
          <w:kern w:val="0"/>
          <w:szCs w:val="21"/>
          <w:highlight w:val="none"/>
        </w:rPr>
      </w:pPr>
    </w:p>
    <w:p>
      <w:pPr>
        <w:widowControl/>
        <w:shd w:val="clear" w:color="auto" w:fill="FFFFFF"/>
        <w:spacing w:line="360" w:lineRule="auto"/>
        <w:rPr>
          <w:rFonts w:hint="eastAsia" w:ascii="宋体" w:hAnsi="宋体" w:cs="宋体"/>
          <w:b/>
          <w:bCs/>
          <w:color w:val="auto"/>
          <w:kern w:val="0"/>
          <w:szCs w:val="21"/>
          <w:highlight w:val="none"/>
        </w:rPr>
      </w:pPr>
    </w:p>
    <w:p>
      <w:pP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br w:type="page"/>
      </w:r>
    </w:p>
    <w:p>
      <w:pPr>
        <w:widowControl/>
        <w:shd w:val="clear" w:color="auto" w:fill="FFFFFF"/>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附表4：《北仑区校园保安服务管理实施意见》</w:t>
      </w:r>
    </w:p>
    <w:p>
      <w:pPr>
        <w:widowControl/>
        <w:shd w:val="clear" w:color="auto" w:fill="FFFFFF"/>
        <w:spacing w:line="360" w:lineRule="auto"/>
        <w:rPr>
          <w:rFonts w:hint="eastAsia" w:ascii="宋体" w:hAnsi="宋体" w:eastAsia="宋体" w:cs="宋体"/>
          <w:b/>
          <w:bCs/>
          <w:color w:val="auto"/>
          <w:kern w:val="0"/>
          <w:sz w:val="21"/>
          <w:szCs w:val="21"/>
          <w:highlight w:val="none"/>
        </w:rPr>
      </w:pP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北仑区校园保安服务管理实施意见</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为进一步规范校园保安人员的管理，切实提高我区校园保安服务质量，特制定校园保安服务管理实施意见。</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一、区教育局将定期对中标保安公司进行考核，考核分为两种，一是每季度的考核，一是每年度的考核。并按考核得分情况对保安公司做出警示通告、扣取履约保证金、终止合同等处理。</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二、在区教育局对中标保安公司的定期考核中，考核分数在80分（满分为100分，下同）及以上，区教育局应按规定时间及标准将保安经费核拨学校并支付给保安公司；单季度考核得分在60（含）-80分时，区教育局将对保安公司予以警示通报；一年中出现两次季度考核分数在60（含）-80分，区教育局在对保安公司予以警示通报的同时，视情扣取履约保证金。</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三、发生以下情形之一，区教育局可单方终止合同：</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1、保安公司必须每个月将保安人员工资发放情况电子文档反馈给区教育局，如发生与招投标中标发放标准不相一致的情况（低于中标时发放标准）时；</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2、学校对保安公司的服务满意度低于60%时；</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3、在定期考核中，保安公司的考核得分低于60分时；</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4、因校园保安人员违规或不作为等，导致校园发生较大安全事故的。</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四、中标公司及公司所配备的校园保安人员，发生以下情况的，按内容扣取相应的分值，作为定期考核的成绩。</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1、在省、市、区等上级有关机关和单位明察暗访中，发现校园保安人员不按值班执勤、规定着装或有其他违反《北仑区校园保安人员管理细则》等行为的，按照暗访级别及通报问题的严重程度，视情扣取5—10分。</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2、区教育局定期（每季度）抽查学校对保安公司的服务满意度，分为满意、基本满意、不满意三个等级，学校对保安公司的服务满意度（满意、基本满意之和）大于等于90%时，不予扣分；满意度在90%以下时，按照每下降2个百分点扣取一分计算，扣取相应的分值。</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3、当学校对校园保安的服务不满意，提出更换保安人员时，保安公司不能在7个工作日内进行更换，每名扣取2分；因学校不满意被更换的保安人员不得调整到北仑区内其他学校，如发生这种情况，每发现一名扣取10-15分。</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4、保安公司不能按规定对保安人员（含自聘保安）进行政审、集中培训、组织考试、发放上岗证、工作督查等，视情扣取1-10分。</w:t>
      </w:r>
    </w:p>
    <w:p>
      <w:pPr>
        <w:spacing w:before="156" w:beforeLines="50"/>
        <w:rPr>
          <w:rFonts w:hint="eastAsia" w:ascii="宋体" w:hAnsi="宋体" w:cs="宋体"/>
          <w:color w:val="auto"/>
          <w:szCs w:val="21"/>
          <w:highlight w:val="none"/>
        </w:rPr>
      </w:pPr>
      <w:r>
        <w:rPr>
          <w:rFonts w:hint="eastAsia" w:ascii="宋体" w:hAnsi="宋体" w:cs="宋体"/>
          <w:color w:val="auto"/>
          <w:szCs w:val="21"/>
          <w:highlight w:val="none"/>
        </w:rPr>
        <w:t>5、保安公司不能按规定到学校走访、征求和听取学校意见，及时改进和完善服务工作的，视情扣取1-5分。</w:t>
      </w:r>
    </w:p>
    <w:p>
      <w:pPr>
        <w:spacing w:before="156" w:beforeLines="5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当</w:t>
      </w:r>
      <w:r>
        <w:rPr>
          <w:rFonts w:hint="eastAsia" w:ascii="宋体" w:hAnsi="宋体" w:cs="宋体"/>
          <w:color w:val="auto"/>
          <w:szCs w:val="21"/>
          <w:highlight w:val="none"/>
          <w:lang w:eastAsia="zh-CN"/>
        </w:rPr>
        <w:t>学校</w:t>
      </w:r>
      <w:r>
        <w:rPr>
          <w:rFonts w:hint="eastAsia" w:ascii="宋体" w:hAnsi="宋体" w:cs="宋体"/>
          <w:color w:val="auto"/>
          <w:szCs w:val="21"/>
          <w:highlight w:val="none"/>
        </w:rPr>
        <w:t>对校园保安的服务不满意，提出更换保安人员时，</w:t>
      </w:r>
      <w:r>
        <w:rPr>
          <w:rFonts w:hint="eastAsia" w:ascii="宋体" w:hAnsi="宋体" w:cs="宋体"/>
          <w:color w:val="auto"/>
          <w:szCs w:val="21"/>
          <w:highlight w:val="none"/>
          <w:lang w:val="en-US" w:eastAsia="zh-CN"/>
        </w:rPr>
        <w:t>保安公司未能按时、安质调换保安，经多次协调，学校方不能达成满意效果，学校可以更换符合同等条件保安公司的保安员，并报教育局备案。</w:t>
      </w:r>
    </w:p>
    <w:p>
      <w:pPr>
        <w:shd w:val="clear" w:color="auto" w:fill="FFFFFF"/>
        <w:tabs>
          <w:tab w:val="left" w:pos="5404"/>
        </w:tabs>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7.校园保安人员有违法犯罪记录，不能按学校要求及时进行更换的。</w:t>
      </w:r>
    </w:p>
    <w:p>
      <w:pPr>
        <w:spacing w:before="156" w:beforeLines="5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五、</w:t>
      </w:r>
      <w:r>
        <w:rPr>
          <w:rFonts w:hint="eastAsia" w:ascii="宋体" w:hAnsi="宋体" w:cs="宋体"/>
          <w:color w:val="auto"/>
          <w:szCs w:val="21"/>
          <w:highlight w:val="none"/>
          <w:lang w:eastAsia="zh-CN"/>
        </w:rPr>
        <w:t>中标单位要负责提供保安服务的学校</w:t>
      </w:r>
      <w:r>
        <w:rPr>
          <w:rFonts w:hint="eastAsia" w:ascii="宋体" w:hAnsi="宋体" w:cs="宋体"/>
          <w:color w:val="auto"/>
          <w:szCs w:val="21"/>
          <w:highlight w:val="none"/>
          <w:lang w:val="en-US" w:eastAsia="zh-CN"/>
        </w:rPr>
        <w:t>CK报警器等安保设备设施进行维修保养，保证CK报警器完好可用，同时收取CK报警器的服务费用。</w:t>
      </w:r>
    </w:p>
    <w:p>
      <w:pPr>
        <w:spacing w:before="156" w:beforeLines="50"/>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六、</w:t>
      </w:r>
      <w:r>
        <w:rPr>
          <w:rFonts w:hint="eastAsia" w:ascii="宋体" w:hAnsi="宋体" w:cs="宋体"/>
          <w:color w:val="auto"/>
          <w:szCs w:val="21"/>
          <w:highlight w:val="none"/>
        </w:rPr>
        <w:t>区教育局对本意见具有解释权，并可结合工作实际，对该意见予以修订。</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spacing w:line="360" w:lineRule="auto"/>
        <w:jc w:val="center"/>
        <w:rPr>
          <w:rFonts w:hint="eastAsia"/>
          <w:b/>
          <w:color w:val="auto"/>
          <w:sz w:val="30"/>
          <w:szCs w:val="30"/>
          <w:highlight w:val="none"/>
        </w:rPr>
      </w:pPr>
    </w:p>
    <w:p>
      <w:pPr>
        <w:spacing w:line="360" w:lineRule="auto"/>
        <w:jc w:val="center"/>
        <w:rPr>
          <w:rFonts w:hint="eastAsia" w:ascii="宋体" w:hAnsi="宋体" w:eastAsia="宋体" w:cs="宋体"/>
          <w:color w:val="auto"/>
          <w:highlight w:val="none"/>
        </w:rPr>
      </w:pPr>
      <w:bookmarkStart w:id="4" w:name="OLE_LINK6"/>
      <w:r>
        <w:rPr>
          <w:rFonts w:hint="eastAsia"/>
          <w:b/>
          <w:color w:val="auto"/>
          <w:sz w:val="30"/>
          <w:szCs w:val="30"/>
          <w:highlight w:val="none"/>
          <w:lang w:val="en-US" w:eastAsia="zh-CN"/>
        </w:rPr>
        <w:t>北仑区校园保安服务</w:t>
      </w:r>
      <w:bookmarkEnd w:id="4"/>
      <w:r>
        <w:rPr>
          <w:rFonts w:hint="eastAsia"/>
          <w:b/>
          <w:color w:val="auto"/>
          <w:sz w:val="30"/>
          <w:szCs w:val="30"/>
          <w:highlight w:val="none"/>
          <w:lang w:val="en-US" w:eastAsia="zh-CN"/>
        </w:rPr>
        <w:t>项目框架</w:t>
      </w:r>
      <w:r>
        <w:rPr>
          <w:rFonts w:hint="eastAsia"/>
          <w:b/>
          <w:color w:val="auto"/>
          <w:sz w:val="30"/>
          <w:szCs w:val="30"/>
          <w:highlight w:val="none"/>
        </w:rPr>
        <w:t>合同</w:t>
      </w:r>
    </w:p>
    <w:p>
      <w:pPr>
        <w:spacing w:line="360" w:lineRule="auto"/>
        <w:rPr>
          <w:rFonts w:hint="eastAsia" w:ascii="宋体" w:hAnsi="宋体" w:eastAsia="宋体" w:cs="宋体"/>
          <w:color w:val="auto"/>
          <w:highlight w:val="none"/>
        </w:rPr>
      </w:pPr>
    </w:p>
    <w:p>
      <w:pPr>
        <w:spacing w:line="360" w:lineRule="auto"/>
        <w:rPr>
          <w:rFonts w:hint="eastAsia" w:ascii="宋体" w:hAnsi="宋体"/>
          <w:b/>
          <w:color w:val="auto"/>
          <w:szCs w:val="21"/>
          <w:highlight w:val="none"/>
        </w:rPr>
      </w:pPr>
      <w:r>
        <w:rPr>
          <w:rFonts w:hint="eastAsia" w:ascii="宋体" w:hAnsi="宋体"/>
          <w:color w:val="auto"/>
          <w:szCs w:val="21"/>
          <w:highlight w:val="none"/>
        </w:rPr>
        <w:t>采购人（甲方）：</w:t>
      </w:r>
      <w:r>
        <w:rPr>
          <w:rFonts w:hint="eastAsia"/>
          <w:color w:val="auto"/>
          <w:highlight w:val="none"/>
        </w:rPr>
        <w:t>宁波市北仑区教育局</w:t>
      </w:r>
    </w:p>
    <w:p>
      <w:pPr>
        <w:spacing w:line="360" w:lineRule="auto"/>
        <w:rPr>
          <w:rFonts w:hint="eastAsia" w:ascii="宋体" w:hAnsi="宋体"/>
          <w:color w:val="auto"/>
          <w:szCs w:val="21"/>
          <w:highlight w:val="none"/>
        </w:rPr>
      </w:pPr>
      <w:r>
        <w:rPr>
          <w:rFonts w:hint="eastAsia" w:ascii="宋体" w:hAnsi="宋体"/>
          <w:color w:val="auto"/>
          <w:szCs w:val="21"/>
          <w:highlight w:val="none"/>
        </w:rPr>
        <w:t>供应商（乙方）：</w:t>
      </w: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甲乙双方根据北仑区校园保安服务项目公开招标的采购结果，签署本合同。</w:t>
      </w:r>
    </w:p>
    <w:p>
      <w:pPr>
        <w:spacing w:line="360" w:lineRule="auto"/>
        <w:rPr>
          <w:rFonts w:hint="eastAsia" w:ascii="宋体" w:hAnsi="宋体"/>
          <w:b/>
          <w:color w:val="auto"/>
          <w:szCs w:val="21"/>
          <w:highlight w:val="none"/>
        </w:rPr>
      </w:pPr>
      <w:r>
        <w:rPr>
          <w:rFonts w:hint="eastAsia" w:ascii="宋体" w:hAnsi="宋体"/>
          <w:b/>
          <w:color w:val="auto"/>
          <w:szCs w:val="21"/>
          <w:highlight w:val="none"/>
        </w:rPr>
        <w:t>一、项目名称、服务期限、服务内容</w:t>
      </w:r>
    </w:p>
    <w:p>
      <w:pPr>
        <w:spacing w:line="360" w:lineRule="auto"/>
        <w:rPr>
          <w:rFonts w:hint="eastAsia" w:ascii="宋体" w:hAnsi="宋体"/>
          <w:color w:val="auto"/>
          <w:szCs w:val="21"/>
          <w:highlight w:val="none"/>
        </w:rPr>
      </w:pPr>
      <w:r>
        <w:rPr>
          <w:rFonts w:hint="eastAsia" w:ascii="宋体" w:hAnsi="宋体"/>
          <w:color w:val="auto"/>
          <w:szCs w:val="21"/>
          <w:highlight w:val="none"/>
        </w:rPr>
        <w:t>1.1项目名称：北仑区校园保安服务项目</w:t>
      </w:r>
    </w:p>
    <w:p>
      <w:pPr>
        <w:spacing w:line="360" w:lineRule="auto"/>
        <w:rPr>
          <w:rFonts w:hint="eastAsia" w:ascii="宋体" w:hAnsi="宋体"/>
          <w:color w:val="auto"/>
          <w:szCs w:val="21"/>
          <w:highlight w:val="none"/>
        </w:rPr>
      </w:pPr>
      <w:r>
        <w:rPr>
          <w:rFonts w:hint="eastAsia" w:ascii="宋体" w:hAnsi="宋体"/>
          <w:color w:val="auto"/>
          <w:szCs w:val="21"/>
          <w:highlight w:val="none"/>
        </w:rPr>
        <w:t>1.2服务期限：20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   年  月  日</w:t>
      </w:r>
    </w:p>
    <w:p>
      <w:pPr>
        <w:spacing w:line="360" w:lineRule="auto"/>
        <w:rPr>
          <w:rFonts w:hint="eastAsia" w:ascii="宋体" w:hAnsi="宋体" w:cs="宋体"/>
          <w:color w:val="auto"/>
          <w:szCs w:val="21"/>
          <w:highlight w:val="none"/>
        </w:rPr>
      </w:pPr>
      <w:r>
        <w:rPr>
          <w:rFonts w:hint="eastAsia" w:ascii="宋体" w:hAnsi="宋体"/>
          <w:color w:val="auto"/>
          <w:szCs w:val="21"/>
          <w:highlight w:val="none"/>
        </w:rPr>
        <w:t>1.3服务内容：</w:t>
      </w:r>
      <w:r>
        <w:rPr>
          <w:rFonts w:hint="eastAsia" w:ascii="宋体" w:hAnsi="宋体" w:cs="宋体"/>
          <w:color w:val="auto"/>
          <w:szCs w:val="21"/>
          <w:highlight w:val="none"/>
        </w:rPr>
        <w:t>按照上级有关文件，结合北仑区区域实际，为北仑区</w:t>
      </w:r>
      <w:r>
        <w:rPr>
          <w:rFonts w:hint="eastAsia" w:ascii="宋体" w:hAnsi="宋体"/>
          <w:color w:val="auto"/>
          <w:szCs w:val="21"/>
          <w:highlight w:val="none"/>
        </w:rPr>
        <w:t>中小学、幼儿园（含分园、教学点等）</w:t>
      </w:r>
      <w:r>
        <w:rPr>
          <w:rFonts w:hint="eastAsia" w:ascii="宋体" w:hAnsi="宋体" w:cs="宋体"/>
          <w:color w:val="auto"/>
          <w:szCs w:val="21"/>
          <w:highlight w:val="none"/>
        </w:rPr>
        <w:t>约</w:t>
      </w:r>
      <w:r>
        <w:rPr>
          <w:rFonts w:hint="eastAsia" w:ascii="宋体" w:hAnsi="宋体" w:cs="宋体"/>
          <w:color w:val="auto"/>
          <w:szCs w:val="21"/>
          <w:highlight w:val="none"/>
          <w:lang w:val="en-US" w:eastAsia="zh-CN"/>
        </w:rPr>
        <w:t>145</w:t>
      </w:r>
      <w:r>
        <w:rPr>
          <w:rFonts w:hint="eastAsia" w:ascii="宋体" w:hAnsi="宋体" w:cs="宋体"/>
          <w:color w:val="auto"/>
          <w:szCs w:val="21"/>
          <w:highlight w:val="none"/>
        </w:rPr>
        <w:t>所（具体学校数量根据实际而定）学校提供</w:t>
      </w:r>
      <w:r>
        <w:rPr>
          <w:rFonts w:hint="eastAsia" w:ascii="宋体" w:hAnsi="宋体" w:cs="宋体"/>
          <w:color w:val="auto"/>
          <w:szCs w:val="21"/>
          <w:highlight w:val="none"/>
          <w:lang w:val="en-US" w:eastAsia="zh-CN"/>
        </w:rPr>
        <w:t>校园</w:t>
      </w:r>
      <w:r>
        <w:rPr>
          <w:rFonts w:hint="eastAsia" w:ascii="宋体" w:hAnsi="宋体"/>
          <w:bCs/>
          <w:color w:val="auto"/>
          <w:szCs w:val="21"/>
          <w:highlight w:val="none"/>
        </w:rPr>
        <w:t>安全</w:t>
      </w:r>
      <w:r>
        <w:rPr>
          <w:rFonts w:hint="eastAsia" w:ascii="宋体" w:hAnsi="宋体"/>
          <w:bCs/>
          <w:color w:val="auto"/>
          <w:szCs w:val="21"/>
          <w:highlight w:val="none"/>
          <w:lang w:eastAsia="zh-CN"/>
        </w:rPr>
        <w:t>、</w:t>
      </w:r>
      <w:r>
        <w:rPr>
          <w:rFonts w:hint="eastAsia" w:ascii="宋体" w:hAnsi="宋体"/>
          <w:bCs/>
          <w:color w:val="auto"/>
          <w:szCs w:val="21"/>
          <w:highlight w:val="none"/>
        </w:rPr>
        <w:t>防偷盗、秩序维护管理等</w:t>
      </w:r>
      <w:r>
        <w:rPr>
          <w:rFonts w:hint="eastAsia" w:ascii="宋体" w:hAnsi="宋体" w:cs="宋体"/>
          <w:color w:val="auto"/>
          <w:szCs w:val="21"/>
          <w:highlight w:val="none"/>
        </w:rPr>
        <w:t>安保服务</w:t>
      </w:r>
      <w:r>
        <w:rPr>
          <w:rFonts w:hint="eastAsia" w:ascii="宋体" w:hAnsi="宋体" w:cs="宋体"/>
          <w:color w:val="auto"/>
          <w:szCs w:val="21"/>
          <w:highlight w:val="none"/>
        </w:rPr>
        <w:t>。</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1.3.1保安员条件</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政治素质和道德品行良好，自愿并热爱从事校园保安服务工作的人员，无违法违纪历史。</w:t>
      </w:r>
    </w:p>
    <w:p>
      <w:pPr>
        <w:shd w:val="clear" w:color="auto" w:fill="FFFFFF"/>
        <w:tabs>
          <w:tab w:val="left" w:pos="5404"/>
        </w:tabs>
        <w:spacing w:line="360" w:lineRule="auto"/>
        <w:rPr>
          <w:rFonts w:hint="eastAsia" w:ascii="宋体" w:hAnsi="宋体" w:cs="宋体"/>
          <w:color w:val="auto"/>
          <w:szCs w:val="21"/>
          <w:highlight w:val="none"/>
        </w:rPr>
      </w:pPr>
      <w:bookmarkStart w:id="5" w:name="OLE_LINK2"/>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bookmarkEnd w:id="5"/>
      <w:r>
        <w:rPr>
          <w:rFonts w:hint="eastAsia" w:ascii="宋体" w:hAnsi="宋体" w:cs="宋体"/>
          <w:color w:val="auto"/>
          <w:szCs w:val="21"/>
          <w:highlight w:val="none"/>
        </w:rPr>
        <w:t>年龄在20至</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0周岁，身高1.65米以上，</w:t>
      </w:r>
      <w:r>
        <w:rPr>
          <w:rFonts w:hint="eastAsia" w:ascii="宋体" w:hAnsi="宋体" w:cs="宋体"/>
          <w:color w:val="auto"/>
          <w:szCs w:val="21"/>
          <w:highlight w:val="none"/>
          <w:lang w:val="en-US" w:eastAsia="zh-CN"/>
        </w:rPr>
        <w:t>双眼</w:t>
      </w:r>
      <w:r>
        <w:rPr>
          <w:rFonts w:hint="eastAsia" w:ascii="宋体" w:hAnsi="宋体" w:cs="宋体"/>
          <w:color w:val="auto"/>
          <w:szCs w:val="21"/>
          <w:highlight w:val="none"/>
        </w:rPr>
        <w:t>裸视</w:t>
      </w:r>
      <w:r>
        <w:rPr>
          <w:rFonts w:hint="eastAsia" w:ascii="宋体" w:hAnsi="宋体" w:cs="宋体"/>
          <w:color w:val="auto"/>
          <w:szCs w:val="21"/>
          <w:highlight w:val="none"/>
          <w:lang w:val="en-US" w:eastAsia="zh-CN"/>
        </w:rPr>
        <w:t>力</w:t>
      </w:r>
      <w:r>
        <w:rPr>
          <w:rFonts w:hint="eastAsia" w:ascii="宋体" w:hAnsi="宋体" w:cs="宋体"/>
          <w:color w:val="auto"/>
          <w:szCs w:val="21"/>
          <w:highlight w:val="none"/>
        </w:rPr>
        <w:t>0.8以上。</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身体健康（体检合格）、五官端正、无纹身、口齿清楚、智力良好。</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初中以上文化程度。</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校园保安上岗前</w:t>
      </w:r>
      <w:r>
        <w:rPr>
          <w:rFonts w:hint="eastAsia" w:ascii="宋体" w:hAnsi="宋体" w:cs="宋体"/>
          <w:color w:val="auto"/>
          <w:szCs w:val="21"/>
          <w:highlight w:val="none"/>
          <w:lang w:val="en-US" w:eastAsia="zh-CN"/>
        </w:rPr>
        <w:t>必须</w:t>
      </w:r>
      <w:r>
        <w:rPr>
          <w:rFonts w:hint="eastAsia" w:ascii="宋体" w:hAnsi="宋体" w:cs="宋体"/>
          <w:color w:val="auto"/>
          <w:szCs w:val="21"/>
          <w:highlight w:val="none"/>
        </w:rPr>
        <w:t>参加保安业务、校园安保业务培训，考取并持有浙江省保安员资格证。</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新上岗队员必须符合保安员招聘及录用条件，专职保安人员首次聘任年龄不超过50周岁，聘期年龄不超过60周岁。在职超过55周岁的保安员，保安公司需到北仑区教育局备案。</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要求中标人在合同签订后</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天内，配备好所有保安人员并到岗，否则视为违约，采购单位有权终止合同，履约保证金不予退还，并赔偿采购人损失，同时报相关部门处理。</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（8）为校园配备的保安人员必须有公安部门出具的无违法犯罪记录证明材料。</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1.3.2保安员工作职责</w:t>
      </w:r>
    </w:p>
    <w:p>
      <w:pPr>
        <w:shd w:val="clear" w:color="auto" w:fill="FFFFFF"/>
        <w:spacing w:line="360" w:lineRule="auto"/>
        <w:rPr>
          <w:rFonts w:hint="eastAsia" w:ascii="宋体" w:hAnsi="宋体" w:cs="宋体"/>
          <w:color w:val="auto"/>
          <w:szCs w:val="21"/>
          <w:highlight w:val="none"/>
        </w:rPr>
      </w:pPr>
      <w:r>
        <w:rPr>
          <w:rFonts w:hint="eastAsia" w:ascii="宋体" w:hAnsi="宋体" w:cs="宋体"/>
          <w:color w:val="auto"/>
          <w:szCs w:val="21"/>
          <w:highlight w:val="none"/>
        </w:rPr>
        <w:t>（1）保安人员必须严格按照《北仑区</w:t>
      </w:r>
      <w:r>
        <w:rPr>
          <w:rFonts w:hint="eastAsia" w:ascii="宋体" w:hAnsi="宋体" w:cs="宋体"/>
          <w:color w:val="auto"/>
          <w:szCs w:val="21"/>
          <w:highlight w:val="none"/>
          <w:lang w:eastAsia="zh-CN"/>
        </w:rPr>
        <w:t>校园保安人员</w:t>
      </w:r>
      <w:r>
        <w:rPr>
          <w:rFonts w:hint="eastAsia" w:ascii="宋体" w:hAnsi="宋体" w:cs="宋体"/>
          <w:color w:val="auto"/>
          <w:szCs w:val="21"/>
          <w:highlight w:val="none"/>
        </w:rPr>
        <w:t>考核细则》（附表2）值班执勤。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（2）上、放学期间，保安员必须全副武装（统一着保安制服、防刺服、武装带、保安头盔、橡皮棍、辣椒水等）在校门口值班执勤，注意观察、严密警戒，保持高度警惕。</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（3）除学生上下学期间外，保安员应紧闭校门，严格执行“四个一律”（</w:t>
      </w:r>
      <w:r>
        <w:rPr>
          <w:rFonts w:ascii="宋体" w:hAnsi="宋体" w:cs="宋体"/>
          <w:color w:val="auto"/>
          <w:szCs w:val="21"/>
          <w:highlight w:val="none"/>
        </w:rPr>
        <w:t>“外来人员一律由教职工带入校园并逐一登记；闲散可疑人员一律禁止进入校园；外来车辆一律禁止进入校园；上学、放学时段一律安排教师和保安人员在门口护送”</w:t>
      </w:r>
      <w:r>
        <w:rPr>
          <w:rFonts w:hint="eastAsia" w:ascii="宋体" w:hAnsi="宋体" w:cs="宋体"/>
          <w:color w:val="auto"/>
          <w:szCs w:val="21"/>
          <w:highlight w:val="none"/>
        </w:rPr>
        <w:t>）管理制度，原则上不允许</w:t>
      </w:r>
      <w:r>
        <w:rPr>
          <w:rFonts w:hint="eastAsia" w:ascii="宋体" w:hAnsi="宋体" w:cs="宋体"/>
          <w:color w:val="auto"/>
          <w:szCs w:val="21"/>
          <w:highlight w:val="none"/>
          <w:lang w:val="en-US" w:eastAsia="zh-CN"/>
        </w:rPr>
        <w:t>外来</w:t>
      </w:r>
      <w:r>
        <w:rPr>
          <w:rFonts w:hint="eastAsia" w:ascii="宋体" w:hAnsi="宋体" w:cs="宋体"/>
          <w:color w:val="auto"/>
          <w:szCs w:val="21"/>
          <w:highlight w:val="none"/>
        </w:rPr>
        <w:t>车辆、人员进入，确实需要进入校园的人员和车辆，保安员要按照有关规定进行盘查、登记、请示、汇报，由校方领导</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老师认领或同意后方可进入，并及时关闭校门。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w:t>
      </w:r>
      <w:r>
        <w:rPr>
          <w:rFonts w:hint="eastAsia" w:ascii="宋体" w:hAnsi="宋体" w:cs="宋体"/>
          <w:color w:val="auto"/>
          <w:szCs w:val="21"/>
          <w:highlight w:val="none"/>
        </w:rPr>
        <w:t>夜间保安员在教职工离校后紧闭校门，巡查校区门窗及重点部位。巡逻时必须佩带橡皮棍和强光灯，并保持高度警惕性，若有响动快速反映，准确判断警情，有必要及时报警。</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5）每位校园保安员必须独立并熟练操作监控设备和报警系统，按照《北仑区校园**室（联系点）规范管理实施意见》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（6）保安员要按《北仑区校园**室（联系点）规范管理实施意见》摆放各类设备设施，保持校园**室（联系点）整洁，同时做好各种**台账的登记管理。</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1.3.3保安员工作时间</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）双人岗：学生上下学期间保证有二名保安员在岗值勤，其余时间保证有一名或以上保安员在岗值勤。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）三人岗：学生在校期间保证有二名保安员在岗值勤，其余时间保证有一名或以上保安员在岗值勤。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）三班倒岗：保证</w:t>
      </w:r>
      <w:r>
        <w:rPr>
          <w:rFonts w:hint="eastAsia" w:ascii="宋体" w:hAnsi="宋体" w:cs="宋体"/>
          <w:color w:val="auto"/>
          <w:szCs w:val="21"/>
          <w:highlight w:val="none"/>
          <w:lang w:eastAsia="zh-CN"/>
        </w:rPr>
        <w:t>至少</w:t>
      </w:r>
      <w:r>
        <w:rPr>
          <w:rFonts w:hint="eastAsia" w:ascii="宋体" w:hAnsi="宋体" w:cs="宋体"/>
          <w:color w:val="auto"/>
          <w:szCs w:val="21"/>
          <w:highlight w:val="none"/>
        </w:rPr>
        <w:t>有二名或以上保安员在岗值勤。</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1.3.4培训管理</w:t>
      </w:r>
    </w:p>
    <w:p>
      <w:pPr>
        <w:spacing w:line="360" w:lineRule="auto"/>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（1）保安公司一年不少于一次三天</w:t>
      </w:r>
      <w:r>
        <w:rPr>
          <w:rFonts w:hint="eastAsia" w:ascii="宋体" w:hAnsi="宋体" w:cs="宋体"/>
          <w:color w:val="auto"/>
          <w:szCs w:val="21"/>
          <w:highlight w:val="none"/>
          <w:lang w:eastAsia="zh-CN"/>
        </w:rPr>
        <w:t>及以上</w:t>
      </w:r>
      <w:r>
        <w:rPr>
          <w:rFonts w:hint="eastAsia" w:ascii="宋体" w:hAnsi="宋体" w:cs="宋体"/>
          <w:color w:val="auto"/>
          <w:szCs w:val="21"/>
          <w:highlight w:val="none"/>
        </w:rPr>
        <w:t>对校园保安人员进行集中培训（可选择暑假期间），培训内容包括：保安员业务、法律知识、体能技能训练、消防业务知识、技防监控操作等。培训前，应制订培训课程，上报教育局、公安局治安大队，安排培训教材和讲课教师，</w:t>
      </w:r>
      <w:r>
        <w:rPr>
          <w:rFonts w:hint="eastAsia" w:ascii="宋体" w:hAnsi="宋体" w:cs="宋体"/>
          <w:color w:val="auto"/>
          <w:szCs w:val="21"/>
          <w:highlight w:val="none"/>
          <w:lang w:val="en-US" w:eastAsia="zh-CN"/>
        </w:rPr>
        <w:t>中途更换的</w:t>
      </w:r>
      <w:r>
        <w:rPr>
          <w:rFonts w:hint="eastAsia" w:ascii="宋体" w:hAnsi="宋体" w:cs="宋体"/>
          <w:color w:val="auto"/>
          <w:szCs w:val="21"/>
          <w:highlight w:val="none"/>
        </w:rPr>
        <w:t>新队员必须在上岗一个月内考取浙江省保安员资格证。</w:t>
      </w:r>
    </w:p>
    <w:p>
      <w:pPr>
        <w:spacing w:line="360" w:lineRule="auto"/>
        <w:ind w:right="105" w:rightChars="50"/>
        <w:jc w:val="left"/>
        <w:rPr>
          <w:rFonts w:hint="eastAsia" w:ascii="宋体" w:hAnsi="宋体" w:cs="宋体"/>
          <w:color w:val="auto"/>
          <w:szCs w:val="21"/>
          <w:highlight w:val="none"/>
        </w:rPr>
      </w:pPr>
      <w:r>
        <w:rPr>
          <w:rFonts w:hint="eastAsia" w:ascii="宋体" w:hAnsi="宋体" w:cs="宋体"/>
          <w:color w:val="auto"/>
          <w:szCs w:val="21"/>
          <w:highlight w:val="none"/>
        </w:rPr>
        <w:t>（2）保安公司对少数个体幼儿园的自聘保安员要负责政审、业务培训、组织考试、发放上岗证等，并对其日常工作进行检查管理。保安公司向个体幼儿园收取的自聘保安</w:t>
      </w:r>
      <w:r>
        <w:rPr>
          <w:rFonts w:hint="eastAsia" w:ascii="宋体" w:hAnsi="宋体" w:cs="宋体"/>
          <w:color w:val="auto"/>
          <w:szCs w:val="21"/>
          <w:highlight w:val="none"/>
          <w:lang w:eastAsia="zh-CN"/>
        </w:rPr>
        <w:t>管理</w:t>
      </w:r>
      <w:r>
        <w:rPr>
          <w:rFonts w:hint="eastAsia" w:ascii="宋体" w:hAnsi="宋体" w:cs="宋体"/>
          <w:color w:val="auto"/>
          <w:szCs w:val="21"/>
          <w:highlight w:val="none"/>
        </w:rPr>
        <w:t>费不得高于3000元/年.人，培训费由保安公司向个体幼儿园自行收取。</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（3）保安公司应积极配合教育部门参加校园应急演练，每年不少于1次，通过演练，培养队员的安全意识和日常突发事件的应变能力，每年对校园保安进行1-2次的专业培训，保证学校保安良好的整体素质。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（4）保安公司每星期对校园保安不少于2次的督查，主要检查：值勤保安员的值勤纪律、内务卫生、风纪、值班记录等，对违规违纪的队员必须在7个工作日内进行调换</w:t>
      </w:r>
      <w:r>
        <w:rPr>
          <w:rFonts w:hint="eastAsia" w:ascii="宋体" w:hAnsi="宋体" w:cs="宋体"/>
          <w:color w:val="auto"/>
          <w:szCs w:val="21"/>
          <w:highlight w:val="none"/>
          <w:lang w:val="en-US" w:eastAsia="zh-CN"/>
        </w:rPr>
        <w:t>并妥善做好被更换保安的思想工作，确保校园安全平稳</w:t>
      </w:r>
      <w:r>
        <w:rPr>
          <w:rFonts w:hint="eastAsia" w:ascii="宋体" w:hAnsi="宋体" w:cs="宋体"/>
          <w:color w:val="auto"/>
          <w:szCs w:val="21"/>
          <w:highlight w:val="none"/>
        </w:rPr>
        <w:t>。每月对保安员进行一次考核并汇总，同时结合学校对校园保安人员的考核情况，根据学校要求，对考核不合格保安员在7个工作日内完成调换，提升保安员的整体素质。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5）公司每年对区内所有学校组织专人进行全面检查4次，安排时间每个学期放假之前和开学之前，有针对性的进行检查，重点对各校园查找存在的各种安全隐患提出合理建议，配合学校消除不安全隐患，检查技防报警系统和保安器材的完好等。</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（6）保安公司管理人员每月不少于一次到学校走访，与校园安保主管领导进行沟通，及时了解保安员的值勤情况、思想动态，征求和听取服务单位意见，改进和完善服务工作。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7）公司每季对学校进行一次客户回访函，由校园主管如实对保安公司的服务、督查管理，保安员的仪容仪表、礼节礼貌、文明用语、内务卫生、执勤技能、遵纪守法、职业道德等进行评定，并提出意见和建议。</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1.3.5应急情况处置</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（1）校园保安人员遇到发现暴力事件时，应及时报告公司和服务单位领导，并携带防卫器材赶到事发现场，控制局势，冷静制止，预防事态恶化，可</w:t>
      </w:r>
      <w:r>
        <w:rPr>
          <w:rFonts w:hint="eastAsia" w:ascii="宋体" w:hAnsi="宋体" w:cs="宋体"/>
          <w:color w:val="auto"/>
          <w:szCs w:val="21"/>
          <w:highlight w:val="none"/>
          <w:lang w:eastAsia="zh-CN"/>
        </w:rPr>
        <w:t>根据现场实际情况</w:t>
      </w:r>
      <w:r>
        <w:rPr>
          <w:rFonts w:hint="eastAsia" w:ascii="宋体" w:hAnsi="宋体" w:cs="宋体"/>
          <w:color w:val="auto"/>
          <w:szCs w:val="21"/>
          <w:highlight w:val="none"/>
        </w:rPr>
        <w:t>，采取防卫措施，确保校园师生和群众的人身安全。</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（2）当治安刑事案件发生时，保安员应及时拨打“110”，同时做好现场保护工作。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3）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（4）遇到自然灾害时，根据上级指示和工作所需做好一切准备工作，积极参加救援工作。</w:t>
      </w:r>
    </w:p>
    <w:p>
      <w:pPr>
        <w:shd w:val="clear" w:color="auto" w:fill="FFFFFF"/>
        <w:tabs>
          <w:tab w:val="left" w:pos="5404"/>
        </w:tabs>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）做好其他突发事件应对工作。</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二、合同金额</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2.1 各学校合同金额为保安人数*</w:t>
      </w:r>
      <w:bookmarkStart w:id="6" w:name="OLE_LINK1"/>
      <w:r>
        <w:rPr>
          <w:rFonts w:hint="eastAsia" w:ascii="宋体" w:hAnsi="宋体" w:cs="宋体"/>
          <w:color w:val="auto"/>
          <w:szCs w:val="21"/>
          <w:highlight w:val="none"/>
        </w:rPr>
        <w:t>中标综合单价</w:t>
      </w:r>
      <w:bookmarkEnd w:id="6"/>
      <w:r>
        <w:rPr>
          <w:rFonts w:hint="eastAsia" w:ascii="宋体" w:hAnsi="宋体" w:cs="宋体"/>
          <w:color w:val="auto"/>
          <w:szCs w:val="21"/>
          <w:highlight w:val="none"/>
        </w:rPr>
        <w:t>（   元</w:t>
      </w:r>
      <w:r>
        <w:rPr>
          <w:rFonts w:hint="eastAsia" w:ascii="宋体" w:hAnsi="宋体" w:cs="宋体"/>
          <w:color w:val="auto"/>
          <w:szCs w:val="21"/>
          <w:highlight w:val="none"/>
          <w:lang w:val="en-US" w:eastAsia="zh-CN"/>
        </w:rPr>
        <w:t>-</w:t>
      </w:r>
      <w:bookmarkStart w:id="7" w:name="OLE_LINK3"/>
      <w:r>
        <w:rPr>
          <w:rFonts w:hint="eastAsia" w:ascii="宋体" w:hAnsi="宋体" w:cs="宋体"/>
          <w:color w:val="auto"/>
          <w:szCs w:val="21"/>
          <w:highlight w:val="none"/>
          <w:lang w:val="en-US" w:eastAsia="zh-CN"/>
        </w:rPr>
        <w:t>500元</w:t>
      </w:r>
      <w:r>
        <w:rPr>
          <w:rFonts w:hint="eastAsia" w:ascii="宋体" w:hAnsi="宋体" w:cs="宋体"/>
          <w:color w:val="auto"/>
          <w:szCs w:val="21"/>
          <w:highlight w:val="none"/>
        </w:rPr>
        <w:t>/人/月</w:t>
      </w:r>
      <w:bookmarkEnd w:id="7"/>
      <w:r>
        <w:rPr>
          <w:rFonts w:hint="eastAsia" w:ascii="宋体" w:hAnsi="宋体" w:cs="宋体"/>
          <w:color w:val="auto"/>
          <w:szCs w:val="21"/>
          <w:highlight w:val="none"/>
        </w:rPr>
        <w:t>）</w:t>
      </w:r>
      <w:r>
        <w:rPr>
          <w:rFonts w:hint="eastAsia" w:ascii="宋体" w:hAnsi="宋体" w:cs="宋体"/>
          <w:color w:val="auto"/>
          <w:szCs w:val="21"/>
          <w:highlight w:val="none"/>
          <w:lang w:eastAsia="zh-CN"/>
        </w:rPr>
        <w:t>。其中，</w:t>
      </w:r>
      <w:r>
        <w:rPr>
          <w:rFonts w:hint="eastAsia" w:ascii="宋体" w:hAnsi="宋体" w:cs="宋体"/>
          <w:color w:val="auto"/>
          <w:szCs w:val="21"/>
          <w:highlight w:val="none"/>
          <w:lang w:val="en-US" w:eastAsia="zh-CN"/>
        </w:rPr>
        <w:t>500元</w:t>
      </w:r>
      <w:r>
        <w:rPr>
          <w:rFonts w:hint="eastAsia" w:ascii="宋体" w:hAnsi="宋体" w:cs="宋体"/>
          <w:color w:val="auto"/>
          <w:szCs w:val="21"/>
          <w:highlight w:val="none"/>
        </w:rPr>
        <w:t>/人/月</w:t>
      </w:r>
      <w:r>
        <w:rPr>
          <w:rFonts w:hint="eastAsia" w:ascii="宋体" w:hAnsi="宋体" w:cs="宋体"/>
          <w:color w:val="auto"/>
          <w:szCs w:val="21"/>
          <w:highlight w:val="none"/>
          <w:lang w:val="en-US" w:eastAsia="zh-CN"/>
        </w:rPr>
        <w:t>为学校对校园保安人员的</w:t>
      </w:r>
      <w:r>
        <w:rPr>
          <w:rFonts w:hint="eastAsia" w:ascii="宋体" w:hAnsi="宋体" w:cs="宋体"/>
          <w:color w:val="auto"/>
          <w:szCs w:val="21"/>
          <w:highlight w:val="none"/>
          <w:lang w:val="en-US" w:eastAsia="zh-CN"/>
        </w:rPr>
        <w:t>月度</w:t>
      </w:r>
      <w:r>
        <w:rPr>
          <w:rFonts w:hint="eastAsia" w:ascii="宋体" w:hAnsi="宋体" w:cs="宋体"/>
          <w:color w:val="auto"/>
          <w:szCs w:val="21"/>
          <w:highlight w:val="none"/>
          <w:lang w:val="en-US" w:eastAsia="zh-CN"/>
        </w:rPr>
        <w:t>考核奖</w:t>
      </w:r>
      <w:r>
        <w:rPr>
          <w:rFonts w:hint="eastAsia" w:ascii="宋体" w:hAnsi="宋体" w:cs="宋体"/>
          <w:color w:val="auto"/>
          <w:szCs w:val="21"/>
          <w:highlight w:val="none"/>
        </w:rPr>
        <w:t>。</w:t>
      </w:r>
    </w:p>
    <w:p>
      <w:pPr>
        <w:spacing w:line="360" w:lineRule="auto"/>
        <w:rPr>
          <w:rFonts w:hint="eastAsia" w:hAnsi="宋体"/>
          <w:color w:val="auto"/>
          <w:szCs w:val="21"/>
          <w:highlight w:val="none"/>
        </w:rPr>
      </w:pPr>
      <w:r>
        <w:rPr>
          <w:rFonts w:hint="eastAsia" w:ascii="宋体" w:hAnsi="宋体" w:cs="宋体"/>
          <w:color w:val="auto"/>
          <w:szCs w:val="21"/>
          <w:highlight w:val="none"/>
        </w:rPr>
        <w:t>2.2</w:t>
      </w:r>
      <w:r>
        <w:rPr>
          <w:rFonts w:hint="eastAsia" w:hAnsi="宋体"/>
          <w:color w:val="auto"/>
          <w:szCs w:val="21"/>
          <w:highlight w:val="none"/>
        </w:rPr>
        <w:t>合同履行期间</w:t>
      </w:r>
      <w:r>
        <w:rPr>
          <w:rFonts w:hAnsi="宋体"/>
          <w:color w:val="auto"/>
          <w:szCs w:val="21"/>
          <w:highlight w:val="none"/>
        </w:rPr>
        <w:t>，</w:t>
      </w:r>
      <w:r>
        <w:rPr>
          <w:rFonts w:hint="eastAsia" w:hAnsi="宋体"/>
          <w:color w:val="auto"/>
          <w:szCs w:val="21"/>
          <w:highlight w:val="none"/>
        </w:rPr>
        <w:t>乙方</w:t>
      </w:r>
      <w:r>
        <w:rPr>
          <w:rFonts w:hAnsi="宋体"/>
          <w:color w:val="auto"/>
          <w:szCs w:val="21"/>
          <w:highlight w:val="none"/>
        </w:rPr>
        <w:t>承诺的</w:t>
      </w:r>
      <w:r>
        <w:rPr>
          <w:rFonts w:hint="eastAsia" w:hAnsi="宋体"/>
          <w:color w:val="auto"/>
          <w:szCs w:val="21"/>
          <w:highlight w:val="none"/>
        </w:rPr>
        <w:t>综合单价</w:t>
      </w:r>
      <w:r>
        <w:rPr>
          <w:rFonts w:hAnsi="宋体"/>
          <w:color w:val="auto"/>
          <w:szCs w:val="21"/>
          <w:highlight w:val="none"/>
        </w:rPr>
        <w:t>不因市场因素和政策因素的变动而调整</w:t>
      </w:r>
      <w:r>
        <w:rPr>
          <w:rFonts w:hint="eastAsia" w:hAnsi="宋体"/>
          <w:color w:val="auto"/>
          <w:szCs w:val="21"/>
          <w:highlight w:val="none"/>
        </w:rPr>
        <w:t>；</w:t>
      </w:r>
      <w:r>
        <w:rPr>
          <w:rFonts w:hAnsi="宋体"/>
          <w:bCs/>
          <w:color w:val="auto"/>
          <w:szCs w:val="21"/>
          <w:highlight w:val="none"/>
        </w:rPr>
        <w:t>但如发生</w:t>
      </w:r>
      <w:r>
        <w:rPr>
          <w:rFonts w:hint="eastAsia" w:hAnsi="宋体"/>
          <w:bCs/>
          <w:color w:val="auto"/>
          <w:szCs w:val="21"/>
          <w:highlight w:val="none"/>
        </w:rPr>
        <w:t>安保管理服务工作量的</w:t>
      </w:r>
      <w:r>
        <w:rPr>
          <w:rFonts w:hAnsi="宋体"/>
          <w:bCs/>
          <w:color w:val="auto"/>
          <w:szCs w:val="21"/>
          <w:highlight w:val="none"/>
        </w:rPr>
        <w:t>增加或减少</w:t>
      </w:r>
      <w:r>
        <w:rPr>
          <w:rFonts w:hint="eastAsia" w:hAnsi="宋体"/>
          <w:bCs/>
          <w:color w:val="auto"/>
          <w:szCs w:val="21"/>
          <w:highlight w:val="none"/>
        </w:rPr>
        <w:t>而需要调整保安人员数量的，以甲乙双方签字盖章</w:t>
      </w:r>
      <w:r>
        <w:rPr>
          <w:rFonts w:hAnsi="宋体"/>
          <w:bCs/>
          <w:color w:val="auto"/>
          <w:szCs w:val="21"/>
          <w:highlight w:val="none"/>
        </w:rPr>
        <w:t>认可的联系单为准，产生的费用计入发生期间所对应的月份</w:t>
      </w:r>
      <w:r>
        <w:rPr>
          <w:rFonts w:hint="eastAsia" w:hAnsi="宋体"/>
          <w:bCs/>
          <w:color w:val="auto"/>
          <w:szCs w:val="21"/>
          <w:highlight w:val="none"/>
        </w:rPr>
        <w:t>，</w:t>
      </w:r>
      <w:r>
        <w:rPr>
          <w:rFonts w:hint="eastAsia" w:hAnsi="宋体"/>
          <w:color w:val="auto"/>
          <w:szCs w:val="21"/>
          <w:highlight w:val="none"/>
        </w:rPr>
        <w:t>费用结算按照本次招标的中标综合单价</w:t>
      </w:r>
      <w:r>
        <w:rPr>
          <w:rFonts w:hint="eastAsia" w:hAnsi="宋体"/>
          <w:color w:val="auto"/>
          <w:szCs w:val="21"/>
          <w:highlight w:val="none"/>
          <w:lang w:eastAsia="zh-CN"/>
        </w:rPr>
        <w:t>减去</w:t>
      </w:r>
      <w:r>
        <w:rPr>
          <w:rFonts w:hint="eastAsia" w:hAnsi="宋体"/>
          <w:color w:val="auto"/>
          <w:szCs w:val="21"/>
          <w:highlight w:val="none"/>
          <w:lang w:val="en-US" w:eastAsia="zh-CN"/>
        </w:rPr>
        <w:t>500元</w:t>
      </w:r>
      <w:r>
        <w:rPr>
          <w:rFonts w:hint="eastAsia" w:hAnsi="宋体"/>
          <w:color w:val="auto"/>
          <w:szCs w:val="21"/>
          <w:highlight w:val="none"/>
        </w:rPr>
        <w:t>/</w:t>
      </w:r>
      <w:r>
        <w:rPr>
          <w:rFonts w:hint="eastAsia" w:ascii="宋体" w:hAnsi="宋体" w:cs="宋体"/>
          <w:color w:val="auto"/>
          <w:szCs w:val="21"/>
          <w:highlight w:val="none"/>
        </w:rPr>
        <w:t>人/</w:t>
      </w:r>
      <w:r>
        <w:rPr>
          <w:rFonts w:hint="eastAsia" w:ascii="宋体" w:hAnsi="宋体" w:cs="宋体"/>
          <w:color w:val="auto"/>
          <w:szCs w:val="21"/>
          <w:highlight w:val="none"/>
          <w:lang w:eastAsia="zh-CN"/>
        </w:rPr>
        <w:t>月</w:t>
      </w:r>
      <w:r>
        <w:rPr>
          <w:rFonts w:hint="eastAsia" w:hAnsi="宋体"/>
          <w:color w:val="auto"/>
          <w:szCs w:val="21"/>
          <w:highlight w:val="none"/>
        </w:rPr>
        <w:t>执行。</w:t>
      </w:r>
    </w:p>
    <w:p>
      <w:pPr>
        <w:spacing w:line="360" w:lineRule="auto"/>
        <w:outlineLvl w:val="1"/>
        <w:rPr>
          <w:rFonts w:hint="eastAsia" w:ascii="宋体" w:hAnsi="宋体"/>
          <w:b/>
          <w:color w:val="auto"/>
          <w:szCs w:val="21"/>
          <w:highlight w:val="none"/>
        </w:rPr>
      </w:pPr>
      <w:bookmarkStart w:id="8" w:name="_Toc439667473"/>
      <w:r>
        <w:rPr>
          <w:rFonts w:hint="eastAsia" w:ascii="宋体" w:hAnsi="宋体"/>
          <w:b/>
          <w:color w:val="auto"/>
          <w:szCs w:val="21"/>
          <w:highlight w:val="none"/>
        </w:rPr>
        <w:t>三、考核和考核奖金及服务经费的核拨</w:t>
      </w:r>
      <w:bookmarkEnd w:id="8"/>
    </w:p>
    <w:p>
      <w:pPr>
        <w:spacing w:line="360" w:lineRule="auto"/>
        <w:rPr>
          <w:color w:val="auto"/>
          <w:szCs w:val="21"/>
          <w:highlight w:val="none"/>
        </w:rPr>
      </w:pPr>
      <w:r>
        <w:rPr>
          <w:rFonts w:hint="eastAsia"/>
          <w:color w:val="auto"/>
          <w:szCs w:val="21"/>
          <w:highlight w:val="none"/>
        </w:rPr>
        <w:t>3.1</w:t>
      </w:r>
      <w:r>
        <w:rPr>
          <w:rFonts w:hAnsi="宋体"/>
          <w:color w:val="auto"/>
          <w:szCs w:val="21"/>
          <w:highlight w:val="none"/>
        </w:rPr>
        <w:t>考核验收：</w:t>
      </w:r>
      <w:r>
        <w:rPr>
          <w:rFonts w:hint="eastAsia" w:hAnsi="宋体"/>
          <w:color w:val="auto"/>
          <w:szCs w:val="21"/>
          <w:highlight w:val="none"/>
        </w:rPr>
        <w:t>由</w:t>
      </w:r>
      <w:r>
        <w:rPr>
          <w:rFonts w:hAnsi="宋体"/>
          <w:color w:val="auto"/>
          <w:szCs w:val="21"/>
          <w:highlight w:val="none"/>
        </w:rPr>
        <w:t>区</w:t>
      </w:r>
      <w:r>
        <w:rPr>
          <w:rFonts w:hint="eastAsia" w:hAnsi="宋体"/>
          <w:color w:val="auto"/>
          <w:szCs w:val="21"/>
          <w:highlight w:val="none"/>
        </w:rPr>
        <w:t>教育局、学校共同组成的</w:t>
      </w:r>
      <w:r>
        <w:rPr>
          <w:rFonts w:hAnsi="宋体"/>
          <w:color w:val="auto"/>
          <w:szCs w:val="21"/>
          <w:highlight w:val="none"/>
        </w:rPr>
        <w:t>考核小组每月不定期采取检查</w:t>
      </w:r>
      <w:r>
        <w:rPr>
          <w:rFonts w:hint="eastAsia" w:hAnsi="宋体"/>
          <w:color w:val="auto"/>
          <w:szCs w:val="21"/>
          <w:highlight w:val="none"/>
        </w:rPr>
        <w:t>安保服务</w:t>
      </w:r>
      <w:r>
        <w:rPr>
          <w:rFonts w:hAnsi="宋体"/>
          <w:color w:val="auto"/>
          <w:szCs w:val="21"/>
          <w:highlight w:val="none"/>
        </w:rPr>
        <w:t>要点、普查与随机抽查相结合办法对</w:t>
      </w:r>
      <w:r>
        <w:rPr>
          <w:rFonts w:hint="eastAsia" w:hAnsi="宋体"/>
          <w:color w:val="auto"/>
          <w:szCs w:val="21"/>
          <w:highlight w:val="none"/>
        </w:rPr>
        <w:t>保安人员及保安服务公司的服务</w:t>
      </w:r>
      <w:r>
        <w:rPr>
          <w:rFonts w:hAnsi="宋体"/>
          <w:color w:val="auto"/>
          <w:szCs w:val="21"/>
          <w:highlight w:val="none"/>
        </w:rPr>
        <w:t>质量进行考核验收；此外，</w:t>
      </w:r>
      <w:r>
        <w:rPr>
          <w:rFonts w:hint="eastAsia" w:hAnsi="宋体"/>
          <w:color w:val="auto"/>
          <w:szCs w:val="21"/>
          <w:highlight w:val="none"/>
        </w:rPr>
        <w:t>上级机关或部门</w:t>
      </w:r>
      <w:r>
        <w:rPr>
          <w:rFonts w:hAnsi="宋体"/>
          <w:color w:val="auto"/>
          <w:szCs w:val="21"/>
          <w:highlight w:val="none"/>
        </w:rPr>
        <w:t>对</w:t>
      </w:r>
      <w:r>
        <w:rPr>
          <w:rFonts w:hint="eastAsia" w:hAnsi="宋体"/>
          <w:color w:val="auto"/>
          <w:szCs w:val="21"/>
          <w:highlight w:val="none"/>
        </w:rPr>
        <w:t>保安人员及保安服务公司安保管理</w:t>
      </w:r>
      <w:r>
        <w:rPr>
          <w:rFonts w:hAnsi="宋体"/>
          <w:color w:val="auto"/>
          <w:szCs w:val="21"/>
          <w:highlight w:val="none"/>
        </w:rPr>
        <w:t>情况的</w:t>
      </w:r>
      <w:r>
        <w:rPr>
          <w:rFonts w:hint="eastAsia" w:hAnsi="宋体"/>
          <w:color w:val="auto"/>
          <w:szCs w:val="21"/>
          <w:highlight w:val="none"/>
        </w:rPr>
        <w:t>随机督查情况</w:t>
      </w:r>
      <w:r>
        <w:rPr>
          <w:rFonts w:hAnsi="宋体"/>
          <w:color w:val="auto"/>
          <w:szCs w:val="21"/>
          <w:highlight w:val="none"/>
        </w:rPr>
        <w:t>也计入每月的考核成绩。</w:t>
      </w:r>
    </w:p>
    <w:p>
      <w:pPr>
        <w:spacing w:line="360" w:lineRule="auto"/>
        <w:rPr>
          <w:rFonts w:hAnsi="宋体"/>
          <w:color w:val="auto"/>
          <w:szCs w:val="21"/>
          <w:highlight w:val="none"/>
        </w:rPr>
      </w:pPr>
      <w:r>
        <w:rPr>
          <w:rFonts w:hint="eastAsia"/>
          <w:color w:val="auto"/>
          <w:szCs w:val="21"/>
          <w:highlight w:val="none"/>
        </w:rPr>
        <w:t>3.2</w:t>
      </w:r>
      <w:r>
        <w:rPr>
          <w:rFonts w:hAnsi="宋体"/>
          <w:color w:val="auto"/>
          <w:szCs w:val="21"/>
          <w:highlight w:val="none"/>
        </w:rPr>
        <w:t>考核</w:t>
      </w:r>
      <w:r>
        <w:rPr>
          <w:rFonts w:hint="eastAsia" w:hAnsi="宋体"/>
          <w:color w:val="auto"/>
          <w:szCs w:val="21"/>
          <w:highlight w:val="none"/>
        </w:rPr>
        <w:t>细则</w:t>
      </w:r>
      <w:r>
        <w:rPr>
          <w:rFonts w:hAnsi="宋体"/>
          <w:color w:val="auto"/>
          <w:szCs w:val="21"/>
          <w:highlight w:val="none"/>
        </w:rPr>
        <w:t>：</w:t>
      </w:r>
      <w:r>
        <w:rPr>
          <w:rFonts w:hint="eastAsia" w:hAnsi="宋体"/>
          <w:color w:val="auto"/>
          <w:szCs w:val="21"/>
          <w:highlight w:val="none"/>
        </w:rPr>
        <w:t>保安人员的考核细则详见附表2：《北仑区</w:t>
      </w:r>
      <w:r>
        <w:rPr>
          <w:rFonts w:hint="eastAsia" w:hAnsi="宋体"/>
          <w:color w:val="auto"/>
          <w:szCs w:val="21"/>
          <w:highlight w:val="none"/>
          <w:lang w:eastAsia="zh-CN"/>
        </w:rPr>
        <w:t>校园保安人员</w:t>
      </w:r>
      <w:r>
        <w:rPr>
          <w:rFonts w:hint="eastAsia" w:hAnsi="宋体"/>
          <w:color w:val="auto"/>
          <w:szCs w:val="21"/>
          <w:highlight w:val="none"/>
        </w:rPr>
        <w:t>考核细则》；保安服务公司的考核细则详见附表4：《北仑区校园保安服务管理实施意见》。</w:t>
      </w:r>
    </w:p>
    <w:p>
      <w:pPr>
        <w:spacing w:line="360" w:lineRule="auto"/>
        <w:rPr>
          <w:rFonts w:hint="eastAsia" w:hAnsi="宋体"/>
          <w:color w:val="auto"/>
          <w:szCs w:val="21"/>
          <w:highlight w:val="none"/>
        </w:rPr>
      </w:pPr>
      <w:r>
        <w:rPr>
          <w:rFonts w:hint="eastAsia"/>
          <w:color w:val="auto"/>
          <w:szCs w:val="21"/>
          <w:highlight w:val="none"/>
        </w:rPr>
        <w:t>3.3</w:t>
      </w:r>
      <w:r>
        <w:rPr>
          <w:rFonts w:hint="eastAsia" w:hAnsi="宋体"/>
          <w:color w:val="auto"/>
          <w:szCs w:val="21"/>
          <w:highlight w:val="none"/>
        </w:rPr>
        <w:t>考核奖金和服务经费的核拨</w:t>
      </w:r>
      <w:r>
        <w:rPr>
          <w:rFonts w:hAnsi="宋体"/>
          <w:color w:val="auto"/>
          <w:szCs w:val="21"/>
          <w:highlight w:val="none"/>
        </w:rPr>
        <w:t>：</w:t>
      </w:r>
    </w:p>
    <w:p>
      <w:pPr>
        <w:spacing w:line="360" w:lineRule="auto"/>
        <w:rPr>
          <w:rFonts w:hint="eastAsia" w:hAnsi="宋体"/>
          <w:color w:val="auto"/>
          <w:szCs w:val="21"/>
          <w:highlight w:val="none"/>
        </w:rPr>
      </w:pPr>
      <w:r>
        <w:rPr>
          <w:rFonts w:hint="eastAsia" w:hAnsi="宋体"/>
          <w:color w:val="auto"/>
          <w:szCs w:val="21"/>
          <w:highlight w:val="none"/>
        </w:rPr>
        <w:t>（1）保安人员考核奖金的核拨：学校负责对本校的保安人员进行月度考核，</w:t>
      </w:r>
      <w:r>
        <w:rPr>
          <w:rFonts w:hAnsi="宋体"/>
          <w:color w:val="auto"/>
          <w:szCs w:val="21"/>
          <w:highlight w:val="none"/>
        </w:rPr>
        <w:t>根据考评结果按月进行核拨</w:t>
      </w:r>
      <w:r>
        <w:rPr>
          <w:rFonts w:hint="eastAsia"/>
          <w:color w:val="auto"/>
          <w:sz w:val="22"/>
          <w:szCs w:val="22"/>
          <w:highlight w:val="none"/>
          <w:shd w:val="clear" w:color="auto" w:fill="FFFFFF"/>
        </w:rPr>
        <w:t>。</w:t>
      </w:r>
    </w:p>
    <w:p>
      <w:pPr>
        <w:spacing w:line="360" w:lineRule="auto"/>
        <w:rPr>
          <w:rFonts w:hint="eastAsia"/>
          <w:color w:val="auto"/>
          <w:highlight w:val="none"/>
        </w:rPr>
      </w:pPr>
      <w:r>
        <w:rPr>
          <w:rFonts w:hint="eastAsia"/>
          <w:color w:val="auto"/>
          <w:highlight w:val="none"/>
        </w:rPr>
        <w:t>（2）保安公司服务经费的核拨：结合北仑区教育局对保安公司的考核情况由各学校按月拨付给保安公司（学校于次月10日之前完成拨付）。北仑区教育局对保安公司进行考核，考核过程中如需处罚的，在履约保证金中扣除。</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四、转包或分包</w:t>
      </w:r>
    </w:p>
    <w:p>
      <w:pPr>
        <w:snapToGrid w:val="0"/>
        <w:spacing w:line="360" w:lineRule="auto"/>
        <w:rPr>
          <w:rFonts w:eastAsia="仿宋_GB2312"/>
          <w:color w:val="auto"/>
          <w:szCs w:val="21"/>
          <w:highlight w:val="none"/>
        </w:rPr>
      </w:pPr>
      <w:r>
        <w:rPr>
          <w:rFonts w:hint="eastAsia"/>
          <w:color w:val="auto"/>
          <w:szCs w:val="21"/>
          <w:highlight w:val="none"/>
        </w:rPr>
        <w:t>4</w:t>
      </w:r>
      <w:r>
        <w:rPr>
          <w:color w:val="auto"/>
          <w:szCs w:val="21"/>
          <w:highlight w:val="none"/>
        </w:rPr>
        <w:t>.1</w:t>
      </w:r>
      <w:r>
        <w:rPr>
          <w:rFonts w:hAnsi="宋体"/>
          <w:color w:val="auto"/>
          <w:szCs w:val="21"/>
          <w:highlight w:val="none"/>
        </w:rPr>
        <w:t>本合同范围的</w:t>
      </w:r>
      <w:r>
        <w:rPr>
          <w:rFonts w:hint="eastAsia" w:hAnsi="宋体"/>
          <w:color w:val="auto"/>
          <w:szCs w:val="21"/>
          <w:highlight w:val="none"/>
        </w:rPr>
        <w:t>服务</w:t>
      </w:r>
      <w:r>
        <w:rPr>
          <w:rFonts w:hAnsi="宋体"/>
          <w:color w:val="auto"/>
          <w:szCs w:val="21"/>
          <w:highlight w:val="none"/>
        </w:rPr>
        <w:t>，应由</w:t>
      </w:r>
      <w:r>
        <w:rPr>
          <w:rFonts w:hint="eastAsia" w:hAnsi="宋体"/>
          <w:color w:val="auto"/>
          <w:szCs w:val="21"/>
          <w:highlight w:val="none"/>
        </w:rPr>
        <w:t>乙方</w:t>
      </w:r>
      <w:r>
        <w:rPr>
          <w:rFonts w:hAnsi="宋体"/>
          <w:color w:val="auto"/>
          <w:szCs w:val="21"/>
          <w:highlight w:val="none"/>
        </w:rPr>
        <w:t>直接</w:t>
      </w:r>
      <w:r>
        <w:rPr>
          <w:rFonts w:hint="eastAsia" w:hAnsi="宋体"/>
          <w:color w:val="auto"/>
          <w:szCs w:val="21"/>
          <w:highlight w:val="none"/>
        </w:rPr>
        <w:t>提供</w:t>
      </w:r>
      <w:r>
        <w:rPr>
          <w:rFonts w:hAnsi="宋体"/>
          <w:color w:val="auto"/>
          <w:szCs w:val="21"/>
          <w:highlight w:val="none"/>
        </w:rPr>
        <w:t>，不得转让他人；</w:t>
      </w:r>
    </w:p>
    <w:p>
      <w:pPr>
        <w:snapToGrid w:val="0"/>
        <w:spacing w:line="360" w:lineRule="auto"/>
        <w:rPr>
          <w:rFonts w:eastAsia="仿宋_GB2312"/>
          <w:color w:val="auto"/>
          <w:szCs w:val="21"/>
          <w:highlight w:val="none"/>
        </w:rPr>
      </w:pPr>
      <w:r>
        <w:rPr>
          <w:rFonts w:hint="eastAsia"/>
          <w:color w:val="auto"/>
          <w:szCs w:val="21"/>
          <w:highlight w:val="none"/>
        </w:rPr>
        <w:t>4</w:t>
      </w:r>
      <w:r>
        <w:rPr>
          <w:color w:val="auto"/>
          <w:szCs w:val="21"/>
          <w:highlight w:val="none"/>
        </w:rPr>
        <w:t xml:space="preserve">.2 </w:t>
      </w:r>
      <w:r>
        <w:rPr>
          <w:rFonts w:hAnsi="宋体"/>
          <w:color w:val="auto"/>
          <w:szCs w:val="21"/>
          <w:highlight w:val="none"/>
        </w:rPr>
        <w:t>除非得到需方的书面同意，</w:t>
      </w:r>
      <w:r>
        <w:rPr>
          <w:rFonts w:hint="eastAsia" w:hAnsi="宋体"/>
          <w:color w:val="auto"/>
          <w:szCs w:val="21"/>
          <w:highlight w:val="none"/>
        </w:rPr>
        <w:t>乙方</w:t>
      </w:r>
      <w:r>
        <w:rPr>
          <w:rFonts w:hAnsi="宋体"/>
          <w:color w:val="auto"/>
          <w:szCs w:val="21"/>
          <w:highlight w:val="none"/>
        </w:rPr>
        <w:t>不得部分分包给他人。需方有绝对权力阻止分包。</w:t>
      </w:r>
    </w:p>
    <w:p>
      <w:pPr>
        <w:snapToGrid w:val="0"/>
        <w:spacing w:line="360" w:lineRule="auto"/>
        <w:rPr>
          <w:rFonts w:eastAsia="仿宋_GB2312"/>
          <w:color w:val="auto"/>
          <w:szCs w:val="21"/>
          <w:highlight w:val="none"/>
        </w:rPr>
      </w:pPr>
      <w:r>
        <w:rPr>
          <w:rFonts w:hint="eastAsia"/>
          <w:color w:val="auto"/>
          <w:szCs w:val="21"/>
          <w:highlight w:val="none"/>
        </w:rPr>
        <w:t>4</w:t>
      </w:r>
      <w:r>
        <w:rPr>
          <w:color w:val="auto"/>
          <w:szCs w:val="21"/>
          <w:highlight w:val="none"/>
        </w:rPr>
        <w:t>.3</w:t>
      </w:r>
      <w:r>
        <w:rPr>
          <w:rFonts w:hAnsi="宋体"/>
          <w:color w:val="auto"/>
          <w:szCs w:val="21"/>
          <w:highlight w:val="none"/>
        </w:rPr>
        <w:t>如有转让和未经需方同意的分包行为，需方有权给予终止合同。</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五、税</w:t>
      </w:r>
    </w:p>
    <w:p>
      <w:pPr>
        <w:spacing w:line="360" w:lineRule="auto"/>
        <w:rPr>
          <w:rFonts w:hint="eastAsia" w:hAnsi="宋体"/>
          <w:color w:val="auto"/>
          <w:szCs w:val="21"/>
          <w:highlight w:val="none"/>
        </w:rPr>
      </w:pPr>
      <w:r>
        <w:rPr>
          <w:rFonts w:hint="eastAsia" w:ascii="宋体" w:hAnsi="宋体" w:cs="宋体"/>
          <w:color w:val="auto"/>
          <w:szCs w:val="21"/>
          <w:highlight w:val="none"/>
        </w:rPr>
        <w:t>5.1</w:t>
      </w:r>
      <w:r>
        <w:rPr>
          <w:rFonts w:hAnsi="宋体"/>
          <w:color w:val="auto"/>
          <w:szCs w:val="21"/>
          <w:highlight w:val="none"/>
        </w:rPr>
        <w:t>本合同执行中相关的一切税费均由</w:t>
      </w:r>
      <w:r>
        <w:rPr>
          <w:rFonts w:hint="eastAsia" w:hAnsi="宋体"/>
          <w:color w:val="auto"/>
          <w:szCs w:val="21"/>
          <w:highlight w:val="none"/>
        </w:rPr>
        <w:t>乙方</w:t>
      </w:r>
      <w:r>
        <w:rPr>
          <w:rFonts w:hAnsi="宋体"/>
          <w:color w:val="auto"/>
          <w:szCs w:val="21"/>
          <w:highlight w:val="none"/>
        </w:rPr>
        <w:t>负担。</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六、履约保证</w:t>
      </w:r>
    </w:p>
    <w:p>
      <w:pPr>
        <w:snapToGrid w:val="0"/>
        <w:spacing w:line="360" w:lineRule="auto"/>
        <w:rPr>
          <w:rFonts w:hint="eastAsia" w:hAnsi="宋体"/>
          <w:color w:val="auto"/>
          <w:szCs w:val="21"/>
          <w:highlight w:val="none"/>
        </w:rPr>
      </w:pPr>
      <w:r>
        <w:rPr>
          <w:rFonts w:hint="eastAsia" w:hAnsi="宋体"/>
          <w:color w:val="auto"/>
          <w:szCs w:val="21"/>
          <w:highlight w:val="none"/>
        </w:rPr>
        <w:t>6.1履约保证金的递交：</w:t>
      </w:r>
      <w:r>
        <w:rPr>
          <w:rFonts w:hint="eastAsia" w:ascii="宋体" w:hAnsi="宋体"/>
          <w:color w:val="auto"/>
          <w:szCs w:val="21"/>
          <w:highlight w:val="none"/>
        </w:rPr>
        <w:t>本项目履约保证金为</w:t>
      </w:r>
      <w:r>
        <w:rPr>
          <w:rFonts w:hint="eastAsia" w:ascii="宋体" w:hAnsi="宋体"/>
          <w:color w:val="auto"/>
          <w:szCs w:val="21"/>
          <w:highlight w:val="none"/>
          <w:u w:val="single"/>
          <w:lang w:val="en-US" w:eastAsia="zh-CN"/>
        </w:rPr>
        <w:t xml:space="preserve">  20 </w:t>
      </w:r>
      <w:r>
        <w:rPr>
          <w:rFonts w:hint="eastAsia" w:ascii="宋体" w:hAnsi="宋体"/>
          <w:color w:val="auto"/>
          <w:szCs w:val="21"/>
          <w:highlight w:val="none"/>
        </w:rPr>
        <w:t>万元</w:t>
      </w:r>
      <w:r>
        <w:rPr>
          <w:rFonts w:hint="eastAsia" w:hAnsi="宋体"/>
          <w:color w:val="auto"/>
          <w:szCs w:val="21"/>
          <w:highlight w:val="none"/>
        </w:rPr>
        <w:t>，由乙方在与甲方签署《</w:t>
      </w:r>
      <w:r>
        <w:rPr>
          <w:rFonts w:hint="eastAsia" w:hAnsi="宋体"/>
          <w:color w:val="auto"/>
          <w:szCs w:val="21"/>
          <w:highlight w:val="none"/>
          <w:lang w:val="en-US" w:eastAsia="zh-CN"/>
        </w:rPr>
        <w:t>北仑区校园保安服务项目框架</w:t>
      </w:r>
      <w:r>
        <w:rPr>
          <w:rFonts w:hint="eastAsia" w:hAnsi="宋体"/>
          <w:color w:val="auto"/>
          <w:szCs w:val="21"/>
          <w:highlight w:val="none"/>
        </w:rPr>
        <w:t>合同》及相关承诺书</w:t>
      </w:r>
      <w:r>
        <w:rPr>
          <w:rFonts w:hint="eastAsia" w:hAnsi="宋体"/>
          <w:color w:val="auto"/>
          <w:szCs w:val="21"/>
          <w:highlight w:val="none"/>
          <w:lang w:val="en-US" w:eastAsia="zh-CN"/>
        </w:rPr>
        <w:t>后</w:t>
      </w:r>
      <w:r>
        <w:rPr>
          <w:rFonts w:hint="eastAsia" w:hAnsi="宋体"/>
          <w:color w:val="auto"/>
          <w:szCs w:val="21"/>
          <w:highlight w:val="none"/>
        </w:rPr>
        <w:t>缴纳。</w:t>
      </w:r>
    </w:p>
    <w:p>
      <w:pPr>
        <w:snapToGrid w:val="0"/>
        <w:spacing w:line="360" w:lineRule="auto"/>
        <w:rPr>
          <w:rFonts w:hint="eastAsia" w:hAnsi="宋体"/>
          <w:color w:val="auto"/>
          <w:szCs w:val="21"/>
          <w:highlight w:val="none"/>
        </w:rPr>
      </w:pPr>
      <w:r>
        <w:rPr>
          <w:rFonts w:hint="eastAsia" w:hAnsi="宋体"/>
          <w:color w:val="auto"/>
          <w:szCs w:val="21"/>
          <w:highlight w:val="none"/>
        </w:rPr>
        <w:t>6.2履约保证金的退还：退还金额与乙方合同履行期间的考核挂钩，根据考核情况扣除相关费用后于合同期满退还余额（不计息）。</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七、违约责任</w:t>
      </w:r>
    </w:p>
    <w:p>
      <w:pPr>
        <w:spacing w:line="360" w:lineRule="auto"/>
        <w:rPr>
          <w:rFonts w:hint="eastAsia" w:ascii="宋体" w:hAnsi="宋体"/>
          <w:color w:val="auto"/>
          <w:szCs w:val="21"/>
          <w:highlight w:val="none"/>
        </w:rPr>
      </w:pPr>
      <w:r>
        <w:rPr>
          <w:rFonts w:hint="eastAsia" w:ascii="宋体" w:hAnsi="宋体"/>
          <w:color w:val="auto"/>
          <w:szCs w:val="21"/>
          <w:highlight w:val="none"/>
        </w:rPr>
        <w:t>7.1甲方无正当理由拒收的，甲方向乙方偿付拒收总值的百分之五违约金。</w:t>
      </w:r>
    </w:p>
    <w:p>
      <w:pPr>
        <w:spacing w:line="360" w:lineRule="auto"/>
        <w:rPr>
          <w:rFonts w:hint="eastAsia" w:ascii="宋体" w:hAnsi="宋体"/>
          <w:color w:val="auto"/>
          <w:szCs w:val="21"/>
          <w:highlight w:val="none"/>
        </w:rPr>
      </w:pPr>
      <w:r>
        <w:rPr>
          <w:rFonts w:hint="eastAsia" w:ascii="宋体" w:hAnsi="宋体"/>
          <w:color w:val="auto"/>
          <w:szCs w:val="21"/>
          <w:highlight w:val="none"/>
        </w:rPr>
        <w:t>7.2甲方无故逾期验收和办理款项支付手续的,甲方应按逾期付款总额每日万分之五向乙方支付违约金。</w:t>
      </w:r>
    </w:p>
    <w:p>
      <w:pPr>
        <w:spacing w:line="360" w:lineRule="auto"/>
        <w:rPr>
          <w:rFonts w:hint="eastAsia" w:ascii="宋体" w:hAnsi="宋体"/>
          <w:color w:val="auto"/>
          <w:szCs w:val="21"/>
          <w:highlight w:val="none"/>
        </w:rPr>
      </w:pPr>
      <w:r>
        <w:rPr>
          <w:rFonts w:hint="eastAsia" w:ascii="宋体" w:hAnsi="宋体"/>
          <w:color w:val="auto"/>
          <w:szCs w:val="21"/>
          <w:highlight w:val="none"/>
        </w:rPr>
        <w:t>7.3乙方逾期交付的，乙方应按逾期交付总额每日千分之六向甲方支付违约金，由甲方从待付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八、不可抗力事件处理</w:t>
      </w:r>
    </w:p>
    <w:p>
      <w:pPr>
        <w:spacing w:line="360" w:lineRule="auto"/>
        <w:rPr>
          <w:rFonts w:hint="eastAsia" w:ascii="宋体" w:hAnsi="宋体"/>
          <w:color w:val="auto"/>
          <w:szCs w:val="21"/>
          <w:highlight w:val="none"/>
        </w:rPr>
      </w:pPr>
      <w:r>
        <w:rPr>
          <w:rFonts w:hint="eastAsia" w:ascii="宋体" w:hAnsi="宋体"/>
          <w:color w:val="auto"/>
          <w:szCs w:val="21"/>
          <w:highlight w:val="none"/>
        </w:rPr>
        <w:t>8.1在合同有效期内，任何一方因不可抗力事件导致不能履行合同，则合同履行期可延长，其延长期与不可抗力影响期相同。</w:t>
      </w:r>
    </w:p>
    <w:p>
      <w:pPr>
        <w:spacing w:line="360" w:lineRule="auto"/>
        <w:rPr>
          <w:rFonts w:hint="eastAsia" w:ascii="宋体" w:hAnsi="宋体"/>
          <w:color w:val="auto"/>
          <w:szCs w:val="21"/>
          <w:highlight w:val="none"/>
        </w:rPr>
      </w:pPr>
      <w:r>
        <w:rPr>
          <w:rFonts w:hint="eastAsia" w:ascii="宋体" w:hAnsi="宋体"/>
          <w:color w:val="auto"/>
          <w:szCs w:val="21"/>
          <w:highlight w:val="none"/>
        </w:rPr>
        <w:t>8.2不可抗力事件发生后，应立即通知对方，并寄送有关权威机构出具的证明。</w:t>
      </w:r>
    </w:p>
    <w:p>
      <w:pPr>
        <w:spacing w:line="360" w:lineRule="auto"/>
        <w:rPr>
          <w:rFonts w:hint="eastAsia" w:ascii="宋体" w:hAnsi="宋体"/>
          <w:color w:val="auto"/>
          <w:szCs w:val="21"/>
          <w:highlight w:val="none"/>
        </w:rPr>
      </w:pPr>
      <w:r>
        <w:rPr>
          <w:rFonts w:hint="eastAsia" w:ascii="宋体" w:hAnsi="宋体"/>
          <w:color w:val="auto"/>
          <w:szCs w:val="21"/>
          <w:highlight w:val="none"/>
        </w:rPr>
        <w:t>8.3不可抗力事件延续120天以上，双方应通过友好协商，确定是否继续履行合同。</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九、解决合同纠纷方式</w:t>
      </w:r>
    </w:p>
    <w:p>
      <w:pPr>
        <w:spacing w:line="360" w:lineRule="auto"/>
        <w:rPr>
          <w:rFonts w:hint="eastAsia" w:ascii="宋体" w:hAnsi="宋体"/>
          <w:color w:val="auto"/>
          <w:szCs w:val="21"/>
          <w:highlight w:val="none"/>
        </w:rPr>
      </w:pPr>
      <w:r>
        <w:rPr>
          <w:rFonts w:hint="eastAsia" w:ascii="宋体" w:hAnsi="宋体"/>
          <w:color w:val="auto"/>
          <w:szCs w:val="21"/>
          <w:highlight w:val="none"/>
        </w:rPr>
        <w:t>9.1双方在执行合同中所发生的一切争议，应通过协商解决。如协商不成，可向合同签订地法院起诉，合同签订地在此约定为北仑区。</w:t>
      </w:r>
    </w:p>
    <w:p>
      <w:pPr>
        <w:spacing w:line="360" w:lineRule="auto"/>
        <w:outlineLvl w:val="1"/>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十、合同生效及其它约定事项</w:t>
      </w:r>
    </w:p>
    <w:p>
      <w:pPr>
        <w:spacing w:line="360" w:lineRule="auto"/>
        <w:rPr>
          <w:rFonts w:ascii="宋体" w:hAnsi="宋体"/>
          <w:color w:val="auto"/>
          <w:szCs w:val="21"/>
          <w:highlight w:val="none"/>
        </w:rPr>
      </w:pPr>
      <w:r>
        <w:rPr>
          <w:rFonts w:hint="eastAsia" w:ascii="宋体" w:hAnsi="宋体"/>
          <w:color w:val="auto"/>
          <w:szCs w:val="21"/>
          <w:highlight w:val="none"/>
        </w:rPr>
        <w:t>10.1合同经双方法定代表人或授权委托代理人签字并加盖单位公章后生效。</w:t>
      </w:r>
    </w:p>
    <w:p>
      <w:pPr>
        <w:spacing w:line="360" w:lineRule="auto"/>
        <w:rPr>
          <w:rFonts w:ascii="宋体" w:hAnsi="宋体"/>
          <w:color w:val="auto"/>
          <w:szCs w:val="21"/>
          <w:highlight w:val="none"/>
        </w:rPr>
      </w:pPr>
      <w:r>
        <w:rPr>
          <w:rFonts w:hint="eastAsia" w:ascii="宋体" w:hAnsi="宋体"/>
          <w:color w:val="auto"/>
          <w:szCs w:val="21"/>
          <w:highlight w:val="none"/>
        </w:rPr>
        <w:t>10.2合同执行中涉及采购资金和采购内容修改或补充的，须经区财政部门审批，并签书面补充协议报北仑区政府采购管理办公室备案，方可作为主合同不可分割的一部分。</w:t>
      </w:r>
    </w:p>
    <w:p>
      <w:pPr>
        <w:spacing w:line="360" w:lineRule="auto"/>
        <w:rPr>
          <w:rFonts w:ascii="宋体" w:hAnsi="宋体"/>
          <w:color w:val="auto"/>
          <w:szCs w:val="21"/>
          <w:highlight w:val="none"/>
        </w:rPr>
      </w:pPr>
      <w:r>
        <w:rPr>
          <w:rFonts w:hint="eastAsia" w:ascii="宋体" w:hAnsi="宋体"/>
          <w:color w:val="auto"/>
          <w:szCs w:val="21"/>
          <w:highlight w:val="none"/>
        </w:rPr>
        <w:t>10.3本项目采购过程中形成的文件资料为合同组成部分。</w:t>
      </w:r>
    </w:p>
    <w:p>
      <w:pPr>
        <w:spacing w:line="360" w:lineRule="auto"/>
        <w:rPr>
          <w:rFonts w:ascii="宋体" w:hAnsi="宋体"/>
          <w:color w:val="auto"/>
          <w:szCs w:val="21"/>
          <w:highlight w:val="none"/>
        </w:rPr>
      </w:pPr>
      <w:r>
        <w:rPr>
          <w:rFonts w:hint="eastAsia" w:ascii="宋体" w:hAnsi="宋体"/>
          <w:color w:val="auto"/>
          <w:szCs w:val="21"/>
          <w:highlight w:val="none"/>
        </w:rPr>
        <w:t>10.4本合同未尽事宜，遵照《</w:t>
      </w:r>
      <w:r>
        <w:rPr>
          <w:rFonts w:hint="eastAsia" w:ascii="宋体" w:hAnsi="宋体"/>
          <w:color w:val="auto"/>
          <w:szCs w:val="21"/>
          <w:highlight w:val="none"/>
          <w:lang w:val="en-US" w:eastAsia="zh-CN"/>
        </w:rPr>
        <w:t>民法典</w:t>
      </w:r>
      <w:r>
        <w:rPr>
          <w:rFonts w:hint="eastAsia" w:ascii="宋体" w:hAnsi="宋体"/>
          <w:color w:val="auto"/>
          <w:szCs w:val="21"/>
          <w:highlight w:val="none"/>
        </w:rPr>
        <w:t>》有关条文执行。</w:t>
      </w:r>
    </w:p>
    <w:p>
      <w:pPr>
        <w:spacing w:line="360" w:lineRule="auto"/>
        <w:rPr>
          <w:rFonts w:ascii="宋体" w:hAnsi="宋体"/>
          <w:color w:val="auto"/>
          <w:szCs w:val="21"/>
          <w:highlight w:val="none"/>
        </w:rPr>
      </w:pPr>
      <w:r>
        <w:rPr>
          <w:rFonts w:hint="eastAsia" w:ascii="宋体" w:hAnsi="宋体"/>
          <w:color w:val="auto"/>
          <w:szCs w:val="21"/>
          <w:highlight w:val="none"/>
        </w:rPr>
        <w:t>10.5</w:t>
      </w:r>
      <w:r>
        <w:rPr>
          <w:rFonts w:hint="eastAsia" w:ascii="宋体" w:hAnsi="宋体"/>
          <w:color w:val="auto"/>
          <w:szCs w:val="21"/>
          <w:highlight w:val="none"/>
        </w:rPr>
        <w:t>本合同正本一式五份，甲乙双方各执二份</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中心一份，</w:t>
      </w:r>
      <w:r>
        <w:rPr>
          <w:rFonts w:hint="eastAsia" w:ascii="宋体" w:hAnsi="宋体"/>
          <w:color w:val="auto"/>
          <w:szCs w:val="21"/>
          <w:highlight w:val="none"/>
        </w:rPr>
        <w:t>具有同等法律效力。</w:t>
      </w:r>
    </w:p>
    <w:p>
      <w:pPr>
        <w:spacing w:line="360" w:lineRule="auto"/>
        <w:ind w:firstLine="315" w:firstLineChars="150"/>
        <w:rPr>
          <w:rFonts w:hint="eastAsia" w:ascii="宋体" w:hAnsi="宋体"/>
          <w:color w:val="auto"/>
          <w:szCs w:val="21"/>
          <w:highlight w:val="none"/>
        </w:rPr>
      </w:pPr>
      <w:r>
        <w:rPr>
          <w:rFonts w:hint="eastAsia" w:ascii="宋体" w:hAnsi="宋体"/>
          <w:color w:val="auto"/>
          <w:szCs w:val="21"/>
          <w:highlight w:val="none"/>
        </w:rPr>
        <w:t xml:space="preserve"> </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甲方（章）：                                  乙方（章）：</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地址：                                        地址：</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法定代表人：                                  法定代表人：</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委托代理人：                                  委托代理人：</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电话：                                        电话：</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开户银行：                                    开户银行：</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帐号：                                        帐号：</w:t>
      </w:r>
    </w:p>
    <w:p>
      <w:pPr>
        <w:tabs>
          <w:tab w:val="left" w:pos="5103"/>
        </w:tabs>
        <w:spacing w:line="360" w:lineRule="auto"/>
        <w:ind w:firstLine="315" w:firstLineChars="150"/>
        <w:rPr>
          <w:rFonts w:hint="eastAsia" w:ascii="宋体" w:hAnsi="宋体"/>
          <w:color w:val="auto"/>
          <w:szCs w:val="21"/>
          <w:highlight w:val="none"/>
        </w:rPr>
      </w:pPr>
      <w:r>
        <w:rPr>
          <w:rFonts w:hint="eastAsia" w:ascii="宋体" w:hAnsi="宋体"/>
          <w:color w:val="auto"/>
          <w:szCs w:val="21"/>
          <w:highlight w:val="none"/>
        </w:rPr>
        <w:t>签订地点：                                    签订日期：   年  月  日</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投标文件</w:t>
      </w:r>
      <w:r>
        <w:rPr>
          <w:rFonts w:hint="eastAsia" w:ascii="宋体" w:hAnsi="宋体" w:eastAsia="宋体" w:cs="宋体"/>
          <w:b/>
          <w:bCs/>
          <w:color w:val="auto"/>
          <w:sz w:val="36"/>
          <w:szCs w:val="36"/>
          <w:highlight w:val="none"/>
          <w:lang w:val="en-US" w:eastAsia="zh-CN"/>
        </w:rPr>
        <w:t>组成及</w:t>
      </w:r>
      <w:r>
        <w:rPr>
          <w:rFonts w:hint="eastAsia" w:ascii="宋体" w:hAnsi="宋体" w:eastAsia="宋体" w:cs="宋体"/>
          <w:b/>
          <w:bCs/>
          <w:color w:val="auto"/>
          <w:sz w:val="36"/>
          <w:szCs w:val="36"/>
          <w:highlight w:val="none"/>
        </w:rPr>
        <w:t>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2、投标人应按照招标文件要求的内容和提供的格式编写投标文件。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1、投标人声明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w:t>
      </w:r>
      <w:r>
        <w:rPr>
          <w:rFonts w:hint="eastAsia" w:ascii="宋体" w:hAnsi="宋体"/>
          <w:color w:val="auto"/>
          <w:highlight w:val="none"/>
        </w:rPr>
        <w:t>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投标人营业执照</w:t>
      </w:r>
      <w:r>
        <w:rPr>
          <w:rFonts w:hint="eastAsia" w:ascii="宋体" w:hAnsi="宋体"/>
          <w:color w:val="auto"/>
          <w:highlight w:val="none"/>
          <w:lang w:eastAsia="zh-CN"/>
        </w:rPr>
        <w:t>（</w:t>
      </w:r>
      <w:r>
        <w:rPr>
          <w:rFonts w:hint="eastAsia" w:ascii="宋体" w:hAnsi="宋体"/>
          <w:color w:val="auto"/>
          <w:highlight w:val="none"/>
          <w:lang w:val="en-US" w:eastAsia="zh-CN"/>
        </w:rPr>
        <w:t>提供</w:t>
      </w:r>
      <w:r>
        <w:rPr>
          <w:rFonts w:hint="eastAsia" w:ascii="宋体" w:hAnsi="宋体"/>
          <w:color w:val="auto"/>
          <w:highlight w:val="none"/>
        </w:rPr>
        <w:t>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、投标人中小企业声明函（中小微企业提供）（见格式3）（或 残疾人福利性单位声明函（残疾人福利性单位提供）（见格式4）</w:t>
      </w:r>
      <w:r>
        <w:rPr>
          <w:rFonts w:hint="eastAsia" w:ascii="宋体" w:hAnsi="宋体"/>
          <w:color w:val="auto"/>
          <w:highlight w:val="none"/>
          <w:lang w:val="en-US" w:eastAsia="zh-CN"/>
        </w:rPr>
        <w:t xml:space="preserve"> 或 </w:t>
      </w:r>
      <w:r>
        <w:rPr>
          <w:rFonts w:hint="eastAsia" w:ascii="宋体" w:hAnsi="宋体"/>
          <w:color w:val="auto"/>
          <w:highlight w:val="none"/>
        </w:rPr>
        <w:t>监狱企业证明文件（监狱企业提供）（要求见采购文件第四部分））（提供原件彩色扫描件）</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val="en-US" w:eastAsia="zh-CN"/>
        </w:rPr>
        <w:t>具有</w:t>
      </w:r>
      <w:r>
        <w:rPr>
          <w:rFonts w:hint="eastAsia" w:ascii="宋体" w:hAnsi="宋体"/>
          <w:color w:val="auto"/>
          <w:highlight w:val="none"/>
        </w:rPr>
        <w:t>独立法人资格</w:t>
      </w:r>
      <w:r>
        <w:rPr>
          <w:rFonts w:hint="eastAsia" w:ascii="宋体" w:hAnsi="宋体"/>
          <w:color w:val="auto"/>
          <w:highlight w:val="none"/>
          <w:lang w:val="en-US" w:eastAsia="zh-CN"/>
        </w:rPr>
        <w:t>的</w:t>
      </w:r>
      <w:r>
        <w:rPr>
          <w:rFonts w:hint="eastAsia" w:ascii="宋体" w:hAnsi="宋体"/>
          <w:color w:val="auto"/>
          <w:highlight w:val="none"/>
        </w:rPr>
        <w:t>证明材料（提供投标人营业执照扫描件）</w:t>
      </w:r>
    </w:p>
    <w:p>
      <w:pPr>
        <w:spacing w:line="360" w:lineRule="auto"/>
        <w:rPr>
          <w:rFonts w:hint="eastAsia" w:ascii="宋体" w:hAnsi="宋体"/>
          <w:color w:val="auto"/>
          <w:highlight w:val="none"/>
        </w:rPr>
      </w:pPr>
      <w:r>
        <w:rPr>
          <w:rFonts w:hint="eastAsia" w:ascii="宋体" w:hAnsi="宋体"/>
          <w:color w:val="auto"/>
          <w:highlight w:val="none"/>
          <w:lang w:val="en-US" w:eastAsia="zh-CN"/>
        </w:rPr>
        <w:t>7、投标人保安服务许可证</w:t>
      </w:r>
      <w:r>
        <w:rPr>
          <w:rFonts w:hint="eastAsia" w:ascii="宋体" w:hAnsi="宋体"/>
          <w:color w:val="auto"/>
          <w:highlight w:val="none"/>
        </w:rPr>
        <w:t>（提供扫描件）</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1、投标人应按照资格证明文件组成所列内容提供资格证明材料。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default" w:ascii="宋体" w:hAnsi="宋体"/>
          <w:color w:val="auto"/>
          <w:sz w:val="21"/>
          <w:szCs w:val="21"/>
          <w:highlight w:val="none"/>
          <w:lang w:val="en-US" w:eastAsia="zh-CN"/>
        </w:rPr>
        <w:t>资格证明文件中不得出现本项目的投标总价</w:t>
      </w:r>
      <w:r>
        <w:rPr>
          <w:rFonts w:hint="eastAsia" w:ascii="宋体" w:hAnsi="宋体" w:cs="宋体"/>
          <w:color w:val="auto"/>
          <w:szCs w:val="21"/>
          <w:highlight w:val="none"/>
        </w:rPr>
        <w:t>（固定价格采购除外）</w:t>
      </w:r>
      <w:r>
        <w:rPr>
          <w:rFonts w:hint="default" w:ascii="宋体" w:hAnsi="宋体"/>
          <w:color w:val="auto"/>
          <w:sz w:val="21"/>
          <w:szCs w:val="21"/>
          <w:highlight w:val="none"/>
          <w:lang w:val="en-US" w:eastAsia="zh-CN"/>
        </w:rPr>
        <w:t>，否则为无效投标。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北仑区校园保安服务</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BLZFCG2023050</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w:t>
      </w:r>
      <w:r>
        <w:rPr>
          <w:rFonts w:hint="eastAsia" w:ascii="宋体" w:hAnsi="宋体" w:eastAsia="宋体" w:cs="宋体"/>
          <w:color w:val="auto"/>
          <w:highlight w:val="none"/>
        </w:rPr>
        <w:t>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签署上述项目的投标文件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全权代表签字：</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中小企业声明函</w:t>
      </w:r>
      <w:r>
        <w:rPr>
          <w:rFonts w:hint="eastAsia" w:eastAsia="黑体"/>
          <w:color w:val="auto"/>
          <w:spacing w:val="20"/>
          <w:sz w:val="36"/>
          <w:szCs w:val="32"/>
          <w:highlight w:val="none"/>
          <w:lang w:eastAsia="zh-CN"/>
        </w:rPr>
        <w:t>（</w:t>
      </w:r>
      <w:r>
        <w:rPr>
          <w:rFonts w:hint="eastAsia" w:eastAsia="黑体"/>
          <w:color w:val="auto"/>
          <w:spacing w:val="20"/>
          <w:sz w:val="36"/>
          <w:szCs w:val="32"/>
          <w:highlight w:val="none"/>
          <w:lang w:val="en-US" w:eastAsia="zh-CN"/>
        </w:rPr>
        <w:t>服务</w:t>
      </w:r>
      <w:r>
        <w:rPr>
          <w:rFonts w:hint="eastAsia" w:eastAsia="黑体"/>
          <w:color w:val="auto"/>
          <w:spacing w:val="20"/>
          <w:sz w:val="36"/>
          <w:szCs w:val="32"/>
          <w:highlight w:val="none"/>
          <w:lang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w:t>
      </w:r>
      <w:r>
        <w:rPr>
          <w:rFonts w:hint="eastAsia" w:ascii="宋体" w:hAnsi="宋体" w:eastAsia="宋体" w:cs="宋体"/>
          <w:color w:val="auto"/>
          <w:highlight w:val="none"/>
          <w:lang w:eastAsia="zh-CN"/>
        </w:rPr>
        <w:t>根据《政府采购促进中小企业发展管理办法》（财库[2020]46号）的规定，本公司参加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采购活动，服务全部由符合政策要求的中小企业承接。具</w:t>
      </w:r>
      <w:r>
        <w:rPr>
          <w:rFonts w:hint="eastAsia" w:ascii="宋体" w:hAnsi="宋体" w:eastAsia="宋体" w:cs="宋体"/>
          <w:color w:val="auto"/>
          <w:highlight w:val="none"/>
          <w:lang w:eastAsia="zh-CN"/>
        </w:rPr>
        <w:t>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本项目采购的保安服务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租赁和商务服务业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；承接企业为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（投标人名称）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本公司</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提交中小企业声明函享受中小企业扶持政策并中标的，内容随中标公告一同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drawing>
          <wp:inline distT="0" distB="0" distL="114300" distR="114300">
            <wp:extent cx="5612765" cy="8722995"/>
            <wp:effectExtent l="0" t="0" r="6985" b="1905"/>
            <wp:docPr id="2" name="图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
                    <pic:cNvPicPr>
                      <a:picLocks noChangeAspect="1"/>
                    </pic:cNvPicPr>
                  </pic:nvPicPr>
                  <pic:blipFill>
                    <a:blip r:embed="rId7"/>
                    <a:stretch>
                      <a:fillRect/>
                    </a:stretch>
                  </pic:blipFill>
                  <pic:spPr>
                    <a:xfrm>
                      <a:off x="0" y="0"/>
                      <a:ext cx="5612765" cy="8722995"/>
                    </a:xfrm>
                    <a:prstGeom prst="rect">
                      <a:avLst/>
                    </a:prstGeom>
                  </pic:spPr>
                </pic:pic>
              </a:graphicData>
            </a:graphic>
          </wp:inline>
        </w:drawing>
      </w: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w:t>
      </w:r>
      <w:r>
        <w:rPr>
          <w:rFonts w:hint="eastAsia" w:ascii="宋体" w:hAnsi="宋体" w:eastAsia="宋体" w:cs="宋体"/>
          <w:color w:val="auto"/>
          <w:szCs w:val="21"/>
          <w:highlight w:val="none"/>
        </w:rPr>
        <w:t>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采购活动，由本单位向采购人提供服务。</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符合相应条件的企业应根据招标文件要求提供《残疾人福利性单位声明函》，未按要求提供声</w:t>
      </w:r>
      <w:r>
        <w:rPr>
          <w:rFonts w:hint="eastAsia" w:ascii="宋体" w:hAnsi="宋体" w:eastAsia="宋体" w:cs="宋体"/>
          <w:color w:val="auto"/>
          <w:highlight w:val="none"/>
          <w:lang w:eastAsia="zh-CN"/>
        </w:rPr>
        <w:t>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提交残疾人福利性单位声明函享受促进中小企业发展的政府采购政策并中标的，内容随中标公告一同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lang w:val="en-US" w:eastAsia="zh-CN"/>
        </w:rPr>
        <w:t>保安</w:t>
      </w:r>
      <w:r>
        <w:rPr>
          <w:rFonts w:hint="eastAsia" w:ascii="宋体" w:hAnsi="宋体"/>
          <w:color w:val="auto"/>
          <w:highlight w:val="none"/>
        </w:rPr>
        <w:t>服务方案</w:t>
      </w:r>
      <w:r>
        <w:rPr>
          <w:rFonts w:hint="eastAsia" w:ascii="宋体" w:hAnsi="宋体"/>
          <w:color w:val="auto"/>
          <w:highlight w:val="none"/>
        </w:rPr>
        <w:t>（内容格式自拟，</w:t>
      </w:r>
      <w:r>
        <w:rPr>
          <w:rFonts w:hint="eastAsia" w:ascii="宋体" w:hAnsi="宋体"/>
          <w:color w:val="auto"/>
          <w:highlight w:val="none"/>
          <w:lang w:eastAsia="zh-CN"/>
        </w:rPr>
        <w:t>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突发事件应急预案（内容格式自拟，</w:t>
      </w:r>
      <w:r>
        <w:rPr>
          <w:rFonts w:hint="eastAsia" w:ascii="宋体" w:hAnsi="宋体"/>
          <w:color w:val="auto"/>
          <w:highlight w:val="none"/>
          <w:lang w:eastAsia="zh-CN"/>
        </w:rPr>
        <w:t>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w:t>
      </w:r>
      <w:r>
        <w:rPr>
          <w:rFonts w:hint="eastAsia" w:ascii="宋体" w:hAnsi="宋体"/>
          <w:color w:val="auto"/>
          <w:highlight w:val="none"/>
          <w:lang w:eastAsia="zh-CN"/>
        </w:rPr>
        <w:t>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项目人员配置方案（内容格式自拟，</w:t>
      </w:r>
      <w:r>
        <w:rPr>
          <w:rFonts w:hint="eastAsia" w:ascii="宋体" w:hAnsi="宋体"/>
          <w:color w:val="auto"/>
          <w:highlight w:val="none"/>
          <w:lang w:eastAsia="zh-CN"/>
        </w:rPr>
        <w:t>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拟派本项目的主要人员情况表（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12、拟投入本项目的作业工具、设备配置情况表</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rPr>
        <w:t>服务承诺及合理化建议（内容格式自拟，</w:t>
      </w:r>
      <w:r>
        <w:rPr>
          <w:rFonts w:hint="eastAsia" w:ascii="宋体" w:hAnsi="宋体"/>
          <w:color w:val="auto"/>
          <w:highlight w:val="none"/>
          <w:lang w:eastAsia="zh-CN"/>
        </w:rPr>
        <w:t>要求见招标文件第四部分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投标人取得的证书及荣誉情况表（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lang w:eastAsia="zh-CN"/>
        </w:rPr>
        <w:t>、</w:t>
      </w:r>
      <w:r>
        <w:rPr>
          <w:rFonts w:hint="eastAsia" w:ascii="宋体" w:hAnsi="宋体"/>
          <w:color w:val="auto"/>
          <w:highlight w:val="none"/>
        </w:rPr>
        <w:t>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Cs w:val="21"/>
          <w:highlight w:val="none"/>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北仑区校园保安服务</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BLZFCG2023050</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val="en-US"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评标索引表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w:t>
      </w:r>
      <w:r>
        <w:rPr>
          <w:rFonts w:hint="eastAsia" w:ascii="宋体" w:hAnsi="宋体" w:eastAsia="宋体" w:cs="宋体"/>
          <w:color w:val="auto"/>
          <w:highlight w:val="none"/>
          <w:u w:val="none"/>
        </w:rPr>
        <w:t>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项目公开招标的有关活动，</w:t>
      </w:r>
      <w:r>
        <w:rPr>
          <w:rFonts w:hint="eastAsia" w:ascii="宋体" w:hAnsi="宋体" w:eastAsia="宋体" w:cs="宋体"/>
          <w:color w:val="auto"/>
          <w:highlight w:val="none"/>
          <w:u w:val="none"/>
        </w:rPr>
        <w:t>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我方同意在本项目招标文件中规定</w:t>
      </w:r>
      <w:r>
        <w:rPr>
          <w:rFonts w:hint="eastAsia" w:ascii="宋体" w:hAnsi="宋体" w:eastAsia="宋体" w:cs="宋体"/>
          <w:color w:val="auto"/>
          <w:highlight w:val="none"/>
          <w:u w:val="none"/>
        </w:rPr>
        <w:t>的</w:t>
      </w:r>
      <w:r>
        <w:rPr>
          <w:rFonts w:hint="eastAsia" w:ascii="宋体" w:hAnsi="宋体" w:eastAsia="宋体" w:cs="宋体"/>
          <w:color w:val="auto"/>
          <w:highlight w:val="none"/>
          <w:u w:val="none"/>
          <w:lang w:val="en-US" w:eastAsia="zh-CN"/>
        </w:rPr>
        <w:t>投标有效期内，</w:t>
      </w:r>
      <w:r>
        <w:rPr>
          <w:rFonts w:hint="eastAsia" w:ascii="宋体" w:hAnsi="宋体" w:eastAsia="宋体" w:cs="宋体"/>
          <w:color w:val="auto"/>
          <w:highlight w:val="none"/>
          <w:u w:val="none"/>
        </w:rPr>
        <w:t>遵守本投标文件中的承诺且在此期限</w:t>
      </w:r>
      <w:r>
        <w:rPr>
          <w:rFonts w:hint="eastAsia" w:ascii="宋体" w:hAnsi="宋体" w:cs="宋体"/>
          <w:color w:val="auto"/>
          <w:highlight w:val="none"/>
          <w:u w:val="none"/>
          <w:lang w:val="en-US" w:eastAsia="zh-CN"/>
        </w:rPr>
        <w:t>届</w:t>
      </w:r>
      <w:r>
        <w:rPr>
          <w:rFonts w:hint="eastAsia" w:ascii="宋体" w:hAnsi="宋体" w:eastAsia="宋体" w:cs="宋体"/>
          <w:color w:val="auto"/>
          <w:highlight w:val="none"/>
          <w:u w:val="none"/>
        </w:rPr>
        <w:t>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我方保证遵守招标文件的全部规定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本项目投标总价见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服务条款偏离表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北仑区校园保安服务</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BLZFCG2023050</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1、服务条款内容主要是针对招标文件有关的服务要求等内容。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服务期限</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1、商务条款内容主要是针对招标文件有关的付款条件、服务期、合同主要条款等内容。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拟派本项目的主要人员情况表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2268"/>
        <w:gridCol w:w="1134"/>
        <w:gridCol w:w="14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其它管理人员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1、拟派的</w:t>
      </w:r>
      <w:r>
        <w:rPr>
          <w:rFonts w:hint="eastAsia" w:ascii="宋体" w:hAnsi="宋体" w:eastAsia="宋体" w:cs="宋体"/>
          <w:color w:val="auto"/>
          <w:highlight w:val="none"/>
          <w:lang w:val="en-US" w:eastAsia="zh-CN"/>
        </w:rPr>
        <w:t>主要</w:t>
      </w:r>
      <w:r>
        <w:rPr>
          <w:rFonts w:hint="eastAsia" w:ascii="宋体" w:hAnsi="宋体" w:eastAsia="宋体" w:cs="宋体"/>
          <w:color w:val="auto"/>
          <w:highlight w:val="none"/>
          <w:lang w:eastAsia="zh-CN"/>
        </w:rPr>
        <w:t>人员须是投标单位正式职工，以社保证明为准。</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val="en-US" w:eastAsia="zh-CN"/>
        </w:rPr>
        <w:t>2、工作经验（业绩）以业主单位出具的证明为准。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对照评分标准表，表后</w:t>
      </w:r>
      <w:r>
        <w:rPr>
          <w:rFonts w:hint="eastAsia" w:ascii="宋体" w:hAnsi="宋体" w:eastAsia="宋体" w:cs="宋体"/>
          <w:color w:val="auto"/>
          <w:highlight w:val="none"/>
          <w:lang w:val="en-US" w:eastAsia="zh-CN"/>
        </w:rPr>
        <w:t>附拟派</w:t>
      </w:r>
      <w:r>
        <w:rPr>
          <w:rFonts w:hint="eastAsia" w:ascii="宋体" w:hAnsi="宋体" w:eastAsia="宋体" w:cs="宋体"/>
          <w:color w:val="auto"/>
          <w:highlight w:val="none"/>
          <w:lang w:eastAsia="zh-CN"/>
        </w:rPr>
        <w:t>人员的</w:t>
      </w:r>
      <w:r>
        <w:rPr>
          <w:rFonts w:hint="eastAsia" w:ascii="宋体" w:hAnsi="宋体" w:eastAsia="宋体" w:cs="宋体"/>
          <w:color w:val="auto"/>
          <w:highlight w:val="none"/>
          <w:lang w:val="en-US" w:eastAsia="zh-CN"/>
        </w:rPr>
        <w:t>社保</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lang w:val="en-US" w:eastAsia="zh-CN"/>
        </w:rPr>
        <w:t>业绩证明、相关</w:t>
      </w:r>
      <w:r>
        <w:rPr>
          <w:rFonts w:hint="eastAsia" w:ascii="宋体" w:hAnsi="宋体" w:eastAsia="宋体" w:cs="宋体"/>
          <w:color w:val="auto"/>
          <w:highlight w:val="none"/>
          <w:lang w:eastAsia="zh-CN"/>
        </w:rPr>
        <w:t>证书</w:t>
      </w:r>
      <w:r>
        <w:rPr>
          <w:rFonts w:hint="eastAsia" w:ascii="宋体" w:hAnsi="宋体" w:eastAsia="宋体" w:cs="宋体"/>
          <w:color w:val="auto"/>
          <w:highlight w:val="none"/>
          <w:lang w:val="en-US" w:eastAsia="zh-CN"/>
        </w:rPr>
        <w:t>的原件彩色扫描件</w:t>
      </w:r>
      <w:r>
        <w:rPr>
          <w:rFonts w:hint="eastAsia" w:ascii="宋体" w:hAnsi="宋体" w:eastAsia="宋体" w:cs="宋体"/>
          <w:color w:val="auto"/>
          <w:highlight w:val="none"/>
          <w:lang w:eastAsia="zh-CN"/>
        </w:rPr>
        <w:t>，未提供的，相关项目不得分。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拟投入本项目的作业工具、设备配置情况表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p>
    <w:p>
      <w:pPr>
        <w:spacing w:line="360" w:lineRule="auto"/>
        <w:rPr>
          <w:rFonts w:hint="default" w:ascii="宋体" w:hAnsi="宋体"/>
          <w:b/>
          <w:bCs/>
          <w:color w:val="auto"/>
          <w:spacing w:val="20"/>
          <w:szCs w:val="21"/>
          <w:highlight w:val="none"/>
          <w:u w:val="single"/>
          <w:lang w:val="en-US"/>
        </w:rPr>
      </w:pPr>
      <w:r>
        <w:rPr>
          <w:rFonts w:hint="eastAsia" w:ascii="宋体" w:hAnsi="宋体"/>
          <w:color w:val="auto"/>
          <w:szCs w:val="21"/>
          <w:highlight w:val="none"/>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none"/>
          <w:lang w:val="en-US" w:eastAsia="zh-CN"/>
        </w:rPr>
        <w:t xml:space="preserve">                                        </w:t>
      </w:r>
      <w:r>
        <w:rPr>
          <w:rFonts w:hint="eastAsia" w:ascii="宋体" w:hAnsi="宋体" w:eastAsia="宋体" w:cs="宋体"/>
          <w:color w:val="auto"/>
          <w:highlight w:val="none"/>
          <w:u w:val="none"/>
          <w:lang w:val="en-US" w:eastAsia="zh-CN"/>
        </w:rPr>
        <w:t>标项：</w:t>
      </w:r>
      <w:r>
        <w:rPr>
          <w:rFonts w:hint="eastAsia" w:ascii="宋体" w:hAnsi="宋体" w:eastAsia="宋体" w:cs="宋体"/>
          <w:color w:val="auto"/>
          <w:highlight w:val="none"/>
          <w:u w:val="single"/>
          <w:lang w:val="en-US" w:eastAsia="zh-CN"/>
        </w:rPr>
        <w:t xml:space="preserve">          </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49"/>
        <w:gridCol w:w="992"/>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2649" w:type="dxa"/>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作业工具、设备名称</w:t>
            </w:r>
          </w:p>
        </w:tc>
        <w:tc>
          <w:tcPr>
            <w:tcW w:w="992" w:type="dxa"/>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数量</w:t>
            </w:r>
          </w:p>
        </w:tc>
        <w:tc>
          <w:tcPr>
            <w:tcW w:w="4678" w:type="dxa"/>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设备（工具）描述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auto"/>
                <w:spacing w:val="20"/>
                <w:sz w:val="18"/>
                <w:szCs w:val="18"/>
                <w:highlight w:val="none"/>
              </w:rPr>
            </w:pPr>
          </w:p>
        </w:tc>
        <w:tc>
          <w:tcPr>
            <w:tcW w:w="2649" w:type="dxa"/>
            <w:noWrap w:val="0"/>
            <w:vAlign w:val="center"/>
          </w:tcPr>
          <w:p>
            <w:pPr>
              <w:snapToGrid w:val="0"/>
              <w:jc w:val="center"/>
              <w:rPr>
                <w:rFonts w:hint="eastAsia" w:ascii="宋体" w:hAnsi="宋体"/>
                <w:color w:val="auto"/>
                <w:spacing w:val="20"/>
                <w:sz w:val="18"/>
                <w:szCs w:val="18"/>
                <w:highlight w:val="none"/>
              </w:rPr>
            </w:pPr>
          </w:p>
        </w:tc>
        <w:tc>
          <w:tcPr>
            <w:tcW w:w="992" w:type="dxa"/>
            <w:noWrap w:val="0"/>
            <w:vAlign w:val="center"/>
          </w:tcPr>
          <w:p>
            <w:pPr>
              <w:snapToGrid w:val="0"/>
              <w:jc w:val="center"/>
              <w:rPr>
                <w:rFonts w:hint="eastAsia" w:ascii="宋体" w:hAnsi="宋体"/>
                <w:color w:val="auto"/>
                <w:spacing w:val="20"/>
                <w:sz w:val="18"/>
                <w:szCs w:val="18"/>
                <w:highlight w:val="none"/>
              </w:rPr>
            </w:pPr>
          </w:p>
        </w:tc>
        <w:tc>
          <w:tcPr>
            <w:tcW w:w="4678" w:type="dxa"/>
            <w:noWrap w:val="0"/>
            <w:vAlign w:val="center"/>
          </w:tcPr>
          <w:p>
            <w:pPr>
              <w:snapToGrid w:val="0"/>
              <w:jc w:val="center"/>
              <w:rPr>
                <w:rFonts w:hint="eastAsia" w:ascii="宋体" w:hAnsi="宋体"/>
                <w:color w:val="auto"/>
                <w:spacing w:val="20"/>
                <w:sz w:val="18"/>
                <w:szCs w:val="18"/>
                <w:highlight w:val="none"/>
              </w:rPr>
            </w:pPr>
          </w:p>
        </w:tc>
      </w:tr>
    </w:tbl>
    <w:p>
      <w:pPr>
        <w:spacing w:line="360" w:lineRule="auto"/>
        <w:rPr>
          <w:rFonts w:hint="eastAsia" w:ascii="宋体" w:hAnsi="宋体"/>
          <w:b/>
          <w:color w:val="auto"/>
          <w:highlight w:val="none"/>
        </w:rPr>
      </w:pPr>
      <w:r>
        <w:rPr>
          <w:rFonts w:hint="eastAsia" w:ascii="宋体" w:hAnsi="宋体"/>
          <w:b/>
          <w:color w:val="auto"/>
          <w:highlight w:val="none"/>
        </w:rPr>
        <w:t>说明：</w:t>
      </w:r>
    </w:p>
    <w:p>
      <w:pPr>
        <w:pStyle w:val="2"/>
        <w:spacing w:line="360" w:lineRule="auto"/>
        <w:ind w:firstLine="0"/>
        <w:rPr>
          <w:rFonts w:hint="eastAsia"/>
          <w:color w:val="auto"/>
          <w:highlight w:val="none"/>
          <w:lang w:eastAsia="zh-CN"/>
        </w:rPr>
      </w:pPr>
      <w:r>
        <w:rPr>
          <w:rFonts w:hint="eastAsia"/>
          <w:color w:val="auto"/>
          <w:highlight w:val="none"/>
          <w:lang w:eastAsia="zh-CN"/>
        </w:rPr>
        <w:t>1、设备（工具）描述中写设备、工具的规格型号、制造厂名称、购置年份、主要用途等内容。</w:t>
      </w:r>
    </w:p>
    <w:p>
      <w:pPr>
        <w:pStyle w:val="2"/>
        <w:spacing w:line="360" w:lineRule="auto"/>
        <w:ind w:firstLine="0"/>
        <w:rPr>
          <w:rFonts w:hint="eastAsia"/>
          <w:color w:val="auto"/>
          <w:highlight w:val="none"/>
          <w:lang w:eastAsia="zh-CN"/>
        </w:rPr>
      </w:pPr>
      <w:r>
        <w:rPr>
          <w:rFonts w:hint="eastAsia"/>
          <w:color w:val="auto"/>
          <w:highlight w:val="none"/>
          <w:lang w:eastAsia="zh-CN"/>
        </w:rPr>
        <w:t>2、此表在不改变表式的情况下，可自行制作。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color w:val="auto"/>
          <w:highlight w:val="none"/>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投标人取得的证书及荣誉情况表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2824" w:type="dxa"/>
            <w:noWrap w:val="0"/>
            <w:vAlign w:val="center"/>
          </w:tcPr>
          <w:p>
            <w:pPr>
              <w:jc w:val="center"/>
              <w:rPr>
                <w:rFonts w:hint="eastAsia"/>
                <w:b/>
                <w:color w:val="auto"/>
                <w:sz w:val="21"/>
                <w:szCs w:val="21"/>
                <w:highlight w:val="none"/>
              </w:rPr>
            </w:pPr>
            <w:r>
              <w:rPr>
                <w:rFonts w:hint="eastAsia"/>
                <w:b/>
                <w:color w:val="auto"/>
                <w:sz w:val="21"/>
                <w:szCs w:val="21"/>
                <w:highlight w:val="none"/>
              </w:rPr>
              <w:t>名  称</w:t>
            </w:r>
          </w:p>
        </w:tc>
        <w:tc>
          <w:tcPr>
            <w:tcW w:w="2410" w:type="dxa"/>
            <w:noWrap w:val="0"/>
            <w:vAlign w:val="center"/>
          </w:tcPr>
          <w:p>
            <w:pPr>
              <w:jc w:val="center"/>
              <w:rPr>
                <w:rFonts w:hint="eastAsia"/>
                <w:b/>
                <w:color w:val="auto"/>
                <w:sz w:val="21"/>
                <w:szCs w:val="21"/>
                <w:highlight w:val="none"/>
              </w:rPr>
            </w:pPr>
            <w:r>
              <w:rPr>
                <w:rFonts w:hint="eastAsia"/>
                <w:b/>
                <w:color w:val="auto"/>
                <w:sz w:val="21"/>
                <w:szCs w:val="21"/>
                <w:highlight w:val="none"/>
              </w:rPr>
              <w:t>发证单位</w:t>
            </w:r>
          </w:p>
        </w:tc>
        <w:tc>
          <w:tcPr>
            <w:tcW w:w="1701" w:type="dxa"/>
            <w:noWrap w:val="0"/>
            <w:vAlign w:val="center"/>
          </w:tcPr>
          <w:p>
            <w:pPr>
              <w:jc w:val="center"/>
              <w:rPr>
                <w:rFonts w:hint="eastAsia"/>
                <w:b/>
                <w:color w:val="auto"/>
                <w:sz w:val="21"/>
                <w:szCs w:val="21"/>
                <w:highlight w:val="none"/>
              </w:rPr>
            </w:pPr>
            <w:r>
              <w:rPr>
                <w:rFonts w:hint="eastAsia"/>
                <w:b/>
                <w:color w:val="auto"/>
                <w:sz w:val="21"/>
                <w:szCs w:val="21"/>
                <w:highlight w:val="none"/>
              </w:rPr>
              <w:t>发证时间</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1、对照评分标准表，表后附相关证书及荣誉的原件彩色扫描件，未提供的，相关项目不得分。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北仑区校园保安服务</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BLZFCG2023050</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906"/>
        <w:gridCol w:w="1734"/>
        <w:gridCol w:w="1500"/>
        <w:gridCol w:w="157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44"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906" w:type="dxa"/>
            <w:noWrap w:val="0"/>
            <w:vAlign w:val="center"/>
          </w:tcPr>
          <w:p>
            <w:pPr>
              <w:snapToGrid w:val="0"/>
              <w:jc w:val="center"/>
              <w:rPr>
                <w:rFonts w:hint="eastAsia" w:ascii="宋体" w:hAnsi="宋体" w:eastAsia="宋体" w:cs="宋体"/>
                <w:b/>
                <w:color w:val="auto"/>
                <w:highlight w:val="none"/>
              </w:rPr>
            </w:pPr>
            <w:r>
              <w:rPr>
                <w:rFonts w:hint="eastAsia" w:ascii="宋体" w:hAnsi="宋体" w:cs="宋体"/>
                <w:b/>
                <w:color w:val="auto"/>
                <w:highlight w:val="none"/>
                <w:lang w:val="en-US" w:eastAsia="zh-CN"/>
              </w:rPr>
              <w:t>项目</w:t>
            </w:r>
            <w:r>
              <w:rPr>
                <w:rFonts w:hint="eastAsia" w:ascii="宋体" w:hAnsi="宋体" w:eastAsia="宋体" w:cs="宋体"/>
                <w:b/>
                <w:color w:val="auto"/>
                <w:highlight w:val="none"/>
              </w:rPr>
              <w:t>名称</w:t>
            </w:r>
          </w:p>
        </w:tc>
        <w:tc>
          <w:tcPr>
            <w:tcW w:w="1734"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业主名称</w:t>
            </w:r>
          </w:p>
        </w:tc>
        <w:tc>
          <w:tcPr>
            <w:tcW w:w="1500" w:type="dxa"/>
            <w:noWrap w:val="0"/>
            <w:vAlign w:val="center"/>
          </w:tcPr>
          <w:p>
            <w:pPr>
              <w:snapToGrid w:val="0"/>
              <w:jc w:val="center"/>
              <w:rPr>
                <w:rFonts w:hint="eastAsia" w:ascii="宋体" w:hAnsi="宋体" w:eastAsia="宋体" w:cs="宋体"/>
                <w:b/>
                <w:color w:val="auto"/>
                <w:sz w:val="18"/>
                <w:szCs w:val="18"/>
                <w:highlight w:val="none"/>
              </w:rPr>
            </w:pPr>
            <w:r>
              <w:rPr>
                <w:rFonts w:hint="eastAsia" w:ascii="宋体" w:hAnsi="宋体" w:cs="宋体"/>
                <w:b/>
                <w:color w:val="auto"/>
                <w:highlight w:val="none"/>
                <w:lang w:val="en-US" w:eastAsia="zh-CN"/>
              </w:rPr>
              <w:t>合同金额</w:t>
            </w:r>
          </w:p>
        </w:tc>
        <w:tc>
          <w:tcPr>
            <w:tcW w:w="157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合同签订时间</w:t>
            </w:r>
          </w:p>
        </w:tc>
        <w:tc>
          <w:tcPr>
            <w:tcW w:w="196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44" w:type="dxa"/>
            <w:noWrap w:val="0"/>
            <w:vAlign w:val="center"/>
          </w:tcPr>
          <w:p>
            <w:pPr>
              <w:snapToGrid w:val="0"/>
              <w:jc w:val="center"/>
              <w:rPr>
                <w:rFonts w:hint="eastAsia" w:ascii="宋体" w:hAnsi="宋体" w:eastAsia="宋体" w:cs="宋体"/>
                <w:color w:val="auto"/>
                <w:sz w:val="21"/>
                <w:szCs w:val="21"/>
                <w:highlight w:val="none"/>
              </w:rPr>
            </w:pPr>
          </w:p>
        </w:tc>
        <w:tc>
          <w:tcPr>
            <w:tcW w:w="1906" w:type="dxa"/>
            <w:noWrap w:val="0"/>
            <w:vAlign w:val="center"/>
          </w:tcPr>
          <w:p>
            <w:pPr>
              <w:snapToGrid w:val="0"/>
              <w:jc w:val="center"/>
              <w:rPr>
                <w:rFonts w:hint="eastAsia" w:ascii="宋体" w:hAnsi="宋体" w:eastAsia="宋体" w:cs="宋体"/>
                <w:color w:val="auto"/>
                <w:sz w:val="21"/>
                <w:szCs w:val="21"/>
                <w:highlight w:val="none"/>
              </w:rPr>
            </w:pPr>
          </w:p>
        </w:tc>
        <w:tc>
          <w:tcPr>
            <w:tcW w:w="1734" w:type="dxa"/>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color w:val="auto"/>
                <w:sz w:val="21"/>
                <w:szCs w:val="21"/>
                <w:highlight w:val="none"/>
              </w:rPr>
            </w:pPr>
          </w:p>
        </w:tc>
        <w:tc>
          <w:tcPr>
            <w:tcW w:w="1575" w:type="dxa"/>
            <w:noWrap w:val="0"/>
            <w:vAlign w:val="center"/>
          </w:tcPr>
          <w:p>
            <w:pPr>
              <w:snapToGrid w:val="0"/>
              <w:jc w:val="center"/>
              <w:rPr>
                <w:rFonts w:hint="eastAsia" w:ascii="宋体" w:hAnsi="宋体" w:eastAsia="宋体" w:cs="宋体"/>
                <w:color w:val="auto"/>
                <w:sz w:val="21"/>
                <w:szCs w:val="21"/>
                <w:highlight w:val="none"/>
              </w:rPr>
            </w:pPr>
          </w:p>
        </w:tc>
        <w:tc>
          <w:tcPr>
            <w:tcW w:w="19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44" w:type="dxa"/>
            <w:noWrap w:val="0"/>
            <w:vAlign w:val="center"/>
          </w:tcPr>
          <w:p>
            <w:pPr>
              <w:snapToGrid w:val="0"/>
              <w:jc w:val="center"/>
              <w:rPr>
                <w:rFonts w:hint="eastAsia" w:ascii="宋体" w:hAnsi="宋体" w:eastAsia="宋体" w:cs="宋体"/>
                <w:color w:val="auto"/>
                <w:sz w:val="21"/>
                <w:szCs w:val="21"/>
                <w:highlight w:val="none"/>
              </w:rPr>
            </w:pPr>
          </w:p>
        </w:tc>
        <w:tc>
          <w:tcPr>
            <w:tcW w:w="1906" w:type="dxa"/>
            <w:noWrap w:val="0"/>
            <w:vAlign w:val="center"/>
          </w:tcPr>
          <w:p>
            <w:pPr>
              <w:snapToGrid w:val="0"/>
              <w:jc w:val="center"/>
              <w:rPr>
                <w:rFonts w:hint="eastAsia" w:ascii="宋体" w:hAnsi="宋体" w:eastAsia="宋体" w:cs="宋体"/>
                <w:color w:val="auto"/>
                <w:sz w:val="21"/>
                <w:szCs w:val="21"/>
                <w:highlight w:val="none"/>
              </w:rPr>
            </w:pPr>
          </w:p>
        </w:tc>
        <w:tc>
          <w:tcPr>
            <w:tcW w:w="1734" w:type="dxa"/>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color w:val="auto"/>
                <w:sz w:val="21"/>
                <w:szCs w:val="21"/>
                <w:highlight w:val="none"/>
              </w:rPr>
            </w:pPr>
          </w:p>
        </w:tc>
        <w:tc>
          <w:tcPr>
            <w:tcW w:w="1575" w:type="dxa"/>
            <w:noWrap w:val="0"/>
            <w:vAlign w:val="center"/>
          </w:tcPr>
          <w:p>
            <w:pPr>
              <w:snapToGrid w:val="0"/>
              <w:jc w:val="center"/>
              <w:rPr>
                <w:rFonts w:hint="eastAsia" w:ascii="宋体" w:hAnsi="宋体" w:eastAsia="宋体" w:cs="宋体"/>
                <w:color w:val="auto"/>
                <w:sz w:val="21"/>
                <w:szCs w:val="21"/>
                <w:highlight w:val="none"/>
              </w:rPr>
            </w:pPr>
          </w:p>
        </w:tc>
        <w:tc>
          <w:tcPr>
            <w:tcW w:w="19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44" w:type="dxa"/>
            <w:noWrap w:val="0"/>
            <w:vAlign w:val="center"/>
          </w:tcPr>
          <w:p>
            <w:pPr>
              <w:snapToGrid w:val="0"/>
              <w:jc w:val="center"/>
              <w:rPr>
                <w:rFonts w:hint="eastAsia" w:ascii="宋体" w:hAnsi="宋体" w:eastAsia="宋体" w:cs="宋体"/>
                <w:color w:val="auto"/>
                <w:sz w:val="21"/>
                <w:szCs w:val="21"/>
                <w:highlight w:val="none"/>
              </w:rPr>
            </w:pPr>
          </w:p>
        </w:tc>
        <w:tc>
          <w:tcPr>
            <w:tcW w:w="1906" w:type="dxa"/>
            <w:noWrap w:val="0"/>
            <w:vAlign w:val="center"/>
          </w:tcPr>
          <w:p>
            <w:pPr>
              <w:snapToGrid w:val="0"/>
              <w:jc w:val="center"/>
              <w:rPr>
                <w:rFonts w:hint="eastAsia" w:ascii="宋体" w:hAnsi="宋体" w:eastAsia="宋体" w:cs="宋体"/>
                <w:color w:val="auto"/>
                <w:sz w:val="21"/>
                <w:szCs w:val="21"/>
                <w:highlight w:val="none"/>
              </w:rPr>
            </w:pPr>
          </w:p>
        </w:tc>
        <w:tc>
          <w:tcPr>
            <w:tcW w:w="1734" w:type="dxa"/>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color w:val="auto"/>
                <w:sz w:val="21"/>
                <w:szCs w:val="21"/>
                <w:highlight w:val="none"/>
              </w:rPr>
            </w:pPr>
          </w:p>
        </w:tc>
        <w:tc>
          <w:tcPr>
            <w:tcW w:w="1575" w:type="dxa"/>
            <w:noWrap w:val="0"/>
            <w:vAlign w:val="center"/>
          </w:tcPr>
          <w:p>
            <w:pPr>
              <w:snapToGrid w:val="0"/>
              <w:jc w:val="center"/>
              <w:rPr>
                <w:rFonts w:hint="eastAsia" w:ascii="宋体" w:hAnsi="宋体" w:eastAsia="宋体" w:cs="宋体"/>
                <w:color w:val="auto"/>
                <w:sz w:val="21"/>
                <w:szCs w:val="21"/>
                <w:highlight w:val="none"/>
              </w:rPr>
            </w:pPr>
          </w:p>
        </w:tc>
        <w:tc>
          <w:tcPr>
            <w:tcW w:w="19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44" w:type="dxa"/>
            <w:noWrap w:val="0"/>
            <w:vAlign w:val="center"/>
          </w:tcPr>
          <w:p>
            <w:pPr>
              <w:snapToGrid w:val="0"/>
              <w:jc w:val="center"/>
              <w:rPr>
                <w:rFonts w:hint="eastAsia" w:ascii="宋体" w:hAnsi="宋体" w:eastAsia="宋体" w:cs="宋体"/>
                <w:color w:val="auto"/>
                <w:sz w:val="21"/>
                <w:szCs w:val="21"/>
                <w:highlight w:val="none"/>
              </w:rPr>
            </w:pPr>
          </w:p>
        </w:tc>
        <w:tc>
          <w:tcPr>
            <w:tcW w:w="1906" w:type="dxa"/>
            <w:noWrap w:val="0"/>
            <w:vAlign w:val="center"/>
          </w:tcPr>
          <w:p>
            <w:pPr>
              <w:snapToGrid w:val="0"/>
              <w:jc w:val="center"/>
              <w:rPr>
                <w:rFonts w:hint="eastAsia" w:ascii="宋体" w:hAnsi="宋体" w:eastAsia="宋体" w:cs="宋体"/>
                <w:color w:val="auto"/>
                <w:sz w:val="21"/>
                <w:szCs w:val="21"/>
                <w:highlight w:val="none"/>
              </w:rPr>
            </w:pPr>
          </w:p>
        </w:tc>
        <w:tc>
          <w:tcPr>
            <w:tcW w:w="1734" w:type="dxa"/>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color w:val="auto"/>
                <w:sz w:val="21"/>
                <w:szCs w:val="21"/>
                <w:highlight w:val="none"/>
              </w:rPr>
            </w:pPr>
          </w:p>
        </w:tc>
        <w:tc>
          <w:tcPr>
            <w:tcW w:w="1575" w:type="dxa"/>
            <w:noWrap w:val="0"/>
            <w:vAlign w:val="center"/>
          </w:tcPr>
          <w:p>
            <w:pPr>
              <w:snapToGrid w:val="0"/>
              <w:jc w:val="center"/>
              <w:rPr>
                <w:rFonts w:hint="eastAsia" w:ascii="宋体" w:hAnsi="宋体" w:eastAsia="宋体" w:cs="宋体"/>
                <w:color w:val="auto"/>
                <w:sz w:val="21"/>
                <w:szCs w:val="21"/>
                <w:highlight w:val="none"/>
              </w:rPr>
            </w:pPr>
          </w:p>
        </w:tc>
        <w:tc>
          <w:tcPr>
            <w:tcW w:w="19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4" w:type="dxa"/>
            <w:noWrap w:val="0"/>
            <w:vAlign w:val="center"/>
          </w:tcPr>
          <w:p>
            <w:pPr>
              <w:snapToGrid w:val="0"/>
              <w:jc w:val="center"/>
              <w:rPr>
                <w:rFonts w:hint="eastAsia" w:ascii="宋体" w:hAnsi="宋体" w:eastAsia="宋体" w:cs="宋体"/>
                <w:color w:val="auto"/>
                <w:sz w:val="21"/>
                <w:szCs w:val="21"/>
                <w:highlight w:val="none"/>
              </w:rPr>
            </w:pPr>
          </w:p>
        </w:tc>
        <w:tc>
          <w:tcPr>
            <w:tcW w:w="1906" w:type="dxa"/>
            <w:noWrap w:val="0"/>
            <w:vAlign w:val="center"/>
          </w:tcPr>
          <w:p>
            <w:pPr>
              <w:snapToGrid w:val="0"/>
              <w:jc w:val="center"/>
              <w:rPr>
                <w:rFonts w:hint="eastAsia" w:ascii="宋体" w:hAnsi="宋体" w:eastAsia="宋体" w:cs="宋体"/>
                <w:color w:val="auto"/>
                <w:sz w:val="21"/>
                <w:szCs w:val="21"/>
                <w:highlight w:val="none"/>
              </w:rPr>
            </w:pPr>
          </w:p>
        </w:tc>
        <w:tc>
          <w:tcPr>
            <w:tcW w:w="1734" w:type="dxa"/>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color w:val="auto"/>
                <w:sz w:val="21"/>
                <w:szCs w:val="21"/>
                <w:highlight w:val="none"/>
              </w:rPr>
            </w:pPr>
          </w:p>
        </w:tc>
        <w:tc>
          <w:tcPr>
            <w:tcW w:w="1575" w:type="dxa"/>
            <w:noWrap w:val="0"/>
            <w:vAlign w:val="center"/>
          </w:tcPr>
          <w:p>
            <w:pPr>
              <w:snapToGrid w:val="0"/>
              <w:jc w:val="center"/>
              <w:rPr>
                <w:rFonts w:hint="eastAsia" w:ascii="宋体" w:hAnsi="宋体" w:eastAsia="宋体" w:cs="宋体"/>
                <w:color w:val="auto"/>
                <w:sz w:val="21"/>
                <w:szCs w:val="21"/>
                <w:highlight w:val="none"/>
              </w:rPr>
            </w:pPr>
          </w:p>
        </w:tc>
        <w:tc>
          <w:tcPr>
            <w:tcW w:w="1965" w:type="dxa"/>
            <w:noWrap w:val="0"/>
            <w:vAlign w:val="center"/>
          </w:tcPr>
          <w:p>
            <w:pPr>
              <w:snapToGrid w:val="0"/>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1、提供符合本招标文件要求的类似项目业绩，</w:t>
      </w:r>
      <w:r>
        <w:rPr>
          <w:rFonts w:hint="eastAsia" w:ascii="宋体" w:hAnsi="宋体" w:eastAsia="宋体" w:cs="宋体"/>
          <w:color w:val="auto"/>
          <w:highlight w:val="none"/>
          <w:lang w:val="en-US" w:eastAsia="zh-CN"/>
        </w:rPr>
        <w:t>表后附合同原件彩色扫描件和业主单位出具的合同履行良好的证明材料原件彩色扫描件，</w:t>
      </w:r>
      <w:r>
        <w:rPr>
          <w:rFonts w:hint="eastAsia" w:ascii="宋体" w:hAnsi="宋体" w:eastAsia="宋体" w:cs="宋体"/>
          <w:color w:val="auto"/>
          <w:highlight w:val="none"/>
          <w:lang w:val="en-US" w:eastAsia="zh-CN"/>
        </w:rPr>
        <w:t>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3、开标一览表（见</w:t>
      </w:r>
      <w:r>
        <w:rPr>
          <w:rFonts w:hint="eastAsia" w:ascii="宋体" w:hAnsi="宋体"/>
          <w:color w:val="auto"/>
          <w:highlight w:val="none"/>
        </w:rPr>
        <w:t>格式</w:t>
      </w:r>
      <w:r>
        <w:rPr>
          <w:rFonts w:hint="eastAsia" w:ascii="宋体" w:hAnsi="宋体"/>
          <w:color w:val="auto"/>
          <w:highlight w:val="none"/>
          <w:lang w:val="en-US" w:eastAsia="zh-CN"/>
        </w:rPr>
        <w:t>13）</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4、投标分项报价表（见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rPr>
      </w:pPr>
      <w:r>
        <w:rPr>
          <w:rFonts w:hint="eastAsia" w:ascii="宋体" w:hAnsi="宋体"/>
          <w:color w:val="auto"/>
          <w:highlight w:val="none"/>
          <w:lang w:val="en-US" w:eastAsia="zh-CN"/>
        </w:rPr>
        <w:t>6、投标人认为需要提供的其他材料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1、投标人应按照报价文件组成所列内容和顺序编制报价文件。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2、报价文件应按照招标文件格式要求进行CA电子签章，未有规定的投标人视情况签章。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北仑区校园保安服务</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BLZFCG2023050</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开标一览表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北仑区校园保安服务</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BLZFCG2023050</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89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eastAsia="宋体" w:cs="宋体"/>
                <w:b/>
                <w:bCs/>
                <w:color w:val="auto"/>
                <w:sz w:val="21"/>
                <w:szCs w:val="21"/>
                <w:highlight w:val="none"/>
              </w:rPr>
              <w:t>投标总价（元）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eastAsia="宋体" w:cs="宋体"/>
                <w:b/>
                <w:bCs/>
                <w:color w:val="auto"/>
                <w:sz w:val="21"/>
                <w:szCs w:val="21"/>
                <w:highlight w:val="none"/>
              </w:rPr>
              <w:t>服务</w:t>
            </w:r>
            <w:r>
              <w:rPr>
                <w:rFonts w:hint="eastAsia" w:ascii="宋体" w:hAnsi="宋体" w:cs="宋体"/>
                <w:b/>
                <w:bCs/>
                <w:color w:val="auto"/>
                <w:sz w:val="21"/>
                <w:szCs w:val="21"/>
                <w:highlight w:val="no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eastAsia="zh-CN"/>
              </w:rPr>
              <w:t>北仑区校园保安服务</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服务期限</w:t>
            </w:r>
            <w:r>
              <w:rPr>
                <w:rFonts w:hint="eastAsia" w:ascii="宋体" w:hAnsi="宋体" w:eastAsia="宋体" w:cs="宋体"/>
                <w:color w:val="auto"/>
                <w:sz w:val="21"/>
                <w:szCs w:val="21"/>
                <w:highlight w:val="none"/>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1、投标总价应为供应商提供本项目采购范围内的货物和服务所需的一切费用。</w:t>
      </w:r>
      <w:r>
        <w:rPr>
          <w:rFonts w:hint="eastAsia" w:ascii="宋体" w:hAnsi="宋体" w:eastAsia="宋体" w:cs="宋体"/>
          <w:color w:val="auto"/>
          <w:highlight w:val="none"/>
        </w:rPr>
        <w:t>本项目投标总价为</w:t>
      </w:r>
      <w:r>
        <w:rPr>
          <w:rFonts w:hint="eastAsia" w:ascii="宋体" w:hAnsi="宋体" w:cs="宋体"/>
          <w:color w:val="auto"/>
          <w:highlight w:val="none"/>
          <w:lang w:val="en-US" w:eastAsia="zh-CN"/>
        </w:rPr>
        <w:t>一</w:t>
      </w:r>
      <w:r>
        <w:rPr>
          <w:rFonts w:hint="eastAsia" w:ascii="宋体" w:hAnsi="宋体" w:eastAsia="宋体" w:cs="宋体"/>
          <w:color w:val="auto"/>
          <w:highlight w:val="none"/>
        </w:rPr>
        <w:t>年服务期的总费用。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2、本表格的“投标总价”应与投标分项报价表的“投标总价”一致。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eastAsia="宋体" w:cs="宋体"/>
          <w:color w:val="auto"/>
          <w:highlight w:val="none"/>
          <w:lang w:val="en-US" w:eastAsia="zh-CN"/>
        </w:rPr>
        <w:t>3、投标人在投标客户端填写的最终报价应当与加密上传的报价文件中“开标一览表”的投标总价一致，否则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开标一览表</w:t>
      </w:r>
      <w:r>
        <w:rPr>
          <w:rFonts w:hint="eastAsia" w:ascii="宋体" w:hAnsi="宋体" w:eastAsia="宋体" w:cs="宋体"/>
          <w:strike w:val="0"/>
          <w:dstrike w:val="0"/>
          <w:color w:val="auto"/>
          <w:highlight w:val="none"/>
          <w:lang w:val="en-US" w:eastAsia="zh-CN"/>
        </w:rPr>
        <w:t>中的报价为准，并对客户端报价进行修正。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投标分项报价表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北仑区校园保安服务</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BLZFCG2023050</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845"/>
        <w:gridCol w:w="2273"/>
        <w:gridCol w:w="850"/>
        <w:gridCol w:w="156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35" w:type="pct"/>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990" w:type="pct"/>
            <w:noWrap w:val="0"/>
            <w:vAlign w:val="center"/>
          </w:tcPr>
          <w:p>
            <w:pPr>
              <w:jc w:val="center"/>
              <w:rPr>
                <w:rFonts w:hint="eastAsia" w:ascii="宋体" w:hAnsi="宋体"/>
                <w:b/>
                <w:color w:val="auto"/>
                <w:highlight w:val="none"/>
              </w:rPr>
            </w:pPr>
            <w:r>
              <w:rPr>
                <w:rFonts w:hint="eastAsia" w:ascii="宋体" w:hAnsi="宋体"/>
                <w:b/>
                <w:color w:val="auto"/>
                <w:highlight w:val="none"/>
              </w:rPr>
              <w:t>名称</w:t>
            </w:r>
          </w:p>
        </w:tc>
        <w:tc>
          <w:tcPr>
            <w:tcW w:w="1220" w:type="pct"/>
            <w:noWrap w:val="0"/>
            <w:vAlign w:val="center"/>
          </w:tcPr>
          <w:p>
            <w:pPr>
              <w:jc w:val="center"/>
              <w:rPr>
                <w:rFonts w:hint="eastAsia" w:ascii="宋体" w:hAnsi="宋体"/>
                <w:b/>
                <w:color w:val="auto"/>
                <w:highlight w:val="none"/>
              </w:rPr>
            </w:pPr>
            <w:r>
              <w:rPr>
                <w:rFonts w:hint="eastAsia" w:ascii="宋体" w:hAnsi="宋体"/>
                <w:b/>
                <w:color w:val="auto"/>
                <w:highlight w:val="none"/>
              </w:rPr>
              <w:t>主要内容</w:t>
            </w:r>
          </w:p>
        </w:tc>
        <w:tc>
          <w:tcPr>
            <w:tcW w:w="456" w:type="pct"/>
            <w:noWrap w:val="0"/>
            <w:vAlign w:val="center"/>
          </w:tcPr>
          <w:p>
            <w:pPr>
              <w:jc w:val="center"/>
              <w:rPr>
                <w:rFonts w:hint="eastAsia" w:ascii="宋体" w:hAnsi="宋体"/>
                <w:b/>
                <w:color w:val="auto"/>
                <w:highlight w:val="none"/>
              </w:rPr>
            </w:pPr>
            <w:r>
              <w:rPr>
                <w:rFonts w:hint="eastAsia" w:ascii="宋体" w:hAnsi="宋体"/>
                <w:b/>
                <w:color w:val="auto"/>
                <w:highlight w:val="none"/>
              </w:rPr>
              <w:t>数量</w:t>
            </w:r>
          </w:p>
        </w:tc>
        <w:tc>
          <w:tcPr>
            <w:tcW w:w="837" w:type="pct"/>
            <w:noWrap w:val="0"/>
            <w:vAlign w:val="center"/>
          </w:tcPr>
          <w:p>
            <w:pPr>
              <w:jc w:val="center"/>
              <w:rPr>
                <w:rFonts w:hint="eastAsia" w:ascii="宋体" w:hAnsi="宋体"/>
                <w:b/>
                <w:color w:val="auto"/>
                <w:highlight w:val="none"/>
              </w:rPr>
            </w:pPr>
            <w:r>
              <w:rPr>
                <w:rFonts w:hint="eastAsia" w:ascii="宋体" w:hAnsi="宋体"/>
                <w:b/>
                <w:color w:val="auto"/>
                <w:highlight w:val="none"/>
              </w:rPr>
              <w:t>单价</w:t>
            </w:r>
          </w:p>
        </w:tc>
        <w:tc>
          <w:tcPr>
            <w:tcW w:w="1062" w:type="pct"/>
            <w:noWrap w:val="0"/>
            <w:vAlign w:val="center"/>
          </w:tcPr>
          <w:p>
            <w:pPr>
              <w:jc w:val="center"/>
              <w:rPr>
                <w:rFonts w:hint="eastAsia" w:ascii="宋体" w:hAnsi="宋体"/>
                <w:b/>
                <w:color w:val="auto"/>
                <w:highlight w:val="none"/>
              </w:rPr>
            </w:pPr>
            <w:r>
              <w:rPr>
                <w:rFonts w:hint="eastAsia" w:ascii="宋体" w:hAnsi="宋体"/>
                <w:b/>
                <w:color w:val="auto"/>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auto"/>
                <w:kern w:val="0"/>
                <w:szCs w:val="21"/>
                <w:highlight w:val="none"/>
              </w:rPr>
            </w:pPr>
          </w:p>
        </w:tc>
        <w:tc>
          <w:tcPr>
            <w:tcW w:w="990" w:type="pct"/>
            <w:shd w:val="clear" w:color="auto" w:fill="auto"/>
            <w:noWrap w:val="0"/>
            <w:vAlign w:val="center"/>
          </w:tcPr>
          <w:p>
            <w:pPr>
              <w:widowControl/>
              <w:jc w:val="center"/>
              <w:rPr>
                <w:rFonts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ascii="宋体" w:hAnsi="宋体" w:cs="宋体"/>
                <w:color w:val="auto"/>
                <w:kern w:val="0"/>
                <w:szCs w:val="21"/>
                <w:highlight w:val="none"/>
              </w:rPr>
            </w:pPr>
          </w:p>
        </w:tc>
        <w:tc>
          <w:tcPr>
            <w:tcW w:w="837" w:type="pct"/>
            <w:shd w:val="clear" w:color="auto" w:fill="auto"/>
            <w:noWrap w:val="0"/>
            <w:vAlign w:val="center"/>
          </w:tcPr>
          <w:p>
            <w:pPr>
              <w:widowControl/>
              <w:jc w:val="center"/>
              <w:rPr>
                <w:rFonts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auto"/>
                <w:kern w:val="0"/>
                <w:szCs w:val="21"/>
                <w:highlight w:val="none"/>
              </w:rPr>
            </w:pPr>
          </w:p>
        </w:tc>
        <w:tc>
          <w:tcPr>
            <w:tcW w:w="990" w:type="pct"/>
            <w:shd w:val="clear" w:color="auto" w:fill="auto"/>
            <w:noWrap w:val="0"/>
            <w:vAlign w:val="center"/>
          </w:tcPr>
          <w:p>
            <w:pPr>
              <w:widowControl/>
              <w:jc w:val="center"/>
              <w:rPr>
                <w:rFonts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ascii="宋体" w:hAnsi="宋体" w:cs="宋体"/>
                <w:color w:val="auto"/>
                <w:kern w:val="0"/>
                <w:szCs w:val="21"/>
                <w:highlight w:val="none"/>
              </w:rPr>
            </w:pPr>
          </w:p>
        </w:tc>
        <w:tc>
          <w:tcPr>
            <w:tcW w:w="837" w:type="pct"/>
            <w:shd w:val="clear" w:color="auto" w:fill="auto"/>
            <w:noWrap w:val="0"/>
            <w:vAlign w:val="center"/>
          </w:tcPr>
          <w:p>
            <w:pPr>
              <w:widowControl/>
              <w:jc w:val="center"/>
              <w:rPr>
                <w:rFonts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auto"/>
                <w:kern w:val="0"/>
                <w:szCs w:val="21"/>
                <w:highlight w:val="none"/>
              </w:rPr>
            </w:pPr>
          </w:p>
        </w:tc>
        <w:tc>
          <w:tcPr>
            <w:tcW w:w="990" w:type="pct"/>
            <w:shd w:val="clear" w:color="auto" w:fill="auto"/>
            <w:noWrap w:val="0"/>
            <w:vAlign w:val="center"/>
          </w:tcPr>
          <w:p>
            <w:pPr>
              <w:widowControl/>
              <w:jc w:val="center"/>
              <w:rPr>
                <w:rFonts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ascii="宋体" w:hAnsi="宋体" w:cs="宋体"/>
                <w:color w:val="auto"/>
                <w:kern w:val="0"/>
                <w:szCs w:val="21"/>
                <w:highlight w:val="none"/>
              </w:rPr>
            </w:pPr>
          </w:p>
        </w:tc>
        <w:tc>
          <w:tcPr>
            <w:tcW w:w="837" w:type="pct"/>
            <w:shd w:val="clear" w:color="auto" w:fill="auto"/>
            <w:noWrap w:val="0"/>
            <w:vAlign w:val="center"/>
          </w:tcPr>
          <w:p>
            <w:pPr>
              <w:widowControl/>
              <w:jc w:val="center"/>
              <w:rPr>
                <w:rFonts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olor w:val="auto"/>
                <w:kern w:val="0"/>
                <w:szCs w:val="21"/>
                <w:highlight w:val="none"/>
              </w:rPr>
            </w:pPr>
          </w:p>
        </w:tc>
        <w:tc>
          <w:tcPr>
            <w:tcW w:w="990" w:type="pct"/>
            <w:shd w:val="clear" w:color="auto" w:fill="auto"/>
            <w:noWrap w:val="0"/>
            <w:vAlign w:val="center"/>
          </w:tcPr>
          <w:p>
            <w:pPr>
              <w:widowControl/>
              <w:jc w:val="center"/>
              <w:rPr>
                <w:rFonts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837"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99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837"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99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1220"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456"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837" w:type="pct"/>
            <w:shd w:val="clear" w:color="auto" w:fill="auto"/>
            <w:noWrap w:val="0"/>
            <w:vAlign w:val="center"/>
          </w:tcPr>
          <w:p>
            <w:pPr>
              <w:widowControl/>
              <w:jc w:val="center"/>
              <w:rPr>
                <w:rFonts w:hint="eastAsia" w:ascii="宋体" w:hAnsi="宋体" w:cs="宋体"/>
                <w:color w:val="auto"/>
                <w:kern w:val="0"/>
                <w:szCs w:val="21"/>
                <w:highlight w:val="none"/>
              </w:rPr>
            </w:pPr>
          </w:p>
        </w:tc>
        <w:tc>
          <w:tcPr>
            <w:tcW w:w="1062" w:type="pct"/>
            <w:shd w:val="clear" w:color="auto" w:fill="auto"/>
            <w:noWrap w:val="0"/>
            <w:vAlign w:val="center"/>
          </w:tcPr>
          <w:p>
            <w:pPr>
              <w:widowControl/>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25" w:type="pct"/>
            <w:gridSpan w:val="2"/>
            <w:vMerge w:val="restart"/>
            <w:noWrap w:val="0"/>
            <w:vAlign w:val="center"/>
          </w:tcPr>
          <w:p>
            <w:pPr>
              <w:spacing w:line="260" w:lineRule="exact"/>
              <w:jc w:val="center"/>
              <w:rPr>
                <w:rFonts w:hint="eastAsia" w:ascii="宋体" w:hAnsi="宋体"/>
                <w:color w:val="auto"/>
                <w:szCs w:val="21"/>
                <w:highlight w:val="none"/>
              </w:rPr>
            </w:pPr>
            <w:r>
              <w:rPr>
                <w:rFonts w:hint="eastAsia" w:ascii="宋体" w:hAnsi="宋体"/>
                <w:b/>
                <w:color w:val="auto"/>
                <w:szCs w:val="21"/>
                <w:highlight w:val="none"/>
              </w:rPr>
              <w:t>投标总价</w:t>
            </w:r>
            <w:r>
              <w:rPr>
                <w:rFonts w:hint="eastAsia" w:ascii="宋体" w:hAnsi="宋体"/>
                <w:b/>
                <w:bCs/>
                <w:color w:val="auto"/>
                <w:szCs w:val="21"/>
                <w:highlight w:val="none"/>
              </w:rPr>
              <w:t>（元）</w:t>
            </w:r>
          </w:p>
        </w:tc>
        <w:tc>
          <w:tcPr>
            <w:tcW w:w="3575" w:type="pct"/>
            <w:gridSpan w:val="4"/>
            <w:noWrap w:val="0"/>
            <w:vAlign w:val="center"/>
          </w:tcPr>
          <w:p>
            <w:pPr>
              <w:widowControl/>
              <w:rPr>
                <w:rFonts w:hint="eastAsia" w:ascii="宋体" w:hAnsi="宋体" w:cs="宋体"/>
                <w:b/>
                <w:color w:val="auto"/>
                <w:kern w:val="0"/>
                <w:szCs w:val="21"/>
                <w:highlight w:val="none"/>
              </w:rPr>
            </w:pPr>
            <w:r>
              <w:rPr>
                <w:rFonts w:hint="eastAsia" w:ascii="宋体" w:hAnsi="宋体" w:cs="宋体"/>
                <w:b/>
                <w:color w:val="auto"/>
                <w:kern w:val="0"/>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25" w:type="pct"/>
            <w:gridSpan w:val="2"/>
            <w:vMerge w:val="continue"/>
            <w:noWrap w:val="0"/>
            <w:vAlign w:val="center"/>
          </w:tcPr>
          <w:p>
            <w:pPr>
              <w:spacing w:line="260" w:lineRule="exact"/>
              <w:rPr>
                <w:rFonts w:hint="eastAsia" w:ascii="宋体" w:hAnsi="宋体"/>
                <w:color w:val="auto"/>
                <w:sz w:val="18"/>
                <w:szCs w:val="18"/>
                <w:highlight w:val="none"/>
              </w:rPr>
            </w:pPr>
          </w:p>
        </w:tc>
        <w:tc>
          <w:tcPr>
            <w:tcW w:w="3575" w:type="pct"/>
            <w:gridSpan w:val="4"/>
            <w:noWrap w:val="0"/>
            <w:vAlign w:val="center"/>
          </w:tcPr>
          <w:p>
            <w:pPr>
              <w:widowControl/>
              <w:rPr>
                <w:rFonts w:hint="eastAsia" w:ascii="宋体" w:hAnsi="宋体" w:cs="宋体"/>
                <w:b/>
                <w:color w:val="auto"/>
                <w:kern w:val="0"/>
                <w:szCs w:val="21"/>
                <w:highlight w:val="none"/>
              </w:rPr>
            </w:pPr>
            <w:r>
              <w:rPr>
                <w:rFonts w:hint="eastAsia" w:ascii="宋体" w:hAnsi="宋体" w:cs="宋体"/>
                <w:b/>
                <w:color w:val="auto"/>
                <w:kern w:val="0"/>
                <w:szCs w:val="21"/>
                <w:highlight w:val="none"/>
              </w:rPr>
              <w:t>大写：</w:t>
            </w: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1、本表格的“投标总价”应与开标一览表的“投标总价”一致。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2、此表在不改变表式的情况下，可自行制作。</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北仑区校园保安服务</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BLZFCG2023050</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6"/>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auto"/>
          <w:sz w:val="36"/>
          <w:szCs w:val="36"/>
          <w:highlight w:val="none"/>
        </w:rPr>
      </w:pPr>
      <w:r>
        <w:rPr>
          <w:rFonts w:ascii="宋体" w:hAnsi="宋体"/>
          <w:b/>
          <w:bCs/>
          <w:color w:val="auto"/>
          <w:sz w:val="36"/>
          <w:szCs w:val="36"/>
          <w:highlight w:val="none"/>
        </w:rPr>
        <w:br w:type="page"/>
      </w:r>
      <w:r>
        <w:rPr>
          <w:rFonts w:hint="eastAsia" w:ascii="宋体" w:hAnsi="宋体"/>
          <w:b/>
          <w:bCs/>
          <w:color w:val="auto"/>
          <w:sz w:val="36"/>
          <w:szCs w:val="36"/>
          <w:highlight w:val="none"/>
        </w:rPr>
        <w:t>第</w:t>
      </w:r>
      <w:r>
        <w:rPr>
          <w:rFonts w:hint="eastAsia" w:ascii="宋体" w:hAnsi="宋体"/>
          <w:b/>
          <w:bCs/>
          <w:color w:val="auto"/>
          <w:sz w:val="36"/>
          <w:szCs w:val="36"/>
          <w:highlight w:val="none"/>
          <w:lang w:val="en-US" w:eastAsia="zh-CN"/>
        </w:rPr>
        <w:t>七</w:t>
      </w:r>
      <w:r>
        <w:rPr>
          <w:rFonts w:hint="eastAsia" w:ascii="宋体" w:hAnsi="宋体"/>
          <w:b/>
          <w:bCs/>
          <w:color w:val="auto"/>
          <w:sz w:val="36"/>
          <w:szCs w:val="36"/>
          <w:highlight w:val="none"/>
        </w:rPr>
        <w:t>部分  评标办法及评分标准</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评标原则</w:t>
      </w:r>
    </w:p>
    <w:p>
      <w:pPr>
        <w:spacing w:line="360" w:lineRule="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评标活动遵循公平、公正、客观的原则，按招标文件中规定的评标方法和标准进行。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评标办法</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本次招标采用综合评分法。</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采购人和采购代理机构根据采购项目的内容特点按照规定组建评标委员会。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评标委员会由采购人代表和评审专家组成，成员人数为5人以上单数，其中评审专家不少于成员总数的三分之二。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4</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4.1资格文件审查</w:t>
      </w:r>
    </w:p>
    <w:p>
      <w:pPr>
        <w:spacing w:line="360" w:lineRule="auto"/>
        <w:rPr>
          <w:rFonts w:hint="eastAsia" w:ascii="宋体" w:hAnsi="宋体"/>
          <w:color w:val="auto"/>
          <w:highlight w:val="none"/>
        </w:rPr>
      </w:pPr>
      <w:r>
        <w:rPr>
          <w:rFonts w:hint="eastAsia" w:ascii="宋体" w:hAnsi="宋体"/>
          <w:color w:val="auto"/>
          <w:highlight w:val="none"/>
        </w:rPr>
        <w:t>开标后，采购人、采购代理机构按照招标文件的规定对投标人的资格</w:t>
      </w:r>
      <w:r>
        <w:rPr>
          <w:rFonts w:hint="eastAsia" w:ascii="宋体" w:hAnsi="宋体"/>
          <w:color w:val="auto"/>
          <w:highlight w:val="none"/>
          <w:lang w:val="en-US" w:eastAsia="zh-CN"/>
        </w:rPr>
        <w:t>证明</w:t>
      </w:r>
      <w:r>
        <w:rPr>
          <w:rFonts w:hint="eastAsia" w:ascii="宋体" w:hAnsi="宋体"/>
          <w:color w:val="auto"/>
          <w:highlight w:val="none"/>
        </w:rPr>
        <w:t>文件进行审查，以确定投标供应商是否具备投标资格。</w:t>
      </w:r>
    </w:p>
    <w:p>
      <w:pPr>
        <w:spacing w:line="360" w:lineRule="auto"/>
        <w:rPr>
          <w:rFonts w:hint="eastAsia" w:ascii="宋体" w:hAnsi="宋体"/>
          <w:color w:val="auto"/>
          <w:highlight w:val="none"/>
        </w:rPr>
      </w:pPr>
      <w:r>
        <w:rPr>
          <w:rFonts w:hint="eastAsia" w:ascii="宋体" w:hAnsi="宋体"/>
          <w:color w:val="auto"/>
          <w:highlight w:val="none"/>
        </w:rPr>
        <w:t>审查内容包括投标人提供的资格证明材料是否齐全规范，投标人资格、信用信息等是否满足招标文件的要求。审查不合格的投标人，不进入技术商务文件评审。</w:t>
      </w:r>
      <w:r>
        <w:rPr>
          <w:rFonts w:hint="eastAsia" w:ascii="宋体" w:hAnsi="宋体"/>
          <w:color w:val="auto"/>
          <w:highlight w:val="none"/>
        </w:rPr>
        <w:t>（具体见本部分无效投标的认定）</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4.2技术商务文件评审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4.2.1</w:t>
      </w:r>
      <w:r>
        <w:rPr>
          <w:rFonts w:hint="eastAsia" w:ascii="宋体" w:hAnsi="宋体"/>
          <w:color w:val="auto"/>
          <w:highlight w:val="none"/>
        </w:rPr>
        <w:t>技术商务文件符合性审查</w:t>
      </w:r>
    </w:p>
    <w:p>
      <w:pPr>
        <w:spacing w:line="360" w:lineRule="auto"/>
        <w:rPr>
          <w:rFonts w:hint="eastAsia" w:ascii="宋体" w:hAnsi="宋体"/>
          <w:color w:val="auto"/>
          <w:highlight w:val="none"/>
        </w:rPr>
      </w:pPr>
      <w:r>
        <w:rPr>
          <w:rFonts w:hint="eastAsia" w:ascii="宋体" w:hAnsi="宋体"/>
          <w:color w:val="auto"/>
          <w:highlight w:val="none"/>
        </w:rPr>
        <w:t>资格审查通过后，开启合格投标人的技术商务文件。</w:t>
      </w:r>
    </w:p>
    <w:p>
      <w:pPr>
        <w:spacing w:line="360" w:lineRule="auto"/>
        <w:rPr>
          <w:rFonts w:hint="eastAsia" w:ascii="宋体" w:hAnsi="宋体"/>
          <w:color w:val="auto"/>
          <w:highlight w:val="none"/>
        </w:rPr>
      </w:pPr>
      <w:r>
        <w:rPr>
          <w:rFonts w:hint="eastAsia" w:ascii="宋体" w:hAnsi="宋体"/>
          <w:color w:val="auto"/>
          <w:highlight w:val="none"/>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审查内容包括技术商务文件是否完整、文件签署是否齐全等，还包括投标文件是否对招标文件提出的所有实质性要求和条件作出响应，有无重大偏差；如有重大偏差者，作无效投标处理，不予进入详细评审。</w:t>
      </w:r>
      <w:r>
        <w:rPr>
          <w:rFonts w:hint="eastAsia" w:ascii="宋体" w:hAnsi="宋体"/>
          <w:color w:val="auto"/>
          <w:highlight w:val="none"/>
        </w:rPr>
        <w:t>（具体见本部分无效投标的认定）</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4.2.2</w:t>
      </w:r>
      <w:r>
        <w:rPr>
          <w:rFonts w:hint="eastAsia" w:ascii="宋体" w:hAnsi="宋体"/>
          <w:color w:val="auto"/>
          <w:highlight w:val="none"/>
        </w:rPr>
        <w:t>技术商务文件详细评审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rPr>
        <w:t>评标委员会</w:t>
      </w:r>
      <w:r>
        <w:rPr>
          <w:rFonts w:hint="eastAsia" w:ascii="宋体" w:hAnsi="宋体"/>
          <w:color w:val="auto"/>
          <w:highlight w:val="none"/>
        </w:rPr>
        <w:t>对具备实质性响应的</w:t>
      </w:r>
      <w:r>
        <w:rPr>
          <w:rFonts w:hint="eastAsia" w:ascii="宋体" w:hAnsi="宋体"/>
          <w:color w:val="auto"/>
          <w:highlight w:val="none"/>
        </w:rPr>
        <w:t>技术商务文件</w:t>
      </w:r>
      <w:r>
        <w:rPr>
          <w:rFonts w:hint="eastAsia" w:ascii="宋体" w:hAnsi="宋体"/>
          <w:color w:val="auto"/>
          <w:highlight w:val="none"/>
        </w:rPr>
        <w:t>进行</w:t>
      </w:r>
      <w:r>
        <w:rPr>
          <w:rFonts w:hint="eastAsia" w:ascii="宋体" w:hAnsi="宋体"/>
          <w:color w:val="auto"/>
          <w:highlight w:val="none"/>
          <w:lang w:val="en-US" w:eastAsia="zh-CN"/>
        </w:rPr>
        <w:t>进一步</w:t>
      </w:r>
      <w:r>
        <w:rPr>
          <w:rFonts w:hint="eastAsia" w:ascii="宋体" w:hAnsi="宋体"/>
          <w:color w:val="auto"/>
          <w:highlight w:val="none"/>
        </w:rPr>
        <w:t>评估和比较</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rPr>
        <w:t>评标委员会成员根据投标人的技术商务文件及相关澄清文件</w:t>
      </w:r>
      <w:r>
        <w:rPr>
          <w:rFonts w:hint="eastAsia" w:ascii="宋体" w:hAnsi="宋体"/>
          <w:color w:val="auto"/>
          <w:highlight w:val="none"/>
          <w:lang w:eastAsia="zh-CN"/>
        </w:rPr>
        <w:t>，</w:t>
      </w:r>
      <w:r>
        <w:rPr>
          <w:rFonts w:hint="eastAsia" w:ascii="宋体" w:hAnsi="宋体"/>
          <w:color w:val="auto"/>
          <w:highlight w:val="none"/>
        </w:rPr>
        <w:t>按照评分标准表</w:t>
      </w:r>
      <w:r>
        <w:rPr>
          <w:rFonts w:hint="eastAsia" w:ascii="宋体" w:hAnsi="宋体"/>
          <w:color w:val="auto"/>
          <w:highlight w:val="none"/>
        </w:rPr>
        <w:t>（具体见本部分评分标准表）</w:t>
      </w:r>
      <w:r>
        <w:rPr>
          <w:rFonts w:hint="eastAsia" w:ascii="宋体" w:hAnsi="宋体"/>
          <w:color w:val="auto"/>
          <w:highlight w:val="none"/>
        </w:rPr>
        <w:t>对各投标人技术商务</w:t>
      </w:r>
      <w:r>
        <w:rPr>
          <w:rFonts w:hint="eastAsia" w:ascii="宋体" w:hAnsi="宋体"/>
          <w:color w:val="auto"/>
          <w:highlight w:val="none"/>
          <w:lang w:val="en-US" w:eastAsia="zh-CN"/>
        </w:rPr>
        <w:t>文件</w:t>
      </w:r>
      <w:r>
        <w:rPr>
          <w:rFonts w:hint="eastAsia" w:ascii="宋体" w:hAnsi="宋体"/>
          <w:color w:val="auto"/>
          <w:highlight w:val="none"/>
        </w:rPr>
        <w:t>进行打分。</w:t>
      </w:r>
    </w:p>
    <w:p>
      <w:pPr>
        <w:spacing w:line="360" w:lineRule="auto"/>
        <w:rPr>
          <w:rFonts w:hint="eastAsia" w:ascii="宋体" w:hAnsi="宋体"/>
          <w:color w:val="auto"/>
          <w:highlight w:val="none"/>
        </w:rPr>
      </w:pPr>
      <w:r>
        <w:rPr>
          <w:rFonts w:hint="eastAsia" w:ascii="宋体" w:hAnsi="宋体"/>
          <w:color w:val="auto"/>
          <w:highlight w:val="none"/>
        </w:rPr>
        <w:t>评标委员会成员打分采用记名方式，统计时汇总每一细项每位评标委员会成员的评分，取算术平均分（小数点后保留二位小数，四舍五入）。</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4.3报价文件评审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4.3.1报价文件</w:t>
      </w:r>
      <w:r>
        <w:rPr>
          <w:rFonts w:hint="eastAsia" w:ascii="宋体" w:hAnsi="宋体"/>
          <w:color w:val="auto"/>
          <w:highlight w:val="none"/>
        </w:rPr>
        <w:t>符合性审查</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技术商务文件评审结束后，开启有效投标人的报价文件。</w:t>
      </w:r>
    </w:p>
    <w:p>
      <w:pPr>
        <w:spacing w:line="360" w:lineRule="auto"/>
        <w:rPr>
          <w:rFonts w:hint="eastAsia" w:ascii="宋体" w:hAnsi="宋体"/>
          <w:color w:val="auto"/>
          <w:highlight w:val="none"/>
        </w:rPr>
      </w:pPr>
      <w:r>
        <w:rPr>
          <w:rFonts w:hint="eastAsia" w:ascii="宋体" w:hAnsi="宋体"/>
          <w:color w:val="auto"/>
          <w:highlight w:val="none"/>
        </w:rPr>
        <w:t>评标委员会对投标人的</w:t>
      </w:r>
      <w:r>
        <w:rPr>
          <w:rFonts w:hint="eastAsia" w:ascii="宋体" w:hAnsi="宋体"/>
          <w:color w:val="auto"/>
          <w:highlight w:val="none"/>
          <w:lang w:val="en-US" w:eastAsia="zh-CN"/>
        </w:rPr>
        <w:t>报价</w:t>
      </w:r>
      <w:r>
        <w:rPr>
          <w:rFonts w:hint="eastAsia" w:ascii="宋体" w:hAnsi="宋体"/>
          <w:color w:val="auto"/>
          <w:highlight w:val="none"/>
        </w:rPr>
        <w:t>文件的有效性、完整性和对招标文件的响应程度进行审查，以确定是否对招标文件的实质性要求作出响应。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val="en-US" w:eastAsia="zh-CN"/>
        </w:rPr>
        <w:t>报价</w:t>
      </w:r>
      <w:r>
        <w:rPr>
          <w:rFonts w:hint="eastAsia" w:ascii="宋体" w:hAnsi="宋体"/>
          <w:color w:val="auto"/>
          <w:highlight w:val="none"/>
        </w:rPr>
        <w:t>文件是否完整、文件签署是否齐全</w:t>
      </w:r>
      <w:r>
        <w:rPr>
          <w:rFonts w:hint="eastAsia" w:ascii="宋体" w:hAnsi="宋体"/>
          <w:color w:val="auto"/>
          <w:highlight w:val="none"/>
          <w:lang w:eastAsia="zh-CN"/>
        </w:rPr>
        <w:t>，</w:t>
      </w:r>
      <w:r>
        <w:rPr>
          <w:rFonts w:hint="eastAsia" w:ascii="宋体" w:hAnsi="宋体"/>
          <w:color w:val="auto"/>
          <w:highlight w:val="none"/>
          <w:lang w:val="en-US" w:eastAsia="zh-CN"/>
        </w:rPr>
        <w:t>报价是否超出采购预算或最高限价，</w:t>
      </w:r>
      <w:r>
        <w:rPr>
          <w:rFonts w:hint="eastAsia" w:ascii="宋体" w:hAnsi="宋体"/>
          <w:color w:val="auto"/>
          <w:highlight w:val="none"/>
        </w:rPr>
        <w:t>投标文件是否对招标文件提出的实质性要求作出响应，有无重大偏差；如有重大偏差者，作无效投标处理，不予进入详细评审</w:t>
      </w:r>
      <w:r>
        <w:rPr>
          <w:rFonts w:hint="eastAsia" w:ascii="宋体" w:hAnsi="宋体"/>
          <w:color w:val="auto"/>
          <w:highlight w:val="none"/>
        </w:rPr>
        <w:t>。</w:t>
      </w:r>
      <w:r>
        <w:rPr>
          <w:rFonts w:hint="eastAsia" w:ascii="宋体" w:hAnsi="宋体"/>
          <w:color w:val="auto"/>
          <w:highlight w:val="none"/>
        </w:rPr>
        <w:t>（具体见本部分无效投标的认定）</w:t>
      </w:r>
    </w:p>
    <w:p>
      <w:pPr>
        <w:spacing w:line="360" w:lineRule="auto"/>
        <w:rPr>
          <w:rFonts w:hint="eastAsia" w:ascii="宋体" w:hAnsi="宋体"/>
          <w:color w:val="auto"/>
          <w:highlight w:val="none"/>
        </w:rPr>
      </w:pPr>
      <w:r>
        <w:rPr>
          <w:rFonts w:hint="eastAsia" w:ascii="宋体" w:hAnsi="宋体"/>
          <w:color w:val="auto"/>
          <w:highlight w:val="none"/>
          <w:lang w:val="en-US" w:eastAsia="zh-CN"/>
        </w:rPr>
        <w:t>4.3.2报价文件</w:t>
      </w:r>
      <w:r>
        <w:rPr>
          <w:rFonts w:hint="eastAsia" w:ascii="宋体" w:hAnsi="宋体"/>
          <w:color w:val="auto"/>
          <w:highlight w:val="none"/>
        </w:rPr>
        <w:t>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rPr>
        <w:t>评标委员会</w:t>
      </w:r>
      <w:r>
        <w:rPr>
          <w:rFonts w:hint="eastAsia" w:ascii="宋体" w:hAnsi="宋体"/>
          <w:color w:val="auto"/>
          <w:highlight w:val="none"/>
        </w:rPr>
        <w:t>对具备实质性响应的</w:t>
      </w:r>
      <w:r>
        <w:rPr>
          <w:rFonts w:hint="eastAsia" w:ascii="宋体" w:hAnsi="宋体"/>
          <w:color w:val="auto"/>
          <w:highlight w:val="none"/>
          <w:lang w:val="en-US" w:eastAsia="zh-CN"/>
        </w:rPr>
        <w:t>报价</w:t>
      </w:r>
      <w:r>
        <w:rPr>
          <w:rFonts w:hint="eastAsia" w:ascii="宋体" w:hAnsi="宋体"/>
          <w:color w:val="auto"/>
          <w:highlight w:val="none"/>
        </w:rPr>
        <w:t>文件</w:t>
      </w:r>
      <w:r>
        <w:rPr>
          <w:rFonts w:hint="eastAsia" w:ascii="宋体" w:hAnsi="宋体"/>
          <w:color w:val="auto"/>
          <w:highlight w:val="none"/>
        </w:rPr>
        <w:t>进行</w:t>
      </w:r>
      <w:r>
        <w:rPr>
          <w:rFonts w:hint="eastAsia" w:ascii="宋体" w:hAnsi="宋体"/>
          <w:color w:val="auto"/>
          <w:highlight w:val="none"/>
          <w:lang w:val="en-US" w:eastAsia="zh-CN"/>
        </w:rPr>
        <w:t>进一步评审</w:t>
      </w:r>
      <w:r>
        <w:rPr>
          <w:rFonts w:hint="eastAsia" w:ascii="宋体" w:hAnsi="宋体"/>
          <w:color w:val="auto"/>
          <w:highlight w:val="none"/>
          <w:lang w:eastAsia="zh-CN"/>
        </w:rPr>
        <w:t>。</w:t>
      </w:r>
    </w:p>
    <w:p>
      <w:pPr>
        <w:spacing w:line="360" w:lineRule="auto"/>
        <w:rPr>
          <w:rFonts w:hint="eastAsia" w:ascii="宋体" w:hAnsi="宋体"/>
          <w:color w:val="auto"/>
          <w:highlight w:val="none"/>
          <w:lang w:eastAsia="zh-CN"/>
        </w:rPr>
      </w:pPr>
      <w:r>
        <w:rPr>
          <w:rFonts w:hint="eastAsia" w:ascii="宋体" w:hAnsi="宋体"/>
          <w:color w:val="auto"/>
          <w:highlight w:val="none"/>
          <w:lang w:eastAsia="zh-CN"/>
        </w:rPr>
        <w:t>评标委员会</w:t>
      </w:r>
      <w:r>
        <w:rPr>
          <w:rFonts w:hint="eastAsia" w:ascii="宋体" w:hAnsi="宋体"/>
          <w:color w:val="auto"/>
          <w:highlight w:val="none"/>
        </w:rPr>
        <w:t>认为投标人的报价明显低于其他通过符合性审查投标人的报价，有可能影响产品质量或者不能诚信履约的，应当要求其在</w:t>
      </w:r>
      <w:r>
        <w:rPr>
          <w:rFonts w:hint="eastAsia" w:ascii="宋体" w:hAnsi="宋体"/>
          <w:color w:val="auto"/>
          <w:highlight w:val="none"/>
        </w:rPr>
        <w:t>评标</w:t>
      </w:r>
      <w:r>
        <w:rPr>
          <w:rFonts w:hint="eastAsia" w:ascii="宋体" w:hAnsi="宋体"/>
          <w:color w:val="auto"/>
          <w:highlight w:val="none"/>
          <w:lang w:val="en-US" w:eastAsia="zh-CN"/>
        </w:rPr>
        <w:t>期间</w:t>
      </w:r>
      <w:r>
        <w:rPr>
          <w:rFonts w:hint="eastAsia" w:ascii="宋体" w:hAnsi="宋体"/>
          <w:color w:val="auto"/>
          <w:highlight w:val="none"/>
        </w:rPr>
        <w:t>合理的时间内提供书面说明，必要时提交相关证明材料，投标人不能证明其报价合理性的，作无效投标处理</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4.3.3报价修正规则</w:t>
      </w:r>
    </w:p>
    <w:p>
      <w:pPr>
        <w:spacing w:line="360" w:lineRule="auto"/>
        <w:rPr>
          <w:rFonts w:hint="eastAsia" w:ascii="宋体" w:hAnsi="宋体"/>
          <w:color w:val="auto"/>
          <w:highlight w:val="none"/>
        </w:rPr>
      </w:pPr>
      <w:r>
        <w:rPr>
          <w:rFonts w:hint="eastAsia" w:ascii="宋体" w:hAnsi="宋体"/>
          <w:color w:val="auto"/>
          <w:highlight w:val="none"/>
        </w:rPr>
        <w:t>在评审中，对投标报价出现前后不一致的，除招标文件另有规定外，按照下列规定修正：</w:t>
      </w:r>
    </w:p>
    <w:p>
      <w:pPr>
        <w:spacing w:line="360" w:lineRule="auto"/>
        <w:rPr>
          <w:rFonts w:hint="eastAsia" w:ascii="宋体" w:hAnsi="宋体"/>
          <w:color w:val="auto"/>
          <w:highlight w:val="none"/>
        </w:rPr>
      </w:pPr>
      <w:r>
        <w:rPr>
          <w:rFonts w:hint="eastAsia" w:ascii="宋体" w:hAnsi="宋体"/>
          <w:color w:val="auto"/>
          <w:highlight w:val="none"/>
        </w:rPr>
        <w:t>（1）投标文件中开标一览表内容与投标文件中明细表内容不一致的，以开标一览表为准。</w:t>
      </w:r>
    </w:p>
    <w:p>
      <w:pPr>
        <w:spacing w:line="360" w:lineRule="auto"/>
        <w:rPr>
          <w:rFonts w:hint="eastAsia" w:ascii="宋体" w:hAnsi="宋体"/>
          <w:color w:val="auto"/>
          <w:highlight w:val="none"/>
        </w:rPr>
      </w:pPr>
      <w:r>
        <w:rPr>
          <w:rFonts w:hint="eastAsia" w:ascii="宋体" w:hAnsi="宋体"/>
          <w:color w:val="auto"/>
          <w:highlight w:val="none"/>
        </w:rPr>
        <w:t>（2）投标文件的大写金额和小写金额不一致的，以大写金额为准。</w:t>
      </w:r>
    </w:p>
    <w:p>
      <w:pPr>
        <w:spacing w:line="360" w:lineRule="auto"/>
        <w:rPr>
          <w:rFonts w:hint="eastAsia" w:ascii="宋体" w:hAnsi="宋体"/>
          <w:color w:val="auto"/>
          <w:highlight w:val="none"/>
        </w:rPr>
      </w:pPr>
      <w:r>
        <w:rPr>
          <w:rFonts w:hint="eastAsia" w:ascii="宋体" w:hAnsi="宋体"/>
          <w:color w:val="auto"/>
          <w:highlight w:val="none"/>
        </w:rPr>
        <w:t>（3）单价金额小数点或者百分比有明显错位的，以开标一览表的总价为准，并修改单价。</w:t>
      </w:r>
    </w:p>
    <w:p>
      <w:pPr>
        <w:spacing w:line="360" w:lineRule="auto"/>
        <w:rPr>
          <w:rFonts w:hint="eastAsia" w:ascii="宋体" w:hAnsi="宋体"/>
          <w:color w:val="auto"/>
          <w:highlight w:val="none"/>
        </w:rPr>
      </w:pPr>
      <w:r>
        <w:rPr>
          <w:rFonts w:hint="eastAsia" w:ascii="宋体" w:hAnsi="宋体"/>
          <w:color w:val="auto"/>
          <w:highlight w:val="none"/>
        </w:rPr>
        <w:t>（4）总价金额与按单价汇总金额不一致的，以单价金额计算结果为准。</w:t>
      </w:r>
    </w:p>
    <w:p>
      <w:pPr>
        <w:spacing w:line="360" w:lineRule="auto"/>
        <w:rPr>
          <w:rFonts w:hint="eastAsia" w:ascii="宋体" w:hAnsi="宋体"/>
          <w:color w:val="auto"/>
          <w:highlight w:val="none"/>
        </w:rPr>
      </w:pPr>
      <w:r>
        <w:rPr>
          <w:rFonts w:hint="eastAsia" w:ascii="宋体" w:hAnsi="宋体"/>
          <w:color w:val="auto"/>
          <w:highlight w:val="none"/>
        </w:rPr>
        <w:t>同时出现两种以上不一致的，按照前款规定的顺序修正。</w:t>
      </w:r>
    </w:p>
    <w:p>
      <w:pPr>
        <w:spacing w:line="360" w:lineRule="auto"/>
        <w:rPr>
          <w:rFonts w:hint="eastAsia" w:ascii="宋体" w:hAnsi="宋体"/>
          <w:color w:val="auto"/>
          <w:highlight w:val="none"/>
        </w:rPr>
      </w:pPr>
      <w:r>
        <w:rPr>
          <w:rFonts w:hint="eastAsia" w:ascii="宋体" w:hAnsi="宋体"/>
          <w:color w:val="auto"/>
          <w:highlight w:val="none"/>
        </w:rPr>
        <w:t>按上述方法调整后的投标报价经投标人确认后产生约束力，投标人不确认的，其投标无效。</w:t>
      </w:r>
    </w:p>
    <w:p>
      <w:pPr>
        <w:spacing w:line="360" w:lineRule="auto"/>
        <w:rPr>
          <w:rFonts w:hint="eastAsia" w:ascii="宋体" w:hAnsi="宋体"/>
          <w:color w:val="auto"/>
          <w:highlight w:val="none"/>
        </w:rPr>
      </w:pPr>
      <w:r>
        <w:rPr>
          <w:rFonts w:hint="eastAsia" w:ascii="宋体" w:hAnsi="宋体"/>
          <w:color w:val="auto"/>
          <w:highlight w:val="none"/>
          <w:lang w:val="en-US" w:eastAsia="zh-CN"/>
        </w:rPr>
        <w:t>4.3.4</w:t>
      </w:r>
      <w:r>
        <w:rPr>
          <w:rFonts w:hint="eastAsia" w:ascii="宋体" w:hAnsi="宋体"/>
          <w:color w:val="auto"/>
          <w:highlight w:val="none"/>
        </w:rPr>
        <w:t>计算报价得分</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报价</w:t>
      </w:r>
      <w:r>
        <w:rPr>
          <w:rFonts w:hint="eastAsia" w:ascii="宋体" w:hAnsi="宋体"/>
          <w:color w:val="auto"/>
          <w:highlight w:val="none"/>
        </w:rPr>
        <w:t>评审</w:t>
      </w:r>
      <w:r>
        <w:rPr>
          <w:rFonts w:hint="eastAsia" w:ascii="宋体" w:hAnsi="宋体"/>
          <w:color w:val="auto"/>
          <w:highlight w:val="none"/>
          <w:lang w:val="en-US" w:eastAsia="zh-CN"/>
        </w:rPr>
        <w:t>结束后</w:t>
      </w:r>
      <w:r>
        <w:rPr>
          <w:rFonts w:hint="eastAsia" w:ascii="宋体" w:hAnsi="宋体"/>
          <w:color w:val="auto"/>
          <w:highlight w:val="none"/>
          <w:lang w:eastAsia="zh-CN"/>
        </w:rPr>
        <w:t>，</w:t>
      </w:r>
      <w:r>
        <w:rPr>
          <w:rFonts w:hint="eastAsia" w:ascii="宋体" w:hAnsi="宋体"/>
          <w:color w:val="auto"/>
          <w:highlight w:val="none"/>
          <w:lang w:val="en-US" w:eastAsia="zh-CN"/>
        </w:rPr>
        <w:t>评标委员会</w:t>
      </w:r>
      <w:r>
        <w:rPr>
          <w:rFonts w:hint="eastAsia" w:ascii="宋体" w:hAnsi="宋体"/>
          <w:color w:val="auto"/>
          <w:highlight w:val="none"/>
        </w:rPr>
        <w:t>按评分标准表</w:t>
      </w:r>
      <w:r>
        <w:rPr>
          <w:rFonts w:hint="eastAsia" w:ascii="宋体" w:hAnsi="宋体"/>
          <w:color w:val="auto"/>
          <w:highlight w:val="none"/>
          <w:lang w:val="en-US" w:eastAsia="zh-CN"/>
        </w:rPr>
        <w:t>规定</w:t>
      </w:r>
      <w:r>
        <w:rPr>
          <w:rFonts w:hint="eastAsia" w:ascii="宋体" w:hAnsi="宋体"/>
          <w:color w:val="auto"/>
          <w:highlight w:val="none"/>
        </w:rPr>
        <w:t>计算</w:t>
      </w:r>
      <w:r>
        <w:rPr>
          <w:rFonts w:hint="eastAsia" w:ascii="宋体" w:hAnsi="宋体"/>
          <w:color w:val="auto"/>
          <w:highlight w:val="none"/>
          <w:lang w:val="en-US" w:eastAsia="zh-CN"/>
        </w:rPr>
        <w:t>各投标人的报价得分</w:t>
      </w:r>
      <w:r>
        <w:rPr>
          <w:rFonts w:hint="eastAsia" w:ascii="宋体" w:hAnsi="宋体"/>
          <w:color w:val="auto"/>
          <w:highlight w:val="none"/>
        </w:rPr>
        <w:t>（小数点后保留二位小数，四舍五入）</w:t>
      </w:r>
      <w:r>
        <w:rPr>
          <w:rFonts w:hint="eastAsia" w:ascii="宋体" w:hAnsi="宋体"/>
          <w:color w:val="auto"/>
          <w:highlight w:val="none"/>
          <w:lang w:eastAsia="zh-CN"/>
        </w:rPr>
        <w:t>。</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4.4评审结果</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评标委员会对各投标人技术商务得分和报价得分进行汇总并排序。</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评标委员会根据全体评标成员签字的原始评标记录和评标结果编写评标报告。按得分由高到低顺序推荐中标候选人。</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5、询标澄清</w:t>
      </w:r>
    </w:p>
    <w:p>
      <w:pPr>
        <w:spacing w:line="360" w:lineRule="auto"/>
        <w:rPr>
          <w:rFonts w:hint="eastAsia"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对于投标文件中含义不明确、同类问题表述不一致或者有明显文字和计算错误的内容，评</w:t>
      </w:r>
      <w:r>
        <w:rPr>
          <w:rFonts w:hint="eastAsia" w:ascii="宋体" w:hAnsi="宋体"/>
          <w:color w:val="auto"/>
          <w:highlight w:val="none"/>
          <w:lang w:val="en-US" w:eastAsia="zh-CN"/>
        </w:rPr>
        <w:t>标</w:t>
      </w:r>
      <w:r>
        <w:rPr>
          <w:rFonts w:hint="eastAsia" w:ascii="宋体" w:hAnsi="宋体"/>
          <w:color w:val="auto"/>
          <w:highlight w:val="none"/>
        </w:rPr>
        <w:t>委员会</w:t>
      </w:r>
      <w:r>
        <w:rPr>
          <w:rFonts w:hint="eastAsia" w:ascii="宋体" w:hAnsi="宋体"/>
          <w:color w:val="auto"/>
          <w:highlight w:val="none"/>
          <w:lang w:val="en-US" w:eastAsia="zh-CN"/>
        </w:rPr>
        <w:t>可以</w:t>
      </w:r>
      <w:r>
        <w:rPr>
          <w:rFonts w:hint="eastAsia" w:ascii="宋体" w:hAnsi="宋体"/>
          <w:color w:val="auto"/>
          <w:highlight w:val="none"/>
        </w:rPr>
        <w:t>要求投标人作出必要的澄清、说明或者补正。</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5.2除</w:t>
      </w:r>
      <w:r>
        <w:rPr>
          <w:rFonts w:hint="eastAsia" w:ascii="宋体" w:hAnsi="宋体"/>
          <w:color w:val="auto"/>
          <w:highlight w:val="none"/>
        </w:rPr>
        <w:t>依法进行</w:t>
      </w:r>
      <w:r>
        <w:rPr>
          <w:rFonts w:hint="eastAsia" w:ascii="宋体" w:hAnsi="宋体"/>
          <w:color w:val="auto"/>
          <w:highlight w:val="none"/>
          <w:lang w:val="en-US" w:eastAsia="zh-CN"/>
        </w:rPr>
        <w:t>的</w:t>
      </w:r>
      <w:r>
        <w:rPr>
          <w:rFonts w:hint="eastAsia" w:ascii="宋体" w:hAnsi="宋体"/>
          <w:color w:val="auto"/>
          <w:highlight w:val="none"/>
        </w:rPr>
        <w:t>澄清、说明、补正外</w:t>
      </w:r>
      <w:r>
        <w:rPr>
          <w:rFonts w:hint="eastAsia" w:ascii="宋体" w:hAnsi="宋体"/>
          <w:color w:val="auto"/>
          <w:highlight w:val="none"/>
          <w:lang w:eastAsia="zh-CN"/>
        </w:rPr>
        <w:t>，</w:t>
      </w:r>
      <w:r>
        <w:rPr>
          <w:rFonts w:hint="eastAsia" w:ascii="宋体" w:hAnsi="宋体"/>
          <w:color w:val="auto"/>
          <w:highlight w:val="none"/>
        </w:rPr>
        <w:t>投标人不得通过对投标文件修正、</w:t>
      </w:r>
      <w:r>
        <w:rPr>
          <w:rFonts w:hint="eastAsia" w:ascii="宋体" w:hAnsi="宋体"/>
          <w:color w:val="auto"/>
          <w:highlight w:val="none"/>
          <w:lang w:val="en-US" w:eastAsia="zh-CN"/>
        </w:rPr>
        <w:t>撤销</w:t>
      </w:r>
      <w:r>
        <w:rPr>
          <w:rFonts w:hint="eastAsia" w:ascii="宋体" w:hAnsi="宋体"/>
          <w:color w:val="auto"/>
          <w:highlight w:val="none"/>
        </w:rPr>
        <w:t>不符合要求的条款或通过投标文件以外的补充、纠正、佐证等，使其投标成为实质上响应的投标</w:t>
      </w:r>
      <w:r>
        <w:rPr>
          <w:rFonts w:hint="eastAsia" w:ascii="宋体" w:hAnsi="宋体"/>
          <w:color w:val="auto"/>
          <w:highlight w:val="none"/>
          <w:lang w:eastAsia="zh-CN"/>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6、无效投标的认定</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实质上没有响应招标文件要求的投标被视为无效投标</w:t>
      </w:r>
      <w:r>
        <w:rPr>
          <w:rFonts w:hint="eastAsia" w:ascii="宋体" w:hAnsi="宋体" w:cs="Times New Roman"/>
          <w:color w:val="auto"/>
          <w:sz w:val="21"/>
          <w:szCs w:val="21"/>
          <w:highlight w:val="none"/>
          <w:lang w:eastAsia="zh-CN"/>
        </w:rPr>
        <w:t>，</w:t>
      </w:r>
      <w:r>
        <w:rPr>
          <w:rFonts w:hint="eastAsia" w:ascii="宋体" w:hAnsi="宋体" w:eastAsia="宋体" w:cs="Times New Roman"/>
          <w:color w:val="auto"/>
          <w:sz w:val="21"/>
          <w:szCs w:val="21"/>
          <w:highlight w:val="none"/>
        </w:rPr>
        <w:t>投标响应文件有下列情形之一的作无效投</w:t>
      </w:r>
      <w:r>
        <w:rPr>
          <w:rFonts w:hint="eastAsia" w:ascii="宋体" w:hAnsi="宋体" w:eastAsia="宋体" w:cs="Times New Roman"/>
          <w:color w:val="auto"/>
          <w:sz w:val="21"/>
          <w:szCs w:val="21"/>
          <w:highlight w:val="none"/>
        </w:rPr>
        <w:t>标处理</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6.1未按</w:t>
      </w:r>
      <w:r>
        <w:rPr>
          <w:rFonts w:hint="eastAsia" w:ascii="宋体" w:hAnsi="宋体" w:eastAsia="宋体" w:cs="Times New Roman"/>
          <w:color w:val="auto"/>
          <w:sz w:val="21"/>
          <w:szCs w:val="21"/>
          <w:highlight w:val="none"/>
          <w:lang w:val="en-US" w:eastAsia="zh-CN"/>
        </w:rPr>
        <w:t>采购公告</w:t>
      </w:r>
      <w:r>
        <w:rPr>
          <w:rFonts w:hint="eastAsia"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lang w:val="en-US" w:eastAsia="zh-CN"/>
        </w:rPr>
        <w:t>方式</w:t>
      </w:r>
      <w:r>
        <w:rPr>
          <w:rFonts w:hint="eastAsia" w:ascii="宋体" w:hAnsi="宋体" w:eastAsia="宋体" w:cs="Times New Roman"/>
          <w:color w:val="auto"/>
          <w:sz w:val="21"/>
          <w:szCs w:val="21"/>
          <w:highlight w:val="none"/>
        </w:rPr>
        <w:t>获取</w:t>
      </w:r>
      <w:r>
        <w:rPr>
          <w:rFonts w:hint="eastAsia" w:ascii="宋体" w:hAnsi="宋体" w:eastAsia="宋体" w:cs="Times New Roman"/>
          <w:color w:val="auto"/>
          <w:sz w:val="21"/>
          <w:szCs w:val="21"/>
          <w:highlight w:val="none"/>
          <w:lang w:val="en-US" w:eastAsia="zh-CN"/>
        </w:rPr>
        <w:t>招标</w:t>
      </w:r>
      <w:r>
        <w:rPr>
          <w:rFonts w:hint="eastAsia" w:ascii="宋体" w:hAnsi="宋体" w:eastAsia="宋体" w:cs="Times New Roman"/>
          <w:color w:val="auto"/>
          <w:sz w:val="21"/>
          <w:szCs w:val="21"/>
          <w:highlight w:val="none"/>
        </w:rPr>
        <w:t>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color w:val="auto"/>
          <w:highlight w:val="none"/>
          <w:lang w:val="en-US" w:eastAsia="zh-CN"/>
        </w:rPr>
        <w:t>6.2</w:t>
      </w:r>
      <w:r>
        <w:rPr>
          <w:rFonts w:hint="eastAsia" w:ascii="宋体" w:hAnsi="宋体" w:eastAsia="宋体" w:cs="Times New Roman"/>
          <w:color w:val="auto"/>
          <w:sz w:val="21"/>
          <w:szCs w:val="21"/>
          <w:highlight w:val="none"/>
        </w:rPr>
        <w:t>仅提交备份电子投标文件的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r>
        <w:rPr>
          <w:rFonts w:hint="eastAsia" w:ascii="宋体" w:hAnsi="宋体"/>
          <w:color w:val="auto"/>
          <w:highlight w:val="none"/>
          <w:lang w:eastAsia="zh-CN"/>
        </w:rPr>
        <w:t>6.3不具备招标文件规定的资格要求的</w:t>
      </w:r>
      <w:r>
        <w:rPr>
          <w:rFonts w:hint="eastAsia" w:ascii="宋体" w:hAnsi="宋体"/>
          <w:color w:val="auto"/>
          <w:highlight w:val="none"/>
          <w:lang w:val="en-US" w:eastAsia="zh-CN"/>
        </w:rPr>
        <w:t>或者</w:t>
      </w:r>
      <w:r>
        <w:rPr>
          <w:rFonts w:hint="eastAsia" w:ascii="宋体" w:hAnsi="宋体"/>
          <w:color w:val="auto"/>
          <w:highlight w:val="none"/>
          <w:lang w:eastAsia="zh-CN"/>
        </w:rPr>
        <w:t>未按招标文件要求提供资格证明文件的。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6.4</w:t>
      </w:r>
      <w:r>
        <w:rPr>
          <w:rFonts w:hint="eastAsia" w:ascii="宋体" w:hAnsi="宋体"/>
          <w:color w:val="auto"/>
          <w:highlight w:val="none"/>
        </w:rPr>
        <w:t>单位负责人为同一人或者存在直接控股、管理关系的不同供应商，参加同一合同项下的政府采购活动</w:t>
      </w:r>
      <w:r>
        <w:rPr>
          <w:rFonts w:hint="eastAsia" w:ascii="宋体" w:hAnsi="宋体"/>
          <w:color w:val="auto"/>
          <w:highlight w:val="none"/>
          <w:lang w:val="en-US" w:eastAsia="zh-CN"/>
        </w:rPr>
        <w:t>的</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相关投标人</w:t>
      </w:r>
      <w:r>
        <w:rPr>
          <w:rFonts w:hint="eastAsia" w:ascii="宋体" w:hAnsi="宋体" w:eastAsia="宋体" w:cs="Times New Roman"/>
          <w:color w:val="auto"/>
          <w:sz w:val="21"/>
          <w:szCs w:val="21"/>
          <w:highlight w:val="none"/>
        </w:rPr>
        <w:t>均作无效投标处理）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eastAsia="宋体" w:cs="Times New Roman"/>
          <w:color w:val="auto"/>
          <w:sz w:val="21"/>
          <w:szCs w:val="21"/>
          <w:highlight w:val="none"/>
          <w:lang w:val="en-US" w:eastAsia="zh-CN"/>
        </w:rPr>
        <w:t>6.5</w:t>
      </w:r>
      <w:r>
        <w:rPr>
          <w:rFonts w:hint="eastAsia" w:ascii="宋体" w:hAnsi="宋体"/>
          <w:color w:val="auto"/>
          <w:highlight w:val="none"/>
        </w:rPr>
        <w:t>为采购项目提供整体设计、规范编制或者项目管理、监理、检测等服务的供应商</w:t>
      </w:r>
      <w:r>
        <w:rPr>
          <w:rFonts w:hint="eastAsia" w:ascii="宋体" w:hAnsi="宋体"/>
          <w:color w:val="auto"/>
          <w:highlight w:val="none"/>
          <w:lang w:eastAsia="zh-CN"/>
        </w:rPr>
        <w:t>，</w:t>
      </w:r>
      <w:r>
        <w:rPr>
          <w:rFonts w:hint="eastAsia" w:ascii="宋体" w:hAnsi="宋体"/>
          <w:color w:val="auto"/>
          <w:highlight w:val="none"/>
        </w:rPr>
        <w:t>再参加该采购项目的其他采购活动</w:t>
      </w:r>
      <w:r>
        <w:rPr>
          <w:rFonts w:hint="eastAsia" w:ascii="宋体" w:hAnsi="宋体"/>
          <w:color w:val="auto"/>
          <w:highlight w:val="none"/>
          <w:lang w:val="en-US" w:eastAsia="zh-CN"/>
        </w:rPr>
        <w:t>的</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lang w:val="en-US" w:eastAsia="zh-CN"/>
        </w:rPr>
        <w:t>投标文件</w:t>
      </w:r>
      <w:r>
        <w:rPr>
          <w:rFonts w:hint="eastAsia" w:ascii="宋体" w:hAnsi="宋体" w:eastAsia="宋体" w:cs="Times New Roman"/>
          <w:color w:val="auto"/>
          <w:sz w:val="21"/>
          <w:szCs w:val="21"/>
          <w:highlight w:val="none"/>
        </w:rPr>
        <w:t>未按</w:t>
      </w:r>
      <w:r>
        <w:rPr>
          <w:rFonts w:hint="eastAsia" w:ascii="宋体" w:hAnsi="宋体" w:eastAsia="宋体" w:cs="Times New Roman"/>
          <w:color w:val="auto"/>
          <w:sz w:val="21"/>
          <w:szCs w:val="21"/>
          <w:highlight w:val="none"/>
          <w:lang w:val="en-US" w:eastAsia="zh-CN"/>
        </w:rPr>
        <w:t>招标文件</w:t>
      </w:r>
      <w:r>
        <w:rPr>
          <w:rFonts w:hint="eastAsia" w:ascii="宋体" w:hAnsi="宋体" w:eastAsia="宋体" w:cs="Times New Roman"/>
          <w:color w:val="auto"/>
          <w:sz w:val="21"/>
          <w:szCs w:val="21"/>
          <w:highlight w:val="none"/>
        </w:rPr>
        <w:t>要求</w:t>
      </w:r>
      <w:r>
        <w:rPr>
          <w:rFonts w:hint="eastAsia" w:ascii="宋体" w:hAnsi="宋体" w:eastAsia="宋体" w:cs="Times New Roman"/>
          <w:color w:val="auto"/>
          <w:sz w:val="21"/>
          <w:szCs w:val="21"/>
          <w:highlight w:val="none"/>
          <w:lang w:val="en-US" w:eastAsia="zh-CN"/>
        </w:rPr>
        <w:t>密封、</w:t>
      </w:r>
      <w:r>
        <w:rPr>
          <w:rFonts w:hint="eastAsia" w:ascii="宋体" w:hAnsi="宋体" w:eastAsia="宋体" w:cs="Times New Roman"/>
          <w:color w:val="auto"/>
          <w:sz w:val="21"/>
          <w:szCs w:val="21"/>
          <w:highlight w:val="none"/>
        </w:rPr>
        <w:t>签署</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盖章的。</w:t>
      </w:r>
    </w:p>
    <w:p>
      <w:pPr>
        <w:spacing w:line="360" w:lineRule="auto"/>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8</w:t>
      </w:r>
      <w:r>
        <w:rPr>
          <w:rFonts w:hint="eastAsia" w:ascii="宋体" w:hAnsi="宋体" w:eastAsia="宋体" w:cs="Times New Roman"/>
          <w:color w:val="auto"/>
          <w:sz w:val="21"/>
          <w:szCs w:val="21"/>
          <w:highlight w:val="none"/>
          <w:lang w:val="en-US" w:eastAsia="zh-CN"/>
        </w:rPr>
        <w:t>投标文件项目不齐全，经评审委员会认定为无法评审的。</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投标有效期、付款方式、交货（服务）期限、质保期等条款不能满足招标文件要求的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不符合招标文件中有关分包、转包规定的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11</w:t>
      </w:r>
      <w:r>
        <w:rPr>
          <w:rFonts w:hint="eastAsia" w:ascii="宋体" w:hAnsi="宋体" w:eastAsia="宋体" w:cs="Times New Roman"/>
          <w:color w:val="auto"/>
          <w:sz w:val="21"/>
          <w:szCs w:val="21"/>
          <w:highlight w:val="none"/>
        </w:rPr>
        <w:t>“资格</w:t>
      </w:r>
      <w:r>
        <w:rPr>
          <w:rFonts w:hint="eastAsia" w:ascii="宋体" w:hAnsi="宋体" w:eastAsia="宋体" w:cs="Times New Roman"/>
          <w:color w:val="auto"/>
          <w:sz w:val="21"/>
          <w:szCs w:val="21"/>
          <w:highlight w:val="none"/>
          <w:lang w:val="en-US" w:eastAsia="zh-CN"/>
        </w:rPr>
        <w:t>证明</w:t>
      </w:r>
      <w:r>
        <w:rPr>
          <w:rFonts w:hint="eastAsia" w:ascii="宋体" w:hAnsi="宋体" w:eastAsia="宋体" w:cs="Times New Roman"/>
          <w:color w:val="auto"/>
          <w:sz w:val="21"/>
          <w:szCs w:val="21"/>
          <w:highlight w:val="none"/>
        </w:rPr>
        <w:t>文件”或“技术商务文件”中出现</w:t>
      </w:r>
      <w:r>
        <w:rPr>
          <w:rFonts w:hint="eastAsia" w:hAnsi="宋体"/>
          <w:color w:val="auto"/>
          <w:highlight w:val="none"/>
          <w:lang w:eastAsia="zh-CN"/>
        </w:rPr>
        <w:t>本项目的投标总价的</w:t>
      </w:r>
      <w:r>
        <w:rPr>
          <w:rFonts w:hint="eastAsia" w:ascii="宋体" w:hAnsi="宋体" w:cs="宋体"/>
          <w:color w:val="auto"/>
          <w:szCs w:val="21"/>
          <w:highlight w:val="none"/>
        </w:rPr>
        <w:t>（固定价格采购除外）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投标文件标明的响应或偏离与事实不符或提供虚假材料投标的。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rPr>
        <w:t>标“▲”的条款不能满足招标文件要求的。</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在报价评审时，如发现下列情形之一的，投标文件将被视为无效：</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）未采用人民币报价或者未按照招标文件标明的币种报价的；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（2）报价超过招标文件中规定的预算金额或者最高限价的；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）未按照招标文件规定报价的；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）投标报价具有选择性的；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）评标委员会认为投标人报价明显低于其他通过符合性审查投标人报价的，且在合理的时间内不能提供其报价合理性书面说明的。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6.1</w:t>
      </w:r>
      <w:r>
        <w:rPr>
          <w:rFonts w:hint="eastAsia" w:ascii="宋体" w:hAnsi="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有下列情形之一的，视为投标人串通投标，其投标无效</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并书面报告财政部门</w:t>
      </w:r>
      <w:r>
        <w:rPr>
          <w:rFonts w:hint="eastAsia" w:ascii="宋体" w:hAnsi="宋体" w:eastAsia="宋体" w:cs="Times New Roman"/>
          <w:color w:val="auto"/>
          <w:sz w:val="21"/>
          <w:szCs w:val="21"/>
          <w:highlight w:val="none"/>
        </w:rPr>
        <w:t>：</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不同投标人的投标文件由同一单位或者个人编制；</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不同投标人委托同一单位或者个人办理投标事宜；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不同投标人的投标文件载明的项目管理成员或者联系人员为同一人；</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不同投标人的投标文件异常一致或者投标报价呈规律性差异；</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不同投标人的投标文件相互混装</w:t>
      </w:r>
      <w:r>
        <w:rPr>
          <w:rFonts w:hint="eastAsia" w:ascii="宋体" w:hAnsi="宋体" w:eastAsia="宋体" w:cs="Times New Roman"/>
          <w:color w:val="auto"/>
          <w:sz w:val="21"/>
          <w:szCs w:val="21"/>
          <w:highlight w:val="none"/>
          <w:lang w:eastAsia="zh-CN"/>
        </w:rPr>
        <w:t>。</w:t>
      </w:r>
    </w:p>
    <w:p>
      <w:pPr>
        <w:pStyle w:val="2"/>
        <w:spacing w:line="360" w:lineRule="auto"/>
        <w:ind w:firstLine="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6.1</w:t>
      </w:r>
      <w:r>
        <w:rPr>
          <w:rFonts w:hint="eastAsia"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lang w:eastAsia="zh-CN"/>
        </w:rPr>
        <w:t>投标文件</w:t>
      </w:r>
      <w:r>
        <w:rPr>
          <w:rFonts w:hint="eastAsia" w:ascii="宋体" w:hAnsi="宋体" w:eastAsia="宋体" w:cs="Times New Roman"/>
          <w:color w:val="auto"/>
          <w:sz w:val="21"/>
          <w:szCs w:val="21"/>
          <w:highlight w:val="none"/>
        </w:rPr>
        <w:t>有重大偏差或</w:t>
      </w:r>
      <w:r>
        <w:rPr>
          <w:rFonts w:hint="eastAsia" w:hAnsi="宋体"/>
          <w:color w:val="auto"/>
          <w:highlight w:val="none"/>
        </w:rPr>
        <w:t>未实质性响应招标文件要求</w:t>
      </w:r>
      <w:r>
        <w:rPr>
          <w:rFonts w:hint="eastAsia" w:hAnsi="宋体"/>
          <w:color w:val="auto"/>
          <w:highlight w:val="none"/>
          <w:lang w:val="en-US" w:eastAsia="zh-CN"/>
        </w:rPr>
        <w:t>的</w:t>
      </w:r>
      <w:r>
        <w:rPr>
          <w:rFonts w:hint="eastAsia" w:hAnsi="宋体"/>
          <w:color w:val="auto"/>
          <w:highlight w:val="none"/>
        </w:rPr>
        <w:t>或者投标文件</w:t>
      </w:r>
      <w:r>
        <w:rPr>
          <w:rFonts w:hint="eastAsia" w:hAnsi="宋体"/>
          <w:color w:val="auto"/>
          <w:highlight w:val="none"/>
          <w:lang w:val="en-US" w:eastAsia="zh-CN"/>
        </w:rPr>
        <w:t>含</w:t>
      </w:r>
      <w:r>
        <w:rPr>
          <w:rFonts w:hint="eastAsia" w:hAnsi="宋体"/>
          <w:color w:val="auto"/>
          <w:highlight w:val="none"/>
        </w:rPr>
        <w:t>有采购人不能接受的附加条件的。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w:t>
      </w:r>
      <w:r>
        <w:rPr>
          <w:rFonts w:hint="eastAsia" w:ascii="宋体" w:hAnsi="宋体" w:cs="Times New Roman"/>
          <w:color w:val="auto"/>
          <w:sz w:val="21"/>
          <w:szCs w:val="21"/>
          <w:highlight w:val="none"/>
          <w:lang w:val="en-US" w:eastAsia="zh-CN"/>
        </w:rPr>
        <w:t>18</w:t>
      </w:r>
      <w:r>
        <w:rPr>
          <w:rFonts w:hint="eastAsia" w:ascii="宋体" w:hAnsi="宋体" w:eastAsia="宋体" w:cs="Times New Roman"/>
          <w:color w:val="auto"/>
          <w:sz w:val="21"/>
          <w:szCs w:val="21"/>
          <w:highlight w:val="none"/>
        </w:rPr>
        <w:t>违反法律、法规及本</w:t>
      </w:r>
      <w:r>
        <w:rPr>
          <w:rFonts w:hint="eastAsia" w:ascii="宋体" w:hAnsi="宋体" w:eastAsia="宋体" w:cs="Times New Roman"/>
          <w:color w:val="auto"/>
          <w:sz w:val="21"/>
          <w:szCs w:val="21"/>
          <w:highlight w:val="none"/>
          <w:lang w:val="en-US" w:eastAsia="zh-CN"/>
        </w:rPr>
        <w:t>招标</w:t>
      </w:r>
      <w:r>
        <w:rPr>
          <w:rFonts w:hint="eastAsia" w:ascii="宋体" w:hAnsi="宋体" w:eastAsia="宋体" w:cs="Times New Roman"/>
          <w:color w:val="auto"/>
          <w:sz w:val="21"/>
          <w:szCs w:val="21"/>
          <w:highlight w:val="none"/>
        </w:rPr>
        <w:t>文件规定的其他无效投标情形。</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7、中标原则</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7.1评标委员会根据投标人的技术商务文件和报价文件的总得分高低排定顺序，推荐中标候选人，得分最高者即为中标候选人。得分相同的，按投标报价由低到高顺序排列。得分且投标报价相同的，按</w:t>
      </w:r>
      <w:r>
        <w:rPr>
          <w:rFonts w:hint="eastAsia" w:ascii="宋体" w:hAnsi="宋体" w:eastAsia="宋体" w:cs="Times New Roman"/>
          <w:color w:val="auto"/>
          <w:sz w:val="21"/>
          <w:szCs w:val="21"/>
          <w:highlight w:val="none"/>
        </w:rPr>
        <w:t>服务方案</w:t>
      </w:r>
      <w:r>
        <w:rPr>
          <w:rFonts w:hint="eastAsia" w:ascii="宋体" w:hAnsi="宋体" w:eastAsia="宋体" w:cs="Times New Roman"/>
          <w:color w:val="auto"/>
          <w:sz w:val="21"/>
          <w:szCs w:val="21"/>
          <w:highlight w:val="none"/>
        </w:rPr>
        <w:t>优劣顺序排列。如出现其它情况，由评标委员会决定。</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7.2采购人根据评审报告推荐的中标候选人确定中标供应商。</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8、中标结果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采购代理机构将中标结果在政府采购指定媒体上公告，并同时向中标供应商发出中标通知书。</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9、评分标准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详见后附评分标准表。</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附：评分标准表</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pStyle w:val="3"/>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6"/>
        <w:tblW w:w="93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2358"/>
        <w:gridCol w:w="53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8" w:hRule="atLeast"/>
          <w:tblHeader/>
        </w:trPr>
        <w:tc>
          <w:tcPr>
            <w:tcW w:w="710" w:type="dxa"/>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2358" w:type="dxa"/>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评分项目</w:t>
            </w:r>
          </w:p>
        </w:tc>
        <w:tc>
          <w:tcPr>
            <w:tcW w:w="5332" w:type="dxa"/>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评分内容及标准</w:t>
            </w:r>
          </w:p>
        </w:tc>
        <w:tc>
          <w:tcPr>
            <w:tcW w:w="992" w:type="dxa"/>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2" w:type="dxa"/>
            <w:gridSpan w:val="4"/>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 xml:space="preserve">技术资信部分 </w:t>
            </w:r>
            <w:r>
              <w:rPr>
                <w:rFonts w:hint="eastAsia" w:ascii="宋体" w:hAnsi="宋体"/>
                <w:b/>
                <w:color w:val="auto"/>
                <w:szCs w:val="21"/>
                <w:highlight w:val="none"/>
                <w:lang w:val="en-US" w:eastAsia="zh-CN"/>
              </w:rPr>
              <w:t>85</w:t>
            </w:r>
            <w:r>
              <w:rPr>
                <w:rFonts w:hint="eastAsia" w:ascii="宋体" w:hAnsi="宋体"/>
                <w:b/>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2358" w:type="dxa"/>
            <w:noWrap w:val="0"/>
            <w:tcMar>
              <w:top w:w="57" w:type="dxa"/>
              <w:left w:w="57" w:type="dxa"/>
              <w:bottom w:w="57" w:type="dxa"/>
              <w:right w:w="57" w:type="dxa"/>
            </w:tcMar>
            <w:vAlign w:val="center"/>
          </w:tcPr>
          <w:p>
            <w:pPr>
              <w:jc w:val="center"/>
              <w:rPr>
                <w:rFonts w:ascii="宋体" w:hAnsi="宋体"/>
                <w:color w:val="auto"/>
                <w:szCs w:val="21"/>
                <w:highlight w:val="none"/>
              </w:rPr>
            </w:pPr>
            <w:r>
              <w:rPr>
                <w:rFonts w:hint="eastAsia" w:ascii="宋体" w:hAnsi="宋体" w:eastAsia="宋体" w:cs="宋体"/>
                <w:color w:val="auto"/>
                <w:sz w:val="21"/>
                <w:szCs w:val="21"/>
                <w:highlight w:val="none"/>
              </w:rPr>
              <w:t>整体服务方案</w:t>
            </w:r>
          </w:p>
        </w:tc>
        <w:tc>
          <w:tcPr>
            <w:tcW w:w="5332" w:type="dxa"/>
            <w:noWrap w:val="0"/>
            <w:tcMar>
              <w:top w:w="85" w:type="dxa"/>
              <w:left w:w="57" w:type="dxa"/>
              <w:bottom w:w="85" w:type="dxa"/>
              <w:right w:w="57" w:type="dxa"/>
            </w:tcMar>
            <w:vAlign w:val="center"/>
          </w:tcPr>
          <w:p>
            <w:pPr>
              <w:snapToGrid w:val="0"/>
              <w:rPr>
                <w:rFonts w:ascii="宋体" w:hAnsi="宋体"/>
                <w:color w:val="auto"/>
                <w:szCs w:val="21"/>
                <w:highlight w:val="none"/>
              </w:rPr>
            </w:pPr>
            <w:r>
              <w:rPr>
                <w:rFonts w:hint="eastAsia" w:ascii="宋体" w:hAnsi="宋体" w:eastAsia="宋体" w:cs="宋体"/>
                <w:color w:val="auto"/>
                <w:sz w:val="21"/>
                <w:szCs w:val="21"/>
                <w:highlight w:val="none"/>
              </w:rPr>
              <w:t>根据投标人对本项目的了解和熟悉程度，包括对本次安保管理的关键点和难点以及针对上述关键点、难点和其他可预见问题所提出的相应的解决措施进行评议。</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5</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2358" w:type="dxa"/>
            <w:noWrap w:val="0"/>
            <w:tcMar>
              <w:top w:w="57" w:type="dxa"/>
              <w:left w:w="57" w:type="dxa"/>
              <w:bottom w:w="57" w:type="dxa"/>
              <w:right w:w="57" w:type="dxa"/>
            </w:tcMar>
            <w:vAlign w:val="center"/>
          </w:tcPr>
          <w:p>
            <w:pPr>
              <w:jc w:val="center"/>
              <w:rPr>
                <w:rFonts w:hint="eastAsia" w:ascii="宋体" w:hAnsi="宋体" w:eastAsia="宋体" w:cs="宋体"/>
                <w:color w:val="auto"/>
                <w:sz w:val="21"/>
                <w:szCs w:val="21"/>
                <w:highlight w:val="none"/>
              </w:rPr>
            </w:pPr>
            <w:r>
              <w:rPr>
                <w:rFonts w:hint="eastAsia" w:ascii="宋体" w:hAnsi="宋体"/>
                <w:color w:val="auto"/>
                <w:szCs w:val="21"/>
                <w:highlight w:val="none"/>
                <w:lang w:eastAsia="zh-CN"/>
              </w:rPr>
              <w:t>接管</w:t>
            </w:r>
            <w:r>
              <w:rPr>
                <w:rFonts w:hint="eastAsia" w:ascii="宋体" w:hAnsi="宋体"/>
                <w:color w:val="auto"/>
                <w:szCs w:val="21"/>
                <w:highlight w:val="none"/>
              </w:rPr>
              <w:t>方案</w:t>
            </w:r>
          </w:p>
        </w:tc>
        <w:tc>
          <w:tcPr>
            <w:tcW w:w="5332" w:type="dxa"/>
            <w:noWrap w:val="0"/>
            <w:tcMar>
              <w:top w:w="85" w:type="dxa"/>
              <w:left w:w="57" w:type="dxa"/>
              <w:bottom w:w="85" w:type="dxa"/>
              <w:right w:w="57" w:type="dxa"/>
            </w:tcMar>
            <w:vAlign w:val="center"/>
          </w:tcPr>
          <w:p>
            <w:pPr>
              <w:snapToGrid w:val="0"/>
              <w:rPr>
                <w:rFonts w:hint="eastAsia" w:ascii="宋体" w:hAnsi="宋体" w:eastAsia="宋体" w:cs="宋体"/>
                <w:color w:val="auto"/>
                <w:sz w:val="21"/>
                <w:szCs w:val="21"/>
                <w:highlight w:val="none"/>
              </w:rPr>
            </w:pPr>
            <w:r>
              <w:rPr>
                <w:rFonts w:hint="eastAsia" w:ascii="宋体" w:hAnsi="宋体"/>
                <w:color w:val="auto"/>
                <w:szCs w:val="21"/>
                <w:highlight w:val="none"/>
                <w:lang w:eastAsia="zh-CN"/>
              </w:rPr>
              <w:t>接管方案完善，可行性高。</w:t>
            </w:r>
          </w:p>
        </w:tc>
        <w:tc>
          <w:tcPr>
            <w:tcW w:w="992" w:type="dxa"/>
            <w:noWrap w:val="0"/>
            <w:tcMar>
              <w:top w:w="57" w:type="dxa"/>
              <w:left w:w="57" w:type="dxa"/>
              <w:bottom w:w="57" w:type="dxa"/>
              <w:right w:w="57" w:type="dxa"/>
            </w:tcMar>
            <w:vAlign w:val="center"/>
          </w:tcPr>
          <w:p>
            <w:pPr>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2358" w:type="dxa"/>
            <w:noWrap w:val="0"/>
            <w:tcMar>
              <w:top w:w="57" w:type="dxa"/>
              <w:left w:w="57" w:type="dxa"/>
              <w:bottom w:w="57" w:type="dxa"/>
              <w:right w:w="57"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olor w:val="auto"/>
                <w:szCs w:val="21"/>
                <w:highlight w:val="none"/>
                <w:lang w:eastAsia="zh-CN"/>
              </w:rPr>
              <w:t>进驻方案</w:t>
            </w:r>
          </w:p>
        </w:tc>
        <w:tc>
          <w:tcPr>
            <w:tcW w:w="5332" w:type="dxa"/>
            <w:noWrap w:val="0"/>
            <w:tcMar>
              <w:top w:w="85" w:type="dxa"/>
              <w:left w:w="57" w:type="dxa"/>
              <w:bottom w:w="85" w:type="dxa"/>
              <w:right w:w="57" w:type="dxa"/>
            </w:tcMar>
            <w:vAlign w:val="center"/>
          </w:tcPr>
          <w:p>
            <w:pPr>
              <w:snapToGrid w:val="0"/>
              <w:rPr>
                <w:rFonts w:hint="eastAsia" w:ascii="宋体" w:hAnsi="宋体" w:eastAsia="宋体" w:cs="宋体"/>
                <w:color w:val="auto"/>
                <w:sz w:val="21"/>
                <w:szCs w:val="21"/>
                <w:highlight w:val="none"/>
                <w:lang w:eastAsia="zh-CN"/>
              </w:rPr>
            </w:pPr>
            <w:r>
              <w:rPr>
                <w:rFonts w:hint="eastAsia" w:ascii="宋体" w:hAnsi="宋体"/>
                <w:color w:val="auto"/>
                <w:szCs w:val="21"/>
                <w:highlight w:val="none"/>
                <w:lang w:val="en-US" w:eastAsia="zh-CN"/>
              </w:rPr>
              <w:t>进驻</w:t>
            </w:r>
            <w:r>
              <w:rPr>
                <w:rFonts w:hint="eastAsia" w:ascii="宋体" w:hAnsi="宋体"/>
                <w:color w:val="auto"/>
                <w:szCs w:val="21"/>
                <w:highlight w:val="none"/>
                <w:lang w:eastAsia="zh-CN"/>
              </w:rPr>
              <w:t>方案完善，可行性高，能确保安全平稳过渡的。</w:t>
            </w:r>
          </w:p>
        </w:tc>
        <w:tc>
          <w:tcPr>
            <w:tcW w:w="992" w:type="dxa"/>
            <w:noWrap w:val="0"/>
            <w:tcMar>
              <w:top w:w="57" w:type="dxa"/>
              <w:left w:w="57" w:type="dxa"/>
              <w:bottom w:w="57" w:type="dxa"/>
              <w:right w:w="57" w:type="dxa"/>
            </w:tcMar>
            <w:vAlign w:val="center"/>
          </w:tcPr>
          <w:p>
            <w:pPr>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auto"/>
                <w:szCs w:val="21"/>
                <w:highlight w:val="none"/>
              </w:rPr>
            </w:pPr>
            <w:r>
              <w:rPr>
                <w:rFonts w:hint="eastAsia" w:ascii="宋体" w:hAnsi="宋体" w:eastAsia="宋体" w:cs="宋体"/>
                <w:color w:val="auto"/>
                <w:sz w:val="21"/>
                <w:szCs w:val="21"/>
                <w:highlight w:val="none"/>
              </w:rPr>
              <w:t>具体服务方案</w:t>
            </w:r>
          </w:p>
        </w:tc>
        <w:tc>
          <w:tcPr>
            <w:tcW w:w="5332" w:type="dxa"/>
            <w:noWrap w:val="0"/>
            <w:tcMar>
              <w:top w:w="85" w:type="dxa"/>
              <w:left w:w="57" w:type="dxa"/>
              <w:bottom w:w="85" w:type="dxa"/>
              <w:right w:w="57" w:type="dxa"/>
            </w:tcMar>
            <w:vAlign w:val="center"/>
          </w:tcPr>
          <w:p>
            <w:pPr>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根据投标人提供的针对本项目具体的安保服务方案（包括重点区域服务方案、重点岗位人员保障方案、信息管理方案等）进行综合评议。</w:t>
            </w:r>
          </w:p>
          <w:p>
            <w:pPr>
              <w:snapToGrid w:val="0"/>
              <w:rPr>
                <w:rFonts w:hint="eastAsia" w:ascii="宋体" w:hAnsi="宋体" w:cs="宋体"/>
                <w:b/>
                <w:color w:val="auto"/>
                <w:kern w:val="0"/>
                <w:szCs w:val="21"/>
                <w:highlight w:val="none"/>
              </w:rPr>
            </w:pPr>
            <w:r>
              <w:rPr>
                <w:rFonts w:hint="eastAsia" w:ascii="宋体" w:hAnsi="宋体" w:eastAsia="宋体" w:cs="宋体"/>
                <w:color w:val="auto"/>
                <w:sz w:val="21"/>
                <w:szCs w:val="21"/>
                <w:highlight w:val="none"/>
              </w:rPr>
              <w:t>优秀的的服务方案应当科学合理、内容完整、实际操作性强。</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5</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auto"/>
                <w:szCs w:val="21"/>
                <w:highlight w:val="none"/>
              </w:rPr>
            </w:pPr>
            <w:r>
              <w:rPr>
                <w:rFonts w:hint="eastAsia" w:ascii="宋体" w:hAnsi="宋体" w:eastAsia="宋体" w:cs="宋体"/>
                <w:color w:val="auto"/>
                <w:sz w:val="21"/>
                <w:szCs w:val="21"/>
                <w:highlight w:val="none"/>
              </w:rPr>
              <w:t>突发事件应急预案</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rPr>
            </w:pPr>
            <w:r>
              <w:rPr>
                <w:rFonts w:hint="eastAsia" w:ascii="宋体" w:hAnsi="宋体" w:eastAsia="宋体" w:cs="宋体"/>
                <w:color w:val="auto"/>
                <w:sz w:val="21"/>
                <w:szCs w:val="21"/>
                <w:highlight w:val="none"/>
              </w:rPr>
              <w:t>根据投标人提供的针对安全事故、防汛、抗台或重大活动和重点区域保障的应急方案等进行评议。</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auto"/>
                <w:szCs w:val="21"/>
                <w:highlight w:val="none"/>
              </w:rPr>
            </w:pPr>
            <w:r>
              <w:rPr>
                <w:rFonts w:hint="eastAsia" w:ascii="宋体" w:hAnsi="宋体" w:eastAsia="宋体" w:cs="宋体"/>
                <w:color w:val="auto"/>
                <w:sz w:val="21"/>
                <w:szCs w:val="21"/>
                <w:highlight w:val="none"/>
              </w:rPr>
              <w:t>管理制度</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根据投标人提供的针对本项目的日常管理制度进行综合评议。</w:t>
            </w:r>
          </w:p>
          <w:p>
            <w:pPr>
              <w:rPr>
                <w:rFonts w:hint="eastAsia" w:ascii="新宋体" w:hAnsi="新宋体" w:eastAsia="新宋体" w:cs="新宋体"/>
                <w:color w:val="auto"/>
                <w:spacing w:val="-6"/>
                <w:szCs w:val="21"/>
                <w:highlight w:val="none"/>
              </w:rPr>
            </w:pPr>
            <w:r>
              <w:rPr>
                <w:rFonts w:hint="eastAsia" w:ascii="宋体" w:hAnsi="宋体" w:eastAsia="宋体" w:cs="宋体"/>
                <w:color w:val="auto"/>
                <w:sz w:val="21"/>
                <w:szCs w:val="21"/>
                <w:highlight w:val="none"/>
              </w:rPr>
              <w:t>优秀的管理制度应当科学合理、实际操作性强。管理、激励、监督、奖惩等规章制度健全规范。内部考核和奖惩制度周密合理，组织制度完善，岗位职责明确，与采购人日常管理要求相符合。</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auto"/>
                <w:szCs w:val="21"/>
                <w:highlight w:val="none"/>
              </w:rPr>
            </w:pPr>
            <w:r>
              <w:rPr>
                <w:rFonts w:hint="eastAsia" w:ascii="宋体" w:hAnsi="宋体" w:eastAsia="宋体" w:cs="宋体"/>
                <w:color w:val="auto"/>
                <w:sz w:val="21"/>
                <w:szCs w:val="21"/>
                <w:highlight w:val="none"/>
              </w:rPr>
              <w:t>人员管理与培训计划</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根据投标人提供的人员管理与培训计划进行综合评议。</w:t>
            </w:r>
          </w:p>
          <w:p>
            <w:pPr>
              <w:rPr>
                <w:rFonts w:hint="eastAsia" w:ascii="宋体" w:hAnsi="宋体"/>
                <w:color w:val="auto"/>
                <w:szCs w:val="21"/>
                <w:highlight w:val="none"/>
              </w:rPr>
            </w:pPr>
            <w:r>
              <w:rPr>
                <w:rFonts w:hint="eastAsia" w:ascii="宋体" w:hAnsi="宋体" w:eastAsia="宋体" w:cs="宋体"/>
                <w:color w:val="auto"/>
                <w:sz w:val="21"/>
                <w:szCs w:val="21"/>
                <w:highlight w:val="none"/>
              </w:rPr>
              <w:t>优秀标准：有保障从业人员基本福利、社会保险、职业安全等措施和方案。人员培训有计划、内容、目标，且方式多样；人员录用与考核有标准，有奖惩淘汰机制；各类人员上岗仪表、行为、态度，标准统一、规范。</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2358" w:type="dxa"/>
            <w:noWrap w:val="0"/>
            <w:tcMar>
              <w:top w:w="57" w:type="dxa"/>
              <w:left w:w="57" w:type="dxa"/>
              <w:bottom w:w="57" w:type="dxa"/>
              <w:right w:w="57" w:type="dxa"/>
            </w:tcMar>
            <w:vAlign w:val="center"/>
          </w:tcPr>
          <w:p>
            <w:pPr>
              <w:jc w:val="center"/>
              <w:rPr>
                <w:rFonts w:hint="eastAsia" w:ascii="宋体" w:hAnsi="宋体"/>
                <w:color w:val="auto"/>
                <w:szCs w:val="21"/>
                <w:highlight w:val="none"/>
              </w:rPr>
            </w:pPr>
            <w:r>
              <w:rPr>
                <w:rFonts w:hint="eastAsia" w:ascii="宋体" w:hAnsi="宋体" w:eastAsia="宋体" w:cs="宋体"/>
                <w:color w:val="auto"/>
                <w:sz w:val="21"/>
                <w:szCs w:val="21"/>
                <w:highlight w:val="none"/>
              </w:rPr>
              <w:t>人员配置方案</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各类人员配备齐全、合理、科学，岗位设置与采购人需求基本相符；各部门人员配备数量不低于采购人需求。</w:t>
            </w:r>
          </w:p>
          <w:p>
            <w:pPr>
              <w:rPr>
                <w:rFonts w:hint="eastAsia" w:ascii="宋体" w:hAnsi="宋体"/>
                <w:color w:val="auto"/>
                <w:szCs w:val="21"/>
                <w:highlight w:val="none"/>
              </w:rPr>
            </w:pPr>
            <w:r>
              <w:rPr>
                <w:rFonts w:hint="eastAsia" w:ascii="宋体" w:hAnsi="宋体" w:eastAsia="宋体" w:cs="宋体"/>
                <w:b/>
                <w:color w:val="auto"/>
                <w:sz w:val="21"/>
                <w:szCs w:val="21"/>
                <w:highlight w:val="none"/>
              </w:rPr>
              <w:t>（人员配置数量未达到采购人要求的，投标无效）</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2358" w:type="dxa"/>
            <w:noWrap w:val="0"/>
            <w:tcMar>
              <w:top w:w="57" w:type="dxa"/>
              <w:left w:w="57" w:type="dxa"/>
              <w:bottom w:w="57" w:type="dxa"/>
              <w:right w:w="57" w:type="dxa"/>
            </w:tcMar>
            <w:vAlign w:val="center"/>
          </w:tcPr>
          <w:p>
            <w:pPr>
              <w:jc w:val="center"/>
              <w:rPr>
                <w:rFonts w:hint="eastAsia" w:ascii="宋体" w:hAnsi="宋体"/>
                <w:color w:val="auto"/>
                <w:szCs w:val="21"/>
                <w:highlight w:val="none"/>
              </w:rPr>
            </w:pPr>
            <w:r>
              <w:rPr>
                <w:rFonts w:hint="eastAsia" w:ascii="宋体" w:hAnsi="宋体" w:eastAsia="宋体" w:cs="宋体"/>
                <w:color w:val="auto"/>
                <w:sz w:val="21"/>
                <w:szCs w:val="21"/>
                <w:highlight w:val="none"/>
              </w:rPr>
              <w:t>项目负责人</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具有大专及以上学历的，得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具有三年以上</w:t>
            </w:r>
            <w:r>
              <w:rPr>
                <w:rFonts w:hint="eastAsia" w:ascii="宋体" w:hAnsi="宋体" w:cs="宋体"/>
                <w:color w:val="auto"/>
                <w:sz w:val="21"/>
                <w:szCs w:val="21"/>
                <w:highlight w:val="none"/>
                <w:lang w:val="en-US" w:eastAsia="zh-CN"/>
              </w:rPr>
              <w:t>安保服务项目</w:t>
            </w:r>
            <w:r>
              <w:rPr>
                <w:rFonts w:hint="eastAsia" w:ascii="宋体" w:hAnsi="宋体" w:eastAsia="宋体" w:cs="宋体"/>
                <w:color w:val="auto"/>
                <w:sz w:val="21"/>
                <w:szCs w:val="21"/>
                <w:highlight w:val="none"/>
              </w:rPr>
              <w:t>工作</w:t>
            </w:r>
            <w:r>
              <w:rPr>
                <w:rFonts w:hint="eastAsia" w:ascii="宋体" w:hAnsi="宋体" w:cs="宋体"/>
                <w:color w:val="auto"/>
                <w:sz w:val="21"/>
                <w:szCs w:val="21"/>
                <w:highlight w:val="none"/>
                <w:lang w:val="en-US" w:eastAsia="zh-CN"/>
              </w:rPr>
              <w:t>经验</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default" w:ascii="宋体" w:hAnsi="宋体" w:eastAsia="宋体"/>
                <w:color w:val="auto"/>
                <w:szCs w:val="21"/>
                <w:highlight w:val="none"/>
                <w:lang w:val="en-US" w:eastAsia="zh-CN"/>
              </w:rPr>
            </w:pPr>
            <w:r>
              <w:rPr>
                <w:rFonts w:hint="eastAsia" w:ascii="宋体" w:hAnsi="宋体" w:eastAsia="宋体" w:cs="宋体"/>
                <w:b/>
                <w:color w:val="auto"/>
                <w:sz w:val="21"/>
                <w:szCs w:val="21"/>
                <w:highlight w:val="none"/>
              </w:rPr>
              <w:t>投标文件中提供相关证书、业主单位出具的工作</w:t>
            </w:r>
            <w:r>
              <w:rPr>
                <w:rFonts w:hint="eastAsia" w:ascii="宋体" w:hAnsi="宋体" w:eastAsia="宋体" w:cs="宋体"/>
                <w:b/>
                <w:color w:val="auto"/>
                <w:sz w:val="21"/>
                <w:szCs w:val="21"/>
                <w:highlight w:val="none"/>
                <w:lang w:val="en-US" w:eastAsia="zh-CN"/>
              </w:rPr>
              <w:t>经验</w:t>
            </w:r>
            <w:r>
              <w:rPr>
                <w:rFonts w:hint="eastAsia" w:ascii="宋体" w:hAnsi="宋体" w:cs="宋体"/>
                <w:b/>
                <w:color w:val="auto"/>
                <w:sz w:val="21"/>
                <w:szCs w:val="21"/>
                <w:highlight w:val="none"/>
                <w:lang w:val="en-US" w:eastAsia="zh-CN"/>
              </w:rPr>
              <w:t>（</w:t>
            </w:r>
            <w:r>
              <w:rPr>
                <w:rFonts w:hint="eastAsia" w:ascii="宋体" w:hAnsi="宋体" w:eastAsia="宋体" w:cs="宋体"/>
                <w:b/>
                <w:color w:val="auto"/>
                <w:sz w:val="21"/>
                <w:szCs w:val="21"/>
                <w:highlight w:val="none"/>
              </w:rPr>
              <w:t>业绩</w:t>
            </w:r>
            <w:r>
              <w:rPr>
                <w:rFonts w:hint="eastAsia" w:ascii="宋体" w:hAnsi="宋体" w:cs="宋体"/>
                <w:b/>
                <w:color w:val="auto"/>
                <w:sz w:val="21"/>
                <w:szCs w:val="21"/>
                <w:highlight w:val="none"/>
                <w:lang w:val="en-US" w:eastAsia="zh-CN"/>
              </w:rPr>
              <w:t>）</w:t>
            </w:r>
            <w:r>
              <w:rPr>
                <w:rFonts w:hint="eastAsia" w:ascii="宋体" w:hAnsi="宋体" w:eastAsia="宋体" w:cs="宋体"/>
                <w:b/>
                <w:color w:val="auto"/>
                <w:sz w:val="21"/>
                <w:szCs w:val="21"/>
                <w:highlight w:val="none"/>
              </w:rPr>
              <w:t>证明</w:t>
            </w:r>
            <w:r>
              <w:rPr>
                <w:rFonts w:hint="eastAsia" w:ascii="宋体" w:hAnsi="宋体" w:cs="宋体"/>
                <w:b/>
                <w:color w:val="auto"/>
                <w:sz w:val="21"/>
                <w:szCs w:val="21"/>
                <w:highlight w:val="none"/>
                <w:lang w:eastAsia="zh-CN"/>
              </w:rPr>
              <w:t>、</w:t>
            </w:r>
            <w:r>
              <w:rPr>
                <w:rFonts w:hint="eastAsia" w:ascii="宋体" w:hAnsi="宋体"/>
                <w:b/>
                <w:color w:val="auto"/>
                <w:szCs w:val="21"/>
                <w:highlight w:val="none"/>
              </w:rPr>
              <w:t>投标单位为其缴纳社保证明</w:t>
            </w:r>
            <w:r>
              <w:rPr>
                <w:rFonts w:hint="eastAsia" w:ascii="宋体" w:hAnsi="宋体"/>
                <w:b/>
                <w:color w:val="auto"/>
                <w:szCs w:val="21"/>
                <w:highlight w:val="none"/>
                <w:lang w:val="en-US" w:eastAsia="zh-CN"/>
              </w:rPr>
              <w:t>扫描件</w:t>
            </w:r>
            <w:r>
              <w:rPr>
                <w:rFonts w:hint="eastAsia" w:ascii="宋体" w:hAnsi="宋体" w:cs="宋体"/>
                <w:b/>
                <w:color w:val="auto"/>
                <w:sz w:val="21"/>
                <w:szCs w:val="21"/>
                <w:highlight w:val="none"/>
                <w:lang w:val="en-US" w:eastAsia="zh-CN"/>
              </w:rPr>
              <w:t>等相关材料</w:t>
            </w:r>
            <w:r>
              <w:rPr>
                <w:rFonts w:hint="eastAsia" w:ascii="宋体" w:hAnsi="宋体" w:cs="宋体"/>
                <w:b/>
                <w:color w:val="auto"/>
                <w:sz w:val="21"/>
                <w:szCs w:val="21"/>
                <w:highlight w:val="none"/>
                <w:lang w:val="en-US" w:eastAsia="zh-CN"/>
              </w:rPr>
              <w:t>。</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w:t>
            </w:r>
          </w:p>
        </w:tc>
        <w:tc>
          <w:tcPr>
            <w:tcW w:w="2358" w:type="dxa"/>
            <w:noWrap w:val="0"/>
            <w:tcMar>
              <w:top w:w="57" w:type="dxa"/>
              <w:left w:w="57" w:type="dxa"/>
              <w:bottom w:w="57" w:type="dxa"/>
              <w:right w:w="57" w:type="dxa"/>
            </w:tcMar>
            <w:vAlign w:val="center"/>
          </w:tcPr>
          <w:p>
            <w:pPr>
              <w:ind w:left="-107" w:leftChars="-51" w:right="-130" w:rightChars="-62"/>
              <w:jc w:val="center"/>
              <w:rPr>
                <w:rFonts w:ascii="宋体" w:hAnsi="宋体"/>
                <w:color w:val="auto"/>
                <w:szCs w:val="21"/>
                <w:highlight w:val="none"/>
              </w:rPr>
            </w:pPr>
            <w:r>
              <w:rPr>
                <w:rFonts w:hint="eastAsia" w:ascii="宋体" w:hAnsi="宋体" w:eastAsia="宋体" w:cs="宋体"/>
                <w:color w:val="auto"/>
                <w:sz w:val="21"/>
                <w:szCs w:val="21"/>
                <w:highlight w:val="none"/>
              </w:rPr>
              <w:t>保安员</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拟派的保安员中有三年以上</w:t>
            </w:r>
            <w:r>
              <w:rPr>
                <w:rFonts w:hint="eastAsia" w:ascii="宋体" w:hAnsi="宋体" w:cs="宋体"/>
                <w:color w:val="auto"/>
                <w:sz w:val="21"/>
                <w:szCs w:val="21"/>
                <w:highlight w:val="none"/>
                <w:lang w:val="en-US" w:eastAsia="zh-CN"/>
              </w:rPr>
              <w:t>安保服务项目</w:t>
            </w:r>
            <w:r>
              <w:rPr>
                <w:rFonts w:hint="eastAsia" w:ascii="宋体" w:hAnsi="宋体" w:eastAsia="宋体" w:cs="宋体"/>
                <w:color w:val="auto"/>
                <w:sz w:val="21"/>
                <w:szCs w:val="21"/>
                <w:highlight w:val="none"/>
              </w:rPr>
              <w:t>工作经验的，</w:t>
            </w:r>
            <w:r>
              <w:rPr>
                <w:rFonts w:hint="eastAsia" w:ascii="宋体" w:hAnsi="宋体"/>
                <w:color w:val="auto"/>
                <w:szCs w:val="21"/>
                <w:highlight w:val="none"/>
              </w:rPr>
              <w:t>每个得0.</w:t>
            </w:r>
            <w:r>
              <w:rPr>
                <w:rFonts w:hint="eastAsia" w:ascii="宋体" w:hAnsi="宋体"/>
                <w:color w:val="auto"/>
                <w:szCs w:val="21"/>
                <w:highlight w:val="none"/>
                <w:lang w:val="en-US" w:eastAsia="zh-CN"/>
              </w:rPr>
              <w:t>5</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eastAsia="宋体" w:cs="宋体"/>
                <w:color w:val="auto"/>
                <w:sz w:val="21"/>
                <w:szCs w:val="21"/>
                <w:highlight w:val="none"/>
              </w:rPr>
              <w:t>最多得</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rPr>
                <w:rFonts w:hint="eastAsia" w:ascii="宋体" w:hAnsi="宋体" w:eastAsia="宋体"/>
                <w:color w:val="auto"/>
                <w:szCs w:val="21"/>
                <w:highlight w:val="none"/>
                <w:lang w:eastAsia="zh-CN"/>
              </w:rPr>
            </w:pPr>
            <w:r>
              <w:rPr>
                <w:rFonts w:hint="eastAsia" w:ascii="宋体" w:hAnsi="宋体" w:eastAsia="宋体" w:cs="宋体"/>
                <w:b/>
                <w:bCs w:val="0"/>
                <w:color w:val="auto"/>
                <w:sz w:val="21"/>
                <w:szCs w:val="21"/>
                <w:highlight w:val="none"/>
              </w:rPr>
              <w:t>投标文件中提供业主单位出具的工作经验</w:t>
            </w:r>
            <w:r>
              <w:rPr>
                <w:rFonts w:hint="eastAsia" w:ascii="宋体" w:hAnsi="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业绩</w:t>
            </w:r>
            <w:r>
              <w:rPr>
                <w:rFonts w:hint="eastAsia" w:ascii="宋体" w:hAnsi="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证明</w:t>
            </w:r>
            <w:r>
              <w:rPr>
                <w:rFonts w:hint="eastAsia" w:ascii="宋体" w:hAnsi="宋体" w:cs="宋体"/>
                <w:b/>
                <w:bCs w:val="0"/>
                <w:color w:val="auto"/>
                <w:sz w:val="21"/>
                <w:szCs w:val="21"/>
                <w:highlight w:val="none"/>
                <w:lang w:eastAsia="zh-CN"/>
              </w:rPr>
              <w:t>。</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w:t>
            </w:r>
          </w:p>
        </w:tc>
        <w:tc>
          <w:tcPr>
            <w:tcW w:w="2358" w:type="dxa"/>
            <w:noWrap w:val="0"/>
            <w:tcMar>
              <w:top w:w="57" w:type="dxa"/>
              <w:left w:w="57" w:type="dxa"/>
              <w:bottom w:w="57" w:type="dxa"/>
              <w:right w:w="57" w:type="dxa"/>
            </w:tcMar>
            <w:vAlign w:val="center"/>
          </w:tcPr>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作业工具、设备配备</w:t>
            </w:r>
          </w:p>
          <w:p>
            <w:pPr>
              <w:ind w:left="-107" w:leftChars="-51" w:right="-130" w:rightChars="-62"/>
              <w:jc w:val="center"/>
              <w:rPr>
                <w:rFonts w:hint="eastAsia" w:ascii="宋体" w:hAnsi="宋体"/>
                <w:color w:val="auto"/>
                <w:szCs w:val="21"/>
                <w:highlight w:val="none"/>
              </w:rPr>
            </w:pPr>
            <w:r>
              <w:rPr>
                <w:rFonts w:hint="eastAsia" w:ascii="宋体" w:hAnsi="宋体" w:eastAsia="宋体" w:cs="宋体"/>
                <w:color w:val="auto"/>
                <w:sz w:val="21"/>
                <w:szCs w:val="21"/>
                <w:highlight w:val="none"/>
              </w:rPr>
              <w:t>及运行管理使用方案</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rPr>
            </w:pPr>
            <w:r>
              <w:rPr>
                <w:rFonts w:hint="eastAsia" w:ascii="宋体" w:hAnsi="宋体" w:eastAsia="宋体" w:cs="宋体"/>
                <w:color w:val="auto"/>
                <w:sz w:val="21"/>
                <w:szCs w:val="21"/>
                <w:highlight w:val="none"/>
              </w:rPr>
              <w:t>根据投标人提供的拟投入的作业工具、设备配备及运行管理使用方案进行综合评议。</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2</w:t>
            </w:r>
          </w:p>
        </w:tc>
        <w:tc>
          <w:tcPr>
            <w:tcW w:w="2358" w:type="dxa"/>
            <w:noWrap w:val="0"/>
            <w:tcMar>
              <w:top w:w="57" w:type="dxa"/>
              <w:left w:w="57" w:type="dxa"/>
              <w:bottom w:w="57" w:type="dxa"/>
              <w:right w:w="57" w:type="dxa"/>
            </w:tcMar>
            <w:vAlign w:val="center"/>
          </w:tcPr>
          <w:p>
            <w:pPr>
              <w:ind w:left="-107" w:leftChars="-51" w:right="-130" w:rightChars="-62"/>
              <w:jc w:val="center"/>
              <w:rPr>
                <w:rFonts w:hint="eastAsia" w:ascii="宋体" w:hAnsi="宋体"/>
                <w:color w:val="auto"/>
                <w:szCs w:val="21"/>
                <w:highlight w:val="none"/>
              </w:rPr>
            </w:pPr>
            <w:r>
              <w:rPr>
                <w:rFonts w:hint="eastAsia" w:ascii="宋体" w:hAnsi="宋体" w:eastAsia="宋体" w:cs="宋体"/>
                <w:color w:val="auto"/>
                <w:sz w:val="21"/>
                <w:szCs w:val="21"/>
                <w:highlight w:val="none"/>
              </w:rPr>
              <w:t>合理化建议</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rPr>
            </w:pPr>
            <w:r>
              <w:rPr>
                <w:rFonts w:hint="eastAsia" w:ascii="宋体" w:hAnsi="宋体" w:eastAsia="宋体" w:cs="宋体"/>
                <w:color w:val="auto"/>
                <w:sz w:val="21"/>
                <w:szCs w:val="21"/>
                <w:highlight w:val="none"/>
              </w:rPr>
              <w:t>对该项目提出合理化建议，建议内容切实可行，具有可操作性。</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2358" w:type="dxa"/>
            <w:noWrap w:val="0"/>
            <w:tcMar>
              <w:top w:w="57" w:type="dxa"/>
              <w:left w:w="57" w:type="dxa"/>
              <w:bottom w:w="57" w:type="dxa"/>
              <w:right w:w="57" w:type="dxa"/>
            </w:tcMar>
            <w:vAlign w:val="center"/>
          </w:tcPr>
          <w:p>
            <w:pPr>
              <w:jc w:val="center"/>
              <w:rPr>
                <w:rFonts w:ascii="新宋体" w:hAnsi="新宋体" w:eastAsia="新宋体" w:cs="新宋体"/>
                <w:color w:val="auto"/>
                <w:szCs w:val="21"/>
                <w:highlight w:val="none"/>
              </w:rPr>
            </w:pPr>
            <w:r>
              <w:rPr>
                <w:rFonts w:hint="eastAsia" w:ascii="宋体" w:hAnsi="宋体" w:eastAsia="宋体" w:cs="宋体"/>
                <w:color w:val="auto"/>
                <w:sz w:val="21"/>
                <w:szCs w:val="21"/>
                <w:highlight w:val="none"/>
              </w:rPr>
              <w:t>认证证书</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具有有效质量管理体系认证证书的，得1分；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具有有效环境管理体系认证证书的，得1分；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具有有效职业健康安全管理体系认证证书的，得1分；</w:t>
            </w:r>
          </w:p>
          <w:p>
            <w:pPr>
              <w:rPr>
                <w:rFonts w:hint="eastAsia" w:ascii="宋体" w:hAnsi="宋体"/>
                <w:color w:val="auto"/>
                <w:szCs w:val="21"/>
                <w:highlight w:val="none"/>
                <w:lang w:eastAsia="zh-CN"/>
              </w:rPr>
            </w:pPr>
            <w:r>
              <w:rPr>
                <w:rFonts w:hint="eastAsia" w:ascii="宋体" w:hAnsi="宋体"/>
                <w:color w:val="auto"/>
                <w:szCs w:val="21"/>
                <w:highlight w:val="none"/>
                <w:lang w:eastAsia="zh-CN"/>
              </w:rPr>
              <w:t>具有有效信息安全体系认证证书的，得</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分</w:t>
            </w:r>
            <w:r>
              <w:rPr>
                <w:rFonts w:hint="eastAsia" w:ascii="宋体" w:hAnsi="宋体" w:eastAsia="宋体" w:cs="宋体"/>
                <w:color w:val="auto"/>
                <w:sz w:val="21"/>
                <w:szCs w:val="21"/>
                <w:highlight w:val="none"/>
              </w:rPr>
              <w:t>；</w:t>
            </w:r>
          </w:p>
          <w:p>
            <w:pPr>
              <w:rPr>
                <w:rFonts w:ascii="宋体" w:hAnsi="宋体"/>
                <w:color w:val="auto"/>
                <w:szCs w:val="21"/>
                <w:highlight w:val="none"/>
              </w:rPr>
            </w:pPr>
            <w:r>
              <w:rPr>
                <w:rFonts w:hint="eastAsia" w:ascii="宋体" w:hAnsi="宋体" w:eastAsia="宋体" w:cs="宋体"/>
                <w:b/>
                <w:bCs/>
                <w:color w:val="auto"/>
                <w:sz w:val="21"/>
                <w:szCs w:val="21"/>
                <w:highlight w:val="none"/>
                <w:lang w:val="en-US" w:eastAsia="zh-CN"/>
              </w:rPr>
              <w:t>在投标文件</w:t>
            </w:r>
            <w:r>
              <w:rPr>
                <w:rFonts w:hint="eastAsia" w:ascii="宋体" w:hAnsi="宋体" w:eastAsia="宋体" w:cs="宋体"/>
                <w:b/>
                <w:bCs/>
                <w:color w:val="auto"/>
                <w:sz w:val="21"/>
                <w:szCs w:val="21"/>
                <w:highlight w:val="none"/>
              </w:rPr>
              <w:t>中</w:t>
            </w:r>
            <w:r>
              <w:rPr>
                <w:rFonts w:hint="eastAsia" w:ascii="宋体" w:hAnsi="宋体" w:eastAsia="宋体" w:cs="宋体"/>
                <w:b/>
                <w:bCs/>
                <w:color w:val="auto"/>
                <w:sz w:val="21"/>
                <w:szCs w:val="21"/>
                <w:highlight w:val="none"/>
                <w:lang w:val="en-US" w:eastAsia="zh-CN"/>
              </w:rPr>
              <w:t>提供</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的原件彩色扫描件</w:t>
            </w:r>
            <w:r>
              <w:rPr>
                <w:rFonts w:hint="eastAsia" w:ascii="宋体" w:hAnsi="宋体" w:eastAsia="宋体" w:cs="宋体"/>
                <w:b/>
                <w:bCs/>
                <w:color w:val="auto"/>
                <w:sz w:val="21"/>
                <w:szCs w:val="21"/>
                <w:highlight w:val="none"/>
              </w:rPr>
              <w:t>，否则不得分。</w:t>
            </w:r>
          </w:p>
        </w:tc>
        <w:tc>
          <w:tcPr>
            <w:tcW w:w="992" w:type="dxa"/>
            <w:noWrap w:val="0"/>
            <w:tcMar>
              <w:top w:w="57" w:type="dxa"/>
              <w:left w:w="57" w:type="dxa"/>
              <w:bottom w:w="57" w:type="dxa"/>
              <w:right w:w="57" w:type="dxa"/>
            </w:tcMar>
            <w:vAlign w:val="center"/>
          </w:tcPr>
          <w:p>
            <w:pPr>
              <w:jc w:val="center"/>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14</w:t>
            </w:r>
          </w:p>
        </w:tc>
        <w:tc>
          <w:tcPr>
            <w:tcW w:w="2358" w:type="dxa"/>
            <w:noWrap w:val="0"/>
            <w:tcMar>
              <w:top w:w="57" w:type="dxa"/>
              <w:left w:w="57" w:type="dxa"/>
              <w:bottom w:w="57" w:type="dxa"/>
              <w:right w:w="57"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企业荣誉</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rPr>
            </w:pPr>
            <w:r>
              <w:rPr>
                <w:rFonts w:hint="eastAsia" w:ascii="宋体" w:hAnsi="宋体"/>
                <w:color w:val="auto"/>
                <w:szCs w:val="21"/>
                <w:highlight w:val="none"/>
              </w:rPr>
              <w:t>获得</w:t>
            </w:r>
            <w:r>
              <w:rPr>
                <w:rFonts w:hint="eastAsia" w:ascii="宋体" w:hAnsi="宋体"/>
                <w:color w:val="auto"/>
                <w:szCs w:val="21"/>
                <w:highlight w:val="none"/>
                <w:lang w:eastAsia="zh-CN"/>
              </w:rPr>
              <w:t>区</w:t>
            </w:r>
            <w:r>
              <w:rPr>
                <w:rFonts w:hint="eastAsia" w:ascii="宋体" w:hAnsi="宋体"/>
                <w:color w:val="auto"/>
                <w:szCs w:val="21"/>
                <w:highlight w:val="none"/>
              </w:rPr>
              <w:t>级及以上政府行政部门</w:t>
            </w:r>
            <w:r>
              <w:rPr>
                <w:rFonts w:hint="eastAsia" w:ascii="宋体" w:hAnsi="宋体"/>
                <w:color w:val="auto"/>
                <w:szCs w:val="21"/>
                <w:highlight w:val="none"/>
                <w:lang w:val="en-US" w:eastAsia="zh-CN"/>
              </w:rPr>
              <w:t>颁发</w:t>
            </w:r>
            <w:r>
              <w:rPr>
                <w:rFonts w:hint="eastAsia" w:ascii="宋体" w:hAnsi="宋体"/>
                <w:color w:val="auto"/>
                <w:szCs w:val="21"/>
                <w:highlight w:val="none"/>
              </w:rPr>
              <w:t>安保服务类通报表彰或文件表彰的，得2分</w:t>
            </w:r>
          </w:p>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投标文件中提供相关材料</w:t>
            </w:r>
            <w:r>
              <w:rPr>
                <w:rFonts w:hint="eastAsia" w:ascii="宋体" w:hAnsi="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 xml:space="preserve"> </w:t>
            </w:r>
          </w:p>
        </w:tc>
        <w:tc>
          <w:tcPr>
            <w:tcW w:w="992" w:type="dxa"/>
            <w:noWrap w:val="0"/>
            <w:tcMar>
              <w:top w:w="57" w:type="dxa"/>
              <w:left w:w="57" w:type="dxa"/>
              <w:bottom w:w="57" w:type="dxa"/>
              <w:right w:w="57" w:type="dxa"/>
            </w:tcMar>
            <w:vAlign w:val="center"/>
          </w:tcPr>
          <w:p>
            <w:pPr>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2358" w:type="dxa"/>
            <w:noWrap w:val="0"/>
            <w:tcMar>
              <w:top w:w="57" w:type="dxa"/>
              <w:left w:w="57" w:type="dxa"/>
              <w:bottom w:w="57" w:type="dxa"/>
              <w:right w:w="57" w:type="dxa"/>
            </w:tcMar>
            <w:vAlign w:val="center"/>
          </w:tcPr>
          <w:p>
            <w:pPr>
              <w:jc w:val="center"/>
              <w:rPr>
                <w:rFonts w:hint="eastAsia" w:ascii="宋体" w:hAnsi="宋体" w:cs="宋体"/>
                <w:color w:val="auto"/>
                <w:sz w:val="21"/>
                <w:szCs w:val="21"/>
                <w:highlight w:val="none"/>
                <w:lang w:val="en-US" w:eastAsia="zh-CN"/>
              </w:rPr>
            </w:pPr>
            <w:r>
              <w:rPr>
                <w:rFonts w:hint="eastAsia" w:ascii="宋体" w:hAnsi="宋体"/>
                <w:color w:val="auto"/>
                <w:szCs w:val="21"/>
                <w:highlight w:val="none"/>
                <w:lang w:eastAsia="zh-CN"/>
              </w:rPr>
              <w:t>信用评价</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lang w:eastAsia="zh-CN"/>
              </w:rPr>
            </w:pPr>
            <w:r>
              <w:rPr>
                <w:rFonts w:hint="eastAsia" w:ascii="宋体" w:hAnsi="宋体"/>
                <w:color w:val="auto"/>
                <w:szCs w:val="21"/>
                <w:highlight w:val="none"/>
                <w:lang w:val="en-US" w:eastAsia="zh-CN"/>
              </w:rPr>
              <w:t>获得</w:t>
            </w:r>
            <w:r>
              <w:rPr>
                <w:rFonts w:hint="eastAsia" w:ascii="宋体" w:hAnsi="宋体"/>
                <w:color w:val="auto"/>
                <w:szCs w:val="21"/>
                <w:highlight w:val="none"/>
                <w:lang w:eastAsia="zh-CN"/>
              </w:rPr>
              <w:t>公安部门关于保安服务企业信用的评价。</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A级得4分，B级得2分，C级及以下不得分。</w:t>
            </w:r>
          </w:p>
          <w:p>
            <w:pPr>
              <w:rPr>
                <w:rFonts w:hint="eastAsia" w:ascii="宋体" w:hAnsi="宋体" w:cs="宋体"/>
                <w:b/>
                <w:bCs/>
                <w:color w:val="auto"/>
                <w:sz w:val="21"/>
                <w:szCs w:val="21"/>
                <w:highlight w:val="none"/>
                <w:lang w:val="en-US" w:eastAsia="zh-CN"/>
              </w:rPr>
            </w:pPr>
            <w:r>
              <w:rPr>
                <w:rFonts w:hint="eastAsia" w:ascii="宋体" w:hAnsi="宋体"/>
                <w:b/>
                <w:bCs/>
                <w:color w:val="auto"/>
                <w:szCs w:val="21"/>
                <w:highlight w:val="none"/>
                <w:lang w:val="en-US" w:eastAsia="zh-CN"/>
              </w:rPr>
              <w:t>投标文件中提供浙里办APP或公安</w:t>
            </w:r>
            <w:r>
              <w:rPr>
                <w:rFonts w:hint="eastAsia" w:ascii="宋体" w:hAnsi="宋体"/>
                <w:b/>
                <w:bCs/>
                <w:color w:val="auto"/>
                <w:szCs w:val="21"/>
                <w:highlight w:val="none"/>
                <w:lang w:val="en-US" w:eastAsia="zh-CN"/>
              </w:rPr>
              <w:t>部门</w:t>
            </w:r>
            <w:r>
              <w:rPr>
                <w:rFonts w:hint="eastAsia" w:ascii="宋体" w:hAnsi="宋体"/>
                <w:b/>
                <w:bCs/>
                <w:color w:val="auto"/>
                <w:szCs w:val="21"/>
                <w:highlight w:val="none"/>
                <w:lang w:val="en-US" w:eastAsia="zh-CN"/>
              </w:rPr>
              <w:t>官方网站截图</w:t>
            </w:r>
            <w:r>
              <w:rPr>
                <w:rFonts w:hint="eastAsia" w:ascii="宋体" w:hAnsi="宋体"/>
                <w:b/>
                <w:bCs/>
                <w:color w:val="auto"/>
                <w:szCs w:val="21"/>
                <w:highlight w:val="none"/>
                <w:lang w:val="en-US" w:eastAsia="zh-CN"/>
              </w:rPr>
              <w:t>。</w:t>
            </w:r>
          </w:p>
        </w:tc>
        <w:tc>
          <w:tcPr>
            <w:tcW w:w="992" w:type="dxa"/>
            <w:noWrap w:val="0"/>
            <w:tcMar>
              <w:top w:w="57" w:type="dxa"/>
              <w:left w:w="57" w:type="dxa"/>
              <w:bottom w:w="57" w:type="dxa"/>
              <w:right w:w="57" w:type="dxa"/>
            </w:tcMar>
            <w:vAlign w:val="center"/>
          </w:tcPr>
          <w:p>
            <w:pPr>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16</w:t>
            </w:r>
          </w:p>
        </w:tc>
        <w:tc>
          <w:tcPr>
            <w:tcW w:w="2358" w:type="dxa"/>
            <w:noWrap w:val="0"/>
            <w:tcMar>
              <w:top w:w="57" w:type="dxa"/>
              <w:left w:w="57" w:type="dxa"/>
              <w:bottom w:w="57" w:type="dxa"/>
              <w:right w:w="57"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332" w:type="dxa"/>
            <w:noWrap w:val="0"/>
            <w:tcMar>
              <w:top w:w="85" w:type="dxa"/>
              <w:left w:w="57" w:type="dxa"/>
              <w:bottom w:w="85" w:type="dxa"/>
              <w:right w:w="57"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每</w:t>
            </w:r>
            <w:r>
              <w:rPr>
                <w:rFonts w:hint="eastAsia" w:ascii="宋体" w:hAnsi="宋体" w:eastAsia="宋体" w:cs="宋体"/>
                <w:color w:val="auto"/>
                <w:sz w:val="21"/>
                <w:szCs w:val="21"/>
                <w:highlight w:val="none"/>
              </w:rPr>
              <w:t>提供一个类似业绩的证明材料，得1分，本项最高得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cs="宋体"/>
                <w:color w:val="auto"/>
                <w:sz w:val="21"/>
                <w:szCs w:val="21"/>
                <w:highlight w:val="none"/>
                <w:lang w:val="en-US" w:eastAsia="zh-CN"/>
              </w:rPr>
              <w:t>①承接过校园保安服务项目</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rPr>
              <w:t>证明材料：</w:t>
            </w:r>
            <w:r>
              <w:rPr>
                <w:rFonts w:hint="eastAsia" w:ascii="宋体" w:hAnsi="宋体" w:eastAsia="宋体" w:cs="宋体"/>
                <w:b w:val="0"/>
                <w:bCs/>
                <w:color w:val="auto"/>
                <w:kern w:val="0"/>
                <w:sz w:val="21"/>
                <w:szCs w:val="21"/>
                <w:highlight w:val="none"/>
              </w:rPr>
              <w:t>在投标文件中提供</w:t>
            </w:r>
            <w:r>
              <w:rPr>
                <w:rFonts w:hint="eastAsia" w:ascii="宋体" w:hAnsi="宋体" w:eastAsia="宋体" w:cs="宋体"/>
                <w:b w:val="0"/>
                <w:bCs/>
                <w:color w:val="auto"/>
                <w:kern w:val="0"/>
                <w:sz w:val="21"/>
                <w:szCs w:val="21"/>
                <w:highlight w:val="none"/>
              </w:rPr>
              <w:t>合同</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cs="宋体"/>
                <w:b w:val="0"/>
                <w:bCs/>
                <w:color w:val="auto"/>
                <w:kern w:val="0"/>
                <w:sz w:val="21"/>
                <w:szCs w:val="21"/>
                <w:highlight w:val="none"/>
                <w:lang w:val="en-US" w:eastAsia="zh-CN"/>
              </w:rPr>
              <w:t>和</w:t>
            </w:r>
            <w:r>
              <w:rPr>
                <w:rFonts w:hint="eastAsia" w:ascii="宋体" w:hAnsi="宋体" w:eastAsia="宋体" w:cs="宋体"/>
                <w:b w:val="0"/>
                <w:bCs/>
                <w:color w:val="auto"/>
                <w:kern w:val="0"/>
                <w:sz w:val="21"/>
                <w:szCs w:val="21"/>
                <w:highlight w:val="none"/>
              </w:rPr>
              <w:t>业主单位出具的合同履行良好的证明材料</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eastAsia="宋体" w:cs="宋体"/>
                <w:b w:val="0"/>
                <w:bCs/>
                <w:color w:val="auto"/>
                <w:sz w:val="21"/>
                <w:szCs w:val="21"/>
                <w:highlight w:val="none"/>
              </w:rPr>
              <w:t>，</w:t>
            </w:r>
            <w:r>
              <w:rPr>
                <w:rFonts w:hint="eastAsia" w:ascii="宋体" w:hAnsi="宋体" w:eastAsia="宋体" w:cs="宋体"/>
                <w:b w:val="0"/>
                <w:bCs w:val="0"/>
                <w:color w:val="auto"/>
                <w:sz w:val="21"/>
                <w:szCs w:val="21"/>
                <w:highlight w:val="none"/>
                <w:lang w:val="en-US" w:eastAsia="zh-CN"/>
              </w:rPr>
              <w:t>合同和</w:t>
            </w:r>
            <w:r>
              <w:rPr>
                <w:rFonts w:hint="eastAsia" w:ascii="宋体" w:hAnsi="宋体" w:cs="宋体"/>
                <w:b w:val="0"/>
                <w:bCs w:val="0"/>
                <w:color w:val="auto"/>
                <w:sz w:val="21"/>
                <w:szCs w:val="21"/>
                <w:highlight w:val="none"/>
                <w:lang w:val="en-US" w:eastAsia="zh-CN"/>
              </w:rPr>
              <w:t>履约</w:t>
            </w:r>
            <w:r>
              <w:rPr>
                <w:rFonts w:hint="eastAsia" w:ascii="宋体" w:hAnsi="宋体" w:eastAsia="宋体" w:cs="宋体"/>
                <w:b w:val="0"/>
                <w:bCs w:val="0"/>
                <w:color w:val="auto"/>
                <w:sz w:val="21"/>
                <w:szCs w:val="21"/>
                <w:highlight w:val="none"/>
                <w:lang w:val="en-US" w:eastAsia="zh-CN"/>
              </w:rPr>
              <w:t>证明缺一不可，否则不得分。</w:t>
            </w:r>
          </w:p>
        </w:tc>
        <w:tc>
          <w:tcPr>
            <w:tcW w:w="992" w:type="dxa"/>
            <w:noWrap w:val="0"/>
            <w:tcMar>
              <w:top w:w="57" w:type="dxa"/>
              <w:left w:w="57" w:type="dxa"/>
              <w:bottom w:w="57" w:type="dxa"/>
              <w:right w:w="57" w:type="dxa"/>
            </w:tcMar>
            <w:vAlign w:val="center"/>
          </w:tcPr>
          <w:p>
            <w:pPr>
              <w:jc w:val="center"/>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17</w:t>
            </w:r>
          </w:p>
        </w:tc>
        <w:tc>
          <w:tcPr>
            <w:tcW w:w="2358" w:type="dxa"/>
            <w:noWrap w:val="0"/>
            <w:tcMar>
              <w:top w:w="57" w:type="dxa"/>
              <w:left w:w="57" w:type="dxa"/>
              <w:bottom w:w="57" w:type="dxa"/>
              <w:right w:w="57" w:type="dxa"/>
            </w:tcMar>
            <w:vAlign w:val="center"/>
          </w:tcPr>
          <w:p>
            <w:pPr>
              <w:jc w:val="center"/>
              <w:rPr>
                <w:rFonts w:ascii="宋体" w:hAnsi="宋体"/>
                <w:color w:val="auto"/>
                <w:szCs w:val="21"/>
                <w:highlight w:val="none"/>
              </w:rPr>
            </w:pPr>
            <w:r>
              <w:rPr>
                <w:rFonts w:hint="eastAsia" w:ascii="宋体" w:hAnsi="宋体"/>
                <w:color w:val="auto"/>
                <w:szCs w:val="21"/>
                <w:highlight w:val="none"/>
              </w:rPr>
              <w:t>现场陈述</w:t>
            </w: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5332" w:type="dxa"/>
            <w:noWrap w:val="0"/>
            <w:tcMar>
              <w:top w:w="85" w:type="dxa"/>
              <w:left w:w="57" w:type="dxa"/>
              <w:bottom w:w="85" w:type="dxa"/>
              <w:right w:w="57" w:type="dxa"/>
            </w:tcMar>
            <w:vAlign w:val="center"/>
          </w:tcPr>
          <w:p>
            <w:pPr>
              <w:rPr>
                <w:rFonts w:hint="eastAsia" w:ascii="宋体" w:hAnsi="宋体"/>
                <w:color w:val="auto"/>
                <w:szCs w:val="21"/>
                <w:highlight w:val="none"/>
              </w:rPr>
            </w:pPr>
            <w:r>
              <w:rPr>
                <w:rFonts w:hint="eastAsia" w:ascii="宋体" w:hAnsi="宋体"/>
                <w:color w:val="auto"/>
                <w:szCs w:val="21"/>
                <w:highlight w:val="none"/>
              </w:rPr>
              <w:t>根据现场陈述人员的陈述表现进行相对评比。</w:t>
            </w:r>
          </w:p>
          <w:p>
            <w:pPr>
              <w:rPr>
                <w:rFonts w:hint="eastAsia" w:ascii="宋体" w:hAnsi="宋体"/>
                <w:color w:val="auto"/>
                <w:szCs w:val="21"/>
                <w:highlight w:val="none"/>
              </w:rPr>
            </w:pPr>
            <w:r>
              <w:rPr>
                <w:rFonts w:hint="eastAsia" w:ascii="宋体" w:hAnsi="宋体"/>
                <w:color w:val="auto"/>
                <w:szCs w:val="21"/>
                <w:highlight w:val="none"/>
              </w:rPr>
              <w:t>优秀标准：</w:t>
            </w:r>
          </w:p>
          <w:p>
            <w:pPr>
              <w:rPr>
                <w:rFonts w:ascii="宋体" w:hAnsi="宋体"/>
                <w:color w:val="auto"/>
                <w:szCs w:val="21"/>
                <w:highlight w:val="none"/>
              </w:rPr>
            </w:pPr>
            <w:r>
              <w:rPr>
                <w:rFonts w:hint="eastAsia" w:ascii="宋体" w:hAnsi="宋体"/>
                <w:color w:val="auto"/>
                <w:szCs w:val="21"/>
                <w:highlight w:val="none"/>
              </w:rPr>
              <w:t>对本项目的理解和熟悉程度高，项目针对性强；</w:t>
            </w:r>
          </w:p>
          <w:p>
            <w:pPr>
              <w:rPr>
                <w:rFonts w:hint="eastAsia" w:ascii="宋体" w:hAnsi="宋体"/>
                <w:color w:val="auto"/>
                <w:szCs w:val="21"/>
                <w:highlight w:val="none"/>
              </w:rPr>
            </w:pPr>
            <w:r>
              <w:rPr>
                <w:rFonts w:hint="eastAsia" w:ascii="宋体" w:hAnsi="宋体"/>
                <w:color w:val="auto"/>
                <w:szCs w:val="21"/>
                <w:highlight w:val="none"/>
              </w:rPr>
              <w:t>管理目标明确，工作思路清晰，并能根据项目的特点提出具体的管理设想；</w:t>
            </w:r>
          </w:p>
          <w:p>
            <w:pPr>
              <w:rPr>
                <w:rFonts w:hint="eastAsia" w:ascii="宋体" w:hAnsi="宋体"/>
                <w:color w:val="auto"/>
                <w:szCs w:val="21"/>
                <w:highlight w:val="none"/>
              </w:rPr>
            </w:pPr>
            <w:r>
              <w:rPr>
                <w:rFonts w:hint="eastAsia" w:ascii="宋体" w:hAnsi="宋体"/>
                <w:color w:val="auto"/>
                <w:szCs w:val="21"/>
                <w:highlight w:val="none"/>
              </w:rPr>
              <w:t>管理服务有特点，工作重点突出；</w:t>
            </w:r>
          </w:p>
          <w:p>
            <w:pPr>
              <w:rPr>
                <w:rFonts w:ascii="宋体" w:hAnsi="宋体"/>
                <w:color w:val="auto"/>
                <w:szCs w:val="21"/>
                <w:highlight w:val="none"/>
              </w:rPr>
            </w:pPr>
            <w:r>
              <w:rPr>
                <w:rFonts w:hint="eastAsia" w:ascii="宋体" w:hAnsi="宋体"/>
                <w:color w:val="auto"/>
                <w:szCs w:val="21"/>
                <w:highlight w:val="none"/>
              </w:rPr>
              <w:t>对应急突发事件的认识全面及处理方式合理；</w:t>
            </w:r>
          </w:p>
          <w:p>
            <w:pPr>
              <w:rPr>
                <w:rFonts w:ascii="宋体" w:hAnsi="宋体"/>
                <w:color w:val="auto"/>
                <w:szCs w:val="21"/>
                <w:highlight w:val="none"/>
              </w:rPr>
            </w:pPr>
            <w:r>
              <w:rPr>
                <w:rFonts w:hint="eastAsia" w:ascii="宋体" w:hAnsi="宋体"/>
                <w:color w:val="auto"/>
                <w:szCs w:val="21"/>
                <w:highlight w:val="none"/>
              </w:rPr>
              <w:t xml:space="preserve">陈述人仪容仪表和精神面貌良好； </w:t>
            </w:r>
          </w:p>
          <w:p>
            <w:pPr>
              <w:rPr>
                <w:rFonts w:hint="eastAsia" w:ascii="宋体" w:hAnsi="宋体"/>
                <w:color w:val="auto"/>
                <w:szCs w:val="21"/>
                <w:highlight w:val="none"/>
              </w:rPr>
            </w:pPr>
            <w:r>
              <w:rPr>
                <w:rFonts w:hint="eastAsia" w:ascii="宋体" w:hAnsi="宋体"/>
                <w:color w:val="auto"/>
                <w:szCs w:val="21"/>
                <w:highlight w:val="none"/>
              </w:rPr>
              <w:t>各项管理服务承诺切实可行。</w:t>
            </w:r>
          </w:p>
          <w:p>
            <w:pPr>
              <w:rPr>
                <w:rFonts w:hint="eastAsia" w:ascii="宋体" w:hAnsi="宋体"/>
                <w:b/>
                <w:color w:val="auto"/>
                <w:szCs w:val="21"/>
                <w:highlight w:val="none"/>
              </w:rPr>
            </w:pPr>
            <w:r>
              <w:rPr>
                <w:rFonts w:hint="eastAsia" w:ascii="宋体" w:hAnsi="宋体"/>
                <w:b/>
                <w:color w:val="auto"/>
                <w:szCs w:val="21"/>
                <w:highlight w:val="none"/>
              </w:rPr>
              <w:t>参加现场陈述人数不得超过3人，陈述时间不超过15分钟。所有参加现场陈述的人员必须为投标单位现有在职职工，需在投标文件中提供投标人为其交纳社保的证明材料，并出示本人身份证，否则此项不得分。</w:t>
            </w:r>
          </w:p>
          <w:p>
            <w:pPr>
              <w:rPr>
                <w:rFonts w:ascii="宋体" w:hAnsi="宋体"/>
                <w:b/>
                <w:color w:val="auto"/>
                <w:szCs w:val="21"/>
                <w:highlight w:val="none"/>
              </w:rPr>
            </w:pPr>
            <w:r>
              <w:rPr>
                <w:rFonts w:hint="eastAsia" w:ascii="宋体" w:hAnsi="宋体"/>
                <w:b/>
                <w:color w:val="auto"/>
                <w:szCs w:val="21"/>
                <w:highlight w:val="none"/>
              </w:rPr>
              <w:t>拟派项目经理（项目负责人）必须到场，不进行现场陈述的或项目经理不到场的，投标无效。</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2" w:type="dxa"/>
            <w:gridSpan w:val="4"/>
            <w:noWrap w:val="0"/>
            <w:tcMar>
              <w:top w:w="57" w:type="dxa"/>
              <w:left w:w="57" w:type="dxa"/>
              <w:bottom w:w="57" w:type="dxa"/>
              <w:right w:w="57" w:type="dxa"/>
            </w:tcMar>
            <w:vAlign w:val="center"/>
          </w:tcPr>
          <w:p>
            <w:pPr>
              <w:jc w:val="center"/>
              <w:rPr>
                <w:rFonts w:ascii="宋体" w:hAnsi="宋体"/>
                <w:b/>
                <w:color w:val="auto"/>
                <w:szCs w:val="21"/>
                <w:highlight w:val="none"/>
              </w:rPr>
            </w:pPr>
            <w:r>
              <w:rPr>
                <w:rFonts w:hint="eastAsia" w:ascii="宋体" w:hAnsi="宋体"/>
                <w:b/>
                <w:color w:val="auto"/>
                <w:szCs w:val="21"/>
                <w:highlight w:val="none"/>
              </w:rPr>
              <w:t>商务报价部分</w:t>
            </w:r>
            <w:r>
              <w:rPr>
                <w:rFonts w:hint="eastAsia" w:ascii="宋体" w:hAnsi="宋体"/>
                <w:b/>
                <w:color w:val="auto"/>
                <w:szCs w:val="21"/>
                <w:highlight w:val="none"/>
                <w:lang w:val="en-US" w:eastAsia="zh-CN"/>
              </w:rPr>
              <w:t>15</w:t>
            </w:r>
            <w:r>
              <w:rPr>
                <w:rFonts w:hint="eastAsia" w:ascii="宋体" w:hAnsi="宋体"/>
                <w:b/>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68"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18</w:t>
            </w:r>
          </w:p>
        </w:tc>
        <w:tc>
          <w:tcPr>
            <w:tcW w:w="8682" w:type="dxa"/>
            <w:gridSpan w:val="3"/>
            <w:noWrap w:val="0"/>
            <w:tcMar>
              <w:top w:w="57" w:type="dxa"/>
              <w:left w:w="57" w:type="dxa"/>
              <w:bottom w:w="57" w:type="dxa"/>
              <w:right w:w="57" w:type="dxa"/>
            </w:tcMar>
            <w:vAlign w:val="center"/>
          </w:tcPr>
          <w:p>
            <w:pPr>
              <w:rPr>
                <w:rFonts w:hint="eastAsia" w:ascii="宋体" w:hAnsi="宋体"/>
                <w:color w:val="auto"/>
                <w:szCs w:val="21"/>
                <w:highlight w:val="none"/>
              </w:rPr>
            </w:pPr>
            <w:r>
              <w:rPr>
                <w:rFonts w:hint="eastAsia" w:ascii="宋体" w:hAnsi="宋体"/>
                <w:color w:val="auto"/>
                <w:szCs w:val="21"/>
                <w:highlight w:val="none"/>
              </w:rPr>
              <w:t>参与评审的价格中最低的为评标基准价</w:t>
            </w:r>
          </w:p>
          <w:p>
            <w:pPr>
              <w:rPr>
                <w:rFonts w:hint="eastAsia" w:ascii="宋体" w:hAnsi="宋体"/>
                <w:color w:val="auto"/>
                <w:szCs w:val="21"/>
                <w:highlight w:val="none"/>
              </w:rPr>
            </w:pPr>
            <w:r>
              <w:rPr>
                <w:rFonts w:hint="eastAsia" w:ascii="宋体" w:hAnsi="宋体"/>
                <w:color w:val="auto"/>
                <w:szCs w:val="21"/>
                <w:highlight w:val="none"/>
              </w:rPr>
              <w:t>基准价得分：</w:t>
            </w:r>
            <w:r>
              <w:rPr>
                <w:rFonts w:hint="eastAsia" w:ascii="宋体" w:hAnsi="宋体"/>
                <w:color w:val="auto"/>
                <w:szCs w:val="21"/>
                <w:highlight w:val="none"/>
                <w:lang w:val="en-US" w:eastAsia="zh-CN"/>
              </w:rPr>
              <w:t>15</w:t>
            </w:r>
            <w:r>
              <w:rPr>
                <w:rFonts w:hint="eastAsia" w:ascii="宋体" w:hAnsi="宋体"/>
                <w:color w:val="auto"/>
                <w:szCs w:val="21"/>
                <w:highlight w:val="none"/>
              </w:rPr>
              <w:t>分</w:t>
            </w:r>
          </w:p>
          <w:p>
            <w:pPr>
              <w:rPr>
                <w:rFonts w:hint="eastAsia" w:ascii="宋体" w:hAnsi="宋体"/>
                <w:color w:val="auto"/>
                <w:szCs w:val="21"/>
                <w:highlight w:val="none"/>
              </w:rPr>
            </w:pPr>
            <w:r>
              <w:rPr>
                <w:rFonts w:hint="eastAsia" w:ascii="宋体" w:hAnsi="宋体"/>
                <w:color w:val="auto"/>
                <w:szCs w:val="21"/>
                <w:highlight w:val="none"/>
              </w:rPr>
              <w:t>其他供应商的价格分按照下列公式计算：</w:t>
            </w:r>
          </w:p>
          <w:p>
            <w:pPr>
              <w:rPr>
                <w:rFonts w:hint="default" w:ascii="宋体" w:hAnsi="宋体" w:eastAsia="宋体"/>
                <w:color w:val="auto"/>
                <w:szCs w:val="21"/>
                <w:highlight w:val="none"/>
                <w:lang w:val="en-US" w:eastAsia="zh-CN"/>
              </w:rPr>
            </w:pPr>
            <w:r>
              <w:rPr>
                <w:rFonts w:hint="eastAsia" w:ascii="宋体" w:hAnsi="宋体"/>
                <w:color w:val="auto"/>
                <w:szCs w:val="21"/>
                <w:highlight w:val="none"/>
              </w:rPr>
              <w:t>报价得分＝（评标基准价/参与评审的价格）×</w:t>
            </w:r>
            <w:r>
              <w:rPr>
                <w:rFonts w:hint="eastAsia" w:ascii="宋体" w:hAnsi="宋体"/>
                <w:color w:val="auto"/>
                <w:szCs w:val="21"/>
                <w:highlight w:val="none"/>
                <w:lang w:val="en-US" w:eastAsia="zh-CN"/>
              </w:rPr>
              <w:t>15</w:t>
            </w:r>
          </w:p>
          <w:p>
            <w:pPr>
              <w:rPr>
                <w:rFonts w:hint="eastAsia" w:ascii="宋体" w:hAnsi="宋体"/>
                <w:color w:val="auto"/>
                <w:szCs w:val="21"/>
                <w:highlight w:val="none"/>
              </w:rPr>
            </w:pPr>
            <w:r>
              <w:rPr>
                <w:rFonts w:hint="eastAsia" w:ascii="宋体" w:hAnsi="宋体"/>
                <w:color w:val="auto"/>
                <w:szCs w:val="21"/>
                <w:highlight w:val="none"/>
              </w:rPr>
              <w:t>注：投标人的报价超过最高限价（不含最高限价）的作为无效报价。</w:t>
            </w:r>
          </w:p>
          <w:p>
            <w:pPr>
              <w:rPr>
                <w:rFonts w:ascii="宋体" w:hAnsi="宋体"/>
                <w:color w:val="auto"/>
                <w:szCs w:val="21"/>
                <w:highlight w:val="none"/>
              </w:rPr>
            </w:pPr>
            <w:r>
              <w:rPr>
                <w:rFonts w:hint="eastAsia" w:ascii="宋体" w:hAnsi="宋体"/>
                <w:color w:val="auto"/>
                <w:szCs w:val="21"/>
                <w:highlight w:val="none"/>
              </w:rPr>
              <w:t>人员基本工资不得低于本年度宁波市最低劳动工资，否则作无效报价处理。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宋体" w:hAnsi="宋体" w:eastAsia="宋体"/>
        <w:lang w:eastAsia="zh-CN"/>
      </w:rPr>
    </w:pPr>
    <w:r>
      <w:rPr>
        <w:rFonts w:hint="eastAsia" w:ascii="宋体" w:hAnsi="宋体"/>
      </w:rPr>
      <w:t>项目名称：</w:t>
    </w:r>
    <w:r>
      <w:rPr>
        <w:rFonts w:hint="eastAsia" w:ascii="宋体" w:hAnsi="宋体"/>
        <w:lang w:eastAsia="zh-CN"/>
      </w:rPr>
      <w:t>北仑区校园保安服务</w:t>
    </w:r>
    <w:r>
      <w:rPr>
        <w:rFonts w:hint="eastAsia" w:ascii="宋体" w:hAnsi="宋体"/>
      </w:rPr>
      <w:t xml:space="preserve">                                  </w:t>
    </w:r>
    <w:r>
      <w:rPr>
        <w:rFonts w:hint="eastAsia" w:ascii="宋体" w:hAnsi="宋体"/>
        <w:lang w:val="en-US" w:eastAsia="zh-CN"/>
      </w:rPr>
      <w:t xml:space="preserve">             </w:t>
    </w:r>
    <w:r>
      <w:rPr>
        <w:rFonts w:hint="eastAsia" w:ascii="宋体" w:hAnsi="宋体"/>
      </w:rPr>
      <w:t>项目编号：</w:t>
    </w:r>
    <w:r>
      <w:rPr>
        <w:rFonts w:hint="eastAsia" w:ascii="宋体" w:hAnsi="宋体"/>
        <w:lang w:eastAsia="zh-CN"/>
      </w:rPr>
      <w:t>BLZFCG2023050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95073"/>
    <w:multiLevelType w:val="singleLevel"/>
    <w:tmpl w:val="7C095073"/>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118F"/>
    <w:rsid w:val="001450C6"/>
    <w:rsid w:val="001B417A"/>
    <w:rsid w:val="001E0CA7"/>
    <w:rsid w:val="002878C2"/>
    <w:rsid w:val="002C0E4C"/>
    <w:rsid w:val="00497742"/>
    <w:rsid w:val="004E0E28"/>
    <w:rsid w:val="005700E9"/>
    <w:rsid w:val="006A2BBF"/>
    <w:rsid w:val="006F4EA6"/>
    <w:rsid w:val="0070020E"/>
    <w:rsid w:val="00723F96"/>
    <w:rsid w:val="00871EA8"/>
    <w:rsid w:val="00895663"/>
    <w:rsid w:val="008A0066"/>
    <w:rsid w:val="00961685"/>
    <w:rsid w:val="00970FAA"/>
    <w:rsid w:val="00A30CB3"/>
    <w:rsid w:val="00A4772F"/>
    <w:rsid w:val="00AA573D"/>
    <w:rsid w:val="00B728A5"/>
    <w:rsid w:val="00BB26DA"/>
    <w:rsid w:val="00BF693D"/>
    <w:rsid w:val="00CC07EC"/>
    <w:rsid w:val="00CC1E09"/>
    <w:rsid w:val="00CE7AF8"/>
    <w:rsid w:val="00D44C44"/>
    <w:rsid w:val="00E46C55"/>
    <w:rsid w:val="00E60A37"/>
    <w:rsid w:val="00F21B99"/>
    <w:rsid w:val="00F400A7"/>
    <w:rsid w:val="00F4016E"/>
    <w:rsid w:val="013A4489"/>
    <w:rsid w:val="01425064"/>
    <w:rsid w:val="01664C41"/>
    <w:rsid w:val="019C6C58"/>
    <w:rsid w:val="01B933AA"/>
    <w:rsid w:val="01E2776C"/>
    <w:rsid w:val="02391432"/>
    <w:rsid w:val="02842A7E"/>
    <w:rsid w:val="029047B6"/>
    <w:rsid w:val="02D6293B"/>
    <w:rsid w:val="02FA24BF"/>
    <w:rsid w:val="03070A8E"/>
    <w:rsid w:val="03163D9C"/>
    <w:rsid w:val="03191BCF"/>
    <w:rsid w:val="033502FD"/>
    <w:rsid w:val="03435A91"/>
    <w:rsid w:val="036B4D71"/>
    <w:rsid w:val="037B577A"/>
    <w:rsid w:val="03E6730B"/>
    <w:rsid w:val="03FA3367"/>
    <w:rsid w:val="03FE27DD"/>
    <w:rsid w:val="041E18CF"/>
    <w:rsid w:val="043F5274"/>
    <w:rsid w:val="04484C31"/>
    <w:rsid w:val="04756809"/>
    <w:rsid w:val="047B0A3C"/>
    <w:rsid w:val="04BA542B"/>
    <w:rsid w:val="04BA57BA"/>
    <w:rsid w:val="04C07991"/>
    <w:rsid w:val="04D17CC9"/>
    <w:rsid w:val="04D64DB1"/>
    <w:rsid w:val="04D7530F"/>
    <w:rsid w:val="04DE679D"/>
    <w:rsid w:val="04EB5C24"/>
    <w:rsid w:val="050677D8"/>
    <w:rsid w:val="0509588F"/>
    <w:rsid w:val="05102512"/>
    <w:rsid w:val="055B6EDA"/>
    <w:rsid w:val="05650F6C"/>
    <w:rsid w:val="056E6B3B"/>
    <w:rsid w:val="05780C54"/>
    <w:rsid w:val="057E6B35"/>
    <w:rsid w:val="058D70D4"/>
    <w:rsid w:val="0594203D"/>
    <w:rsid w:val="05B03ACD"/>
    <w:rsid w:val="05CD7AD2"/>
    <w:rsid w:val="05D3507C"/>
    <w:rsid w:val="05EC1945"/>
    <w:rsid w:val="060E3E53"/>
    <w:rsid w:val="06253790"/>
    <w:rsid w:val="063A520D"/>
    <w:rsid w:val="066A0AA1"/>
    <w:rsid w:val="067F5E23"/>
    <w:rsid w:val="06833C80"/>
    <w:rsid w:val="068F64E5"/>
    <w:rsid w:val="06941A0B"/>
    <w:rsid w:val="06B43BE8"/>
    <w:rsid w:val="06B85439"/>
    <w:rsid w:val="06D32A2E"/>
    <w:rsid w:val="06E96117"/>
    <w:rsid w:val="06FC191B"/>
    <w:rsid w:val="07074DF0"/>
    <w:rsid w:val="071C5C13"/>
    <w:rsid w:val="071F35FD"/>
    <w:rsid w:val="0740342C"/>
    <w:rsid w:val="077D4558"/>
    <w:rsid w:val="07A546C1"/>
    <w:rsid w:val="07AC5381"/>
    <w:rsid w:val="07B443F2"/>
    <w:rsid w:val="07DF5AEC"/>
    <w:rsid w:val="07EE7CA9"/>
    <w:rsid w:val="08734EB1"/>
    <w:rsid w:val="08A878F4"/>
    <w:rsid w:val="08AB620D"/>
    <w:rsid w:val="08DE1650"/>
    <w:rsid w:val="08F009B7"/>
    <w:rsid w:val="090D0587"/>
    <w:rsid w:val="09384E84"/>
    <w:rsid w:val="093F5D0F"/>
    <w:rsid w:val="0969543E"/>
    <w:rsid w:val="09805A2A"/>
    <w:rsid w:val="0992460A"/>
    <w:rsid w:val="09924D73"/>
    <w:rsid w:val="09976256"/>
    <w:rsid w:val="09BE54EE"/>
    <w:rsid w:val="09D07FED"/>
    <w:rsid w:val="09D71826"/>
    <w:rsid w:val="0A0E19ED"/>
    <w:rsid w:val="0A9C5906"/>
    <w:rsid w:val="0AA32829"/>
    <w:rsid w:val="0AAE057E"/>
    <w:rsid w:val="0ACA711F"/>
    <w:rsid w:val="0ADD1CA5"/>
    <w:rsid w:val="0AFF3E15"/>
    <w:rsid w:val="0B0C319B"/>
    <w:rsid w:val="0B393DBB"/>
    <w:rsid w:val="0B4124B3"/>
    <w:rsid w:val="0B4C12E6"/>
    <w:rsid w:val="0B624A04"/>
    <w:rsid w:val="0B672468"/>
    <w:rsid w:val="0B7D1D26"/>
    <w:rsid w:val="0B833327"/>
    <w:rsid w:val="0B8E056E"/>
    <w:rsid w:val="0BA93473"/>
    <w:rsid w:val="0BAC4891"/>
    <w:rsid w:val="0BBF0E37"/>
    <w:rsid w:val="0BE8747A"/>
    <w:rsid w:val="0C0D5F9F"/>
    <w:rsid w:val="0C6E0A26"/>
    <w:rsid w:val="0CAD3E44"/>
    <w:rsid w:val="0CED00A3"/>
    <w:rsid w:val="0CFC5BBC"/>
    <w:rsid w:val="0D01205A"/>
    <w:rsid w:val="0D2E340C"/>
    <w:rsid w:val="0D4732B1"/>
    <w:rsid w:val="0D6123DC"/>
    <w:rsid w:val="0D8D3C1E"/>
    <w:rsid w:val="0D90216F"/>
    <w:rsid w:val="0DB41252"/>
    <w:rsid w:val="0DD35A03"/>
    <w:rsid w:val="0DE7157B"/>
    <w:rsid w:val="0E5B31C8"/>
    <w:rsid w:val="0E644074"/>
    <w:rsid w:val="0E7F5C61"/>
    <w:rsid w:val="0E93723B"/>
    <w:rsid w:val="0E980D8D"/>
    <w:rsid w:val="0ED72C20"/>
    <w:rsid w:val="0F0100DA"/>
    <w:rsid w:val="0F1215F7"/>
    <w:rsid w:val="0F3908B1"/>
    <w:rsid w:val="0F3B659B"/>
    <w:rsid w:val="0F6350DD"/>
    <w:rsid w:val="0F780FB2"/>
    <w:rsid w:val="0F8260A1"/>
    <w:rsid w:val="0F87456B"/>
    <w:rsid w:val="0F977B11"/>
    <w:rsid w:val="0FCB2931"/>
    <w:rsid w:val="0FDF2A3C"/>
    <w:rsid w:val="0FE853C3"/>
    <w:rsid w:val="10275884"/>
    <w:rsid w:val="103E2E4D"/>
    <w:rsid w:val="105813F5"/>
    <w:rsid w:val="106C0C5C"/>
    <w:rsid w:val="10B04456"/>
    <w:rsid w:val="10B63D07"/>
    <w:rsid w:val="10CB4329"/>
    <w:rsid w:val="10DF6807"/>
    <w:rsid w:val="110A5891"/>
    <w:rsid w:val="11155938"/>
    <w:rsid w:val="11214408"/>
    <w:rsid w:val="112B0454"/>
    <w:rsid w:val="112F056E"/>
    <w:rsid w:val="11314455"/>
    <w:rsid w:val="11630C64"/>
    <w:rsid w:val="1171136D"/>
    <w:rsid w:val="11944960"/>
    <w:rsid w:val="11B40C2C"/>
    <w:rsid w:val="11B40C40"/>
    <w:rsid w:val="11F33485"/>
    <w:rsid w:val="12141B61"/>
    <w:rsid w:val="12440EC6"/>
    <w:rsid w:val="1245068D"/>
    <w:rsid w:val="12F07485"/>
    <w:rsid w:val="13145E0C"/>
    <w:rsid w:val="13376695"/>
    <w:rsid w:val="134469D4"/>
    <w:rsid w:val="135C1BE0"/>
    <w:rsid w:val="13673605"/>
    <w:rsid w:val="137F0401"/>
    <w:rsid w:val="138E44E3"/>
    <w:rsid w:val="13963BC6"/>
    <w:rsid w:val="1396463B"/>
    <w:rsid w:val="13E44328"/>
    <w:rsid w:val="13EE4ABC"/>
    <w:rsid w:val="140F0496"/>
    <w:rsid w:val="1410624E"/>
    <w:rsid w:val="141E4EB5"/>
    <w:rsid w:val="14495F5E"/>
    <w:rsid w:val="14577520"/>
    <w:rsid w:val="14796F4E"/>
    <w:rsid w:val="14B521D3"/>
    <w:rsid w:val="14BC1AC1"/>
    <w:rsid w:val="14BE5AF7"/>
    <w:rsid w:val="14DD5408"/>
    <w:rsid w:val="14DF54C8"/>
    <w:rsid w:val="15086C88"/>
    <w:rsid w:val="15101F55"/>
    <w:rsid w:val="151411CB"/>
    <w:rsid w:val="151843DF"/>
    <w:rsid w:val="151F4576"/>
    <w:rsid w:val="15247A71"/>
    <w:rsid w:val="15387F4B"/>
    <w:rsid w:val="15494556"/>
    <w:rsid w:val="158F5D58"/>
    <w:rsid w:val="15A844B7"/>
    <w:rsid w:val="15B33315"/>
    <w:rsid w:val="15BB2629"/>
    <w:rsid w:val="15C10DDB"/>
    <w:rsid w:val="15C162D5"/>
    <w:rsid w:val="15C35743"/>
    <w:rsid w:val="15DD560C"/>
    <w:rsid w:val="15F31AC3"/>
    <w:rsid w:val="15FA4D2C"/>
    <w:rsid w:val="163E107B"/>
    <w:rsid w:val="16407AD6"/>
    <w:rsid w:val="16527EBB"/>
    <w:rsid w:val="166915AD"/>
    <w:rsid w:val="16832281"/>
    <w:rsid w:val="16E3427B"/>
    <w:rsid w:val="16EA089D"/>
    <w:rsid w:val="16EC606C"/>
    <w:rsid w:val="17355FCF"/>
    <w:rsid w:val="176E1C79"/>
    <w:rsid w:val="177A6042"/>
    <w:rsid w:val="17820498"/>
    <w:rsid w:val="17AA72D2"/>
    <w:rsid w:val="17BE3E94"/>
    <w:rsid w:val="17BE5AF5"/>
    <w:rsid w:val="17EC683A"/>
    <w:rsid w:val="17F03EA7"/>
    <w:rsid w:val="17F17C59"/>
    <w:rsid w:val="18111D99"/>
    <w:rsid w:val="1822568E"/>
    <w:rsid w:val="1824534B"/>
    <w:rsid w:val="1829381A"/>
    <w:rsid w:val="18401FE8"/>
    <w:rsid w:val="184075FD"/>
    <w:rsid w:val="184D1FA1"/>
    <w:rsid w:val="18556E59"/>
    <w:rsid w:val="18787C15"/>
    <w:rsid w:val="187E017C"/>
    <w:rsid w:val="189649B3"/>
    <w:rsid w:val="189E21F5"/>
    <w:rsid w:val="18A1422E"/>
    <w:rsid w:val="18C754DD"/>
    <w:rsid w:val="18E72586"/>
    <w:rsid w:val="190F7AE6"/>
    <w:rsid w:val="19163C66"/>
    <w:rsid w:val="19183AB4"/>
    <w:rsid w:val="191F3160"/>
    <w:rsid w:val="198D4BBB"/>
    <w:rsid w:val="19A35444"/>
    <w:rsid w:val="19A64349"/>
    <w:rsid w:val="19A91F54"/>
    <w:rsid w:val="19E8490B"/>
    <w:rsid w:val="19EE4126"/>
    <w:rsid w:val="19FC3484"/>
    <w:rsid w:val="1A232E15"/>
    <w:rsid w:val="1A297FD2"/>
    <w:rsid w:val="1A31109A"/>
    <w:rsid w:val="1A340363"/>
    <w:rsid w:val="1A424041"/>
    <w:rsid w:val="1A436488"/>
    <w:rsid w:val="1A475519"/>
    <w:rsid w:val="1A4A42B1"/>
    <w:rsid w:val="1A677227"/>
    <w:rsid w:val="1A6B6437"/>
    <w:rsid w:val="1A955AFD"/>
    <w:rsid w:val="1AB5169E"/>
    <w:rsid w:val="1AB70653"/>
    <w:rsid w:val="1AC84749"/>
    <w:rsid w:val="1AF052B1"/>
    <w:rsid w:val="1AFF47EE"/>
    <w:rsid w:val="1B052B57"/>
    <w:rsid w:val="1B06344E"/>
    <w:rsid w:val="1B0E0471"/>
    <w:rsid w:val="1B126ABD"/>
    <w:rsid w:val="1B3547B1"/>
    <w:rsid w:val="1B3618E7"/>
    <w:rsid w:val="1B3F2E65"/>
    <w:rsid w:val="1B4068BC"/>
    <w:rsid w:val="1B5B0B10"/>
    <w:rsid w:val="1B64306D"/>
    <w:rsid w:val="1B6B4DB1"/>
    <w:rsid w:val="1B781D28"/>
    <w:rsid w:val="1B861BDC"/>
    <w:rsid w:val="1BBC3641"/>
    <w:rsid w:val="1BD063F1"/>
    <w:rsid w:val="1C391654"/>
    <w:rsid w:val="1C3A7381"/>
    <w:rsid w:val="1C482DED"/>
    <w:rsid w:val="1C4E792B"/>
    <w:rsid w:val="1C6339ED"/>
    <w:rsid w:val="1C7007E8"/>
    <w:rsid w:val="1C8E5A9E"/>
    <w:rsid w:val="1CC40005"/>
    <w:rsid w:val="1CC46F47"/>
    <w:rsid w:val="1CCB2653"/>
    <w:rsid w:val="1CCE184C"/>
    <w:rsid w:val="1CD8554E"/>
    <w:rsid w:val="1CE01EEC"/>
    <w:rsid w:val="1D027ADC"/>
    <w:rsid w:val="1D207934"/>
    <w:rsid w:val="1D251ECC"/>
    <w:rsid w:val="1D403BD3"/>
    <w:rsid w:val="1D555136"/>
    <w:rsid w:val="1D5B3465"/>
    <w:rsid w:val="1D5F6D56"/>
    <w:rsid w:val="1D7A6120"/>
    <w:rsid w:val="1D7C62F9"/>
    <w:rsid w:val="1D7E5055"/>
    <w:rsid w:val="1D8164C2"/>
    <w:rsid w:val="1D9938A2"/>
    <w:rsid w:val="1DCE1935"/>
    <w:rsid w:val="1DF10D10"/>
    <w:rsid w:val="1E25320C"/>
    <w:rsid w:val="1E334A61"/>
    <w:rsid w:val="1E5C6074"/>
    <w:rsid w:val="1E912928"/>
    <w:rsid w:val="1E955FDD"/>
    <w:rsid w:val="1EB6259B"/>
    <w:rsid w:val="1EC62D0C"/>
    <w:rsid w:val="1EDA5857"/>
    <w:rsid w:val="1EEC49E3"/>
    <w:rsid w:val="1EFE27F0"/>
    <w:rsid w:val="1F002369"/>
    <w:rsid w:val="1F076DED"/>
    <w:rsid w:val="1F103B84"/>
    <w:rsid w:val="1F3C64D2"/>
    <w:rsid w:val="1F837E72"/>
    <w:rsid w:val="1F8C20FE"/>
    <w:rsid w:val="1FB614BE"/>
    <w:rsid w:val="1FCE7D45"/>
    <w:rsid w:val="1FE86ED7"/>
    <w:rsid w:val="20031954"/>
    <w:rsid w:val="202D2518"/>
    <w:rsid w:val="203A6CF6"/>
    <w:rsid w:val="203D7E26"/>
    <w:rsid w:val="2041191C"/>
    <w:rsid w:val="20522900"/>
    <w:rsid w:val="2087037A"/>
    <w:rsid w:val="20B040D1"/>
    <w:rsid w:val="20C12551"/>
    <w:rsid w:val="20DC45BC"/>
    <w:rsid w:val="21190F27"/>
    <w:rsid w:val="2134008A"/>
    <w:rsid w:val="213B3AB2"/>
    <w:rsid w:val="21415167"/>
    <w:rsid w:val="21C40F15"/>
    <w:rsid w:val="21DD7F7D"/>
    <w:rsid w:val="21E02CC5"/>
    <w:rsid w:val="21E749B5"/>
    <w:rsid w:val="220F55B8"/>
    <w:rsid w:val="223F0C0C"/>
    <w:rsid w:val="2252374B"/>
    <w:rsid w:val="2259200A"/>
    <w:rsid w:val="22C30452"/>
    <w:rsid w:val="22DB32F4"/>
    <w:rsid w:val="22DF3701"/>
    <w:rsid w:val="22E43F69"/>
    <w:rsid w:val="230C783A"/>
    <w:rsid w:val="23554516"/>
    <w:rsid w:val="23780867"/>
    <w:rsid w:val="23825FD7"/>
    <w:rsid w:val="239148FA"/>
    <w:rsid w:val="23A351BE"/>
    <w:rsid w:val="23B03021"/>
    <w:rsid w:val="23BD0220"/>
    <w:rsid w:val="23D53A42"/>
    <w:rsid w:val="241743CC"/>
    <w:rsid w:val="2427319A"/>
    <w:rsid w:val="243C1A9A"/>
    <w:rsid w:val="243C4DD2"/>
    <w:rsid w:val="244535C3"/>
    <w:rsid w:val="2451787D"/>
    <w:rsid w:val="2458771C"/>
    <w:rsid w:val="24E0727C"/>
    <w:rsid w:val="24F839B5"/>
    <w:rsid w:val="2513587B"/>
    <w:rsid w:val="25236158"/>
    <w:rsid w:val="253012AB"/>
    <w:rsid w:val="253C725A"/>
    <w:rsid w:val="254B45A4"/>
    <w:rsid w:val="256B3CA0"/>
    <w:rsid w:val="256D597E"/>
    <w:rsid w:val="259D0E7B"/>
    <w:rsid w:val="25D427ED"/>
    <w:rsid w:val="26077AAE"/>
    <w:rsid w:val="2626603D"/>
    <w:rsid w:val="262D563A"/>
    <w:rsid w:val="265576EA"/>
    <w:rsid w:val="265748F8"/>
    <w:rsid w:val="26592BEB"/>
    <w:rsid w:val="265A6401"/>
    <w:rsid w:val="26756C9A"/>
    <w:rsid w:val="267D41DC"/>
    <w:rsid w:val="26A8657E"/>
    <w:rsid w:val="26D03FA7"/>
    <w:rsid w:val="270D56A1"/>
    <w:rsid w:val="270D5B6F"/>
    <w:rsid w:val="27237C25"/>
    <w:rsid w:val="272A6A19"/>
    <w:rsid w:val="27312457"/>
    <w:rsid w:val="273B27A3"/>
    <w:rsid w:val="27430F49"/>
    <w:rsid w:val="27675ADD"/>
    <w:rsid w:val="27760CFD"/>
    <w:rsid w:val="27885E75"/>
    <w:rsid w:val="27891CFD"/>
    <w:rsid w:val="27943A5C"/>
    <w:rsid w:val="27B97E2D"/>
    <w:rsid w:val="27D2424E"/>
    <w:rsid w:val="27E40F74"/>
    <w:rsid w:val="2816667B"/>
    <w:rsid w:val="281D789C"/>
    <w:rsid w:val="28577774"/>
    <w:rsid w:val="28923B61"/>
    <w:rsid w:val="28A8662A"/>
    <w:rsid w:val="28B17186"/>
    <w:rsid w:val="28CC4E64"/>
    <w:rsid w:val="28E72CF1"/>
    <w:rsid w:val="28F82CEE"/>
    <w:rsid w:val="29451C20"/>
    <w:rsid w:val="298223F2"/>
    <w:rsid w:val="29873A6F"/>
    <w:rsid w:val="2990186E"/>
    <w:rsid w:val="29943091"/>
    <w:rsid w:val="29A17581"/>
    <w:rsid w:val="29C04B32"/>
    <w:rsid w:val="29C8068F"/>
    <w:rsid w:val="29D63E9E"/>
    <w:rsid w:val="29F82483"/>
    <w:rsid w:val="2A64477C"/>
    <w:rsid w:val="2A6B2C43"/>
    <w:rsid w:val="2A7C3988"/>
    <w:rsid w:val="2A7E79C3"/>
    <w:rsid w:val="2A816F32"/>
    <w:rsid w:val="2A8B4DB8"/>
    <w:rsid w:val="2A8C309D"/>
    <w:rsid w:val="2AFF0AA7"/>
    <w:rsid w:val="2B0A765E"/>
    <w:rsid w:val="2B2F6B8C"/>
    <w:rsid w:val="2B7E11B6"/>
    <w:rsid w:val="2B8078C6"/>
    <w:rsid w:val="2BB60025"/>
    <w:rsid w:val="2BB6178F"/>
    <w:rsid w:val="2BDB2B72"/>
    <w:rsid w:val="2BE138B4"/>
    <w:rsid w:val="2BEF7E49"/>
    <w:rsid w:val="2BF524B4"/>
    <w:rsid w:val="2C172EAF"/>
    <w:rsid w:val="2C343419"/>
    <w:rsid w:val="2C4405C4"/>
    <w:rsid w:val="2C840EB6"/>
    <w:rsid w:val="2C8F150E"/>
    <w:rsid w:val="2C9B4A36"/>
    <w:rsid w:val="2CA64B83"/>
    <w:rsid w:val="2CB535A9"/>
    <w:rsid w:val="2CBD15EB"/>
    <w:rsid w:val="2CEC076D"/>
    <w:rsid w:val="2D037A4F"/>
    <w:rsid w:val="2D1F1EB3"/>
    <w:rsid w:val="2D2508F9"/>
    <w:rsid w:val="2D627807"/>
    <w:rsid w:val="2DAD0B89"/>
    <w:rsid w:val="2DDB3659"/>
    <w:rsid w:val="2DEB7FC8"/>
    <w:rsid w:val="2DEC7033"/>
    <w:rsid w:val="2DEF69FE"/>
    <w:rsid w:val="2DF46E97"/>
    <w:rsid w:val="2E0B598F"/>
    <w:rsid w:val="2E372719"/>
    <w:rsid w:val="2E7573F0"/>
    <w:rsid w:val="2E7A4A66"/>
    <w:rsid w:val="2E862AC0"/>
    <w:rsid w:val="2ED524A2"/>
    <w:rsid w:val="2F0451D0"/>
    <w:rsid w:val="2F49141D"/>
    <w:rsid w:val="2F626587"/>
    <w:rsid w:val="2F7F78DA"/>
    <w:rsid w:val="2F8F23A9"/>
    <w:rsid w:val="2FA538E8"/>
    <w:rsid w:val="2FC50151"/>
    <w:rsid w:val="2FDB7F84"/>
    <w:rsid w:val="2FDE2A7E"/>
    <w:rsid w:val="2FF07203"/>
    <w:rsid w:val="300A0550"/>
    <w:rsid w:val="301422BC"/>
    <w:rsid w:val="30147E30"/>
    <w:rsid w:val="301A5868"/>
    <w:rsid w:val="303717A0"/>
    <w:rsid w:val="304D072B"/>
    <w:rsid w:val="308405BA"/>
    <w:rsid w:val="30A9636F"/>
    <w:rsid w:val="30B63A56"/>
    <w:rsid w:val="30DA6D09"/>
    <w:rsid w:val="30F6603E"/>
    <w:rsid w:val="312D02F7"/>
    <w:rsid w:val="31656FFF"/>
    <w:rsid w:val="31676662"/>
    <w:rsid w:val="316E7845"/>
    <w:rsid w:val="31760836"/>
    <w:rsid w:val="31860E50"/>
    <w:rsid w:val="31894F6F"/>
    <w:rsid w:val="31E74446"/>
    <w:rsid w:val="31F6020D"/>
    <w:rsid w:val="320F66F9"/>
    <w:rsid w:val="322C3C68"/>
    <w:rsid w:val="32515965"/>
    <w:rsid w:val="32691B0D"/>
    <w:rsid w:val="32733A5C"/>
    <w:rsid w:val="3284349E"/>
    <w:rsid w:val="32854434"/>
    <w:rsid w:val="3297148B"/>
    <w:rsid w:val="33005A44"/>
    <w:rsid w:val="33030C23"/>
    <w:rsid w:val="33054A89"/>
    <w:rsid w:val="33342A24"/>
    <w:rsid w:val="33401EC0"/>
    <w:rsid w:val="33532FA4"/>
    <w:rsid w:val="33611E21"/>
    <w:rsid w:val="33633BFF"/>
    <w:rsid w:val="33776899"/>
    <w:rsid w:val="339C0653"/>
    <w:rsid w:val="339E23A0"/>
    <w:rsid w:val="33A20BE8"/>
    <w:rsid w:val="33CC05E4"/>
    <w:rsid w:val="33CE7AB5"/>
    <w:rsid w:val="33EA6DB0"/>
    <w:rsid w:val="33F62651"/>
    <w:rsid w:val="34474A55"/>
    <w:rsid w:val="344A2984"/>
    <w:rsid w:val="34522A6B"/>
    <w:rsid w:val="34823B76"/>
    <w:rsid w:val="34871723"/>
    <w:rsid w:val="349C7049"/>
    <w:rsid w:val="349C7EAD"/>
    <w:rsid w:val="34B35D29"/>
    <w:rsid w:val="34BA7332"/>
    <w:rsid w:val="34C3445E"/>
    <w:rsid w:val="34DB625D"/>
    <w:rsid w:val="352D0B0D"/>
    <w:rsid w:val="354355BA"/>
    <w:rsid w:val="354B056A"/>
    <w:rsid w:val="35646C4F"/>
    <w:rsid w:val="358D17E7"/>
    <w:rsid w:val="35C718EF"/>
    <w:rsid w:val="35F136E7"/>
    <w:rsid w:val="360139DC"/>
    <w:rsid w:val="3616521F"/>
    <w:rsid w:val="3639503C"/>
    <w:rsid w:val="36433EB3"/>
    <w:rsid w:val="365C50E6"/>
    <w:rsid w:val="36C621FA"/>
    <w:rsid w:val="36D21BB2"/>
    <w:rsid w:val="36E67A50"/>
    <w:rsid w:val="36ED2D57"/>
    <w:rsid w:val="36EE0537"/>
    <w:rsid w:val="36F870A6"/>
    <w:rsid w:val="3707366D"/>
    <w:rsid w:val="37185172"/>
    <w:rsid w:val="37253A78"/>
    <w:rsid w:val="374F6631"/>
    <w:rsid w:val="37577FE2"/>
    <w:rsid w:val="3764754E"/>
    <w:rsid w:val="376C6BB9"/>
    <w:rsid w:val="37894D67"/>
    <w:rsid w:val="37EA30E5"/>
    <w:rsid w:val="382702D4"/>
    <w:rsid w:val="38351A7B"/>
    <w:rsid w:val="38420F9D"/>
    <w:rsid w:val="384E380F"/>
    <w:rsid w:val="387704E8"/>
    <w:rsid w:val="38904C3F"/>
    <w:rsid w:val="38A66799"/>
    <w:rsid w:val="38BF2A60"/>
    <w:rsid w:val="38E944FB"/>
    <w:rsid w:val="39055E32"/>
    <w:rsid w:val="39161D88"/>
    <w:rsid w:val="39377D21"/>
    <w:rsid w:val="3949013B"/>
    <w:rsid w:val="3959641A"/>
    <w:rsid w:val="399332B5"/>
    <w:rsid w:val="399961A1"/>
    <w:rsid w:val="39BF5515"/>
    <w:rsid w:val="39C93ECA"/>
    <w:rsid w:val="39CC65F1"/>
    <w:rsid w:val="39E856FE"/>
    <w:rsid w:val="39F96117"/>
    <w:rsid w:val="3A521D71"/>
    <w:rsid w:val="3A773DA5"/>
    <w:rsid w:val="3AD56D0C"/>
    <w:rsid w:val="3AEB5A3F"/>
    <w:rsid w:val="3AED1F00"/>
    <w:rsid w:val="3B031276"/>
    <w:rsid w:val="3B6F6DE8"/>
    <w:rsid w:val="3B746C92"/>
    <w:rsid w:val="3B817163"/>
    <w:rsid w:val="3B9B7835"/>
    <w:rsid w:val="3BCC2587"/>
    <w:rsid w:val="3C1F6EE0"/>
    <w:rsid w:val="3C280836"/>
    <w:rsid w:val="3C8252E0"/>
    <w:rsid w:val="3CC53CF8"/>
    <w:rsid w:val="3CE21E84"/>
    <w:rsid w:val="3CF227E3"/>
    <w:rsid w:val="3D51706F"/>
    <w:rsid w:val="3D6607DF"/>
    <w:rsid w:val="3D79555A"/>
    <w:rsid w:val="3DA90477"/>
    <w:rsid w:val="3DD16322"/>
    <w:rsid w:val="3DE503F8"/>
    <w:rsid w:val="3DEB1AAE"/>
    <w:rsid w:val="3E315955"/>
    <w:rsid w:val="3E3E6EC1"/>
    <w:rsid w:val="3E5F2B05"/>
    <w:rsid w:val="3E79544F"/>
    <w:rsid w:val="3E942232"/>
    <w:rsid w:val="3EA9200D"/>
    <w:rsid w:val="3EC141CA"/>
    <w:rsid w:val="3ED64358"/>
    <w:rsid w:val="3EF55C4B"/>
    <w:rsid w:val="3EF80599"/>
    <w:rsid w:val="3F2248A9"/>
    <w:rsid w:val="3F556D75"/>
    <w:rsid w:val="3F972E90"/>
    <w:rsid w:val="3F9F67BD"/>
    <w:rsid w:val="3FA46875"/>
    <w:rsid w:val="3FB70788"/>
    <w:rsid w:val="3FC24A26"/>
    <w:rsid w:val="3FD60589"/>
    <w:rsid w:val="401C4F36"/>
    <w:rsid w:val="40464813"/>
    <w:rsid w:val="40517DE4"/>
    <w:rsid w:val="406F3E76"/>
    <w:rsid w:val="40AA05D2"/>
    <w:rsid w:val="40B22686"/>
    <w:rsid w:val="40BE4191"/>
    <w:rsid w:val="40D92788"/>
    <w:rsid w:val="40DB2171"/>
    <w:rsid w:val="40DF216C"/>
    <w:rsid w:val="40F53F2C"/>
    <w:rsid w:val="41071F38"/>
    <w:rsid w:val="411B0A96"/>
    <w:rsid w:val="413565B8"/>
    <w:rsid w:val="415178A6"/>
    <w:rsid w:val="419E7A9D"/>
    <w:rsid w:val="41A57166"/>
    <w:rsid w:val="41E23B57"/>
    <w:rsid w:val="42266276"/>
    <w:rsid w:val="422E19C7"/>
    <w:rsid w:val="422F4080"/>
    <w:rsid w:val="42446FE6"/>
    <w:rsid w:val="424A1BAD"/>
    <w:rsid w:val="425D1CE7"/>
    <w:rsid w:val="42642026"/>
    <w:rsid w:val="426E7F1A"/>
    <w:rsid w:val="42885795"/>
    <w:rsid w:val="428C1988"/>
    <w:rsid w:val="42A02D8A"/>
    <w:rsid w:val="42C67A6B"/>
    <w:rsid w:val="42D77C74"/>
    <w:rsid w:val="431E7BB3"/>
    <w:rsid w:val="433B2095"/>
    <w:rsid w:val="43494B5D"/>
    <w:rsid w:val="435B7DF5"/>
    <w:rsid w:val="438011AD"/>
    <w:rsid w:val="438132DD"/>
    <w:rsid w:val="43A26652"/>
    <w:rsid w:val="43A939C0"/>
    <w:rsid w:val="43AB6138"/>
    <w:rsid w:val="43B24252"/>
    <w:rsid w:val="43D823EE"/>
    <w:rsid w:val="43EC0E01"/>
    <w:rsid w:val="43F77626"/>
    <w:rsid w:val="44122884"/>
    <w:rsid w:val="442633D0"/>
    <w:rsid w:val="442B1C67"/>
    <w:rsid w:val="44330FD2"/>
    <w:rsid w:val="443A6B2B"/>
    <w:rsid w:val="444A24BC"/>
    <w:rsid w:val="444C5166"/>
    <w:rsid w:val="44705404"/>
    <w:rsid w:val="447D08B4"/>
    <w:rsid w:val="447D6659"/>
    <w:rsid w:val="447F110D"/>
    <w:rsid w:val="448067B6"/>
    <w:rsid w:val="44C27A29"/>
    <w:rsid w:val="44C37C6B"/>
    <w:rsid w:val="44E827CB"/>
    <w:rsid w:val="44F46A7F"/>
    <w:rsid w:val="44F47784"/>
    <w:rsid w:val="44F82DF0"/>
    <w:rsid w:val="450326A0"/>
    <w:rsid w:val="45370164"/>
    <w:rsid w:val="454D3BB7"/>
    <w:rsid w:val="45D4490F"/>
    <w:rsid w:val="45D66747"/>
    <w:rsid w:val="45F472DF"/>
    <w:rsid w:val="46156C09"/>
    <w:rsid w:val="461827E9"/>
    <w:rsid w:val="46213E19"/>
    <w:rsid w:val="468A042F"/>
    <w:rsid w:val="46AF3A3E"/>
    <w:rsid w:val="46CF68EE"/>
    <w:rsid w:val="46D45767"/>
    <w:rsid w:val="46E81F21"/>
    <w:rsid w:val="471E21A3"/>
    <w:rsid w:val="47472DF1"/>
    <w:rsid w:val="476360FF"/>
    <w:rsid w:val="476E37C1"/>
    <w:rsid w:val="47C507D3"/>
    <w:rsid w:val="47DF45D4"/>
    <w:rsid w:val="48162498"/>
    <w:rsid w:val="48240225"/>
    <w:rsid w:val="48273267"/>
    <w:rsid w:val="484D7B05"/>
    <w:rsid w:val="485208BC"/>
    <w:rsid w:val="486752CD"/>
    <w:rsid w:val="487B125B"/>
    <w:rsid w:val="487B5097"/>
    <w:rsid w:val="48867F6B"/>
    <w:rsid w:val="489B5E83"/>
    <w:rsid w:val="48B13100"/>
    <w:rsid w:val="48B20D65"/>
    <w:rsid w:val="48E76D74"/>
    <w:rsid w:val="490A02F8"/>
    <w:rsid w:val="491A0E67"/>
    <w:rsid w:val="491F19CB"/>
    <w:rsid w:val="49370360"/>
    <w:rsid w:val="496F3973"/>
    <w:rsid w:val="49B8356F"/>
    <w:rsid w:val="49BF3470"/>
    <w:rsid w:val="49CF2371"/>
    <w:rsid w:val="49D63B2A"/>
    <w:rsid w:val="49E07309"/>
    <w:rsid w:val="4A094501"/>
    <w:rsid w:val="4A1C2238"/>
    <w:rsid w:val="4A84034E"/>
    <w:rsid w:val="4A8E6E4F"/>
    <w:rsid w:val="4A90490E"/>
    <w:rsid w:val="4AAF1A75"/>
    <w:rsid w:val="4AB3753C"/>
    <w:rsid w:val="4ADF295A"/>
    <w:rsid w:val="4AE74547"/>
    <w:rsid w:val="4B156FF4"/>
    <w:rsid w:val="4B2B675B"/>
    <w:rsid w:val="4B4F1305"/>
    <w:rsid w:val="4B885F1B"/>
    <w:rsid w:val="4B941F8D"/>
    <w:rsid w:val="4BA42905"/>
    <w:rsid w:val="4BAC36C9"/>
    <w:rsid w:val="4BB50FA5"/>
    <w:rsid w:val="4BF219E8"/>
    <w:rsid w:val="4C0C32F3"/>
    <w:rsid w:val="4C1E2E0A"/>
    <w:rsid w:val="4C6304CC"/>
    <w:rsid w:val="4C631EDA"/>
    <w:rsid w:val="4C862E65"/>
    <w:rsid w:val="4CB216E2"/>
    <w:rsid w:val="4CF177CB"/>
    <w:rsid w:val="4CF37FED"/>
    <w:rsid w:val="4CF678CA"/>
    <w:rsid w:val="4D0047A6"/>
    <w:rsid w:val="4D175216"/>
    <w:rsid w:val="4D191608"/>
    <w:rsid w:val="4D194300"/>
    <w:rsid w:val="4D252F9B"/>
    <w:rsid w:val="4D951AC2"/>
    <w:rsid w:val="4DD51956"/>
    <w:rsid w:val="4DEA6BC9"/>
    <w:rsid w:val="4E4966CD"/>
    <w:rsid w:val="4E7B75DD"/>
    <w:rsid w:val="4EB4046C"/>
    <w:rsid w:val="4EB777B3"/>
    <w:rsid w:val="4EC11B11"/>
    <w:rsid w:val="4EFA0293"/>
    <w:rsid w:val="4F2471BE"/>
    <w:rsid w:val="4F444A35"/>
    <w:rsid w:val="4F4C19E2"/>
    <w:rsid w:val="4F6A06FF"/>
    <w:rsid w:val="4F7821DB"/>
    <w:rsid w:val="4F8641B6"/>
    <w:rsid w:val="4F911A9D"/>
    <w:rsid w:val="4F963E8D"/>
    <w:rsid w:val="4FA7519D"/>
    <w:rsid w:val="4FC04D6D"/>
    <w:rsid w:val="4FEC2B8D"/>
    <w:rsid w:val="4FF23641"/>
    <w:rsid w:val="4FF53A7A"/>
    <w:rsid w:val="4FFE3BFE"/>
    <w:rsid w:val="50367F44"/>
    <w:rsid w:val="503E4D4A"/>
    <w:rsid w:val="50456DC1"/>
    <w:rsid w:val="50545E2A"/>
    <w:rsid w:val="506051EB"/>
    <w:rsid w:val="50841485"/>
    <w:rsid w:val="5092395C"/>
    <w:rsid w:val="5097037B"/>
    <w:rsid w:val="509A1520"/>
    <w:rsid w:val="50A42A64"/>
    <w:rsid w:val="50BB0CFF"/>
    <w:rsid w:val="50C3048A"/>
    <w:rsid w:val="50E05254"/>
    <w:rsid w:val="50FA635A"/>
    <w:rsid w:val="51005BB2"/>
    <w:rsid w:val="511111F1"/>
    <w:rsid w:val="511A208C"/>
    <w:rsid w:val="513423E9"/>
    <w:rsid w:val="514A7845"/>
    <w:rsid w:val="514E3B10"/>
    <w:rsid w:val="5153765D"/>
    <w:rsid w:val="5165318A"/>
    <w:rsid w:val="516B725C"/>
    <w:rsid w:val="51921376"/>
    <w:rsid w:val="519637F6"/>
    <w:rsid w:val="519A2902"/>
    <w:rsid w:val="519C4E03"/>
    <w:rsid w:val="51D266A4"/>
    <w:rsid w:val="51DE56EE"/>
    <w:rsid w:val="51F07C41"/>
    <w:rsid w:val="523C7246"/>
    <w:rsid w:val="523E2E24"/>
    <w:rsid w:val="52990C1F"/>
    <w:rsid w:val="52A5443D"/>
    <w:rsid w:val="52EF307F"/>
    <w:rsid w:val="53320972"/>
    <w:rsid w:val="533B562B"/>
    <w:rsid w:val="53594062"/>
    <w:rsid w:val="53814A6A"/>
    <w:rsid w:val="53835FCF"/>
    <w:rsid w:val="53963790"/>
    <w:rsid w:val="539B2E3A"/>
    <w:rsid w:val="53A85B95"/>
    <w:rsid w:val="53C04521"/>
    <w:rsid w:val="53DF58E9"/>
    <w:rsid w:val="53E30766"/>
    <w:rsid w:val="540E237B"/>
    <w:rsid w:val="544457B9"/>
    <w:rsid w:val="548375C7"/>
    <w:rsid w:val="54BA768E"/>
    <w:rsid w:val="54C071C6"/>
    <w:rsid w:val="54D9267C"/>
    <w:rsid w:val="54F749A7"/>
    <w:rsid w:val="55001B02"/>
    <w:rsid w:val="55042847"/>
    <w:rsid w:val="550C309A"/>
    <w:rsid w:val="551662CA"/>
    <w:rsid w:val="551E01D6"/>
    <w:rsid w:val="553232B5"/>
    <w:rsid w:val="55367803"/>
    <w:rsid w:val="55485AA9"/>
    <w:rsid w:val="55525725"/>
    <w:rsid w:val="557E5697"/>
    <w:rsid w:val="55C841CE"/>
    <w:rsid w:val="55E534C4"/>
    <w:rsid w:val="55F417F2"/>
    <w:rsid w:val="55FB6B21"/>
    <w:rsid w:val="56293E3D"/>
    <w:rsid w:val="562F0788"/>
    <w:rsid w:val="564E62D7"/>
    <w:rsid w:val="5659399A"/>
    <w:rsid w:val="56645440"/>
    <w:rsid w:val="56704D0A"/>
    <w:rsid w:val="567706CF"/>
    <w:rsid w:val="567C3995"/>
    <w:rsid w:val="56894A3D"/>
    <w:rsid w:val="56B8428B"/>
    <w:rsid w:val="56F30B79"/>
    <w:rsid w:val="56F41FE6"/>
    <w:rsid w:val="574B69B1"/>
    <w:rsid w:val="575D73B4"/>
    <w:rsid w:val="57632B09"/>
    <w:rsid w:val="57776F19"/>
    <w:rsid w:val="57937FFB"/>
    <w:rsid w:val="57BF65B4"/>
    <w:rsid w:val="57D63B01"/>
    <w:rsid w:val="580F6EE2"/>
    <w:rsid w:val="58174237"/>
    <w:rsid w:val="581C281F"/>
    <w:rsid w:val="581F6200"/>
    <w:rsid w:val="58297C82"/>
    <w:rsid w:val="582D6394"/>
    <w:rsid w:val="585F74A0"/>
    <w:rsid w:val="58707E04"/>
    <w:rsid w:val="58762DC6"/>
    <w:rsid w:val="588E3206"/>
    <w:rsid w:val="58994785"/>
    <w:rsid w:val="589C427F"/>
    <w:rsid w:val="58A075EF"/>
    <w:rsid w:val="58A47686"/>
    <w:rsid w:val="58A8618E"/>
    <w:rsid w:val="58AE3138"/>
    <w:rsid w:val="58AE52FE"/>
    <w:rsid w:val="58B052FB"/>
    <w:rsid w:val="58B611E5"/>
    <w:rsid w:val="58DF1D2E"/>
    <w:rsid w:val="58F958E6"/>
    <w:rsid w:val="58FC7AC9"/>
    <w:rsid w:val="590B0801"/>
    <w:rsid w:val="592574B7"/>
    <w:rsid w:val="593B6397"/>
    <w:rsid w:val="593F2508"/>
    <w:rsid w:val="596A3969"/>
    <w:rsid w:val="596A4D8B"/>
    <w:rsid w:val="596F07B3"/>
    <w:rsid w:val="597A288C"/>
    <w:rsid w:val="5993050D"/>
    <w:rsid w:val="59B93FCE"/>
    <w:rsid w:val="59B95C5B"/>
    <w:rsid w:val="59CD0DC0"/>
    <w:rsid w:val="5A0D47F3"/>
    <w:rsid w:val="5A1030A8"/>
    <w:rsid w:val="5A24495E"/>
    <w:rsid w:val="5A2B12F0"/>
    <w:rsid w:val="5A6B0C6D"/>
    <w:rsid w:val="5A8C3A1A"/>
    <w:rsid w:val="5A9206A4"/>
    <w:rsid w:val="5AAA288A"/>
    <w:rsid w:val="5ACB7E61"/>
    <w:rsid w:val="5AFC632C"/>
    <w:rsid w:val="5AFF6746"/>
    <w:rsid w:val="5B0C4999"/>
    <w:rsid w:val="5B210307"/>
    <w:rsid w:val="5B236068"/>
    <w:rsid w:val="5B3D2B8E"/>
    <w:rsid w:val="5B3E2EA1"/>
    <w:rsid w:val="5B4141C5"/>
    <w:rsid w:val="5B4A5638"/>
    <w:rsid w:val="5B5263FF"/>
    <w:rsid w:val="5B69426B"/>
    <w:rsid w:val="5B702506"/>
    <w:rsid w:val="5B9D6AFC"/>
    <w:rsid w:val="5BAB2B2E"/>
    <w:rsid w:val="5BCF3EF7"/>
    <w:rsid w:val="5C1318A1"/>
    <w:rsid w:val="5C343794"/>
    <w:rsid w:val="5C5B6A90"/>
    <w:rsid w:val="5C7034D0"/>
    <w:rsid w:val="5C7528FD"/>
    <w:rsid w:val="5CD6638E"/>
    <w:rsid w:val="5CDA6EEE"/>
    <w:rsid w:val="5CDE00D8"/>
    <w:rsid w:val="5CEB7214"/>
    <w:rsid w:val="5D0E7453"/>
    <w:rsid w:val="5D2518D6"/>
    <w:rsid w:val="5D3E4B67"/>
    <w:rsid w:val="5D4C11EC"/>
    <w:rsid w:val="5D577ED5"/>
    <w:rsid w:val="5D860304"/>
    <w:rsid w:val="5D935D84"/>
    <w:rsid w:val="5DA76F13"/>
    <w:rsid w:val="5DD1653F"/>
    <w:rsid w:val="5DDC14D5"/>
    <w:rsid w:val="5DEA7B44"/>
    <w:rsid w:val="5E0013EB"/>
    <w:rsid w:val="5E03225B"/>
    <w:rsid w:val="5E143F68"/>
    <w:rsid w:val="5E177981"/>
    <w:rsid w:val="5E4439DB"/>
    <w:rsid w:val="5E4E0B0D"/>
    <w:rsid w:val="5E6D14C7"/>
    <w:rsid w:val="5E820C76"/>
    <w:rsid w:val="5EBE6983"/>
    <w:rsid w:val="5EC657EF"/>
    <w:rsid w:val="5EE81921"/>
    <w:rsid w:val="5EF013CD"/>
    <w:rsid w:val="5F365B16"/>
    <w:rsid w:val="5F8F5C5E"/>
    <w:rsid w:val="5FA62B1B"/>
    <w:rsid w:val="60051EDF"/>
    <w:rsid w:val="600B47D9"/>
    <w:rsid w:val="60140FAF"/>
    <w:rsid w:val="60A46F13"/>
    <w:rsid w:val="60B45576"/>
    <w:rsid w:val="60B761C7"/>
    <w:rsid w:val="60FD3345"/>
    <w:rsid w:val="60FE01F7"/>
    <w:rsid w:val="610D1BD1"/>
    <w:rsid w:val="61121FF6"/>
    <w:rsid w:val="612800F5"/>
    <w:rsid w:val="61293FCC"/>
    <w:rsid w:val="6153492F"/>
    <w:rsid w:val="61685E78"/>
    <w:rsid w:val="6168749F"/>
    <w:rsid w:val="61730FDD"/>
    <w:rsid w:val="61771BCF"/>
    <w:rsid w:val="619F2DC2"/>
    <w:rsid w:val="61B23E01"/>
    <w:rsid w:val="61BB1429"/>
    <w:rsid w:val="61D73478"/>
    <w:rsid w:val="61F3365A"/>
    <w:rsid w:val="61F4651E"/>
    <w:rsid w:val="62206805"/>
    <w:rsid w:val="623E640B"/>
    <w:rsid w:val="626929CB"/>
    <w:rsid w:val="626E1488"/>
    <w:rsid w:val="626F340D"/>
    <w:rsid w:val="6271160A"/>
    <w:rsid w:val="62896E74"/>
    <w:rsid w:val="62C9318E"/>
    <w:rsid w:val="62CC6328"/>
    <w:rsid w:val="62E6347A"/>
    <w:rsid w:val="62E86B1E"/>
    <w:rsid w:val="630028D4"/>
    <w:rsid w:val="633B4B27"/>
    <w:rsid w:val="639026F2"/>
    <w:rsid w:val="63A24C2F"/>
    <w:rsid w:val="63EC3E16"/>
    <w:rsid w:val="64185F0F"/>
    <w:rsid w:val="64542C77"/>
    <w:rsid w:val="645C0B49"/>
    <w:rsid w:val="64675E7E"/>
    <w:rsid w:val="646D2F79"/>
    <w:rsid w:val="64B33E67"/>
    <w:rsid w:val="64C146F8"/>
    <w:rsid w:val="64D428D6"/>
    <w:rsid w:val="64E918B6"/>
    <w:rsid w:val="64F05B4D"/>
    <w:rsid w:val="64F40D0D"/>
    <w:rsid w:val="65053BE9"/>
    <w:rsid w:val="65055E4D"/>
    <w:rsid w:val="650826A5"/>
    <w:rsid w:val="650D2548"/>
    <w:rsid w:val="65236686"/>
    <w:rsid w:val="65277B65"/>
    <w:rsid w:val="652A666B"/>
    <w:rsid w:val="65343BB9"/>
    <w:rsid w:val="65581AB3"/>
    <w:rsid w:val="656D2D8C"/>
    <w:rsid w:val="658F68AE"/>
    <w:rsid w:val="65976E06"/>
    <w:rsid w:val="65D53232"/>
    <w:rsid w:val="65F761A2"/>
    <w:rsid w:val="660F5FD1"/>
    <w:rsid w:val="661A56A8"/>
    <w:rsid w:val="662036C6"/>
    <w:rsid w:val="662C53CC"/>
    <w:rsid w:val="6639371C"/>
    <w:rsid w:val="6655781C"/>
    <w:rsid w:val="66614173"/>
    <w:rsid w:val="668C712F"/>
    <w:rsid w:val="66A2577F"/>
    <w:rsid w:val="66B23796"/>
    <w:rsid w:val="66B65345"/>
    <w:rsid w:val="66C334FD"/>
    <w:rsid w:val="66CA26B4"/>
    <w:rsid w:val="66D115C2"/>
    <w:rsid w:val="66E20972"/>
    <w:rsid w:val="67593735"/>
    <w:rsid w:val="67D84495"/>
    <w:rsid w:val="67E17D40"/>
    <w:rsid w:val="681F5F6D"/>
    <w:rsid w:val="68432C37"/>
    <w:rsid w:val="685364BA"/>
    <w:rsid w:val="685A7BF3"/>
    <w:rsid w:val="68920C4F"/>
    <w:rsid w:val="68A12FA5"/>
    <w:rsid w:val="68BF6331"/>
    <w:rsid w:val="68C01362"/>
    <w:rsid w:val="68E85470"/>
    <w:rsid w:val="69030B95"/>
    <w:rsid w:val="691A4EC3"/>
    <w:rsid w:val="69204E4A"/>
    <w:rsid w:val="694E1880"/>
    <w:rsid w:val="694F4832"/>
    <w:rsid w:val="69976C13"/>
    <w:rsid w:val="699D4DD9"/>
    <w:rsid w:val="6A1436FF"/>
    <w:rsid w:val="6A190A53"/>
    <w:rsid w:val="6A1D0FA3"/>
    <w:rsid w:val="6A435241"/>
    <w:rsid w:val="6A5C053E"/>
    <w:rsid w:val="6A6E1A2A"/>
    <w:rsid w:val="6A6E3AC3"/>
    <w:rsid w:val="6A8C6BF6"/>
    <w:rsid w:val="6A9A03D2"/>
    <w:rsid w:val="6AA031D1"/>
    <w:rsid w:val="6AAE32F7"/>
    <w:rsid w:val="6AAF0A79"/>
    <w:rsid w:val="6AB520CA"/>
    <w:rsid w:val="6AC9102E"/>
    <w:rsid w:val="6ACF6167"/>
    <w:rsid w:val="6AD02C0E"/>
    <w:rsid w:val="6AD173AD"/>
    <w:rsid w:val="6AD63F97"/>
    <w:rsid w:val="6AF721E5"/>
    <w:rsid w:val="6AFB3541"/>
    <w:rsid w:val="6B0F0F9C"/>
    <w:rsid w:val="6BE14913"/>
    <w:rsid w:val="6BEC55D3"/>
    <w:rsid w:val="6BF50903"/>
    <w:rsid w:val="6BFF31D8"/>
    <w:rsid w:val="6C1A22EB"/>
    <w:rsid w:val="6C220B28"/>
    <w:rsid w:val="6C282983"/>
    <w:rsid w:val="6C3B096A"/>
    <w:rsid w:val="6C500B83"/>
    <w:rsid w:val="6C504565"/>
    <w:rsid w:val="6C7B26A4"/>
    <w:rsid w:val="6CD26A08"/>
    <w:rsid w:val="6CDC31C0"/>
    <w:rsid w:val="6CF818CA"/>
    <w:rsid w:val="6D1221AF"/>
    <w:rsid w:val="6D374B9F"/>
    <w:rsid w:val="6D7B21FB"/>
    <w:rsid w:val="6D8B4C36"/>
    <w:rsid w:val="6D94576F"/>
    <w:rsid w:val="6DA66AC4"/>
    <w:rsid w:val="6DA82030"/>
    <w:rsid w:val="6DBD4EEC"/>
    <w:rsid w:val="6DC649E7"/>
    <w:rsid w:val="6DC764D3"/>
    <w:rsid w:val="6DD94A45"/>
    <w:rsid w:val="6E51305C"/>
    <w:rsid w:val="6E5637C0"/>
    <w:rsid w:val="6E776F35"/>
    <w:rsid w:val="6E782F65"/>
    <w:rsid w:val="6E8A3207"/>
    <w:rsid w:val="6EBB2294"/>
    <w:rsid w:val="6ED809D8"/>
    <w:rsid w:val="6EEC645D"/>
    <w:rsid w:val="6EF74663"/>
    <w:rsid w:val="6F151709"/>
    <w:rsid w:val="6F2B0B6E"/>
    <w:rsid w:val="6F4A4F5B"/>
    <w:rsid w:val="6F7E2080"/>
    <w:rsid w:val="6F8119CC"/>
    <w:rsid w:val="6F83207A"/>
    <w:rsid w:val="6F94533D"/>
    <w:rsid w:val="6FA36B46"/>
    <w:rsid w:val="6FA45754"/>
    <w:rsid w:val="6FC12DB3"/>
    <w:rsid w:val="6FCB6FE1"/>
    <w:rsid w:val="6FE30CD2"/>
    <w:rsid w:val="6FFB415F"/>
    <w:rsid w:val="701A2F1E"/>
    <w:rsid w:val="702165A9"/>
    <w:rsid w:val="70274D4E"/>
    <w:rsid w:val="70647E27"/>
    <w:rsid w:val="70727DFF"/>
    <w:rsid w:val="70A4359F"/>
    <w:rsid w:val="70AE257C"/>
    <w:rsid w:val="70CE5045"/>
    <w:rsid w:val="70D71582"/>
    <w:rsid w:val="70DA74CB"/>
    <w:rsid w:val="70DF293E"/>
    <w:rsid w:val="7166081B"/>
    <w:rsid w:val="716A021D"/>
    <w:rsid w:val="71B723A2"/>
    <w:rsid w:val="71C251FE"/>
    <w:rsid w:val="71CE231F"/>
    <w:rsid w:val="725E6E70"/>
    <w:rsid w:val="72625490"/>
    <w:rsid w:val="729E3D0C"/>
    <w:rsid w:val="72B514D5"/>
    <w:rsid w:val="72C63A04"/>
    <w:rsid w:val="72CC0920"/>
    <w:rsid w:val="72F94664"/>
    <w:rsid w:val="73026CFD"/>
    <w:rsid w:val="73325730"/>
    <w:rsid w:val="733420BC"/>
    <w:rsid w:val="733C5D5B"/>
    <w:rsid w:val="7348728B"/>
    <w:rsid w:val="736A164B"/>
    <w:rsid w:val="73B37B7D"/>
    <w:rsid w:val="73CD70A4"/>
    <w:rsid w:val="73D2703D"/>
    <w:rsid w:val="740639BB"/>
    <w:rsid w:val="741D0651"/>
    <w:rsid w:val="741E1310"/>
    <w:rsid w:val="74216AB9"/>
    <w:rsid w:val="743417C6"/>
    <w:rsid w:val="743E056C"/>
    <w:rsid w:val="749771DD"/>
    <w:rsid w:val="74A124AA"/>
    <w:rsid w:val="74B010EE"/>
    <w:rsid w:val="74BA69AB"/>
    <w:rsid w:val="74BE0D67"/>
    <w:rsid w:val="74DE2189"/>
    <w:rsid w:val="74DE462D"/>
    <w:rsid w:val="74F438B9"/>
    <w:rsid w:val="74FA794F"/>
    <w:rsid w:val="756842A3"/>
    <w:rsid w:val="757F2CCE"/>
    <w:rsid w:val="75826D3A"/>
    <w:rsid w:val="75900F33"/>
    <w:rsid w:val="75B61286"/>
    <w:rsid w:val="75BE13F7"/>
    <w:rsid w:val="75D436B7"/>
    <w:rsid w:val="75E0592A"/>
    <w:rsid w:val="75E15891"/>
    <w:rsid w:val="75E23EC1"/>
    <w:rsid w:val="761F408D"/>
    <w:rsid w:val="7648019C"/>
    <w:rsid w:val="764F23CD"/>
    <w:rsid w:val="765467AB"/>
    <w:rsid w:val="767A0EE3"/>
    <w:rsid w:val="769260FE"/>
    <w:rsid w:val="769446ED"/>
    <w:rsid w:val="76D25CCB"/>
    <w:rsid w:val="76DA7F3B"/>
    <w:rsid w:val="76EF4690"/>
    <w:rsid w:val="770327F0"/>
    <w:rsid w:val="7709218B"/>
    <w:rsid w:val="77121245"/>
    <w:rsid w:val="77172036"/>
    <w:rsid w:val="773E75AE"/>
    <w:rsid w:val="77481E13"/>
    <w:rsid w:val="777C2930"/>
    <w:rsid w:val="777F0EDD"/>
    <w:rsid w:val="779E4689"/>
    <w:rsid w:val="77A30D33"/>
    <w:rsid w:val="77B422AD"/>
    <w:rsid w:val="77BF6271"/>
    <w:rsid w:val="77C054A1"/>
    <w:rsid w:val="77D24FDA"/>
    <w:rsid w:val="77D34F50"/>
    <w:rsid w:val="77EE1222"/>
    <w:rsid w:val="78030955"/>
    <w:rsid w:val="78135A45"/>
    <w:rsid w:val="78364A07"/>
    <w:rsid w:val="78567139"/>
    <w:rsid w:val="78A15DB1"/>
    <w:rsid w:val="78AA22B0"/>
    <w:rsid w:val="78C11DD3"/>
    <w:rsid w:val="78C3736C"/>
    <w:rsid w:val="790A0DAD"/>
    <w:rsid w:val="7944785C"/>
    <w:rsid w:val="79624778"/>
    <w:rsid w:val="7978157A"/>
    <w:rsid w:val="798B30D6"/>
    <w:rsid w:val="79A70518"/>
    <w:rsid w:val="79AC2293"/>
    <w:rsid w:val="79C474B4"/>
    <w:rsid w:val="79C90EBD"/>
    <w:rsid w:val="79EA4504"/>
    <w:rsid w:val="7A031D83"/>
    <w:rsid w:val="7A310B04"/>
    <w:rsid w:val="7A336ADD"/>
    <w:rsid w:val="7A406322"/>
    <w:rsid w:val="7A462DA1"/>
    <w:rsid w:val="7A645054"/>
    <w:rsid w:val="7A6D282D"/>
    <w:rsid w:val="7AA53EB3"/>
    <w:rsid w:val="7AA77A6C"/>
    <w:rsid w:val="7ABF12DC"/>
    <w:rsid w:val="7ACB16D4"/>
    <w:rsid w:val="7AD65423"/>
    <w:rsid w:val="7AF84C6C"/>
    <w:rsid w:val="7AFE2E1A"/>
    <w:rsid w:val="7B0E2E3D"/>
    <w:rsid w:val="7B2E64F8"/>
    <w:rsid w:val="7B3D3CDC"/>
    <w:rsid w:val="7B504560"/>
    <w:rsid w:val="7B653887"/>
    <w:rsid w:val="7B7525F4"/>
    <w:rsid w:val="7B9A21FA"/>
    <w:rsid w:val="7BBE0895"/>
    <w:rsid w:val="7BC33D93"/>
    <w:rsid w:val="7BD42193"/>
    <w:rsid w:val="7BD631E9"/>
    <w:rsid w:val="7BD91198"/>
    <w:rsid w:val="7C1641BD"/>
    <w:rsid w:val="7C467BBF"/>
    <w:rsid w:val="7C833A2B"/>
    <w:rsid w:val="7CB3100D"/>
    <w:rsid w:val="7CD1627A"/>
    <w:rsid w:val="7CD35875"/>
    <w:rsid w:val="7CDF2114"/>
    <w:rsid w:val="7D0503FE"/>
    <w:rsid w:val="7D250A5C"/>
    <w:rsid w:val="7D306717"/>
    <w:rsid w:val="7D3A2075"/>
    <w:rsid w:val="7D3E337A"/>
    <w:rsid w:val="7D765A69"/>
    <w:rsid w:val="7D773AD7"/>
    <w:rsid w:val="7D8C10BB"/>
    <w:rsid w:val="7D98473E"/>
    <w:rsid w:val="7DC52577"/>
    <w:rsid w:val="7DE219FE"/>
    <w:rsid w:val="7E0B5BA1"/>
    <w:rsid w:val="7E0F6644"/>
    <w:rsid w:val="7E4A6AF4"/>
    <w:rsid w:val="7E5D0626"/>
    <w:rsid w:val="7ED03074"/>
    <w:rsid w:val="7EE0446A"/>
    <w:rsid w:val="7F075422"/>
    <w:rsid w:val="7F903BC3"/>
    <w:rsid w:val="7FA1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3">
    <w:name w:val="Body Text Indent 2"/>
    <w:basedOn w:val="1"/>
    <w:qFormat/>
    <w:uiPriority w:val="0"/>
    <w:pPr>
      <w:spacing w:line="360" w:lineRule="auto"/>
      <w:ind w:left="420" w:firstLine="482"/>
    </w:pPr>
    <w:rPr>
      <w:rFonts w:ascii="宋体" w:hAnsi="宋体"/>
      <w:b/>
      <w:sz w:val="24"/>
      <w:szCs w:val="24"/>
    </w:rPr>
  </w:style>
  <w:style w:type="paragraph" w:styleId="4">
    <w:name w:val="footer"/>
    <w:basedOn w:val="1"/>
    <w:link w:val="9"/>
    <w:unhideWhenUsed/>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24356</Words>
  <Characters>25567</Characters>
  <Lines>30</Lines>
  <Paragraphs>8</Paragraphs>
  <TotalTime>1</TotalTime>
  <ScaleCrop>false</ScaleCrop>
  <LinksUpToDate>false</LinksUpToDate>
  <CharactersWithSpaces>28306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2020-05-27T01:52:00Z</dcterms:created>
  <dc:creator>ljm95</dc:creator>
  <dc:description>电子投标（2023版）</dc:description>
  <cp:lastModifiedBy>Administrator</cp:lastModifiedBy>
  <cp:lastPrinted>2023-10-31T05:38:00Z</cp:lastPrinted>
  <dcterms:modified xsi:type="dcterms:W3CDTF">2023-11-01T05:31:11Z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