
<file path=[Content_Types].xml><?xml version="1.0" encoding="utf-8"?>
<Types xmlns="http://schemas.openxmlformats.org/package/2006/content-types">
  <Default Extension="jpeg" ContentType="image/jpeg"/>
  <Default Extension="JPG" ContentType="image/.jpg"/>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3678F">
      <w:pPr>
        <w:spacing w:line="800" w:lineRule="exact"/>
        <w:rPr>
          <w:rFonts w:hint="eastAsia" w:asciiTheme="minorEastAsia" w:hAnsiTheme="minorEastAsia" w:eastAsiaTheme="minorEastAsia" w:cstheme="minorEastAsia"/>
          <w:color w:val="auto"/>
          <w:sz w:val="24"/>
          <w:szCs w:val="24"/>
        </w:rPr>
      </w:pPr>
    </w:p>
    <w:p w14:paraId="5D8A4FD1">
      <w:pPr>
        <w:spacing w:line="800" w:lineRule="exact"/>
        <w:rPr>
          <w:rFonts w:hint="eastAsia" w:asciiTheme="minorEastAsia" w:hAnsiTheme="minorEastAsia" w:eastAsiaTheme="minorEastAsia" w:cstheme="minorEastAsia"/>
          <w:color w:val="auto"/>
          <w:sz w:val="24"/>
          <w:szCs w:val="24"/>
        </w:rPr>
      </w:pPr>
    </w:p>
    <w:p w14:paraId="6A16C932">
      <w:pPr>
        <w:spacing w:beforeLines="50" w:line="360" w:lineRule="auto"/>
        <w:jc w:val="center"/>
        <w:rPr>
          <w:rFonts w:hint="eastAsia" w:asciiTheme="minorEastAsia" w:hAnsiTheme="minorEastAsia" w:eastAsiaTheme="minorEastAsia" w:cstheme="minorEastAsia"/>
          <w:b/>
          <w:bCs w:val="0"/>
          <w:color w:val="auto"/>
          <w:sz w:val="48"/>
          <w:szCs w:val="48"/>
        </w:rPr>
      </w:pPr>
      <w:r>
        <w:rPr>
          <w:rFonts w:hint="eastAsia" w:asciiTheme="minorEastAsia" w:hAnsiTheme="minorEastAsia" w:eastAsiaTheme="minorEastAsia" w:cstheme="minorEastAsia"/>
          <w:b/>
          <w:bCs w:val="0"/>
          <w:color w:val="auto"/>
          <w:sz w:val="48"/>
          <w:szCs w:val="48"/>
        </w:rPr>
        <w:t>公开招标采购文件</w:t>
      </w:r>
    </w:p>
    <w:p w14:paraId="07866A49">
      <w:pPr>
        <w:spacing w:line="360" w:lineRule="auto"/>
        <w:jc w:val="center"/>
        <w:rPr>
          <w:rFonts w:hint="eastAsia" w:asciiTheme="minorEastAsia" w:hAnsiTheme="minorEastAsia" w:eastAsiaTheme="minorEastAsia" w:cstheme="minorEastAsia"/>
          <w:b/>
          <w:bCs w:val="0"/>
          <w:color w:val="auto"/>
          <w:sz w:val="48"/>
          <w:szCs w:val="48"/>
        </w:rPr>
      </w:pPr>
      <w:r>
        <w:rPr>
          <w:rFonts w:hint="eastAsia" w:asciiTheme="minorEastAsia" w:hAnsiTheme="minorEastAsia" w:eastAsiaTheme="minorEastAsia" w:cstheme="minorEastAsia"/>
          <w:b/>
          <w:bCs w:val="0"/>
          <w:color w:val="auto"/>
          <w:sz w:val="48"/>
          <w:szCs w:val="48"/>
        </w:rPr>
        <w:t>（电子招投标）</w:t>
      </w:r>
    </w:p>
    <w:p w14:paraId="0B34B16E">
      <w:pPr>
        <w:spacing w:line="800" w:lineRule="exact"/>
        <w:rPr>
          <w:rFonts w:hint="eastAsia" w:asciiTheme="minorEastAsia" w:hAnsiTheme="minorEastAsia" w:eastAsiaTheme="minorEastAsia" w:cstheme="minorEastAsia"/>
          <w:b/>
          <w:color w:val="auto"/>
          <w:sz w:val="24"/>
          <w:szCs w:val="24"/>
        </w:rPr>
      </w:pPr>
    </w:p>
    <w:p w14:paraId="09E9C4F5">
      <w:pPr>
        <w:spacing w:line="800" w:lineRule="exact"/>
        <w:rPr>
          <w:rFonts w:hint="eastAsia" w:asciiTheme="minorEastAsia" w:hAnsiTheme="minorEastAsia" w:eastAsiaTheme="minorEastAsia" w:cstheme="minorEastAsia"/>
          <w:b/>
          <w:color w:val="auto"/>
          <w:sz w:val="24"/>
          <w:szCs w:val="24"/>
        </w:rPr>
      </w:pPr>
    </w:p>
    <w:p w14:paraId="74FCA43A">
      <w:pPr>
        <w:spacing w:line="800" w:lineRule="exact"/>
        <w:rPr>
          <w:rFonts w:hint="eastAsia" w:asciiTheme="minorEastAsia" w:hAnsiTheme="minorEastAsia" w:eastAsiaTheme="minorEastAsia" w:cstheme="minorEastAsia"/>
          <w:b/>
          <w:color w:val="auto"/>
          <w:sz w:val="28"/>
          <w:szCs w:val="28"/>
          <w:lang w:val="en-US" w:eastAsia="zh-CN"/>
        </w:rPr>
      </w:pPr>
      <w:r>
        <w:rPr>
          <w:rFonts w:hint="eastAsia" w:asciiTheme="minorEastAsia" w:hAnsiTheme="minorEastAsia" w:eastAsiaTheme="minorEastAsia" w:cstheme="minorEastAsia"/>
          <w:b/>
          <w:color w:val="auto"/>
          <w:sz w:val="28"/>
          <w:szCs w:val="28"/>
        </w:rPr>
        <w:t>项目编号：ZJZC-252</w:t>
      </w:r>
      <w:r>
        <w:rPr>
          <w:rFonts w:hint="eastAsia" w:asciiTheme="minorEastAsia" w:hAnsiTheme="minorEastAsia" w:eastAsiaTheme="minorEastAsia" w:cstheme="minorEastAsia"/>
          <w:b/>
          <w:color w:val="auto"/>
          <w:sz w:val="28"/>
          <w:szCs w:val="28"/>
          <w:lang w:val="en-US" w:eastAsia="zh-CN"/>
        </w:rPr>
        <w:t>147</w:t>
      </w:r>
    </w:p>
    <w:p w14:paraId="3C7D40CF">
      <w:pPr>
        <w:spacing w:line="800" w:lineRule="exact"/>
        <w:ind w:left="1606" w:hanging="1405" w:hangingChars="50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项目名称：贵驷街道社区卫生服务中心新院标识与健康宣传阵地设计及制作服务项目</w:t>
      </w:r>
    </w:p>
    <w:p w14:paraId="3FB75733">
      <w:pPr>
        <w:spacing w:line="800" w:lineRule="exact"/>
        <w:ind w:left="1606" w:hanging="1405" w:hangingChars="500"/>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采购单位：宁波市镇海区贵驷街道社区卫生服务中心</w:t>
      </w:r>
    </w:p>
    <w:p w14:paraId="3CD91533">
      <w:pPr>
        <w:spacing w:line="800" w:lineRule="exact"/>
        <w:rPr>
          <w:rFonts w:hint="eastAsia" w:asciiTheme="minorEastAsia" w:hAnsiTheme="minorEastAsia" w:eastAsiaTheme="minorEastAsia" w:cstheme="minorEastAsia"/>
          <w:color w:val="auto"/>
          <w:sz w:val="24"/>
          <w:szCs w:val="24"/>
        </w:rPr>
      </w:pPr>
    </w:p>
    <w:p w14:paraId="7C476396">
      <w:pPr>
        <w:spacing w:line="800" w:lineRule="exact"/>
        <w:rPr>
          <w:rFonts w:hint="eastAsia" w:asciiTheme="minorEastAsia" w:hAnsiTheme="minorEastAsia" w:eastAsiaTheme="minorEastAsia" w:cstheme="minorEastAsia"/>
          <w:color w:val="auto"/>
          <w:sz w:val="24"/>
          <w:szCs w:val="24"/>
        </w:rPr>
      </w:pPr>
    </w:p>
    <w:p w14:paraId="466211A7">
      <w:pPr>
        <w:spacing w:line="800" w:lineRule="exact"/>
        <w:rPr>
          <w:rFonts w:hint="eastAsia" w:asciiTheme="minorEastAsia" w:hAnsiTheme="minorEastAsia" w:eastAsiaTheme="minorEastAsia" w:cstheme="minorEastAsia"/>
          <w:color w:val="auto"/>
          <w:sz w:val="24"/>
          <w:szCs w:val="24"/>
        </w:rPr>
      </w:pPr>
    </w:p>
    <w:p w14:paraId="5517221A">
      <w:pPr>
        <w:spacing w:line="8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2262505</wp:posOffset>
            </wp:positionH>
            <wp:positionV relativeFrom="paragraph">
              <wp:posOffset>165735</wp:posOffset>
            </wp:positionV>
            <wp:extent cx="1178560" cy="1031240"/>
            <wp:effectExtent l="0" t="0" r="2540" b="10160"/>
            <wp:wrapNone/>
            <wp:docPr id="1" name="图片 2" descr="中创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创LOGO_1"/>
                    <pic:cNvPicPr>
                      <a:picLocks noChangeAspect="1"/>
                    </pic:cNvPicPr>
                  </pic:nvPicPr>
                  <pic:blipFill>
                    <a:blip r:embed="rId16"/>
                    <a:stretch>
                      <a:fillRect/>
                    </a:stretch>
                  </pic:blipFill>
                  <pic:spPr>
                    <a:xfrm>
                      <a:off x="0" y="0"/>
                      <a:ext cx="1178560" cy="1031240"/>
                    </a:xfrm>
                    <a:prstGeom prst="rect">
                      <a:avLst/>
                    </a:prstGeom>
                    <a:noFill/>
                    <a:ln>
                      <a:noFill/>
                    </a:ln>
                  </pic:spPr>
                </pic:pic>
              </a:graphicData>
            </a:graphic>
          </wp:anchor>
        </w:drawing>
      </w:r>
    </w:p>
    <w:p w14:paraId="23CDAB77">
      <w:pPr>
        <w:snapToGrid w:val="0"/>
        <w:spacing w:beforeLines="50" w:line="360" w:lineRule="auto"/>
        <w:jc w:val="center"/>
        <w:rPr>
          <w:rFonts w:hint="eastAsia" w:asciiTheme="minorEastAsia" w:hAnsiTheme="minorEastAsia" w:eastAsiaTheme="minorEastAsia" w:cstheme="minorEastAsia"/>
          <w:b/>
          <w:bCs/>
          <w:color w:val="auto"/>
          <w:sz w:val="24"/>
          <w:szCs w:val="24"/>
        </w:rPr>
      </w:pPr>
    </w:p>
    <w:p w14:paraId="23D4A963">
      <w:pPr>
        <w:snapToGrid w:val="0"/>
        <w:spacing w:beforeLines="50" w:line="360" w:lineRule="auto"/>
        <w:jc w:val="center"/>
        <w:rPr>
          <w:rFonts w:hint="eastAsia" w:asciiTheme="minorEastAsia" w:hAnsiTheme="minorEastAsia" w:eastAsiaTheme="minorEastAsia" w:cstheme="minorEastAsia"/>
          <w:b/>
          <w:color w:val="auto"/>
          <w:sz w:val="24"/>
          <w:szCs w:val="24"/>
        </w:rPr>
      </w:pPr>
    </w:p>
    <w:p w14:paraId="05756246">
      <w:pPr>
        <w:snapToGrid w:val="0"/>
        <w:spacing w:beforeLines="50"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浙江中创招投标有限公司</w:t>
      </w:r>
    </w:p>
    <w:p w14:paraId="5FF37A40">
      <w:pPr>
        <w:snapToGrid w:val="0"/>
        <w:spacing w:beforeLines="50" w:line="36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二〇二五年</w:t>
      </w:r>
      <w:r>
        <w:rPr>
          <w:rFonts w:hint="eastAsia" w:asciiTheme="minorEastAsia" w:hAnsiTheme="minorEastAsia" w:eastAsiaTheme="minorEastAsia" w:cstheme="minorEastAsia"/>
          <w:b/>
          <w:bCs/>
          <w:color w:val="auto"/>
          <w:sz w:val="24"/>
          <w:szCs w:val="24"/>
          <w:lang w:val="en-US" w:eastAsia="zh-CN"/>
        </w:rPr>
        <w:t>七</w:t>
      </w:r>
      <w:r>
        <w:rPr>
          <w:rFonts w:hint="eastAsia" w:asciiTheme="minorEastAsia" w:hAnsiTheme="minorEastAsia" w:eastAsiaTheme="minorEastAsia" w:cstheme="minorEastAsia"/>
          <w:b/>
          <w:bCs/>
          <w:color w:val="auto"/>
          <w:sz w:val="24"/>
          <w:szCs w:val="24"/>
        </w:rPr>
        <w:t>月</w:t>
      </w:r>
    </w:p>
    <w:p w14:paraId="7EB652B5">
      <w:pPr>
        <w:pStyle w:val="3"/>
        <w:rPr>
          <w:rFonts w:hint="eastAsia" w:asciiTheme="minorEastAsia" w:hAnsiTheme="minorEastAsia" w:eastAsiaTheme="minorEastAsia" w:cstheme="minorEastAsia"/>
          <w:color w:val="auto"/>
          <w:sz w:val="24"/>
          <w:szCs w:val="24"/>
        </w:rPr>
        <w:sectPr>
          <w:footerReference r:id="rId6" w:type="first"/>
          <w:headerReference r:id="rId3" w:type="default"/>
          <w:footerReference r:id="rId5" w:type="default"/>
          <w:headerReference r:id="rId4" w:type="even"/>
          <w:pgSz w:w="11907" w:h="16840"/>
          <w:pgMar w:top="1276" w:right="1474" w:bottom="1242" w:left="1474" w:header="720" w:footer="720" w:gutter="0"/>
          <w:cols w:space="720" w:num="1"/>
          <w:docGrid w:linePitch="285" w:charSpace="0"/>
        </w:sectPr>
      </w:pPr>
    </w:p>
    <w:p w14:paraId="18181F8E">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目  录</w:t>
      </w:r>
    </w:p>
    <w:p w14:paraId="100A6611">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fldChar w:fldCharType="begin"/>
      </w:r>
      <w:r>
        <w:rPr>
          <w:rFonts w:hint="eastAsia" w:asciiTheme="minorEastAsia" w:hAnsiTheme="minorEastAsia" w:eastAsiaTheme="minorEastAsia" w:cstheme="minorEastAsia"/>
          <w:b/>
          <w:color w:val="auto"/>
          <w:sz w:val="24"/>
          <w:szCs w:val="24"/>
        </w:rPr>
        <w:instrText xml:space="preserve"> TOC \o "1-3" \h \z \u </w:instrText>
      </w:r>
      <w:r>
        <w:rPr>
          <w:rFonts w:hint="eastAsia" w:asciiTheme="minorEastAsia" w:hAnsiTheme="minorEastAsia" w:eastAsiaTheme="minorEastAsia" w:cstheme="minorEastAsia"/>
          <w:b/>
          <w:color w:val="auto"/>
          <w:sz w:val="24"/>
          <w:szCs w:val="24"/>
        </w:rPr>
        <w:fldChar w:fldCharType="separate"/>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"_Toc25308"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第一章  公开招标采购公告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_Toc25308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4665DE3">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"_Toc9016"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第二章  采购需求</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_Toc9016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2B93E6C8">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"_Toc1069"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一、商务需求</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_Toc1069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0BA5A4B">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"_Toc23714"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bCs/>
          <w:color w:val="auto"/>
          <w:sz w:val="24"/>
          <w:szCs w:val="24"/>
        </w:rPr>
        <w:t>二、技术需求</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_Toc23714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0AD1A44B">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"_Toc31992"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第三章  投标人须知</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_Toc31992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A189F89">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"_Toc3012"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前附表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_Toc3012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342F0A4">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"_Toc2347"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一、总则</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_Toc2347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00F4B1A4">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"_Toc26631"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（一）适用范围</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_Toc26631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712F5B9">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"_Toc2287"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（二）定义</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_Toc2287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16BD5D0D">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"_Toc26031"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（三）采购方式</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_Toc26031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E1DBFA5">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"_Toc26934"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（四）投标委托</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_Toc26934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DE5B368">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"_Toc18621"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（五）投标费用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_Toc18621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C921222">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"_Toc1416"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（六）联合体投标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_Toc1416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B0CACDF">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"_Toc12279"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（七）转包与分包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_Toc12279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3760893">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"_Toc30057"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（八）特别说明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_Toc30057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C87193D">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"_Toc24898"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（九）关于分公司投标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_Toc24898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E6D35CC">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"_Toc2519"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（十）关于知识产权</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_Toc2519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1DCE14D">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"_Toc10668"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（十一）质疑和投诉</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_Toc10668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4DE3887">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"_Toc9121"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二、采购文件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_Toc9121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C87160B">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"_Toc30420"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（一）采购文件的构成</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_Toc30420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57DB995">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"_Toc4532"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（二）投标人的风险</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_Toc4532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6712FC6">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"_Toc15514"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（三）采购文件的澄清与修改</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_Toc15514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EC6E681">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"_Toc24204"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三、投标文件的编制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31B4E2E1">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"_Toc4405"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（一）投标文件的组成</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_Toc4405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389B6DA4">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"_Toc28267"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（二）投标文件的语言及计量</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_Toc28267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3541DEF">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"_Toc31528"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（三）投标报价</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_Toc31528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0E5D1A7F">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"_Toc7171"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（四）投标文件的有效期</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_Toc7171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C7BCAC6">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"_Toc1964"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（五）投标文件的盖章、签署、份数、要求及效力</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_Toc1964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6BE4633">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"_Toc12213"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（六）投标文件的包装、递交、修改和撤回</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_Toc12213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1246C318">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"_Toc13696"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（七）投标无效的情形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_Toc13696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1F99868E">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"_Toc11674"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四、开标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_Toc11674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F873259">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"_Toc24396"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（一）开标准备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_Toc24396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1075675">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"_Toc6375"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（二）开标程序</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_Toc6375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7E50A48">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"_Toc27120"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五、评标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_Toc27120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ADC83DB">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"_Toc32629"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（一）组建评标委员会</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_Toc32629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04231046">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"_Toc24184"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（二）评标方法</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_Toc24184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157F495F">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"_Toc30314"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（三）评标程序</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_Toc30314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34C14BB">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"_Toc5264"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（四）评标过程保密</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_Toc5264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19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30F9F4A2">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"_Toc14685"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六、定标</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_Toc14685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DCFEB1D">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"_Toc31143"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七、评标过程的监控</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_Toc31143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3E2E49CF">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"_Toc26475"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八、合同授予</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_Toc26475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05E855B6">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"_Toc8742"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（一）签订合同</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_Toc8742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20</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D693269">
      <w:pPr>
        <w:pStyle w:val="18"/>
        <w:tabs>
          <w:tab w:val="right" w:leader="dot" w:pos="8845"/>
        </w:tabs>
        <w:spacing w:line="440" w:lineRule="exact"/>
        <w:ind w:left="84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"_Toc30226"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（二）履约保证金</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_Toc30226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20C65B94">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"_Toc32101"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九、特别说明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_Toc32101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704D96E">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"_Toc28627"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第四章  评标办法及评分标准</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_Toc28627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45D33EE">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"_Toc2630"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一、评标委员会</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_Toc2630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782BDA30">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"_Toc1251"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二、评标方法</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_Toc1251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23</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15727F6">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"_Toc6555"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三、评标过程</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_Toc6555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24F02867">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"_Toc26234"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四、投标无效的情形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_Toc26234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28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40174CC7">
      <w:pPr>
        <w:pStyle w:val="30"/>
        <w:tabs>
          <w:tab w:val="right" w:leader="dot" w:pos="8845"/>
        </w:tabs>
        <w:spacing w:line="440" w:lineRule="exact"/>
        <w:ind w:left="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"_Toc21694"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kern w:val="28"/>
          <w:sz w:val="24"/>
          <w:szCs w:val="24"/>
        </w:rPr>
        <w:t>五、评分标准</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_Toc21694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30</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50AC651D">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"_Toc27005"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第五章  政府采购合同主要条款</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_Toc27005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34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183074A3">
      <w:pPr>
        <w:pStyle w:val="25"/>
        <w:tabs>
          <w:tab w:val="right" w:leader="dot" w:pos="8845"/>
        </w:tabs>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\l "_Toc12815"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第六章  投标文件格式</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_Toc12815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fldChar w:fldCharType="end"/>
      </w:r>
    </w:p>
    <w:p w14:paraId="669B9248">
      <w:pPr>
        <w:pStyle w:val="4"/>
        <w:spacing w:before="0" w:after="0"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fldChar w:fldCharType="end"/>
      </w:r>
      <w:bookmarkStart w:id="0" w:name="_Toc25308"/>
      <w:r>
        <w:rPr>
          <w:rFonts w:hint="eastAsia" w:asciiTheme="minorEastAsia" w:hAnsiTheme="minorEastAsia" w:eastAsiaTheme="minorEastAsia" w:cstheme="minorEastAsia"/>
          <w:color w:val="auto"/>
          <w:sz w:val="24"/>
          <w:szCs w:val="24"/>
        </w:rPr>
        <w:br w:type="page"/>
      </w:r>
      <w:bookmarkStart w:id="1" w:name="_Toc60996038"/>
      <w:r>
        <w:rPr>
          <w:rFonts w:hint="eastAsia" w:asciiTheme="minorEastAsia" w:hAnsiTheme="minorEastAsia" w:eastAsiaTheme="minorEastAsia" w:cstheme="minorEastAsia"/>
          <w:color w:val="auto"/>
          <w:sz w:val="24"/>
          <w:szCs w:val="24"/>
        </w:rPr>
        <w:t>第一章  公开招标采购公告</w:t>
      </w:r>
      <w:bookmarkEnd w:id="0"/>
      <w:bookmarkEnd w:id="1"/>
    </w:p>
    <w:p w14:paraId="1960862C">
      <w:pPr>
        <w:pBdr>
          <w:top w:val="single" w:color="auto" w:sz="4" w:space="1"/>
          <w:left w:val="single" w:color="auto" w:sz="4" w:space="4"/>
          <w:bottom w:val="single" w:color="auto" w:sz="4" w:space="1"/>
          <w:right w:val="single" w:color="auto" w:sz="4" w:space="4"/>
        </w:pBdr>
        <w:spacing w:line="44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项目概况：</w:t>
      </w:r>
      <w:r>
        <w:rPr>
          <w:rFonts w:hint="eastAsia" w:asciiTheme="minorEastAsia" w:hAnsiTheme="minorEastAsia" w:eastAsiaTheme="minorEastAsia" w:cstheme="minorEastAsia"/>
          <w:color w:val="auto"/>
          <w:sz w:val="24"/>
          <w:szCs w:val="24"/>
          <w:u w:val="single"/>
        </w:rPr>
        <w:t>贵驷街道社区卫生服务中心新院标识与健康宣传阵地设计及制作服务项目的</w:t>
      </w:r>
      <w:r>
        <w:rPr>
          <w:rFonts w:hint="eastAsia" w:asciiTheme="minorEastAsia" w:hAnsiTheme="minorEastAsia" w:eastAsiaTheme="minorEastAsia" w:cstheme="minorEastAsia"/>
          <w:color w:val="auto"/>
          <w:sz w:val="24"/>
          <w:szCs w:val="24"/>
        </w:rPr>
        <w:t>潜在投标人应在政府采购云平台（www.zcygov.cn）获取（下载）招标文件，并于2025年</w:t>
      </w:r>
      <w:r>
        <w:rPr>
          <w:rFonts w:hint="eastAsia" w:asciiTheme="minorEastAsia" w:hAnsiTheme="minorEastAsia" w:eastAsiaTheme="minorEastAsia" w:cstheme="minorEastAsia"/>
          <w:color w:val="auto"/>
          <w:sz w:val="24"/>
          <w:szCs w:val="24"/>
          <w:lang w:val="en-US" w:eastAsia="zh-CN"/>
        </w:rPr>
        <w:t>07</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29</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09</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（北京时间）前递交投标文件。</w:t>
      </w:r>
    </w:p>
    <w:p w14:paraId="064FF974">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一、项目基本情况</w:t>
      </w:r>
    </w:p>
    <w:p w14:paraId="158653F8">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项目编号：ZJZC-252147</w:t>
      </w:r>
    </w:p>
    <w:p w14:paraId="07654C24">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项目名称：贵驷街道社区卫生服务中心新院标识与健康宣传阵地设计及制作服务项目</w:t>
      </w:r>
    </w:p>
    <w:p w14:paraId="0F7CD485">
      <w:pPr>
        <w:spacing w:line="440" w:lineRule="exact"/>
        <w:ind w:firstLine="480"/>
        <w:rPr>
          <w:rFonts w:hint="eastAsia" w:asciiTheme="minorEastAsia" w:hAnsiTheme="minorEastAsia" w:eastAsiaTheme="minorEastAsia" w:cstheme="minorEastAsia"/>
          <w:bCs/>
          <w:snapToGrid w:val="0"/>
          <w:color w:val="auto"/>
          <w:kern w:val="28"/>
          <w:sz w:val="24"/>
          <w:szCs w:val="24"/>
        </w:rPr>
      </w:pPr>
      <w:r>
        <w:rPr>
          <w:rFonts w:hint="eastAsia" w:asciiTheme="minorEastAsia" w:hAnsiTheme="minorEastAsia" w:eastAsiaTheme="minorEastAsia" w:cstheme="minorEastAsia"/>
          <w:bCs/>
          <w:snapToGrid w:val="0"/>
          <w:color w:val="auto"/>
          <w:kern w:val="28"/>
          <w:sz w:val="24"/>
          <w:szCs w:val="24"/>
        </w:rPr>
        <w:t>预算金额（元）：912210.00</w:t>
      </w:r>
    </w:p>
    <w:p w14:paraId="6773AAC1">
      <w:pPr>
        <w:spacing w:line="440" w:lineRule="exact"/>
        <w:ind w:firstLine="480"/>
        <w:rPr>
          <w:rFonts w:hint="eastAsia" w:asciiTheme="minorEastAsia" w:hAnsiTheme="minorEastAsia" w:eastAsiaTheme="minorEastAsia" w:cstheme="minorEastAsia"/>
          <w:bCs/>
          <w:snapToGrid w:val="0"/>
          <w:color w:val="auto"/>
          <w:kern w:val="28"/>
          <w:sz w:val="24"/>
          <w:szCs w:val="24"/>
        </w:rPr>
      </w:pPr>
      <w:r>
        <w:rPr>
          <w:rFonts w:hint="eastAsia" w:asciiTheme="minorEastAsia" w:hAnsiTheme="minorEastAsia" w:eastAsiaTheme="minorEastAsia" w:cstheme="minorEastAsia"/>
          <w:bCs/>
          <w:snapToGrid w:val="0"/>
          <w:color w:val="auto"/>
          <w:kern w:val="28"/>
          <w:sz w:val="24"/>
          <w:szCs w:val="24"/>
        </w:rPr>
        <w:t>最高限价（元）：800000.00</w:t>
      </w:r>
    </w:p>
    <w:p w14:paraId="76606780">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采购需求：</w:t>
      </w:r>
    </w:p>
    <w:p w14:paraId="682E3109">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标项名称：新院标识与健康宣传阵地设计及制作服务</w:t>
      </w:r>
    </w:p>
    <w:p w14:paraId="0FEAEDD9">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数量：1批</w:t>
      </w:r>
    </w:p>
    <w:p w14:paraId="5DCD134E">
      <w:pPr>
        <w:spacing w:line="440" w:lineRule="exact"/>
        <w:ind w:firstLine="480"/>
        <w:rPr>
          <w:rFonts w:hint="eastAsia" w:asciiTheme="minorEastAsia" w:hAnsiTheme="minorEastAsia" w:eastAsiaTheme="minorEastAsia" w:cstheme="minorEastAsia"/>
          <w:bCs/>
          <w:snapToGrid w:val="0"/>
          <w:color w:val="auto"/>
          <w:kern w:val="28"/>
          <w:sz w:val="24"/>
          <w:szCs w:val="24"/>
        </w:rPr>
      </w:pPr>
      <w:r>
        <w:rPr>
          <w:rFonts w:hint="eastAsia" w:asciiTheme="minorEastAsia" w:hAnsiTheme="minorEastAsia" w:eastAsiaTheme="minorEastAsia" w:cstheme="minorEastAsia"/>
          <w:bCs/>
          <w:snapToGrid w:val="0"/>
          <w:color w:val="auto"/>
          <w:kern w:val="28"/>
          <w:sz w:val="24"/>
          <w:szCs w:val="24"/>
        </w:rPr>
        <w:t>预算金额（元）：912210.00</w:t>
      </w:r>
    </w:p>
    <w:p w14:paraId="57075A86">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简要规格描述或项目基本概况介绍、用途：详见招标文件第二章采购需求</w:t>
      </w:r>
    </w:p>
    <w:p w14:paraId="739550D3">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备注：无</w:t>
      </w:r>
    </w:p>
    <w:p w14:paraId="58E7CC92">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合同履约期限：合同签订并接招标人通知后3天内进场，10天内完成一级导视标识安装，20天内全</w:t>
      </w:r>
      <w:bookmarkStart w:id="438" w:name="_GoBack"/>
      <w:bookmarkEnd w:id="438"/>
      <w:r>
        <w:rPr>
          <w:rFonts w:hint="eastAsia" w:asciiTheme="minorEastAsia" w:hAnsiTheme="minorEastAsia" w:eastAsiaTheme="minorEastAsia" w:cstheme="minorEastAsia"/>
          <w:snapToGrid w:val="0"/>
          <w:color w:val="auto"/>
          <w:kern w:val="28"/>
          <w:sz w:val="24"/>
          <w:szCs w:val="24"/>
        </w:rPr>
        <w:t>部安装并调试完成，具体起始时间以招标人书面通知为准。</w:t>
      </w:r>
    </w:p>
    <w:p w14:paraId="7D1A832A">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本项目（否）接受联合体投标。</w:t>
      </w:r>
    </w:p>
    <w:p w14:paraId="33BFD23E">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二、申请人的资格要求（本项目资格后审）</w:t>
      </w:r>
    </w:p>
    <w:p w14:paraId="01DA2611">
      <w:pPr>
        <w:spacing w:line="440" w:lineRule="exact"/>
        <w:ind w:firstLine="48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1.满足《中华人民共和国政府采购法》第二十二条规定；未被“信用中国”（www.creditchina.gov.cn)、中国政府采购网（www.ccgp.gov.cn）列入失信被执行人、重大税收违法案件当事人名单、政府采购严重违法失信行为记录名单；</w:t>
      </w:r>
    </w:p>
    <w:p w14:paraId="550C0B04">
      <w:pPr>
        <w:spacing w:line="440" w:lineRule="exact"/>
        <w:ind w:firstLine="480" w:firstLineChars="200"/>
        <w:rPr>
          <w:rFonts w:hint="eastAsia" w:asciiTheme="minorEastAsia" w:hAnsiTheme="minorEastAsia" w:eastAsiaTheme="minorEastAsia" w:cstheme="minorEastAsia"/>
          <w:snapToGrid w:val="0"/>
          <w:color w:val="auto"/>
          <w:kern w:val="28"/>
          <w:sz w:val="24"/>
          <w:szCs w:val="24"/>
        </w:rPr>
      </w:pPr>
      <w:r>
        <w:rPr>
          <w:rFonts w:hint="eastAsia" w:asciiTheme="minorEastAsia" w:hAnsiTheme="minorEastAsia" w:eastAsiaTheme="minorEastAsia" w:cstheme="minorEastAsia"/>
          <w:snapToGrid w:val="0"/>
          <w:color w:val="auto"/>
          <w:kern w:val="28"/>
          <w:sz w:val="24"/>
          <w:szCs w:val="24"/>
        </w:rPr>
        <w:t>2.落实政府采购政策需满足的资格要求：本项目属于专门面向中小企业采购的项目，货物制造商应为符合《政府采购促进中小企业发展管理办法》（财库﹝2020﹞46 号）规定的中小企业（其中，小微企业包括视同为小型、微型企业的监狱企业、残疾人福利性单位）。</w:t>
      </w:r>
    </w:p>
    <w:p w14:paraId="7639E524">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3.本项目的特定资格要求：无；</w:t>
      </w:r>
    </w:p>
    <w:p w14:paraId="06EFB8D3">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三、获取招标文件</w:t>
      </w:r>
    </w:p>
    <w:p w14:paraId="23A882A3">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时间：2025年</w:t>
      </w:r>
      <w:r>
        <w:rPr>
          <w:rFonts w:hint="eastAsia" w:asciiTheme="minorEastAsia" w:hAnsiTheme="minorEastAsia" w:eastAsiaTheme="minorEastAsia" w:cstheme="minorEastAsia"/>
          <w:color w:val="auto"/>
          <w:sz w:val="24"/>
          <w:szCs w:val="24"/>
          <w:lang w:val="en-US" w:eastAsia="zh-CN"/>
        </w:rPr>
        <w:t>07</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07</w:t>
      </w:r>
      <w:r>
        <w:rPr>
          <w:rFonts w:hint="eastAsia" w:asciiTheme="minorEastAsia" w:hAnsiTheme="minorEastAsia" w:eastAsiaTheme="minorEastAsia" w:cstheme="minorEastAsia"/>
          <w:color w:val="auto"/>
          <w:sz w:val="24"/>
          <w:szCs w:val="24"/>
        </w:rPr>
        <w:t>日至2025年</w:t>
      </w:r>
      <w:r>
        <w:rPr>
          <w:rFonts w:hint="eastAsia" w:asciiTheme="minorEastAsia" w:hAnsiTheme="minorEastAsia" w:eastAsiaTheme="minorEastAsia" w:cstheme="minorEastAsia"/>
          <w:color w:val="auto"/>
          <w:sz w:val="24"/>
          <w:szCs w:val="24"/>
          <w:lang w:val="en-US" w:eastAsia="zh-CN"/>
        </w:rPr>
        <w:t>07</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14</w:t>
      </w:r>
      <w:r>
        <w:rPr>
          <w:rFonts w:hint="eastAsia" w:asciiTheme="minorEastAsia" w:hAnsiTheme="minorEastAsia" w:eastAsiaTheme="minorEastAsia" w:cstheme="minorEastAsia"/>
          <w:color w:val="auto"/>
          <w:sz w:val="24"/>
          <w:szCs w:val="24"/>
        </w:rPr>
        <w:t>日，每天上午00:00至12:00，下午12:00至23:59（北京时间，线上获取法定节假日均可，线下获取文件法定节假日除外）</w:t>
      </w:r>
    </w:p>
    <w:p w14:paraId="1596B9E1">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地点（网址）：政府采购云平台（</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"http://www.zcygov.cn/"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http://www.zcygov.cn/</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t>）</w:t>
      </w:r>
    </w:p>
    <w:p w14:paraId="699BB13D">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方式：1、本项目招标文件实行“政府采购云平台”在线获取，不提供招标文件纸质版。投标人获取招标文件前应先完成“政府采购云平台”的账号注册；2、潜在投标人登陆政采云平台，在线申请获取招标文件（进入“项目采购”应用，在获取招标文件菜单中选择项目，申请获取招标文件；仅需浏览招标文件的投标人可点击“游客，浏览招标文件”直接下载招标文件浏览）；3、招标公告附件内的招标文件仅供阅览使用，投标人只有在“政府采购云平台”完成获取招标文件申请并下载了招标文件后才视作依法获取招标文件（法律法规所指的投标人获取招标文件时间以投标人完成获取招标文件申请后下载招标文件的时间为准）。注：请投标人按上述要求获取招标文件，如未在“政采云”系统内完成相关流程，引起的投标无效责任自负。</w:t>
      </w:r>
    </w:p>
    <w:p w14:paraId="06365744">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售价（元）：0</w:t>
      </w:r>
    </w:p>
    <w:p w14:paraId="348D4C4D">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四、提交投标文件截止时间、开标时间和地点</w:t>
      </w:r>
    </w:p>
    <w:p w14:paraId="309735EA">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提交投标文件截止时间：2025年</w:t>
      </w:r>
      <w:r>
        <w:rPr>
          <w:rFonts w:hint="eastAsia" w:asciiTheme="minorEastAsia" w:hAnsiTheme="minorEastAsia" w:eastAsiaTheme="minorEastAsia" w:cstheme="minorEastAsia"/>
          <w:color w:val="auto"/>
          <w:sz w:val="24"/>
          <w:szCs w:val="24"/>
          <w:lang w:val="en-US" w:eastAsia="zh-CN"/>
        </w:rPr>
        <w:t>07</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29</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auto"/>
          <w:sz w:val="24"/>
          <w:szCs w:val="24"/>
          <w:lang w:val="en-US" w:eastAsia="zh-CN"/>
        </w:rPr>
        <w:t>09</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en-US" w:eastAsia="zh-CN"/>
        </w:rPr>
        <w:t>30</w:t>
      </w:r>
      <w:r>
        <w:rPr>
          <w:rFonts w:hint="eastAsia" w:asciiTheme="minorEastAsia" w:hAnsiTheme="minorEastAsia" w:eastAsiaTheme="minorEastAsia" w:cstheme="minorEastAsia"/>
          <w:color w:val="auto"/>
          <w:sz w:val="24"/>
          <w:szCs w:val="24"/>
        </w:rPr>
        <w:t>（北京时间）</w:t>
      </w:r>
    </w:p>
    <w:p w14:paraId="2E774E0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投标地点（网址）：政采云平台（https://www.zcygov.cn/）。（本项目实行电子招投标，无须投标人到现场。）</w:t>
      </w:r>
    </w:p>
    <w:p w14:paraId="6FBE075B">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开标时间：2025年07月29日09:30（北京时间）</w:t>
      </w:r>
    </w:p>
    <w:p w14:paraId="59EE5D65">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开标地点（网址）：政采云平台（https://www.zcygov.cn/）。（本项目实行电子招投标，无须投标人到现场。）</w:t>
      </w:r>
    </w:p>
    <w:p w14:paraId="238E9934">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五、公告期限</w:t>
      </w:r>
    </w:p>
    <w:p w14:paraId="2B45DFB2">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自本公告发布之日起5个工作日。</w:t>
      </w:r>
    </w:p>
    <w:p w14:paraId="675C36CF">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六、其他补充事宜</w:t>
      </w:r>
    </w:p>
    <w:p w14:paraId="49467C1F">
      <w:pPr>
        <w:spacing w:line="440" w:lineRule="exact"/>
        <w:ind w:firstLine="480"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1、投标人认为采购文件使自己的权益受到损害的，可以自获取采购文件之日或者采购文件公告期限届满之日（公告期限届满后获取采购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78BE476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其他事项：（1）参加投标的投标人应于投标前到“浙江政府采购网（http://zfcg.czt.zj.gov.cn/）”上进行投标人注册申请，并通过财政部门的终审后登记加入到“浙江省政府采购投标人库”。中标或成交投标人必须注册并登记加入“浙江省政府采购投标人库”。具体要求及注册申请流程详见《浙江省政府采购投标人注册及诚信管理暂行办法》（浙财采监字{2009}28号）和浙江政府采购网“网上办事指南”的“投标人注册申请”。（2）落实的政府采购政策：《关于促进残疾人就业政府采购政策的通知》（财库[2017]141号）、《政府采购促进中小企业发展管理办法》（财库[2020]46号）、《关于政府采购支持监狱企业发展有关问题的通知》（财库[2014]68号）、《关于调整优化节能产品 环境标志产品 政府采购执行机制的通知》（财库[2019]9号）。（3）本次政府采购活动有关信息在“浙江政府采购网”、“宁波政府采购网”、“宁波市公共资源交易电子服务系统（甬易阳光）”上公布，公布信息视同送达所有潜在投标人。（4）单位负责人为同一人或者存在直接控股、管理关系的不同投标人，不得参加同一合同项下的政府采购活动；为采购项目提供整体设计、规范编制或者项目管理、监理、检测等服务后不得再参加该采购项目的其他采购活动。</w:t>
      </w:r>
    </w:p>
    <w:p w14:paraId="34C93306">
      <w:pPr>
        <w:spacing w:line="440" w:lineRule="exac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七、对本次采购提出询问、质疑、投诉，请按以下方式联系</w:t>
      </w:r>
    </w:p>
    <w:p w14:paraId="27667977">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1、招标人信息</w:t>
      </w:r>
    </w:p>
    <w:p w14:paraId="1B497020">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名称：宁波市镇海区贵驷街道社区卫生服务中心</w:t>
      </w:r>
    </w:p>
    <w:p w14:paraId="1FE52D62">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地址：宁波市镇海区镇骆西路1239号</w:t>
      </w:r>
    </w:p>
    <w:p w14:paraId="4015523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w:t>
      </w:r>
    </w:p>
    <w:p w14:paraId="407FDFF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项目联系人（询问）：钟老师 </w:t>
      </w:r>
    </w:p>
    <w:p w14:paraId="0B50810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项目联系方式（询问）：0574-86655160</w:t>
      </w:r>
    </w:p>
    <w:p w14:paraId="7B701B3D">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质疑联系人： 姚老师</w:t>
      </w:r>
    </w:p>
    <w:p w14:paraId="0AF5A3D9">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质疑联系方式：0574-56115319</w:t>
      </w:r>
    </w:p>
    <w:p w14:paraId="26B2338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2、采购代理机构信息</w:t>
      </w:r>
    </w:p>
    <w:p w14:paraId="3BDEE8CD">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名称：浙江中创招投标有限公司</w:t>
      </w:r>
    </w:p>
    <w:p w14:paraId="15905C5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地址：宁波市海曙区环城西路北段225号真如中心15楼</w:t>
      </w:r>
    </w:p>
    <w:p w14:paraId="37BA5E71">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传真：0574-87179089</w:t>
      </w:r>
    </w:p>
    <w:p w14:paraId="14F66BF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项目联系人（询问）：徐炅灵、何云海、李晶</w:t>
      </w:r>
    </w:p>
    <w:p w14:paraId="5A25BE5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项目联系方式（询问）：0574-27820692</w:t>
      </w:r>
    </w:p>
    <w:p w14:paraId="7F78A08C">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质疑联系人：周健</w:t>
      </w:r>
    </w:p>
    <w:p w14:paraId="3EDCBE62">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质疑联系方式：0574-27820697</w:t>
      </w:r>
    </w:p>
    <w:p w14:paraId="0C34166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3、同级政府采购监督管理部门</w:t>
      </w:r>
    </w:p>
    <w:p w14:paraId="18B684F2">
      <w:pPr>
        <w:spacing w:line="440" w:lineRule="exact"/>
        <w:ind w:firstLine="480" w:firstLineChars="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名称：宁波市镇海区政府采购管理办公室</w:t>
      </w:r>
    </w:p>
    <w:p w14:paraId="6B72961A">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p>
    <w:p w14:paraId="3A544F86">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w:t>
      </w:r>
    </w:p>
    <w:p w14:paraId="3C83CEF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联系人：金老师</w:t>
      </w:r>
    </w:p>
    <w:p w14:paraId="60282A8C">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监督投诉电话：0574-89389666</w:t>
      </w:r>
    </w:p>
    <w:p w14:paraId="61640D16">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若对项目采购电子交易系统操作有疑问，可登录政采云（https://www.zcygov.cn/），点击右侧咨询小采，获取采小蜜智能服务管家帮助，或拨打政采云服务热线95763获取热线服务帮助。CA问题联系电话（人工）：汇信CA 400-888-4636；天谷CA 400-087-8198。</w:t>
      </w:r>
    </w:p>
    <w:p w14:paraId="5D8D6FCD">
      <w:pPr>
        <w:pStyle w:val="4"/>
        <w:spacing w:before="0" w:after="0" w:line="48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bookmarkStart w:id="2" w:name="_Toc460416585"/>
      <w:bookmarkStart w:id="3" w:name="_Toc460857891"/>
      <w:bookmarkStart w:id="4" w:name="_Toc9016"/>
      <w:r>
        <w:rPr>
          <w:rFonts w:hint="eastAsia" w:asciiTheme="minorEastAsia" w:hAnsiTheme="minorEastAsia" w:eastAsiaTheme="minorEastAsia" w:cstheme="minorEastAsia"/>
          <w:color w:val="auto"/>
          <w:sz w:val="24"/>
          <w:szCs w:val="24"/>
        </w:rPr>
        <w:t>第二章  采购需求</w:t>
      </w:r>
      <w:bookmarkEnd w:id="2"/>
      <w:bookmarkEnd w:id="3"/>
      <w:bookmarkEnd w:id="4"/>
    </w:p>
    <w:p w14:paraId="41CA3962">
      <w:pPr>
        <w:pStyle w:val="5"/>
        <w:numPr>
          <w:ilvl w:val="0"/>
          <w:numId w:val="0"/>
        </w:numPr>
        <w:spacing w:before="0" w:after="0" w:line="440" w:lineRule="exact"/>
        <w:jc w:val="left"/>
        <w:rPr>
          <w:rFonts w:hint="eastAsia" w:asciiTheme="minorEastAsia" w:hAnsiTheme="minorEastAsia" w:eastAsiaTheme="minorEastAsia" w:cstheme="minorEastAsia"/>
          <w:color w:val="auto"/>
          <w:sz w:val="24"/>
          <w:szCs w:val="24"/>
        </w:rPr>
      </w:pPr>
      <w:bookmarkStart w:id="5" w:name="_Toc460857893"/>
      <w:bookmarkStart w:id="6" w:name="_Toc81480909"/>
      <w:bookmarkStart w:id="7" w:name="_Toc97725995"/>
      <w:bookmarkStart w:id="8" w:name="_Toc1069"/>
      <w:bookmarkStart w:id="9" w:name="_Toc460416635"/>
      <w:bookmarkStart w:id="10" w:name="_Toc460857892"/>
      <w:bookmarkStart w:id="11" w:name="_Toc304292160"/>
      <w:bookmarkStart w:id="12" w:name="_Toc460416586"/>
      <w:bookmarkStart w:id="13" w:name="_Toc460416331"/>
      <w:bookmarkStart w:id="14" w:name="_Toc317685546"/>
      <w:r>
        <w:rPr>
          <w:rFonts w:hint="eastAsia" w:asciiTheme="minorEastAsia" w:hAnsiTheme="minorEastAsia" w:eastAsiaTheme="minorEastAsia" w:cstheme="minorEastAsia"/>
          <w:color w:val="auto"/>
          <w:sz w:val="24"/>
          <w:szCs w:val="24"/>
        </w:rPr>
        <w:t>一、商务需求</w:t>
      </w:r>
      <w:bookmarkEnd w:id="5"/>
      <w:bookmarkEnd w:id="6"/>
      <w:bookmarkEnd w:id="7"/>
      <w:bookmarkEnd w:id="8"/>
    </w:p>
    <w:tbl>
      <w:tblPr>
        <w:tblStyle w:val="37"/>
        <w:tblW w:w="9584" w:type="dxa"/>
        <w:tblInd w:w="-37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79"/>
        <w:gridCol w:w="7805"/>
      </w:tblGrid>
      <w:tr w14:paraId="18318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Merge w:val="restart"/>
            <w:vAlign w:val="center"/>
          </w:tcPr>
          <w:p w14:paraId="61DFBDA2">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7805" w:type="dxa"/>
            <w:vAlign w:val="center"/>
          </w:tcPr>
          <w:p w14:paraId="05A13ECA">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1)交货时间（合同履约期限）：</w:t>
            </w:r>
            <w:r>
              <w:rPr>
                <w:rFonts w:hint="eastAsia" w:asciiTheme="minorEastAsia" w:hAnsiTheme="minorEastAsia" w:eastAsiaTheme="minorEastAsia" w:cstheme="minorEastAsia"/>
                <w:snapToGrid w:val="0"/>
                <w:color w:val="auto"/>
                <w:kern w:val="28"/>
                <w:sz w:val="24"/>
                <w:szCs w:val="24"/>
              </w:rPr>
              <w:t>合同签订并接招标人通知后3天内进场，10天内完成一级导视标识安装，20天内全部安装并调试完成，具体起始时间以招标人书面通知为准。</w:t>
            </w:r>
          </w:p>
        </w:tc>
      </w:tr>
      <w:tr w14:paraId="6E9CA0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Merge w:val="continue"/>
            <w:vAlign w:val="center"/>
          </w:tcPr>
          <w:p w14:paraId="4E84125C">
            <w:pPr>
              <w:spacing w:line="440" w:lineRule="exact"/>
              <w:ind w:firstLine="480" w:firstLineChars="200"/>
              <w:rPr>
                <w:rFonts w:hint="eastAsia" w:asciiTheme="minorEastAsia" w:hAnsiTheme="minorEastAsia" w:eastAsiaTheme="minorEastAsia" w:cstheme="minorEastAsia"/>
                <w:color w:val="auto"/>
                <w:sz w:val="24"/>
                <w:szCs w:val="24"/>
              </w:rPr>
            </w:pPr>
          </w:p>
        </w:tc>
        <w:tc>
          <w:tcPr>
            <w:tcW w:w="7805" w:type="dxa"/>
            <w:vAlign w:val="center"/>
          </w:tcPr>
          <w:p w14:paraId="15D2A586">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2)交货地点：招标人指定地点。</w:t>
            </w:r>
          </w:p>
        </w:tc>
      </w:tr>
      <w:tr w14:paraId="068AA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161B714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7805" w:type="dxa"/>
            <w:vAlign w:val="center"/>
          </w:tcPr>
          <w:p w14:paraId="5C7A0B4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应提供的伴随服务：设计、制作、安装、调试、培训、售后、质保等。</w:t>
            </w:r>
          </w:p>
        </w:tc>
      </w:tr>
      <w:tr w14:paraId="205BA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2866690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7805" w:type="dxa"/>
            <w:vAlign w:val="center"/>
          </w:tcPr>
          <w:p w14:paraId="4CEA6893">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质量保证：</w:t>
            </w:r>
          </w:p>
          <w:p w14:paraId="1EE21A09">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1.中标人确保提供的货物完全是崭新产品。所提供货物质量必须符合国家相关标准，必须满足本次采购的要求，若所供货物经产品质量检测机构检测认定质量不合格，造成的损失和后果由该投标人负全责。</w:t>
            </w:r>
          </w:p>
          <w:p w14:paraId="1531F06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2.质保期：验收合格并办理正式移交使用手续后,质保期≥7年，其中地贴类质保期≥5年，质保期内出现破损需要免费更新维修。</w:t>
            </w:r>
          </w:p>
        </w:tc>
      </w:tr>
      <w:tr w14:paraId="2B9D1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5BE6A521">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7805" w:type="dxa"/>
            <w:vAlign w:val="center"/>
          </w:tcPr>
          <w:p w14:paraId="1C785783">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付款方法和条件：</w:t>
            </w:r>
          </w:p>
          <w:p w14:paraId="48971E6C">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合同生效以及具备实施条件后7个工作日内，采购人凭中标供应商提供的预付款保函支付合同总价的40%预付款（中标人于合同签订前明确放弃预付款或降低预付款支付比例的，可不适用本条款且具体支付方式由双方在合同中自行约定）。</w:t>
            </w:r>
          </w:p>
          <w:p w14:paraId="4124DC12">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2.货到指定地点、安装完成并验收合格后，采购人向中标人支付至结算金额的100%。</w:t>
            </w:r>
          </w:p>
          <w:p w14:paraId="7FE644BB">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中标人应开具全额增值税发票，采购人自收到中标人提供的发票后 7 个工作日内支付，否则，采购人有权拒绝付款。</w:t>
            </w:r>
          </w:p>
        </w:tc>
      </w:tr>
      <w:tr w14:paraId="75E164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5FA90669">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7805" w:type="dxa"/>
            <w:vAlign w:val="center"/>
          </w:tcPr>
          <w:p w14:paraId="59CEF1AB">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备品备件及材料等要求：免费提供质保期内备品备件；投标人对主要产品须提供足够的备品备件、附件和耗材并保证是原厂生产，以满足正常运行的需要。</w:t>
            </w:r>
          </w:p>
        </w:tc>
      </w:tr>
      <w:tr w14:paraId="2542F8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7299AF86">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7805" w:type="dxa"/>
            <w:vAlign w:val="center"/>
          </w:tcPr>
          <w:p w14:paraId="5F71C165">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验收：验收在招标人指定地点进行。</w:t>
            </w:r>
          </w:p>
          <w:p w14:paraId="6945528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1、招标人根据招标文件和投标人提供的投标文件、中标人和招标人签订的政府采购合同要求，对投标响应设备技术性能指标进行验收。</w:t>
            </w:r>
          </w:p>
          <w:p w14:paraId="6404ED78">
            <w:pPr>
              <w:spacing w:line="440" w:lineRule="exact"/>
              <w:rPr>
                <w:rFonts w:hint="eastAsia" w:asciiTheme="minorEastAsia" w:hAnsiTheme="minorEastAsia" w:eastAsiaTheme="minorEastAsia" w:cstheme="minorEastAsia"/>
                <w:color w:val="auto"/>
                <w:sz w:val="24"/>
                <w:szCs w:val="24"/>
                <w:lang w:val="zh-TW"/>
              </w:rPr>
            </w:pPr>
            <w:r>
              <w:rPr>
                <w:rFonts w:hint="eastAsia" w:asciiTheme="minorEastAsia" w:hAnsiTheme="minorEastAsia" w:eastAsiaTheme="minorEastAsia" w:cstheme="minorEastAsia"/>
                <w:color w:val="auto"/>
                <w:sz w:val="24"/>
                <w:szCs w:val="24"/>
              </w:rPr>
              <w:t>2、验收合格的条件必须至少满足以下要求：已提供了合同要求的全部设备和资料；性能测试和试用期验收时出现的问题已被解决，技术指标满足合同要求，中标人履行完采购合同约定义务事项。</w:t>
            </w:r>
          </w:p>
        </w:tc>
      </w:tr>
      <w:tr w14:paraId="140DF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40FACB5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p>
        </w:tc>
        <w:tc>
          <w:tcPr>
            <w:tcW w:w="7805" w:type="dxa"/>
            <w:vAlign w:val="center"/>
          </w:tcPr>
          <w:p w14:paraId="53DB76E4">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其他说明：</w:t>
            </w:r>
          </w:p>
          <w:p w14:paraId="44FAA90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1、本招标所提的要求仅为主要要求，不应作为完整的详细的要求；</w:t>
            </w:r>
          </w:p>
          <w:p w14:paraId="07955A72">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2、投标人应对投标材料的一切专利承担责任，并负责保护招标人的利益不受损害；一切由于文字、商标和技术专利侵权引起的法律裁决、诉讼及其费用均与招标人无关。</w:t>
            </w:r>
          </w:p>
        </w:tc>
      </w:tr>
      <w:tr w14:paraId="55172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79" w:type="dxa"/>
            <w:vAlign w:val="center"/>
          </w:tcPr>
          <w:p w14:paraId="5D5C0DF1">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w:t>
            </w:r>
          </w:p>
        </w:tc>
        <w:tc>
          <w:tcPr>
            <w:tcW w:w="7805" w:type="dxa"/>
            <w:vAlign w:val="center"/>
          </w:tcPr>
          <w:p w14:paraId="2AAA195B">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售后服务要求：</w:t>
            </w:r>
          </w:p>
          <w:p w14:paraId="6AB3E1ED">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提供必要的售后服务人员以保证正常运行；</w:t>
            </w:r>
          </w:p>
          <w:p w14:paraId="78C59B68">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zh-CN"/>
              </w:rPr>
              <w:t>需提供专门的售后服务电话；</w:t>
            </w:r>
          </w:p>
          <w:p w14:paraId="4982C67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如有标识更换等紧急事项，</w:t>
            </w:r>
            <w:r>
              <w:rPr>
                <w:rFonts w:hint="eastAsia" w:asciiTheme="minorEastAsia" w:hAnsiTheme="minorEastAsia" w:eastAsiaTheme="minorEastAsia" w:cstheme="minorEastAsia"/>
                <w:color w:val="auto"/>
                <w:sz w:val="24"/>
                <w:szCs w:val="24"/>
                <w:lang w:val="zh-CN"/>
              </w:rPr>
              <w:t>投标人对用户的服务要求应在</w:t>
            </w: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val="zh-CN"/>
              </w:rPr>
              <w:t>小时内响应，</w:t>
            </w:r>
            <w:r>
              <w:rPr>
                <w:rFonts w:hint="eastAsia" w:asciiTheme="minorEastAsia" w:hAnsiTheme="minorEastAsia" w:eastAsiaTheme="minorEastAsia" w:cstheme="minorEastAsia"/>
                <w:color w:val="auto"/>
                <w:sz w:val="24"/>
                <w:szCs w:val="24"/>
              </w:rPr>
              <w:t>2</w:t>
            </w:r>
            <w:r>
              <w:rPr>
                <w:rFonts w:hint="eastAsia" w:asciiTheme="minorEastAsia" w:hAnsiTheme="minorEastAsia" w:eastAsiaTheme="minorEastAsia" w:cstheme="minorEastAsia"/>
                <w:color w:val="auto"/>
                <w:sz w:val="24"/>
                <w:szCs w:val="24"/>
                <w:lang w:val="zh-CN"/>
              </w:rPr>
              <w:t>小时内派人赴现场处理问题</w:t>
            </w: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sz w:val="24"/>
                <w:szCs w:val="24"/>
                <w:lang w:val="zh-CN"/>
              </w:rPr>
              <w:t>小时内无法修复的，</w:t>
            </w:r>
            <w:r>
              <w:rPr>
                <w:rFonts w:hint="eastAsia" w:asciiTheme="minorEastAsia" w:hAnsiTheme="minorEastAsia" w:eastAsiaTheme="minorEastAsia" w:cstheme="minorEastAsia"/>
                <w:color w:val="auto"/>
                <w:sz w:val="24"/>
                <w:szCs w:val="24"/>
              </w:rPr>
              <w:t>需立即更换新的货物，</w:t>
            </w:r>
            <w:r>
              <w:rPr>
                <w:rFonts w:hint="eastAsia" w:asciiTheme="minorEastAsia" w:hAnsiTheme="minorEastAsia" w:eastAsiaTheme="minorEastAsia" w:cstheme="minorEastAsia"/>
                <w:color w:val="auto"/>
                <w:sz w:val="24"/>
                <w:szCs w:val="24"/>
                <w:lang w:val="zh-CN"/>
              </w:rPr>
              <w:t>并由此产生的风险和费用由成交投标人承担</w:t>
            </w:r>
            <w:r>
              <w:rPr>
                <w:rFonts w:hint="eastAsia" w:asciiTheme="minorEastAsia" w:hAnsiTheme="minorEastAsia" w:eastAsiaTheme="minorEastAsia" w:cstheme="minorEastAsia"/>
                <w:color w:val="auto"/>
                <w:sz w:val="24"/>
                <w:szCs w:val="24"/>
              </w:rPr>
              <w:t>。</w:t>
            </w:r>
          </w:p>
        </w:tc>
      </w:tr>
      <w:tr w14:paraId="7C445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1779" w:type="dxa"/>
            <w:vAlign w:val="center"/>
          </w:tcPr>
          <w:p w14:paraId="258F628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w:t>
            </w:r>
          </w:p>
        </w:tc>
        <w:tc>
          <w:tcPr>
            <w:tcW w:w="7805" w:type="dxa"/>
            <w:vAlign w:val="center"/>
          </w:tcPr>
          <w:p w14:paraId="2941D1EB">
            <w:pPr>
              <w:pStyle w:val="34"/>
              <w:jc w:val="both"/>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投标人需自行前往踏勘，风险自担，请提前与招标人联系！</w:t>
            </w:r>
          </w:p>
          <w:p w14:paraId="146D9F0A">
            <w:pPr>
              <w:pStyle w:val="34"/>
              <w:jc w:val="both"/>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联系人：姚老师</w:t>
            </w:r>
          </w:p>
          <w:p w14:paraId="52FC7318">
            <w:pPr>
              <w:pStyle w:val="34"/>
              <w:jc w:val="both"/>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联系电话：</w:t>
            </w:r>
            <w:r>
              <w:rPr>
                <w:rFonts w:hint="eastAsia" w:asciiTheme="minorEastAsia" w:hAnsiTheme="minorEastAsia" w:eastAsiaTheme="minorEastAsia" w:cstheme="minorEastAsia"/>
                <w:color w:val="auto"/>
                <w:sz w:val="24"/>
                <w:szCs w:val="24"/>
              </w:rPr>
              <w:t>0574-56115319</w:t>
            </w:r>
          </w:p>
          <w:p w14:paraId="42430D6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注：请各投标人提前一天与招标人联系，按照业主单位要求办理相关进入手续。</w:t>
            </w:r>
          </w:p>
        </w:tc>
      </w:tr>
    </w:tbl>
    <w:p w14:paraId="482CD769">
      <w:pPr>
        <w:spacing w:line="360" w:lineRule="auto"/>
        <w:ind w:firstLine="480"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bookmarkEnd w:id="9"/>
      <w:bookmarkEnd w:id="10"/>
      <w:bookmarkEnd w:id="11"/>
      <w:bookmarkEnd w:id="12"/>
      <w:bookmarkEnd w:id="13"/>
      <w:bookmarkEnd w:id="14"/>
      <w:bookmarkStart w:id="15" w:name="_Toc460857895"/>
      <w:bookmarkStart w:id="16" w:name="_Toc31992"/>
      <w:bookmarkStart w:id="17" w:name="_Toc460416594"/>
      <w:r>
        <w:rPr>
          <w:rFonts w:hint="eastAsia" w:asciiTheme="minorEastAsia" w:hAnsiTheme="minorEastAsia" w:eastAsiaTheme="minorEastAsia" w:cstheme="minorEastAsia"/>
          <w:b/>
          <w:color w:val="auto"/>
          <w:sz w:val="24"/>
          <w:szCs w:val="24"/>
        </w:rPr>
        <w:t>二、采购需求清单</w:t>
      </w:r>
    </w:p>
    <w:p w14:paraId="70A34B6E">
      <w:pPr>
        <w:pStyle w:val="158"/>
        <w:ind w:firstLine="562"/>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（一）医院导视系统规划设计制作清单</w:t>
      </w:r>
    </w:p>
    <w:tbl>
      <w:tblPr>
        <w:tblStyle w:val="37"/>
        <w:tblW w:w="10322" w:type="dxa"/>
        <w:jc w:val="center"/>
        <w:tblLayout w:type="fixed"/>
        <w:tblCellMar>
          <w:top w:w="0" w:type="dxa"/>
          <w:left w:w="0" w:type="dxa"/>
          <w:bottom w:w="0" w:type="dxa"/>
          <w:right w:w="0" w:type="dxa"/>
        </w:tblCellMar>
      </w:tblPr>
      <w:tblGrid>
        <w:gridCol w:w="645"/>
        <w:gridCol w:w="1878"/>
        <w:gridCol w:w="2442"/>
        <w:gridCol w:w="2274"/>
        <w:gridCol w:w="1430"/>
        <w:gridCol w:w="148"/>
        <w:gridCol w:w="615"/>
        <w:gridCol w:w="890"/>
      </w:tblGrid>
      <w:tr w14:paraId="017BA3EF">
        <w:tblPrEx>
          <w:tblCellMar>
            <w:top w:w="0" w:type="dxa"/>
            <w:left w:w="0" w:type="dxa"/>
            <w:bottom w:w="0" w:type="dxa"/>
            <w:right w:w="0" w:type="dxa"/>
          </w:tblCellMar>
        </w:tblPrEx>
        <w:trPr>
          <w:trHeight w:val="405" w:hRule="atLeast"/>
          <w:jc w:val="center"/>
        </w:trPr>
        <w:tc>
          <w:tcPr>
            <w:tcW w:w="10322"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34C1B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1.医院导视系统规划设计清单</w:t>
            </w:r>
          </w:p>
        </w:tc>
      </w:tr>
      <w:tr w14:paraId="3F9FD0C8">
        <w:tblPrEx>
          <w:tblCellMar>
            <w:top w:w="0" w:type="dxa"/>
            <w:left w:w="0" w:type="dxa"/>
            <w:bottom w:w="0" w:type="dxa"/>
            <w:right w:w="0" w:type="dxa"/>
          </w:tblCellMar>
        </w:tblPrEx>
        <w:trPr>
          <w:trHeight w:val="90" w:hRule="atLeast"/>
          <w:jc w:val="center"/>
        </w:trPr>
        <w:tc>
          <w:tcPr>
            <w:tcW w:w="25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824BA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614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68A41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项目内容</w:t>
            </w:r>
          </w:p>
        </w:tc>
        <w:tc>
          <w:tcPr>
            <w:tcW w:w="7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76B0F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D83D9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p w14:paraId="7325D6F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（预估）</w:t>
            </w:r>
          </w:p>
        </w:tc>
      </w:tr>
      <w:tr w14:paraId="5A67AA07">
        <w:tblPrEx>
          <w:tblCellMar>
            <w:top w:w="0" w:type="dxa"/>
            <w:left w:w="0" w:type="dxa"/>
            <w:bottom w:w="0" w:type="dxa"/>
            <w:right w:w="0" w:type="dxa"/>
          </w:tblCellMar>
        </w:tblPrEx>
        <w:trPr>
          <w:trHeight w:val="5257" w:hRule="atLeast"/>
          <w:jc w:val="center"/>
        </w:trPr>
        <w:tc>
          <w:tcPr>
            <w:tcW w:w="252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CEB79C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p>
        </w:tc>
        <w:tc>
          <w:tcPr>
            <w:tcW w:w="244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2B189C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外环境导视系统设计</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（一级导视）</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10AF4F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1）医院名称楼体标识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备注：（以上项目需根据医院实际楼宇名称制定设计项目）</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2）医院入口医院名称标识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3)医院入口精神堡垒</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4)户外道路指引牌（立地式）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5)户外道路指引牌（贴墙式）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6)建筑物出入口标识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7)户外机动车交通标识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8)停车场指引牌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9)非机动车泊车标识</w:t>
            </w:r>
          </w:p>
        </w:tc>
        <w:tc>
          <w:tcPr>
            <w:tcW w:w="7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2D8A5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1DDC54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7D857EAB">
        <w:tblPrEx>
          <w:tblCellMar>
            <w:top w:w="0" w:type="dxa"/>
            <w:left w:w="0" w:type="dxa"/>
            <w:bottom w:w="0" w:type="dxa"/>
            <w:right w:w="0" w:type="dxa"/>
          </w:tblCellMar>
        </w:tblPrEx>
        <w:trPr>
          <w:trHeight w:val="3113" w:hRule="atLeast"/>
          <w:jc w:val="center"/>
        </w:trPr>
        <w:tc>
          <w:tcPr>
            <w:tcW w:w="252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A48C24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w:t>
            </w:r>
          </w:p>
        </w:tc>
        <w:tc>
          <w:tcPr>
            <w:tcW w:w="244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A2A275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内环境导视系统标识设计</w:t>
            </w:r>
          </w:p>
          <w:p w14:paraId="32980A5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（二级导视）</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776417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1）大厅楼层总索引</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2)主通道道路指引牌（悬吊式）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3)道路指引牌（贴墙式）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4)功能区指引牌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5)通道出入口标识牌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6)电梯厅楼层索引</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7)电梯内楼层索引</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8)手扶梯楼层索引</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9)分诊区标识牌</w:t>
            </w:r>
          </w:p>
        </w:tc>
        <w:tc>
          <w:tcPr>
            <w:tcW w:w="7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7D14F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EDBAFA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442335AE">
        <w:tblPrEx>
          <w:tblCellMar>
            <w:top w:w="0" w:type="dxa"/>
            <w:left w:w="0" w:type="dxa"/>
            <w:bottom w:w="0" w:type="dxa"/>
            <w:right w:w="0" w:type="dxa"/>
          </w:tblCellMar>
        </w:tblPrEx>
        <w:trPr>
          <w:trHeight w:val="4183" w:hRule="atLeast"/>
          <w:jc w:val="center"/>
        </w:trPr>
        <w:tc>
          <w:tcPr>
            <w:tcW w:w="252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52396E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w:t>
            </w:r>
          </w:p>
        </w:tc>
        <w:tc>
          <w:tcPr>
            <w:tcW w:w="244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4D7CB9A">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内环境导视系统标识设计</w:t>
            </w:r>
          </w:p>
          <w:p w14:paraId="5045123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（三级导视）</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CCBC7E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1)服务台标识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2)科室制度、流程栏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3)护士站标识牌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4)病人护理信息栏</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5)各个窗口标识牌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6)消防疏散图</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7)洗手间入口标识（侧挂）</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8)地下车库标识</w:t>
            </w:r>
          </w:p>
        </w:tc>
        <w:tc>
          <w:tcPr>
            <w:tcW w:w="7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0020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ABD591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0B277778">
        <w:tblPrEx>
          <w:tblCellMar>
            <w:top w:w="0" w:type="dxa"/>
            <w:left w:w="0" w:type="dxa"/>
            <w:bottom w:w="0" w:type="dxa"/>
            <w:right w:w="0" w:type="dxa"/>
          </w:tblCellMar>
        </w:tblPrEx>
        <w:trPr>
          <w:trHeight w:val="8200" w:hRule="atLeast"/>
          <w:jc w:val="center"/>
        </w:trPr>
        <w:tc>
          <w:tcPr>
            <w:tcW w:w="252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AFF366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w:t>
            </w:r>
          </w:p>
        </w:tc>
        <w:tc>
          <w:tcPr>
            <w:tcW w:w="244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6CA40C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内环境导视系统标识设计</w:t>
            </w:r>
          </w:p>
          <w:p w14:paraId="5D1FCC2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（四级导视）</w:t>
            </w:r>
          </w:p>
        </w:tc>
        <w:tc>
          <w:tcPr>
            <w:tcW w:w="3704"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412A90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1)洗手间（公用）</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2)洗手间（男、女、无障碍）</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3)诊室门牌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4)科室门牌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5)病房门牌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6)床头牌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7)楼梯标识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8)楼层号标识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9)电梯标识（客梯、手术梯等）</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10)温馨提示牌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11)警示牌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12)桌面台牌</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13)玻璃防撞带</w:t>
            </w:r>
          </w:p>
        </w:tc>
        <w:tc>
          <w:tcPr>
            <w:tcW w:w="76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9266B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5CD463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63E0D616">
        <w:tblPrEx>
          <w:tblCellMar>
            <w:top w:w="0" w:type="dxa"/>
            <w:left w:w="0" w:type="dxa"/>
            <w:bottom w:w="0" w:type="dxa"/>
            <w:right w:w="0" w:type="dxa"/>
          </w:tblCellMar>
        </w:tblPrEx>
        <w:trPr>
          <w:trHeight w:val="550" w:hRule="atLeast"/>
          <w:jc w:val="center"/>
        </w:trPr>
        <w:tc>
          <w:tcPr>
            <w:tcW w:w="10322"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2F984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施工清单</w:t>
            </w:r>
          </w:p>
        </w:tc>
      </w:tr>
      <w:tr w14:paraId="14365882">
        <w:tblPrEx>
          <w:tblCellMar>
            <w:top w:w="0" w:type="dxa"/>
            <w:left w:w="0" w:type="dxa"/>
            <w:bottom w:w="0" w:type="dxa"/>
            <w:right w:w="0" w:type="dxa"/>
          </w:tblCellMar>
        </w:tblPrEx>
        <w:trPr>
          <w:trHeight w:val="659" w:hRule="atLeast"/>
          <w:jc w:val="center"/>
        </w:trPr>
        <w:tc>
          <w:tcPr>
            <w:tcW w:w="10322" w:type="dxa"/>
            <w:gridSpan w:val="8"/>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06112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2.一级导视（户外+地库导视落地）</w:t>
            </w:r>
          </w:p>
        </w:tc>
      </w:tr>
      <w:tr w14:paraId="045FEF30">
        <w:tblPrEx>
          <w:tblCellMar>
            <w:top w:w="0" w:type="dxa"/>
            <w:left w:w="0" w:type="dxa"/>
            <w:bottom w:w="0" w:type="dxa"/>
            <w:right w:w="0"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4C140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8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3DDB6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244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20D78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参考图片</w:t>
            </w:r>
          </w:p>
        </w:tc>
        <w:tc>
          <w:tcPr>
            <w:tcW w:w="227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8BAA8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材料与工艺</w:t>
            </w:r>
          </w:p>
        </w:tc>
        <w:tc>
          <w:tcPr>
            <w:tcW w:w="157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88C64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规格尺寸</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（预估）</w:t>
            </w:r>
          </w:p>
        </w:tc>
        <w:tc>
          <w:tcPr>
            <w:tcW w:w="6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D72C1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ABEC09">
            <w:pPr>
              <w:spacing w:beforeLine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p w14:paraId="2A60A8C0">
            <w:pPr>
              <w:spacing w:beforeLine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（预估）</w:t>
            </w:r>
          </w:p>
        </w:tc>
      </w:tr>
      <w:tr w14:paraId="62E24612">
        <w:tblPrEx>
          <w:tblCellMar>
            <w:top w:w="0" w:type="dxa"/>
            <w:left w:w="0" w:type="dxa"/>
            <w:bottom w:w="0" w:type="dxa"/>
            <w:right w:w="0" w:type="dxa"/>
          </w:tblCellMar>
        </w:tblPrEx>
        <w:trPr>
          <w:trHeight w:val="2743"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1D219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w:t>
            </w:r>
          </w:p>
        </w:tc>
        <w:tc>
          <w:tcPr>
            <w:tcW w:w="18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60B1B08">
            <w:pPr>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高空作业发光字（医院名称楼体发光字等）</w:t>
            </w:r>
          </w:p>
        </w:tc>
        <w:tc>
          <w:tcPr>
            <w:tcW w:w="244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823A89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387350</wp:posOffset>
                  </wp:positionH>
                  <wp:positionV relativeFrom="paragraph">
                    <wp:posOffset>167005</wp:posOffset>
                  </wp:positionV>
                  <wp:extent cx="877570" cy="1459230"/>
                  <wp:effectExtent l="0" t="0" r="11430" b="1270"/>
                  <wp:wrapNone/>
                  <wp:docPr id="2" name="ID_8220D968C5784E6D80C6A6850A798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D_8220D968C5784E6D80C6A6850A798B1E"/>
                          <pic:cNvPicPr>
                            <a:picLocks noChangeAspect="1"/>
                          </pic:cNvPicPr>
                        </pic:nvPicPr>
                        <pic:blipFill>
                          <a:blip r:embed="rId17"/>
                          <a:stretch>
                            <a:fillRect/>
                          </a:stretch>
                        </pic:blipFill>
                        <pic:spPr>
                          <a:xfrm>
                            <a:off x="0" y="0"/>
                            <a:ext cx="877570" cy="145923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5AF5A598">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1.2mm304不锈钢金属灯箱，内置镀锌方管架支撑结构，表面标准色氟碳烤漆，表面5mm厚亚克力覆冲孔透光膜，内置LED防水模组光源，夜晚发光。</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2E7650">
            <w:pPr>
              <w:spacing w:beforeLine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实地勘察</w:t>
            </w:r>
          </w:p>
          <w:p w14:paraId="3208DD43">
            <w:pPr>
              <w:spacing w:beforeLines="50"/>
              <w:jc w:val="center"/>
              <w:rPr>
                <w:rFonts w:hint="eastAsia" w:asciiTheme="minorEastAsia" w:hAnsiTheme="minorEastAsia" w:eastAsiaTheme="minorEastAsia" w:cstheme="minorEastAsia"/>
                <w:color w:val="auto"/>
                <w:sz w:val="24"/>
                <w:szCs w:val="24"/>
              </w:rPr>
            </w:pPr>
          </w:p>
        </w:tc>
        <w:tc>
          <w:tcPr>
            <w:tcW w:w="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CD0B7E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9AFCC7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150</w:t>
            </w:r>
          </w:p>
        </w:tc>
      </w:tr>
      <w:tr w14:paraId="21BBD284">
        <w:tblPrEx>
          <w:tblCellMar>
            <w:top w:w="0" w:type="dxa"/>
            <w:left w:w="0" w:type="dxa"/>
            <w:bottom w:w="0" w:type="dxa"/>
            <w:right w:w="0" w:type="dxa"/>
          </w:tblCellMar>
        </w:tblPrEx>
        <w:trPr>
          <w:trHeight w:val="118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E1EC7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w:t>
            </w:r>
          </w:p>
        </w:tc>
        <w:tc>
          <w:tcPr>
            <w:tcW w:w="187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B62C5C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非高空作业</w:t>
            </w:r>
          </w:p>
          <w:p w14:paraId="4FCA9DF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发光字（医院入口名称、出入口门急诊、户外引导标识等）</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3091BCF">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1.2mm304不锈钢金属立体字，定制加工，现场热镀锌方管背架固定，成品安装。立体字侧面标准色氟碳烤漆，表面5mm亚克力板覆面，内置发光模组，夜晚发光。</w:t>
            </w:r>
          </w:p>
          <w:p w14:paraId="6819BAFA">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（1）医院入口名称：1.2mm304不锈钢金属立体字，焊接打磨表面标准色氟碳烤漆，定制加工，现场成品安装。</w:t>
            </w:r>
          </w:p>
          <w:p w14:paraId="69950823">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（2）出入口（门、急诊）：1.2mm304不锈钢金属立体字，定制加工，现场热镀锌方管背架固定，成品安装。立体字侧面标准色氟碳烤漆，表面5mm亚克力板覆面，内置发光模组，夜晚发光。</w:t>
            </w:r>
          </w:p>
          <w:p w14:paraId="168E35DD">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（3）户外引导标识：挖基础，浇筑水泥，1.5mm不锈钢围边焊接表面碳烤漆；2mm不锈钢+10mm乳白亚克力镂空镇嵌背发光立体字，两侧发光效果。</w:t>
            </w:r>
          </w:p>
        </w:tc>
        <w:tc>
          <w:tcPr>
            <w:tcW w:w="6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2BE6D2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1E71CF0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w:t>
            </w:r>
          </w:p>
        </w:tc>
      </w:tr>
      <w:tr w14:paraId="0B52161E">
        <w:tblPrEx>
          <w:tblCellMar>
            <w:top w:w="0" w:type="dxa"/>
            <w:left w:w="0" w:type="dxa"/>
            <w:bottom w:w="0" w:type="dxa"/>
            <w:right w:w="0" w:type="dxa"/>
          </w:tblCellMar>
        </w:tblPrEx>
        <w:trPr>
          <w:trHeight w:val="675"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68C12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w:t>
            </w:r>
          </w:p>
        </w:tc>
        <w:tc>
          <w:tcPr>
            <w:tcW w:w="1878"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5976538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雪弗板</w:t>
            </w:r>
          </w:p>
        </w:tc>
        <w:tc>
          <w:tcPr>
            <w:tcW w:w="6294" w:type="dxa"/>
            <w:gridSpan w:val="4"/>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FB902D0">
            <w:pPr>
              <w:spacing w:beforeLines="5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10mm高密度雪弗板正侧面烤漆，内容信息UV:无烟医院标识牌、地库出入口扫码牌等</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D6EA5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F64DD3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r>
      <w:tr w14:paraId="0BA74FF8">
        <w:tblPrEx>
          <w:tblCellMar>
            <w:top w:w="0" w:type="dxa"/>
            <w:left w:w="0" w:type="dxa"/>
            <w:bottom w:w="0" w:type="dxa"/>
            <w:right w:w="0" w:type="dxa"/>
          </w:tblCellMar>
        </w:tblPrEx>
        <w:trPr>
          <w:trHeight w:val="470" w:hRule="atLeast"/>
          <w:jc w:val="center"/>
        </w:trPr>
        <w:tc>
          <w:tcPr>
            <w:tcW w:w="10322" w:type="dxa"/>
            <w:gridSpan w:val="8"/>
            <w:tcBorders>
              <w:top w:val="single" w:color="000000" w:sz="4" w:space="0"/>
              <w:left w:val="single" w:color="000000" w:sz="4" w:space="0"/>
              <w:bottom w:val="single" w:color="000000" w:sz="4" w:space="0"/>
              <w:right w:val="nil"/>
            </w:tcBorders>
            <w:tcMar>
              <w:top w:w="15" w:type="dxa"/>
              <w:left w:w="15" w:type="dxa"/>
              <w:right w:w="15" w:type="dxa"/>
            </w:tcMar>
            <w:vAlign w:val="center"/>
          </w:tcPr>
          <w:p w14:paraId="144B3D4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3.二级导视</w:t>
            </w:r>
          </w:p>
        </w:tc>
      </w:tr>
      <w:tr w14:paraId="0750423F">
        <w:tblPrEx>
          <w:tblCellMar>
            <w:top w:w="0" w:type="dxa"/>
            <w:left w:w="0" w:type="dxa"/>
            <w:bottom w:w="0" w:type="dxa"/>
            <w:right w:w="0" w:type="dxa"/>
          </w:tblCellMar>
        </w:tblPrEx>
        <w:trPr>
          <w:trHeight w:val="184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D0189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37354F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电梯号标识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1CDA8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174625</wp:posOffset>
                  </wp:positionH>
                  <wp:positionV relativeFrom="paragraph">
                    <wp:posOffset>74930</wp:posOffset>
                  </wp:positionV>
                  <wp:extent cx="990600" cy="988060"/>
                  <wp:effectExtent l="0" t="0" r="0" b="2540"/>
                  <wp:wrapNone/>
                  <wp:docPr id="3" name="ID_BDBCB9D3725F4350AC926EEFEE34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BDBCB9D3725F4350AC926EEFEE340637"/>
                          <pic:cNvPicPr>
                            <a:picLocks noChangeAspect="1"/>
                          </pic:cNvPicPr>
                        </pic:nvPicPr>
                        <pic:blipFill>
                          <a:blip r:embed="rId18"/>
                          <a:stretch>
                            <a:fillRect/>
                          </a:stretch>
                        </pic:blipFill>
                        <pic:spPr>
                          <a:xfrm>
                            <a:off x="0" y="0"/>
                            <a:ext cx="990600" cy="98806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AB26C5">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1.2mm不锈钢烤漆立体字</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A55D6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中文200mm*200mm</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英文90mm*90mm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32D42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E4E7B2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40</w:t>
            </w:r>
          </w:p>
        </w:tc>
      </w:tr>
      <w:tr w14:paraId="0FBC97E2">
        <w:tblPrEx>
          <w:tblCellMar>
            <w:top w:w="0" w:type="dxa"/>
            <w:left w:w="0" w:type="dxa"/>
            <w:bottom w:w="0" w:type="dxa"/>
            <w:right w:w="0" w:type="dxa"/>
          </w:tblCellMar>
        </w:tblPrEx>
        <w:trPr>
          <w:trHeight w:val="214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E0E6F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3CC326">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电梯厅楼层索引标识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F1AC0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161925</wp:posOffset>
                  </wp:positionH>
                  <wp:positionV relativeFrom="paragraph">
                    <wp:posOffset>33655</wp:posOffset>
                  </wp:positionV>
                  <wp:extent cx="853440" cy="1279525"/>
                  <wp:effectExtent l="0" t="0" r="10160" b="3175"/>
                  <wp:wrapNone/>
                  <wp:docPr id="4" name="ID_C419090ED85A41C296B46B259EF191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C419090ED85A41C296B46B259EF191BB"/>
                          <pic:cNvPicPr>
                            <a:picLocks noChangeAspect="1"/>
                          </pic:cNvPicPr>
                        </pic:nvPicPr>
                        <pic:blipFill>
                          <a:blip r:embed="rId19"/>
                          <a:stretch>
                            <a:fillRect/>
                          </a:stretch>
                        </pic:blipFill>
                        <pic:spPr>
                          <a:xfrm>
                            <a:off x="0" y="0"/>
                            <a:ext cx="853440" cy="1279525"/>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D4C16D3">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1.2mm镀锌板弯焊接成型内容高透写真贴，</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部分内容亚克力立体字，信息可替换</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D8A5A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1800mm*700mm*20mm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F0DCD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375DBE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w:t>
            </w:r>
          </w:p>
        </w:tc>
      </w:tr>
      <w:tr w14:paraId="139B4A7F">
        <w:tblPrEx>
          <w:tblCellMar>
            <w:top w:w="0" w:type="dxa"/>
            <w:left w:w="0" w:type="dxa"/>
            <w:bottom w:w="0" w:type="dxa"/>
            <w:right w:w="0" w:type="dxa"/>
          </w:tblCellMar>
        </w:tblPrEx>
        <w:trPr>
          <w:trHeight w:val="192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F454B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B9C64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电梯内楼层索引</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74D0D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247650</wp:posOffset>
                  </wp:positionH>
                  <wp:positionV relativeFrom="paragraph">
                    <wp:posOffset>109220</wp:posOffset>
                  </wp:positionV>
                  <wp:extent cx="724535" cy="1086485"/>
                  <wp:effectExtent l="0" t="0" r="12065" b="5715"/>
                  <wp:wrapNone/>
                  <wp:docPr id="5" name="ID_E95B2F024FF844489C0512194A334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E95B2F024FF844489C0512194A334BAE"/>
                          <pic:cNvPicPr>
                            <a:picLocks noChangeAspect="1"/>
                          </pic:cNvPicPr>
                        </pic:nvPicPr>
                        <pic:blipFill>
                          <a:blip r:embed="rId20"/>
                          <a:stretch>
                            <a:fillRect/>
                          </a:stretch>
                        </pic:blipFill>
                        <pic:spPr>
                          <a:xfrm>
                            <a:off x="0" y="0"/>
                            <a:ext cx="724535" cy="1086485"/>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0513D9">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1.2mm镀锌板烤漆折边造型，内容高透写真贴,</w:t>
            </w:r>
          </w:p>
          <w:p w14:paraId="43224298">
            <w:pPr>
              <w:pStyle w:val="2"/>
              <w:ind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color w:val="auto"/>
                <w:sz w:val="24"/>
                <w:szCs w:val="24"/>
                <w:lang w:val="en-US" w:eastAsia="zh-CN"/>
              </w:rPr>
              <w:t>部分内容亚克力立体字，信息可替换</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047C01">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1200mm*800mm*20mm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B4DA3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DDFA03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r>
      <w:tr w14:paraId="2314F53A">
        <w:tblPrEx>
          <w:tblCellMar>
            <w:top w:w="0" w:type="dxa"/>
            <w:left w:w="0" w:type="dxa"/>
            <w:bottom w:w="0" w:type="dxa"/>
            <w:right w:w="0"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E48E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3.4</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788C9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悬挂导视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9D2BC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140335</wp:posOffset>
                  </wp:positionH>
                  <wp:positionV relativeFrom="paragraph">
                    <wp:posOffset>233045</wp:posOffset>
                  </wp:positionV>
                  <wp:extent cx="1402080" cy="989330"/>
                  <wp:effectExtent l="0" t="0" r="7620" b="1270"/>
                  <wp:wrapNone/>
                  <wp:docPr id="6" name="ID_CD4D8D94DDF44A5ABE31A9549C4B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CD4D8D94DDF44A5ABE31A9549C4B3936"/>
                          <pic:cNvPicPr>
                            <a:picLocks noChangeAspect="1"/>
                          </pic:cNvPicPr>
                        </pic:nvPicPr>
                        <pic:blipFill>
                          <a:blip r:embed="rId21"/>
                          <a:stretch>
                            <a:fillRect/>
                          </a:stretch>
                        </pic:blipFill>
                        <pic:spPr>
                          <a:xfrm>
                            <a:off x="0" y="0"/>
                            <a:ext cx="1402080" cy="98933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D4B00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一、主骨架为140多功能造型组合不锈钢</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箱体，打磨批腻子喷底漆,再打磨批腻子,</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分段烤氟碳漆。</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二、表面透明车贴（可更换）或烤漆UV</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三、定制专用镙杆吊件吸顶安装。</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705237">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2400mm*400mm*80mm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E18A7B">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2B4332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w:t>
            </w:r>
          </w:p>
        </w:tc>
      </w:tr>
      <w:tr w14:paraId="4324F2F2">
        <w:tblPrEx>
          <w:tblCellMar>
            <w:top w:w="0" w:type="dxa"/>
            <w:left w:w="0" w:type="dxa"/>
            <w:bottom w:w="0" w:type="dxa"/>
            <w:right w:w="0" w:type="dxa"/>
          </w:tblCellMar>
        </w:tblPrEx>
        <w:trPr>
          <w:trHeight w:val="134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08816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62C2E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门楣标识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5BDC0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215900</wp:posOffset>
                  </wp:positionH>
                  <wp:positionV relativeFrom="paragraph">
                    <wp:posOffset>76835</wp:posOffset>
                  </wp:positionV>
                  <wp:extent cx="1132840" cy="755015"/>
                  <wp:effectExtent l="0" t="0" r="10160" b="6985"/>
                  <wp:wrapNone/>
                  <wp:docPr id="7" name="ID_F158A0ACA5ED43539850C383CD7EB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F158A0ACA5ED43539850C383CD7EB65A"/>
                          <pic:cNvPicPr>
                            <a:picLocks noChangeAspect="1"/>
                          </pic:cNvPicPr>
                        </pic:nvPicPr>
                        <pic:blipFill>
                          <a:blip r:embed="rId22"/>
                          <a:stretch>
                            <a:fillRect/>
                          </a:stretch>
                        </pic:blipFill>
                        <pic:spPr>
                          <a:xfrm>
                            <a:off x="0" y="0"/>
                            <a:ext cx="1132840" cy="755015"/>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459538">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 不锈钢烤漆折边造型，内容部分高透写真贴</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B8803">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1500mm*300mm*40mm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BA466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2BBFD7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w:t>
            </w:r>
          </w:p>
        </w:tc>
      </w:tr>
      <w:tr w14:paraId="1A043D9C">
        <w:tblPrEx>
          <w:tblCellMar>
            <w:top w:w="0" w:type="dxa"/>
            <w:left w:w="0" w:type="dxa"/>
            <w:bottom w:w="0" w:type="dxa"/>
            <w:right w:w="0" w:type="dxa"/>
          </w:tblCellMar>
        </w:tblPrEx>
        <w:trPr>
          <w:trHeight w:val="18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3A7F1F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3.6</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116D4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墙面快速索引</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40AA0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255270</wp:posOffset>
                  </wp:positionH>
                  <wp:positionV relativeFrom="paragraph">
                    <wp:posOffset>52705</wp:posOffset>
                  </wp:positionV>
                  <wp:extent cx="1043305" cy="1060450"/>
                  <wp:effectExtent l="0" t="0" r="10795" b="6350"/>
                  <wp:wrapNone/>
                  <wp:docPr id="8" name="ID_21E76DCD029346148D517C69D67DB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D_21E76DCD029346148D517C69D67DB29D"/>
                          <pic:cNvPicPr>
                            <a:picLocks noChangeAspect="1"/>
                          </pic:cNvPicPr>
                        </pic:nvPicPr>
                        <pic:blipFill>
                          <a:blip r:embed="rId23"/>
                          <a:stretch>
                            <a:fillRect/>
                          </a:stretch>
                        </pic:blipFill>
                        <pic:spPr>
                          <a:xfrm>
                            <a:off x="0" y="0"/>
                            <a:ext cx="1043305" cy="106045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9B3B26F">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1.2mm镀锌板弯焊接成型，内容高透写真贴，</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部分内容亚克力立体字，信息可替换</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48A5D3C">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1000mm*1500mm*10mm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6BB4C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B097AA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r>
      <w:tr w14:paraId="60A4E842">
        <w:tblPrEx>
          <w:tblCellMar>
            <w:top w:w="0" w:type="dxa"/>
            <w:left w:w="0" w:type="dxa"/>
            <w:bottom w:w="0" w:type="dxa"/>
            <w:right w:w="0" w:type="dxa"/>
          </w:tblCellMar>
        </w:tblPrEx>
        <w:trPr>
          <w:trHeight w:val="549"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A608C8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3.7</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FEC4D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雪弗板</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B395A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10mm高密度雪弗板正侧面烤漆，内容信息UV：地库指示标识、电梯厅楼层索引标识（消防电梯）、电梯内楼层索引（消防电梯）等</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6F80C550">
            <w:pPr>
              <w:spacing w:beforeLines="50"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14:paraId="3D474EE6">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34</w:t>
            </w:r>
          </w:p>
        </w:tc>
      </w:tr>
      <w:tr w14:paraId="675C3C42">
        <w:tblPrEx>
          <w:tblCellMar>
            <w:top w:w="0" w:type="dxa"/>
            <w:left w:w="0" w:type="dxa"/>
            <w:bottom w:w="0" w:type="dxa"/>
            <w:right w:w="0" w:type="dxa"/>
          </w:tblCellMar>
        </w:tblPrEx>
        <w:trPr>
          <w:trHeight w:val="9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26518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3.8</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36D2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亚克力</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2A8D3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5+5mm亚克力激光切割，汽车烤漆正侧面，图文UV打印：电梯内插卡标识、楼梯楼层牌等</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A165FE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14:paraId="00E2C13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w:t>
            </w:r>
          </w:p>
        </w:tc>
      </w:tr>
      <w:tr w14:paraId="343817D1">
        <w:tblPrEx>
          <w:tblCellMar>
            <w:top w:w="0" w:type="dxa"/>
            <w:left w:w="0" w:type="dxa"/>
            <w:bottom w:w="0" w:type="dxa"/>
            <w:right w:w="0" w:type="dxa"/>
          </w:tblCellMar>
        </w:tblPrEx>
        <w:trPr>
          <w:trHeight w:val="465" w:hRule="atLeast"/>
          <w:jc w:val="center"/>
        </w:trPr>
        <w:tc>
          <w:tcPr>
            <w:tcW w:w="10322" w:type="dxa"/>
            <w:gridSpan w:val="8"/>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60A54F14">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4.三级导视</w:t>
            </w:r>
          </w:p>
        </w:tc>
      </w:tr>
      <w:tr w14:paraId="6AEDF54D">
        <w:tblPrEx>
          <w:tblCellMar>
            <w:top w:w="0" w:type="dxa"/>
            <w:left w:w="0" w:type="dxa"/>
            <w:bottom w:w="0" w:type="dxa"/>
            <w:right w:w="0" w:type="dxa"/>
          </w:tblCellMar>
        </w:tblPrEx>
        <w:trPr>
          <w:trHeight w:val="13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49B6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A8DCB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接药台吊挂标识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D0928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194945</wp:posOffset>
                  </wp:positionH>
                  <wp:positionV relativeFrom="paragraph">
                    <wp:posOffset>97155</wp:posOffset>
                  </wp:positionV>
                  <wp:extent cx="1020445" cy="575310"/>
                  <wp:effectExtent l="0" t="0" r="8255" b="8890"/>
                  <wp:wrapNone/>
                  <wp:docPr id="9" name="ID_771252EC2BAE4A1E8175D23076A35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771252EC2BAE4A1E8175D23076A35F53"/>
                          <pic:cNvPicPr>
                            <a:picLocks noChangeAspect="1"/>
                          </pic:cNvPicPr>
                        </pic:nvPicPr>
                        <pic:blipFill>
                          <a:blip r:embed="rId24"/>
                          <a:stretch>
                            <a:fillRect/>
                          </a:stretch>
                        </pic:blipFill>
                        <pic:spPr>
                          <a:xfrm>
                            <a:off x="0" y="0"/>
                            <a:ext cx="1020445" cy="57531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7164C2">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1.2mm镀锌板折边造型烤漆UV，激光雕刻文字</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AA6970">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700mm*200mm*40mm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D954A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852D51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5F65E792">
        <w:tblPrEx>
          <w:tblCellMar>
            <w:top w:w="0" w:type="dxa"/>
            <w:left w:w="0" w:type="dxa"/>
            <w:bottom w:w="0" w:type="dxa"/>
            <w:right w:w="0" w:type="dxa"/>
          </w:tblCellMar>
        </w:tblPrEx>
        <w:trPr>
          <w:trHeight w:val="9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7454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856F1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服务台标识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3FC7CA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173990</wp:posOffset>
                  </wp:positionH>
                  <wp:positionV relativeFrom="paragraph">
                    <wp:posOffset>93980</wp:posOffset>
                  </wp:positionV>
                  <wp:extent cx="1270635" cy="517525"/>
                  <wp:effectExtent l="0" t="0" r="12065" b="3175"/>
                  <wp:wrapNone/>
                  <wp:docPr id="10" name="ID_47AB2587B62543F6B6233CE7198A6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47AB2587B62543F6B6233CE7198A6B7E"/>
                          <pic:cNvPicPr>
                            <a:picLocks noChangeAspect="1"/>
                          </pic:cNvPicPr>
                        </pic:nvPicPr>
                        <pic:blipFill>
                          <a:blip r:embed="rId25"/>
                          <a:stretch>
                            <a:fillRect/>
                          </a:stretch>
                        </pic:blipFill>
                        <pic:spPr>
                          <a:xfrm>
                            <a:off x="0" y="0"/>
                            <a:ext cx="1270635" cy="517525"/>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25094A">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10mm亚克力正侧面烤漆立体字</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CD1290">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中文字高300mm</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英文字高100mm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D9026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6DBDC6B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r>
      <w:tr w14:paraId="4AD95BA2">
        <w:tblPrEx>
          <w:tblCellMar>
            <w:top w:w="0" w:type="dxa"/>
            <w:left w:w="0" w:type="dxa"/>
            <w:bottom w:w="0" w:type="dxa"/>
            <w:right w:w="0" w:type="dxa"/>
          </w:tblCellMar>
        </w:tblPrEx>
        <w:trPr>
          <w:trHeight w:val="11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F6704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D484C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中药房立体字</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39C6A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389890</wp:posOffset>
                  </wp:positionH>
                  <wp:positionV relativeFrom="paragraph">
                    <wp:posOffset>45720</wp:posOffset>
                  </wp:positionV>
                  <wp:extent cx="991235" cy="641350"/>
                  <wp:effectExtent l="0" t="0" r="12065" b="6350"/>
                  <wp:wrapNone/>
                  <wp:docPr id="11" name="ID_D8619BA1E99A4CA2A74DC9D979882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D8619BA1E99A4CA2A74DC9D979882CF4"/>
                          <pic:cNvPicPr>
                            <a:picLocks noChangeAspect="1"/>
                          </pic:cNvPicPr>
                        </pic:nvPicPr>
                        <pic:blipFill>
                          <a:blip r:embed="rId26"/>
                          <a:stretch>
                            <a:fillRect/>
                          </a:stretch>
                        </pic:blipFill>
                        <pic:spPr>
                          <a:xfrm>
                            <a:off x="0" y="0"/>
                            <a:ext cx="991235" cy="64135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BAB54">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10mm亚克力正侧面烤漆立体字</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11AD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中文300mm*300mm</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英文100mm*100mm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5EFC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6C3B6C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732AFA6E">
        <w:tblPrEx>
          <w:tblCellMar>
            <w:top w:w="0" w:type="dxa"/>
            <w:left w:w="0" w:type="dxa"/>
            <w:bottom w:w="0" w:type="dxa"/>
            <w:right w:w="0" w:type="dxa"/>
          </w:tblCellMar>
        </w:tblPrEx>
        <w:trPr>
          <w:trHeight w:val="9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0C52F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4.4</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6AB88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口腔科区域指示立体字</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CDFC4A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230505</wp:posOffset>
                  </wp:positionH>
                  <wp:positionV relativeFrom="paragraph">
                    <wp:posOffset>113665</wp:posOffset>
                  </wp:positionV>
                  <wp:extent cx="805815" cy="389890"/>
                  <wp:effectExtent l="0" t="0" r="6985" b="3810"/>
                  <wp:wrapNone/>
                  <wp:docPr id="12" name="ID_C91BA2EC8BA3483B906D1468E43B6C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C91BA2EC8BA3483B906D1468E43B6CF3"/>
                          <pic:cNvPicPr>
                            <a:picLocks noChangeAspect="1"/>
                          </pic:cNvPicPr>
                        </pic:nvPicPr>
                        <pic:blipFill>
                          <a:blip r:embed="rId27"/>
                          <a:stretch>
                            <a:fillRect/>
                          </a:stretch>
                        </pic:blipFill>
                        <pic:spPr>
                          <a:xfrm>
                            <a:off x="0" y="0"/>
                            <a:ext cx="805815" cy="38989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F4DA32">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10mm亚克力正侧面烤漆立体字</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F6E3F6">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中文300mm*300mm</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英文100mm*100mm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A0156A">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7E1C9DF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4E990ABC">
        <w:tblPrEx>
          <w:tblCellMar>
            <w:top w:w="0" w:type="dxa"/>
            <w:left w:w="0" w:type="dxa"/>
            <w:bottom w:w="0" w:type="dxa"/>
            <w:right w:w="0" w:type="dxa"/>
          </w:tblCellMar>
        </w:tblPrEx>
        <w:trPr>
          <w:trHeight w:val="188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98481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4.5</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7C4F0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窗口玻璃贴</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EBFEA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311150</wp:posOffset>
                  </wp:positionH>
                  <wp:positionV relativeFrom="paragraph">
                    <wp:posOffset>74295</wp:posOffset>
                  </wp:positionV>
                  <wp:extent cx="761365" cy="1017270"/>
                  <wp:effectExtent l="0" t="0" r="635" b="11430"/>
                  <wp:wrapNone/>
                  <wp:docPr id="13" name="ID_117309C418E34395B2042F95F425BD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117309C418E34395B2042F95F425BD7A"/>
                          <pic:cNvPicPr>
                            <a:picLocks noChangeAspect="1"/>
                          </pic:cNvPicPr>
                        </pic:nvPicPr>
                        <pic:blipFill>
                          <a:blip r:embed="rId28"/>
                          <a:stretch>
                            <a:fillRect/>
                          </a:stretch>
                        </pic:blipFill>
                        <pic:spPr>
                          <a:xfrm>
                            <a:off x="0" y="0"/>
                            <a:ext cx="761365" cy="101727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33F329">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订制磨砂玻璃贴</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9163E5">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按窗口实际面积计算</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C0D3F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F9FFEF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w:t>
            </w:r>
          </w:p>
        </w:tc>
      </w:tr>
      <w:tr w14:paraId="29DC2BEB">
        <w:tblPrEx>
          <w:tblCellMar>
            <w:top w:w="0" w:type="dxa"/>
            <w:left w:w="0" w:type="dxa"/>
            <w:bottom w:w="0" w:type="dxa"/>
            <w:right w:w="0" w:type="dxa"/>
          </w:tblCellMar>
        </w:tblPrEx>
        <w:trPr>
          <w:trHeight w:val="15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0C0AF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4.6</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7153AC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洗手间标识</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056D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244475</wp:posOffset>
                  </wp:positionH>
                  <wp:positionV relativeFrom="paragraph">
                    <wp:posOffset>9525</wp:posOffset>
                  </wp:positionV>
                  <wp:extent cx="955675" cy="845820"/>
                  <wp:effectExtent l="0" t="0" r="9525" b="5080"/>
                  <wp:wrapNone/>
                  <wp:docPr id="14" name="ID_9EFFA4083D674F03A4264ECAA9EFF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D_9EFFA4083D674F03A4264ECAA9EFF5E7"/>
                          <pic:cNvPicPr>
                            <a:picLocks noChangeAspect="1"/>
                          </pic:cNvPicPr>
                        </pic:nvPicPr>
                        <pic:blipFill>
                          <a:blip r:embed="rId29"/>
                          <a:stretch>
                            <a:fillRect/>
                          </a:stretch>
                        </pic:blipFill>
                        <pic:spPr>
                          <a:xfrm>
                            <a:off x="0" y="0"/>
                            <a:ext cx="955675" cy="84582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4911F3">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1.2mm不锈钢开槽折弯造型汽车烤漆，图文丝网印刷</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EC8A22">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200mm*450mm*20mm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33C4F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4883876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w:t>
            </w:r>
          </w:p>
        </w:tc>
      </w:tr>
      <w:tr w14:paraId="64AA724B">
        <w:tblPrEx>
          <w:tblCellMar>
            <w:top w:w="0" w:type="dxa"/>
            <w:left w:w="0" w:type="dxa"/>
            <w:bottom w:w="0" w:type="dxa"/>
            <w:right w:w="0" w:type="dxa"/>
          </w:tblCellMar>
        </w:tblPrEx>
        <w:trPr>
          <w:trHeight w:val="13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8CC7B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4.7</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D3C4FF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地贴</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A4CD4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178435</wp:posOffset>
                  </wp:positionH>
                  <wp:positionV relativeFrom="paragraph">
                    <wp:posOffset>83820</wp:posOffset>
                  </wp:positionV>
                  <wp:extent cx="1129030" cy="699135"/>
                  <wp:effectExtent l="0" t="0" r="1270" b="12065"/>
                  <wp:wrapNone/>
                  <wp:docPr id="15" name="ID_765ABBD0B5084C8F8D104E93A50FC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D_765ABBD0B5084C8F8D104E93A50FCC3C"/>
                          <pic:cNvPicPr>
                            <a:picLocks noChangeAspect="1"/>
                          </pic:cNvPicPr>
                        </pic:nvPicPr>
                        <pic:blipFill>
                          <a:blip r:embed="rId30"/>
                          <a:stretch>
                            <a:fillRect/>
                          </a:stretch>
                        </pic:blipFill>
                        <pic:spPr>
                          <a:xfrm>
                            <a:off x="0" y="0"/>
                            <a:ext cx="1129030" cy="699135"/>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C77AC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定制高精度斜纹防水地贴</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E66F3">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根据实际需求尺寸制作</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2DB03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28C5398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80</w:t>
            </w:r>
          </w:p>
        </w:tc>
      </w:tr>
      <w:tr w14:paraId="698A3C34">
        <w:tblPrEx>
          <w:tblCellMar>
            <w:top w:w="0" w:type="dxa"/>
            <w:left w:w="0" w:type="dxa"/>
            <w:bottom w:w="0" w:type="dxa"/>
            <w:right w:w="0" w:type="dxa"/>
          </w:tblCellMar>
        </w:tblPrEx>
        <w:trPr>
          <w:trHeight w:val="582"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DCF1B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4.8</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2474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亚克力</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FCE26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5+5mm亚克力激光切割，汽车烤漆正侧面，图文丝网印刷：内部科室牌、消防疏散图、茶水间标识等</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571C58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14:paraId="75E1E34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r>
      <w:tr w14:paraId="3DC50C97">
        <w:tblPrEx>
          <w:tblCellMar>
            <w:top w:w="0" w:type="dxa"/>
            <w:left w:w="0" w:type="dxa"/>
            <w:bottom w:w="0" w:type="dxa"/>
            <w:right w:w="0" w:type="dxa"/>
          </w:tblCellMar>
        </w:tblPrEx>
        <w:trPr>
          <w:trHeight w:val="500" w:hRule="atLeast"/>
          <w:jc w:val="center"/>
        </w:trPr>
        <w:tc>
          <w:tcPr>
            <w:tcW w:w="10322" w:type="dxa"/>
            <w:gridSpan w:val="8"/>
            <w:tcBorders>
              <w:top w:val="single" w:color="000000" w:sz="4" w:space="0"/>
              <w:left w:val="single" w:color="000000" w:sz="4" w:space="0"/>
              <w:bottom w:val="single" w:color="000000" w:sz="4" w:space="0"/>
              <w:right w:val="nil"/>
            </w:tcBorders>
            <w:tcMar>
              <w:top w:w="15" w:type="dxa"/>
              <w:left w:w="15" w:type="dxa"/>
              <w:right w:w="15" w:type="dxa"/>
            </w:tcMar>
            <w:vAlign w:val="center"/>
          </w:tcPr>
          <w:p w14:paraId="7C0A418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5.四级导视</w:t>
            </w:r>
          </w:p>
        </w:tc>
      </w:tr>
      <w:tr w14:paraId="31484864">
        <w:tblPrEx>
          <w:tblCellMar>
            <w:top w:w="0" w:type="dxa"/>
            <w:left w:w="0" w:type="dxa"/>
            <w:bottom w:w="0" w:type="dxa"/>
            <w:right w:w="0" w:type="dxa"/>
          </w:tblCellMar>
        </w:tblPrEx>
        <w:trPr>
          <w:trHeight w:val="132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69076E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41F7D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科室门牌</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0380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297180</wp:posOffset>
                  </wp:positionH>
                  <wp:positionV relativeFrom="paragraph">
                    <wp:posOffset>64770</wp:posOffset>
                  </wp:positionV>
                  <wp:extent cx="663575" cy="755650"/>
                  <wp:effectExtent l="0" t="0" r="9525" b="6350"/>
                  <wp:wrapNone/>
                  <wp:docPr id="16" name="ID_92F12721B3BD4E0EBD288E81ADC9F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D_92F12721B3BD4E0EBD288E81ADC9F51F"/>
                          <pic:cNvPicPr>
                            <a:picLocks noChangeAspect="1"/>
                          </pic:cNvPicPr>
                        </pic:nvPicPr>
                        <pic:blipFill>
                          <a:blip r:embed="rId31"/>
                          <a:stretch>
                            <a:fillRect/>
                          </a:stretch>
                        </pic:blipFill>
                        <pic:spPr>
                          <a:xfrm>
                            <a:off x="0" y="0"/>
                            <a:ext cx="663575" cy="75565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7958C71">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1.2mm不锈钢烤漆折边造型，5mm亚克力uv内容可替换</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ACABACB">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200mm*300mm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4DF1A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DD42BA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125</w:t>
            </w:r>
          </w:p>
        </w:tc>
      </w:tr>
      <w:tr w14:paraId="763F166A">
        <w:tblPrEx>
          <w:tblCellMar>
            <w:top w:w="0" w:type="dxa"/>
            <w:left w:w="0" w:type="dxa"/>
            <w:bottom w:w="0" w:type="dxa"/>
            <w:right w:w="0" w:type="dxa"/>
          </w:tblCellMar>
        </w:tblPrEx>
        <w:trPr>
          <w:trHeight w:val="563"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C04DA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5.2</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5C723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写真贴</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511CA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高精度写真贴：门、通道标识、温馨提示标识、</w:t>
            </w:r>
            <w:r>
              <w:rPr>
                <w:rFonts w:hint="eastAsia" w:asciiTheme="minorEastAsia" w:hAnsiTheme="minorEastAsia" w:eastAsiaTheme="minorEastAsia" w:cstheme="minorEastAsia"/>
                <w:color w:val="auto"/>
                <w:kern w:val="0"/>
                <w:sz w:val="24"/>
                <w:szCs w:val="24"/>
              </w:rPr>
              <w:t>消防栓标识等</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CE40C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04A20CA9">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w:t>
            </w:r>
          </w:p>
        </w:tc>
      </w:tr>
      <w:tr w14:paraId="43C00A0D">
        <w:tblPrEx>
          <w:tblCellMar>
            <w:top w:w="0" w:type="dxa"/>
            <w:left w:w="0" w:type="dxa"/>
            <w:bottom w:w="0" w:type="dxa"/>
            <w:right w:w="0" w:type="dxa"/>
          </w:tblCellMar>
        </w:tblPrEx>
        <w:trPr>
          <w:trHeight w:val="557"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30C8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5.3</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36B9A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亚克力</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7175B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5+5mm亚克力激光切割，汽车烤漆正侧面，图文丝网印刷：卫生间标识、强弱电井、温馨提示牌、机房房间牌等</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F14789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14:paraId="4C899E1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w:t>
            </w:r>
          </w:p>
        </w:tc>
      </w:tr>
      <w:tr w14:paraId="0ED5505A">
        <w:tblPrEx>
          <w:tblCellMar>
            <w:top w:w="0" w:type="dxa"/>
            <w:left w:w="0" w:type="dxa"/>
            <w:bottom w:w="0" w:type="dxa"/>
            <w:right w:w="0" w:type="dxa"/>
          </w:tblCellMar>
        </w:tblPrEx>
        <w:trPr>
          <w:trHeight w:val="110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CDD65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5.4</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779FB3">
            <w:pPr>
              <w:widowControl/>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病房牌</w:t>
            </w:r>
          </w:p>
          <w:p w14:paraId="7351E0E8">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（可替换）</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3BCB1">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drawing>
                <wp:inline distT="0" distB="0" distL="114300" distR="114300">
                  <wp:extent cx="942975" cy="609600"/>
                  <wp:effectExtent l="0" t="0" r="9525"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pic:cNvPicPr>
                        </pic:nvPicPr>
                        <pic:blipFill>
                          <a:blip r:embed="rId32"/>
                          <a:stretch>
                            <a:fillRect/>
                          </a:stretch>
                        </pic:blipFill>
                        <pic:spPr>
                          <a:xfrm>
                            <a:off x="0" y="0"/>
                            <a:ext cx="942975" cy="609600"/>
                          </a:xfrm>
                          <a:prstGeom prst="rect">
                            <a:avLst/>
                          </a:prstGeom>
                          <a:noFill/>
                          <a:ln>
                            <a:noFill/>
                          </a:ln>
                        </pic:spPr>
                      </pic:pic>
                    </a:graphicData>
                  </a:graphic>
                </wp:inline>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0987F3">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10mm亚克力激光切割，汽车烤漆正侧面，图文丝网印刷+可替换插槽</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19FFE8">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300mm*400mm</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20DBDBB">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个</w:t>
            </w:r>
          </w:p>
        </w:tc>
        <w:tc>
          <w:tcPr>
            <w:tcW w:w="89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19E5E1A">
            <w:pPr>
              <w:widowControl/>
              <w:jc w:val="center"/>
              <w:textAlignment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r w14:paraId="6544FF22">
        <w:tblPrEx>
          <w:tblCellMar>
            <w:top w:w="0" w:type="dxa"/>
            <w:left w:w="0" w:type="dxa"/>
            <w:bottom w:w="0" w:type="dxa"/>
            <w:right w:w="0" w:type="dxa"/>
          </w:tblCellMar>
        </w:tblPrEx>
        <w:trPr>
          <w:trHeight w:val="570" w:hRule="atLeast"/>
          <w:jc w:val="center"/>
        </w:trPr>
        <w:tc>
          <w:tcPr>
            <w:tcW w:w="10322" w:type="dxa"/>
            <w:gridSpan w:val="8"/>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14:paraId="33E9322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6.其他标识</w:t>
            </w:r>
          </w:p>
        </w:tc>
      </w:tr>
      <w:tr w14:paraId="36A5E8EE">
        <w:tblPrEx>
          <w:tblCellMar>
            <w:top w:w="0" w:type="dxa"/>
            <w:left w:w="0" w:type="dxa"/>
            <w:bottom w:w="0" w:type="dxa"/>
            <w:right w:w="0" w:type="dxa"/>
          </w:tblCellMar>
        </w:tblPrEx>
        <w:trPr>
          <w:trHeight w:val="1560"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03F85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6.1</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0E54D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3F针灸科十二经络图</w:t>
            </w:r>
          </w:p>
        </w:tc>
        <w:tc>
          <w:tcPr>
            <w:tcW w:w="244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76FAA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78740</wp:posOffset>
                  </wp:positionH>
                  <wp:positionV relativeFrom="paragraph">
                    <wp:posOffset>81280</wp:posOffset>
                  </wp:positionV>
                  <wp:extent cx="1468120" cy="918210"/>
                  <wp:effectExtent l="0" t="0" r="5080" b="8890"/>
                  <wp:wrapNone/>
                  <wp:docPr id="17" name="ID_2BC458DF7E224D77A44FDBC6277C7F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2BC458DF7E224D77A44FDBC6277C7F42"/>
                          <pic:cNvPicPr>
                            <a:picLocks noChangeAspect="1"/>
                          </pic:cNvPicPr>
                        </pic:nvPicPr>
                        <pic:blipFill>
                          <a:blip r:embed="rId33"/>
                          <a:stretch>
                            <a:fillRect/>
                          </a:stretch>
                        </pic:blipFill>
                        <pic:spPr>
                          <a:xfrm>
                            <a:off x="0" y="0"/>
                            <a:ext cx="1468120" cy="918210"/>
                          </a:xfrm>
                          <a:prstGeom prst="rect">
                            <a:avLst/>
                          </a:prstGeom>
                          <a:noFill/>
                          <a:ln>
                            <a:noFill/>
                          </a:ln>
                        </pic:spPr>
                      </pic:pic>
                    </a:graphicData>
                  </a:graphic>
                </wp:anchor>
              </w:drawing>
            </w:r>
          </w:p>
        </w:tc>
        <w:tc>
          <w:tcPr>
            <w:tcW w:w="22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609F6">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2、造型部分：10mm亚克力激光雕刻烤漆UV、5mm亚克力烤激光雕刻漆UV</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3、信息部分：定制亚克力卡槽、磁吸相框、激光打印A4纸</w:t>
            </w:r>
          </w:p>
        </w:tc>
        <w:tc>
          <w:tcPr>
            <w:tcW w:w="157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DDEA6E">
            <w:pPr>
              <w:spacing w:beforeLines="5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2000mm*1000mm</w:t>
            </w:r>
          </w:p>
        </w:tc>
        <w:tc>
          <w:tcPr>
            <w:tcW w:w="6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7C37A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14:paraId="308AF9B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r>
      <w:tr w14:paraId="34BEEE49">
        <w:tblPrEx>
          <w:tblCellMar>
            <w:top w:w="0" w:type="dxa"/>
            <w:left w:w="0" w:type="dxa"/>
            <w:bottom w:w="0" w:type="dxa"/>
            <w:right w:w="0" w:type="dxa"/>
          </w:tblCellMar>
        </w:tblPrEx>
        <w:trPr>
          <w:trHeight w:val="157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0A19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6.2</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18783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科室内制度牌</w:t>
            </w:r>
          </w:p>
        </w:tc>
        <w:tc>
          <w:tcPr>
            <w:tcW w:w="2442"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0544E0C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603885</wp:posOffset>
                  </wp:positionH>
                  <wp:positionV relativeFrom="paragraph">
                    <wp:posOffset>144145</wp:posOffset>
                  </wp:positionV>
                  <wp:extent cx="553720" cy="752475"/>
                  <wp:effectExtent l="0" t="0" r="5080" b="9525"/>
                  <wp:wrapNone/>
                  <wp:docPr id="18" name="ID_0D8B41FE783A49B5B13EFA3DDAC37D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0D8B41FE783A49B5B13EFA3DDAC37D4F"/>
                          <pic:cNvPicPr>
                            <a:picLocks noChangeAspect="1"/>
                          </pic:cNvPicPr>
                        </pic:nvPicPr>
                        <pic:blipFill>
                          <a:blip r:embed="rId34"/>
                          <a:stretch>
                            <a:fillRect/>
                          </a:stretch>
                        </pic:blipFill>
                        <pic:spPr>
                          <a:xfrm>
                            <a:off x="0" y="0"/>
                            <a:ext cx="553720" cy="752475"/>
                          </a:xfrm>
                          <a:prstGeom prst="rect">
                            <a:avLst/>
                          </a:prstGeom>
                          <a:noFill/>
                          <a:ln>
                            <a:noFill/>
                          </a:ln>
                        </pic:spPr>
                      </pic:pic>
                    </a:graphicData>
                  </a:graphic>
                </wp:anchor>
              </w:drawing>
            </w:r>
          </w:p>
        </w:tc>
        <w:tc>
          <w:tcPr>
            <w:tcW w:w="2274"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14:paraId="1BE601F7">
            <w:pPr>
              <w:spacing w:beforeLine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5mm亚克力雕刻造型磁吸贴膜，表面磁吸可更换磁吸膜uv信息内容，侧边包边工艺</w:t>
            </w:r>
          </w:p>
        </w:tc>
        <w:tc>
          <w:tcPr>
            <w:tcW w:w="1578" w:type="dxa"/>
            <w:gridSpan w:val="2"/>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42580B3F">
            <w:pPr>
              <w:spacing w:beforeLines="5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500mm*700mm</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3BE79CB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890"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4272C1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w:t>
            </w:r>
          </w:p>
        </w:tc>
      </w:tr>
      <w:tr w14:paraId="6725C533">
        <w:tblPrEx>
          <w:tblCellMar>
            <w:top w:w="0" w:type="dxa"/>
            <w:left w:w="0" w:type="dxa"/>
            <w:bottom w:w="0" w:type="dxa"/>
            <w:right w:w="0" w:type="dxa"/>
          </w:tblCellMar>
        </w:tblPrEx>
        <w:trPr>
          <w:trHeight w:val="548" w:hRule="atLeast"/>
          <w:jc w:val="center"/>
        </w:trPr>
        <w:tc>
          <w:tcPr>
            <w:tcW w:w="6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0A4EEE">
            <w:pPr>
              <w:spacing w:beforeLines="50" w:line="360" w:lineRule="auto"/>
              <w:jc w:val="left"/>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sz w:val="24"/>
                <w:szCs w:val="24"/>
              </w:rPr>
              <w:t>6.</w:t>
            </w:r>
            <w:r>
              <w:rPr>
                <w:rFonts w:hint="eastAsia" w:asciiTheme="minorEastAsia" w:hAnsiTheme="minorEastAsia" w:eastAsiaTheme="minorEastAsia" w:cstheme="minorEastAsia"/>
                <w:color w:val="auto"/>
                <w:sz w:val="24"/>
                <w:szCs w:val="24"/>
                <w:lang w:val="en-US" w:eastAsia="zh-CN"/>
              </w:rPr>
              <w:t>3</w:t>
            </w:r>
          </w:p>
        </w:tc>
        <w:tc>
          <w:tcPr>
            <w:tcW w:w="18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19E9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雪弗板</w:t>
            </w:r>
          </w:p>
        </w:tc>
        <w:tc>
          <w:tcPr>
            <w:tcW w:w="6294"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911900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10mm高密度雪弗板正侧面烤漆，内容信息UV：制度牌、宣传牌、六步洗手法、</w:t>
            </w:r>
            <w:r>
              <w:rPr>
                <w:rFonts w:hint="eastAsia" w:asciiTheme="minorEastAsia" w:hAnsiTheme="minorEastAsia" w:eastAsiaTheme="minorEastAsia" w:cstheme="minorEastAsia"/>
                <w:color w:val="auto"/>
                <w:sz w:val="24"/>
                <w:szCs w:val="24"/>
              </w:rPr>
              <w:t>垃圾分类标识、点位图等</w:t>
            </w:r>
          </w:p>
        </w:tc>
        <w:tc>
          <w:tcPr>
            <w:tcW w:w="615"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14:paraId="1FB8089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890" w:type="dxa"/>
            <w:tcBorders>
              <w:top w:val="single" w:color="000000" w:sz="4" w:space="0"/>
              <w:left w:val="single" w:color="auto" w:sz="4" w:space="0"/>
              <w:bottom w:val="single" w:color="000000" w:sz="4" w:space="0"/>
              <w:right w:val="single" w:color="000000" w:sz="4" w:space="0"/>
            </w:tcBorders>
            <w:shd w:val="clear" w:color="auto" w:fill="FFFFFF"/>
            <w:tcMar>
              <w:top w:w="15" w:type="dxa"/>
              <w:left w:w="15" w:type="dxa"/>
              <w:right w:w="15" w:type="dxa"/>
            </w:tcMar>
            <w:vAlign w:val="center"/>
          </w:tcPr>
          <w:p w14:paraId="3240246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103</w:t>
            </w:r>
          </w:p>
        </w:tc>
      </w:tr>
    </w:tbl>
    <w:p w14:paraId="2F991E63">
      <w:pPr>
        <w:widowControl/>
        <w:textAlignment w:val="center"/>
        <w:rPr>
          <w:rFonts w:hint="eastAsia" w:asciiTheme="minorEastAsia" w:hAnsiTheme="minorEastAsia" w:eastAsiaTheme="minorEastAsia" w:cstheme="minorEastAsia"/>
          <w:b/>
          <w:bCs/>
          <w:color w:val="auto"/>
          <w:kern w:val="0"/>
          <w:sz w:val="24"/>
          <w:szCs w:val="24"/>
        </w:rPr>
      </w:pPr>
    </w:p>
    <w:p w14:paraId="180C6DDA">
      <w:pPr>
        <w:widowControl/>
        <w:numPr>
          <w:ilvl w:val="0"/>
          <w:numId w:val="8"/>
        </w:numPr>
        <w:tabs>
          <w:tab w:val="left" w:pos="851"/>
        </w:tabs>
        <w:spacing w:line="360" w:lineRule="auto"/>
        <w:rPr>
          <w:rFonts w:hint="eastAsia" w:asciiTheme="minorEastAsia" w:hAnsiTheme="minorEastAsia" w:eastAsiaTheme="minorEastAsia" w:cstheme="minorEastAsia"/>
          <w:b/>
          <w:color w:val="auto"/>
          <w:kern w:val="0"/>
          <w:sz w:val="24"/>
          <w:szCs w:val="24"/>
        </w:rPr>
      </w:pPr>
      <w:r>
        <w:rPr>
          <w:rFonts w:hint="eastAsia" w:asciiTheme="minorEastAsia" w:hAnsiTheme="minorEastAsia" w:eastAsiaTheme="minorEastAsia" w:cstheme="minorEastAsia"/>
          <w:b/>
          <w:color w:val="auto"/>
          <w:kern w:val="0"/>
          <w:sz w:val="24"/>
          <w:szCs w:val="24"/>
        </w:rPr>
        <w:t>健康宣传阵地规划设计制作清单</w:t>
      </w:r>
    </w:p>
    <w:tbl>
      <w:tblPr>
        <w:tblStyle w:val="37"/>
        <w:tblW w:w="10413" w:type="dxa"/>
        <w:jc w:val="center"/>
        <w:tblLayout w:type="fixed"/>
        <w:tblCellMar>
          <w:top w:w="0" w:type="dxa"/>
          <w:left w:w="108" w:type="dxa"/>
          <w:bottom w:w="0" w:type="dxa"/>
          <w:right w:w="108" w:type="dxa"/>
        </w:tblCellMar>
      </w:tblPr>
      <w:tblGrid>
        <w:gridCol w:w="944"/>
        <w:gridCol w:w="1570"/>
        <w:gridCol w:w="4915"/>
        <w:gridCol w:w="1272"/>
        <w:gridCol w:w="881"/>
        <w:gridCol w:w="831"/>
      </w:tblGrid>
      <w:tr w14:paraId="0A3D07FD">
        <w:tblPrEx>
          <w:tblCellMar>
            <w:top w:w="0" w:type="dxa"/>
            <w:left w:w="108" w:type="dxa"/>
            <w:bottom w:w="0" w:type="dxa"/>
            <w:right w:w="108" w:type="dxa"/>
          </w:tblCellMar>
        </w:tblPrEx>
        <w:trPr>
          <w:trHeight w:val="602" w:hRule="atLeast"/>
          <w:jc w:val="center"/>
        </w:trPr>
        <w:tc>
          <w:tcPr>
            <w:tcW w:w="944" w:type="dxa"/>
            <w:tcBorders>
              <w:top w:val="single" w:color="000000" w:sz="4" w:space="0"/>
              <w:left w:val="single" w:color="000000" w:sz="4" w:space="0"/>
              <w:bottom w:val="single" w:color="000000" w:sz="4" w:space="0"/>
              <w:right w:val="single" w:color="000000" w:sz="4" w:space="0"/>
            </w:tcBorders>
            <w:vAlign w:val="center"/>
          </w:tcPr>
          <w:p w14:paraId="1FFABA5E">
            <w:pPr>
              <w:widowControl/>
              <w:jc w:val="center"/>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序号</w:t>
            </w:r>
          </w:p>
        </w:tc>
        <w:tc>
          <w:tcPr>
            <w:tcW w:w="1570" w:type="dxa"/>
            <w:tcBorders>
              <w:top w:val="single" w:color="000000" w:sz="4" w:space="0"/>
              <w:left w:val="single" w:color="000000" w:sz="4" w:space="0"/>
              <w:bottom w:val="single" w:color="000000" w:sz="4" w:space="0"/>
              <w:right w:val="single" w:color="000000" w:sz="4" w:space="0"/>
            </w:tcBorders>
            <w:vAlign w:val="center"/>
          </w:tcPr>
          <w:p w14:paraId="56F2E54A">
            <w:pPr>
              <w:widowControl/>
              <w:jc w:val="center"/>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项目名称</w:t>
            </w:r>
          </w:p>
        </w:tc>
        <w:tc>
          <w:tcPr>
            <w:tcW w:w="4915" w:type="dxa"/>
            <w:tcBorders>
              <w:top w:val="single" w:color="000000" w:sz="4" w:space="0"/>
              <w:left w:val="single" w:color="000000" w:sz="4" w:space="0"/>
              <w:bottom w:val="single" w:color="000000" w:sz="4" w:space="0"/>
              <w:right w:val="single" w:color="000000" w:sz="4" w:space="0"/>
            </w:tcBorders>
            <w:vAlign w:val="center"/>
          </w:tcPr>
          <w:p w14:paraId="28322E2F">
            <w:pPr>
              <w:widowControl/>
              <w:jc w:val="center"/>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项目内容</w:t>
            </w:r>
          </w:p>
        </w:tc>
        <w:tc>
          <w:tcPr>
            <w:tcW w:w="1272" w:type="dxa"/>
            <w:tcBorders>
              <w:top w:val="single" w:color="000000" w:sz="4" w:space="0"/>
              <w:left w:val="single" w:color="000000" w:sz="4" w:space="0"/>
              <w:bottom w:val="single" w:color="000000" w:sz="4" w:space="0"/>
              <w:right w:val="single" w:color="000000" w:sz="4" w:space="0"/>
            </w:tcBorders>
            <w:vAlign w:val="center"/>
          </w:tcPr>
          <w:p w14:paraId="7CFCB256">
            <w:pPr>
              <w:widowControl/>
              <w:jc w:val="center"/>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位置</w:t>
            </w:r>
          </w:p>
        </w:tc>
        <w:tc>
          <w:tcPr>
            <w:tcW w:w="881" w:type="dxa"/>
            <w:tcBorders>
              <w:top w:val="single" w:color="000000" w:sz="4" w:space="0"/>
              <w:left w:val="single" w:color="000000" w:sz="4" w:space="0"/>
              <w:bottom w:val="single" w:color="auto" w:sz="4" w:space="0"/>
              <w:right w:val="single" w:color="000000" w:sz="4" w:space="0"/>
            </w:tcBorders>
            <w:vAlign w:val="center"/>
          </w:tcPr>
          <w:p w14:paraId="3FE6741B">
            <w:pPr>
              <w:widowControl/>
              <w:jc w:val="center"/>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单位</w:t>
            </w:r>
          </w:p>
        </w:tc>
        <w:tc>
          <w:tcPr>
            <w:tcW w:w="831" w:type="dxa"/>
            <w:tcBorders>
              <w:top w:val="single" w:color="000000" w:sz="4" w:space="0"/>
              <w:left w:val="single" w:color="000000" w:sz="4" w:space="0"/>
              <w:bottom w:val="single" w:color="000000" w:sz="4" w:space="0"/>
              <w:right w:val="single" w:color="000000" w:sz="4" w:space="0"/>
            </w:tcBorders>
            <w:vAlign w:val="center"/>
          </w:tcPr>
          <w:p w14:paraId="3DDF8A48">
            <w:pPr>
              <w:widowControl/>
              <w:textAlignment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kern w:val="0"/>
                <w:sz w:val="24"/>
                <w:szCs w:val="24"/>
              </w:rPr>
              <w:t>数量(预估）</w:t>
            </w:r>
          </w:p>
        </w:tc>
      </w:tr>
      <w:tr w14:paraId="73AD63AA">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14E46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17D7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调研分析</w:t>
            </w:r>
          </w:p>
        </w:tc>
        <w:tc>
          <w:tcPr>
            <w:tcW w:w="4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FDBC0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医院战略品牌文化综合诊断报告</w:t>
            </w:r>
          </w:p>
        </w:tc>
        <w:tc>
          <w:tcPr>
            <w:tcW w:w="1272" w:type="dxa"/>
            <w:tcBorders>
              <w:top w:val="single" w:color="000000" w:sz="4" w:space="0"/>
              <w:left w:val="single" w:color="000000" w:sz="4" w:space="0"/>
              <w:bottom w:val="single" w:color="000000" w:sz="4" w:space="0"/>
              <w:right w:val="single" w:color="auto" w:sz="4" w:space="0"/>
            </w:tcBorders>
            <w:shd w:val="clear" w:color="auto" w:fill="FFFFFF"/>
            <w:vAlign w:val="center"/>
          </w:tcPr>
          <w:p w14:paraId="54DF7E3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1" w:type="dxa"/>
            <w:vMerge w:val="restart"/>
            <w:tcBorders>
              <w:top w:val="single" w:color="auto" w:sz="4" w:space="0"/>
              <w:left w:val="single" w:color="auto" w:sz="4" w:space="0"/>
              <w:right w:val="single" w:color="auto" w:sz="4" w:space="0"/>
            </w:tcBorders>
            <w:shd w:val="clear" w:color="auto" w:fill="FFFFFF"/>
            <w:vAlign w:val="center"/>
          </w:tcPr>
          <w:p w14:paraId="6230D96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831" w:type="dxa"/>
            <w:vMerge w:val="restart"/>
            <w:tcBorders>
              <w:top w:val="single" w:color="000000" w:sz="4" w:space="0"/>
              <w:left w:val="single" w:color="auto" w:sz="4" w:space="0"/>
              <w:right w:val="single" w:color="000000" w:sz="4" w:space="0"/>
            </w:tcBorders>
            <w:shd w:val="clear" w:color="auto" w:fill="FFFFFF"/>
            <w:vAlign w:val="center"/>
          </w:tcPr>
          <w:p w14:paraId="0215DB6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10C687AB">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DEF98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7.2</w:t>
            </w:r>
          </w:p>
        </w:tc>
        <w:tc>
          <w:tcPr>
            <w:tcW w:w="157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B91DA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整体文化规划</w:t>
            </w:r>
          </w:p>
        </w:tc>
        <w:tc>
          <w:tcPr>
            <w:tcW w:w="49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96DAB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参观动线策划、重点区域策划</w:t>
            </w:r>
          </w:p>
        </w:tc>
        <w:tc>
          <w:tcPr>
            <w:tcW w:w="1272" w:type="dxa"/>
            <w:tcBorders>
              <w:top w:val="single" w:color="000000" w:sz="4" w:space="0"/>
              <w:left w:val="single" w:color="000000" w:sz="4" w:space="0"/>
              <w:bottom w:val="single" w:color="000000" w:sz="4" w:space="0"/>
              <w:right w:val="single" w:color="auto" w:sz="4" w:space="0"/>
            </w:tcBorders>
            <w:shd w:val="clear" w:color="auto" w:fill="FFFFFF"/>
            <w:vAlign w:val="center"/>
          </w:tcPr>
          <w:p w14:paraId="14AF883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tc>
        <w:tc>
          <w:tcPr>
            <w:tcW w:w="881" w:type="dxa"/>
            <w:vMerge w:val="continue"/>
            <w:tcBorders>
              <w:left w:val="single" w:color="auto" w:sz="4" w:space="0"/>
              <w:right w:val="single" w:color="auto" w:sz="4" w:space="0"/>
            </w:tcBorders>
            <w:shd w:val="clear" w:color="auto" w:fill="FFFFFF"/>
            <w:vAlign w:val="center"/>
          </w:tcPr>
          <w:p w14:paraId="67C4F421">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shd w:val="clear" w:color="auto" w:fill="FFFFFF"/>
            <w:vAlign w:val="center"/>
          </w:tcPr>
          <w:p w14:paraId="086B700B">
            <w:pPr>
              <w:spacing w:beforeLines="50" w:line="360" w:lineRule="auto"/>
              <w:jc w:val="left"/>
              <w:rPr>
                <w:rFonts w:hint="eastAsia" w:asciiTheme="minorEastAsia" w:hAnsiTheme="minorEastAsia" w:eastAsiaTheme="minorEastAsia" w:cstheme="minorEastAsia"/>
                <w:color w:val="auto"/>
                <w:sz w:val="24"/>
                <w:szCs w:val="24"/>
              </w:rPr>
            </w:pPr>
          </w:p>
        </w:tc>
      </w:tr>
      <w:tr w14:paraId="21F9A852">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12152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7.3.1</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293205A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医院实力展示</w:t>
            </w:r>
          </w:p>
        </w:tc>
        <w:tc>
          <w:tcPr>
            <w:tcW w:w="4915" w:type="dxa"/>
            <w:tcBorders>
              <w:top w:val="single" w:color="000000" w:sz="4" w:space="0"/>
              <w:left w:val="single" w:color="000000" w:sz="4" w:space="0"/>
              <w:bottom w:val="single" w:color="000000" w:sz="4" w:space="0"/>
              <w:right w:val="single" w:color="000000" w:sz="4" w:space="0"/>
            </w:tcBorders>
            <w:vAlign w:val="center"/>
          </w:tcPr>
          <w:p w14:paraId="5003F6D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医院荣誉</w:t>
            </w:r>
          </w:p>
        </w:tc>
        <w:tc>
          <w:tcPr>
            <w:tcW w:w="1272" w:type="dxa"/>
            <w:tcBorders>
              <w:top w:val="single" w:color="000000" w:sz="4" w:space="0"/>
              <w:left w:val="single" w:color="000000" w:sz="4" w:space="0"/>
              <w:bottom w:val="single" w:color="000000" w:sz="4" w:space="0"/>
              <w:right w:val="single" w:color="auto" w:sz="4" w:space="0"/>
            </w:tcBorders>
            <w:vAlign w:val="center"/>
          </w:tcPr>
          <w:p w14:paraId="0558C60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w:t>
            </w:r>
          </w:p>
        </w:tc>
        <w:tc>
          <w:tcPr>
            <w:tcW w:w="881" w:type="dxa"/>
            <w:vMerge w:val="continue"/>
            <w:tcBorders>
              <w:left w:val="single" w:color="auto" w:sz="4" w:space="0"/>
              <w:right w:val="single" w:color="auto" w:sz="4" w:space="0"/>
            </w:tcBorders>
            <w:vAlign w:val="center"/>
          </w:tcPr>
          <w:p w14:paraId="52F32529">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3560227A">
            <w:pPr>
              <w:spacing w:beforeLines="50" w:line="360" w:lineRule="auto"/>
              <w:jc w:val="left"/>
              <w:rPr>
                <w:rFonts w:hint="eastAsia" w:asciiTheme="minorEastAsia" w:hAnsiTheme="minorEastAsia" w:eastAsiaTheme="minorEastAsia" w:cstheme="minorEastAsia"/>
                <w:color w:val="auto"/>
                <w:sz w:val="24"/>
                <w:szCs w:val="24"/>
              </w:rPr>
            </w:pPr>
          </w:p>
        </w:tc>
      </w:tr>
      <w:tr w14:paraId="0717707D">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E31C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7.3.2</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279FCA07">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3067103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专家形象展示</w:t>
            </w:r>
          </w:p>
        </w:tc>
        <w:tc>
          <w:tcPr>
            <w:tcW w:w="1272" w:type="dxa"/>
            <w:tcBorders>
              <w:top w:val="single" w:color="000000" w:sz="4" w:space="0"/>
              <w:left w:val="single" w:color="000000" w:sz="4" w:space="0"/>
              <w:bottom w:val="single" w:color="000000" w:sz="4" w:space="0"/>
              <w:right w:val="single" w:color="auto" w:sz="4" w:space="0"/>
            </w:tcBorders>
            <w:vAlign w:val="center"/>
          </w:tcPr>
          <w:p w14:paraId="5A07E4E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w:t>
            </w:r>
          </w:p>
        </w:tc>
        <w:tc>
          <w:tcPr>
            <w:tcW w:w="881" w:type="dxa"/>
            <w:vMerge w:val="continue"/>
            <w:tcBorders>
              <w:left w:val="single" w:color="auto" w:sz="4" w:space="0"/>
              <w:right w:val="single" w:color="auto" w:sz="4" w:space="0"/>
            </w:tcBorders>
            <w:vAlign w:val="center"/>
          </w:tcPr>
          <w:p w14:paraId="135FC406">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71EF62CB">
            <w:pPr>
              <w:spacing w:beforeLines="50" w:line="360" w:lineRule="auto"/>
              <w:jc w:val="left"/>
              <w:rPr>
                <w:rFonts w:hint="eastAsia" w:asciiTheme="minorEastAsia" w:hAnsiTheme="minorEastAsia" w:eastAsiaTheme="minorEastAsia" w:cstheme="minorEastAsia"/>
                <w:color w:val="auto"/>
                <w:sz w:val="24"/>
                <w:szCs w:val="24"/>
              </w:rPr>
            </w:pPr>
          </w:p>
        </w:tc>
      </w:tr>
      <w:tr w14:paraId="7351B923">
        <w:tblPrEx>
          <w:tblCellMar>
            <w:top w:w="0" w:type="dxa"/>
            <w:left w:w="108" w:type="dxa"/>
            <w:bottom w:w="0" w:type="dxa"/>
            <w:right w:w="108" w:type="dxa"/>
          </w:tblCellMar>
        </w:tblPrEx>
        <w:trPr>
          <w:trHeight w:val="90"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05FCE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7.3.3</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A300FD1">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7B33534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核心价值观</w:t>
            </w:r>
          </w:p>
        </w:tc>
        <w:tc>
          <w:tcPr>
            <w:tcW w:w="1272" w:type="dxa"/>
            <w:tcBorders>
              <w:top w:val="single" w:color="000000" w:sz="4" w:space="0"/>
              <w:left w:val="single" w:color="000000" w:sz="4" w:space="0"/>
              <w:bottom w:val="single" w:color="000000" w:sz="4" w:space="0"/>
              <w:right w:val="single" w:color="auto" w:sz="4" w:space="0"/>
            </w:tcBorders>
            <w:vAlign w:val="center"/>
          </w:tcPr>
          <w:p w14:paraId="719229F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w:t>
            </w:r>
          </w:p>
        </w:tc>
        <w:tc>
          <w:tcPr>
            <w:tcW w:w="881" w:type="dxa"/>
            <w:vMerge w:val="continue"/>
            <w:tcBorders>
              <w:left w:val="single" w:color="auto" w:sz="4" w:space="0"/>
              <w:right w:val="single" w:color="auto" w:sz="4" w:space="0"/>
            </w:tcBorders>
            <w:vAlign w:val="center"/>
          </w:tcPr>
          <w:p w14:paraId="598A3BBC">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30CF32A9">
            <w:pPr>
              <w:spacing w:beforeLines="50" w:line="360" w:lineRule="auto"/>
              <w:jc w:val="left"/>
              <w:rPr>
                <w:rFonts w:hint="eastAsia" w:asciiTheme="minorEastAsia" w:hAnsiTheme="minorEastAsia" w:eastAsiaTheme="minorEastAsia" w:cstheme="minorEastAsia"/>
                <w:color w:val="auto"/>
                <w:sz w:val="24"/>
                <w:szCs w:val="24"/>
              </w:rPr>
            </w:pPr>
          </w:p>
        </w:tc>
      </w:tr>
      <w:tr w14:paraId="5CDC28E8">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5A19B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7.4.1</w:t>
            </w:r>
          </w:p>
        </w:tc>
        <w:tc>
          <w:tcPr>
            <w:tcW w:w="1570" w:type="dxa"/>
            <w:vMerge w:val="restart"/>
            <w:tcBorders>
              <w:top w:val="single" w:color="000000" w:sz="4" w:space="0"/>
              <w:left w:val="single" w:color="000000" w:sz="4" w:space="0"/>
              <w:bottom w:val="single" w:color="000000" w:sz="4" w:space="0"/>
              <w:right w:val="single" w:color="000000" w:sz="4" w:space="0"/>
            </w:tcBorders>
            <w:vAlign w:val="center"/>
          </w:tcPr>
          <w:p w14:paraId="0AFFD80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创建科室氛围打造</w:t>
            </w:r>
          </w:p>
        </w:tc>
        <w:tc>
          <w:tcPr>
            <w:tcW w:w="4915" w:type="dxa"/>
            <w:tcBorders>
              <w:top w:val="single" w:color="000000" w:sz="4" w:space="0"/>
              <w:left w:val="single" w:color="000000" w:sz="4" w:space="0"/>
              <w:bottom w:val="single" w:color="000000" w:sz="4" w:space="0"/>
              <w:right w:val="single" w:color="000000" w:sz="4" w:space="0"/>
            </w:tcBorders>
            <w:vAlign w:val="center"/>
          </w:tcPr>
          <w:p w14:paraId="0403FF8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体检科健康宣传阵地展示</w:t>
            </w:r>
          </w:p>
        </w:tc>
        <w:tc>
          <w:tcPr>
            <w:tcW w:w="1272" w:type="dxa"/>
            <w:tcBorders>
              <w:top w:val="single" w:color="000000" w:sz="4" w:space="0"/>
              <w:left w:val="single" w:color="000000" w:sz="4" w:space="0"/>
              <w:bottom w:val="single" w:color="000000" w:sz="4" w:space="0"/>
              <w:right w:val="single" w:color="auto" w:sz="4" w:space="0"/>
            </w:tcBorders>
            <w:vAlign w:val="center"/>
          </w:tcPr>
          <w:p w14:paraId="2639B47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2F</w:t>
            </w:r>
          </w:p>
        </w:tc>
        <w:tc>
          <w:tcPr>
            <w:tcW w:w="881" w:type="dxa"/>
            <w:vMerge w:val="continue"/>
            <w:tcBorders>
              <w:left w:val="single" w:color="auto" w:sz="4" w:space="0"/>
              <w:right w:val="single" w:color="auto" w:sz="4" w:space="0"/>
            </w:tcBorders>
            <w:vAlign w:val="center"/>
          </w:tcPr>
          <w:p w14:paraId="133130CF">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4D43349B">
            <w:pPr>
              <w:spacing w:beforeLines="50" w:line="360" w:lineRule="auto"/>
              <w:jc w:val="left"/>
              <w:rPr>
                <w:rFonts w:hint="eastAsia" w:asciiTheme="minorEastAsia" w:hAnsiTheme="minorEastAsia" w:eastAsiaTheme="minorEastAsia" w:cstheme="minorEastAsia"/>
                <w:color w:val="auto"/>
                <w:sz w:val="24"/>
                <w:szCs w:val="24"/>
              </w:rPr>
            </w:pPr>
          </w:p>
        </w:tc>
      </w:tr>
      <w:tr w14:paraId="6D199FD2">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76A20E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7.4.2</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4B909717">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5E776DD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中医科文化健康宣传阵地营造</w:t>
            </w:r>
          </w:p>
        </w:tc>
        <w:tc>
          <w:tcPr>
            <w:tcW w:w="1272" w:type="dxa"/>
            <w:tcBorders>
              <w:top w:val="single" w:color="000000" w:sz="4" w:space="0"/>
              <w:left w:val="single" w:color="000000" w:sz="4" w:space="0"/>
              <w:bottom w:val="single" w:color="000000" w:sz="4" w:space="0"/>
              <w:right w:val="single" w:color="auto" w:sz="4" w:space="0"/>
            </w:tcBorders>
            <w:vAlign w:val="center"/>
          </w:tcPr>
          <w:p w14:paraId="695D614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3F</w:t>
            </w:r>
          </w:p>
        </w:tc>
        <w:tc>
          <w:tcPr>
            <w:tcW w:w="881" w:type="dxa"/>
            <w:vMerge w:val="continue"/>
            <w:tcBorders>
              <w:left w:val="single" w:color="auto" w:sz="4" w:space="0"/>
              <w:right w:val="single" w:color="auto" w:sz="4" w:space="0"/>
            </w:tcBorders>
            <w:vAlign w:val="center"/>
          </w:tcPr>
          <w:p w14:paraId="26F5FF56">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5C1BE9FC">
            <w:pPr>
              <w:spacing w:beforeLines="50" w:line="360" w:lineRule="auto"/>
              <w:jc w:val="left"/>
              <w:rPr>
                <w:rFonts w:hint="eastAsia" w:asciiTheme="minorEastAsia" w:hAnsiTheme="minorEastAsia" w:eastAsiaTheme="minorEastAsia" w:cstheme="minorEastAsia"/>
                <w:color w:val="auto"/>
                <w:sz w:val="24"/>
                <w:szCs w:val="24"/>
              </w:rPr>
            </w:pPr>
          </w:p>
        </w:tc>
      </w:tr>
      <w:tr w14:paraId="304C19E6">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68E63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7.4.3</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6B935256">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6F764E6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医防护整体空间健康宣传阵地</w:t>
            </w:r>
          </w:p>
        </w:tc>
        <w:tc>
          <w:tcPr>
            <w:tcW w:w="1272" w:type="dxa"/>
            <w:tcBorders>
              <w:top w:val="single" w:color="000000" w:sz="4" w:space="0"/>
              <w:left w:val="single" w:color="000000" w:sz="4" w:space="0"/>
              <w:bottom w:val="single" w:color="000000" w:sz="4" w:space="0"/>
              <w:right w:val="single" w:color="auto" w:sz="4" w:space="0"/>
            </w:tcBorders>
            <w:vAlign w:val="center"/>
          </w:tcPr>
          <w:p w14:paraId="4FBE728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w:t>
            </w:r>
          </w:p>
        </w:tc>
        <w:tc>
          <w:tcPr>
            <w:tcW w:w="881" w:type="dxa"/>
            <w:vMerge w:val="continue"/>
            <w:tcBorders>
              <w:left w:val="single" w:color="auto" w:sz="4" w:space="0"/>
              <w:right w:val="single" w:color="auto" w:sz="4" w:space="0"/>
            </w:tcBorders>
            <w:vAlign w:val="center"/>
          </w:tcPr>
          <w:p w14:paraId="413B6474">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6292435C">
            <w:pPr>
              <w:spacing w:beforeLines="50" w:line="360" w:lineRule="auto"/>
              <w:jc w:val="left"/>
              <w:rPr>
                <w:rFonts w:hint="eastAsia" w:asciiTheme="minorEastAsia" w:hAnsiTheme="minorEastAsia" w:eastAsiaTheme="minorEastAsia" w:cstheme="minorEastAsia"/>
                <w:color w:val="auto"/>
                <w:sz w:val="24"/>
                <w:szCs w:val="24"/>
              </w:rPr>
            </w:pPr>
          </w:p>
        </w:tc>
      </w:tr>
      <w:tr w14:paraId="5BC1BA3D">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7BA50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7.4.4</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0D587355">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3F28451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妇科健康宣传阵地营造</w:t>
            </w:r>
          </w:p>
        </w:tc>
        <w:tc>
          <w:tcPr>
            <w:tcW w:w="1272" w:type="dxa"/>
            <w:tcBorders>
              <w:top w:val="single" w:color="000000" w:sz="4" w:space="0"/>
              <w:left w:val="single" w:color="000000" w:sz="4" w:space="0"/>
              <w:bottom w:val="single" w:color="000000" w:sz="4" w:space="0"/>
              <w:right w:val="single" w:color="auto" w:sz="4" w:space="0"/>
            </w:tcBorders>
            <w:vAlign w:val="center"/>
          </w:tcPr>
          <w:p w14:paraId="78B7A9F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w:t>
            </w:r>
          </w:p>
        </w:tc>
        <w:tc>
          <w:tcPr>
            <w:tcW w:w="881" w:type="dxa"/>
            <w:vMerge w:val="continue"/>
            <w:tcBorders>
              <w:left w:val="single" w:color="auto" w:sz="4" w:space="0"/>
              <w:right w:val="single" w:color="auto" w:sz="4" w:space="0"/>
            </w:tcBorders>
            <w:vAlign w:val="center"/>
          </w:tcPr>
          <w:p w14:paraId="2EFF9187">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2702F06B">
            <w:pPr>
              <w:spacing w:beforeLines="50" w:line="360" w:lineRule="auto"/>
              <w:jc w:val="left"/>
              <w:rPr>
                <w:rFonts w:hint="eastAsia" w:asciiTheme="minorEastAsia" w:hAnsiTheme="minorEastAsia" w:eastAsiaTheme="minorEastAsia" w:cstheme="minorEastAsia"/>
                <w:color w:val="auto"/>
                <w:sz w:val="24"/>
                <w:szCs w:val="24"/>
              </w:rPr>
            </w:pPr>
          </w:p>
        </w:tc>
      </w:tr>
      <w:tr w14:paraId="665FD4A1">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1B1CA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7.4.5</w:t>
            </w:r>
          </w:p>
        </w:tc>
        <w:tc>
          <w:tcPr>
            <w:tcW w:w="1570" w:type="dxa"/>
            <w:vMerge w:val="continue"/>
            <w:tcBorders>
              <w:top w:val="single" w:color="000000" w:sz="4" w:space="0"/>
              <w:left w:val="single" w:color="000000" w:sz="4" w:space="0"/>
              <w:bottom w:val="single" w:color="000000" w:sz="4" w:space="0"/>
              <w:right w:val="single" w:color="000000" w:sz="4" w:space="0"/>
            </w:tcBorders>
            <w:vAlign w:val="center"/>
          </w:tcPr>
          <w:p w14:paraId="7761D4E7">
            <w:pPr>
              <w:spacing w:beforeLines="50" w:line="360" w:lineRule="auto"/>
              <w:jc w:val="left"/>
              <w:rPr>
                <w:rFonts w:hint="eastAsia" w:asciiTheme="minorEastAsia" w:hAnsiTheme="minorEastAsia" w:eastAsiaTheme="minorEastAsia" w:cstheme="minorEastAsia"/>
                <w:color w:val="auto"/>
                <w:sz w:val="24"/>
                <w:szCs w:val="24"/>
              </w:rPr>
            </w:pPr>
          </w:p>
        </w:tc>
        <w:tc>
          <w:tcPr>
            <w:tcW w:w="4915" w:type="dxa"/>
            <w:tcBorders>
              <w:top w:val="single" w:color="000000" w:sz="4" w:space="0"/>
              <w:left w:val="single" w:color="000000" w:sz="4" w:space="0"/>
              <w:bottom w:val="single" w:color="000000" w:sz="4" w:space="0"/>
              <w:right w:val="single" w:color="000000" w:sz="4" w:space="0"/>
            </w:tcBorders>
            <w:vAlign w:val="center"/>
          </w:tcPr>
          <w:p w14:paraId="5274A65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预防接种科健康宣传阵地营造</w:t>
            </w:r>
          </w:p>
        </w:tc>
        <w:tc>
          <w:tcPr>
            <w:tcW w:w="1272" w:type="dxa"/>
            <w:tcBorders>
              <w:top w:val="single" w:color="000000" w:sz="4" w:space="0"/>
              <w:left w:val="single" w:color="000000" w:sz="4" w:space="0"/>
              <w:bottom w:val="single" w:color="000000" w:sz="4" w:space="0"/>
              <w:right w:val="single" w:color="auto" w:sz="4" w:space="0"/>
            </w:tcBorders>
            <w:vAlign w:val="center"/>
          </w:tcPr>
          <w:p w14:paraId="53D92E7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w:t>
            </w:r>
          </w:p>
        </w:tc>
        <w:tc>
          <w:tcPr>
            <w:tcW w:w="881" w:type="dxa"/>
            <w:vMerge w:val="continue"/>
            <w:tcBorders>
              <w:left w:val="single" w:color="auto" w:sz="4" w:space="0"/>
              <w:right w:val="single" w:color="auto" w:sz="4" w:space="0"/>
            </w:tcBorders>
            <w:vAlign w:val="center"/>
          </w:tcPr>
          <w:p w14:paraId="6402A7CD">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1D466C2A">
            <w:pPr>
              <w:spacing w:beforeLines="50" w:line="360" w:lineRule="auto"/>
              <w:jc w:val="left"/>
              <w:rPr>
                <w:rFonts w:hint="eastAsia" w:asciiTheme="minorEastAsia" w:hAnsiTheme="minorEastAsia" w:eastAsiaTheme="minorEastAsia" w:cstheme="minorEastAsia"/>
                <w:color w:val="auto"/>
                <w:sz w:val="24"/>
                <w:szCs w:val="24"/>
              </w:rPr>
            </w:pPr>
          </w:p>
        </w:tc>
      </w:tr>
      <w:tr w14:paraId="3D9EB73C">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D9D8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7.5.2</w:t>
            </w:r>
          </w:p>
        </w:tc>
        <w:tc>
          <w:tcPr>
            <w:tcW w:w="1570" w:type="dxa"/>
            <w:tcBorders>
              <w:top w:val="single" w:color="000000" w:sz="4" w:space="0"/>
              <w:left w:val="single" w:color="000000" w:sz="4" w:space="0"/>
              <w:bottom w:val="single" w:color="000000" w:sz="4" w:space="0"/>
              <w:right w:val="single" w:color="000000" w:sz="4" w:space="0"/>
            </w:tcBorders>
            <w:vAlign w:val="center"/>
          </w:tcPr>
          <w:p w14:paraId="6EB2C03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职工文化</w:t>
            </w:r>
          </w:p>
        </w:tc>
        <w:tc>
          <w:tcPr>
            <w:tcW w:w="4915" w:type="dxa"/>
            <w:tcBorders>
              <w:top w:val="single" w:color="000000" w:sz="4" w:space="0"/>
              <w:left w:val="single" w:color="000000" w:sz="4" w:space="0"/>
              <w:bottom w:val="single" w:color="000000" w:sz="4" w:space="0"/>
              <w:right w:val="single" w:color="000000" w:sz="4" w:space="0"/>
            </w:tcBorders>
            <w:vAlign w:val="center"/>
          </w:tcPr>
          <w:p w14:paraId="468BF8D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工会活动室空间布局及文化营造</w:t>
            </w:r>
          </w:p>
        </w:tc>
        <w:tc>
          <w:tcPr>
            <w:tcW w:w="1272" w:type="dxa"/>
            <w:tcBorders>
              <w:top w:val="single" w:color="000000" w:sz="4" w:space="0"/>
              <w:left w:val="single" w:color="000000" w:sz="4" w:space="0"/>
              <w:bottom w:val="single" w:color="000000" w:sz="4" w:space="0"/>
              <w:right w:val="single" w:color="auto" w:sz="4" w:space="0"/>
            </w:tcBorders>
            <w:vAlign w:val="center"/>
          </w:tcPr>
          <w:p w14:paraId="2230B98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6F</w:t>
            </w:r>
          </w:p>
        </w:tc>
        <w:tc>
          <w:tcPr>
            <w:tcW w:w="881" w:type="dxa"/>
            <w:vMerge w:val="continue"/>
            <w:tcBorders>
              <w:left w:val="single" w:color="auto" w:sz="4" w:space="0"/>
              <w:right w:val="single" w:color="auto" w:sz="4" w:space="0"/>
            </w:tcBorders>
            <w:vAlign w:val="center"/>
          </w:tcPr>
          <w:p w14:paraId="233D9DFD">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right w:val="single" w:color="000000" w:sz="4" w:space="0"/>
            </w:tcBorders>
            <w:vAlign w:val="center"/>
          </w:tcPr>
          <w:p w14:paraId="05AED1CB">
            <w:pPr>
              <w:spacing w:beforeLines="50" w:line="360" w:lineRule="auto"/>
              <w:jc w:val="left"/>
              <w:rPr>
                <w:rFonts w:hint="eastAsia" w:asciiTheme="minorEastAsia" w:hAnsiTheme="minorEastAsia" w:eastAsiaTheme="minorEastAsia" w:cstheme="minorEastAsia"/>
                <w:color w:val="auto"/>
                <w:sz w:val="24"/>
                <w:szCs w:val="24"/>
              </w:rPr>
            </w:pPr>
          </w:p>
        </w:tc>
      </w:tr>
      <w:tr w14:paraId="5C6F30AD">
        <w:tblPrEx>
          <w:tblCellMar>
            <w:top w:w="0" w:type="dxa"/>
            <w:left w:w="108" w:type="dxa"/>
            <w:bottom w:w="0" w:type="dxa"/>
            <w:right w:w="108" w:type="dxa"/>
          </w:tblCellMar>
        </w:tblPrEx>
        <w:trPr>
          <w:trHeight w:val="441" w:hRule="atLeast"/>
          <w:jc w:val="center"/>
        </w:trPr>
        <w:tc>
          <w:tcPr>
            <w:tcW w:w="9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6E97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7.6</w:t>
            </w:r>
          </w:p>
        </w:tc>
        <w:tc>
          <w:tcPr>
            <w:tcW w:w="1570" w:type="dxa"/>
            <w:tcBorders>
              <w:top w:val="single" w:color="000000" w:sz="4" w:space="0"/>
              <w:left w:val="single" w:color="000000" w:sz="4" w:space="0"/>
              <w:bottom w:val="single" w:color="000000" w:sz="4" w:space="0"/>
              <w:right w:val="single" w:color="000000" w:sz="4" w:space="0"/>
            </w:tcBorders>
            <w:vAlign w:val="center"/>
          </w:tcPr>
          <w:p w14:paraId="03BC56B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党建清廉</w:t>
            </w:r>
          </w:p>
        </w:tc>
        <w:tc>
          <w:tcPr>
            <w:tcW w:w="4915" w:type="dxa"/>
            <w:tcBorders>
              <w:top w:val="single" w:color="000000" w:sz="4" w:space="0"/>
              <w:left w:val="single" w:color="000000" w:sz="4" w:space="0"/>
              <w:bottom w:val="single" w:color="000000" w:sz="4" w:space="0"/>
              <w:right w:val="single" w:color="000000" w:sz="4" w:space="0"/>
            </w:tcBorders>
            <w:vAlign w:val="center"/>
          </w:tcPr>
          <w:p w14:paraId="7C2F74B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行政区域党建清廉阵地营造</w:t>
            </w:r>
          </w:p>
        </w:tc>
        <w:tc>
          <w:tcPr>
            <w:tcW w:w="1272" w:type="dxa"/>
            <w:tcBorders>
              <w:top w:val="single" w:color="000000" w:sz="4" w:space="0"/>
              <w:left w:val="single" w:color="000000" w:sz="4" w:space="0"/>
              <w:bottom w:val="single" w:color="000000" w:sz="4" w:space="0"/>
              <w:right w:val="single" w:color="auto" w:sz="4" w:space="0"/>
            </w:tcBorders>
            <w:vAlign w:val="center"/>
          </w:tcPr>
          <w:p w14:paraId="216CBDD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7F</w:t>
            </w:r>
          </w:p>
        </w:tc>
        <w:tc>
          <w:tcPr>
            <w:tcW w:w="881" w:type="dxa"/>
            <w:vMerge w:val="continue"/>
            <w:tcBorders>
              <w:left w:val="single" w:color="auto" w:sz="4" w:space="0"/>
              <w:bottom w:val="single" w:color="auto" w:sz="4" w:space="0"/>
              <w:right w:val="single" w:color="auto" w:sz="4" w:space="0"/>
            </w:tcBorders>
            <w:vAlign w:val="center"/>
          </w:tcPr>
          <w:p w14:paraId="7AA6665C">
            <w:pPr>
              <w:spacing w:beforeLines="50" w:line="360" w:lineRule="auto"/>
              <w:jc w:val="left"/>
              <w:rPr>
                <w:rFonts w:hint="eastAsia" w:asciiTheme="minorEastAsia" w:hAnsiTheme="minorEastAsia" w:eastAsiaTheme="minorEastAsia" w:cstheme="minorEastAsia"/>
                <w:color w:val="auto"/>
                <w:sz w:val="24"/>
                <w:szCs w:val="24"/>
              </w:rPr>
            </w:pPr>
          </w:p>
        </w:tc>
        <w:tc>
          <w:tcPr>
            <w:tcW w:w="831" w:type="dxa"/>
            <w:vMerge w:val="continue"/>
            <w:tcBorders>
              <w:left w:val="single" w:color="auto" w:sz="4" w:space="0"/>
              <w:bottom w:val="single" w:color="000000" w:sz="4" w:space="0"/>
              <w:right w:val="single" w:color="000000" w:sz="4" w:space="0"/>
            </w:tcBorders>
            <w:vAlign w:val="center"/>
          </w:tcPr>
          <w:p w14:paraId="60D2D9D0">
            <w:pPr>
              <w:spacing w:beforeLines="50" w:line="360" w:lineRule="auto"/>
              <w:jc w:val="left"/>
              <w:rPr>
                <w:rFonts w:hint="eastAsia" w:asciiTheme="minorEastAsia" w:hAnsiTheme="minorEastAsia" w:eastAsiaTheme="minorEastAsia" w:cstheme="minorEastAsia"/>
                <w:color w:val="auto"/>
                <w:sz w:val="24"/>
                <w:szCs w:val="24"/>
              </w:rPr>
            </w:pPr>
          </w:p>
        </w:tc>
      </w:tr>
    </w:tbl>
    <w:p w14:paraId="0067F9CC">
      <w:pPr>
        <w:pStyle w:val="2"/>
        <w:ind w:firstLine="0" w:firstLineChars="0"/>
        <w:rPr>
          <w:rFonts w:hint="eastAsia" w:asciiTheme="minorEastAsia" w:hAnsiTheme="minorEastAsia" w:eastAsiaTheme="minorEastAsia" w:cstheme="minorEastAsia"/>
          <w:color w:val="auto"/>
          <w:sz w:val="24"/>
          <w:szCs w:val="24"/>
        </w:rPr>
      </w:pPr>
    </w:p>
    <w:tbl>
      <w:tblPr>
        <w:tblStyle w:val="37"/>
        <w:tblW w:w="10448" w:type="dxa"/>
        <w:jc w:val="center"/>
        <w:tblLayout w:type="fixed"/>
        <w:tblCellMar>
          <w:top w:w="0" w:type="dxa"/>
          <w:left w:w="108" w:type="dxa"/>
          <w:bottom w:w="0" w:type="dxa"/>
          <w:right w:w="108" w:type="dxa"/>
        </w:tblCellMar>
      </w:tblPr>
      <w:tblGrid>
        <w:gridCol w:w="863"/>
        <w:gridCol w:w="1459"/>
        <w:gridCol w:w="2351"/>
        <w:gridCol w:w="2090"/>
        <w:gridCol w:w="1746"/>
        <w:gridCol w:w="852"/>
        <w:gridCol w:w="1087"/>
      </w:tblGrid>
      <w:tr w14:paraId="723917CD">
        <w:tblPrEx>
          <w:tblCellMar>
            <w:top w:w="0" w:type="dxa"/>
            <w:left w:w="108" w:type="dxa"/>
            <w:bottom w:w="0" w:type="dxa"/>
            <w:right w:w="108" w:type="dxa"/>
          </w:tblCellMar>
        </w:tblPrEx>
        <w:trPr>
          <w:trHeight w:val="442" w:hRule="atLeast"/>
          <w:jc w:val="center"/>
        </w:trPr>
        <w:tc>
          <w:tcPr>
            <w:tcW w:w="10448" w:type="dxa"/>
            <w:gridSpan w:val="7"/>
            <w:tcBorders>
              <w:top w:val="single" w:color="000000" w:sz="4" w:space="0"/>
              <w:left w:val="single" w:color="000000" w:sz="4" w:space="0"/>
              <w:bottom w:val="single" w:color="000000" w:sz="4" w:space="0"/>
              <w:right w:val="single" w:color="000000" w:sz="4" w:space="0"/>
            </w:tcBorders>
            <w:vAlign w:val="center"/>
          </w:tcPr>
          <w:p w14:paraId="6AAB395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8.</w:t>
            </w:r>
            <w:r>
              <w:rPr>
                <w:rFonts w:hint="eastAsia" w:asciiTheme="minorEastAsia" w:hAnsiTheme="minorEastAsia" w:eastAsiaTheme="minorEastAsia" w:cstheme="minorEastAsia"/>
                <w:color w:val="auto"/>
                <w:sz w:val="24"/>
                <w:szCs w:val="24"/>
              </w:rPr>
              <w:t>施工清单</w:t>
            </w:r>
          </w:p>
        </w:tc>
      </w:tr>
      <w:tr w14:paraId="260D6065">
        <w:tblPrEx>
          <w:tblCellMar>
            <w:top w:w="0" w:type="dxa"/>
            <w:left w:w="108" w:type="dxa"/>
            <w:bottom w:w="0" w:type="dxa"/>
            <w:right w:w="108" w:type="dxa"/>
          </w:tblCellMar>
        </w:tblPrEx>
        <w:trPr>
          <w:trHeight w:val="822"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6BD9E8C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459" w:type="dxa"/>
            <w:tcBorders>
              <w:top w:val="single" w:color="000000" w:sz="4" w:space="0"/>
              <w:left w:val="single" w:color="000000" w:sz="4" w:space="0"/>
              <w:bottom w:val="single" w:color="000000" w:sz="4" w:space="0"/>
              <w:right w:val="single" w:color="000000" w:sz="4" w:space="0"/>
            </w:tcBorders>
            <w:vAlign w:val="center"/>
          </w:tcPr>
          <w:p w14:paraId="2B3BBE5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2351" w:type="dxa"/>
            <w:tcBorders>
              <w:top w:val="single" w:color="000000" w:sz="4" w:space="0"/>
              <w:left w:val="single" w:color="000000" w:sz="4" w:space="0"/>
              <w:bottom w:val="single" w:color="000000" w:sz="4" w:space="0"/>
              <w:right w:val="single" w:color="000000" w:sz="4" w:space="0"/>
            </w:tcBorders>
            <w:vAlign w:val="center"/>
          </w:tcPr>
          <w:p w14:paraId="40E6C8A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参考意向图</w:t>
            </w:r>
          </w:p>
        </w:tc>
        <w:tc>
          <w:tcPr>
            <w:tcW w:w="2090" w:type="dxa"/>
            <w:tcBorders>
              <w:top w:val="single" w:color="000000" w:sz="4" w:space="0"/>
              <w:left w:val="single" w:color="000000" w:sz="4" w:space="0"/>
              <w:bottom w:val="single" w:color="000000" w:sz="4" w:space="0"/>
              <w:right w:val="single" w:color="000000" w:sz="4" w:space="0"/>
            </w:tcBorders>
            <w:vAlign w:val="center"/>
          </w:tcPr>
          <w:p w14:paraId="73F6546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材质要求</w:t>
            </w:r>
          </w:p>
        </w:tc>
        <w:tc>
          <w:tcPr>
            <w:tcW w:w="1746" w:type="dxa"/>
            <w:tcBorders>
              <w:top w:val="single" w:color="000000" w:sz="4" w:space="0"/>
              <w:left w:val="single" w:color="000000" w:sz="4" w:space="0"/>
              <w:bottom w:val="single" w:color="000000" w:sz="4" w:space="0"/>
              <w:right w:val="single" w:color="000000" w:sz="4" w:space="0"/>
            </w:tcBorders>
            <w:vAlign w:val="center"/>
          </w:tcPr>
          <w:p w14:paraId="0520580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尺寸</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（预估）</w:t>
            </w:r>
          </w:p>
        </w:tc>
        <w:tc>
          <w:tcPr>
            <w:tcW w:w="852" w:type="dxa"/>
            <w:tcBorders>
              <w:top w:val="single" w:color="000000" w:sz="4" w:space="0"/>
              <w:left w:val="single" w:color="000000" w:sz="4" w:space="0"/>
              <w:bottom w:val="single" w:color="000000" w:sz="4" w:space="0"/>
              <w:right w:val="single" w:color="000000" w:sz="4" w:space="0"/>
            </w:tcBorders>
            <w:vAlign w:val="center"/>
          </w:tcPr>
          <w:p w14:paraId="3DD3DDC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1087" w:type="dxa"/>
            <w:tcBorders>
              <w:top w:val="single" w:color="000000" w:sz="4" w:space="0"/>
              <w:left w:val="single" w:color="000000" w:sz="4" w:space="0"/>
              <w:bottom w:val="single" w:color="000000" w:sz="4" w:space="0"/>
              <w:right w:val="single" w:color="000000" w:sz="4" w:space="0"/>
            </w:tcBorders>
            <w:vAlign w:val="center"/>
          </w:tcPr>
          <w:p w14:paraId="5FA984F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p w14:paraId="1878662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（预估）</w:t>
            </w:r>
          </w:p>
        </w:tc>
      </w:tr>
      <w:tr w14:paraId="51318859">
        <w:tblPrEx>
          <w:tblCellMar>
            <w:top w:w="0" w:type="dxa"/>
            <w:left w:w="108" w:type="dxa"/>
            <w:bottom w:w="0" w:type="dxa"/>
            <w:right w:w="108" w:type="dxa"/>
          </w:tblCellMar>
        </w:tblPrEx>
        <w:trPr>
          <w:trHeight w:val="9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44BB29B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w:t>
            </w:r>
          </w:p>
        </w:tc>
        <w:tc>
          <w:tcPr>
            <w:tcW w:w="1459" w:type="dxa"/>
            <w:tcBorders>
              <w:top w:val="single" w:color="000000" w:sz="4" w:space="0"/>
              <w:left w:val="single" w:color="000000" w:sz="4" w:space="0"/>
              <w:bottom w:val="single" w:color="000000" w:sz="4" w:space="0"/>
              <w:right w:val="single" w:color="000000" w:sz="4" w:space="0"/>
            </w:tcBorders>
            <w:vAlign w:val="center"/>
          </w:tcPr>
          <w:p w14:paraId="02C8E0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（户外）落地式健康教育宣传窗</w:t>
            </w:r>
          </w:p>
        </w:tc>
        <w:tc>
          <w:tcPr>
            <w:tcW w:w="2351" w:type="dxa"/>
            <w:tcBorders>
              <w:top w:val="single" w:color="000000" w:sz="4" w:space="0"/>
              <w:left w:val="single" w:color="000000" w:sz="4" w:space="0"/>
              <w:bottom w:val="single" w:color="000000" w:sz="4" w:space="0"/>
              <w:right w:val="single" w:color="000000" w:sz="4" w:space="0"/>
            </w:tcBorders>
            <w:vAlign w:val="center"/>
          </w:tcPr>
          <w:p w14:paraId="442E380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45895" cy="758190"/>
                  <wp:effectExtent l="0" t="0" r="1905" b="3810"/>
                  <wp:docPr id="2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IMG_256"/>
                          <pic:cNvPicPr>
                            <a:picLocks noChangeAspect="1"/>
                          </pic:cNvPicPr>
                        </pic:nvPicPr>
                        <pic:blipFill>
                          <a:blip r:embed="rId35"/>
                          <a:stretch>
                            <a:fillRect/>
                          </a:stretch>
                        </pic:blipFill>
                        <pic:spPr>
                          <a:xfrm>
                            <a:off x="0" y="0"/>
                            <a:ext cx="1445895" cy="75819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52D5D1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1.2mm不锈钢激光切割焊接成型，表面哑光汽车烤漆，文字8mm亚克力切割表面烤漆，图文丝印，正面6mm钢化透明玻璃，背部开门，底部混凝土浇筑</w:t>
            </w:r>
          </w:p>
        </w:tc>
        <w:tc>
          <w:tcPr>
            <w:tcW w:w="1746" w:type="dxa"/>
            <w:tcBorders>
              <w:top w:val="single" w:color="000000" w:sz="4" w:space="0"/>
              <w:left w:val="single" w:color="000000" w:sz="4" w:space="0"/>
              <w:bottom w:val="single" w:color="000000" w:sz="4" w:space="0"/>
              <w:right w:val="single" w:color="000000" w:sz="4" w:space="0"/>
            </w:tcBorders>
            <w:vAlign w:val="center"/>
          </w:tcPr>
          <w:p w14:paraId="5421232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2500mm*2000mm*200mm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2E12464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1087" w:type="dxa"/>
            <w:tcBorders>
              <w:top w:val="single" w:color="000000" w:sz="4" w:space="0"/>
              <w:left w:val="single" w:color="000000" w:sz="4" w:space="0"/>
              <w:bottom w:val="single" w:color="000000" w:sz="4" w:space="0"/>
              <w:right w:val="single" w:color="000000" w:sz="4" w:space="0"/>
            </w:tcBorders>
            <w:vAlign w:val="center"/>
          </w:tcPr>
          <w:p w14:paraId="3B502939">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r>
      <w:tr w14:paraId="4EBF86EF">
        <w:tblPrEx>
          <w:tblCellMar>
            <w:top w:w="0" w:type="dxa"/>
            <w:left w:w="108" w:type="dxa"/>
            <w:bottom w:w="0" w:type="dxa"/>
            <w:right w:w="108" w:type="dxa"/>
          </w:tblCellMar>
        </w:tblPrEx>
        <w:trPr>
          <w:trHeight w:val="261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1D6AD4A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w:t>
            </w:r>
          </w:p>
        </w:tc>
        <w:tc>
          <w:tcPr>
            <w:tcW w:w="1459" w:type="dxa"/>
            <w:tcBorders>
              <w:top w:val="single" w:color="000000" w:sz="4" w:space="0"/>
              <w:left w:val="single" w:color="000000" w:sz="4" w:space="0"/>
              <w:bottom w:val="single" w:color="000000" w:sz="4" w:space="0"/>
              <w:right w:val="single" w:color="000000" w:sz="4" w:space="0"/>
            </w:tcBorders>
            <w:vAlign w:val="center"/>
          </w:tcPr>
          <w:p w14:paraId="7B26854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（户外）围墙式健康教育宣传窗</w:t>
            </w:r>
          </w:p>
        </w:tc>
        <w:tc>
          <w:tcPr>
            <w:tcW w:w="2351" w:type="dxa"/>
            <w:tcBorders>
              <w:top w:val="single" w:color="000000" w:sz="4" w:space="0"/>
              <w:left w:val="single" w:color="000000" w:sz="4" w:space="0"/>
              <w:bottom w:val="single" w:color="000000" w:sz="4" w:space="0"/>
              <w:right w:val="single" w:color="000000" w:sz="4" w:space="0"/>
            </w:tcBorders>
            <w:vAlign w:val="center"/>
          </w:tcPr>
          <w:p w14:paraId="761B2CE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31925" cy="723265"/>
                  <wp:effectExtent l="0" t="0" r="3175" b="635"/>
                  <wp:docPr id="27"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7"/>
                          <pic:cNvPicPr>
                            <a:picLocks noChangeAspect="1"/>
                          </pic:cNvPicPr>
                        </pic:nvPicPr>
                        <pic:blipFill>
                          <a:blip r:embed="rId36"/>
                          <a:stretch>
                            <a:fillRect/>
                          </a:stretch>
                        </pic:blipFill>
                        <pic:spPr>
                          <a:xfrm>
                            <a:off x="0" y="0"/>
                            <a:ext cx="1431925" cy="72326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67669BB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1.2mm不锈钢激光切割焊接成型，表面哑光汽车烤漆，文字8mm亚克力切割表面烤漆，图文丝印，正面6mm钢化透明玻璃，正面开门</w:t>
            </w:r>
          </w:p>
        </w:tc>
        <w:tc>
          <w:tcPr>
            <w:tcW w:w="1746" w:type="dxa"/>
            <w:tcBorders>
              <w:top w:val="single" w:color="000000" w:sz="4" w:space="0"/>
              <w:left w:val="single" w:color="000000" w:sz="4" w:space="0"/>
              <w:bottom w:val="single" w:color="000000" w:sz="4" w:space="0"/>
              <w:right w:val="single" w:color="000000" w:sz="4" w:space="0"/>
            </w:tcBorders>
            <w:vAlign w:val="center"/>
          </w:tcPr>
          <w:p w14:paraId="57F19E8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2500mm*1000mm*200mm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37FBFDB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1087" w:type="dxa"/>
            <w:tcBorders>
              <w:top w:val="single" w:color="000000" w:sz="4" w:space="0"/>
              <w:left w:val="single" w:color="000000" w:sz="4" w:space="0"/>
              <w:bottom w:val="single" w:color="000000" w:sz="4" w:space="0"/>
              <w:right w:val="single" w:color="000000" w:sz="4" w:space="0"/>
            </w:tcBorders>
            <w:vAlign w:val="center"/>
          </w:tcPr>
          <w:p w14:paraId="4316FCAB">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r>
      <w:tr w14:paraId="3ED64314">
        <w:tblPrEx>
          <w:tblCellMar>
            <w:top w:w="0" w:type="dxa"/>
            <w:left w:w="108" w:type="dxa"/>
            <w:bottom w:w="0" w:type="dxa"/>
            <w:right w:w="108" w:type="dxa"/>
          </w:tblCellMar>
        </w:tblPrEx>
        <w:trPr>
          <w:trHeight w:val="198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3FFECF7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8.3</w:t>
            </w:r>
          </w:p>
        </w:tc>
        <w:tc>
          <w:tcPr>
            <w:tcW w:w="1459" w:type="dxa"/>
            <w:tcBorders>
              <w:top w:val="single" w:color="000000" w:sz="4" w:space="0"/>
              <w:left w:val="single" w:color="000000" w:sz="4" w:space="0"/>
              <w:bottom w:val="single" w:color="000000" w:sz="4" w:space="0"/>
              <w:right w:val="single" w:color="000000" w:sz="4" w:space="0"/>
            </w:tcBorders>
            <w:vAlign w:val="center"/>
          </w:tcPr>
          <w:p w14:paraId="1863BB1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1F健康宣传打造+人员上墙</w:t>
            </w:r>
          </w:p>
        </w:tc>
        <w:tc>
          <w:tcPr>
            <w:tcW w:w="2351" w:type="dxa"/>
            <w:tcBorders>
              <w:top w:val="single" w:color="000000" w:sz="4" w:space="0"/>
              <w:left w:val="single" w:color="000000" w:sz="4" w:space="0"/>
              <w:bottom w:val="single" w:color="000000" w:sz="4" w:space="0"/>
              <w:right w:val="single" w:color="000000" w:sz="4" w:space="0"/>
            </w:tcBorders>
            <w:vAlign w:val="center"/>
          </w:tcPr>
          <w:p w14:paraId="63B3F7E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52880" cy="481965"/>
                  <wp:effectExtent l="0" t="0" r="7620" b="635"/>
                  <wp:docPr id="28"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IMG_258"/>
                          <pic:cNvPicPr>
                            <a:picLocks noChangeAspect="1"/>
                          </pic:cNvPicPr>
                        </pic:nvPicPr>
                        <pic:blipFill>
                          <a:blip r:embed="rId37"/>
                          <a:stretch>
                            <a:fillRect/>
                          </a:stretch>
                        </pic:blipFill>
                        <pic:spPr>
                          <a:xfrm>
                            <a:off x="0" y="0"/>
                            <a:ext cx="1452880" cy="48196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72464FC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p>
          <w:p w14:paraId="4986051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2.造型部分：10mm亚克力激光雕刻烤漆UV、5mm亚克力烤激光雕刻漆UV；</w:t>
            </w:r>
          </w:p>
          <w:p w14:paraId="0C9A293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6312D2E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12670mm*3500mm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FE1F9A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45367FD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31.675</w:t>
            </w:r>
          </w:p>
        </w:tc>
      </w:tr>
      <w:tr w14:paraId="300C75B3">
        <w:tblPrEx>
          <w:tblCellMar>
            <w:top w:w="0" w:type="dxa"/>
            <w:left w:w="108" w:type="dxa"/>
            <w:bottom w:w="0" w:type="dxa"/>
            <w:right w:w="108" w:type="dxa"/>
          </w:tblCellMar>
        </w:tblPrEx>
        <w:trPr>
          <w:trHeight w:val="280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0E0CE4D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8.4</w:t>
            </w:r>
          </w:p>
        </w:tc>
        <w:tc>
          <w:tcPr>
            <w:tcW w:w="1459" w:type="dxa"/>
            <w:tcBorders>
              <w:top w:val="single" w:color="000000" w:sz="4" w:space="0"/>
              <w:left w:val="single" w:color="000000" w:sz="4" w:space="0"/>
              <w:bottom w:val="single" w:color="000000" w:sz="4" w:space="0"/>
              <w:right w:val="single" w:color="000000" w:sz="4" w:space="0"/>
            </w:tcBorders>
            <w:vAlign w:val="center"/>
          </w:tcPr>
          <w:p w14:paraId="7811C67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1F荣誉墙</w:t>
            </w:r>
          </w:p>
        </w:tc>
        <w:tc>
          <w:tcPr>
            <w:tcW w:w="2351" w:type="dxa"/>
            <w:tcBorders>
              <w:top w:val="single" w:color="000000" w:sz="4" w:space="0"/>
              <w:left w:val="single" w:color="000000" w:sz="4" w:space="0"/>
              <w:bottom w:val="single" w:color="000000" w:sz="4" w:space="0"/>
              <w:right w:val="single" w:color="000000" w:sz="4" w:space="0"/>
            </w:tcBorders>
            <w:vAlign w:val="center"/>
          </w:tcPr>
          <w:p w14:paraId="76933DC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31925" cy="588645"/>
                  <wp:effectExtent l="0" t="0" r="3175" b="8255"/>
                  <wp:docPr id="29"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IMG_259"/>
                          <pic:cNvPicPr>
                            <a:picLocks noChangeAspect="1"/>
                          </pic:cNvPicPr>
                        </pic:nvPicPr>
                        <pic:blipFill>
                          <a:blip r:embed="rId38"/>
                          <a:stretch>
                            <a:fillRect/>
                          </a:stretch>
                        </pic:blipFill>
                        <pic:spPr>
                          <a:xfrm>
                            <a:off x="0" y="0"/>
                            <a:ext cx="1431925" cy="58864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594C7B4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墙面基层处理：阻燃板基层、木工板造型、乳胶漆、墙布等；</w:t>
            </w:r>
          </w:p>
          <w:p w14:paraId="66ECD4C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230CDF0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2690770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5100mm*3500mm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20629C9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6F7180C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17.85</w:t>
            </w:r>
          </w:p>
        </w:tc>
      </w:tr>
      <w:tr w14:paraId="6C5EEE2F">
        <w:tblPrEx>
          <w:tblCellMar>
            <w:top w:w="0" w:type="dxa"/>
            <w:left w:w="108" w:type="dxa"/>
            <w:bottom w:w="0" w:type="dxa"/>
            <w:right w:w="108" w:type="dxa"/>
          </w:tblCellMar>
        </w:tblPrEx>
        <w:trPr>
          <w:trHeight w:val="426"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0E701C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8.5</w:t>
            </w:r>
          </w:p>
        </w:tc>
        <w:tc>
          <w:tcPr>
            <w:tcW w:w="1459" w:type="dxa"/>
            <w:tcBorders>
              <w:top w:val="single" w:color="000000" w:sz="4" w:space="0"/>
              <w:left w:val="single" w:color="000000" w:sz="4" w:space="0"/>
              <w:bottom w:val="single" w:color="000000" w:sz="4" w:space="0"/>
              <w:right w:val="single" w:color="000000" w:sz="4" w:space="0"/>
            </w:tcBorders>
            <w:vAlign w:val="center"/>
          </w:tcPr>
          <w:p w14:paraId="6BD385C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2F体检健康宣传阵地1</w:t>
            </w:r>
          </w:p>
        </w:tc>
        <w:tc>
          <w:tcPr>
            <w:tcW w:w="2351" w:type="dxa"/>
            <w:tcBorders>
              <w:top w:val="single" w:color="000000" w:sz="4" w:space="0"/>
              <w:left w:val="single" w:color="000000" w:sz="4" w:space="0"/>
              <w:bottom w:val="single" w:color="000000" w:sz="4" w:space="0"/>
              <w:right w:val="single" w:color="000000" w:sz="4" w:space="0"/>
            </w:tcBorders>
            <w:vAlign w:val="center"/>
          </w:tcPr>
          <w:p w14:paraId="79AE517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18260" cy="1332865"/>
                  <wp:effectExtent l="0" t="0" r="2540" b="635"/>
                  <wp:docPr id="30"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IMG_260"/>
                          <pic:cNvPicPr>
                            <a:picLocks noChangeAspect="1"/>
                          </pic:cNvPicPr>
                        </pic:nvPicPr>
                        <pic:blipFill>
                          <a:blip r:embed="rId39"/>
                          <a:stretch>
                            <a:fillRect/>
                          </a:stretch>
                        </pic:blipFill>
                        <pic:spPr>
                          <a:xfrm>
                            <a:off x="0" y="0"/>
                            <a:ext cx="1318260" cy="133286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111E55C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一、1.墙面基层处理：阻燃板基层、木工板造型、乳胶漆、墙布等；</w:t>
            </w:r>
          </w:p>
          <w:p w14:paraId="7638297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3B17E53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p w14:paraId="243D040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二、1.基层处理：定制墙布；</w:t>
            </w:r>
          </w:p>
          <w:p w14:paraId="46DFB45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2.造型部分：10mm亚克力激光雕刻烤漆UV立体字。</w:t>
            </w:r>
          </w:p>
        </w:tc>
        <w:tc>
          <w:tcPr>
            <w:tcW w:w="1746" w:type="dxa"/>
            <w:tcBorders>
              <w:top w:val="single" w:color="000000" w:sz="4" w:space="0"/>
              <w:left w:val="single" w:color="000000" w:sz="4" w:space="0"/>
              <w:bottom w:val="single" w:color="000000" w:sz="4" w:space="0"/>
              <w:right w:val="single" w:color="000000" w:sz="4" w:space="0"/>
            </w:tcBorders>
            <w:vAlign w:val="center"/>
          </w:tcPr>
          <w:p w14:paraId="69CA486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（4165mm+3150mm）*2500mm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5B22FE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210AF36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18.2875</w:t>
            </w:r>
          </w:p>
        </w:tc>
      </w:tr>
      <w:tr w14:paraId="3B772CF8">
        <w:tblPrEx>
          <w:tblCellMar>
            <w:top w:w="0" w:type="dxa"/>
            <w:left w:w="108" w:type="dxa"/>
            <w:bottom w:w="0" w:type="dxa"/>
            <w:right w:w="108" w:type="dxa"/>
          </w:tblCellMar>
        </w:tblPrEx>
        <w:trPr>
          <w:trHeight w:val="2128"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61FFABB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8.6</w:t>
            </w:r>
          </w:p>
        </w:tc>
        <w:tc>
          <w:tcPr>
            <w:tcW w:w="1459" w:type="dxa"/>
            <w:tcBorders>
              <w:top w:val="single" w:color="000000" w:sz="4" w:space="0"/>
              <w:left w:val="single" w:color="000000" w:sz="4" w:space="0"/>
              <w:bottom w:val="single" w:color="000000" w:sz="4" w:space="0"/>
              <w:right w:val="single" w:color="000000" w:sz="4" w:space="0"/>
            </w:tcBorders>
            <w:vAlign w:val="center"/>
          </w:tcPr>
          <w:p w14:paraId="6CB9CE0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2F体检</w:t>
            </w:r>
          </w:p>
          <w:p w14:paraId="39B2D18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健康宣传阵地2</w:t>
            </w:r>
          </w:p>
        </w:tc>
        <w:tc>
          <w:tcPr>
            <w:tcW w:w="2351" w:type="dxa"/>
            <w:tcBorders>
              <w:top w:val="single" w:color="000000" w:sz="4" w:space="0"/>
              <w:left w:val="single" w:color="000000" w:sz="4" w:space="0"/>
              <w:bottom w:val="single" w:color="000000" w:sz="4" w:space="0"/>
              <w:right w:val="single" w:color="000000" w:sz="4" w:space="0"/>
            </w:tcBorders>
            <w:vAlign w:val="center"/>
          </w:tcPr>
          <w:p w14:paraId="35B5607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96365" cy="1240155"/>
                  <wp:effectExtent l="0" t="0" r="635" b="4445"/>
                  <wp:docPr id="31"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IMG_261"/>
                          <pic:cNvPicPr>
                            <a:picLocks noChangeAspect="1"/>
                          </pic:cNvPicPr>
                        </pic:nvPicPr>
                        <pic:blipFill>
                          <a:blip r:embed="rId40"/>
                          <a:stretch>
                            <a:fillRect/>
                          </a:stretch>
                        </pic:blipFill>
                        <pic:spPr>
                          <a:xfrm>
                            <a:off x="0" y="0"/>
                            <a:ext cx="1396365" cy="124015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FDFC19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定制墙面+区域立体字1组+信息亚克力+信息雪弗板</w:t>
            </w:r>
          </w:p>
        </w:tc>
        <w:tc>
          <w:tcPr>
            <w:tcW w:w="1746" w:type="dxa"/>
            <w:tcBorders>
              <w:top w:val="single" w:color="000000" w:sz="4" w:space="0"/>
              <w:left w:val="single" w:color="000000" w:sz="4" w:space="0"/>
              <w:bottom w:val="single" w:color="000000" w:sz="4" w:space="0"/>
              <w:right w:val="single" w:color="000000" w:sz="4" w:space="0"/>
            </w:tcBorders>
            <w:vAlign w:val="center"/>
          </w:tcPr>
          <w:p w14:paraId="13044BE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4800mm*3000mm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0F7BFEE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6D49AB1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w:t>
            </w:r>
          </w:p>
        </w:tc>
      </w:tr>
      <w:tr w14:paraId="760DA981">
        <w:tblPrEx>
          <w:tblCellMar>
            <w:top w:w="0" w:type="dxa"/>
            <w:left w:w="108" w:type="dxa"/>
            <w:bottom w:w="0" w:type="dxa"/>
            <w:right w:w="108" w:type="dxa"/>
          </w:tblCellMar>
        </w:tblPrEx>
        <w:trPr>
          <w:trHeight w:val="2056"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65FA0B0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8.7</w:t>
            </w:r>
          </w:p>
        </w:tc>
        <w:tc>
          <w:tcPr>
            <w:tcW w:w="1459" w:type="dxa"/>
            <w:tcBorders>
              <w:top w:val="single" w:color="000000" w:sz="4" w:space="0"/>
              <w:left w:val="single" w:color="000000" w:sz="4" w:space="0"/>
              <w:bottom w:val="single" w:color="000000" w:sz="4" w:space="0"/>
              <w:right w:val="single" w:color="000000" w:sz="4" w:space="0"/>
            </w:tcBorders>
            <w:vAlign w:val="center"/>
          </w:tcPr>
          <w:p w14:paraId="1FEACA2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3F中医健康宣传阵地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756F747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45895" cy="659130"/>
                  <wp:effectExtent l="0" t="0" r="1905" b="1270"/>
                  <wp:docPr id="32" name="图片 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IMG_262"/>
                          <pic:cNvPicPr>
                            <a:picLocks noChangeAspect="1"/>
                          </pic:cNvPicPr>
                        </pic:nvPicPr>
                        <pic:blipFill>
                          <a:blip r:embed="rId41"/>
                          <a:stretch>
                            <a:fillRect/>
                          </a:stretch>
                        </pic:blipFill>
                        <pic:spPr>
                          <a:xfrm>
                            <a:off x="0" y="0"/>
                            <a:ext cx="1445895" cy="65913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754D821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墙面基层处理：阻燃板基层、木工板造型、乳胶漆、墙布等；</w:t>
            </w:r>
          </w:p>
          <w:p w14:paraId="112EE3E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7FF2D57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314CCF4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3900mm*3000mm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D4C5DB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0CAFEAA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11.7</w:t>
            </w:r>
          </w:p>
        </w:tc>
      </w:tr>
      <w:tr w14:paraId="1C96CA24">
        <w:tblPrEx>
          <w:tblCellMar>
            <w:top w:w="0" w:type="dxa"/>
            <w:left w:w="108" w:type="dxa"/>
            <w:bottom w:w="0" w:type="dxa"/>
            <w:right w:w="108" w:type="dxa"/>
          </w:tblCellMar>
        </w:tblPrEx>
        <w:trPr>
          <w:trHeight w:val="2979"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7D68896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8.8</w:t>
            </w:r>
          </w:p>
        </w:tc>
        <w:tc>
          <w:tcPr>
            <w:tcW w:w="1459" w:type="dxa"/>
            <w:tcBorders>
              <w:top w:val="single" w:color="000000" w:sz="4" w:space="0"/>
              <w:left w:val="single" w:color="000000" w:sz="4" w:space="0"/>
              <w:bottom w:val="single" w:color="000000" w:sz="4" w:space="0"/>
              <w:right w:val="single" w:color="000000" w:sz="4" w:space="0"/>
            </w:tcBorders>
            <w:vAlign w:val="center"/>
          </w:tcPr>
          <w:p w14:paraId="25B0CE3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3F中医文化走廊</w:t>
            </w:r>
          </w:p>
        </w:tc>
        <w:tc>
          <w:tcPr>
            <w:tcW w:w="2351" w:type="dxa"/>
            <w:tcBorders>
              <w:top w:val="single" w:color="000000" w:sz="4" w:space="0"/>
              <w:left w:val="single" w:color="000000" w:sz="4" w:space="0"/>
              <w:bottom w:val="single" w:color="000000" w:sz="4" w:space="0"/>
              <w:right w:val="single" w:color="000000" w:sz="4" w:space="0"/>
            </w:tcBorders>
            <w:vAlign w:val="center"/>
          </w:tcPr>
          <w:p w14:paraId="68CDD7F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24940" cy="638175"/>
                  <wp:effectExtent l="0" t="0" r="10160" b="9525"/>
                  <wp:docPr id="33" name="图片 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IMG_263"/>
                          <pic:cNvPicPr>
                            <a:picLocks noChangeAspect="1"/>
                          </pic:cNvPicPr>
                        </pic:nvPicPr>
                        <pic:blipFill>
                          <a:blip r:embed="rId42"/>
                          <a:stretch>
                            <a:fillRect/>
                          </a:stretch>
                        </pic:blipFill>
                        <pic:spPr>
                          <a:xfrm>
                            <a:off x="0" y="0"/>
                            <a:ext cx="1424940" cy="63817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27A2C20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墙面基层处理：阻燃板基层、木工板造型、乳胶漆、墙布等；</w:t>
            </w:r>
          </w:p>
          <w:p w14:paraId="0B6905E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4CE5A7D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0446F4C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11700mm*3000mm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042266C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58BDEB5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35.1</w:t>
            </w:r>
          </w:p>
        </w:tc>
      </w:tr>
      <w:tr w14:paraId="698D0F25">
        <w:tblPrEx>
          <w:tblCellMar>
            <w:top w:w="0" w:type="dxa"/>
            <w:left w:w="108" w:type="dxa"/>
            <w:bottom w:w="0" w:type="dxa"/>
            <w:right w:w="108" w:type="dxa"/>
          </w:tblCellMar>
        </w:tblPrEx>
        <w:trPr>
          <w:trHeight w:val="3215"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4C6B139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8.9</w:t>
            </w:r>
          </w:p>
        </w:tc>
        <w:tc>
          <w:tcPr>
            <w:tcW w:w="1459" w:type="dxa"/>
            <w:tcBorders>
              <w:top w:val="single" w:color="000000" w:sz="4" w:space="0"/>
              <w:left w:val="single" w:color="000000" w:sz="4" w:space="0"/>
              <w:bottom w:val="single" w:color="000000" w:sz="4" w:space="0"/>
              <w:right w:val="single" w:color="000000" w:sz="4" w:space="0"/>
            </w:tcBorders>
            <w:vAlign w:val="center"/>
          </w:tcPr>
          <w:p w14:paraId="43CECC5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4F医防护相互融合中心背景墙1</w:t>
            </w:r>
          </w:p>
        </w:tc>
        <w:tc>
          <w:tcPr>
            <w:tcW w:w="2351" w:type="dxa"/>
            <w:tcBorders>
              <w:top w:val="single" w:color="000000" w:sz="4" w:space="0"/>
              <w:left w:val="single" w:color="000000" w:sz="4" w:space="0"/>
              <w:bottom w:val="single" w:color="000000" w:sz="4" w:space="0"/>
              <w:right w:val="single" w:color="000000" w:sz="4" w:space="0"/>
            </w:tcBorders>
            <w:vAlign w:val="center"/>
          </w:tcPr>
          <w:p w14:paraId="0522EBF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17955" cy="1020445"/>
                  <wp:effectExtent l="0" t="0" r="4445" b="8255"/>
                  <wp:docPr id="34" name="图片 1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64"/>
                          <pic:cNvPicPr>
                            <a:picLocks noChangeAspect="1"/>
                          </pic:cNvPicPr>
                        </pic:nvPicPr>
                        <pic:blipFill>
                          <a:blip r:embed="rId43"/>
                          <a:stretch>
                            <a:fillRect/>
                          </a:stretch>
                        </pic:blipFill>
                        <pic:spPr>
                          <a:xfrm>
                            <a:off x="0" y="0"/>
                            <a:ext cx="1417955" cy="102044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09DE25F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1.墙面基层处理：阻燃板基层、木工板造型、乳胶漆、墙布等；</w:t>
            </w:r>
          </w:p>
          <w:p w14:paraId="0610337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5DACEB6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74FF651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3860mm*3000mm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1F355E1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740E5A6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11.58</w:t>
            </w:r>
          </w:p>
        </w:tc>
      </w:tr>
      <w:tr w14:paraId="50984B27">
        <w:tblPrEx>
          <w:tblCellMar>
            <w:top w:w="0" w:type="dxa"/>
            <w:left w:w="108" w:type="dxa"/>
            <w:bottom w:w="0" w:type="dxa"/>
            <w:right w:w="108" w:type="dxa"/>
          </w:tblCellMar>
        </w:tblPrEx>
        <w:trPr>
          <w:trHeight w:val="816"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4B30340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8.10</w:t>
            </w:r>
          </w:p>
        </w:tc>
        <w:tc>
          <w:tcPr>
            <w:tcW w:w="1459" w:type="dxa"/>
            <w:tcBorders>
              <w:top w:val="single" w:color="000000" w:sz="4" w:space="0"/>
              <w:left w:val="single" w:color="000000" w:sz="4" w:space="0"/>
              <w:bottom w:val="single" w:color="000000" w:sz="4" w:space="0"/>
              <w:right w:val="single" w:color="000000" w:sz="4" w:space="0"/>
            </w:tcBorders>
            <w:vAlign w:val="center"/>
          </w:tcPr>
          <w:p w14:paraId="20D6FB4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预防接种登记台童趣造型</w:t>
            </w:r>
          </w:p>
        </w:tc>
        <w:tc>
          <w:tcPr>
            <w:tcW w:w="2351" w:type="dxa"/>
            <w:tcBorders>
              <w:top w:val="single" w:color="000000" w:sz="4" w:space="0"/>
              <w:left w:val="single" w:color="000000" w:sz="4" w:space="0"/>
              <w:bottom w:val="single" w:color="000000" w:sz="4" w:space="0"/>
              <w:right w:val="single" w:color="000000" w:sz="4" w:space="0"/>
            </w:tcBorders>
            <w:vAlign w:val="center"/>
          </w:tcPr>
          <w:p w14:paraId="377CBDD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96365" cy="772795"/>
                  <wp:effectExtent l="0" t="0" r="635" b="1905"/>
                  <wp:docPr id="35" name="图片 1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descr="IMG_265"/>
                          <pic:cNvPicPr>
                            <a:picLocks noChangeAspect="1"/>
                          </pic:cNvPicPr>
                        </pic:nvPicPr>
                        <pic:blipFill>
                          <a:blip r:embed="rId44"/>
                          <a:stretch>
                            <a:fillRect/>
                          </a:stretch>
                        </pic:blipFill>
                        <pic:spPr>
                          <a:xfrm>
                            <a:off x="0" y="0"/>
                            <a:ext cx="1396365" cy="77279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1935855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拆除表面装置；</w:t>
            </w:r>
          </w:p>
          <w:p w14:paraId="70606B9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产品工艺：内置镀锌钢管骨架，不锈钢折弯定制造型，表面烤漆，信息UV；</w:t>
            </w:r>
          </w:p>
          <w:p w14:paraId="6A51C5A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3、地面修复</w:t>
            </w:r>
          </w:p>
        </w:tc>
        <w:tc>
          <w:tcPr>
            <w:tcW w:w="1746" w:type="dxa"/>
            <w:tcBorders>
              <w:top w:val="single" w:color="000000" w:sz="4" w:space="0"/>
              <w:left w:val="single" w:color="000000" w:sz="4" w:space="0"/>
              <w:bottom w:val="single" w:color="000000" w:sz="4" w:space="0"/>
              <w:right w:val="single" w:color="000000" w:sz="4" w:space="0"/>
            </w:tcBorders>
            <w:vAlign w:val="center"/>
          </w:tcPr>
          <w:p w14:paraId="23368EC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1000mm*750mm</w:t>
            </w:r>
          </w:p>
        </w:tc>
        <w:tc>
          <w:tcPr>
            <w:tcW w:w="852" w:type="dxa"/>
            <w:tcBorders>
              <w:top w:val="single" w:color="000000" w:sz="4" w:space="0"/>
              <w:left w:val="single" w:color="000000" w:sz="4" w:space="0"/>
              <w:bottom w:val="single" w:color="000000" w:sz="4" w:space="0"/>
              <w:right w:val="single" w:color="000000" w:sz="4" w:space="0"/>
            </w:tcBorders>
            <w:vAlign w:val="center"/>
          </w:tcPr>
          <w:p w14:paraId="1DCAA43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1087" w:type="dxa"/>
            <w:tcBorders>
              <w:top w:val="single" w:color="000000" w:sz="4" w:space="0"/>
              <w:left w:val="single" w:color="000000" w:sz="4" w:space="0"/>
              <w:bottom w:val="single" w:color="000000" w:sz="4" w:space="0"/>
              <w:right w:val="single" w:color="000000" w:sz="4" w:space="0"/>
            </w:tcBorders>
            <w:vAlign w:val="center"/>
          </w:tcPr>
          <w:p w14:paraId="56768CD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r>
      <w:tr w14:paraId="1F175CE9">
        <w:tblPrEx>
          <w:tblCellMar>
            <w:top w:w="0" w:type="dxa"/>
            <w:left w:w="108" w:type="dxa"/>
            <w:bottom w:w="0" w:type="dxa"/>
            <w:right w:w="108" w:type="dxa"/>
          </w:tblCellMar>
        </w:tblPrEx>
        <w:trPr>
          <w:trHeight w:val="3947"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3339B7B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8.11</w:t>
            </w:r>
          </w:p>
        </w:tc>
        <w:tc>
          <w:tcPr>
            <w:tcW w:w="1459" w:type="dxa"/>
            <w:tcBorders>
              <w:top w:val="single" w:color="000000" w:sz="4" w:space="0"/>
              <w:left w:val="single" w:color="000000" w:sz="4" w:space="0"/>
              <w:bottom w:val="single" w:color="000000" w:sz="4" w:space="0"/>
              <w:right w:val="single" w:color="000000" w:sz="4" w:space="0"/>
            </w:tcBorders>
            <w:vAlign w:val="center"/>
          </w:tcPr>
          <w:p w14:paraId="673ACAE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4F预防接种订制卡通造型树</w:t>
            </w:r>
          </w:p>
        </w:tc>
        <w:tc>
          <w:tcPr>
            <w:tcW w:w="2351" w:type="dxa"/>
            <w:tcBorders>
              <w:top w:val="single" w:color="000000" w:sz="4" w:space="0"/>
              <w:left w:val="single" w:color="000000" w:sz="4" w:space="0"/>
              <w:bottom w:val="single" w:color="000000" w:sz="4" w:space="0"/>
              <w:right w:val="single" w:color="000000" w:sz="4" w:space="0"/>
            </w:tcBorders>
            <w:vAlign w:val="center"/>
          </w:tcPr>
          <w:p w14:paraId="64D6A65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96365" cy="1927860"/>
                  <wp:effectExtent l="0" t="0" r="635" b="2540"/>
                  <wp:docPr id="36" name="图片 12"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descr="IMG_266"/>
                          <pic:cNvPicPr>
                            <a:picLocks noChangeAspect="1"/>
                          </pic:cNvPicPr>
                        </pic:nvPicPr>
                        <pic:blipFill>
                          <a:blip r:embed="rId45"/>
                          <a:stretch>
                            <a:fillRect/>
                          </a:stretch>
                        </pic:blipFill>
                        <pic:spPr>
                          <a:xfrm>
                            <a:off x="0" y="0"/>
                            <a:ext cx="1396365" cy="192786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2CBD497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1.镀锌方管龙骨（吊顶及地面加固处理）；</w:t>
            </w:r>
          </w:p>
          <w:p w14:paraId="6414DF2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2.15厚阻燃板基层；</w:t>
            </w:r>
          </w:p>
          <w:p w14:paraId="1CB07AD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3.圆柱造型部分：15厚木饰面（阻燃板基层工厂背后开槽折圆造型，贴实木皮做开放油漆）；</w:t>
            </w:r>
          </w:p>
          <w:p w14:paraId="53D72DF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4.树枝造型部分：15厚阻燃板激光雕刻造型基础，贴实木皮做开放油漆；</w:t>
            </w:r>
          </w:p>
          <w:p w14:paraId="330F7A6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5.树叶部分：EPS材质雕刻树叶造型，着环保水性漆（根据设计色号调整）；</w:t>
            </w:r>
          </w:p>
          <w:p w14:paraId="3481917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6.成品现场安装。</w:t>
            </w:r>
          </w:p>
        </w:tc>
        <w:tc>
          <w:tcPr>
            <w:tcW w:w="1746" w:type="dxa"/>
            <w:tcBorders>
              <w:top w:val="single" w:color="000000" w:sz="4" w:space="0"/>
              <w:left w:val="single" w:color="000000" w:sz="4" w:space="0"/>
              <w:bottom w:val="single" w:color="000000" w:sz="4" w:space="0"/>
              <w:right w:val="single" w:color="000000" w:sz="4" w:space="0"/>
            </w:tcBorders>
            <w:vAlign w:val="center"/>
          </w:tcPr>
          <w:p w14:paraId="4D55067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直径1000mm，高度3000mm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57C8966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w:t>
            </w:r>
          </w:p>
        </w:tc>
        <w:tc>
          <w:tcPr>
            <w:tcW w:w="1087" w:type="dxa"/>
            <w:tcBorders>
              <w:top w:val="single" w:color="000000" w:sz="4" w:space="0"/>
              <w:left w:val="single" w:color="000000" w:sz="4" w:space="0"/>
              <w:bottom w:val="single" w:color="000000" w:sz="4" w:space="0"/>
              <w:right w:val="single" w:color="000000" w:sz="4" w:space="0"/>
            </w:tcBorders>
            <w:vAlign w:val="center"/>
          </w:tcPr>
          <w:p w14:paraId="2AFDA30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r>
      <w:tr w14:paraId="3DF15D4B">
        <w:tblPrEx>
          <w:tblCellMar>
            <w:top w:w="0" w:type="dxa"/>
            <w:left w:w="108" w:type="dxa"/>
            <w:bottom w:w="0" w:type="dxa"/>
            <w:right w:w="108" w:type="dxa"/>
          </w:tblCellMar>
        </w:tblPrEx>
        <w:trPr>
          <w:trHeight w:val="332"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189F85F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8.12</w:t>
            </w:r>
          </w:p>
        </w:tc>
        <w:tc>
          <w:tcPr>
            <w:tcW w:w="1459" w:type="dxa"/>
            <w:tcBorders>
              <w:top w:val="single" w:color="000000" w:sz="4" w:space="0"/>
              <w:left w:val="single" w:color="000000" w:sz="4" w:space="0"/>
              <w:bottom w:val="single" w:color="000000" w:sz="4" w:space="0"/>
              <w:right w:val="single" w:color="000000" w:sz="4" w:space="0"/>
            </w:tcBorders>
            <w:vAlign w:val="center"/>
          </w:tcPr>
          <w:p w14:paraId="54DC39F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4F医防护相互融合中心背景墙2</w:t>
            </w:r>
          </w:p>
        </w:tc>
        <w:tc>
          <w:tcPr>
            <w:tcW w:w="2351" w:type="dxa"/>
            <w:tcBorders>
              <w:top w:val="single" w:color="000000" w:sz="4" w:space="0"/>
              <w:left w:val="single" w:color="000000" w:sz="4" w:space="0"/>
              <w:bottom w:val="single" w:color="000000" w:sz="4" w:space="0"/>
              <w:right w:val="single" w:color="000000" w:sz="4" w:space="0"/>
            </w:tcBorders>
            <w:vAlign w:val="center"/>
          </w:tcPr>
          <w:p w14:paraId="0A4FDEA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04290" cy="1233170"/>
                  <wp:effectExtent l="0" t="0" r="3810" b="11430"/>
                  <wp:docPr id="37" name="图片 13"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descr="IMG_267"/>
                          <pic:cNvPicPr>
                            <a:picLocks noChangeAspect="1"/>
                          </pic:cNvPicPr>
                        </pic:nvPicPr>
                        <pic:blipFill>
                          <a:blip r:embed="rId46"/>
                          <a:stretch>
                            <a:fillRect/>
                          </a:stretch>
                        </pic:blipFill>
                        <pic:spPr>
                          <a:xfrm>
                            <a:off x="0" y="0"/>
                            <a:ext cx="1304290" cy="123317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50A653C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1.墙面基层处理：阻燃板基层、木工板造型、乳胶漆、墙布等；</w:t>
            </w:r>
          </w:p>
          <w:p w14:paraId="4191797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2956F40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742C177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4800mm*3000mm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351A763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18A4925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14.4</w:t>
            </w:r>
          </w:p>
        </w:tc>
      </w:tr>
      <w:tr w14:paraId="0DA72B69">
        <w:tblPrEx>
          <w:tblCellMar>
            <w:top w:w="0" w:type="dxa"/>
            <w:left w:w="108" w:type="dxa"/>
            <w:bottom w:w="0" w:type="dxa"/>
            <w:right w:w="108" w:type="dxa"/>
          </w:tblCellMar>
        </w:tblPrEx>
        <w:trPr>
          <w:trHeight w:val="2844"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363171F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8.13</w:t>
            </w:r>
          </w:p>
        </w:tc>
        <w:tc>
          <w:tcPr>
            <w:tcW w:w="1459" w:type="dxa"/>
            <w:tcBorders>
              <w:top w:val="single" w:color="000000" w:sz="4" w:space="0"/>
              <w:left w:val="single" w:color="000000" w:sz="4" w:space="0"/>
              <w:bottom w:val="single" w:color="000000" w:sz="4" w:space="0"/>
              <w:right w:val="single" w:color="000000" w:sz="4" w:space="0"/>
            </w:tcBorders>
            <w:vAlign w:val="center"/>
          </w:tcPr>
          <w:p w14:paraId="720D5DB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4F儿童活动区健康宣传阵地打造（无家具/墙面氛围装饰）</w:t>
            </w:r>
          </w:p>
        </w:tc>
        <w:tc>
          <w:tcPr>
            <w:tcW w:w="2351" w:type="dxa"/>
            <w:tcBorders>
              <w:top w:val="single" w:color="000000" w:sz="4" w:space="0"/>
              <w:left w:val="single" w:color="000000" w:sz="4" w:space="0"/>
              <w:bottom w:val="single" w:color="000000" w:sz="4" w:space="0"/>
              <w:right w:val="single" w:color="000000" w:sz="4" w:space="0"/>
            </w:tcBorders>
            <w:vAlign w:val="center"/>
          </w:tcPr>
          <w:p w14:paraId="6A28C53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24940" cy="963930"/>
                  <wp:effectExtent l="0" t="0" r="10160" b="1270"/>
                  <wp:docPr id="38" name="图片 14"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descr="IMG_268"/>
                          <pic:cNvPicPr>
                            <a:picLocks noChangeAspect="1"/>
                          </pic:cNvPicPr>
                        </pic:nvPicPr>
                        <pic:blipFill>
                          <a:blip r:embed="rId47"/>
                          <a:stretch>
                            <a:fillRect/>
                          </a:stretch>
                        </pic:blipFill>
                        <pic:spPr>
                          <a:xfrm>
                            <a:off x="0" y="0"/>
                            <a:ext cx="1424940" cy="96393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549778A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订制墙布/墙面氛围装饰元素</w:t>
            </w:r>
          </w:p>
        </w:tc>
        <w:tc>
          <w:tcPr>
            <w:tcW w:w="1746" w:type="dxa"/>
            <w:tcBorders>
              <w:top w:val="single" w:color="000000" w:sz="4" w:space="0"/>
              <w:left w:val="single" w:color="000000" w:sz="4" w:space="0"/>
              <w:bottom w:val="single" w:color="000000" w:sz="4" w:space="0"/>
              <w:right w:val="single" w:color="000000" w:sz="4" w:space="0"/>
            </w:tcBorders>
            <w:vAlign w:val="center"/>
          </w:tcPr>
          <w:p w14:paraId="1942493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(16370+2363+2770)mm*3000mm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163466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35D45CD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63.9</w:t>
            </w:r>
          </w:p>
        </w:tc>
      </w:tr>
      <w:tr w14:paraId="578927F9">
        <w:tblPrEx>
          <w:tblCellMar>
            <w:top w:w="0" w:type="dxa"/>
            <w:left w:w="108" w:type="dxa"/>
            <w:bottom w:w="0" w:type="dxa"/>
            <w:right w:w="108" w:type="dxa"/>
          </w:tblCellMar>
        </w:tblPrEx>
        <w:trPr>
          <w:trHeight w:val="9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A26B28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8.14</w:t>
            </w:r>
          </w:p>
        </w:tc>
        <w:tc>
          <w:tcPr>
            <w:tcW w:w="1459" w:type="dxa"/>
            <w:tcBorders>
              <w:top w:val="single" w:color="000000" w:sz="4" w:space="0"/>
              <w:left w:val="single" w:color="000000" w:sz="4" w:space="0"/>
              <w:bottom w:val="single" w:color="000000" w:sz="4" w:space="0"/>
              <w:right w:val="single" w:color="000000" w:sz="4" w:space="0"/>
            </w:tcBorders>
            <w:vAlign w:val="center"/>
          </w:tcPr>
          <w:p w14:paraId="264AE2C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4F儿童照护中心健康宣传阵地打造</w:t>
            </w:r>
          </w:p>
        </w:tc>
        <w:tc>
          <w:tcPr>
            <w:tcW w:w="2351" w:type="dxa"/>
            <w:tcBorders>
              <w:top w:val="single" w:color="000000" w:sz="4" w:space="0"/>
              <w:left w:val="single" w:color="000000" w:sz="4" w:space="0"/>
              <w:bottom w:val="single" w:color="000000" w:sz="4" w:space="0"/>
              <w:right w:val="single" w:color="000000" w:sz="4" w:space="0"/>
            </w:tcBorders>
            <w:vAlign w:val="center"/>
          </w:tcPr>
          <w:p w14:paraId="3584018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17955" cy="857885"/>
                  <wp:effectExtent l="0" t="0" r="4445" b="5715"/>
                  <wp:docPr id="39" name="图片 15"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IMG_269"/>
                          <pic:cNvPicPr>
                            <a:picLocks noChangeAspect="1"/>
                          </pic:cNvPicPr>
                        </pic:nvPicPr>
                        <pic:blipFill>
                          <a:blip r:embed="rId48"/>
                          <a:stretch>
                            <a:fillRect/>
                          </a:stretch>
                        </pic:blipFill>
                        <pic:spPr>
                          <a:xfrm>
                            <a:off x="0" y="0"/>
                            <a:ext cx="1417955" cy="85788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7DA2002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区域立体字+海绵垫（新增411诊室）共47.47m²+海绵墙贴26.6m²</w:t>
            </w:r>
          </w:p>
        </w:tc>
        <w:tc>
          <w:tcPr>
            <w:tcW w:w="1746" w:type="dxa"/>
            <w:tcBorders>
              <w:top w:val="single" w:color="000000" w:sz="4" w:space="0"/>
              <w:left w:val="single" w:color="000000" w:sz="4" w:space="0"/>
              <w:bottom w:val="single" w:color="000000" w:sz="4" w:space="0"/>
              <w:right w:val="single" w:color="000000" w:sz="4" w:space="0"/>
            </w:tcBorders>
            <w:vAlign w:val="center"/>
          </w:tcPr>
          <w:p w14:paraId="1156940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47.47m²+26.6m²</w:t>
            </w:r>
          </w:p>
        </w:tc>
        <w:tc>
          <w:tcPr>
            <w:tcW w:w="852" w:type="dxa"/>
            <w:tcBorders>
              <w:top w:val="single" w:color="000000" w:sz="4" w:space="0"/>
              <w:left w:val="single" w:color="000000" w:sz="4" w:space="0"/>
              <w:bottom w:val="single" w:color="000000" w:sz="4" w:space="0"/>
              <w:right w:val="single" w:color="000000" w:sz="4" w:space="0"/>
            </w:tcBorders>
            <w:vAlign w:val="center"/>
          </w:tcPr>
          <w:p w14:paraId="1FE8810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7ECEABA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w:t>
            </w:r>
          </w:p>
        </w:tc>
      </w:tr>
      <w:tr w14:paraId="183572C2">
        <w:tblPrEx>
          <w:tblCellMar>
            <w:top w:w="0" w:type="dxa"/>
            <w:left w:w="108" w:type="dxa"/>
            <w:bottom w:w="0" w:type="dxa"/>
            <w:right w:w="108" w:type="dxa"/>
          </w:tblCellMar>
        </w:tblPrEx>
        <w:trPr>
          <w:trHeight w:val="1818"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6EAB5D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8.15</w:t>
            </w:r>
          </w:p>
        </w:tc>
        <w:tc>
          <w:tcPr>
            <w:tcW w:w="1459" w:type="dxa"/>
            <w:tcBorders>
              <w:top w:val="single" w:color="000000" w:sz="4" w:space="0"/>
              <w:left w:val="single" w:color="000000" w:sz="4" w:space="0"/>
              <w:bottom w:val="single" w:color="000000" w:sz="4" w:space="0"/>
              <w:right w:val="single" w:color="000000" w:sz="4" w:space="0"/>
            </w:tcBorders>
            <w:vAlign w:val="center"/>
          </w:tcPr>
          <w:p w14:paraId="52CDD89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4F预防接种儿童阅读区健康宣传阵地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64790E9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60500" cy="921385"/>
                  <wp:effectExtent l="0" t="0" r="0" b="5715"/>
                  <wp:docPr id="40" name="图片 16"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IMG_270"/>
                          <pic:cNvPicPr>
                            <a:picLocks noChangeAspect="1"/>
                          </pic:cNvPicPr>
                        </pic:nvPicPr>
                        <pic:blipFill>
                          <a:blip r:embed="rId49"/>
                          <a:stretch>
                            <a:fillRect/>
                          </a:stretch>
                        </pic:blipFill>
                        <pic:spPr>
                          <a:xfrm>
                            <a:off x="0" y="0"/>
                            <a:ext cx="1460500" cy="92138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4E8AFBE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定制墙布+区域立体字一组</w:t>
            </w:r>
          </w:p>
        </w:tc>
        <w:tc>
          <w:tcPr>
            <w:tcW w:w="1746" w:type="dxa"/>
            <w:tcBorders>
              <w:top w:val="single" w:color="000000" w:sz="4" w:space="0"/>
              <w:left w:val="single" w:color="000000" w:sz="4" w:space="0"/>
              <w:bottom w:val="single" w:color="000000" w:sz="4" w:space="0"/>
              <w:right w:val="single" w:color="000000" w:sz="4" w:space="0"/>
            </w:tcBorders>
            <w:vAlign w:val="center"/>
          </w:tcPr>
          <w:p w14:paraId="6D618D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(3230+5905)mm*3000mm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DC82F1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263C7E7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25.48</w:t>
            </w:r>
          </w:p>
        </w:tc>
      </w:tr>
      <w:tr w14:paraId="2B94DD83">
        <w:tblPrEx>
          <w:tblCellMar>
            <w:top w:w="0" w:type="dxa"/>
            <w:left w:w="108" w:type="dxa"/>
            <w:bottom w:w="0" w:type="dxa"/>
            <w:right w:w="108" w:type="dxa"/>
          </w:tblCellMar>
        </w:tblPrEx>
        <w:trPr>
          <w:trHeight w:val="1758"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3215CC9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8.16</w:t>
            </w:r>
          </w:p>
        </w:tc>
        <w:tc>
          <w:tcPr>
            <w:tcW w:w="1459" w:type="dxa"/>
            <w:tcBorders>
              <w:top w:val="single" w:color="000000" w:sz="4" w:space="0"/>
              <w:left w:val="single" w:color="000000" w:sz="4" w:space="0"/>
              <w:bottom w:val="single" w:color="000000" w:sz="4" w:space="0"/>
              <w:right w:val="single" w:color="000000" w:sz="4" w:space="0"/>
            </w:tcBorders>
            <w:vAlign w:val="center"/>
          </w:tcPr>
          <w:p w14:paraId="1CB4402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4F预防接种儿童插画健康宣传阵地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07DF6CB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75410" cy="928370"/>
                  <wp:effectExtent l="0" t="0" r="8890" b="11430"/>
                  <wp:docPr id="41" name="图片 17"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IMG_271"/>
                          <pic:cNvPicPr>
                            <a:picLocks noChangeAspect="1"/>
                          </pic:cNvPicPr>
                        </pic:nvPicPr>
                        <pic:blipFill>
                          <a:blip r:embed="rId50"/>
                          <a:stretch>
                            <a:fillRect/>
                          </a:stretch>
                        </pic:blipFill>
                        <pic:spPr>
                          <a:xfrm>
                            <a:off x="0" y="0"/>
                            <a:ext cx="1375410" cy="92837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0550A47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定制墙面+区域立体字1组</w:t>
            </w:r>
          </w:p>
        </w:tc>
        <w:tc>
          <w:tcPr>
            <w:tcW w:w="1746" w:type="dxa"/>
            <w:tcBorders>
              <w:top w:val="single" w:color="000000" w:sz="4" w:space="0"/>
              <w:left w:val="single" w:color="000000" w:sz="4" w:space="0"/>
              <w:bottom w:val="single" w:color="000000" w:sz="4" w:space="0"/>
              <w:right w:val="single" w:color="000000" w:sz="4" w:space="0"/>
            </w:tcBorders>
            <w:vAlign w:val="center"/>
          </w:tcPr>
          <w:p w14:paraId="4F10039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(7127+28490+2730)mm*3000mm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551F831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27CD71D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107.24</w:t>
            </w:r>
          </w:p>
        </w:tc>
      </w:tr>
      <w:tr w14:paraId="5914E798">
        <w:tblPrEx>
          <w:tblCellMar>
            <w:top w:w="0" w:type="dxa"/>
            <w:left w:w="108" w:type="dxa"/>
            <w:bottom w:w="0" w:type="dxa"/>
            <w:right w:w="108" w:type="dxa"/>
          </w:tblCellMar>
        </w:tblPrEx>
        <w:trPr>
          <w:trHeight w:val="2188"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74FA66A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8.17</w:t>
            </w:r>
          </w:p>
        </w:tc>
        <w:tc>
          <w:tcPr>
            <w:tcW w:w="1459" w:type="dxa"/>
            <w:tcBorders>
              <w:top w:val="single" w:color="000000" w:sz="4" w:space="0"/>
              <w:left w:val="single" w:color="000000" w:sz="4" w:space="0"/>
              <w:bottom w:val="single" w:color="000000" w:sz="4" w:space="0"/>
              <w:right w:val="single" w:color="000000" w:sz="4" w:space="0"/>
            </w:tcBorders>
            <w:vAlign w:val="center"/>
          </w:tcPr>
          <w:p w14:paraId="7048FE4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4F妇科健康宣传阵地营造</w:t>
            </w:r>
          </w:p>
        </w:tc>
        <w:tc>
          <w:tcPr>
            <w:tcW w:w="2351" w:type="dxa"/>
            <w:tcBorders>
              <w:top w:val="single" w:color="000000" w:sz="4" w:space="0"/>
              <w:left w:val="single" w:color="000000" w:sz="4" w:space="0"/>
              <w:bottom w:val="single" w:color="000000" w:sz="4" w:space="0"/>
              <w:right w:val="single" w:color="000000" w:sz="4" w:space="0"/>
            </w:tcBorders>
            <w:vAlign w:val="center"/>
          </w:tcPr>
          <w:p w14:paraId="0127AE2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45895" cy="850900"/>
                  <wp:effectExtent l="0" t="0" r="1905" b="0"/>
                  <wp:docPr id="42" name="图片 18"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IMG_272"/>
                          <pic:cNvPicPr>
                            <a:picLocks noChangeAspect="1"/>
                          </pic:cNvPicPr>
                        </pic:nvPicPr>
                        <pic:blipFill>
                          <a:blip r:embed="rId51"/>
                          <a:stretch>
                            <a:fillRect/>
                          </a:stretch>
                        </pic:blipFill>
                        <pic:spPr>
                          <a:xfrm>
                            <a:off x="0" y="0"/>
                            <a:ext cx="1445895" cy="85090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EEA095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定制墙面+区域立体字1组</w:t>
            </w:r>
          </w:p>
        </w:tc>
        <w:tc>
          <w:tcPr>
            <w:tcW w:w="1746" w:type="dxa"/>
            <w:tcBorders>
              <w:top w:val="single" w:color="000000" w:sz="4" w:space="0"/>
              <w:left w:val="single" w:color="000000" w:sz="4" w:space="0"/>
              <w:bottom w:val="single" w:color="000000" w:sz="4" w:space="0"/>
              <w:right w:val="single" w:color="000000" w:sz="4" w:space="0"/>
            </w:tcBorders>
            <w:vAlign w:val="center"/>
          </w:tcPr>
          <w:p w14:paraId="2C17796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(142900+145600+3658+3200)mm*3000mm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0F8AE93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615594E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106.5</w:t>
            </w:r>
          </w:p>
        </w:tc>
      </w:tr>
      <w:tr w14:paraId="58BB8490">
        <w:tblPrEx>
          <w:tblCellMar>
            <w:top w:w="0" w:type="dxa"/>
            <w:left w:w="108" w:type="dxa"/>
            <w:bottom w:w="0" w:type="dxa"/>
            <w:right w:w="108" w:type="dxa"/>
          </w:tblCellMar>
        </w:tblPrEx>
        <w:trPr>
          <w:trHeight w:val="326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C6273E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8.18</w:t>
            </w:r>
          </w:p>
        </w:tc>
        <w:tc>
          <w:tcPr>
            <w:tcW w:w="1459" w:type="dxa"/>
            <w:tcBorders>
              <w:top w:val="single" w:color="000000" w:sz="4" w:space="0"/>
              <w:left w:val="single" w:color="000000" w:sz="4" w:space="0"/>
              <w:bottom w:val="single" w:color="000000" w:sz="4" w:space="0"/>
              <w:right w:val="single" w:color="000000" w:sz="4" w:space="0"/>
            </w:tcBorders>
            <w:vAlign w:val="center"/>
          </w:tcPr>
          <w:p w14:paraId="5B466FA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4F诊室儿童健康宣传墙贴（401～406，408～411，414～416，423～425，共15个诊室，预计单个诊室8个）</w:t>
            </w:r>
          </w:p>
        </w:tc>
        <w:tc>
          <w:tcPr>
            <w:tcW w:w="2351" w:type="dxa"/>
            <w:tcBorders>
              <w:top w:val="single" w:color="000000" w:sz="4" w:space="0"/>
              <w:left w:val="single" w:color="000000" w:sz="4" w:space="0"/>
              <w:bottom w:val="single" w:color="000000" w:sz="4" w:space="0"/>
              <w:right w:val="single" w:color="000000" w:sz="4" w:space="0"/>
            </w:tcBorders>
            <w:vAlign w:val="center"/>
          </w:tcPr>
          <w:p w14:paraId="3B89B31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977900" cy="2877820"/>
                  <wp:effectExtent l="0" t="0" r="0" b="5080"/>
                  <wp:docPr id="43" name="图片 19"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descr="IMG_273"/>
                          <pic:cNvPicPr>
                            <a:picLocks noChangeAspect="1"/>
                          </pic:cNvPicPr>
                        </pic:nvPicPr>
                        <pic:blipFill>
                          <a:blip r:embed="rId52"/>
                          <a:stretch>
                            <a:fillRect/>
                          </a:stretch>
                        </pic:blipFill>
                        <pic:spPr>
                          <a:xfrm>
                            <a:off x="0" y="0"/>
                            <a:ext cx="977900" cy="287782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DFC9F7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5mm高密度雪弗板uv，定制金属艺术字体</w:t>
            </w:r>
          </w:p>
        </w:tc>
        <w:tc>
          <w:tcPr>
            <w:tcW w:w="1746" w:type="dxa"/>
            <w:tcBorders>
              <w:top w:val="single" w:color="000000" w:sz="4" w:space="0"/>
              <w:left w:val="single" w:color="000000" w:sz="4" w:space="0"/>
              <w:bottom w:val="single" w:color="000000" w:sz="4" w:space="0"/>
              <w:right w:val="single" w:color="000000" w:sz="4" w:space="0"/>
            </w:tcBorders>
            <w:vAlign w:val="center"/>
          </w:tcPr>
          <w:p w14:paraId="3B33CBB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300mm*250mm</w:t>
            </w:r>
          </w:p>
        </w:tc>
        <w:tc>
          <w:tcPr>
            <w:tcW w:w="852" w:type="dxa"/>
            <w:tcBorders>
              <w:top w:val="single" w:color="000000" w:sz="4" w:space="0"/>
              <w:left w:val="single" w:color="000000" w:sz="4" w:space="0"/>
              <w:bottom w:val="single" w:color="000000" w:sz="4" w:space="0"/>
              <w:right w:val="single" w:color="000000" w:sz="4" w:space="0"/>
            </w:tcBorders>
            <w:vAlign w:val="center"/>
          </w:tcPr>
          <w:p w14:paraId="39B5169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1087" w:type="dxa"/>
            <w:tcBorders>
              <w:top w:val="single" w:color="000000" w:sz="4" w:space="0"/>
              <w:left w:val="single" w:color="000000" w:sz="4" w:space="0"/>
              <w:bottom w:val="single" w:color="000000" w:sz="4" w:space="0"/>
              <w:right w:val="single" w:color="000000" w:sz="4" w:space="0"/>
            </w:tcBorders>
            <w:vAlign w:val="center"/>
          </w:tcPr>
          <w:p w14:paraId="5A7B05A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120</w:t>
            </w:r>
          </w:p>
        </w:tc>
      </w:tr>
      <w:tr w14:paraId="15CAAE02">
        <w:tblPrEx>
          <w:tblCellMar>
            <w:top w:w="0" w:type="dxa"/>
            <w:left w:w="108" w:type="dxa"/>
            <w:bottom w:w="0" w:type="dxa"/>
            <w:right w:w="108" w:type="dxa"/>
          </w:tblCellMar>
        </w:tblPrEx>
        <w:trPr>
          <w:trHeight w:val="2206"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708E8B0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8.19</w:t>
            </w:r>
          </w:p>
        </w:tc>
        <w:tc>
          <w:tcPr>
            <w:tcW w:w="1459" w:type="dxa"/>
            <w:tcBorders>
              <w:top w:val="single" w:color="000000" w:sz="4" w:space="0"/>
              <w:left w:val="single" w:color="000000" w:sz="4" w:space="0"/>
              <w:bottom w:val="single" w:color="000000" w:sz="4" w:space="0"/>
              <w:right w:val="single" w:color="000000" w:sz="4" w:space="0"/>
            </w:tcBorders>
            <w:vAlign w:val="center"/>
          </w:tcPr>
          <w:p w14:paraId="595F387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4F诊区特色宣传墙面（3个：妇保，儿保，预防接种）</w:t>
            </w:r>
          </w:p>
        </w:tc>
        <w:tc>
          <w:tcPr>
            <w:tcW w:w="2351" w:type="dxa"/>
            <w:tcBorders>
              <w:top w:val="single" w:color="000000" w:sz="4" w:space="0"/>
              <w:left w:val="single" w:color="000000" w:sz="4" w:space="0"/>
              <w:bottom w:val="single" w:color="000000" w:sz="4" w:space="0"/>
              <w:right w:val="single" w:color="000000" w:sz="4" w:space="0"/>
            </w:tcBorders>
            <w:vAlign w:val="center"/>
          </w:tcPr>
          <w:p w14:paraId="36487E68">
            <w:pP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89380" cy="914400"/>
                  <wp:effectExtent l="0" t="0" r="7620" b="0"/>
                  <wp:docPr id="44" name="图片 20"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74"/>
                          <pic:cNvPicPr>
                            <a:picLocks noChangeAspect="1"/>
                          </pic:cNvPicPr>
                        </pic:nvPicPr>
                        <pic:blipFill>
                          <a:blip r:embed="rId53"/>
                          <a:stretch>
                            <a:fillRect/>
                          </a:stretch>
                        </pic:blipFill>
                        <pic:spPr>
                          <a:xfrm>
                            <a:off x="0" y="0"/>
                            <a:ext cx="1389380" cy="91440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ECAE60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基层处理：定制墙布；</w:t>
            </w:r>
          </w:p>
          <w:p w14:paraId="24A03B2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造型部分：10mm亚克力激光雕刻烤漆UV、5mm亚克力烤激光雕刻漆UV；</w:t>
            </w:r>
          </w:p>
          <w:p w14:paraId="55D392D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334E837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1F80ABA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5DB0744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18</w:t>
            </w:r>
          </w:p>
        </w:tc>
      </w:tr>
      <w:tr w14:paraId="503DF0B9">
        <w:tblPrEx>
          <w:tblCellMar>
            <w:top w:w="0" w:type="dxa"/>
            <w:left w:w="108" w:type="dxa"/>
            <w:bottom w:w="0" w:type="dxa"/>
            <w:right w:w="108" w:type="dxa"/>
          </w:tblCellMar>
        </w:tblPrEx>
        <w:trPr>
          <w:trHeight w:val="2086"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7DEBF33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8.20</w:t>
            </w:r>
          </w:p>
        </w:tc>
        <w:tc>
          <w:tcPr>
            <w:tcW w:w="1459" w:type="dxa"/>
            <w:tcBorders>
              <w:top w:val="single" w:color="000000" w:sz="4" w:space="0"/>
              <w:left w:val="single" w:color="000000" w:sz="4" w:space="0"/>
              <w:bottom w:val="single" w:color="000000" w:sz="4" w:space="0"/>
              <w:right w:val="single" w:color="000000" w:sz="4" w:space="0"/>
            </w:tcBorders>
            <w:vAlign w:val="center"/>
          </w:tcPr>
          <w:p w14:paraId="242E503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4F儿童膳食厨房健康宣传阵地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2C26106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31925" cy="1637665"/>
                  <wp:effectExtent l="0" t="0" r="3175" b="635"/>
                  <wp:docPr id="45" name="图片 21"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descr="IMG_275"/>
                          <pic:cNvPicPr>
                            <a:picLocks noChangeAspect="1"/>
                          </pic:cNvPicPr>
                        </pic:nvPicPr>
                        <pic:blipFill>
                          <a:blip r:embed="rId54"/>
                          <a:stretch>
                            <a:fillRect/>
                          </a:stretch>
                        </pic:blipFill>
                        <pic:spPr>
                          <a:xfrm>
                            <a:off x="0" y="0"/>
                            <a:ext cx="1431925" cy="163766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62790FD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定制墙面+区域立体字</w:t>
            </w:r>
          </w:p>
        </w:tc>
        <w:tc>
          <w:tcPr>
            <w:tcW w:w="1746" w:type="dxa"/>
            <w:tcBorders>
              <w:top w:val="single" w:color="000000" w:sz="4" w:space="0"/>
              <w:left w:val="single" w:color="000000" w:sz="4" w:space="0"/>
              <w:bottom w:val="single" w:color="000000" w:sz="4" w:space="0"/>
              <w:right w:val="single" w:color="000000" w:sz="4" w:space="0"/>
            </w:tcBorders>
            <w:vAlign w:val="center"/>
          </w:tcPr>
          <w:p w14:paraId="7F38C9C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4640mm*3000mm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4806F716">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2F4229D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13.8</w:t>
            </w:r>
          </w:p>
        </w:tc>
      </w:tr>
      <w:tr w14:paraId="5A3B0ADB">
        <w:tblPrEx>
          <w:tblCellMar>
            <w:top w:w="0" w:type="dxa"/>
            <w:left w:w="108" w:type="dxa"/>
            <w:bottom w:w="0" w:type="dxa"/>
            <w:right w:w="108" w:type="dxa"/>
          </w:tblCellMar>
        </w:tblPrEx>
        <w:trPr>
          <w:trHeight w:val="1141"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4F04578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8.21</w:t>
            </w:r>
          </w:p>
        </w:tc>
        <w:tc>
          <w:tcPr>
            <w:tcW w:w="1459" w:type="dxa"/>
            <w:tcBorders>
              <w:top w:val="single" w:color="000000" w:sz="4" w:space="0"/>
              <w:left w:val="single" w:color="000000" w:sz="4" w:space="0"/>
              <w:bottom w:val="single" w:color="000000" w:sz="4" w:space="0"/>
              <w:right w:val="single" w:color="000000" w:sz="4" w:space="0"/>
            </w:tcBorders>
            <w:vAlign w:val="center"/>
          </w:tcPr>
          <w:p w14:paraId="1C3F1C3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6F职工之家宣传阵地打造</w:t>
            </w:r>
          </w:p>
        </w:tc>
        <w:tc>
          <w:tcPr>
            <w:tcW w:w="2351" w:type="dxa"/>
            <w:tcBorders>
              <w:top w:val="single" w:color="000000" w:sz="4" w:space="0"/>
              <w:left w:val="single" w:color="000000" w:sz="4" w:space="0"/>
              <w:bottom w:val="single" w:color="000000" w:sz="4" w:space="0"/>
              <w:right w:val="single" w:color="000000" w:sz="4" w:space="0"/>
            </w:tcBorders>
            <w:vAlign w:val="center"/>
          </w:tcPr>
          <w:p w14:paraId="262BED4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45895" cy="694690"/>
                  <wp:effectExtent l="0" t="0" r="1905" b="3810"/>
                  <wp:docPr id="46" name="图片 22"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2" descr="IMG_276"/>
                          <pic:cNvPicPr>
                            <a:picLocks noChangeAspect="1"/>
                          </pic:cNvPicPr>
                        </pic:nvPicPr>
                        <pic:blipFill>
                          <a:blip r:embed="rId55"/>
                          <a:stretch>
                            <a:fillRect/>
                          </a:stretch>
                        </pic:blipFill>
                        <pic:spPr>
                          <a:xfrm>
                            <a:off x="0" y="0"/>
                            <a:ext cx="1445895" cy="69469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2DF002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定制墙面+区域立体字</w:t>
            </w:r>
          </w:p>
        </w:tc>
        <w:tc>
          <w:tcPr>
            <w:tcW w:w="1746" w:type="dxa"/>
            <w:tcBorders>
              <w:top w:val="single" w:color="000000" w:sz="4" w:space="0"/>
              <w:left w:val="single" w:color="000000" w:sz="4" w:space="0"/>
              <w:bottom w:val="single" w:color="000000" w:sz="4" w:space="0"/>
              <w:right w:val="single" w:color="000000" w:sz="4" w:space="0"/>
            </w:tcBorders>
            <w:vAlign w:val="center"/>
          </w:tcPr>
          <w:p w14:paraId="4DDD120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4520mm*3000mm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57F0F4A9">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0D86B4A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13.5</w:t>
            </w:r>
          </w:p>
        </w:tc>
      </w:tr>
      <w:tr w14:paraId="14DA0810">
        <w:tblPrEx>
          <w:tblCellMar>
            <w:top w:w="0" w:type="dxa"/>
            <w:left w:w="108" w:type="dxa"/>
            <w:bottom w:w="0" w:type="dxa"/>
            <w:right w:w="108" w:type="dxa"/>
          </w:tblCellMar>
        </w:tblPrEx>
        <w:trPr>
          <w:trHeight w:val="377"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6112C85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8.22</w:t>
            </w:r>
          </w:p>
        </w:tc>
        <w:tc>
          <w:tcPr>
            <w:tcW w:w="1459" w:type="dxa"/>
            <w:tcBorders>
              <w:top w:val="single" w:color="000000" w:sz="4" w:space="0"/>
              <w:left w:val="single" w:color="000000" w:sz="4" w:space="0"/>
              <w:bottom w:val="single" w:color="000000" w:sz="4" w:space="0"/>
              <w:right w:val="single" w:color="000000" w:sz="4" w:space="0"/>
            </w:tcBorders>
            <w:vAlign w:val="center"/>
          </w:tcPr>
          <w:p w14:paraId="6DA46D5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7F党建宣传阵地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51EC470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67790" cy="538480"/>
                  <wp:effectExtent l="0" t="0" r="3810" b="7620"/>
                  <wp:docPr id="47" name="图片 23"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IMG_277"/>
                          <pic:cNvPicPr>
                            <a:picLocks noChangeAspect="1"/>
                          </pic:cNvPicPr>
                        </pic:nvPicPr>
                        <pic:blipFill>
                          <a:blip r:embed="rId56"/>
                          <a:stretch>
                            <a:fillRect/>
                          </a:stretch>
                        </pic:blipFill>
                        <pic:spPr>
                          <a:xfrm>
                            <a:off x="0" y="0"/>
                            <a:ext cx="1367790" cy="53848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6D72382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1.墙面基层处理：阻燃板基层、木工板造型、乳胶漆、墙布等；</w:t>
            </w:r>
          </w:p>
          <w:p w14:paraId="7C1A45B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6E2F18C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6AFE80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3900mm*3000mm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BA293B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4FD8193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11.7</w:t>
            </w:r>
          </w:p>
        </w:tc>
      </w:tr>
      <w:tr w14:paraId="1CC3B146">
        <w:tblPrEx>
          <w:tblCellMar>
            <w:top w:w="0" w:type="dxa"/>
            <w:left w:w="108" w:type="dxa"/>
            <w:bottom w:w="0" w:type="dxa"/>
            <w:right w:w="108" w:type="dxa"/>
          </w:tblCellMar>
        </w:tblPrEx>
        <w:trPr>
          <w:trHeight w:val="9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797222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8.23</w:t>
            </w:r>
          </w:p>
        </w:tc>
        <w:tc>
          <w:tcPr>
            <w:tcW w:w="1459" w:type="dxa"/>
            <w:tcBorders>
              <w:top w:val="single" w:color="000000" w:sz="4" w:space="0"/>
              <w:left w:val="single" w:color="000000" w:sz="4" w:space="0"/>
              <w:bottom w:val="single" w:color="000000" w:sz="4" w:space="0"/>
              <w:right w:val="single" w:color="000000" w:sz="4" w:space="0"/>
            </w:tcBorders>
            <w:vAlign w:val="center"/>
          </w:tcPr>
          <w:p w14:paraId="41DC198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7F党建+清廉文化走廊</w:t>
            </w:r>
          </w:p>
        </w:tc>
        <w:tc>
          <w:tcPr>
            <w:tcW w:w="2351" w:type="dxa"/>
            <w:tcBorders>
              <w:top w:val="single" w:color="000000" w:sz="4" w:space="0"/>
              <w:left w:val="single" w:color="000000" w:sz="4" w:space="0"/>
              <w:bottom w:val="single" w:color="000000" w:sz="4" w:space="0"/>
              <w:right w:val="single" w:color="000000" w:sz="4" w:space="0"/>
            </w:tcBorders>
            <w:vAlign w:val="center"/>
          </w:tcPr>
          <w:p w14:paraId="5DB1166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52880" cy="815340"/>
                  <wp:effectExtent l="0" t="0" r="7620" b="10160"/>
                  <wp:docPr id="48" name="图片 24"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4" descr="IMG_278"/>
                          <pic:cNvPicPr>
                            <a:picLocks noChangeAspect="1"/>
                          </pic:cNvPicPr>
                        </pic:nvPicPr>
                        <pic:blipFill>
                          <a:blip r:embed="rId57"/>
                          <a:stretch>
                            <a:fillRect/>
                          </a:stretch>
                        </pic:blipFill>
                        <pic:spPr>
                          <a:xfrm>
                            <a:off x="0" y="0"/>
                            <a:ext cx="1452880" cy="81534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1D1654F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1.墙面基层处理：阻燃板基层、木工板造型、乳胶漆、墙布等；</w:t>
            </w:r>
          </w:p>
          <w:p w14:paraId="06BE0C5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2.展示表面工艺：环保木器漆、汽车烤漆或氟碳漆工艺、高精度UV工艺等同类工艺或绘画等艺术类工艺；</w:t>
            </w:r>
          </w:p>
          <w:p w14:paraId="49A0E32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3.信息部分：定制亚克力卡槽、磁吸相框、激光打印A4纸，亚克力立体字烤激光雕刻漆UV。</w:t>
            </w:r>
          </w:p>
        </w:tc>
        <w:tc>
          <w:tcPr>
            <w:tcW w:w="1746" w:type="dxa"/>
            <w:tcBorders>
              <w:top w:val="single" w:color="000000" w:sz="4" w:space="0"/>
              <w:left w:val="single" w:color="000000" w:sz="4" w:space="0"/>
              <w:bottom w:val="single" w:color="000000" w:sz="4" w:space="0"/>
              <w:right w:val="single" w:color="000000" w:sz="4" w:space="0"/>
            </w:tcBorders>
            <w:vAlign w:val="center"/>
          </w:tcPr>
          <w:p w14:paraId="6E50F2D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12440mm*3000mm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40BE893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7293969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w:t>
            </w:r>
          </w:p>
        </w:tc>
      </w:tr>
      <w:tr w14:paraId="6B27C3E7">
        <w:tblPrEx>
          <w:tblCellMar>
            <w:top w:w="0" w:type="dxa"/>
            <w:left w:w="108" w:type="dxa"/>
            <w:bottom w:w="0" w:type="dxa"/>
            <w:right w:w="108" w:type="dxa"/>
          </w:tblCellMar>
        </w:tblPrEx>
        <w:trPr>
          <w:trHeight w:val="84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2104855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8.24</w:t>
            </w:r>
          </w:p>
        </w:tc>
        <w:tc>
          <w:tcPr>
            <w:tcW w:w="1459" w:type="dxa"/>
            <w:tcBorders>
              <w:top w:val="single" w:color="000000" w:sz="4" w:space="0"/>
              <w:left w:val="single" w:color="000000" w:sz="4" w:space="0"/>
              <w:bottom w:val="single" w:color="000000" w:sz="4" w:space="0"/>
              <w:right w:val="single" w:color="000000" w:sz="4" w:space="0"/>
            </w:tcBorders>
            <w:vAlign w:val="center"/>
          </w:tcPr>
          <w:p w14:paraId="592887C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7F清廉文化宣传阵地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1191F7D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67790" cy="1049020"/>
                  <wp:effectExtent l="0" t="0" r="3810" b="5080"/>
                  <wp:docPr id="49" name="图片 25"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descr="IMG_279"/>
                          <pic:cNvPicPr>
                            <a:picLocks noChangeAspect="1"/>
                          </pic:cNvPicPr>
                        </pic:nvPicPr>
                        <pic:blipFill>
                          <a:blip r:embed="rId58"/>
                          <a:stretch>
                            <a:fillRect/>
                          </a:stretch>
                        </pic:blipFill>
                        <pic:spPr>
                          <a:xfrm>
                            <a:off x="0" y="0"/>
                            <a:ext cx="1367790" cy="1049020"/>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10DDD42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p>
          <w:p w14:paraId="1754BA7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2.造型部分：10mm亚克力激光雕刻烤漆UV、5mm亚克力烤激光雕刻漆UV；</w:t>
            </w:r>
          </w:p>
          <w:p w14:paraId="5F892F3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362D0CC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5180mm*3000mm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66A7200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55B544F0">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14.54</w:t>
            </w:r>
          </w:p>
        </w:tc>
      </w:tr>
      <w:tr w14:paraId="4B77AE49">
        <w:tblPrEx>
          <w:tblCellMar>
            <w:top w:w="0" w:type="dxa"/>
            <w:left w:w="108" w:type="dxa"/>
            <w:bottom w:w="0" w:type="dxa"/>
            <w:right w:w="108" w:type="dxa"/>
          </w:tblCellMar>
        </w:tblPrEx>
        <w:trPr>
          <w:trHeight w:val="1363"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60BAFC4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8.25</w:t>
            </w:r>
          </w:p>
        </w:tc>
        <w:tc>
          <w:tcPr>
            <w:tcW w:w="1459" w:type="dxa"/>
            <w:tcBorders>
              <w:top w:val="single" w:color="000000" w:sz="4" w:space="0"/>
              <w:left w:val="single" w:color="000000" w:sz="4" w:space="0"/>
              <w:bottom w:val="single" w:color="000000" w:sz="4" w:space="0"/>
              <w:right w:val="single" w:color="000000" w:sz="4" w:space="0"/>
            </w:tcBorders>
            <w:vAlign w:val="center"/>
          </w:tcPr>
          <w:p w14:paraId="2E8CDA7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7F党员活动室宣传阵地</w:t>
            </w:r>
          </w:p>
        </w:tc>
        <w:tc>
          <w:tcPr>
            <w:tcW w:w="2351" w:type="dxa"/>
            <w:tcBorders>
              <w:top w:val="single" w:color="000000" w:sz="4" w:space="0"/>
              <w:left w:val="single" w:color="000000" w:sz="4" w:space="0"/>
              <w:bottom w:val="single" w:color="000000" w:sz="4" w:space="0"/>
              <w:right w:val="single" w:color="000000" w:sz="4" w:space="0"/>
            </w:tcBorders>
            <w:vAlign w:val="center"/>
          </w:tcPr>
          <w:p w14:paraId="4070D95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96365" cy="715645"/>
                  <wp:effectExtent l="0" t="0" r="635" b="8255"/>
                  <wp:docPr id="50" name="图片 26"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6" descr="IMG_280"/>
                          <pic:cNvPicPr>
                            <a:picLocks noChangeAspect="1"/>
                          </pic:cNvPicPr>
                        </pic:nvPicPr>
                        <pic:blipFill>
                          <a:blip r:embed="rId59"/>
                          <a:stretch>
                            <a:fillRect/>
                          </a:stretch>
                        </pic:blipFill>
                        <pic:spPr>
                          <a:xfrm>
                            <a:off x="0" y="0"/>
                            <a:ext cx="1396365" cy="715645"/>
                          </a:xfrm>
                          <a:prstGeom prst="rect">
                            <a:avLst/>
                          </a:prstGeom>
                          <a:noFill/>
                          <a:ln>
                            <a:noFill/>
                          </a:ln>
                        </pic:spPr>
                      </pic:pic>
                    </a:graphicData>
                  </a:graphic>
                </wp:inline>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315FB1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p>
          <w:p w14:paraId="70DBACC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2.造型部分：10mm亚克力激光雕刻烤漆UV、5mm亚克力烤激光雕刻漆UV；</w:t>
            </w:r>
          </w:p>
          <w:p w14:paraId="05DC7BC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405CC34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5180mm*3000mm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22B38A5C">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72F1404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15.54</w:t>
            </w:r>
          </w:p>
        </w:tc>
      </w:tr>
      <w:tr w14:paraId="4755920A">
        <w:tblPrEx>
          <w:tblCellMar>
            <w:top w:w="0" w:type="dxa"/>
            <w:left w:w="108" w:type="dxa"/>
            <w:bottom w:w="0" w:type="dxa"/>
            <w:right w:w="108" w:type="dxa"/>
          </w:tblCellMar>
        </w:tblPrEx>
        <w:trPr>
          <w:trHeight w:val="1063"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308F2CC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8.26</w:t>
            </w:r>
          </w:p>
        </w:tc>
        <w:tc>
          <w:tcPr>
            <w:tcW w:w="1459" w:type="dxa"/>
            <w:tcBorders>
              <w:top w:val="single" w:color="000000" w:sz="4" w:space="0"/>
              <w:left w:val="single" w:color="000000" w:sz="4" w:space="0"/>
              <w:bottom w:val="single" w:color="000000" w:sz="4" w:space="0"/>
              <w:right w:val="single" w:color="000000" w:sz="4" w:space="0"/>
            </w:tcBorders>
            <w:vAlign w:val="center"/>
          </w:tcPr>
          <w:p w14:paraId="0B8110B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科室宣传栏（口腔科）</w:t>
            </w:r>
          </w:p>
        </w:tc>
        <w:tc>
          <w:tcPr>
            <w:tcW w:w="2351" w:type="dxa"/>
            <w:tcBorders>
              <w:top w:val="single" w:color="000000" w:sz="4" w:space="0"/>
              <w:left w:val="single" w:color="000000" w:sz="4" w:space="0"/>
              <w:bottom w:val="single" w:color="000000" w:sz="4" w:space="0"/>
              <w:right w:val="single" w:color="000000" w:sz="4" w:space="0"/>
            </w:tcBorders>
            <w:vAlign w:val="center"/>
          </w:tcPr>
          <w:p w14:paraId="3157791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-5080</wp:posOffset>
                  </wp:positionH>
                  <wp:positionV relativeFrom="paragraph">
                    <wp:posOffset>565150</wp:posOffset>
                  </wp:positionV>
                  <wp:extent cx="1421130" cy="958850"/>
                  <wp:effectExtent l="0" t="0" r="1270" b="6350"/>
                  <wp:wrapNone/>
                  <wp:docPr id="19" name="ID_4A4F78C884824E629B72D96F8A76A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D_4A4F78C884824E629B72D96F8A76A560"/>
                          <pic:cNvPicPr>
                            <a:picLocks noChangeAspect="1"/>
                          </pic:cNvPicPr>
                        </pic:nvPicPr>
                        <pic:blipFill>
                          <a:blip r:embed="rId60"/>
                          <a:stretch>
                            <a:fillRect/>
                          </a:stretch>
                        </pic:blipFill>
                        <pic:spPr>
                          <a:xfrm>
                            <a:off x="0" y="0"/>
                            <a:ext cx="1421130" cy="958850"/>
                          </a:xfrm>
                          <a:prstGeom prst="rect">
                            <a:avLst/>
                          </a:prstGeom>
                          <a:noFill/>
                          <a:ln>
                            <a:noFill/>
                          </a:ln>
                        </pic:spPr>
                      </pic:pic>
                    </a:graphicData>
                  </a:graphic>
                </wp:anchor>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4500D90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2、造型部分：10mm亚克力激光雕刻烤漆UV、5mm亚克力烤激光雕刻漆UV</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22AD8B3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4000mm*1500mm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5596FC4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2B6AC2B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r>
      <w:tr w14:paraId="5C99311C">
        <w:tblPrEx>
          <w:tblCellMar>
            <w:top w:w="0" w:type="dxa"/>
            <w:left w:w="108" w:type="dxa"/>
            <w:bottom w:w="0" w:type="dxa"/>
            <w:right w:w="108" w:type="dxa"/>
          </w:tblCellMar>
        </w:tblPrEx>
        <w:trPr>
          <w:trHeight w:val="3975"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48AEBA1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8.27</w:t>
            </w:r>
          </w:p>
        </w:tc>
        <w:tc>
          <w:tcPr>
            <w:tcW w:w="1459" w:type="dxa"/>
            <w:tcBorders>
              <w:top w:val="single" w:color="000000" w:sz="4" w:space="0"/>
              <w:left w:val="single" w:color="000000" w:sz="4" w:space="0"/>
              <w:bottom w:val="single" w:color="000000" w:sz="4" w:space="0"/>
              <w:right w:val="single" w:color="000000" w:sz="4" w:space="0"/>
            </w:tcBorders>
            <w:vAlign w:val="center"/>
          </w:tcPr>
          <w:p w14:paraId="5FB2598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科室宣传栏（住院病房）</w:t>
            </w:r>
          </w:p>
        </w:tc>
        <w:tc>
          <w:tcPr>
            <w:tcW w:w="2351" w:type="dxa"/>
            <w:tcBorders>
              <w:top w:val="single" w:color="000000" w:sz="4" w:space="0"/>
              <w:left w:val="single" w:color="000000" w:sz="4" w:space="0"/>
              <w:bottom w:val="single" w:color="000000" w:sz="4" w:space="0"/>
              <w:right w:val="single" w:color="000000" w:sz="4" w:space="0"/>
            </w:tcBorders>
            <w:vAlign w:val="center"/>
          </w:tcPr>
          <w:p w14:paraId="750D78D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4445</wp:posOffset>
                  </wp:positionH>
                  <wp:positionV relativeFrom="paragraph">
                    <wp:posOffset>1066800</wp:posOffset>
                  </wp:positionV>
                  <wp:extent cx="1353820" cy="941070"/>
                  <wp:effectExtent l="0" t="0" r="5080" b="11430"/>
                  <wp:wrapNone/>
                  <wp:docPr id="20" name="ID_4A4F78C884824E629B72D96F8A76A560_SpCn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4A4F78C884824E629B72D96F8A76A560_SpCnt_1"/>
                          <pic:cNvPicPr>
                            <a:picLocks noChangeAspect="1"/>
                          </pic:cNvPicPr>
                        </pic:nvPicPr>
                        <pic:blipFill>
                          <a:blip r:embed="rId61"/>
                          <a:stretch>
                            <a:fillRect/>
                          </a:stretch>
                        </pic:blipFill>
                        <pic:spPr>
                          <a:xfrm>
                            <a:off x="0" y="0"/>
                            <a:ext cx="1353820" cy="941070"/>
                          </a:xfrm>
                          <a:prstGeom prst="rect">
                            <a:avLst/>
                          </a:prstGeom>
                          <a:noFill/>
                          <a:ln>
                            <a:noFill/>
                          </a:ln>
                        </pic:spPr>
                      </pic:pic>
                    </a:graphicData>
                  </a:graphic>
                </wp:anchor>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42EA2A8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1、基层处理：定制墙布</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2、造型部分：10mm亚克力激光雕刻烤漆UV、5mm亚克力烤激光雕刻漆UV</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3、信息部分：定制亚克力卡槽、磁吸相框、激光打印A4纸</w:t>
            </w:r>
          </w:p>
        </w:tc>
        <w:tc>
          <w:tcPr>
            <w:tcW w:w="1746" w:type="dxa"/>
            <w:tcBorders>
              <w:top w:val="single" w:color="000000" w:sz="4" w:space="0"/>
              <w:left w:val="single" w:color="000000" w:sz="4" w:space="0"/>
              <w:bottom w:val="single" w:color="000000" w:sz="4" w:space="0"/>
              <w:right w:val="single" w:color="000000" w:sz="4" w:space="0"/>
            </w:tcBorders>
            <w:vAlign w:val="center"/>
          </w:tcPr>
          <w:p w14:paraId="4BDDD18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2000mm*1500mm</w:t>
            </w:r>
          </w:p>
        </w:tc>
        <w:tc>
          <w:tcPr>
            <w:tcW w:w="852" w:type="dxa"/>
            <w:tcBorders>
              <w:top w:val="single" w:color="000000" w:sz="4" w:space="0"/>
              <w:left w:val="single" w:color="000000" w:sz="4" w:space="0"/>
              <w:bottom w:val="single" w:color="000000" w:sz="4" w:space="0"/>
              <w:right w:val="single" w:color="000000" w:sz="4" w:space="0"/>
            </w:tcBorders>
            <w:vAlign w:val="center"/>
          </w:tcPr>
          <w:p w14:paraId="021AAF3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799B2D23">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r>
      <w:tr w14:paraId="7549D7B3">
        <w:tblPrEx>
          <w:tblCellMar>
            <w:top w:w="0" w:type="dxa"/>
            <w:left w:w="108" w:type="dxa"/>
            <w:bottom w:w="0" w:type="dxa"/>
            <w:right w:w="108" w:type="dxa"/>
          </w:tblCellMar>
        </w:tblPrEx>
        <w:trPr>
          <w:trHeight w:val="4230"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52E0D30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8.28</w:t>
            </w:r>
          </w:p>
        </w:tc>
        <w:tc>
          <w:tcPr>
            <w:tcW w:w="1459" w:type="dxa"/>
            <w:tcBorders>
              <w:top w:val="single" w:color="000000" w:sz="4" w:space="0"/>
              <w:left w:val="single" w:color="000000" w:sz="4" w:space="0"/>
              <w:bottom w:val="single" w:color="000000" w:sz="4" w:space="0"/>
              <w:right w:val="single" w:color="000000" w:sz="4" w:space="0"/>
            </w:tcBorders>
            <w:vAlign w:val="center"/>
          </w:tcPr>
          <w:p w14:paraId="72287E4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垃圾分类宣传橱窗</w:t>
            </w:r>
          </w:p>
        </w:tc>
        <w:tc>
          <w:tcPr>
            <w:tcW w:w="2351" w:type="dxa"/>
            <w:tcBorders>
              <w:top w:val="single" w:color="000000" w:sz="4" w:space="0"/>
              <w:left w:val="single" w:color="000000" w:sz="4" w:space="0"/>
              <w:bottom w:val="single" w:color="000000" w:sz="4" w:space="0"/>
              <w:right w:val="single" w:color="000000" w:sz="4" w:space="0"/>
            </w:tcBorders>
            <w:vAlign w:val="center"/>
          </w:tcPr>
          <w:p w14:paraId="1289E6A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-19050</wp:posOffset>
                  </wp:positionH>
                  <wp:positionV relativeFrom="paragraph">
                    <wp:posOffset>1487805</wp:posOffset>
                  </wp:positionV>
                  <wp:extent cx="1390650" cy="929640"/>
                  <wp:effectExtent l="0" t="0" r="6350" b="10160"/>
                  <wp:wrapNone/>
                  <wp:docPr id="21" name="ID_FA0B132582904DBE9317258CB62B8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D_FA0B132582904DBE9317258CB62B8D04"/>
                          <pic:cNvPicPr>
                            <a:picLocks noChangeAspect="1"/>
                          </pic:cNvPicPr>
                        </pic:nvPicPr>
                        <pic:blipFill>
                          <a:blip r:embed="rId62"/>
                          <a:stretch>
                            <a:fillRect/>
                          </a:stretch>
                        </pic:blipFill>
                        <pic:spPr>
                          <a:xfrm>
                            <a:off x="0" y="0"/>
                            <a:ext cx="1390650" cy="929640"/>
                          </a:xfrm>
                          <a:prstGeom prst="rect">
                            <a:avLst/>
                          </a:prstGeom>
                          <a:noFill/>
                          <a:ln>
                            <a:noFill/>
                          </a:ln>
                        </pic:spPr>
                      </pic:pic>
                    </a:graphicData>
                  </a:graphic>
                </wp:anchor>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6D598DB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1.2mm镀锌板折边造型，内衬30mm*30mm镀锌管龙骨，</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表面汽车烤漆或热转印，</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人员公示照片磁吸可替换</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信息公示牌亚克力烤漆广告钉安装</w:t>
            </w:r>
          </w:p>
        </w:tc>
        <w:tc>
          <w:tcPr>
            <w:tcW w:w="1746" w:type="dxa"/>
            <w:tcBorders>
              <w:top w:val="single" w:color="000000" w:sz="4" w:space="0"/>
              <w:left w:val="single" w:color="000000" w:sz="4" w:space="0"/>
              <w:bottom w:val="single" w:color="000000" w:sz="4" w:space="0"/>
              <w:right w:val="single" w:color="000000" w:sz="4" w:space="0"/>
            </w:tcBorders>
            <w:vAlign w:val="center"/>
          </w:tcPr>
          <w:p w14:paraId="017F5A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2000mm*1200mm*40mm</w:t>
            </w:r>
          </w:p>
        </w:tc>
        <w:tc>
          <w:tcPr>
            <w:tcW w:w="852" w:type="dxa"/>
            <w:tcBorders>
              <w:top w:val="single" w:color="000000" w:sz="4" w:space="0"/>
              <w:left w:val="single" w:color="000000" w:sz="4" w:space="0"/>
              <w:bottom w:val="single" w:color="000000" w:sz="4" w:space="0"/>
              <w:right w:val="single" w:color="000000" w:sz="4" w:space="0"/>
            </w:tcBorders>
            <w:vAlign w:val="center"/>
          </w:tcPr>
          <w:p w14:paraId="1E7381EA">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个</w:t>
            </w:r>
          </w:p>
        </w:tc>
        <w:tc>
          <w:tcPr>
            <w:tcW w:w="1087" w:type="dxa"/>
            <w:tcBorders>
              <w:top w:val="single" w:color="000000" w:sz="4" w:space="0"/>
              <w:left w:val="single" w:color="000000" w:sz="4" w:space="0"/>
              <w:bottom w:val="single" w:color="000000" w:sz="4" w:space="0"/>
              <w:right w:val="single" w:color="000000" w:sz="4" w:space="0"/>
            </w:tcBorders>
            <w:vAlign w:val="center"/>
          </w:tcPr>
          <w:p w14:paraId="7A6A476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r>
      <w:tr w14:paraId="42270547">
        <w:tblPrEx>
          <w:tblCellMar>
            <w:top w:w="0" w:type="dxa"/>
            <w:left w:w="108" w:type="dxa"/>
            <w:bottom w:w="0" w:type="dxa"/>
            <w:right w:w="108" w:type="dxa"/>
          </w:tblCellMar>
        </w:tblPrEx>
        <w:trPr>
          <w:trHeight w:val="2441" w:hRule="atLeast"/>
          <w:jc w:val="center"/>
        </w:trPr>
        <w:tc>
          <w:tcPr>
            <w:tcW w:w="863" w:type="dxa"/>
            <w:tcBorders>
              <w:top w:val="single" w:color="000000" w:sz="4" w:space="0"/>
              <w:left w:val="single" w:color="000000" w:sz="4" w:space="0"/>
              <w:bottom w:val="single" w:color="000000" w:sz="4" w:space="0"/>
              <w:right w:val="single" w:color="000000" w:sz="4" w:space="0"/>
            </w:tcBorders>
            <w:vAlign w:val="center"/>
          </w:tcPr>
          <w:p w14:paraId="1977284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8.29</w:t>
            </w:r>
          </w:p>
        </w:tc>
        <w:tc>
          <w:tcPr>
            <w:tcW w:w="1459" w:type="dxa"/>
            <w:tcBorders>
              <w:top w:val="single" w:color="000000" w:sz="4" w:space="0"/>
              <w:left w:val="single" w:color="000000" w:sz="4" w:space="0"/>
              <w:bottom w:val="single" w:color="000000" w:sz="4" w:space="0"/>
              <w:right w:val="single" w:color="000000" w:sz="4" w:space="0"/>
            </w:tcBorders>
            <w:vAlign w:val="center"/>
          </w:tcPr>
          <w:p w14:paraId="561B2EE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1F核心价值观+医院氛围文化墙</w:t>
            </w:r>
          </w:p>
        </w:tc>
        <w:tc>
          <w:tcPr>
            <w:tcW w:w="2351" w:type="dxa"/>
            <w:tcBorders>
              <w:top w:val="single" w:color="000000" w:sz="4" w:space="0"/>
              <w:left w:val="single" w:color="000000" w:sz="4" w:space="0"/>
              <w:bottom w:val="single" w:color="000000" w:sz="4" w:space="0"/>
              <w:right w:val="single" w:color="000000" w:sz="4" w:space="0"/>
            </w:tcBorders>
            <w:vAlign w:val="center"/>
          </w:tcPr>
          <w:p w14:paraId="3D072D9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59264" behindDoc="0" locked="0" layoutInCell="1" allowOverlap="1">
                  <wp:simplePos x="0" y="0"/>
                  <wp:positionH relativeFrom="column">
                    <wp:posOffset>-46990</wp:posOffset>
                  </wp:positionH>
                  <wp:positionV relativeFrom="paragraph">
                    <wp:posOffset>299085</wp:posOffset>
                  </wp:positionV>
                  <wp:extent cx="1429385" cy="698500"/>
                  <wp:effectExtent l="0" t="0" r="5715" b="0"/>
                  <wp:wrapNone/>
                  <wp:docPr id="22" name="ID_80C41DFAA465489EB6D0176EC3385F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80C41DFAA465489EB6D0176EC3385FC2"/>
                          <pic:cNvPicPr>
                            <a:picLocks noChangeAspect="1"/>
                          </pic:cNvPicPr>
                        </pic:nvPicPr>
                        <pic:blipFill>
                          <a:blip r:embed="rId63"/>
                          <a:stretch>
                            <a:fillRect/>
                          </a:stretch>
                        </pic:blipFill>
                        <pic:spPr>
                          <a:xfrm>
                            <a:off x="0" y="0"/>
                            <a:ext cx="1429385" cy="698500"/>
                          </a:xfrm>
                          <a:prstGeom prst="rect">
                            <a:avLst/>
                          </a:prstGeom>
                          <a:noFill/>
                          <a:ln>
                            <a:noFill/>
                          </a:ln>
                        </pic:spPr>
                      </pic:pic>
                    </a:graphicData>
                  </a:graphic>
                </wp:anchor>
              </w:drawing>
            </w:r>
          </w:p>
        </w:tc>
        <w:tc>
          <w:tcPr>
            <w:tcW w:w="2090" w:type="dxa"/>
            <w:tcBorders>
              <w:top w:val="single" w:color="000000" w:sz="4" w:space="0"/>
              <w:left w:val="single" w:color="000000" w:sz="4" w:space="0"/>
              <w:bottom w:val="single" w:color="000000" w:sz="4" w:space="0"/>
              <w:right w:val="single" w:color="000000" w:sz="4" w:space="0"/>
            </w:tcBorders>
            <w:vAlign w:val="center"/>
          </w:tcPr>
          <w:p w14:paraId="7BAF6A6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定制艺术墙布</w:t>
            </w:r>
            <w:r>
              <w:rPr>
                <w:rFonts w:hint="eastAsia" w:asciiTheme="minorEastAsia" w:hAnsiTheme="minorEastAsia" w:eastAsiaTheme="minorEastAsia" w:cstheme="minorEastAsia"/>
                <w:color w:val="auto"/>
                <w:sz w:val="24"/>
                <w:szCs w:val="24"/>
              </w:rPr>
              <w:br w:type="textWrapping"/>
            </w:r>
            <w:r>
              <w:rPr>
                <w:rFonts w:hint="eastAsia" w:asciiTheme="minorEastAsia" w:hAnsiTheme="minorEastAsia" w:eastAsiaTheme="minorEastAsia" w:cstheme="minorEastAsia"/>
                <w:color w:val="auto"/>
                <w:sz w:val="24"/>
                <w:szCs w:val="24"/>
              </w:rPr>
              <w:t>1.2mm不锈钢烤漆立体字</w:t>
            </w:r>
          </w:p>
        </w:tc>
        <w:tc>
          <w:tcPr>
            <w:tcW w:w="1746" w:type="dxa"/>
            <w:tcBorders>
              <w:top w:val="single" w:color="000000" w:sz="4" w:space="0"/>
              <w:left w:val="single" w:color="000000" w:sz="4" w:space="0"/>
              <w:bottom w:val="single" w:color="000000" w:sz="4" w:space="0"/>
              <w:right w:val="single" w:color="000000" w:sz="4" w:space="0"/>
            </w:tcBorders>
            <w:vAlign w:val="center"/>
          </w:tcPr>
          <w:p w14:paraId="6B1D206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单面：8000mm*1000mm*3mm</w:t>
            </w:r>
          </w:p>
        </w:tc>
        <w:tc>
          <w:tcPr>
            <w:tcW w:w="852" w:type="dxa"/>
            <w:tcBorders>
              <w:top w:val="single" w:color="000000" w:sz="4" w:space="0"/>
              <w:left w:val="single" w:color="000000" w:sz="4" w:space="0"/>
              <w:bottom w:val="single" w:color="000000" w:sz="4" w:space="0"/>
              <w:right w:val="single" w:color="000000" w:sz="4" w:space="0"/>
            </w:tcBorders>
            <w:vAlign w:val="center"/>
          </w:tcPr>
          <w:p w14:paraId="37B738A4">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平方</w:t>
            </w:r>
          </w:p>
        </w:tc>
        <w:tc>
          <w:tcPr>
            <w:tcW w:w="1087" w:type="dxa"/>
            <w:tcBorders>
              <w:top w:val="single" w:color="000000" w:sz="4" w:space="0"/>
              <w:left w:val="single" w:color="000000" w:sz="4" w:space="0"/>
              <w:bottom w:val="single" w:color="000000" w:sz="4" w:space="0"/>
              <w:right w:val="single" w:color="000000" w:sz="4" w:space="0"/>
            </w:tcBorders>
            <w:vAlign w:val="center"/>
          </w:tcPr>
          <w:p w14:paraId="0A51E34F">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w:t>
            </w:r>
          </w:p>
        </w:tc>
      </w:tr>
    </w:tbl>
    <w:p w14:paraId="6B711CE8">
      <w:pPr>
        <w:spacing w:beforeLines="50"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备注：</w:t>
      </w:r>
    </w:p>
    <w:p w14:paraId="7D1ED87D">
      <w:pPr>
        <w:spacing w:beforeLines="50"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1、上表中的数量为暂定数量，具体数量以实际实施为准。合同最终结算金额按实际使用数量乘以对应单价进行计算。</w:t>
      </w:r>
    </w:p>
    <w:p w14:paraId="1E8D99F7">
      <w:pPr>
        <w:spacing w:beforeLines="50"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2、本表中的图片仅为参考样式，实际按采购人实际需求定制。上述表格图片内容仅供参考，实际生产设计稿需与招标人沟通确定，以招标人要求为准。</w:t>
      </w:r>
    </w:p>
    <w:p w14:paraId="37743026">
      <w:pPr>
        <w:rPr>
          <w:rFonts w:hint="eastAsia" w:asciiTheme="minorEastAsia" w:hAnsiTheme="minorEastAsia" w:eastAsiaTheme="minorEastAsia" w:cstheme="minorEastAsia"/>
          <w:b/>
          <w:bCs/>
          <w:color w:val="auto"/>
          <w:sz w:val="24"/>
          <w:szCs w:val="24"/>
        </w:rPr>
      </w:pPr>
    </w:p>
    <w:p w14:paraId="14B4781E">
      <w:pPr>
        <w:pStyle w:val="2"/>
        <w:ind w:firstLine="240"/>
        <w:rPr>
          <w:rFonts w:hint="eastAsia" w:asciiTheme="minorEastAsia" w:hAnsiTheme="minorEastAsia" w:eastAsiaTheme="minorEastAsia" w:cstheme="minorEastAsia"/>
          <w:b/>
          <w:bCs/>
          <w:color w:val="auto"/>
          <w:sz w:val="24"/>
          <w:szCs w:val="24"/>
        </w:rPr>
      </w:pPr>
    </w:p>
    <w:p w14:paraId="68554AD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 </w:t>
      </w:r>
    </w:p>
    <w:p w14:paraId="60756A8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color w:val="auto"/>
          <w:sz w:val="24"/>
          <w:szCs w:val="24"/>
        </w:rPr>
        <w:t>二、样本提供要求</w:t>
      </w:r>
    </w:p>
    <w:p w14:paraId="153F944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1.要求提供样品，投标投标人需按采购清单中要求及规格提供如下样品：</w:t>
      </w:r>
    </w:p>
    <w:tbl>
      <w:tblPr>
        <w:tblStyle w:val="37"/>
        <w:tblpPr w:leftFromText="180" w:rightFromText="180" w:vertAnchor="text" w:horzAnchor="page" w:tblpX="1252" w:tblpY="468"/>
        <w:tblOverlap w:val="never"/>
        <w:tblW w:w="9217" w:type="dxa"/>
        <w:tblInd w:w="0" w:type="dxa"/>
        <w:tblLayout w:type="fixed"/>
        <w:tblCellMar>
          <w:top w:w="0" w:type="dxa"/>
          <w:left w:w="0" w:type="dxa"/>
          <w:bottom w:w="0" w:type="dxa"/>
          <w:right w:w="0" w:type="dxa"/>
        </w:tblCellMar>
      </w:tblPr>
      <w:tblGrid>
        <w:gridCol w:w="905"/>
        <w:gridCol w:w="1839"/>
        <w:gridCol w:w="2399"/>
        <w:gridCol w:w="1552"/>
        <w:gridCol w:w="1324"/>
        <w:gridCol w:w="1198"/>
      </w:tblGrid>
      <w:tr w14:paraId="5FBAF5C5">
        <w:tblPrEx>
          <w:tblCellMar>
            <w:top w:w="0" w:type="dxa"/>
            <w:left w:w="0" w:type="dxa"/>
            <w:bottom w:w="0" w:type="dxa"/>
            <w:right w:w="0" w:type="dxa"/>
          </w:tblCellMar>
        </w:tblPrEx>
        <w:trPr>
          <w:trHeight w:val="496" w:hRule="atLeast"/>
        </w:trPr>
        <w:tc>
          <w:tcPr>
            <w:tcW w:w="905" w:type="dxa"/>
            <w:tcBorders>
              <w:top w:val="single" w:color="000000" w:sz="4" w:space="0"/>
              <w:left w:val="single" w:color="000000" w:sz="4" w:space="0"/>
              <w:bottom w:val="single" w:color="000000" w:sz="4" w:space="0"/>
              <w:right w:val="single" w:color="000000" w:sz="4" w:space="0"/>
            </w:tcBorders>
            <w:vAlign w:val="center"/>
          </w:tcPr>
          <w:p w14:paraId="11311ED5">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3FE992A">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品名</w:t>
            </w:r>
          </w:p>
        </w:tc>
        <w:tc>
          <w:tcPr>
            <w:tcW w:w="239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1493884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参考图片（实际制作按照投标人设计方案）</w:t>
            </w:r>
          </w:p>
        </w:tc>
        <w:tc>
          <w:tcPr>
            <w:tcW w:w="1552" w:type="dxa"/>
            <w:tcBorders>
              <w:top w:val="single" w:color="000000" w:sz="4" w:space="0"/>
              <w:left w:val="single" w:color="000000" w:sz="4" w:space="0"/>
              <w:bottom w:val="single" w:color="auto" w:sz="4" w:space="0"/>
              <w:right w:val="single" w:color="000000" w:sz="4" w:space="0"/>
            </w:tcBorders>
            <w:tcMar>
              <w:top w:w="12" w:type="dxa"/>
              <w:left w:w="12" w:type="dxa"/>
              <w:right w:w="12" w:type="dxa"/>
            </w:tcMar>
            <w:vAlign w:val="center"/>
          </w:tcPr>
          <w:p w14:paraId="481A957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规格</w:t>
            </w:r>
          </w:p>
        </w:tc>
        <w:tc>
          <w:tcPr>
            <w:tcW w:w="1324" w:type="dxa"/>
            <w:tcBorders>
              <w:top w:val="single" w:color="000000" w:sz="4" w:space="0"/>
              <w:left w:val="single" w:color="000000" w:sz="4" w:space="0"/>
              <w:bottom w:val="single" w:color="auto" w:sz="4" w:space="0"/>
              <w:right w:val="single" w:color="000000" w:sz="4" w:space="0"/>
            </w:tcBorders>
            <w:tcMar>
              <w:top w:w="12" w:type="dxa"/>
              <w:left w:w="12" w:type="dxa"/>
              <w:right w:w="12" w:type="dxa"/>
            </w:tcMar>
            <w:vAlign w:val="center"/>
          </w:tcPr>
          <w:p w14:paraId="1AC868F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材质说明</w:t>
            </w:r>
          </w:p>
        </w:tc>
        <w:tc>
          <w:tcPr>
            <w:tcW w:w="1198"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1FDBDC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tc>
      </w:tr>
      <w:tr w14:paraId="3C59F1C9">
        <w:tblPrEx>
          <w:tblCellMar>
            <w:top w:w="0" w:type="dxa"/>
            <w:left w:w="0" w:type="dxa"/>
            <w:bottom w:w="0" w:type="dxa"/>
            <w:right w:w="0" w:type="dxa"/>
          </w:tblCellMar>
        </w:tblPrEx>
        <w:trPr>
          <w:trHeight w:val="362" w:hRule="atLeast"/>
        </w:trPr>
        <w:tc>
          <w:tcPr>
            <w:tcW w:w="905" w:type="dxa"/>
            <w:tcBorders>
              <w:top w:val="single" w:color="000000" w:sz="4" w:space="0"/>
              <w:left w:val="single" w:color="000000" w:sz="4" w:space="0"/>
              <w:bottom w:val="single" w:color="000000" w:sz="4" w:space="0"/>
              <w:right w:val="single" w:color="000000" w:sz="4" w:space="0"/>
            </w:tcBorders>
            <w:vAlign w:val="center"/>
          </w:tcPr>
          <w:p w14:paraId="1C07E0D2">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076B4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悬挂标识（内容：接药台）</w:t>
            </w:r>
          </w:p>
        </w:tc>
        <w:tc>
          <w:tcPr>
            <w:tcW w:w="239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43C4F71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474470" cy="822325"/>
                  <wp:effectExtent l="0" t="0" r="11430" b="317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64"/>
                          <a:stretch>
                            <a:fillRect/>
                          </a:stretch>
                        </pic:blipFill>
                        <pic:spPr>
                          <a:xfrm>
                            <a:off x="0" y="0"/>
                            <a:ext cx="1474470" cy="822325"/>
                          </a:xfrm>
                          <a:prstGeom prst="rect">
                            <a:avLst/>
                          </a:prstGeom>
                          <a:noFill/>
                          <a:ln>
                            <a:noFill/>
                          </a:ln>
                        </pic:spPr>
                      </pic:pic>
                    </a:graphicData>
                  </a:graphic>
                </wp:inline>
              </w:drawing>
            </w:r>
          </w:p>
        </w:tc>
        <w:tc>
          <w:tcPr>
            <w:tcW w:w="1552" w:type="dxa"/>
            <w:tcBorders>
              <w:top w:val="single" w:color="auto" w:sz="4" w:space="0"/>
              <w:left w:val="single" w:color="auto" w:sz="4" w:space="0"/>
              <w:bottom w:val="single" w:color="000000" w:sz="4" w:space="0"/>
              <w:right w:val="single" w:color="000000" w:sz="4" w:space="0"/>
            </w:tcBorders>
            <w:tcMar>
              <w:top w:w="12" w:type="dxa"/>
              <w:left w:w="12" w:type="dxa"/>
              <w:right w:w="12" w:type="dxa"/>
            </w:tcMar>
            <w:vAlign w:val="center"/>
          </w:tcPr>
          <w:p w14:paraId="5D14069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700mm*200mm*40mm</w:t>
            </w:r>
          </w:p>
        </w:tc>
        <w:tc>
          <w:tcPr>
            <w:tcW w:w="1324"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4BD56E3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1.2mm镀锌板折边造型烤漆UV，激光雕刻文字</w:t>
            </w:r>
          </w:p>
        </w:tc>
        <w:tc>
          <w:tcPr>
            <w:tcW w:w="1198"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79039E3E">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1个</w:t>
            </w:r>
          </w:p>
        </w:tc>
      </w:tr>
      <w:tr w14:paraId="19594763">
        <w:tblPrEx>
          <w:tblCellMar>
            <w:top w:w="0" w:type="dxa"/>
            <w:left w:w="0" w:type="dxa"/>
            <w:bottom w:w="0" w:type="dxa"/>
            <w:right w:w="0" w:type="dxa"/>
          </w:tblCellMar>
        </w:tblPrEx>
        <w:trPr>
          <w:trHeight w:val="362" w:hRule="atLeast"/>
        </w:trPr>
        <w:tc>
          <w:tcPr>
            <w:tcW w:w="905" w:type="dxa"/>
            <w:tcBorders>
              <w:top w:val="single" w:color="000000" w:sz="4" w:space="0"/>
              <w:left w:val="single" w:color="000000" w:sz="4" w:space="0"/>
              <w:bottom w:val="single" w:color="000000" w:sz="4" w:space="0"/>
              <w:right w:val="single" w:color="000000" w:sz="4" w:space="0"/>
            </w:tcBorders>
            <w:vAlign w:val="center"/>
          </w:tcPr>
          <w:p w14:paraId="1BEFE3A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55526BD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服务台标识</w:t>
            </w:r>
          </w:p>
          <w:p w14:paraId="44699C9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（内容：服务台+英文）</w:t>
            </w:r>
          </w:p>
        </w:tc>
        <w:tc>
          <w:tcPr>
            <w:tcW w:w="239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1C7BFAC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inline distT="0" distB="0" distL="114300" distR="114300">
                  <wp:extent cx="1311275" cy="531495"/>
                  <wp:effectExtent l="0" t="0" r="9525" b="1905"/>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65"/>
                          <a:stretch>
                            <a:fillRect/>
                          </a:stretch>
                        </pic:blipFill>
                        <pic:spPr>
                          <a:xfrm>
                            <a:off x="0" y="0"/>
                            <a:ext cx="1311275" cy="531495"/>
                          </a:xfrm>
                          <a:prstGeom prst="rect">
                            <a:avLst/>
                          </a:prstGeom>
                          <a:noFill/>
                          <a:ln>
                            <a:noFill/>
                          </a:ln>
                        </pic:spPr>
                      </pic:pic>
                    </a:graphicData>
                  </a:graphic>
                </wp:inline>
              </w:drawing>
            </w:r>
          </w:p>
        </w:tc>
        <w:tc>
          <w:tcPr>
            <w:tcW w:w="1552"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39B7D51B">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中文字高300mm</w:t>
            </w:r>
          </w:p>
          <w:p w14:paraId="3E872058">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英文字高100mm</w:t>
            </w:r>
          </w:p>
        </w:tc>
        <w:tc>
          <w:tcPr>
            <w:tcW w:w="1324"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57D8664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10mm亚克力正侧面烤漆立体字</w:t>
            </w:r>
          </w:p>
        </w:tc>
        <w:tc>
          <w:tcPr>
            <w:tcW w:w="1198"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6B82C12D">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1组</w:t>
            </w:r>
          </w:p>
        </w:tc>
      </w:tr>
      <w:tr w14:paraId="551D2153">
        <w:tblPrEx>
          <w:tblCellMar>
            <w:top w:w="0" w:type="dxa"/>
            <w:left w:w="0" w:type="dxa"/>
            <w:bottom w:w="0" w:type="dxa"/>
            <w:right w:w="0" w:type="dxa"/>
          </w:tblCellMar>
        </w:tblPrEx>
        <w:trPr>
          <w:trHeight w:val="362" w:hRule="atLeast"/>
        </w:trPr>
        <w:tc>
          <w:tcPr>
            <w:tcW w:w="905" w:type="dxa"/>
            <w:tcBorders>
              <w:top w:val="single" w:color="000000" w:sz="4" w:space="0"/>
              <w:left w:val="single" w:color="000000" w:sz="4" w:space="0"/>
              <w:bottom w:val="single" w:color="000000" w:sz="4" w:space="0"/>
              <w:right w:val="single" w:color="000000" w:sz="4" w:space="0"/>
            </w:tcBorders>
            <w:vAlign w:val="center"/>
          </w:tcPr>
          <w:p w14:paraId="39281861">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83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14:paraId="4B045F6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科室门牌</w:t>
            </w:r>
          </w:p>
          <w:p w14:paraId="46AFFD6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（内容：中医科）</w:t>
            </w:r>
          </w:p>
        </w:tc>
        <w:tc>
          <w:tcPr>
            <w:tcW w:w="2399" w:type="dxa"/>
            <w:tcBorders>
              <w:top w:val="single" w:color="000000" w:sz="4" w:space="0"/>
              <w:left w:val="single" w:color="000000" w:sz="4" w:space="0"/>
              <w:bottom w:val="single" w:color="000000" w:sz="4" w:space="0"/>
              <w:right w:val="single" w:color="auto" w:sz="4" w:space="0"/>
            </w:tcBorders>
            <w:tcMar>
              <w:top w:w="12" w:type="dxa"/>
              <w:left w:w="12" w:type="dxa"/>
              <w:right w:w="12" w:type="dxa"/>
            </w:tcMar>
            <w:vAlign w:val="center"/>
          </w:tcPr>
          <w:p w14:paraId="53CEBDF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60288" behindDoc="1" locked="0" layoutInCell="1" allowOverlap="1">
                  <wp:simplePos x="0" y="0"/>
                  <wp:positionH relativeFrom="column">
                    <wp:posOffset>296545</wp:posOffset>
                  </wp:positionH>
                  <wp:positionV relativeFrom="paragraph">
                    <wp:posOffset>134620</wp:posOffset>
                  </wp:positionV>
                  <wp:extent cx="824865" cy="938530"/>
                  <wp:effectExtent l="0" t="0" r="635" b="1270"/>
                  <wp:wrapTight wrapText="bothSides">
                    <wp:wrapPolygon>
                      <wp:start x="21600" y="0"/>
                      <wp:lineTo x="0" y="0"/>
                      <wp:lineTo x="0" y="21600"/>
                      <wp:lineTo x="21600" y="21600"/>
                      <wp:lineTo x="0" y="21600"/>
                      <wp:lineTo x="21600" y="21600"/>
                      <wp:lineTo x="21600" y="0"/>
                      <wp:lineTo x="0" y="0"/>
                      <wp:lineTo x="21600" y="0"/>
                    </wp:wrapPolygon>
                  </wp:wrapTight>
                  <wp:docPr id="23"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8"/>
                          <pic:cNvPicPr>
                            <a:picLocks noChangeAspect="1"/>
                          </pic:cNvPicPr>
                        </pic:nvPicPr>
                        <pic:blipFill>
                          <a:blip r:embed="rId66"/>
                          <a:stretch>
                            <a:fillRect/>
                          </a:stretch>
                        </pic:blipFill>
                        <pic:spPr>
                          <a:xfrm>
                            <a:off x="0" y="0"/>
                            <a:ext cx="824865" cy="938530"/>
                          </a:xfrm>
                          <a:prstGeom prst="rect">
                            <a:avLst/>
                          </a:prstGeom>
                          <a:noFill/>
                          <a:ln>
                            <a:noFill/>
                          </a:ln>
                        </pic:spPr>
                      </pic:pic>
                    </a:graphicData>
                  </a:graphic>
                </wp:anchor>
              </w:drawing>
            </w:r>
          </w:p>
        </w:tc>
        <w:tc>
          <w:tcPr>
            <w:tcW w:w="1552" w:type="dxa"/>
            <w:tcBorders>
              <w:top w:val="single" w:color="000000" w:sz="4" w:space="0"/>
              <w:left w:val="single" w:color="auto" w:sz="4" w:space="0"/>
              <w:bottom w:val="single" w:color="auto" w:sz="4" w:space="0"/>
              <w:right w:val="single" w:color="000000" w:sz="4" w:space="0"/>
            </w:tcBorders>
            <w:tcMar>
              <w:top w:w="12" w:type="dxa"/>
              <w:left w:w="12" w:type="dxa"/>
              <w:right w:w="12" w:type="dxa"/>
            </w:tcMar>
            <w:vAlign w:val="center"/>
          </w:tcPr>
          <w:p w14:paraId="4E6FAC7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200mm*300mm</w:t>
            </w:r>
          </w:p>
        </w:tc>
        <w:tc>
          <w:tcPr>
            <w:tcW w:w="1324" w:type="dxa"/>
            <w:tcBorders>
              <w:top w:val="single" w:color="auto" w:sz="4" w:space="0"/>
              <w:left w:val="single" w:color="000000" w:sz="4" w:space="0"/>
              <w:bottom w:val="single" w:color="auto" w:sz="4" w:space="0"/>
              <w:right w:val="single" w:color="auto" w:sz="4" w:space="0"/>
            </w:tcBorders>
            <w:tcMar>
              <w:top w:w="12" w:type="dxa"/>
              <w:left w:w="12" w:type="dxa"/>
              <w:right w:w="12" w:type="dxa"/>
            </w:tcMar>
            <w:vAlign w:val="center"/>
          </w:tcPr>
          <w:p w14:paraId="1403C1C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1.2mm不锈钢烤漆折边造型，内容可替换</w:t>
            </w:r>
          </w:p>
        </w:tc>
        <w:tc>
          <w:tcPr>
            <w:tcW w:w="1198" w:type="dxa"/>
            <w:tcBorders>
              <w:top w:val="single" w:color="000000" w:sz="4" w:space="0"/>
              <w:left w:val="single" w:color="auto" w:sz="4" w:space="0"/>
              <w:bottom w:val="single" w:color="000000" w:sz="4" w:space="0"/>
              <w:right w:val="single" w:color="000000" w:sz="4" w:space="0"/>
            </w:tcBorders>
            <w:tcMar>
              <w:top w:w="12" w:type="dxa"/>
              <w:left w:w="12" w:type="dxa"/>
              <w:right w:w="12" w:type="dxa"/>
            </w:tcMar>
            <w:vAlign w:val="center"/>
          </w:tcPr>
          <w:p w14:paraId="5A786D46">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1个</w:t>
            </w:r>
          </w:p>
        </w:tc>
      </w:tr>
      <w:tr w14:paraId="66BFE69E">
        <w:tblPrEx>
          <w:tblCellMar>
            <w:top w:w="0" w:type="dxa"/>
            <w:left w:w="0" w:type="dxa"/>
            <w:bottom w:w="0" w:type="dxa"/>
            <w:right w:w="0" w:type="dxa"/>
          </w:tblCellMar>
        </w:tblPrEx>
        <w:trPr>
          <w:trHeight w:val="362" w:hRule="atLeast"/>
        </w:trPr>
        <w:tc>
          <w:tcPr>
            <w:tcW w:w="9217" w:type="dxa"/>
            <w:gridSpan w:val="6"/>
            <w:tcBorders>
              <w:top w:val="single" w:color="000000" w:sz="4" w:space="0"/>
              <w:left w:val="single" w:color="000000" w:sz="4" w:space="0"/>
              <w:bottom w:val="single" w:color="000000" w:sz="4" w:space="0"/>
              <w:right w:val="single" w:color="000000" w:sz="4" w:space="0"/>
            </w:tcBorders>
            <w:vAlign w:val="center"/>
          </w:tcPr>
          <w:p w14:paraId="552789C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一、样品清单说明：</w:t>
            </w:r>
          </w:p>
          <w:p w14:paraId="5BE0677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投标文件中所述的“实物样品”（或“样品”）为投标人提供的样品：</w:t>
            </w:r>
          </w:p>
          <w:p w14:paraId="6DA35CB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①投标人提供的样品：投标人提供悬挂标识、服务台标识、科室门牌实物样品供评标用。 实物样品上须注明投标人名称、材质、规格等信息。投标人应按照招标文件的要求制作实物样品。</w:t>
            </w:r>
          </w:p>
          <w:p w14:paraId="1BE190D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②样品应于开标截止时间之前递交至宁波市镇海区公共资源交易中心评标室门口样品区，逾期递交的将拒收。投标样品运输费用等所有和样品相关的费用均由投标人承担。</w:t>
            </w:r>
          </w:p>
          <w:p w14:paraId="6777581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③中标人的样品将由招标人封存，作为验收的依据。所有货物验收合格后中标人可向招标人取回样品。未中标投标人的实物样品在评标结束后当即予以退还。</w:t>
            </w:r>
          </w:p>
          <w:p w14:paraId="3660440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④各投标人之间禁止拍摄样品。</w:t>
            </w:r>
          </w:p>
        </w:tc>
      </w:tr>
    </w:tbl>
    <w:p w14:paraId="6DFD989E">
      <w:pPr>
        <w:spacing w:beforeLines="50" w:line="360" w:lineRule="auto"/>
        <w:jc w:val="left"/>
        <w:rPr>
          <w:rFonts w:hint="eastAsia" w:asciiTheme="minorEastAsia" w:hAnsiTheme="minorEastAsia" w:eastAsiaTheme="minorEastAsia" w:cstheme="minorEastAsia"/>
          <w:color w:val="auto"/>
          <w:sz w:val="24"/>
          <w:szCs w:val="24"/>
        </w:rPr>
      </w:pPr>
    </w:p>
    <w:p w14:paraId="2646504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三、技术要求</w:t>
      </w:r>
    </w:p>
    <w:p w14:paraId="7785B03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1.设计要求</w:t>
      </w:r>
    </w:p>
    <w:p w14:paraId="5F69879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人须自行组织项目人员进行现场踏勘，对医院现状、文化理念及本次采购需求进行深入了解，根据医院实际需求设计符合医院文化特点的细化方案；导视系统与健康宣传系统应符合医院整体设计风格、色调和规范，在满足功能使用前提下，要求制作工艺美观。</w:t>
      </w:r>
    </w:p>
    <w:p w14:paraId="2DAF374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新院标识与健康宣传阵地设计及制作、安装构件设计应简单可靠、既先进又实用，各部连接可靠、整体横平竖直，预埋的产品稳固牢靠，抗风耐雨，不得歪斜松动。满足标识不间断运行和低成本维护的需要；应充分考虑维修空间、土建结构等，做到维护方便；应充分考虑物体受力的安全系数，做到安全、可靠、牢固、持久、美观。</w:t>
      </w:r>
    </w:p>
    <w:p w14:paraId="542548C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中标后投标人须在投标设计稿的基础上，根据招标人要求进行后期深化设计、施工图纸深化、细化，提供更适合本项目制作的优化设计方案，设计方案必须满足院方使用要求，满足清单上的全部导视与文化；图纸不明确、含糊或不完整的，投标人须提供补充方案或设计，经招标人批准后方可实施，并完成招标相关文件及合同条款所包含的所有工作内容。</w:t>
      </w:r>
    </w:p>
    <w:p w14:paraId="517E71FD">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4）投标人应严格按照招标人认可的施工图制作及安装。投标人在产品制作前，须再次与招标人确认产品的形状、外观及大小，经招标人同意后方可加工制作。</w:t>
      </w:r>
    </w:p>
    <w:p w14:paraId="4DB656F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2.质量要求</w:t>
      </w:r>
    </w:p>
    <w:p w14:paraId="4A843FA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人应对整个现场的施工规划和施工方案的适用性、稳定性和安全性负全面责任。安全性包括标识安全、结构安全、施工安全、应急安全、环保安全等。标识牌、固定件等外部、表面折角处要平整、无毛刺棱角、无变形，不能有裂纹、尖、锋边、毛刺焊接等痕迹，避免造成对医患及操作员的伤害。</w:t>
      </w:r>
    </w:p>
    <w:p w14:paraId="39B0E95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提供的所有标识导视材料均应符合中国国家环保标准及行业标准要求，并符合环保要求，所含有的可能危害环境和人体健康的元素不得超过限量标准。所用的材料应有足够的强度，能承受一定程度的碰撞和冲击；标识和安装构件所采用的材料应满足标识设施不易损毁、运行稳定的要求。所使用的各种钢材均应符合国标钢材，折边及连接缝光滑平顺。</w:t>
      </w:r>
    </w:p>
    <w:p w14:paraId="57E78BB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3）标识的制造工艺和光洁度应始终保持最高水准，须保证标识牌能适应室内外的使用条件。标识牌制作安装时须做好防腐、防水等措施，安装后应满足不发生变形、倾斜、坠落等异常现象。</w:t>
      </w:r>
    </w:p>
    <w:p w14:paraId="0C067F3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4）本项目所用的主材均应符合国家相应标准要求，须经有资质的检测机构检测，取得合格证书（投标文件中提供相关检测报告复印件），如中标后经由招标人检验确认满足设计要求后方可使用。</w:t>
      </w:r>
    </w:p>
    <w:p w14:paraId="41A8DA2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5）投标人所投产品若有强制性要求或认证的(CCC认证，节能认证)，必须提供最新一期的相关证明文件或证书。</w:t>
      </w:r>
    </w:p>
    <w:p w14:paraId="24644D2F">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3.标识成品技术参数规范：</w:t>
      </w:r>
    </w:p>
    <w:p w14:paraId="3076F5A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1）牌体尺寸公差：允许公差≤500mm为±2mm；﹥500mm为±3mm。</w:t>
      </w:r>
    </w:p>
    <w:p w14:paraId="50A8B0E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2）水平、垂直公差：允许公差±1度。</w:t>
      </w:r>
    </w:p>
    <w:p w14:paraId="67D1472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3）面板不平度：允许公差±2mm/m。</w:t>
      </w:r>
    </w:p>
    <w:p w14:paraId="7E2B56F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4）标识外观的技术要求：</w:t>
      </w:r>
    </w:p>
    <w:p w14:paraId="0DFA5B7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A.导向标识所有喷涂表面应颜色均匀，漆膜厚度一致、无流挂、无褶皱。</w:t>
      </w:r>
    </w:p>
    <w:p w14:paraId="51F603EE">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B.导向标识所有外露的尖角处应将毛刺清除干净，以避免伤人。</w:t>
      </w:r>
    </w:p>
    <w:p w14:paraId="6621DDA7">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C.投标人所提供的产品须符合设计稿中说明的材料厚度、宽度。</w:t>
      </w:r>
    </w:p>
    <w:p w14:paraId="763A62F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4.安装、调试</w:t>
      </w:r>
    </w:p>
    <w:p w14:paraId="771B4B1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1）投标人负责到招标人指定的地点进行免费安装及调试。</w:t>
      </w:r>
    </w:p>
    <w:p w14:paraId="3420E429">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2）投标人应设安装负责人，负责安装协调管理工作。</w:t>
      </w:r>
    </w:p>
    <w:p w14:paraId="29DCB220">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3）标识牌的拆箱、安装及调试等工作由投标人负责，但必须在招标人指定人员的参与下进行。</w:t>
      </w:r>
    </w:p>
    <w:p w14:paraId="1F0E72F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4）投标人必须依照招标文件和招标人的要求，将导视标识牌系统安装并调试至正常展示的最佳状态。</w:t>
      </w:r>
    </w:p>
    <w:p w14:paraId="33B394C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标人应遵守医院现场的一切规章制度，文明施工；投标人负责保管、看护进场的货物及附配件直至完成安装、调试，经验收合格后交付招标人；投标人施工工人、施工机械或在运输装卸途中对其他工程及邻近设备、管线等造成损坏，应由投标人负责修复及承担一切费用；无论调试期间或保修过程中，投标人负责及时清理垃圾。</w:t>
      </w:r>
    </w:p>
    <w:p w14:paraId="73351D23">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6）中标人应在招标人要求的指定地点位置安装相应标识导视。如安装地点位置及质量不符合招标人要求，中标人应返工重新安装，并承担相应费用，且工期不顺延。</w:t>
      </w:r>
    </w:p>
    <w:p w14:paraId="5905612D">
      <w:pPr>
        <w:spacing w:beforeLines="50" w:line="360" w:lineRule="auto"/>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四、系统的安装要求</w:t>
      </w:r>
    </w:p>
    <w:p w14:paraId="2444E80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招标供货的安装全部由中标人负责实施，安装时涉及到土建预埋施工的，由中标人提供安装基础图、预埋件并实施。施工安全等所有相关责任事项均由中标方承担。中标价已包含所有相关费用，采购方不承担任何其他费用。</w:t>
      </w:r>
    </w:p>
    <w:p w14:paraId="70141D01">
      <w:pPr>
        <w:spacing w:beforeLines="50" w:line="360" w:lineRule="auto"/>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五、验收要求</w:t>
      </w:r>
    </w:p>
    <w:p w14:paraId="30BB9F4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1.招标人对中标人提交的货物依据招标文件上的技术规格要求和国家有关质量标准进行现场验收。</w:t>
      </w:r>
    </w:p>
    <w:p w14:paraId="76005A9A">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日常施工抽查及验收过程中，招标人有权对每个站点随机对2到5处标识标牌进行破坏性试验，中标人需负责修复；如相关质量及要求未达到采购要求，中标人需负责调整或更换，由此产生的一切损失由中标人承担。</w:t>
      </w:r>
    </w:p>
    <w:p w14:paraId="1689E03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3.招标人有权邀请专业第三方机构参与验收，并由其出具相关报告，如相关结果未达到本项目要求或国家质量标准，中标人需立即调整或更换相应标识标牌，由此产生的一切损失由中标人承担。</w:t>
      </w:r>
    </w:p>
    <w:p w14:paraId="77E8E236">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4.验收时中标人需在现场，验收完毕后作出验收结果报告。</w:t>
      </w:r>
    </w:p>
    <w:p w14:paraId="0EF6A557">
      <w:pPr>
        <w:spacing w:beforeLines="50" w:line="360" w:lineRule="auto"/>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六</w:t>
      </w:r>
      <w:r>
        <w:rPr>
          <w:rFonts w:hint="eastAsia" w:asciiTheme="minorEastAsia" w:hAnsiTheme="minorEastAsia" w:eastAsiaTheme="minorEastAsia" w:cstheme="minorEastAsia"/>
          <w:color w:val="auto"/>
          <w:sz w:val="24"/>
          <w:szCs w:val="24"/>
          <w:lang w:val="zh-CN"/>
        </w:rPr>
        <w:t>、</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color w:val="auto"/>
          <w:sz w:val="24"/>
          <w:szCs w:val="24"/>
          <w:lang w:val="zh-CN"/>
        </w:rPr>
        <w:t>数量调整</w:t>
      </w:r>
    </w:p>
    <w:p w14:paraId="1BF6A889">
      <w:pPr>
        <w:spacing w:beforeLines="50" w:line="360" w:lineRule="auto"/>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招标人保留合同履行中调整部分方案及定购数量和服务的权力，按投标单价不变的前提下进行调整，合同最终结算金额按实际使用量乘以投标单价进行计算。</w:t>
      </w:r>
    </w:p>
    <w:p w14:paraId="18114A74">
      <w:pPr>
        <w:spacing w:beforeLines="50" w:line="360" w:lineRule="auto"/>
        <w:jc w:val="left"/>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rPr>
        <w:t>七</w:t>
      </w:r>
      <w:r>
        <w:rPr>
          <w:rFonts w:hint="eastAsia" w:asciiTheme="minorEastAsia" w:hAnsiTheme="minorEastAsia" w:eastAsiaTheme="minorEastAsia" w:cstheme="minorEastAsia"/>
          <w:color w:val="auto"/>
          <w:sz w:val="24"/>
          <w:szCs w:val="24"/>
          <w:lang w:val="zh-CN"/>
        </w:rPr>
        <w:t>、其他</w:t>
      </w:r>
    </w:p>
    <w:p w14:paraId="38C8F6A4">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1.重要材料的选用与变更必须取得招标人书面同意后，方可展开实施，否则引起的返工或给招标人造成的损失由中标人自行承担。</w:t>
      </w:r>
    </w:p>
    <w:p w14:paraId="62263F41">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2.考虑确保空间效果的统一，部分导视需与精装效果做整合（如材质和尺寸的统一要求）及在精装施工单位提供的基层材料上另行加工字体，中标人需自行考虑此部分技术配合和由此产生的一切费用。</w:t>
      </w:r>
    </w:p>
    <w:p w14:paraId="1224365B">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3.中标人须对已纳入精装施工范围，但与导视系统有所关联的工作提供技术指导。</w:t>
      </w:r>
    </w:p>
    <w:p w14:paraId="077DB4C5">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4.所有标识安装应保证安全、牢固、美观，在项目实施过程中，安装方法的调整不得影响合同价。</w:t>
      </w:r>
    </w:p>
    <w:p w14:paraId="1DA27E8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5.所列标识项目，其图文内容多少的变更不得影响合同价。</w:t>
      </w:r>
    </w:p>
    <w:p w14:paraId="29B8BBB2">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6.所有折边工艺外露部分必须封边，儿童保护范围内所有导视系统必须团角处理。</w:t>
      </w:r>
    </w:p>
    <w:p w14:paraId="7CDCAA7C">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7.所有安装配件必须是国标配件。</w:t>
      </w:r>
    </w:p>
    <w:p w14:paraId="62A24928">
      <w:pPr>
        <w:spacing w:beforeLines="50"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8.投标人需考虑所有发光的导视系统至配电箱的电源线。具体工程量投标人根据现场勘查情况自行考虑。</w:t>
      </w:r>
    </w:p>
    <w:p w14:paraId="34FB6795">
      <w:pPr>
        <w:spacing w:beforeLines="50" w:line="360" w:lineRule="auto"/>
        <w:jc w:val="left"/>
        <w:rPr>
          <w:rFonts w:hint="eastAsia" w:asciiTheme="minorEastAsia" w:hAnsiTheme="minorEastAsia" w:eastAsiaTheme="minorEastAsia" w:cstheme="minorEastAsia"/>
          <w:color w:val="auto"/>
          <w:sz w:val="24"/>
          <w:szCs w:val="24"/>
        </w:rPr>
      </w:pPr>
    </w:p>
    <w:p w14:paraId="36093431">
      <w:pPr>
        <w:spacing w:beforeLines="50" w:line="360" w:lineRule="auto"/>
        <w:jc w:val="left"/>
        <w:rPr>
          <w:rFonts w:hint="eastAsia" w:asciiTheme="minorEastAsia" w:hAnsiTheme="minorEastAsia" w:eastAsiaTheme="minorEastAsia" w:cstheme="minorEastAsia"/>
          <w:color w:val="auto"/>
          <w:sz w:val="24"/>
          <w:szCs w:val="24"/>
        </w:rPr>
      </w:pPr>
    </w:p>
    <w:p w14:paraId="55A31637">
      <w:pPr>
        <w:spacing w:beforeLines="50"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color w:val="auto"/>
          <w:sz w:val="24"/>
          <w:szCs w:val="24"/>
        </w:rPr>
        <w:t>第三章  投标人须知</w:t>
      </w:r>
      <w:bookmarkEnd w:id="15"/>
      <w:bookmarkEnd w:id="16"/>
      <w:bookmarkEnd w:id="17"/>
    </w:p>
    <w:p w14:paraId="7E6735CB">
      <w:pPr>
        <w:pStyle w:val="5"/>
        <w:numPr>
          <w:ilvl w:val="0"/>
          <w:numId w:val="0"/>
        </w:numPr>
        <w:spacing w:before="0" w:after="0" w:line="440" w:lineRule="exact"/>
        <w:jc w:val="center"/>
        <w:rPr>
          <w:rFonts w:hint="eastAsia" w:asciiTheme="minorEastAsia" w:hAnsiTheme="minorEastAsia" w:eastAsiaTheme="minorEastAsia" w:cstheme="minorEastAsia"/>
          <w:color w:val="auto"/>
          <w:sz w:val="24"/>
          <w:szCs w:val="24"/>
        </w:rPr>
      </w:pPr>
      <w:bookmarkStart w:id="18" w:name="_Toc460416339"/>
      <w:bookmarkStart w:id="19" w:name="_Toc97725998"/>
      <w:bookmarkStart w:id="20" w:name="_Toc460857896"/>
      <w:bookmarkStart w:id="21" w:name="_Toc460416595"/>
      <w:bookmarkStart w:id="22" w:name="_Toc460416644"/>
      <w:bookmarkStart w:id="23" w:name="_Toc81480911"/>
      <w:bookmarkStart w:id="24" w:name="_Toc3012"/>
      <w:r>
        <w:rPr>
          <w:rFonts w:hint="eastAsia" w:asciiTheme="minorEastAsia" w:hAnsiTheme="minorEastAsia" w:eastAsiaTheme="minorEastAsia" w:cstheme="minorEastAsia"/>
          <w:color w:val="auto"/>
          <w:sz w:val="24"/>
          <w:szCs w:val="24"/>
        </w:rPr>
        <w:t>前附表</w:t>
      </w:r>
      <w:bookmarkEnd w:id="18"/>
      <w:bookmarkEnd w:id="19"/>
      <w:bookmarkEnd w:id="20"/>
      <w:bookmarkEnd w:id="21"/>
      <w:bookmarkEnd w:id="22"/>
      <w:bookmarkEnd w:id="23"/>
      <w:bookmarkEnd w:id="24"/>
    </w:p>
    <w:tbl>
      <w:tblPr>
        <w:tblStyle w:val="37"/>
        <w:tblW w:w="8789" w:type="dxa"/>
        <w:tblInd w:w="-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7513"/>
      </w:tblGrid>
      <w:tr w14:paraId="035C05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31" w:hRule="atLeast"/>
          <w:tblHeader/>
        </w:trPr>
        <w:tc>
          <w:tcPr>
            <w:tcW w:w="1276" w:type="dxa"/>
            <w:vAlign w:val="center"/>
          </w:tcPr>
          <w:p w14:paraId="526E5C11">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序号</w:t>
            </w:r>
          </w:p>
        </w:tc>
        <w:tc>
          <w:tcPr>
            <w:tcW w:w="7513" w:type="dxa"/>
            <w:vAlign w:val="center"/>
          </w:tcPr>
          <w:p w14:paraId="3112F3EB">
            <w:pPr>
              <w:snapToGrid w:val="0"/>
              <w:spacing w:line="440" w:lineRule="exact"/>
              <w:ind w:left="-99" w:leftChars="-47"/>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内容、要求</w:t>
            </w:r>
          </w:p>
        </w:tc>
      </w:tr>
      <w:tr w14:paraId="0F47F9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791" w:hRule="atLeast"/>
        </w:trPr>
        <w:tc>
          <w:tcPr>
            <w:tcW w:w="1276" w:type="dxa"/>
            <w:vAlign w:val="center"/>
          </w:tcPr>
          <w:p w14:paraId="0A1F0864">
            <w:pPr>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w:t>
            </w:r>
          </w:p>
        </w:tc>
        <w:tc>
          <w:tcPr>
            <w:tcW w:w="7513" w:type="dxa"/>
            <w:vAlign w:val="center"/>
          </w:tcPr>
          <w:p w14:paraId="4B184E3A">
            <w:pP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项目名称：贵驷街道社区卫生服务中心新院标识与健康宣传阵地设计及制作服务项目</w:t>
            </w:r>
          </w:p>
        </w:tc>
      </w:tr>
      <w:tr w14:paraId="0D800D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3" w:hRule="atLeast"/>
        </w:trPr>
        <w:tc>
          <w:tcPr>
            <w:tcW w:w="1276" w:type="dxa"/>
            <w:vAlign w:val="center"/>
          </w:tcPr>
          <w:p w14:paraId="046114A0">
            <w:pPr>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w:t>
            </w:r>
          </w:p>
        </w:tc>
        <w:tc>
          <w:tcPr>
            <w:tcW w:w="7513" w:type="dxa"/>
            <w:vAlign w:val="center"/>
          </w:tcPr>
          <w:p w14:paraId="02BC92A5">
            <w:pPr>
              <w:spacing w:line="276"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投标报价及费用：</w:t>
            </w:r>
          </w:p>
          <w:p w14:paraId="6E9E55C9">
            <w:pPr>
              <w:spacing w:line="276"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投标报价：包括设备采购费、包装、运输、装卸、保险、安装、调试、验收、管理运行费、人工、策划及设计费、质保期内维修服务费、提交相应技术资料、中标服务费、税金、利润等一切与本次采购相关的费用。</w:t>
            </w:r>
          </w:p>
          <w:p w14:paraId="25CF93C6">
            <w:pPr>
              <w:spacing w:line="276"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2、本项目最高限价：800000.00元。</w:t>
            </w:r>
            <w:r>
              <w:rPr>
                <w:rFonts w:hint="eastAsia" w:asciiTheme="minorEastAsia" w:hAnsiTheme="minorEastAsia" w:eastAsiaTheme="minorEastAsia" w:cstheme="minorEastAsia"/>
                <w:b/>
                <w:color w:val="auto"/>
                <w:sz w:val="24"/>
                <w:szCs w:val="24"/>
              </w:rPr>
              <w:t>投标报价超过最高限价的作无效标处理。</w:t>
            </w:r>
          </w:p>
          <w:p w14:paraId="6649544F">
            <w:pPr>
              <w:spacing w:line="276"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3、不论投标结果如何，投标人应自行承担所有与投标有关的全部费用。</w:t>
            </w:r>
          </w:p>
          <w:p w14:paraId="1D892E19">
            <w:pPr>
              <w:spacing w:line="276" w:lineRule="auto"/>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4、招标代理服务费的收取标准：</w:t>
            </w:r>
          </w:p>
          <w:p w14:paraId="03C3AC95">
            <w:pPr>
              <w:spacing w:line="276" w:lineRule="auto"/>
              <w:ind w:left="338" w:leftChars="161" w:firstLine="499" w:firstLineChars="208"/>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4.1本代理公司参照国家发改委发改办价格[2003]857号通知和国家计委计价格[2002]1980号文件规定的</w:t>
            </w:r>
            <w:r>
              <w:rPr>
                <w:rFonts w:hint="eastAsia" w:asciiTheme="minorEastAsia" w:hAnsiTheme="minorEastAsia" w:eastAsiaTheme="minorEastAsia" w:cstheme="minorEastAsia"/>
                <w:bCs/>
                <w:color w:val="auto"/>
                <w:sz w:val="24"/>
                <w:szCs w:val="24"/>
                <w:lang w:val="en-US" w:eastAsia="zh-CN"/>
              </w:rPr>
              <w:t>货物</w:t>
            </w:r>
            <w:r>
              <w:rPr>
                <w:rFonts w:hint="eastAsia" w:asciiTheme="minorEastAsia" w:hAnsiTheme="minorEastAsia" w:eastAsiaTheme="minorEastAsia" w:cstheme="minorEastAsia"/>
                <w:bCs/>
                <w:color w:val="auto"/>
                <w:sz w:val="24"/>
                <w:szCs w:val="24"/>
              </w:rPr>
              <w:t>招标费率标准下浮10%（不足4000元按4000元计），按照中标通知书确定的中标总金额向中标人收取服务费。</w:t>
            </w:r>
          </w:p>
          <w:p w14:paraId="2E5BD0DF">
            <w:pPr>
              <w:spacing w:line="276" w:lineRule="auto"/>
              <w:ind w:left="338" w:leftChars="161" w:firstLine="499" w:firstLineChars="208"/>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4.2中标人在领取中标通知书时即向本代理机构以现金、电汇方式支付服务费。</w:t>
            </w:r>
          </w:p>
          <w:p w14:paraId="3E27EDB5">
            <w:pPr>
              <w:spacing w:line="276" w:lineRule="auto"/>
              <w:ind w:left="338" w:leftChars="161" w:firstLine="499" w:firstLineChars="208"/>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4.3服务费汇入账户：</w:t>
            </w:r>
          </w:p>
          <w:p w14:paraId="0AA84941">
            <w:pPr>
              <w:spacing w:line="276" w:lineRule="auto"/>
              <w:ind w:left="630" w:leftChars="300" w:firstLine="626" w:firstLineChars="261"/>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开户银行：宁波银行孔浦支行（行号：313332082133）</w:t>
            </w:r>
          </w:p>
          <w:p w14:paraId="6700CAEA">
            <w:pPr>
              <w:spacing w:line="276" w:lineRule="auto"/>
              <w:ind w:left="630" w:leftChars="300" w:firstLine="626" w:firstLineChars="261"/>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户名：浙江中创招投标有限公司</w:t>
            </w:r>
          </w:p>
          <w:p w14:paraId="20BD6AFC">
            <w:pPr>
              <w:spacing w:line="276" w:lineRule="auto"/>
              <w:ind w:left="630" w:leftChars="300" w:firstLine="626" w:firstLineChars="261"/>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账号：40030122000275085</w:t>
            </w:r>
          </w:p>
          <w:p w14:paraId="59A77AFC">
            <w:pPr>
              <w:spacing w:line="276" w:lineRule="auto"/>
              <w:ind w:left="338" w:leftChars="161" w:firstLine="499" w:firstLineChars="208"/>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4.4中标人如未按上述规定办理，本代理机构有权拒绝其领取中标通知书。</w:t>
            </w:r>
          </w:p>
        </w:tc>
      </w:tr>
      <w:tr w14:paraId="234F67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5" w:hRule="atLeast"/>
        </w:trPr>
        <w:tc>
          <w:tcPr>
            <w:tcW w:w="1276" w:type="dxa"/>
            <w:vAlign w:val="center"/>
          </w:tcPr>
          <w:p w14:paraId="18A99FEB">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w:t>
            </w:r>
          </w:p>
        </w:tc>
        <w:tc>
          <w:tcPr>
            <w:tcW w:w="7513" w:type="dxa"/>
            <w:vAlign w:val="center"/>
          </w:tcPr>
          <w:p w14:paraId="54F0C8D9">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本项目实行网上投标，投标人应准备以下投标文件：</w:t>
            </w:r>
          </w:p>
          <w:p w14:paraId="38EA775E">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*（1）上传到政府采购云平台的电子投标文件（含资信证明文件、商务技术文件、报价文件）1份。</w:t>
            </w:r>
          </w:p>
          <w:p w14:paraId="0BAE0BD9">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（2）以U盘存储的电子备份投标文件（由政采云系统导出）1份。（是否递交，由报价人自行决定。）</w:t>
            </w:r>
          </w:p>
          <w:p w14:paraId="3C6DA42D">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注：采用邮寄或其他方式提前递交投标文件（电子备份文件）的请于2025年</w:t>
            </w:r>
            <w:r>
              <w:rPr>
                <w:rFonts w:hint="eastAsia" w:asciiTheme="minorEastAsia" w:hAnsiTheme="minorEastAsia" w:eastAsiaTheme="minorEastAsia" w:cstheme="minorEastAsia"/>
                <w:bCs/>
                <w:color w:val="auto"/>
                <w:sz w:val="24"/>
                <w:szCs w:val="24"/>
                <w:lang w:val="en-US" w:eastAsia="zh-CN"/>
              </w:rPr>
              <w:t>07</w:t>
            </w:r>
            <w:r>
              <w:rPr>
                <w:rFonts w:hint="eastAsia" w:asciiTheme="minorEastAsia" w:hAnsiTheme="minorEastAsia" w:eastAsiaTheme="minorEastAsia" w:cstheme="minorEastAsia"/>
                <w:bCs/>
                <w:color w:val="auto"/>
                <w:sz w:val="24"/>
                <w:szCs w:val="24"/>
              </w:rPr>
              <w:t>月</w:t>
            </w:r>
            <w:r>
              <w:rPr>
                <w:rFonts w:hint="eastAsia" w:asciiTheme="minorEastAsia" w:hAnsiTheme="minorEastAsia" w:eastAsiaTheme="minorEastAsia" w:cstheme="minorEastAsia"/>
                <w:bCs/>
                <w:color w:val="auto"/>
                <w:sz w:val="24"/>
                <w:szCs w:val="24"/>
                <w:lang w:val="en-US" w:eastAsia="zh-CN"/>
              </w:rPr>
              <w:t>28</w:t>
            </w:r>
            <w:r>
              <w:rPr>
                <w:rFonts w:hint="eastAsia" w:asciiTheme="minorEastAsia" w:hAnsiTheme="minorEastAsia" w:eastAsiaTheme="minorEastAsia" w:cstheme="minorEastAsia"/>
                <w:bCs/>
                <w:color w:val="auto"/>
                <w:sz w:val="24"/>
                <w:szCs w:val="24"/>
              </w:rPr>
              <w:t>日16：00分（北京时间）前递交至本公告所述采购代理机构处。</w:t>
            </w:r>
          </w:p>
        </w:tc>
      </w:tr>
      <w:tr w14:paraId="76E6F8A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5" w:hRule="atLeast"/>
        </w:trPr>
        <w:tc>
          <w:tcPr>
            <w:tcW w:w="1276" w:type="dxa"/>
            <w:vAlign w:val="center"/>
          </w:tcPr>
          <w:p w14:paraId="3A243953">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w:t>
            </w:r>
          </w:p>
        </w:tc>
        <w:tc>
          <w:tcPr>
            <w:tcW w:w="7513" w:type="dxa"/>
            <w:vAlign w:val="center"/>
          </w:tcPr>
          <w:p w14:paraId="3842AB29">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投标截止时间及地点：详见公开招标采购公告。</w:t>
            </w:r>
          </w:p>
        </w:tc>
      </w:tr>
      <w:tr w14:paraId="7D109F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0" w:hRule="atLeast"/>
        </w:trPr>
        <w:tc>
          <w:tcPr>
            <w:tcW w:w="1276" w:type="dxa"/>
            <w:vAlign w:val="center"/>
          </w:tcPr>
          <w:p w14:paraId="03C061AB">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w:t>
            </w:r>
          </w:p>
        </w:tc>
        <w:tc>
          <w:tcPr>
            <w:tcW w:w="7513" w:type="dxa"/>
            <w:vAlign w:val="center"/>
          </w:tcPr>
          <w:p w14:paraId="0538E592">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开标时间及地点：详见公开招标采购公告。</w:t>
            </w:r>
          </w:p>
        </w:tc>
      </w:tr>
      <w:tr w14:paraId="6D0C75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0" w:hRule="atLeast"/>
        </w:trPr>
        <w:tc>
          <w:tcPr>
            <w:tcW w:w="1276" w:type="dxa"/>
            <w:vAlign w:val="center"/>
          </w:tcPr>
          <w:p w14:paraId="155B0C55">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*6</w:t>
            </w:r>
          </w:p>
        </w:tc>
        <w:tc>
          <w:tcPr>
            <w:tcW w:w="7513" w:type="dxa"/>
            <w:vAlign w:val="center"/>
          </w:tcPr>
          <w:p w14:paraId="1AC98359">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信用记录：</w:t>
            </w:r>
          </w:p>
          <w:p w14:paraId="667ACD5F">
            <w:pPr>
              <w:tabs>
                <w:tab w:val="left" w:pos="625"/>
              </w:tabs>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1、信用信息查询的时间：如潜在投标人数较多时，查询时间为递交投标文件截止时间前一天至资格审查工作结束前；如潜在投标人较少时，查询时间为递交投标截止时间后一个小时</w:t>
            </w:r>
            <w:r>
              <w:rPr>
                <w:rFonts w:hint="eastAsia" w:asciiTheme="minorEastAsia" w:hAnsiTheme="minorEastAsia" w:eastAsiaTheme="minorEastAsia" w:cstheme="minorEastAsia"/>
                <w:bCs/>
                <w:color w:val="auto"/>
                <w:sz w:val="24"/>
                <w:szCs w:val="24"/>
                <w:shd w:val="clear" w:color="auto" w:fill="FFFFFF"/>
              </w:rPr>
              <w:t>；</w:t>
            </w:r>
            <w:r>
              <w:rPr>
                <w:rFonts w:hint="eastAsia" w:asciiTheme="minorEastAsia" w:hAnsiTheme="minorEastAsia" w:eastAsiaTheme="minorEastAsia" w:cstheme="minorEastAsia"/>
                <w:bCs/>
                <w:color w:val="auto"/>
                <w:sz w:val="24"/>
                <w:szCs w:val="24"/>
              </w:rPr>
              <w:t>若在开标当天因不可抗力事件导致无法查询且一时无法恢复查询的，可在中标公示期间对中标候选人进行事后查询。</w:t>
            </w:r>
          </w:p>
          <w:p w14:paraId="74E38960">
            <w:pPr>
              <w:tabs>
                <w:tab w:val="left" w:pos="625"/>
              </w:tabs>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2、查询渠道：信用中国（www.creditchina.gov.cn）、中国政府采购网（www.ccgp.gov.cn）；</w:t>
            </w:r>
          </w:p>
          <w:p w14:paraId="626A1790">
            <w:pPr>
              <w:tabs>
                <w:tab w:val="left" w:pos="625"/>
              </w:tabs>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3、信用信息查询记录和证据留存具体方式：信用信息查询记录将以网站截图打印稿形式与其他采购文件一并保存；</w:t>
            </w:r>
          </w:p>
          <w:p w14:paraId="11D375F2">
            <w:pPr>
              <w:tabs>
                <w:tab w:val="left" w:pos="625"/>
              </w:tabs>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信用信息的使用规则：对列入失信被执行人、重大税收违法案件当事人名单、政府采购严重违法失信行为记录名单及其他不符合《中华人民共和国政府采购法》第二十二条规定条件的投标人，应当拒绝其参与政府采购活动；中标候选人被列入失信被执行人、重大税收违法案件当事人名单、政府采购严重违法失信行为记录名单的，采购单位将依法取消其中标资格。</w:t>
            </w:r>
          </w:p>
        </w:tc>
      </w:tr>
      <w:tr w14:paraId="5378B1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6" w:hRule="atLeast"/>
        </w:trPr>
        <w:tc>
          <w:tcPr>
            <w:tcW w:w="1276" w:type="dxa"/>
            <w:vAlign w:val="center"/>
          </w:tcPr>
          <w:p w14:paraId="13BF4375">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7</w:t>
            </w:r>
          </w:p>
        </w:tc>
        <w:tc>
          <w:tcPr>
            <w:tcW w:w="7513" w:type="dxa"/>
            <w:vAlign w:val="center"/>
          </w:tcPr>
          <w:p w14:paraId="5EA4B0AD">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评标办法及评分标准：详见第四章  评标办法及评分标准。</w:t>
            </w:r>
          </w:p>
        </w:tc>
      </w:tr>
      <w:tr w14:paraId="7A4728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20" w:hRule="atLeast"/>
        </w:trPr>
        <w:tc>
          <w:tcPr>
            <w:tcW w:w="1276" w:type="dxa"/>
            <w:vAlign w:val="center"/>
          </w:tcPr>
          <w:p w14:paraId="6B2AB4ED">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8</w:t>
            </w:r>
          </w:p>
        </w:tc>
        <w:tc>
          <w:tcPr>
            <w:tcW w:w="7513" w:type="dxa"/>
            <w:vAlign w:val="center"/>
          </w:tcPr>
          <w:p w14:paraId="50013A1F">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评标结果公示：评标结束后，评标结果公示于浙江政府采购网、宁波政府采购网和宁波市公共资源交易电子服务系统（甬易阳光）。</w:t>
            </w:r>
          </w:p>
        </w:tc>
      </w:tr>
      <w:tr w14:paraId="1D8146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0" w:hRule="atLeast"/>
        </w:trPr>
        <w:tc>
          <w:tcPr>
            <w:tcW w:w="1276" w:type="dxa"/>
            <w:vAlign w:val="center"/>
          </w:tcPr>
          <w:p w14:paraId="65663098">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9</w:t>
            </w:r>
          </w:p>
        </w:tc>
        <w:tc>
          <w:tcPr>
            <w:tcW w:w="7513" w:type="dxa"/>
            <w:vAlign w:val="center"/>
          </w:tcPr>
          <w:p w14:paraId="1B9EF816">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签订合同时间：中标通知书发出后30日内。</w:t>
            </w:r>
          </w:p>
        </w:tc>
      </w:tr>
      <w:tr w14:paraId="06D072D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6" w:hRule="atLeast"/>
        </w:trPr>
        <w:tc>
          <w:tcPr>
            <w:tcW w:w="1276" w:type="dxa"/>
            <w:vAlign w:val="center"/>
          </w:tcPr>
          <w:p w14:paraId="25427F08">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10</w:t>
            </w:r>
          </w:p>
        </w:tc>
        <w:tc>
          <w:tcPr>
            <w:tcW w:w="7513" w:type="dxa"/>
            <w:vAlign w:val="center"/>
          </w:tcPr>
          <w:p w14:paraId="40921092">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采购资金来源：预算资金。</w:t>
            </w:r>
          </w:p>
        </w:tc>
      </w:tr>
      <w:tr w14:paraId="5D5B4B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60" w:hRule="atLeast"/>
        </w:trPr>
        <w:tc>
          <w:tcPr>
            <w:tcW w:w="1276" w:type="dxa"/>
            <w:vAlign w:val="center"/>
          </w:tcPr>
          <w:p w14:paraId="2E03AC64">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*11</w:t>
            </w:r>
          </w:p>
        </w:tc>
        <w:tc>
          <w:tcPr>
            <w:tcW w:w="7513" w:type="dxa"/>
            <w:vAlign w:val="center"/>
          </w:tcPr>
          <w:p w14:paraId="22672714">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投标文件有效期：90天。</w:t>
            </w:r>
          </w:p>
        </w:tc>
      </w:tr>
      <w:tr w14:paraId="3A9718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trPr>
        <w:tc>
          <w:tcPr>
            <w:tcW w:w="1276" w:type="dxa"/>
            <w:vAlign w:val="center"/>
          </w:tcPr>
          <w:p w14:paraId="546A62DB">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12</w:t>
            </w:r>
          </w:p>
        </w:tc>
        <w:tc>
          <w:tcPr>
            <w:tcW w:w="7513" w:type="dxa"/>
            <w:vAlign w:val="center"/>
          </w:tcPr>
          <w:p w14:paraId="01432161">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针对同一采购程序环节的质疑次数：一次性提出。</w:t>
            </w:r>
          </w:p>
        </w:tc>
      </w:tr>
      <w:tr w14:paraId="79467A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trPr>
        <w:tc>
          <w:tcPr>
            <w:tcW w:w="1276" w:type="dxa"/>
            <w:vAlign w:val="center"/>
          </w:tcPr>
          <w:p w14:paraId="475AF97F">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*13</w:t>
            </w:r>
          </w:p>
        </w:tc>
        <w:tc>
          <w:tcPr>
            <w:tcW w:w="7513" w:type="dxa"/>
            <w:vAlign w:val="center"/>
          </w:tcPr>
          <w:p w14:paraId="7DEEE6E7">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不同供应商的文件出自同一终端设备或在相同Internet主机分配地址（相同IP地址）网上报名或上传电子投标文件视为无效响应。</w:t>
            </w:r>
          </w:p>
        </w:tc>
      </w:tr>
      <w:tr w14:paraId="1FB98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8" w:hRule="atLeast"/>
        </w:trPr>
        <w:tc>
          <w:tcPr>
            <w:tcW w:w="1276" w:type="dxa"/>
            <w:vAlign w:val="center"/>
          </w:tcPr>
          <w:p w14:paraId="2B9723B2">
            <w:pPr>
              <w:snapToGri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14</w:t>
            </w:r>
          </w:p>
        </w:tc>
        <w:tc>
          <w:tcPr>
            <w:tcW w:w="7513" w:type="dxa"/>
            <w:vAlign w:val="center"/>
          </w:tcPr>
          <w:p w14:paraId="0959B202">
            <w:pPr>
              <w:autoSpaceDE w:val="0"/>
              <w:autoSpaceDN w:val="0"/>
              <w:spacing w:line="440" w:lineRule="exact"/>
              <w:textAlignment w:val="bottom"/>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解释：本采购文件的解释权属于采购代理机构。</w:t>
            </w:r>
          </w:p>
        </w:tc>
      </w:tr>
    </w:tbl>
    <w:p w14:paraId="521F6035">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bookmarkStart w:id="25" w:name="_Toc97725999"/>
      <w:bookmarkStart w:id="26" w:name="_Toc2347"/>
      <w:bookmarkStart w:id="27" w:name="_Toc460857897"/>
      <w:bookmarkStart w:id="28" w:name="_Toc81480912"/>
      <w:bookmarkStart w:id="29" w:name="_Toc17707910"/>
      <w:r>
        <w:rPr>
          <w:rFonts w:hint="eastAsia" w:asciiTheme="minorEastAsia" w:hAnsiTheme="minorEastAsia" w:eastAsiaTheme="minorEastAsia" w:cstheme="minorEastAsia"/>
          <w:color w:val="auto"/>
          <w:sz w:val="24"/>
          <w:szCs w:val="24"/>
        </w:rPr>
        <w:t>一、总则</w:t>
      </w:r>
      <w:bookmarkEnd w:id="25"/>
      <w:bookmarkEnd w:id="26"/>
      <w:bookmarkEnd w:id="27"/>
      <w:bookmarkEnd w:id="28"/>
      <w:bookmarkEnd w:id="29"/>
    </w:p>
    <w:p w14:paraId="4CB09FBA">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30" w:name="_Toc460416645"/>
      <w:bookmarkStart w:id="31" w:name="_Toc97726000"/>
      <w:bookmarkStart w:id="32" w:name="_Toc81480913"/>
      <w:bookmarkStart w:id="33" w:name="_Toc17707911"/>
      <w:bookmarkStart w:id="34" w:name="_Toc460857898"/>
      <w:bookmarkStart w:id="35" w:name="_Toc460416596"/>
      <w:bookmarkStart w:id="36" w:name="_Toc26631"/>
      <w:bookmarkStart w:id="37" w:name="_Toc460416340"/>
      <w:r>
        <w:rPr>
          <w:rFonts w:hint="eastAsia" w:asciiTheme="minorEastAsia" w:hAnsiTheme="minorEastAsia" w:eastAsiaTheme="minorEastAsia" w:cstheme="minorEastAsia"/>
          <w:color w:val="auto"/>
          <w:kern w:val="2"/>
          <w:sz w:val="24"/>
          <w:szCs w:val="24"/>
        </w:rPr>
        <w:t>（一）适用范围</w:t>
      </w:r>
      <w:bookmarkEnd w:id="30"/>
      <w:bookmarkEnd w:id="31"/>
      <w:bookmarkEnd w:id="32"/>
      <w:bookmarkEnd w:id="33"/>
      <w:bookmarkEnd w:id="34"/>
      <w:bookmarkEnd w:id="35"/>
      <w:bookmarkEnd w:id="36"/>
      <w:bookmarkEnd w:id="37"/>
    </w:p>
    <w:p w14:paraId="6995673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本采购文件适用于本采购项目的招标、投标、评标、定标、验收、合同履约、付款等行为（法律、法规另有规定的，从其规定）。</w:t>
      </w:r>
    </w:p>
    <w:p w14:paraId="288BD7EF">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38" w:name="_Toc460416597"/>
      <w:bookmarkStart w:id="39" w:name="_Toc17707912"/>
      <w:bookmarkStart w:id="40" w:name="_Toc460416341"/>
      <w:bookmarkStart w:id="41" w:name="_Toc81480914"/>
      <w:bookmarkStart w:id="42" w:name="_Toc97726001"/>
      <w:bookmarkStart w:id="43" w:name="_Toc460857899"/>
      <w:bookmarkStart w:id="44" w:name="_Toc460416646"/>
      <w:bookmarkStart w:id="45" w:name="_Toc2287"/>
      <w:r>
        <w:rPr>
          <w:rFonts w:hint="eastAsia" w:asciiTheme="minorEastAsia" w:hAnsiTheme="minorEastAsia" w:eastAsiaTheme="minorEastAsia" w:cstheme="minorEastAsia"/>
          <w:color w:val="auto"/>
          <w:kern w:val="2"/>
          <w:sz w:val="24"/>
          <w:szCs w:val="24"/>
        </w:rPr>
        <w:t>（二）定义</w:t>
      </w:r>
      <w:bookmarkEnd w:id="38"/>
      <w:bookmarkEnd w:id="39"/>
      <w:bookmarkEnd w:id="40"/>
      <w:bookmarkEnd w:id="41"/>
      <w:bookmarkEnd w:id="42"/>
      <w:bookmarkEnd w:id="43"/>
      <w:bookmarkEnd w:id="44"/>
      <w:bookmarkEnd w:id="45"/>
    </w:p>
    <w:p w14:paraId="79E8360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1.“招标人”系指组织本次招标的采购单位。</w:t>
      </w:r>
    </w:p>
    <w:p w14:paraId="123682C3">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2.“投标人”系指向招标方提交投标文件的单位或个人。</w:t>
      </w:r>
    </w:p>
    <w:p w14:paraId="2F0E1C2D">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3.“货物”系指采购文件规定投标人须承担的安装、调试、技术协助、校准、培训、技术指导以及其他类似的义务。</w:t>
      </w:r>
    </w:p>
    <w:p w14:paraId="0B4C0C21">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4.“项目”系指投标人按采购文件规定向招标人提供的产品和服务。</w:t>
      </w:r>
    </w:p>
    <w:p w14:paraId="3F8E5FE0">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5.“书面形式”包括信函、传真、电报等。</w:t>
      </w:r>
    </w:p>
    <w:p w14:paraId="69ED4E79">
      <w:pPr>
        <w:snapToGrid w:val="0"/>
        <w:spacing w:line="440" w:lineRule="exact"/>
        <w:ind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6.“*”系指实质性要求条款。</w:t>
      </w:r>
    </w:p>
    <w:p w14:paraId="384B22FE">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46" w:name="_Toc97726002"/>
      <w:bookmarkStart w:id="47" w:name="_Toc81480915"/>
      <w:bookmarkStart w:id="48" w:name="_Toc17707913"/>
      <w:bookmarkStart w:id="49" w:name="_Toc460416647"/>
      <w:bookmarkStart w:id="50" w:name="_Toc26031"/>
      <w:bookmarkStart w:id="51" w:name="_Toc460416598"/>
      <w:bookmarkStart w:id="52" w:name="_Toc460857900"/>
      <w:bookmarkStart w:id="53" w:name="_Toc460416342"/>
      <w:r>
        <w:rPr>
          <w:rFonts w:hint="eastAsia" w:asciiTheme="minorEastAsia" w:hAnsiTheme="minorEastAsia" w:eastAsiaTheme="minorEastAsia" w:cstheme="minorEastAsia"/>
          <w:color w:val="auto"/>
          <w:kern w:val="2"/>
          <w:sz w:val="24"/>
          <w:szCs w:val="24"/>
        </w:rPr>
        <w:t>（三）采购方式</w:t>
      </w:r>
      <w:bookmarkEnd w:id="46"/>
      <w:bookmarkEnd w:id="47"/>
      <w:bookmarkEnd w:id="48"/>
      <w:bookmarkEnd w:id="49"/>
      <w:bookmarkEnd w:id="50"/>
      <w:bookmarkEnd w:id="51"/>
      <w:bookmarkEnd w:id="52"/>
      <w:bookmarkEnd w:id="53"/>
    </w:p>
    <w:p w14:paraId="7EE37678">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本次招标采用公开招标方式进行。</w:t>
      </w:r>
    </w:p>
    <w:p w14:paraId="249F4702">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54" w:name="_Toc81480916"/>
      <w:bookmarkStart w:id="55" w:name="_Toc17707914"/>
      <w:bookmarkStart w:id="56" w:name="_Toc26934"/>
      <w:bookmarkStart w:id="57" w:name="_Toc460857901"/>
      <w:bookmarkStart w:id="58" w:name="_Toc460416648"/>
      <w:bookmarkStart w:id="59" w:name="_Toc97726003"/>
      <w:bookmarkStart w:id="60" w:name="_Toc460416343"/>
      <w:bookmarkStart w:id="61" w:name="_Toc460416599"/>
      <w:r>
        <w:rPr>
          <w:rFonts w:hint="eastAsia" w:asciiTheme="minorEastAsia" w:hAnsiTheme="minorEastAsia" w:eastAsiaTheme="minorEastAsia" w:cstheme="minorEastAsia"/>
          <w:color w:val="auto"/>
          <w:kern w:val="2"/>
          <w:sz w:val="24"/>
          <w:szCs w:val="24"/>
        </w:rPr>
        <w:t>（四）投标委托</w:t>
      </w:r>
      <w:bookmarkEnd w:id="54"/>
      <w:bookmarkEnd w:id="55"/>
      <w:bookmarkEnd w:id="56"/>
      <w:bookmarkEnd w:id="57"/>
      <w:bookmarkEnd w:id="58"/>
      <w:bookmarkEnd w:id="59"/>
      <w:bookmarkEnd w:id="60"/>
      <w:bookmarkEnd w:id="61"/>
    </w:p>
    <w:p w14:paraId="5499B7FD">
      <w:pPr>
        <w:pStyle w:val="15"/>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0"/>
          <w:sz w:val="24"/>
          <w:szCs w:val="24"/>
        </w:rPr>
        <w:t>如投标人派授权代表出席开标会议，授权代表须携带有效身份证件。投标人代表须为投标人的在职员工，如投标人代表不是法定代表人，须有法定代表人出具的授权委托书</w:t>
      </w:r>
      <w:r>
        <w:rPr>
          <w:rFonts w:hint="eastAsia" w:asciiTheme="minorEastAsia" w:hAnsiTheme="minorEastAsia" w:eastAsiaTheme="minorEastAsia" w:cstheme="minorEastAsia"/>
          <w:color w:val="auto"/>
          <w:sz w:val="24"/>
          <w:szCs w:val="24"/>
        </w:rPr>
        <w:t>。</w:t>
      </w:r>
    </w:p>
    <w:p w14:paraId="78411BD9">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62" w:name="_Toc460416649"/>
      <w:bookmarkStart w:id="63" w:name="_Toc18621"/>
      <w:bookmarkStart w:id="64" w:name="_Toc81480917"/>
      <w:bookmarkStart w:id="65" w:name="_Toc460416344"/>
      <w:bookmarkStart w:id="66" w:name="_Toc97726004"/>
      <w:bookmarkStart w:id="67" w:name="_Toc17707915"/>
      <w:bookmarkStart w:id="68" w:name="_Toc460857902"/>
      <w:bookmarkStart w:id="69" w:name="_Toc460416600"/>
      <w:r>
        <w:rPr>
          <w:rFonts w:hint="eastAsia" w:asciiTheme="minorEastAsia" w:hAnsiTheme="minorEastAsia" w:eastAsiaTheme="minorEastAsia" w:cstheme="minorEastAsia"/>
          <w:color w:val="auto"/>
          <w:kern w:val="2"/>
          <w:sz w:val="24"/>
          <w:szCs w:val="24"/>
        </w:rPr>
        <w:t>（五）投标费用</w:t>
      </w:r>
      <w:bookmarkEnd w:id="62"/>
      <w:bookmarkEnd w:id="63"/>
      <w:bookmarkEnd w:id="64"/>
      <w:bookmarkEnd w:id="65"/>
      <w:bookmarkEnd w:id="66"/>
      <w:bookmarkEnd w:id="67"/>
      <w:bookmarkEnd w:id="68"/>
      <w:bookmarkEnd w:id="69"/>
    </w:p>
    <w:p w14:paraId="1578F130">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不论投标结果如何，投标人均应自行承担所有与投标有关的全部费用（采购文件有相反规定除外）。</w:t>
      </w:r>
    </w:p>
    <w:p w14:paraId="4E20A6BA">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70" w:name="_Toc460857903"/>
      <w:bookmarkStart w:id="71" w:name="_Toc17707916"/>
      <w:bookmarkStart w:id="72" w:name="_Toc1416"/>
      <w:bookmarkStart w:id="73" w:name="_Toc81480918"/>
      <w:bookmarkStart w:id="74" w:name="_Toc97726005"/>
      <w:r>
        <w:rPr>
          <w:rFonts w:hint="eastAsia" w:asciiTheme="minorEastAsia" w:hAnsiTheme="minorEastAsia" w:eastAsiaTheme="minorEastAsia" w:cstheme="minorEastAsia"/>
          <w:color w:val="auto"/>
          <w:kern w:val="2"/>
          <w:sz w:val="24"/>
          <w:szCs w:val="24"/>
        </w:rPr>
        <w:t>（六）联合体投标</w:t>
      </w:r>
      <w:bookmarkEnd w:id="70"/>
      <w:bookmarkEnd w:id="71"/>
      <w:bookmarkEnd w:id="72"/>
      <w:bookmarkEnd w:id="73"/>
      <w:bookmarkEnd w:id="74"/>
    </w:p>
    <w:p w14:paraId="16D7A775">
      <w:pPr>
        <w:snapToGrid w:val="0"/>
        <w:spacing w:line="440" w:lineRule="exact"/>
        <w:ind w:firstLine="720" w:firstLineChars="3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本项目不接受联合体投标。</w:t>
      </w:r>
    </w:p>
    <w:p w14:paraId="481D495D">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75" w:name="_Toc81480919"/>
      <w:bookmarkStart w:id="76" w:name="_Toc97726006"/>
      <w:bookmarkStart w:id="77" w:name="_Toc460857904"/>
      <w:bookmarkStart w:id="78" w:name="_Toc17707917"/>
      <w:bookmarkStart w:id="79" w:name="_Toc12279"/>
      <w:r>
        <w:rPr>
          <w:rFonts w:hint="eastAsia" w:asciiTheme="minorEastAsia" w:hAnsiTheme="minorEastAsia" w:eastAsiaTheme="minorEastAsia" w:cstheme="minorEastAsia"/>
          <w:color w:val="auto"/>
          <w:kern w:val="2"/>
          <w:sz w:val="24"/>
          <w:szCs w:val="24"/>
        </w:rPr>
        <w:t>（七）转包与分包</w:t>
      </w:r>
      <w:bookmarkEnd w:id="75"/>
      <w:bookmarkEnd w:id="76"/>
      <w:bookmarkEnd w:id="77"/>
      <w:bookmarkEnd w:id="78"/>
      <w:bookmarkEnd w:id="79"/>
    </w:p>
    <w:p w14:paraId="6363F9AD">
      <w:pPr>
        <w:snapToGrid w:val="0"/>
        <w:spacing w:line="440" w:lineRule="exact"/>
        <w:ind w:firstLine="720" w:firstLineChars="3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本项目不允许转包。</w:t>
      </w:r>
    </w:p>
    <w:p w14:paraId="4D655CCF">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80" w:name="_Toc460416601"/>
      <w:bookmarkStart w:id="81" w:name="_Toc30057"/>
      <w:bookmarkStart w:id="82" w:name="_Toc460857905"/>
      <w:bookmarkStart w:id="83" w:name="_Toc460416345"/>
      <w:bookmarkStart w:id="84" w:name="_Toc460416650"/>
      <w:bookmarkStart w:id="85" w:name="_Toc17707918"/>
      <w:bookmarkStart w:id="86" w:name="_Toc81480920"/>
      <w:bookmarkStart w:id="87" w:name="_Toc97726007"/>
      <w:r>
        <w:rPr>
          <w:rFonts w:hint="eastAsia" w:asciiTheme="minorEastAsia" w:hAnsiTheme="minorEastAsia" w:eastAsiaTheme="minorEastAsia" w:cstheme="minorEastAsia"/>
          <w:color w:val="auto"/>
          <w:kern w:val="2"/>
          <w:sz w:val="24"/>
          <w:szCs w:val="24"/>
        </w:rPr>
        <w:t>（八）特别说明</w:t>
      </w:r>
      <w:bookmarkEnd w:id="80"/>
      <w:bookmarkEnd w:id="81"/>
      <w:bookmarkEnd w:id="82"/>
      <w:bookmarkEnd w:id="83"/>
      <w:bookmarkEnd w:id="84"/>
      <w:bookmarkEnd w:id="85"/>
      <w:bookmarkEnd w:id="86"/>
      <w:bookmarkEnd w:id="87"/>
    </w:p>
    <w:p w14:paraId="13432B81">
      <w:pPr>
        <w:pStyle w:val="19"/>
        <w:snapToGrid w:val="0"/>
        <w:spacing w:beforeLines="0" w:afterLines="0" w:line="440" w:lineRule="exact"/>
        <w:ind w:left="2" w:leftChars="1"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1.投标人应仔细阅读采购文件的所有内容，按照采购文件的要求提交投标文件，并对所提供的全部资料的真实性承担法律责任。</w:t>
      </w:r>
    </w:p>
    <w:p w14:paraId="6C6B13E1">
      <w:pPr>
        <w:pStyle w:val="19"/>
        <w:snapToGrid w:val="0"/>
        <w:spacing w:beforeLines="0" w:afterLines="0" w:line="440" w:lineRule="exact"/>
        <w:ind w:left="2" w:leftChars="1"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2.投标人在投标活动中提供任何虚假材料，其投标无效，并报监管部门查处；中标后发现的,中标人须依照《中华人民共和国消费者权益保护法》第55条之规定赔偿</w:t>
      </w:r>
      <w:r>
        <w:rPr>
          <w:rFonts w:hint="eastAsia" w:asciiTheme="minorEastAsia" w:hAnsiTheme="minorEastAsia" w:eastAsiaTheme="minorEastAsia" w:cstheme="minorEastAsia"/>
          <w:b/>
          <w:color w:val="auto"/>
          <w:sz w:val="24"/>
          <w:szCs w:val="24"/>
          <w:lang w:eastAsia="zh-CN"/>
        </w:rPr>
        <w:t>招标人</w:t>
      </w:r>
      <w:r>
        <w:rPr>
          <w:rFonts w:hint="eastAsia" w:asciiTheme="minorEastAsia" w:hAnsiTheme="minorEastAsia" w:eastAsiaTheme="minorEastAsia" w:cstheme="minorEastAsia"/>
          <w:b/>
          <w:color w:val="auto"/>
          <w:sz w:val="24"/>
          <w:szCs w:val="24"/>
        </w:rPr>
        <w:t>，且民事赔偿并不免除违法投标人的行政与刑事责任。</w:t>
      </w:r>
    </w:p>
    <w:p w14:paraId="604EA5F4">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88" w:name="_Toc24898"/>
      <w:bookmarkStart w:id="89" w:name="_Toc81480921"/>
      <w:bookmarkStart w:id="90" w:name="_Toc97726008"/>
      <w:bookmarkStart w:id="91" w:name="_Toc17707919"/>
      <w:r>
        <w:rPr>
          <w:rFonts w:hint="eastAsia" w:asciiTheme="minorEastAsia" w:hAnsiTheme="minorEastAsia" w:eastAsiaTheme="minorEastAsia" w:cstheme="minorEastAsia"/>
          <w:color w:val="auto"/>
          <w:kern w:val="2"/>
          <w:sz w:val="24"/>
          <w:szCs w:val="24"/>
        </w:rPr>
        <w:t>（九）关于分公司投标</w:t>
      </w:r>
      <w:bookmarkEnd w:id="88"/>
      <w:bookmarkEnd w:id="89"/>
      <w:bookmarkEnd w:id="90"/>
      <w:bookmarkEnd w:id="91"/>
    </w:p>
    <w:p w14:paraId="7C914605">
      <w:pPr>
        <w:widowControl/>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除银行、保险、石油石化、电力、电信、移动、联通等行业允许分公司投标外，其余不允许分公司投标。</w:t>
      </w:r>
    </w:p>
    <w:p w14:paraId="243EC7A6">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92" w:name="_Toc17707920"/>
      <w:bookmarkStart w:id="93" w:name="_Toc97726009"/>
      <w:bookmarkStart w:id="94" w:name="_Toc2519"/>
      <w:bookmarkStart w:id="95" w:name="_Toc81480922"/>
      <w:r>
        <w:rPr>
          <w:rFonts w:hint="eastAsia" w:asciiTheme="minorEastAsia" w:hAnsiTheme="minorEastAsia" w:eastAsiaTheme="minorEastAsia" w:cstheme="minorEastAsia"/>
          <w:color w:val="auto"/>
          <w:kern w:val="2"/>
          <w:sz w:val="24"/>
          <w:szCs w:val="24"/>
        </w:rPr>
        <w:t>（十）关于知识产权</w:t>
      </w:r>
      <w:bookmarkEnd w:id="92"/>
      <w:bookmarkEnd w:id="93"/>
      <w:bookmarkEnd w:id="94"/>
      <w:bookmarkEnd w:id="95"/>
    </w:p>
    <w:p w14:paraId="0967661E">
      <w:pPr>
        <w:widowControl/>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投标人必须保证，招标人在中华人民共和国境内使用投标货物、资料、技术、服务或其任何一部分时，享有不受限制的无偿使用权，如有第三方向招标人提出侵犯其专利权、商标权或其它知识产权的主张，该责任应由投标人承担。</w:t>
      </w:r>
    </w:p>
    <w:p w14:paraId="7F858FDE">
      <w:pPr>
        <w:widowControl/>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2.投标报价应包含所有应向所有权人支付的专利权、商标权或其它知识产权的一切相关费用。</w:t>
      </w:r>
    </w:p>
    <w:p w14:paraId="4B0FEF20">
      <w:pPr>
        <w:widowControl/>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3.系统软件、通用软件必须是具有在中国境内的合法使用权或版权的正版软件，涉及到第三方提出侵权或知识产权的起诉及支付版税等费用由投标人承担所有责任及费用。</w:t>
      </w:r>
    </w:p>
    <w:p w14:paraId="41DF0FC1">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96" w:name="_Toc97726010"/>
      <w:bookmarkStart w:id="97" w:name="_Toc460416651"/>
      <w:bookmarkStart w:id="98" w:name="_Toc81480923"/>
      <w:bookmarkStart w:id="99" w:name="_Toc460857906"/>
      <w:bookmarkStart w:id="100" w:name="_Toc460416346"/>
      <w:bookmarkStart w:id="101" w:name="_Toc460416602"/>
      <w:bookmarkStart w:id="102" w:name="_Toc17707921"/>
      <w:bookmarkStart w:id="103" w:name="_Toc10668"/>
      <w:r>
        <w:rPr>
          <w:rFonts w:hint="eastAsia" w:asciiTheme="minorEastAsia" w:hAnsiTheme="minorEastAsia" w:eastAsiaTheme="minorEastAsia" w:cstheme="minorEastAsia"/>
          <w:color w:val="auto"/>
          <w:kern w:val="2"/>
          <w:sz w:val="24"/>
          <w:szCs w:val="24"/>
        </w:rPr>
        <w:t>（十一）质疑和投诉</w:t>
      </w:r>
      <w:bookmarkEnd w:id="96"/>
      <w:bookmarkEnd w:id="97"/>
      <w:bookmarkEnd w:id="98"/>
      <w:bookmarkEnd w:id="99"/>
      <w:bookmarkEnd w:id="100"/>
      <w:bookmarkEnd w:id="101"/>
      <w:bookmarkEnd w:id="102"/>
      <w:bookmarkEnd w:id="103"/>
    </w:p>
    <w:p w14:paraId="30D2806F">
      <w:pPr>
        <w:pStyle w:val="3"/>
        <w:spacing w:after="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1.投标人认为采购文件、采购过程、中标或者成交结果使自己的权益受到损害的，须在应</w:t>
      </w:r>
      <w:r>
        <w:rPr>
          <w:rFonts w:hint="eastAsia" w:asciiTheme="minorEastAsia" w:hAnsiTheme="minorEastAsia" w:eastAsiaTheme="minorEastAsia" w:cstheme="minorEastAsia"/>
          <w:color w:val="auto"/>
          <w:spacing w:val="2"/>
          <w:sz w:val="24"/>
          <w:szCs w:val="24"/>
        </w:rPr>
        <w:t>知其利益受损之日起七个工作日内以书面形式向</w:t>
      </w:r>
      <w:r>
        <w:rPr>
          <w:rFonts w:hint="eastAsia" w:asciiTheme="minorEastAsia" w:hAnsiTheme="minorEastAsia" w:eastAsiaTheme="minorEastAsia" w:cstheme="minorEastAsia"/>
          <w:color w:val="auto"/>
          <w:spacing w:val="2"/>
          <w:sz w:val="24"/>
          <w:szCs w:val="24"/>
          <w:lang w:eastAsia="zh-CN"/>
        </w:rPr>
        <w:t>招标人</w:t>
      </w:r>
      <w:r>
        <w:rPr>
          <w:rFonts w:hint="eastAsia" w:asciiTheme="minorEastAsia" w:hAnsiTheme="minorEastAsia" w:eastAsiaTheme="minorEastAsia" w:cstheme="minorEastAsia"/>
          <w:color w:val="auto"/>
          <w:spacing w:val="2"/>
          <w:sz w:val="24"/>
          <w:szCs w:val="24"/>
        </w:rPr>
        <w:t>、采购代理机构提出质疑。投标人应当在法定质疑期内一次性提出针对同一采购程序环节的质疑。</w:t>
      </w:r>
    </w:p>
    <w:p w14:paraId="4E5CCD2F">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2.提出质疑的投标人应当是参与所质疑项目采购活动的投标人。未依法获取采</w:t>
      </w:r>
      <w:r>
        <w:rPr>
          <w:rFonts w:hint="eastAsia" w:asciiTheme="minorEastAsia" w:hAnsiTheme="minorEastAsia" w:eastAsiaTheme="minorEastAsia" w:cstheme="minorEastAsia"/>
          <w:color w:val="auto"/>
          <w:spacing w:val="2"/>
          <w:sz w:val="24"/>
          <w:szCs w:val="24"/>
        </w:rPr>
        <w:t>购文件的，不得就采购文件提出质疑；未提交投标文件的投标人，视为与采购结</w:t>
      </w:r>
      <w:r>
        <w:rPr>
          <w:rFonts w:hint="eastAsia" w:asciiTheme="minorEastAsia" w:hAnsiTheme="minorEastAsia" w:eastAsiaTheme="minorEastAsia" w:cstheme="minorEastAsia"/>
          <w:color w:val="auto"/>
          <w:sz w:val="24"/>
          <w:szCs w:val="24"/>
        </w:rPr>
        <w:t>果没有利害关系，不得就采购响应截止时间后的采购过程、采购结果提出质疑。</w:t>
      </w:r>
    </w:p>
    <w:p w14:paraId="1E2EB36F">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3.投标人提出质疑应当提交质疑函和必要的证明材料，质疑函应当以书面形式（需符合财政部令第94号政府采购质疑和投诉办法要求）</w:t>
      </w:r>
      <w:r>
        <w:rPr>
          <w:rFonts w:hint="eastAsia" w:asciiTheme="minorEastAsia" w:hAnsiTheme="minorEastAsia" w:eastAsiaTheme="minorEastAsia" w:cstheme="minorEastAsia"/>
          <w:color w:val="auto"/>
          <w:spacing w:val="2"/>
          <w:sz w:val="24"/>
          <w:szCs w:val="24"/>
        </w:rPr>
        <w:t>提出</w:t>
      </w:r>
      <w:r>
        <w:rPr>
          <w:rFonts w:hint="eastAsia" w:asciiTheme="minorEastAsia" w:hAnsiTheme="minorEastAsia" w:eastAsiaTheme="minorEastAsia" w:cstheme="minorEastAsia"/>
          <w:color w:val="auto"/>
          <w:sz w:val="24"/>
          <w:szCs w:val="24"/>
        </w:rPr>
        <w:t>。</w:t>
      </w:r>
    </w:p>
    <w:p w14:paraId="483CA168">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被质疑人处理质疑联系部门：本采购文件第一章中采购代理机构的有关联系方式。</w:t>
      </w:r>
    </w:p>
    <w:p w14:paraId="3B832BF3">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标人对招标人或采购代理机构的质疑答复不满意或者招标人或采购代理机构未在规定时间内作出答复的，可以在答复期满后十五个工作日内向同级采购监管部门投诉，投诉须采用书面形式（需符合财政部令第94号政府采购质疑和投诉办法要求）。</w:t>
      </w:r>
    </w:p>
    <w:p w14:paraId="71A5B6F1">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104" w:name="_Toc81480924"/>
      <w:bookmarkStart w:id="105" w:name="_Toc460857907"/>
      <w:bookmarkStart w:id="106" w:name="_Toc460416347"/>
      <w:bookmarkStart w:id="107" w:name="_Toc460416652"/>
      <w:bookmarkStart w:id="108" w:name="_Toc97726011"/>
      <w:bookmarkStart w:id="109" w:name="_Toc9121"/>
      <w:bookmarkStart w:id="110" w:name="_Toc17707922"/>
      <w:r>
        <w:rPr>
          <w:rFonts w:hint="eastAsia" w:asciiTheme="minorEastAsia" w:hAnsiTheme="minorEastAsia" w:eastAsiaTheme="minorEastAsia" w:cstheme="minorEastAsia"/>
          <w:color w:val="auto"/>
          <w:sz w:val="24"/>
          <w:szCs w:val="24"/>
        </w:rPr>
        <w:t>二、采购文件</w:t>
      </w:r>
      <w:bookmarkEnd w:id="104"/>
      <w:bookmarkEnd w:id="105"/>
      <w:bookmarkEnd w:id="106"/>
      <w:bookmarkEnd w:id="107"/>
      <w:bookmarkEnd w:id="108"/>
      <w:bookmarkEnd w:id="109"/>
      <w:bookmarkEnd w:id="110"/>
    </w:p>
    <w:p w14:paraId="2E2EF5D1">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11" w:name="_Toc81480925"/>
      <w:bookmarkStart w:id="112" w:name="_Toc30420"/>
      <w:bookmarkStart w:id="113" w:name="_Toc97726012"/>
      <w:bookmarkStart w:id="114" w:name="_Toc460857908"/>
      <w:bookmarkStart w:id="115" w:name="_Toc17707923"/>
      <w:r>
        <w:rPr>
          <w:rFonts w:hint="eastAsia" w:asciiTheme="minorEastAsia" w:hAnsiTheme="minorEastAsia" w:eastAsiaTheme="minorEastAsia" w:cstheme="minorEastAsia"/>
          <w:color w:val="auto"/>
          <w:kern w:val="2"/>
          <w:sz w:val="24"/>
          <w:szCs w:val="24"/>
        </w:rPr>
        <w:t>（一）采购文件的构成</w:t>
      </w:r>
      <w:bookmarkEnd w:id="111"/>
      <w:bookmarkEnd w:id="112"/>
      <w:bookmarkEnd w:id="113"/>
    </w:p>
    <w:p w14:paraId="3A09DFA3">
      <w:pPr>
        <w:spacing w:line="440" w:lineRule="exact"/>
        <w:ind w:firstLine="482" w:firstLineChars="20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本采购文件由以下部份组成：</w:t>
      </w:r>
      <w:bookmarkEnd w:id="114"/>
      <w:bookmarkEnd w:id="115"/>
    </w:p>
    <w:p w14:paraId="71B22E3F">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1.公开招标采购公告</w:t>
      </w:r>
    </w:p>
    <w:p w14:paraId="7900132D">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2.采购需求</w:t>
      </w:r>
    </w:p>
    <w:p w14:paraId="6871541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3.投标人须知</w:t>
      </w:r>
    </w:p>
    <w:p w14:paraId="11C574F1">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4.评标办法及评分标准</w:t>
      </w:r>
    </w:p>
    <w:p w14:paraId="4A62919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5.政府采购合同主要条款</w:t>
      </w:r>
    </w:p>
    <w:p w14:paraId="52B53B21">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6.投标文件格式</w:t>
      </w:r>
    </w:p>
    <w:p w14:paraId="6EE12080">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7.本项目采购文件的澄清、答复、修改、补充的内容</w:t>
      </w:r>
    </w:p>
    <w:p w14:paraId="73FC92CE">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16" w:name="_Toc4532"/>
      <w:bookmarkStart w:id="117" w:name="_Toc81480926"/>
      <w:bookmarkStart w:id="118" w:name="_Toc460857909"/>
      <w:bookmarkStart w:id="119" w:name="_Toc97726013"/>
      <w:bookmarkStart w:id="120" w:name="_Toc17707924"/>
      <w:r>
        <w:rPr>
          <w:rFonts w:hint="eastAsia" w:asciiTheme="minorEastAsia" w:hAnsiTheme="minorEastAsia" w:eastAsiaTheme="minorEastAsia" w:cstheme="minorEastAsia"/>
          <w:color w:val="auto"/>
          <w:kern w:val="2"/>
          <w:sz w:val="24"/>
          <w:szCs w:val="24"/>
        </w:rPr>
        <w:t>（二）投标人的风险</w:t>
      </w:r>
      <w:bookmarkEnd w:id="116"/>
      <w:bookmarkEnd w:id="117"/>
      <w:bookmarkEnd w:id="118"/>
      <w:bookmarkEnd w:id="119"/>
      <w:bookmarkEnd w:id="120"/>
    </w:p>
    <w:p w14:paraId="21AFE708">
      <w:pPr>
        <w:pStyle w:val="29"/>
        <w:tabs>
          <w:tab w:val="left" w:pos="780"/>
        </w:tabs>
        <w:spacing w:line="440" w:lineRule="exact"/>
        <w:ind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投标人没有按照采购文件要求提供全部资料，或者投标人没有对采购文件在各方面作出实质性响应是投标人的风险，并可能导致其投标被拒绝。</w:t>
      </w:r>
    </w:p>
    <w:p w14:paraId="7D2D0376">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21" w:name="_Toc17707925"/>
      <w:bookmarkStart w:id="122" w:name="_Toc460857910"/>
      <w:bookmarkStart w:id="123" w:name="_Toc15514"/>
      <w:bookmarkStart w:id="124" w:name="_Toc81480927"/>
      <w:bookmarkStart w:id="125" w:name="_Toc97726014"/>
      <w:r>
        <w:rPr>
          <w:rFonts w:hint="eastAsia" w:asciiTheme="minorEastAsia" w:hAnsiTheme="minorEastAsia" w:eastAsiaTheme="minorEastAsia" w:cstheme="minorEastAsia"/>
          <w:color w:val="auto"/>
          <w:kern w:val="2"/>
          <w:sz w:val="24"/>
          <w:szCs w:val="24"/>
        </w:rPr>
        <w:t>（三）采购文件的澄清与修改</w:t>
      </w:r>
      <w:bookmarkEnd w:id="121"/>
      <w:bookmarkEnd w:id="122"/>
      <w:bookmarkEnd w:id="123"/>
      <w:bookmarkEnd w:id="124"/>
      <w:bookmarkEnd w:id="125"/>
    </w:p>
    <w:p w14:paraId="2B621AA6">
      <w:pPr>
        <w:pStyle w:val="3"/>
        <w:tabs>
          <w:tab w:val="left" w:pos="948"/>
        </w:tabs>
        <w:spacing w:after="0" w:line="440" w:lineRule="exact"/>
        <w:ind w:firstLine="480" w:firstLineChars="200"/>
        <w:rPr>
          <w:rFonts w:hint="eastAsia" w:asciiTheme="minorEastAsia" w:hAnsiTheme="minorEastAsia" w:eastAsiaTheme="minorEastAsia" w:cstheme="minorEastAsia"/>
          <w:color w:val="auto"/>
          <w:sz w:val="24"/>
          <w:szCs w:val="24"/>
        </w:rPr>
      </w:pPr>
      <w:bookmarkStart w:id="126" w:name="_Toc460416348"/>
      <w:bookmarkStart w:id="127" w:name="_Toc460416653"/>
      <w:bookmarkStart w:id="128" w:name="_Toc460857912"/>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可主动地或在解答投标人提出的澄清问题时对采购文件进行必要的澄清或者修改的，在发布招标公告的网站上发布更正公告，更正公告为采购文件的组成部分，一经在网站发布，视同已通知所有采购文件的收受人。澄清或者修改的内容可能影响投标文件编制的，更正公告在投标截止时间至少15日前发出；不足15日的，顺延提交投标文件截止时间。</w:t>
      </w:r>
    </w:p>
    <w:p w14:paraId="23A81DC6">
      <w:pPr>
        <w:pStyle w:val="3"/>
        <w:tabs>
          <w:tab w:val="left" w:pos="948"/>
        </w:tabs>
        <w:spacing w:after="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澄清或者修改的内容可能影响投标文件编制的，采购代理机构将以书面形式通知所有获取采购文件的潜在投标人，并对其具有约束力。投标人在收到上述通知后，应及时向采购代理机构确认。投标人未回复的，视同已知晓澄清或者修改的内容。</w:t>
      </w:r>
    </w:p>
    <w:p w14:paraId="3B414FB1">
      <w:pPr>
        <w:pStyle w:val="3"/>
        <w:tabs>
          <w:tab w:val="left" w:pos="948"/>
        </w:tabs>
        <w:spacing w:after="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因潜在投标人原因或通讯线路故障导致通知逾期送达或无法送达，采购代理机构不因此承担任何责任，有关的招标采购活动可以继续有效进行。</w:t>
      </w:r>
    </w:p>
    <w:p w14:paraId="5F79BD5A">
      <w:pPr>
        <w:pStyle w:val="3"/>
        <w:tabs>
          <w:tab w:val="left" w:pos="948"/>
        </w:tabs>
        <w:spacing w:after="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3.如更正公告有重新发布电子采购文件的，投标人应下载最新发布的电子采购文件制作投标文件。</w:t>
      </w:r>
    </w:p>
    <w:p w14:paraId="13E682C6">
      <w:pPr>
        <w:pStyle w:val="3"/>
        <w:tabs>
          <w:tab w:val="left" w:pos="948"/>
        </w:tabs>
        <w:spacing w:after="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4.投标人在规定的时间内未对采购文件提出疑问、质疑或要求澄清的，将视其为无异议。对采购文件中描述有歧义或前后不一致的地方，评标委员会有权进行评判，但对同一条款的评判应适用于每个投标人。</w:t>
      </w:r>
    </w:p>
    <w:p w14:paraId="602EC96D">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129" w:name="_Toc17707926"/>
      <w:bookmarkStart w:id="130" w:name="_Toc81480928"/>
      <w:bookmarkStart w:id="131" w:name="_Toc97726015"/>
      <w:bookmarkStart w:id="132" w:name="_Toc24204"/>
      <w:r>
        <w:rPr>
          <w:rFonts w:hint="eastAsia" w:asciiTheme="minorEastAsia" w:hAnsiTheme="minorEastAsia" w:eastAsiaTheme="minorEastAsia" w:cstheme="minorEastAsia"/>
          <w:color w:val="auto"/>
          <w:sz w:val="24"/>
          <w:szCs w:val="24"/>
        </w:rPr>
        <w:t>三、投标文件的编制</w:t>
      </w:r>
      <w:bookmarkEnd w:id="126"/>
      <w:bookmarkEnd w:id="127"/>
      <w:bookmarkEnd w:id="128"/>
      <w:bookmarkEnd w:id="129"/>
      <w:bookmarkEnd w:id="130"/>
      <w:bookmarkEnd w:id="131"/>
      <w:bookmarkEnd w:id="132"/>
    </w:p>
    <w:p w14:paraId="76D9B311">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（一）投标文件的组成</w:t>
      </w:r>
    </w:p>
    <w:p w14:paraId="069CA29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投标文件由资格证明文件、商务技术文件和报价文件三部分组成。</w:t>
      </w:r>
    </w:p>
    <w:p w14:paraId="203F298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1．资格证明文件包括以下内容：</w:t>
      </w:r>
    </w:p>
    <w:p w14:paraId="2AE99E2A">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（1）资格条件自查表（格式见第六章）；</w:t>
      </w:r>
    </w:p>
    <w:p w14:paraId="2352E327">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（2）投标人资格声明函（格式见第六章）；</w:t>
      </w:r>
    </w:p>
    <w:p w14:paraId="011B13A4">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（3）有效的企业法人营业执照（或事业法人登记证）、其他组织（个体工商户）的营业执照或者民办非企业单位登记证书复印件（复印件加盖公章）；</w:t>
      </w:r>
    </w:p>
    <w:p w14:paraId="286465E9">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（4）本项目特定资格条件的证明文件（如有）；</w:t>
      </w:r>
    </w:p>
    <w:p w14:paraId="5E9696D0">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（5）中小企业声明函或残疾人福利性单位声明函（格式见第六章）或监狱企业证明文件；</w:t>
      </w:r>
    </w:p>
    <w:p w14:paraId="0F2EADE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（6）投标人认为有必要提交的其他资格说明文件和资料；</w:t>
      </w:r>
    </w:p>
    <w:p w14:paraId="71D3034A">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2.商务技术部分包括以下内容：</w:t>
      </w:r>
    </w:p>
    <w:p w14:paraId="7005FAD3">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（1）符合性自查表（格式见第六章）；</w:t>
      </w:r>
    </w:p>
    <w:p w14:paraId="44082E6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（2）法定代表人的身份证明或法定代表人授权书【投标人的代表若为非法定代表人的，必须提交法定代表人授权书，格式见第六章】；</w:t>
      </w:r>
    </w:p>
    <w:p w14:paraId="608DCEF5">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（3）投标人基本情况说明（格式见第六章）；</w:t>
      </w:r>
    </w:p>
    <w:p w14:paraId="050778ED">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（4）商务条款偏离表（格式见第六章）；</w:t>
      </w:r>
    </w:p>
    <w:p w14:paraId="5248608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（5）服务条款偏离表（格式见第六章）；</w:t>
      </w:r>
    </w:p>
    <w:p w14:paraId="12DBC44A">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（6）根据招标需求及评分标准提供相关内容；</w:t>
      </w:r>
    </w:p>
    <w:p w14:paraId="28A7FBF0">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（7）投标人认为有必要提交的其他商务技术说明文件和资料。</w:t>
      </w:r>
    </w:p>
    <w:p w14:paraId="10DC82F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3.报价部分包括以下内容：</w:t>
      </w:r>
    </w:p>
    <w:p w14:paraId="224ECAD8">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（1）投标函（格式见第六章）；</w:t>
      </w:r>
    </w:p>
    <w:p w14:paraId="2E6B2E4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（2）开标一览表（格式见第六章）；</w:t>
      </w:r>
    </w:p>
    <w:p w14:paraId="321CEBBD">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（3）投标分项报价表（格式见第六章）；</w:t>
      </w:r>
    </w:p>
    <w:p w14:paraId="1BD8E2AE">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（4）投标人针对报价需要说明的其他文件和说明。</w:t>
      </w:r>
    </w:p>
    <w:p w14:paraId="7CDB595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4.上述组成投标文件的各项资料中本采购文件的有规定格式的，应统一按本采购文件的规定格式填写。未有规定格式的资料，投标人应自行编制，但至少要包含以上要求的内容。</w:t>
      </w:r>
    </w:p>
    <w:p w14:paraId="3D54F3CA">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投标文件在提供对投标产品技术条款响应表的应答时，对采购文件有技术数值要求的参数，应以投标货物的具体技术数值据实应答；对于采购文件无数值要求的参数的应答，应作出明确、直接、无导致两种理解可能的应答。</w:t>
      </w:r>
    </w:p>
    <w:p w14:paraId="44A93D92">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投标人应当按照采购文件要求的内容、格式和顺序编制投标文件。投标文件应当对采购文件提出的要求和条件作出明确响应。投标人应详细阅读采购文件的全部内容和要求，不按采购文件的要求提供投标文件和资料导致的风险由投标人承担。</w:t>
      </w:r>
    </w:p>
    <w:p w14:paraId="15156776">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33" w:name="_Toc460857914"/>
      <w:bookmarkStart w:id="134" w:name="_Toc460416655"/>
      <w:bookmarkStart w:id="135" w:name="_Toc28267"/>
      <w:bookmarkStart w:id="136" w:name="_Toc17707928"/>
      <w:bookmarkStart w:id="137" w:name="_Toc460416350"/>
      <w:bookmarkStart w:id="138" w:name="_Toc97726017"/>
      <w:bookmarkStart w:id="139" w:name="_Toc81480930"/>
      <w:r>
        <w:rPr>
          <w:rFonts w:hint="eastAsia" w:asciiTheme="minorEastAsia" w:hAnsiTheme="minorEastAsia" w:eastAsiaTheme="minorEastAsia" w:cstheme="minorEastAsia"/>
          <w:color w:val="auto"/>
          <w:kern w:val="2"/>
          <w:sz w:val="24"/>
          <w:szCs w:val="24"/>
        </w:rPr>
        <w:t>（二）投标文件的语言及计量</w:t>
      </w:r>
      <w:bookmarkEnd w:id="133"/>
      <w:bookmarkEnd w:id="134"/>
      <w:bookmarkEnd w:id="135"/>
      <w:bookmarkEnd w:id="136"/>
      <w:bookmarkEnd w:id="137"/>
      <w:bookmarkEnd w:id="138"/>
      <w:bookmarkEnd w:id="139"/>
    </w:p>
    <w:p w14:paraId="6CF7DDFB">
      <w:pPr>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1.投标文件以及投标方与招标人就有关投标事宜的所有来往函电，均应以中文汉语书写。除签名、盖章、专用名称等特殊情形外，以中文汉语以外的文字表述的投标文件视同未提供。</w:t>
      </w:r>
    </w:p>
    <w:p w14:paraId="1D9B995E">
      <w:pPr>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2.投标计量单位，采购文件已有明确规定的，使用采购文件规定的计量单位；采购文件没有规定的，应采用中华人民共和国法定计量单位（货币单位：人民币元），否则视同未响应。</w:t>
      </w:r>
    </w:p>
    <w:p w14:paraId="4798D304">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40" w:name="_Toc460416656"/>
      <w:bookmarkStart w:id="141" w:name="_Toc460857915"/>
      <w:bookmarkStart w:id="142" w:name="_Toc97726018"/>
      <w:bookmarkStart w:id="143" w:name="_Toc81480931"/>
      <w:bookmarkStart w:id="144" w:name="_Toc17707929"/>
      <w:bookmarkStart w:id="145" w:name="_Toc460416351"/>
      <w:bookmarkStart w:id="146" w:name="_Toc31528"/>
      <w:r>
        <w:rPr>
          <w:rFonts w:hint="eastAsia" w:asciiTheme="minorEastAsia" w:hAnsiTheme="minorEastAsia" w:eastAsiaTheme="minorEastAsia" w:cstheme="minorEastAsia"/>
          <w:color w:val="auto"/>
          <w:kern w:val="2"/>
          <w:sz w:val="24"/>
          <w:szCs w:val="24"/>
        </w:rPr>
        <w:t>（三）投标报价</w:t>
      </w:r>
      <w:bookmarkEnd w:id="140"/>
      <w:bookmarkEnd w:id="141"/>
      <w:bookmarkEnd w:id="142"/>
      <w:bookmarkEnd w:id="143"/>
      <w:bookmarkEnd w:id="144"/>
      <w:bookmarkEnd w:id="145"/>
      <w:bookmarkEnd w:id="146"/>
    </w:p>
    <w:p w14:paraId="18527B8B">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1.投标报价应按采购文件中相关附表格式填写。</w:t>
      </w:r>
    </w:p>
    <w:p w14:paraId="7136EB71">
      <w:pPr>
        <w:tabs>
          <w:tab w:val="left" w:pos="525"/>
        </w:tabs>
        <w:snapToGrid w:val="0"/>
        <w:spacing w:line="440" w:lineRule="exact"/>
        <w:ind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2</w:t>
      </w:r>
      <w:r>
        <w:rPr>
          <w:rFonts w:hint="eastAsia" w:asciiTheme="minorEastAsia" w:hAnsiTheme="minorEastAsia" w:eastAsiaTheme="minorEastAsia" w:cstheme="minorEastAsia"/>
          <w:color w:val="auto"/>
          <w:kern w:val="0"/>
          <w:sz w:val="24"/>
          <w:szCs w:val="24"/>
        </w:rPr>
        <w:t>.投标文件只允许有一个报价，有选择的或有条件的报价将不予接受。</w:t>
      </w:r>
    </w:p>
    <w:p w14:paraId="64D161F8">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47" w:name="_Toc97726019"/>
      <w:bookmarkStart w:id="148" w:name="_Toc81480932"/>
      <w:bookmarkStart w:id="149" w:name="_Toc460857916"/>
      <w:bookmarkStart w:id="150" w:name="_Toc7171"/>
      <w:bookmarkStart w:id="151" w:name="_Toc17707930"/>
      <w:r>
        <w:rPr>
          <w:rFonts w:hint="eastAsia" w:asciiTheme="minorEastAsia" w:hAnsiTheme="minorEastAsia" w:eastAsiaTheme="minorEastAsia" w:cstheme="minorEastAsia"/>
          <w:color w:val="auto"/>
          <w:kern w:val="2"/>
          <w:sz w:val="24"/>
          <w:szCs w:val="24"/>
        </w:rPr>
        <w:t>（四）投标文件的有效期</w:t>
      </w:r>
      <w:bookmarkEnd w:id="147"/>
      <w:bookmarkEnd w:id="148"/>
      <w:bookmarkEnd w:id="149"/>
      <w:bookmarkEnd w:id="150"/>
      <w:bookmarkEnd w:id="151"/>
    </w:p>
    <w:p w14:paraId="6CF6FCE2">
      <w:pPr>
        <w:pStyle w:val="9"/>
        <w:widowControl w:val="0"/>
        <w:tabs>
          <w:tab w:val="clear" w:pos="454"/>
        </w:tabs>
        <w:snapToGrid w:val="0"/>
        <w:spacing w:afterLines="0" w:line="440" w:lineRule="exact"/>
        <w:ind w:left="0" w:firstLine="482" w:firstLineChars="200"/>
        <w:jc w:val="both"/>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1.自投标截止日起</w:t>
      </w:r>
      <w:r>
        <w:rPr>
          <w:rFonts w:hint="eastAsia" w:asciiTheme="minorEastAsia" w:hAnsiTheme="minorEastAsia" w:eastAsiaTheme="minorEastAsia" w:cstheme="minorEastAsia"/>
          <w:b/>
          <w:color w:val="auto"/>
          <w:sz w:val="24"/>
          <w:szCs w:val="24"/>
          <w:u w:val="single"/>
        </w:rPr>
        <w:t>90</w:t>
      </w:r>
      <w:r>
        <w:rPr>
          <w:rFonts w:hint="eastAsia" w:asciiTheme="minorEastAsia" w:hAnsiTheme="minorEastAsia" w:eastAsiaTheme="minorEastAsia" w:cstheme="minorEastAsia"/>
          <w:b/>
          <w:color w:val="auto"/>
          <w:sz w:val="24"/>
          <w:szCs w:val="24"/>
        </w:rPr>
        <w:t>天投标文件应保持有效。有效期不足的投标文件将被拒绝。</w:t>
      </w:r>
    </w:p>
    <w:p w14:paraId="15492825">
      <w:pPr>
        <w:pStyle w:val="9"/>
        <w:widowControl w:val="0"/>
        <w:tabs>
          <w:tab w:val="clear" w:pos="454"/>
        </w:tabs>
        <w:snapToGrid w:val="0"/>
        <w:spacing w:afterLines="0" w:line="440" w:lineRule="exact"/>
        <w:ind w:left="0" w:firstLine="480" w:firstLineChars="200"/>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2.在特殊情况下，招标人可与投标人协商延长投标书的有效期，这种要求和答复均以书面形式进行。</w:t>
      </w:r>
    </w:p>
    <w:p w14:paraId="2D762DB0">
      <w:pPr>
        <w:pStyle w:val="9"/>
        <w:widowControl w:val="0"/>
        <w:tabs>
          <w:tab w:val="clear" w:pos="454"/>
        </w:tabs>
        <w:snapToGrid w:val="0"/>
        <w:spacing w:afterLines="0" w:line="440" w:lineRule="exact"/>
        <w:ind w:left="0" w:firstLine="480" w:firstLineChars="200"/>
        <w:jc w:val="both"/>
        <w:rPr>
          <w:rFonts w:hint="eastAsia" w:asciiTheme="minorEastAsia" w:hAnsiTheme="minorEastAsia" w:eastAsiaTheme="minorEastAsia" w:cstheme="minorEastAsia"/>
          <w:color w:val="auto"/>
          <w:sz w:val="24"/>
          <w:szCs w:val="24"/>
        </w:rPr>
      </w:pPr>
      <w:bookmarkStart w:id="152" w:name="_Toc460416657"/>
      <w:bookmarkStart w:id="153" w:name="_Toc460416352"/>
      <w:r>
        <w:rPr>
          <w:rFonts w:hint="eastAsia" w:asciiTheme="minorEastAsia" w:hAnsiTheme="minorEastAsia" w:eastAsiaTheme="minorEastAsia" w:cstheme="minorEastAsia"/>
          <w:color w:val="auto"/>
          <w:sz w:val="24"/>
          <w:szCs w:val="24"/>
        </w:rPr>
        <w:t>3.投标人可拒绝接受延期要求。同意延长有效期的投标人不能修改投标文件。</w:t>
      </w:r>
      <w:bookmarkEnd w:id="152"/>
      <w:bookmarkEnd w:id="153"/>
    </w:p>
    <w:p w14:paraId="040993C7">
      <w:pPr>
        <w:pStyle w:val="9"/>
        <w:widowControl w:val="0"/>
        <w:tabs>
          <w:tab w:val="clear" w:pos="454"/>
        </w:tabs>
        <w:snapToGrid w:val="0"/>
        <w:spacing w:afterLines="0" w:line="440" w:lineRule="exact"/>
        <w:ind w:left="0" w:firstLine="480" w:firstLineChars="200"/>
        <w:jc w:val="both"/>
        <w:rPr>
          <w:rFonts w:hint="eastAsia" w:asciiTheme="minorEastAsia" w:hAnsiTheme="minorEastAsia" w:eastAsiaTheme="minorEastAsia" w:cstheme="minorEastAsia"/>
          <w:color w:val="auto"/>
          <w:sz w:val="24"/>
          <w:szCs w:val="24"/>
        </w:rPr>
      </w:pPr>
      <w:bookmarkStart w:id="154" w:name="_Toc460416353"/>
      <w:bookmarkStart w:id="155" w:name="_Toc460416658"/>
      <w:r>
        <w:rPr>
          <w:rFonts w:hint="eastAsia" w:asciiTheme="minorEastAsia" w:hAnsiTheme="minorEastAsia" w:eastAsiaTheme="minorEastAsia" w:cstheme="minorEastAsia"/>
          <w:color w:val="auto"/>
          <w:sz w:val="24"/>
          <w:szCs w:val="24"/>
        </w:rPr>
        <w:t>4.中标人的投标文件自开标之日起至合同履行完毕止均应保持有效。</w:t>
      </w:r>
      <w:bookmarkEnd w:id="154"/>
      <w:bookmarkEnd w:id="155"/>
    </w:p>
    <w:p w14:paraId="3C51A472">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56" w:name="_Toc460857918"/>
      <w:bookmarkStart w:id="157" w:name="_Toc17707932"/>
      <w:bookmarkStart w:id="158" w:name="_Toc460416660"/>
      <w:bookmarkStart w:id="159" w:name="_Toc460416355"/>
      <w:bookmarkStart w:id="160" w:name="_Toc81480933"/>
      <w:bookmarkStart w:id="161" w:name="_Toc97726020"/>
      <w:bookmarkStart w:id="162" w:name="_Toc1964"/>
      <w:bookmarkStart w:id="163" w:name="_Toc39877686"/>
      <w:bookmarkStart w:id="164" w:name="_Toc17707933"/>
      <w:bookmarkStart w:id="165" w:name="_Toc460857919"/>
      <w:r>
        <w:rPr>
          <w:rFonts w:hint="eastAsia" w:asciiTheme="minorEastAsia" w:hAnsiTheme="minorEastAsia" w:eastAsiaTheme="minorEastAsia" w:cstheme="minorEastAsia"/>
          <w:color w:val="auto"/>
          <w:kern w:val="2"/>
          <w:sz w:val="24"/>
          <w:szCs w:val="24"/>
        </w:rPr>
        <w:t>（五）投标文件的盖章、签署、份数</w:t>
      </w:r>
      <w:bookmarkEnd w:id="156"/>
      <w:bookmarkEnd w:id="157"/>
      <w:bookmarkEnd w:id="158"/>
      <w:bookmarkEnd w:id="159"/>
      <w:r>
        <w:rPr>
          <w:rFonts w:hint="eastAsia" w:asciiTheme="minorEastAsia" w:hAnsiTheme="minorEastAsia" w:eastAsiaTheme="minorEastAsia" w:cstheme="minorEastAsia"/>
          <w:color w:val="auto"/>
          <w:kern w:val="2"/>
          <w:sz w:val="24"/>
          <w:szCs w:val="24"/>
        </w:rPr>
        <w:t>、要求及效力</w:t>
      </w:r>
      <w:bookmarkEnd w:id="160"/>
      <w:bookmarkEnd w:id="161"/>
      <w:bookmarkEnd w:id="162"/>
      <w:bookmarkEnd w:id="163"/>
    </w:p>
    <w:p w14:paraId="4AEACB96">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1、投标人应按本采购文件规定的格式和顺序编制、装订投标文件，投标文件要求有目录并标注页码，投标文件内容不完整、编排混乱导致投标文件被误读、漏读或者查找不到相关内容的，是投标人的责任。</w:t>
      </w:r>
    </w:p>
    <w:p w14:paraId="67EBA7F9">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2、投标文件的盖章、签署：</w:t>
      </w:r>
    </w:p>
    <w:p w14:paraId="61B357D7">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电子投标文件及电子备份投标文件中涉及到加盖公章或签字的，加盖投标人公章部分均采用CA签章，签字部分采用电子签章或按要求签字后扫描上传均认可。</w:t>
      </w:r>
    </w:p>
    <w:p w14:paraId="2887263C">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3、投标文件的份数：</w:t>
      </w:r>
    </w:p>
    <w:p w14:paraId="4656EA25">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本项目投标人应准备以下投标文件：</w:t>
      </w:r>
    </w:p>
    <w:p w14:paraId="06EE7821">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（1）上传到政府采购云平台的电子投标文件（含资格证明文件、商务技术文件、报价文件）1份。</w:t>
      </w:r>
    </w:p>
    <w:p w14:paraId="6D4BDAEA">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（2）以U盘存储的电子备份投标文件（由政采云系统导出）1份。</w:t>
      </w:r>
    </w:p>
    <w:p w14:paraId="4DA60C76">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4、电子投标文件：</w:t>
      </w:r>
    </w:p>
    <w:p w14:paraId="1E4227BB">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4.1投标人应根据</w:t>
      </w:r>
      <w:r>
        <w:rPr>
          <w:rFonts w:hint="eastAsia" w:asciiTheme="minorEastAsia" w:hAnsiTheme="minorEastAsia" w:eastAsiaTheme="minorEastAsia" w:cstheme="minorEastAsia"/>
          <w:bCs/>
          <w:color w:val="auto"/>
          <w:sz w:val="24"/>
          <w:szCs w:val="24"/>
        </w:rPr>
        <w:t>“政采云投标人项目采购-电子招投标操作指南”</w:t>
      </w:r>
      <w:r>
        <w:rPr>
          <w:rFonts w:hint="eastAsia" w:asciiTheme="minorEastAsia" w:hAnsiTheme="minorEastAsia" w:eastAsiaTheme="minorEastAsia" w:cstheme="minorEastAsia"/>
          <w:color w:val="auto"/>
          <w:kern w:val="0"/>
          <w:sz w:val="24"/>
          <w:szCs w:val="24"/>
        </w:rPr>
        <w:t>及本采购文件规定的格式和顺序编制电子投标文件并进行关联定位。</w:t>
      </w:r>
    </w:p>
    <w:p w14:paraId="13557E6E">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5、投标文件的效力：</w:t>
      </w:r>
    </w:p>
    <w:p w14:paraId="427F1121">
      <w:pPr>
        <w:spacing w:line="440" w:lineRule="exact"/>
        <w:ind w:firstLine="600" w:firstLineChars="25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投标文件的启用，按先后顺位分别为“电子加密投标文件”→“电子备份投标文件”。在下一顺位的投标文件启用时，前一顺位的投标文件自动失效。</w:t>
      </w:r>
    </w:p>
    <w:p w14:paraId="5C5BE65A">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66" w:name="_Toc81480934"/>
      <w:bookmarkStart w:id="167" w:name="_Toc97726021"/>
      <w:bookmarkStart w:id="168" w:name="_Toc12213"/>
      <w:r>
        <w:rPr>
          <w:rFonts w:hint="eastAsia" w:asciiTheme="minorEastAsia" w:hAnsiTheme="minorEastAsia" w:eastAsiaTheme="minorEastAsia" w:cstheme="minorEastAsia"/>
          <w:color w:val="auto"/>
          <w:kern w:val="2"/>
          <w:sz w:val="24"/>
          <w:szCs w:val="24"/>
        </w:rPr>
        <w:t>（六）投标文件的包装、递交、修改和撤回</w:t>
      </w:r>
      <w:bookmarkEnd w:id="164"/>
      <w:bookmarkEnd w:id="165"/>
      <w:bookmarkEnd w:id="166"/>
      <w:bookmarkEnd w:id="167"/>
      <w:bookmarkEnd w:id="168"/>
    </w:p>
    <w:p w14:paraId="45756385">
      <w:pPr>
        <w:snapToGrid w:val="0"/>
        <w:spacing w:line="440" w:lineRule="exact"/>
        <w:ind w:firstLine="42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1、以U盘存储的电子备份投标文件用封袋密封后递交。</w:t>
      </w:r>
    </w:p>
    <w:p w14:paraId="24C6BE3E">
      <w:pPr>
        <w:snapToGrid w:val="0"/>
        <w:spacing w:line="440" w:lineRule="exact"/>
        <w:ind w:firstLine="42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2、电子备份投标文件的包装封面上应注明投标人名称、投标人地址、投标文件名称（电子备份投标文件）、投标项目名称、项目编号、子包号，并加盖投标人公章。</w:t>
      </w:r>
    </w:p>
    <w:p w14:paraId="1B200751">
      <w:pPr>
        <w:snapToGrid w:val="0"/>
        <w:spacing w:line="440" w:lineRule="exact"/>
        <w:ind w:firstLine="42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3、未按规定密封或标记的投标文件将被拒绝，由此造成投标文件被误投或提前拆封的风险由投标人承担。</w:t>
      </w:r>
    </w:p>
    <w:p w14:paraId="29752C62">
      <w:pPr>
        <w:snapToGrid w:val="0"/>
        <w:spacing w:line="440" w:lineRule="exact"/>
        <w:ind w:firstLine="42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投标人在投标截止时间之前，可以对已提交的电子备份投标文件进行修改或撤回，并书面通知招标采购单位；投标截止时间后，投标人不得撤回、修改投标文件。修改后重新递交的电子备份投标文件应当按本采购文件的要求签署、盖章和密封。</w:t>
      </w:r>
    </w:p>
    <w:p w14:paraId="0032D43A">
      <w:pPr>
        <w:snapToGrid w:val="0"/>
        <w:spacing w:line="440" w:lineRule="exact"/>
        <w:ind w:firstLine="42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5、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传输递交的投标、响应文件，将被拒收。</w:t>
      </w:r>
    </w:p>
    <w:p w14:paraId="279F34EA">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69" w:name="_Toc460857920"/>
      <w:bookmarkStart w:id="170" w:name="_Toc81480935"/>
      <w:bookmarkStart w:id="171" w:name="_Toc97726022"/>
      <w:bookmarkStart w:id="172" w:name="_Toc17707934"/>
      <w:bookmarkStart w:id="173" w:name="_Toc13696"/>
      <w:bookmarkStart w:id="174" w:name="_Toc460416356"/>
      <w:bookmarkStart w:id="175" w:name="_Toc460416661"/>
      <w:r>
        <w:rPr>
          <w:rFonts w:hint="eastAsia" w:asciiTheme="minorEastAsia" w:hAnsiTheme="minorEastAsia" w:eastAsiaTheme="minorEastAsia" w:cstheme="minorEastAsia"/>
          <w:color w:val="auto"/>
          <w:kern w:val="2"/>
          <w:sz w:val="24"/>
          <w:szCs w:val="24"/>
        </w:rPr>
        <w:t>（七）投标无效的情形</w:t>
      </w:r>
      <w:bookmarkEnd w:id="169"/>
      <w:bookmarkEnd w:id="170"/>
      <w:bookmarkEnd w:id="171"/>
      <w:bookmarkEnd w:id="172"/>
      <w:bookmarkEnd w:id="173"/>
      <w:bookmarkEnd w:id="174"/>
      <w:bookmarkEnd w:id="175"/>
    </w:p>
    <w:p w14:paraId="1612B602">
      <w:pPr>
        <w:snapToGrid w:val="0"/>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实质上没有响应采购文件要求的投标将被视为无效投标。投标人不得通过修正或撤消不合要求的偏离或保留从而使其投标成为实质上响应的投标。投标无效情形详见第四章《评标办法及评分标准》。</w:t>
      </w:r>
    </w:p>
    <w:p w14:paraId="53647EBA">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176" w:name="_Toc97726023"/>
      <w:bookmarkStart w:id="177" w:name="_Toc460416662"/>
      <w:bookmarkStart w:id="178" w:name="_Toc17707935"/>
      <w:bookmarkStart w:id="179" w:name="_Toc460416357"/>
      <w:bookmarkStart w:id="180" w:name="_Toc460857921"/>
      <w:bookmarkStart w:id="181" w:name="_Toc81480936"/>
      <w:bookmarkStart w:id="182" w:name="_Toc11674"/>
      <w:r>
        <w:rPr>
          <w:rFonts w:hint="eastAsia" w:asciiTheme="minorEastAsia" w:hAnsiTheme="minorEastAsia" w:eastAsiaTheme="minorEastAsia" w:cstheme="minorEastAsia"/>
          <w:color w:val="auto"/>
          <w:sz w:val="24"/>
          <w:szCs w:val="24"/>
        </w:rPr>
        <w:t>四、开标</w:t>
      </w:r>
      <w:bookmarkEnd w:id="176"/>
      <w:bookmarkEnd w:id="177"/>
      <w:bookmarkEnd w:id="178"/>
      <w:bookmarkEnd w:id="179"/>
      <w:bookmarkEnd w:id="180"/>
      <w:bookmarkEnd w:id="181"/>
      <w:bookmarkEnd w:id="182"/>
    </w:p>
    <w:p w14:paraId="5D9057CB">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83" w:name="_Toc17707936"/>
      <w:bookmarkStart w:id="184" w:name="_Toc81480937"/>
      <w:bookmarkStart w:id="185" w:name="_Toc24396"/>
      <w:bookmarkStart w:id="186" w:name="_Toc460857922"/>
      <w:bookmarkStart w:id="187" w:name="_Toc39877690"/>
      <w:bookmarkStart w:id="188" w:name="_Toc97726024"/>
      <w:bookmarkStart w:id="189" w:name="_Toc460416663"/>
      <w:bookmarkStart w:id="190" w:name="_Toc17707938"/>
      <w:bookmarkStart w:id="191" w:name="_Toc460416358"/>
      <w:bookmarkStart w:id="192" w:name="_Toc460857924"/>
      <w:r>
        <w:rPr>
          <w:rFonts w:hint="eastAsia" w:asciiTheme="minorEastAsia" w:hAnsiTheme="minorEastAsia" w:eastAsiaTheme="minorEastAsia" w:cstheme="minorEastAsia"/>
          <w:color w:val="auto"/>
          <w:kern w:val="2"/>
          <w:sz w:val="24"/>
          <w:szCs w:val="24"/>
        </w:rPr>
        <w:t>（一）开标准备</w:t>
      </w:r>
      <w:bookmarkEnd w:id="183"/>
      <w:bookmarkEnd w:id="184"/>
      <w:bookmarkEnd w:id="185"/>
      <w:bookmarkEnd w:id="186"/>
      <w:bookmarkEnd w:id="187"/>
      <w:bookmarkEnd w:id="188"/>
    </w:p>
    <w:p w14:paraId="543CC8BA">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采购代理机构将在规定的时间和地点进行开标，投标人的法定代表人或其授权代表可参加开标会。投标人的法定代表人或其授权代表未参加开标会的，视同放弃开标监督权利、认可开标结果。</w:t>
      </w:r>
    </w:p>
    <w:p w14:paraId="4D97E70B">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193" w:name="_Toc460857923"/>
      <w:bookmarkStart w:id="194" w:name="_Toc17707937"/>
      <w:bookmarkStart w:id="195" w:name="_Toc6375"/>
      <w:bookmarkStart w:id="196" w:name="_Toc81480938"/>
      <w:bookmarkStart w:id="197" w:name="_Toc39877691"/>
      <w:bookmarkStart w:id="198" w:name="_Toc97726025"/>
      <w:r>
        <w:rPr>
          <w:rFonts w:hint="eastAsia" w:asciiTheme="minorEastAsia" w:hAnsiTheme="minorEastAsia" w:eastAsiaTheme="minorEastAsia" w:cstheme="minorEastAsia"/>
          <w:color w:val="auto"/>
          <w:kern w:val="2"/>
          <w:sz w:val="24"/>
          <w:szCs w:val="24"/>
        </w:rPr>
        <w:t>（二）开标程序</w:t>
      </w:r>
      <w:bookmarkEnd w:id="193"/>
      <w:bookmarkEnd w:id="194"/>
      <w:bookmarkEnd w:id="195"/>
      <w:bookmarkEnd w:id="196"/>
      <w:bookmarkEnd w:id="197"/>
      <w:bookmarkEnd w:id="198"/>
    </w:p>
    <w:p w14:paraId="46C503C6">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1、电子招投标开标程序：</w:t>
      </w:r>
    </w:p>
    <w:p w14:paraId="6DA8EE9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第一阶段：</w:t>
      </w:r>
    </w:p>
    <w:p w14:paraId="7C01A181">
      <w:pPr>
        <w:numPr>
          <w:ilvl w:val="0"/>
          <w:numId w:val="9"/>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投标截止时间后，投标人登录政府采购云平台，用“项目采购-开标评标”功能对电子投标文件进行在线解密，在线解密电子投标文件时间为开标时间后30分钟内。</w:t>
      </w:r>
    </w:p>
    <w:p w14:paraId="455B3455">
      <w:pPr>
        <w:numPr>
          <w:ilvl w:val="0"/>
          <w:numId w:val="9"/>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在政府采购云平台开启已解密投标人的“资格文件、商务技术文件”，并做开标记录；</w:t>
      </w:r>
    </w:p>
    <w:p w14:paraId="3DEBA1C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第二阶段：</w:t>
      </w:r>
    </w:p>
    <w:p w14:paraId="3E01B579">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（1）在政府采购云平台宣告第一阶段评审无效投标人名单及理由；</w:t>
      </w:r>
    </w:p>
    <w:p w14:paraId="475E7542">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（2）公布经第一阶段评审符合采购文件要求的投标人的商务技术得分情况；</w:t>
      </w:r>
    </w:p>
    <w:p w14:paraId="6849CE8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（3）在政府采购云平台开启除第一阶段无效标外的投标人的“报价文件”，并做开标记录；</w:t>
      </w:r>
    </w:p>
    <w:p w14:paraId="7C9E991D">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（4）在政府采购云平台公布评审结果。</w:t>
      </w:r>
    </w:p>
    <w:p w14:paraId="291BF354">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（5）开标会议结束。</w:t>
      </w:r>
    </w:p>
    <w:p w14:paraId="614B2EDC">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2、特别说明：政府采购云平台如对电子化开标及评审程序有调整的，按调整后的程序操作。</w:t>
      </w:r>
    </w:p>
    <w:p w14:paraId="4730C03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本项目原则上采用政采云电子招投标开标程序，但有以下情形之一的，按以下情况处理：</w:t>
      </w:r>
    </w:p>
    <w:p w14:paraId="27EFF574">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（1）若有投标人在规定时间内无法解密或解密失败，代理机构将开启该投标人递交的以U盘存储的电子备份投标文件，上传至政采云平台项目采购模块，以完成开标，电子投标文件自动失效。</w:t>
      </w:r>
    </w:p>
    <w:p w14:paraId="70AF060F">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（2）若因政府采购云平台原因无法读取或电子开评标无法正常进行，项目重新招标，电子投标文件及以U盘存储的电子备份投标文件自动失效。</w:t>
      </w:r>
    </w:p>
    <w:p w14:paraId="438FF8A7">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（3）采购过程中出现以下情形，导致电子交易平台无法正常运行，或者无法保证电子交易的公平、公正和安全时，招标人（或代理机构）可中止电子交易活动：</w:t>
      </w:r>
    </w:p>
    <w:p w14:paraId="6622E3B1">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3.1电子交易平台发生故障而无法登录访问的；</w:t>
      </w:r>
    </w:p>
    <w:p w14:paraId="7F73DE6D">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3.2电子交易平台应用或数据库出现错误，不能进行正常操作的；</w:t>
      </w:r>
    </w:p>
    <w:p w14:paraId="75274FAF">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3.3电子交易平台发现严重安全漏洞，有潜在泄密危险的；</w:t>
      </w:r>
    </w:p>
    <w:p w14:paraId="6069326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3.4病毒发作导致不能进行正常操作的；</w:t>
      </w:r>
    </w:p>
    <w:p w14:paraId="6EC6A8D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3.5其他无法保证电子交易的公平、公正和安全的情况。</w:t>
      </w:r>
    </w:p>
    <w:p w14:paraId="6ECF344E">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出现前款规定情形，不影响采购公平、公正性的，招标人（或代理机构）可以待上述情形消除后继续组织电子交易活动。</w:t>
      </w:r>
    </w:p>
    <w:p w14:paraId="02C2D0BE">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（4）未开启的备份投标文件现场予以退还。</w:t>
      </w:r>
    </w:p>
    <w:p w14:paraId="3DE0566E">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199" w:name="_Toc81480939"/>
      <w:bookmarkStart w:id="200" w:name="_Toc27120"/>
      <w:bookmarkStart w:id="201" w:name="_Toc97726026"/>
      <w:r>
        <w:rPr>
          <w:rFonts w:hint="eastAsia" w:asciiTheme="minorEastAsia" w:hAnsiTheme="minorEastAsia" w:eastAsiaTheme="minorEastAsia" w:cstheme="minorEastAsia"/>
          <w:color w:val="auto"/>
          <w:sz w:val="24"/>
          <w:szCs w:val="24"/>
        </w:rPr>
        <w:t>五、评标</w:t>
      </w:r>
      <w:bookmarkEnd w:id="189"/>
      <w:bookmarkEnd w:id="190"/>
      <w:bookmarkEnd w:id="191"/>
      <w:bookmarkEnd w:id="192"/>
      <w:bookmarkEnd w:id="199"/>
      <w:bookmarkEnd w:id="200"/>
      <w:bookmarkEnd w:id="201"/>
    </w:p>
    <w:p w14:paraId="7B647F11">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02" w:name="_Toc97726027"/>
      <w:bookmarkStart w:id="203" w:name="_Toc32629"/>
      <w:bookmarkStart w:id="204" w:name="_Toc17707939"/>
      <w:bookmarkStart w:id="205" w:name="_Toc81480940"/>
      <w:bookmarkStart w:id="206" w:name="_Toc39877693"/>
      <w:bookmarkStart w:id="207" w:name="_Toc460857925"/>
      <w:bookmarkStart w:id="208" w:name="_Toc460857930"/>
      <w:bookmarkStart w:id="209" w:name="_Toc17707943"/>
      <w:r>
        <w:rPr>
          <w:rFonts w:hint="eastAsia" w:asciiTheme="minorEastAsia" w:hAnsiTheme="minorEastAsia" w:eastAsiaTheme="minorEastAsia" w:cstheme="minorEastAsia"/>
          <w:color w:val="auto"/>
          <w:kern w:val="2"/>
          <w:sz w:val="24"/>
          <w:szCs w:val="24"/>
        </w:rPr>
        <w:t>（一）组建评标委员会</w:t>
      </w:r>
      <w:bookmarkEnd w:id="202"/>
      <w:bookmarkEnd w:id="203"/>
      <w:bookmarkEnd w:id="204"/>
      <w:bookmarkEnd w:id="205"/>
      <w:bookmarkEnd w:id="206"/>
      <w:bookmarkEnd w:id="207"/>
    </w:p>
    <w:p w14:paraId="72C2B0EF">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本项目评标委员会由</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代表和评审专家组成，评审专家从专家库随机抽取。</w:t>
      </w:r>
    </w:p>
    <w:p w14:paraId="309D620E">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10" w:name="_Toc81480941"/>
      <w:bookmarkStart w:id="211" w:name="_Toc24184"/>
      <w:bookmarkStart w:id="212" w:name="_Toc97726028"/>
      <w:bookmarkStart w:id="213" w:name="_Toc39877694"/>
      <w:bookmarkStart w:id="214" w:name="_Toc17707941"/>
      <w:bookmarkStart w:id="215" w:name="_Toc460857927"/>
      <w:r>
        <w:rPr>
          <w:rFonts w:hint="eastAsia" w:asciiTheme="minorEastAsia" w:hAnsiTheme="minorEastAsia" w:eastAsiaTheme="minorEastAsia" w:cstheme="minorEastAsia"/>
          <w:color w:val="auto"/>
          <w:kern w:val="2"/>
          <w:sz w:val="24"/>
          <w:szCs w:val="24"/>
        </w:rPr>
        <w:t>（二）评标方法</w:t>
      </w:r>
      <w:bookmarkEnd w:id="210"/>
      <w:bookmarkEnd w:id="211"/>
      <w:bookmarkEnd w:id="212"/>
      <w:bookmarkEnd w:id="213"/>
    </w:p>
    <w:p w14:paraId="42DF44B4">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评标方法见第四章。</w:t>
      </w:r>
    </w:p>
    <w:p w14:paraId="65C991AB">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16" w:name="_Toc81480942"/>
      <w:bookmarkStart w:id="217" w:name="_Toc39877695"/>
      <w:bookmarkStart w:id="218" w:name="_Toc30314"/>
      <w:bookmarkStart w:id="219" w:name="_Toc97726029"/>
      <w:r>
        <w:rPr>
          <w:rFonts w:hint="eastAsia" w:asciiTheme="minorEastAsia" w:hAnsiTheme="minorEastAsia" w:eastAsiaTheme="minorEastAsia" w:cstheme="minorEastAsia"/>
          <w:color w:val="auto"/>
          <w:kern w:val="2"/>
          <w:sz w:val="24"/>
          <w:szCs w:val="24"/>
        </w:rPr>
        <w:t>（三）评标程序</w:t>
      </w:r>
      <w:bookmarkEnd w:id="214"/>
      <w:bookmarkEnd w:id="215"/>
      <w:bookmarkEnd w:id="216"/>
      <w:bookmarkEnd w:id="217"/>
      <w:bookmarkEnd w:id="218"/>
      <w:bookmarkEnd w:id="219"/>
    </w:p>
    <w:p w14:paraId="56F8CF84">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评标程序见第四章。</w:t>
      </w:r>
    </w:p>
    <w:p w14:paraId="2A6E6AA1">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20" w:name="_Toc5264"/>
      <w:bookmarkStart w:id="221" w:name="_Toc97726030"/>
      <w:bookmarkStart w:id="222" w:name="_Toc39877696"/>
      <w:bookmarkStart w:id="223" w:name="_Toc81480943"/>
      <w:r>
        <w:rPr>
          <w:rFonts w:hint="eastAsia" w:asciiTheme="minorEastAsia" w:hAnsiTheme="minorEastAsia" w:eastAsiaTheme="minorEastAsia" w:cstheme="minorEastAsia"/>
          <w:color w:val="auto"/>
          <w:kern w:val="2"/>
          <w:sz w:val="24"/>
          <w:szCs w:val="24"/>
        </w:rPr>
        <w:t>（四）评标过程保密</w:t>
      </w:r>
      <w:bookmarkEnd w:id="220"/>
      <w:bookmarkEnd w:id="221"/>
      <w:bookmarkEnd w:id="222"/>
      <w:bookmarkEnd w:id="223"/>
    </w:p>
    <w:p w14:paraId="28CE5731">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中标结果公示发布之前，评标委员会名单应该保密。评标委员会成员、</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和采购代理机构的有关参与人员应该对评标过程保密，不得向投标人或其他无关的人员透露。</w:t>
      </w:r>
    </w:p>
    <w:bookmarkEnd w:id="208"/>
    <w:bookmarkEnd w:id="209"/>
    <w:p w14:paraId="000C256F">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224" w:name="_Toc14685"/>
      <w:bookmarkStart w:id="225" w:name="_Toc97726031"/>
      <w:bookmarkStart w:id="226" w:name="_Toc17707945"/>
      <w:bookmarkStart w:id="227" w:name="_Toc81480944"/>
      <w:bookmarkStart w:id="228" w:name="_Toc460857932"/>
      <w:r>
        <w:rPr>
          <w:rFonts w:hint="eastAsia" w:asciiTheme="minorEastAsia" w:hAnsiTheme="minorEastAsia" w:eastAsiaTheme="minorEastAsia" w:cstheme="minorEastAsia"/>
          <w:color w:val="auto"/>
          <w:sz w:val="24"/>
          <w:szCs w:val="24"/>
        </w:rPr>
        <w:t>六、定标</w:t>
      </w:r>
      <w:bookmarkEnd w:id="224"/>
      <w:bookmarkEnd w:id="225"/>
      <w:bookmarkEnd w:id="226"/>
      <w:bookmarkEnd w:id="227"/>
      <w:bookmarkEnd w:id="228"/>
    </w:p>
    <w:p w14:paraId="202A4D0B">
      <w:pPr>
        <w:pStyle w:val="19"/>
        <w:widowControl/>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1.本项目由评标委员会推荐中标候选人，</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不得在评标委员会推荐的中标候选人以外确定中标候选人。</w:t>
      </w:r>
    </w:p>
    <w:p w14:paraId="5DBD08CF">
      <w:pPr>
        <w:pStyle w:val="19"/>
        <w:widowControl/>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2.采购代理机构在评标结束后2个工作日内将评标报告交</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确认，</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在收到评标报告之日起5个工作日内在评标报告确定的中标候选人中按顺序确定中标人，</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在收到评标报告之日起5个工作日内未按评标报告推荐的中标候选人排序确定中标人，又不能说明合法理由的，视同按评标报告推荐的顺序确定排名第一的中标候选人为中标人。</w:t>
      </w:r>
    </w:p>
    <w:p w14:paraId="5CCF7EF6">
      <w:pPr>
        <w:pStyle w:val="19"/>
        <w:widowControl/>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3.采购代理机构自中标人确定之日起2个工作日内，在发布招标公告的网站上对中标结果进行公示，中标结果公告期限为1个工作日。</w:t>
      </w:r>
    </w:p>
    <w:p w14:paraId="4245FCD9">
      <w:pPr>
        <w:pStyle w:val="19"/>
        <w:widowControl/>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4.凡发现中标人有下列行为之一的，将移交政府采购监督管理部门依法处理：</w:t>
      </w:r>
    </w:p>
    <w:p w14:paraId="4875A5FF">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提供虚假材料谋取中标的；</w:t>
      </w:r>
    </w:p>
    <w:p w14:paraId="66460D5E">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采取不正当手段诋毁、排挤其他投标人的；</w:t>
      </w:r>
    </w:p>
    <w:p w14:paraId="57FC48F7">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与招标人、其他投标人或者采购代理机构工作人员恶意串通的；</w:t>
      </w:r>
    </w:p>
    <w:p w14:paraId="14C3BDC1">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向招标人或采购代理机构人员行贿或者提供其他不正当利益的；</w:t>
      </w:r>
    </w:p>
    <w:p w14:paraId="26ABFC8B">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拒绝有关部门监督检查或者提供虚假情况的；</w:t>
      </w:r>
    </w:p>
    <w:p w14:paraId="02FD9A59">
      <w:pPr>
        <w:numPr>
          <w:ilvl w:val="0"/>
          <w:numId w:val="10"/>
        </w:num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有法律、法规规定的其他损害招标人利益和社会公共利益情形的。</w:t>
      </w:r>
    </w:p>
    <w:p w14:paraId="225C0A32">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229" w:name="_Toc31143"/>
      <w:bookmarkStart w:id="230" w:name="_Toc97726033"/>
      <w:bookmarkStart w:id="231" w:name="_Toc81480946"/>
      <w:bookmarkStart w:id="232" w:name="_Toc17707947"/>
      <w:r>
        <w:rPr>
          <w:rFonts w:hint="eastAsia" w:asciiTheme="minorEastAsia" w:hAnsiTheme="minorEastAsia" w:eastAsiaTheme="minorEastAsia" w:cstheme="minorEastAsia"/>
          <w:color w:val="auto"/>
          <w:sz w:val="24"/>
          <w:szCs w:val="24"/>
        </w:rPr>
        <w:t>七、评标过程的监控</w:t>
      </w:r>
      <w:bookmarkEnd w:id="229"/>
      <w:bookmarkEnd w:id="230"/>
      <w:bookmarkEnd w:id="231"/>
      <w:bookmarkEnd w:id="232"/>
    </w:p>
    <w:p w14:paraId="085FDA83">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本项目评标过程实行全程录音、录像监控，投标人在评标过程中所进行的试图影响评标结果的不公正活动，可能导致其投标被拒绝。</w:t>
      </w:r>
    </w:p>
    <w:p w14:paraId="324FCC21">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233" w:name="_Toc460416359"/>
      <w:bookmarkStart w:id="234" w:name="_Toc17707948"/>
      <w:bookmarkStart w:id="235" w:name="_Toc97726034"/>
      <w:bookmarkStart w:id="236" w:name="_Toc81480947"/>
      <w:bookmarkStart w:id="237" w:name="_Toc26475"/>
      <w:bookmarkStart w:id="238" w:name="_Toc460416664"/>
      <w:bookmarkStart w:id="239" w:name="_Toc460857934"/>
      <w:r>
        <w:rPr>
          <w:rFonts w:hint="eastAsia" w:asciiTheme="minorEastAsia" w:hAnsiTheme="minorEastAsia" w:eastAsiaTheme="minorEastAsia" w:cstheme="minorEastAsia"/>
          <w:color w:val="auto"/>
          <w:sz w:val="24"/>
          <w:szCs w:val="24"/>
        </w:rPr>
        <w:t>八、合同授予</w:t>
      </w:r>
      <w:bookmarkEnd w:id="233"/>
      <w:bookmarkEnd w:id="234"/>
      <w:bookmarkEnd w:id="235"/>
      <w:bookmarkEnd w:id="236"/>
      <w:bookmarkEnd w:id="237"/>
      <w:bookmarkEnd w:id="238"/>
      <w:bookmarkEnd w:id="239"/>
    </w:p>
    <w:p w14:paraId="2E0F388A">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40" w:name="_Toc17707949"/>
      <w:bookmarkStart w:id="241" w:name="_Toc8742"/>
      <w:bookmarkStart w:id="242" w:name="_Toc39877701"/>
      <w:bookmarkStart w:id="243" w:name="_Toc460857935"/>
      <w:bookmarkStart w:id="244" w:name="_Toc81480948"/>
      <w:bookmarkStart w:id="245" w:name="_Toc97726035"/>
      <w:bookmarkStart w:id="246" w:name="_Toc460857937"/>
      <w:bookmarkStart w:id="247" w:name="_Toc17707951"/>
      <w:r>
        <w:rPr>
          <w:rFonts w:hint="eastAsia" w:asciiTheme="minorEastAsia" w:hAnsiTheme="minorEastAsia" w:eastAsiaTheme="minorEastAsia" w:cstheme="minorEastAsia"/>
          <w:color w:val="auto"/>
          <w:kern w:val="2"/>
          <w:sz w:val="24"/>
          <w:szCs w:val="24"/>
        </w:rPr>
        <w:t>（一）签订合同</w:t>
      </w:r>
      <w:bookmarkEnd w:id="240"/>
      <w:bookmarkEnd w:id="241"/>
      <w:bookmarkEnd w:id="242"/>
      <w:bookmarkEnd w:id="243"/>
      <w:bookmarkEnd w:id="244"/>
      <w:bookmarkEnd w:id="245"/>
    </w:p>
    <w:p w14:paraId="488B0935">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1.招标人应当自中标通知书发出之日起30日内，按照采购文件和中标人投标文件的规定，与中标人签订书面合同。所签订的合同不得对采购文件确定的事项和中标人投标文件作实质性修改。</w:t>
      </w:r>
    </w:p>
    <w:p w14:paraId="02F90B5C">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招标人不得向中标人提出任何不合理的要求作为签订合同的条件。</w:t>
      </w:r>
    </w:p>
    <w:p w14:paraId="2E0619E8">
      <w:pPr>
        <w:pStyle w:val="19"/>
        <w:snapToGrid w:val="0"/>
        <w:spacing w:beforeLines="0" w:afterLines="0" w:line="440" w:lineRule="exact"/>
        <w:ind w:firstLine="470" w:firstLineChars="196"/>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2.</w:t>
      </w:r>
      <w:r>
        <w:rPr>
          <w:rFonts w:hint="eastAsia" w:asciiTheme="minorEastAsia" w:hAnsiTheme="minorEastAsia" w:eastAsiaTheme="minorEastAsia" w:cstheme="minorEastAsia"/>
          <w:color w:val="auto"/>
          <w:kern w:val="2"/>
          <w:sz w:val="24"/>
          <w:szCs w:val="24"/>
          <w:lang w:eastAsia="zh-CN"/>
        </w:rPr>
        <w:t>招标人</w:t>
      </w:r>
      <w:r>
        <w:rPr>
          <w:rFonts w:hint="eastAsia" w:asciiTheme="minorEastAsia" w:hAnsiTheme="minorEastAsia" w:eastAsiaTheme="minorEastAsia" w:cstheme="minorEastAsia"/>
          <w:color w:val="auto"/>
          <w:kern w:val="2"/>
          <w:sz w:val="24"/>
          <w:szCs w:val="24"/>
        </w:rPr>
        <w:t>在签订合同时，在合同金额变更范围内，如需审批的办理相关审批手续。有权变更采购项目的数量和服务内容，但不能对单价或其他条款和条件作任何改变。</w:t>
      </w:r>
    </w:p>
    <w:p w14:paraId="1D361C2F">
      <w:pPr>
        <w:pStyle w:val="19"/>
        <w:snapToGrid w:val="0"/>
        <w:spacing w:beforeLines="0" w:afterLines="0" w:line="440" w:lineRule="exact"/>
        <w:ind w:firstLine="470" w:firstLineChars="196"/>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3.采购文件、中标投标人的投标文件及评标过程中有关的澄清文件均应作为合同签订的附件。</w:t>
      </w:r>
    </w:p>
    <w:p w14:paraId="45433199">
      <w:pPr>
        <w:pStyle w:val="19"/>
        <w:snapToGrid w:val="0"/>
        <w:spacing w:beforeLines="0" w:afterLines="0" w:line="440" w:lineRule="exact"/>
        <w:ind w:firstLine="470" w:firstLineChars="196"/>
        <w:rPr>
          <w:rFonts w:hint="eastAsia" w:asciiTheme="minorEastAsia" w:hAnsiTheme="minorEastAsia" w:eastAsiaTheme="minorEastAsia" w:cstheme="minorEastAsia"/>
          <w:color w:val="auto"/>
          <w:kern w:val="2"/>
          <w:sz w:val="24"/>
          <w:szCs w:val="24"/>
        </w:rPr>
      </w:pPr>
      <w:r>
        <w:rPr>
          <w:rFonts w:hint="eastAsia" w:asciiTheme="minorEastAsia" w:hAnsiTheme="minorEastAsia" w:eastAsiaTheme="minorEastAsia" w:cstheme="minorEastAsia"/>
          <w:color w:val="auto"/>
          <w:kern w:val="2"/>
          <w:sz w:val="24"/>
          <w:szCs w:val="24"/>
        </w:rPr>
        <w:t>4.中标或者成交投标人拒绝与</w:t>
      </w:r>
      <w:r>
        <w:rPr>
          <w:rFonts w:hint="eastAsia" w:asciiTheme="minorEastAsia" w:hAnsiTheme="minorEastAsia" w:eastAsiaTheme="minorEastAsia" w:cstheme="minorEastAsia"/>
          <w:color w:val="auto"/>
          <w:kern w:val="2"/>
          <w:sz w:val="24"/>
          <w:szCs w:val="24"/>
          <w:lang w:eastAsia="zh-CN"/>
        </w:rPr>
        <w:t>招标人</w:t>
      </w:r>
      <w:r>
        <w:rPr>
          <w:rFonts w:hint="eastAsia" w:asciiTheme="minorEastAsia" w:hAnsiTheme="minorEastAsia" w:eastAsiaTheme="minorEastAsia" w:cstheme="minorEastAsia"/>
          <w:color w:val="auto"/>
          <w:kern w:val="2"/>
          <w:sz w:val="24"/>
          <w:szCs w:val="24"/>
        </w:rPr>
        <w:t>签订合同的，</w:t>
      </w:r>
      <w:r>
        <w:rPr>
          <w:rFonts w:hint="eastAsia" w:asciiTheme="minorEastAsia" w:hAnsiTheme="minorEastAsia" w:eastAsiaTheme="minorEastAsia" w:cstheme="minorEastAsia"/>
          <w:color w:val="auto"/>
          <w:kern w:val="2"/>
          <w:sz w:val="24"/>
          <w:szCs w:val="24"/>
          <w:lang w:eastAsia="zh-CN"/>
        </w:rPr>
        <w:t>招标人</w:t>
      </w:r>
      <w:r>
        <w:rPr>
          <w:rFonts w:hint="eastAsia" w:asciiTheme="minorEastAsia" w:hAnsiTheme="minorEastAsia" w:eastAsiaTheme="minorEastAsia" w:cstheme="minorEastAsia"/>
          <w:color w:val="auto"/>
          <w:kern w:val="2"/>
          <w:sz w:val="24"/>
          <w:szCs w:val="24"/>
        </w:rPr>
        <w:t>应重新招标。</w:t>
      </w:r>
    </w:p>
    <w:p w14:paraId="4E7B9CAB">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中标人如不遵守采购文件或投标文件各项条款的邀约与要约，或在接到中标通知书后借故拖延，拒签合同的，招标人将按《浙江省政府采购投标人注册及诚信管理暂行办法》的规定上报诚信状况。给招标人造成的损失的还应当予以赔偿。</w:t>
      </w:r>
    </w:p>
    <w:p w14:paraId="21A6803B">
      <w:pPr>
        <w:pStyle w:val="6"/>
        <w:numPr>
          <w:ilvl w:val="0"/>
          <w:numId w:val="0"/>
        </w:numPr>
        <w:spacing w:before="0" w:after="0" w:line="440" w:lineRule="exact"/>
        <w:rPr>
          <w:rFonts w:hint="eastAsia" w:asciiTheme="minorEastAsia" w:hAnsiTheme="minorEastAsia" w:eastAsiaTheme="minorEastAsia" w:cstheme="minorEastAsia"/>
          <w:color w:val="auto"/>
          <w:kern w:val="2"/>
          <w:sz w:val="24"/>
          <w:szCs w:val="24"/>
        </w:rPr>
      </w:pPr>
      <w:bookmarkStart w:id="248" w:name="_Toc97726036"/>
      <w:bookmarkStart w:id="249" w:name="_Toc39877702"/>
      <w:bookmarkStart w:id="250" w:name="_Toc30226"/>
      <w:bookmarkStart w:id="251" w:name="_Toc17707950"/>
      <w:bookmarkStart w:id="252" w:name="_Toc81480949"/>
      <w:bookmarkStart w:id="253" w:name="_Toc460857936"/>
      <w:r>
        <w:rPr>
          <w:rFonts w:hint="eastAsia" w:asciiTheme="minorEastAsia" w:hAnsiTheme="minorEastAsia" w:eastAsiaTheme="minorEastAsia" w:cstheme="minorEastAsia"/>
          <w:color w:val="auto"/>
          <w:kern w:val="2"/>
          <w:sz w:val="24"/>
          <w:szCs w:val="24"/>
        </w:rPr>
        <w:t>（二）履约保证金</w:t>
      </w:r>
      <w:bookmarkEnd w:id="248"/>
      <w:bookmarkEnd w:id="249"/>
      <w:bookmarkEnd w:id="250"/>
      <w:bookmarkEnd w:id="251"/>
      <w:bookmarkEnd w:id="252"/>
      <w:bookmarkEnd w:id="253"/>
    </w:p>
    <w:p w14:paraId="68515418">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1.签订合同时，中标人应按采购文件确定的履约保证金的金额，向</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交纳履约保证金。</w:t>
      </w:r>
    </w:p>
    <w:p w14:paraId="219D8D59">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2.签订合同后，如中标人不按双方合同约定履约，则没收其全部履约保证金，履约保证金不足以赔偿损失的，按实际损失赔偿。</w:t>
      </w:r>
    </w:p>
    <w:p w14:paraId="3181B892">
      <w:pPr>
        <w:pStyle w:val="19"/>
        <w:snapToGrid w:val="0"/>
        <w:spacing w:beforeLines="0" w:afterLines="0"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3.合同履行完毕后，</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全额退还中标人的履约保证金。</w:t>
      </w:r>
    </w:p>
    <w:p w14:paraId="711CFE4B">
      <w:pPr>
        <w:pStyle w:val="5"/>
        <w:numPr>
          <w:ilvl w:val="0"/>
          <w:numId w:val="0"/>
        </w:numPr>
        <w:spacing w:before="0" w:after="0" w:line="440" w:lineRule="exact"/>
        <w:rPr>
          <w:rFonts w:hint="eastAsia" w:asciiTheme="minorEastAsia" w:hAnsiTheme="minorEastAsia" w:eastAsiaTheme="minorEastAsia" w:cstheme="minorEastAsia"/>
          <w:color w:val="auto"/>
          <w:sz w:val="24"/>
          <w:szCs w:val="24"/>
        </w:rPr>
      </w:pPr>
      <w:bookmarkStart w:id="254" w:name="_Toc81480950"/>
      <w:bookmarkStart w:id="255" w:name="_Toc32101"/>
      <w:bookmarkStart w:id="256" w:name="_Toc97726037"/>
      <w:r>
        <w:rPr>
          <w:rFonts w:hint="eastAsia" w:asciiTheme="minorEastAsia" w:hAnsiTheme="minorEastAsia" w:eastAsiaTheme="minorEastAsia" w:cstheme="minorEastAsia"/>
          <w:color w:val="auto"/>
          <w:sz w:val="24"/>
          <w:szCs w:val="24"/>
        </w:rPr>
        <w:t>九、特别说明</w:t>
      </w:r>
      <w:bookmarkEnd w:id="246"/>
      <w:bookmarkEnd w:id="247"/>
      <w:bookmarkEnd w:id="254"/>
      <w:bookmarkEnd w:id="255"/>
      <w:bookmarkEnd w:id="256"/>
    </w:p>
    <w:p w14:paraId="485F2D6A">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1.提供相同品牌产品且通过资格审查、符合性审查的不同投标人参加同一合同项下投标的，按一家投标人计算。</w:t>
      </w:r>
    </w:p>
    <w:p w14:paraId="6F9EF80B">
      <w:pPr>
        <w:spacing w:line="440" w:lineRule="exact"/>
        <w:ind w:firstLine="600" w:firstLineChars="2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采用综合评分法进行评审的，评审后得分最高的同品牌投标人获得中标人推荐资格；评审得分相同的，由评标委员会按照采购文件规定的方式确定一个投标人获得中标人的推荐资格，采购文件未规定的采取随机抽取的方式确定，其他同品牌投标人不作为中标候选人。</w:t>
      </w:r>
    </w:p>
    <w:p w14:paraId="2F188760">
      <w:pPr>
        <w:spacing w:line="440" w:lineRule="exact"/>
        <w:ind w:firstLine="600" w:firstLineChars="2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采用最低评标价法进行评审的，以报价最低的投标人参加评审，报价相同的，由评标委员会按照采购文件规定的方式确定一个投标人获得中标人的推荐资格，采购文件未规定的采取随机抽取的方式确定，其他投标无效。</w:t>
      </w:r>
    </w:p>
    <w:p w14:paraId="2D34AD33">
      <w:pPr>
        <w:spacing w:line="440" w:lineRule="exact"/>
        <w:ind w:firstLine="600" w:firstLineChars="2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非单一产品采购项目，投标人使用相同制造产品（相同制造产品是指采购文件中指定的“核心产品”）作为其项目的一部分，按一家投标人认定。</w:t>
      </w:r>
    </w:p>
    <w:p w14:paraId="263797BD">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2.政府采购活动中有关中小企业的相关规定（采购进口产品的项目不适用）</w:t>
      </w:r>
    </w:p>
    <w:p w14:paraId="7F46A51D">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2.1本项目专门面向中小企业采购。</w:t>
      </w:r>
    </w:p>
    <w:p w14:paraId="16E2C657">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2.2本项目所属行业：工业行业。</w:t>
      </w:r>
    </w:p>
    <w:p w14:paraId="41CFECCB">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2.2参加政府采购活动的中小企业应当提供《中小企业声明函》。</w:t>
      </w:r>
    </w:p>
    <w:p w14:paraId="4294A939">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2.3中小企业是指中华人民共和国境内依法设立，依据国务院批准的中小企业划分标准确定的小型企业和微型企业，但与大企业的负责人为同一人，或者与大企业存在直接控股、管理关系的除外。</w:t>
      </w:r>
    </w:p>
    <w:p w14:paraId="3A80742D">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符合中小企业划分标准的个体工商户，在政府采购活动中视同中小企业。</w:t>
      </w:r>
    </w:p>
    <w:p w14:paraId="534FF738">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国务院批准的中小企业划分标准：具体见工信部联企业[2011]300号。</w:t>
      </w:r>
    </w:p>
    <w:p w14:paraId="637C86D0">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2.4在政府采购活动中，投标人提供的货物、工程或者服务符合下列情形的，可享受小型、微型企业（以下简称小微企业）的价格扣除：</w:t>
      </w:r>
    </w:p>
    <w:p w14:paraId="4494A875">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（1）在货物采购项目中，货物由小微企业制造，即货物由小微企业生产且使用该小微企业商号或者注册商标；</w:t>
      </w:r>
    </w:p>
    <w:p w14:paraId="07F8A5AD">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（2）在工程采购项目中，工程由小微企业承建，即工程施工单位为小微企业；</w:t>
      </w:r>
    </w:p>
    <w:p w14:paraId="201C6988">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（3）在服务采购项目中，服务由小微企业承接，即提供服务的人员为小微企业依照《中华人民共和国劳动合同法》订立劳动合同的从业人员。</w:t>
      </w:r>
    </w:p>
    <w:p w14:paraId="1A98C9FD">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以联合体形式参加政府采购活动，联合体各方均为小微企业的，联合体视同小微企业。</w:t>
      </w:r>
    </w:p>
    <w:p w14:paraId="57235D56">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2.5在货物采购项目中，投标人提供的货物既有中小企业制造货物，也有大型企业制造货物的，不享受的小微企业价格扣除。</w:t>
      </w:r>
    </w:p>
    <w:p w14:paraId="469F0D54">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2.6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6%的扣除，用扣除后的价格参加评审。组成联合体或者接受分包的小微企业与联合体内其他企业、分包企业之间存在直接控股、管理关系的，不享受价格扣除优惠政策。</w:t>
      </w:r>
    </w:p>
    <w:p w14:paraId="234BAF60">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2.7采购活动过程中，对投标人的“中小企业”资格认定，以投标人提交的《中小企业声明函》为准，投标人必须实事求是地提交声明函，如有虚假，将依法承担法律责任。如果在采购活动过程中相关采购当事人对投标人“中小企业”资格有异议的，由货物制造商或者工程、服务投标人注册登记所在地的县级以上人民政府中小企业主管部门负责认定。</w:t>
      </w:r>
    </w:p>
    <w:p w14:paraId="2660ABDA">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投标人提供声明函内容不实的，属于提供虚假材料谋取中标、成交，依照《中华人民共和国政府采购法》等国家有关规定追究相应责任。</w:t>
      </w:r>
    </w:p>
    <w:p w14:paraId="06F401C0">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适用招标投标法的政府采购工程建设项目，投标人提供声明函内容不实的，属于弄虚作假骗取中标，依照《中华人民共和国招标投标法》等国家有关规定追究相应责任。</w:t>
      </w:r>
    </w:p>
    <w:p w14:paraId="4C31D34F">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2.8按规定享受扶持政策获得政府采购合同的，小微企业不得将合同分包给大中型企业，中型企业不得将合同分包给大型企业。</w:t>
      </w:r>
    </w:p>
    <w:p w14:paraId="60B4195E">
      <w:pPr>
        <w:tabs>
          <w:tab w:val="left" w:pos="518"/>
        </w:tabs>
        <w:adjustRightInd w:val="0"/>
        <w:snapToGrid w:val="0"/>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br w:type="page"/>
      </w:r>
    </w:p>
    <w:p w14:paraId="7CDCC3AE">
      <w:pPr>
        <w:pStyle w:val="4"/>
        <w:spacing w:before="0" w:after="0" w:line="360" w:lineRule="auto"/>
        <w:jc w:val="center"/>
        <w:rPr>
          <w:rFonts w:hint="eastAsia" w:asciiTheme="minorEastAsia" w:hAnsiTheme="minorEastAsia" w:eastAsiaTheme="minorEastAsia" w:cstheme="minorEastAsia"/>
          <w:color w:val="auto"/>
          <w:sz w:val="24"/>
          <w:szCs w:val="24"/>
        </w:rPr>
      </w:pPr>
      <w:bookmarkStart w:id="257" w:name="_Toc17707952"/>
      <w:bookmarkStart w:id="258" w:name="_Toc28627"/>
      <w:r>
        <w:rPr>
          <w:rFonts w:hint="eastAsia" w:asciiTheme="minorEastAsia" w:hAnsiTheme="minorEastAsia" w:eastAsiaTheme="minorEastAsia" w:cstheme="minorEastAsia"/>
          <w:color w:val="auto"/>
          <w:sz w:val="24"/>
          <w:szCs w:val="24"/>
        </w:rPr>
        <w:t>第四章  评标办法及评分标准</w:t>
      </w:r>
      <w:bookmarkEnd w:id="257"/>
      <w:bookmarkEnd w:id="258"/>
    </w:p>
    <w:p w14:paraId="08F4442C">
      <w:pPr>
        <w:pStyle w:val="21"/>
        <w:widowControl/>
        <w:snapToGrid/>
        <w:spacing w:line="440" w:lineRule="exact"/>
        <w:ind w:firstLine="480" w:firstLineChars="200"/>
        <w:rPr>
          <w:rFonts w:hint="eastAsia" w:asciiTheme="minorEastAsia" w:hAnsiTheme="minorEastAsia" w:eastAsiaTheme="minorEastAsia" w:cstheme="minorEastAsia"/>
          <w:b w:val="0"/>
          <w:bCs w:val="0"/>
          <w:color w:val="auto"/>
          <w:sz w:val="24"/>
          <w:szCs w:val="24"/>
        </w:rPr>
      </w:pPr>
      <w:bookmarkStart w:id="259" w:name="_Toc317685600"/>
      <w:r>
        <w:rPr>
          <w:rFonts w:hint="eastAsia" w:asciiTheme="minorEastAsia" w:hAnsiTheme="minorEastAsia" w:eastAsiaTheme="minorEastAsia" w:cstheme="minorEastAsia"/>
          <w:b w:val="0"/>
          <w:bCs w:val="0"/>
          <w:color w:val="auto"/>
          <w:sz w:val="24"/>
          <w:szCs w:val="24"/>
        </w:rPr>
        <w:t>本办法严格遵照《中华人民共和国政府采购法》、《中华人民共和国政府采购法实施条例》、《政府采购货物和服务招标投标管理办法》，结合项目所在地政府有关政府采购规定和项目的实际情况制定。</w:t>
      </w:r>
    </w:p>
    <w:bookmarkEnd w:id="259"/>
    <w:p w14:paraId="5937C332">
      <w:pPr>
        <w:pStyle w:val="27"/>
        <w:spacing w:before="0" w:after="0" w:line="440" w:lineRule="exact"/>
        <w:ind w:firstLine="472" w:firstLineChars="196"/>
        <w:jc w:val="both"/>
        <w:rPr>
          <w:rFonts w:hint="eastAsia" w:asciiTheme="minorEastAsia" w:hAnsiTheme="minorEastAsia" w:eastAsiaTheme="minorEastAsia" w:cstheme="minorEastAsia"/>
          <w:color w:val="auto"/>
          <w:sz w:val="24"/>
          <w:szCs w:val="24"/>
        </w:rPr>
      </w:pPr>
      <w:bookmarkStart w:id="260" w:name="_Toc493058316"/>
      <w:bookmarkStart w:id="261" w:name="_Toc495957614"/>
      <w:bookmarkStart w:id="262" w:name="_Toc2630"/>
      <w:bookmarkStart w:id="263" w:name="_Toc17707954"/>
      <w:bookmarkStart w:id="264" w:name="_Toc97726039"/>
      <w:bookmarkStart w:id="265" w:name="_Toc81480952"/>
      <w:bookmarkStart w:id="266" w:name="_Toc39877705"/>
      <w:bookmarkStart w:id="267" w:name="_Toc17707955"/>
      <w:bookmarkStart w:id="268" w:name="_Toc259108326"/>
      <w:bookmarkStart w:id="269" w:name="_Toc249866769"/>
      <w:r>
        <w:rPr>
          <w:rFonts w:hint="eastAsia" w:asciiTheme="minorEastAsia" w:hAnsiTheme="minorEastAsia" w:eastAsiaTheme="minorEastAsia" w:cstheme="minorEastAsia"/>
          <w:color w:val="auto"/>
          <w:sz w:val="24"/>
          <w:szCs w:val="24"/>
        </w:rPr>
        <w:t>一、评标委员会</w:t>
      </w:r>
      <w:bookmarkEnd w:id="260"/>
      <w:bookmarkEnd w:id="261"/>
      <w:bookmarkEnd w:id="262"/>
      <w:bookmarkEnd w:id="263"/>
      <w:bookmarkEnd w:id="264"/>
      <w:bookmarkEnd w:id="265"/>
      <w:bookmarkEnd w:id="266"/>
    </w:p>
    <w:p w14:paraId="3C273847">
      <w:pPr>
        <w:spacing w:line="440" w:lineRule="exact"/>
        <w:ind w:firstLine="360" w:firstLineChars="150"/>
        <w:rPr>
          <w:rFonts w:hint="eastAsia" w:asciiTheme="minorEastAsia" w:hAnsiTheme="minorEastAsia" w:eastAsiaTheme="minorEastAsia" w:cstheme="minorEastAsia"/>
          <w:i/>
          <w:iCs/>
          <w:color w:val="auto"/>
          <w:sz w:val="24"/>
          <w:szCs w:val="24"/>
        </w:rPr>
      </w:pPr>
      <w:r>
        <w:rPr>
          <w:rFonts w:hint="eastAsia" w:asciiTheme="minorEastAsia" w:hAnsiTheme="minorEastAsia" w:eastAsiaTheme="minorEastAsia" w:cstheme="minorEastAsia"/>
          <w:color w:val="auto"/>
          <w:sz w:val="24"/>
          <w:szCs w:val="24"/>
        </w:rPr>
        <w:t>（一）本次招标依法组建评标委员会。评标委员会由招标人代表和评审专家组成或全部由评审专家组成，评审专家从专家库随机抽取。</w:t>
      </w:r>
    </w:p>
    <w:p w14:paraId="1E2C9E4E">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评标原则。评标委员会必须遵循公平、公正、客观、科学的原则和规定的程序进行评标；评标的依据为采购文件和投标文件；评审人员应独立评标，不得带有任何倾向性和启发性影响他人评审；任何单位和个人不得干扰、影响评标的正常进行；评标委员会及有关工作人员不得私下与投标人接触，不得向外界透露任何与评标有关的内容。</w:t>
      </w:r>
    </w:p>
    <w:p w14:paraId="086703F4">
      <w:pPr>
        <w:spacing w:line="440" w:lineRule="exact"/>
        <w:ind w:firstLine="360" w:firstLineChars="150"/>
        <w:rPr>
          <w:rFonts w:hint="eastAsia" w:asciiTheme="minorEastAsia" w:hAnsiTheme="minorEastAsia" w:eastAsiaTheme="minorEastAsia" w:cstheme="minorEastAsia"/>
          <w:color w:val="auto"/>
          <w:sz w:val="24"/>
          <w:szCs w:val="24"/>
          <w:highlight w:val="green"/>
        </w:rPr>
      </w:pPr>
      <w:r>
        <w:rPr>
          <w:rFonts w:hint="eastAsia" w:asciiTheme="minorEastAsia" w:hAnsiTheme="minorEastAsia" w:eastAsiaTheme="minorEastAsia" w:cstheme="minorEastAsia"/>
          <w:color w:val="auto"/>
          <w:sz w:val="24"/>
          <w:szCs w:val="24"/>
        </w:rPr>
        <w:t>（三）评审专家有下列情形之一的，受到邀请应主动提出回避，采购当事人也可以要求该评审专家回避：</w:t>
      </w:r>
    </w:p>
    <w:p w14:paraId="66D3BDFE">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1、本人、配偶或直系亲属3年内曾在参加该招标项目的投标人中任职（包括一般工作）或担任顾问，或与参加该招标项目的投标人发生过法律纠纷；</w:t>
      </w:r>
    </w:p>
    <w:p w14:paraId="383EBF74">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2、任职单位与招标人或参加该招标项目的投标人存在行政隶属关系；</w:t>
      </w:r>
    </w:p>
    <w:p w14:paraId="74A0B37C">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3、曾经参加过该招标项目的进口产品或招标文件、采购需求、招标方式的论证和咨询服务工作；</w:t>
      </w:r>
    </w:p>
    <w:p w14:paraId="654F25D7">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4、是参加该招标项目投标人的上级主管部门、控股或参股单位的工作人员，或与该投标人存在其他经济利益关系；</w:t>
      </w:r>
    </w:p>
    <w:p w14:paraId="254C3742">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5、评审委员会成员之间具有配偶、近亲属关系；</w:t>
      </w:r>
    </w:p>
    <w:p w14:paraId="412DC1CD">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6、法律、法规、规章规定应当回避以及其他可能影响公正评审的。</w:t>
      </w:r>
    </w:p>
    <w:p w14:paraId="60714987">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（四）评标委员会判断投标文件的有效性、合格性和响应情况，仅依据投标人所递交一切文件的真实表述，不受与本项目无直接关联的外部信息、传言而影响自身的专业判断。</w:t>
      </w:r>
    </w:p>
    <w:p w14:paraId="6B4613A1">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评委依法独立评审，并对评审意见承担个人责任。评委对需要共同认定的事项存在争议的，按照少数服从多数的原则做出结论。持不同意见的评委应当在评审报告上签署不同意见并说明理由，否则视为同意。</w:t>
      </w:r>
    </w:p>
    <w:p w14:paraId="68028BAD">
      <w:pPr>
        <w:pStyle w:val="27"/>
        <w:spacing w:before="0" w:after="0" w:line="440" w:lineRule="exact"/>
        <w:ind w:firstLine="472" w:firstLineChars="196"/>
        <w:jc w:val="both"/>
        <w:rPr>
          <w:rFonts w:hint="eastAsia" w:asciiTheme="minorEastAsia" w:hAnsiTheme="minorEastAsia" w:eastAsiaTheme="minorEastAsia" w:cstheme="minorEastAsia"/>
          <w:color w:val="auto"/>
          <w:sz w:val="24"/>
          <w:szCs w:val="24"/>
        </w:rPr>
      </w:pPr>
      <w:bookmarkStart w:id="270" w:name="_Toc81480953"/>
      <w:bookmarkStart w:id="271" w:name="_Toc1251"/>
      <w:bookmarkStart w:id="272" w:name="_Toc97726040"/>
      <w:bookmarkStart w:id="273" w:name="_Toc39877706"/>
      <w:r>
        <w:rPr>
          <w:rFonts w:hint="eastAsia" w:asciiTheme="minorEastAsia" w:hAnsiTheme="minorEastAsia" w:eastAsiaTheme="minorEastAsia" w:cstheme="minorEastAsia"/>
          <w:color w:val="auto"/>
          <w:sz w:val="24"/>
          <w:szCs w:val="24"/>
        </w:rPr>
        <w:t>二、评标方法</w:t>
      </w:r>
      <w:bookmarkEnd w:id="270"/>
      <w:bookmarkEnd w:id="271"/>
      <w:bookmarkEnd w:id="272"/>
      <w:bookmarkEnd w:id="273"/>
    </w:p>
    <w:p w14:paraId="1091181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（一）本次招标项目的评标方法为：综合评分法。</w:t>
      </w:r>
    </w:p>
    <w:p w14:paraId="6ECBF2D2">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（二）评分权重</w:t>
      </w:r>
    </w:p>
    <w:tbl>
      <w:tblPr>
        <w:tblStyle w:val="37"/>
        <w:tblW w:w="78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3714"/>
        <w:gridCol w:w="2615"/>
      </w:tblGrid>
      <w:tr w14:paraId="560E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552" w:type="dxa"/>
            <w:vAlign w:val="center"/>
          </w:tcPr>
          <w:p w14:paraId="249E3D59">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评分项目</w:t>
            </w:r>
          </w:p>
        </w:tc>
        <w:tc>
          <w:tcPr>
            <w:tcW w:w="3714" w:type="dxa"/>
            <w:vAlign w:val="center"/>
          </w:tcPr>
          <w:p w14:paraId="5677EE6A">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商务技术分（分）</w:t>
            </w:r>
          </w:p>
        </w:tc>
        <w:tc>
          <w:tcPr>
            <w:tcW w:w="2615" w:type="dxa"/>
            <w:vAlign w:val="center"/>
          </w:tcPr>
          <w:p w14:paraId="40477062">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价格分（分）</w:t>
            </w:r>
          </w:p>
        </w:tc>
      </w:tr>
      <w:tr w14:paraId="2872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1552" w:type="dxa"/>
            <w:vAlign w:val="center"/>
          </w:tcPr>
          <w:p w14:paraId="1179991E">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权重</w:t>
            </w:r>
          </w:p>
        </w:tc>
        <w:tc>
          <w:tcPr>
            <w:tcW w:w="3714" w:type="dxa"/>
            <w:vAlign w:val="center"/>
          </w:tcPr>
          <w:p w14:paraId="328E73EA">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70</w:t>
            </w:r>
          </w:p>
        </w:tc>
        <w:tc>
          <w:tcPr>
            <w:tcW w:w="2615" w:type="dxa"/>
            <w:vAlign w:val="center"/>
          </w:tcPr>
          <w:p w14:paraId="6563DA8A">
            <w:pPr>
              <w:spacing w:line="440" w:lineRule="exact"/>
              <w:ind w:firstLine="198"/>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30</w:t>
            </w:r>
          </w:p>
        </w:tc>
      </w:tr>
    </w:tbl>
    <w:p w14:paraId="72A7AFDD">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1、价格分采用低价优先法计算，即满足采购文件要求且参与评审价格最低为评标基准价，其价格分为满分。其他投标人的价格分按照下列公式计算：</w:t>
      </w:r>
    </w:p>
    <w:p w14:paraId="181C45E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参与评审价格=投标报价</w:t>
      </w:r>
    </w:p>
    <w:p w14:paraId="72CDC110">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价格分=（评标基准价/参与评审的价格）×价格权值×100</w:t>
      </w:r>
    </w:p>
    <w:p w14:paraId="42CF84C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2、合格投标人评标综合得分=价格分+商务技术分。</w:t>
      </w:r>
    </w:p>
    <w:p w14:paraId="0CA4AD37">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3、报价要求：本次招标设有预算价(或最高限价)，投标人报价超出预算价(或最高限价)的投标文件作无效处理。</w:t>
      </w:r>
    </w:p>
    <w:p w14:paraId="1B730195">
      <w:pPr>
        <w:spacing w:line="440" w:lineRule="exact"/>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4、</w:t>
      </w:r>
      <w:r>
        <w:rPr>
          <w:rFonts w:hint="eastAsia" w:asciiTheme="minorEastAsia" w:hAnsiTheme="minorEastAsia" w:eastAsiaTheme="minorEastAsia" w:cstheme="minorEastAsia"/>
          <w:color w:val="auto"/>
          <w:kern w:val="0"/>
          <w:sz w:val="24"/>
          <w:szCs w:val="24"/>
        </w:rPr>
        <w:t>采用综合评分法的，评标结果按评审后得分由高到低顺序排列。得分相同的，按投标报价由低到高顺序排列。得分且投标报价相同的并列。投标文件满足采购文件全部实质性要求，且按照评审因素的量化指标评审得分最高的投标人为排名第一的中标候选人。</w:t>
      </w:r>
    </w:p>
    <w:p w14:paraId="020F62C3">
      <w:pPr>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（三）投标文件的澄清</w:t>
      </w:r>
    </w:p>
    <w:p w14:paraId="74550D35">
      <w:pPr>
        <w:spacing w:line="440" w:lineRule="exact"/>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1、对于投标文件中含义不明确、同类问题表述不一致或者有明显文字和计算错误的内容，评标委员会应当以书面形式要求投标人作出必要的澄清、说明或者补正。</w:t>
      </w:r>
    </w:p>
    <w:p w14:paraId="1EB76C53">
      <w:pPr>
        <w:spacing w:line="440" w:lineRule="exact"/>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2、投标人的澄清、说明或者补正应当采用书面形式</w:t>
      </w:r>
      <w:r>
        <w:rPr>
          <w:rFonts w:hint="eastAsia" w:asciiTheme="minorEastAsia" w:hAnsiTheme="minorEastAsia" w:eastAsiaTheme="minorEastAsia" w:cstheme="minorEastAsia"/>
          <w:color w:val="auto"/>
          <w:sz w:val="24"/>
          <w:szCs w:val="24"/>
        </w:rPr>
        <w:t>（或扫描件上传政采云平台）</w:t>
      </w:r>
      <w:r>
        <w:rPr>
          <w:rFonts w:hint="eastAsia" w:asciiTheme="minorEastAsia" w:hAnsiTheme="minorEastAsia" w:eastAsiaTheme="minorEastAsia" w:cstheme="minorEastAsia"/>
          <w:color w:val="auto"/>
          <w:kern w:val="0"/>
          <w:sz w:val="24"/>
          <w:szCs w:val="24"/>
        </w:rPr>
        <w:t>，并加盖公章，或者由法定代表人或其授权的代表签字。投标人的澄清、说明或者补正不得超出投标文件的范围或者改变投标文件的实质性内容。</w:t>
      </w:r>
    </w:p>
    <w:p w14:paraId="636D0D4E">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（四）投标文件错误修正原则</w:t>
      </w:r>
    </w:p>
    <w:p w14:paraId="2AF85ED0">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投标文件报价出现前后不一致的，除采购文件另有规定外，按照下列规定修正：</w:t>
      </w:r>
    </w:p>
    <w:p w14:paraId="49344352">
      <w:pPr>
        <w:widowControl/>
        <w:numPr>
          <w:ilvl w:val="0"/>
          <w:numId w:val="11"/>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投标文件中开标一览表（报价表）内容与投标文件中相应内容不一致的，以开标一览表（报价表）为准；</w:t>
      </w:r>
    </w:p>
    <w:p w14:paraId="0662FBB7">
      <w:pPr>
        <w:widowControl/>
        <w:numPr>
          <w:ilvl w:val="0"/>
          <w:numId w:val="11"/>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大写金额和小写金额不一致的，以大写金额为准；</w:t>
      </w:r>
    </w:p>
    <w:p w14:paraId="3DD9DAA8">
      <w:pPr>
        <w:widowControl/>
        <w:numPr>
          <w:ilvl w:val="0"/>
          <w:numId w:val="11"/>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单价金额小数点或者百分比有明显错位的，以开标一览表的总价为准，并修改单价；</w:t>
      </w:r>
    </w:p>
    <w:p w14:paraId="0C4C9F58">
      <w:pPr>
        <w:widowControl/>
        <w:numPr>
          <w:ilvl w:val="0"/>
          <w:numId w:val="11"/>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总价金额与按单价汇总金额不一致的，以单价金额计算结果为准；</w:t>
      </w:r>
    </w:p>
    <w:p w14:paraId="14C9D1BE">
      <w:pPr>
        <w:widowControl/>
        <w:numPr>
          <w:ilvl w:val="0"/>
          <w:numId w:val="11"/>
        </w:num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政采云平台填报的开标一览表中的价格与上传的报价文件中开标一览表的报价不一致的，以上传的报价文件为准。</w:t>
      </w:r>
    </w:p>
    <w:p w14:paraId="424290E9">
      <w:pPr>
        <w:pStyle w:val="125"/>
        <w:widowControl/>
        <w:spacing w:beforeLines="0" w:afterLines="0" w:line="44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同时出现两种以上不一致的，按照前款规定的顺序修正。修正后的报价经投标人确认后具有约束力，若投标人不确认的，则其投标无效。</w:t>
      </w:r>
    </w:p>
    <w:p w14:paraId="32A92A1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（五）废标情况</w:t>
      </w:r>
    </w:p>
    <w:p w14:paraId="0CB5A548">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评标过程中，出现下列情形之一的，应予废标，评标终止：</w:t>
      </w:r>
    </w:p>
    <w:p w14:paraId="20006DF7">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1.通过资格审查、符合性审查的投标人不足三家的；</w:t>
      </w:r>
    </w:p>
    <w:p w14:paraId="5C694F07">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2.出现影响采购公正的违法、违规行为的；</w:t>
      </w:r>
    </w:p>
    <w:p w14:paraId="5F30D42F">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3.投标人的报价均超过了采购预算，招标人不能支付的；</w:t>
      </w:r>
    </w:p>
    <w:p w14:paraId="4E8291CA">
      <w:pPr>
        <w:pStyle w:val="125"/>
        <w:widowControl/>
        <w:spacing w:beforeLines="0" w:afterLines="0" w:line="440" w:lineRule="exact"/>
        <w:ind w:left="719" w:leftChars="228" w:hanging="240" w:hanging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4.因重大变故，采购任务取消的。</w:t>
      </w:r>
    </w:p>
    <w:bookmarkEnd w:id="267"/>
    <w:p w14:paraId="35421522">
      <w:pPr>
        <w:pStyle w:val="27"/>
        <w:spacing w:before="0" w:after="0" w:line="440" w:lineRule="exact"/>
        <w:ind w:firstLine="472" w:firstLineChars="196"/>
        <w:jc w:val="both"/>
        <w:rPr>
          <w:rFonts w:hint="eastAsia" w:asciiTheme="minorEastAsia" w:hAnsiTheme="minorEastAsia" w:eastAsiaTheme="minorEastAsia" w:cstheme="minorEastAsia"/>
          <w:color w:val="auto"/>
          <w:sz w:val="24"/>
          <w:szCs w:val="24"/>
        </w:rPr>
      </w:pPr>
      <w:bookmarkStart w:id="274" w:name="_Toc6555"/>
      <w:bookmarkStart w:id="275" w:name="_Toc81480954"/>
      <w:bookmarkStart w:id="276" w:name="_Toc97726041"/>
      <w:bookmarkStart w:id="277" w:name="_Toc39877707"/>
      <w:bookmarkStart w:id="278" w:name="_Toc495957615"/>
      <w:bookmarkStart w:id="279" w:name="_Toc493058317"/>
      <w:bookmarkStart w:id="280" w:name="_Toc481567076"/>
      <w:r>
        <w:rPr>
          <w:rFonts w:hint="eastAsia" w:asciiTheme="minorEastAsia" w:hAnsiTheme="minorEastAsia" w:eastAsiaTheme="minorEastAsia" w:cstheme="minorEastAsia"/>
          <w:color w:val="auto"/>
          <w:sz w:val="24"/>
          <w:szCs w:val="24"/>
        </w:rPr>
        <w:t>三、评标过程</w:t>
      </w:r>
      <w:bookmarkEnd w:id="274"/>
      <w:bookmarkEnd w:id="275"/>
      <w:bookmarkEnd w:id="276"/>
      <w:bookmarkEnd w:id="277"/>
    </w:p>
    <w:p w14:paraId="588964E6">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1.资格审查</w:t>
      </w:r>
    </w:p>
    <w:p w14:paraId="12AEF010">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依据法律法规和采购文件的规定，</w:t>
      </w:r>
      <w:r>
        <w:rPr>
          <w:rFonts w:hint="eastAsia" w:asciiTheme="minorEastAsia" w:hAnsiTheme="minorEastAsia" w:eastAsiaTheme="minorEastAsia" w:cstheme="minorEastAsia"/>
          <w:b w:val="0"/>
          <w:bCs w:val="0"/>
          <w:color w:val="auto"/>
          <w:sz w:val="24"/>
          <w:szCs w:val="24"/>
          <w:lang w:eastAsia="zh-CN"/>
        </w:rPr>
        <w:t>招标人</w:t>
      </w:r>
      <w:r>
        <w:rPr>
          <w:rFonts w:hint="eastAsia" w:asciiTheme="minorEastAsia" w:hAnsiTheme="minorEastAsia" w:eastAsiaTheme="minorEastAsia" w:cstheme="minorEastAsia"/>
          <w:b w:val="0"/>
          <w:bCs w:val="0"/>
          <w:color w:val="auto"/>
          <w:sz w:val="24"/>
          <w:szCs w:val="24"/>
        </w:rPr>
        <w:t>或采购代理机构对投标人对投标文件中的资格证明进行审查，以确定投标人是否具备投标资格。</w:t>
      </w:r>
    </w:p>
    <w:tbl>
      <w:tblPr>
        <w:tblStyle w:val="37"/>
        <w:tblW w:w="9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814"/>
        <w:gridCol w:w="4678"/>
      </w:tblGrid>
      <w:tr w14:paraId="270B0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tcPr>
          <w:p w14:paraId="0FA52B10">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序号</w:t>
            </w:r>
          </w:p>
        </w:tc>
        <w:tc>
          <w:tcPr>
            <w:tcW w:w="3814" w:type="dxa"/>
          </w:tcPr>
          <w:p w14:paraId="0418D2EE">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审查项目</w:t>
            </w:r>
          </w:p>
        </w:tc>
        <w:tc>
          <w:tcPr>
            <w:tcW w:w="4678" w:type="dxa"/>
          </w:tcPr>
          <w:p w14:paraId="0F1DF538">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要求</w:t>
            </w:r>
          </w:p>
        </w:tc>
      </w:tr>
      <w:tr w14:paraId="29CC0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085CD88">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3814" w:type="dxa"/>
            <w:vAlign w:val="center"/>
          </w:tcPr>
          <w:p w14:paraId="32CC0558">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（1）关于资格的声明函（格式见附件）；</w:t>
            </w:r>
          </w:p>
          <w:p w14:paraId="070E20D9">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（2）有效的企业法人营业执照（或事业法人登记证）、其他组织（个体工商户）的营业执照或者民办非企业单位登记证书复印件（复印件加盖公章）</w:t>
            </w:r>
          </w:p>
        </w:tc>
        <w:tc>
          <w:tcPr>
            <w:tcW w:w="4678" w:type="dxa"/>
            <w:vAlign w:val="center"/>
          </w:tcPr>
          <w:p w14:paraId="401064DA">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符合《中华人民共和国政府采购法》第22条的一般资格条件的规定：</w:t>
            </w:r>
          </w:p>
          <w:p w14:paraId="2E777EC5">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1.1具有独立承担民事责任的能力；</w:t>
            </w:r>
          </w:p>
          <w:p w14:paraId="42148CF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1.2具有良好的商业信誉和健全的财务会计制度；</w:t>
            </w:r>
          </w:p>
          <w:p w14:paraId="7DB5972F">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1.3具有履行合同所必需的设备和专业技术能力；</w:t>
            </w:r>
          </w:p>
          <w:p w14:paraId="502F396C">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1.4有依法缴纳税收和社会保障资金的良好记录；</w:t>
            </w:r>
          </w:p>
          <w:p w14:paraId="5DCC91E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1.5参加政府采购活动前三年内，在经营活动中没有重大违法记录；</w:t>
            </w:r>
          </w:p>
          <w:p w14:paraId="41AC141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1.6法律、行政法规规定的其他条件。</w:t>
            </w:r>
          </w:p>
        </w:tc>
      </w:tr>
      <w:tr w14:paraId="6EC0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1BCB20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3814" w:type="dxa"/>
            <w:vAlign w:val="center"/>
          </w:tcPr>
          <w:p w14:paraId="55F4756F">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招标人、采购代理机构将于开标当天通过信用中国网站查询投标人失信被执行人、重大税收违法案件当事人信用记录，通过中国政府采购网查询投标人政府采购严重违法失信行为信用记录。若投标人被列入失信被执行人、重大税收违法案件当事人名单、政府采购严重违法失信行为记录名单，其资格审查为不合格，其投标将被认定为无效投标。</w:t>
            </w:r>
          </w:p>
          <w:p w14:paraId="57DE199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若在开标当天因不可抗力事件导致无法查询且一时无法恢复查询的，可在中标公示期间对中标候选人进行事后查询。中标候选人被列入失信被执行人、重大税收违法案件当事人名单、政府采购严重违法失信行为记录名单的，招标人将依法取消其中标资格。</w:t>
            </w:r>
          </w:p>
        </w:tc>
        <w:tc>
          <w:tcPr>
            <w:tcW w:w="4678" w:type="dxa"/>
            <w:vAlign w:val="center"/>
          </w:tcPr>
          <w:p w14:paraId="7EAEBA73">
            <w:pPr>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未被信用中国网站（</w:t>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HYPERLINK "http://www.creditchina.gov.cn"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www.creditchina.gov.cn</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color w:val="auto"/>
                <w:sz w:val="24"/>
                <w:szCs w:val="24"/>
              </w:rPr>
              <w:t>）列入失信被执行人、重大税收违法案件当事人名单，未被中国政府采购网（www.ccgp.gov.cn）列入政府采购严重违法失信行为记录名单。</w:t>
            </w:r>
          </w:p>
        </w:tc>
      </w:tr>
      <w:tr w14:paraId="69E8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36A0EC89">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3814" w:type="dxa"/>
            <w:vAlign w:val="center"/>
          </w:tcPr>
          <w:p w14:paraId="529C489A">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本项目特定资格条件的证明文件。</w:t>
            </w:r>
          </w:p>
        </w:tc>
        <w:tc>
          <w:tcPr>
            <w:tcW w:w="4678" w:type="dxa"/>
            <w:vAlign w:val="center"/>
          </w:tcPr>
          <w:p w14:paraId="6EA1A012">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napToGrid w:val="0"/>
                <w:color w:val="auto"/>
                <w:kern w:val="28"/>
                <w:sz w:val="24"/>
                <w:szCs w:val="24"/>
              </w:rPr>
              <w:t>本项目属于专门面向中小企业采购的项目，货物制造商应为符合《政府采购促进中小企业发展管理办法》（财库﹝2020﹞46 号）规定的中小企业（其中，小微企业包括视同为小型、微型企业的监狱企业、残疾人福利性单位）。</w:t>
            </w:r>
          </w:p>
        </w:tc>
      </w:tr>
      <w:tr w14:paraId="41AB9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0" w:type="dxa"/>
            <w:vAlign w:val="center"/>
          </w:tcPr>
          <w:p w14:paraId="0E915CA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3814" w:type="dxa"/>
            <w:vAlign w:val="center"/>
          </w:tcPr>
          <w:p w14:paraId="0EDAA9D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投标人是否为联合体。</w:t>
            </w:r>
          </w:p>
        </w:tc>
        <w:tc>
          <w:tcPr>
            <w:tcW w:w="4678" w:type="dxa"/>
            <w:vAlign w:val="center"/>
          </w:tcPr>
          <w:p w14:paraId="29C5B209">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本项目不接受联合体投标。</w:t>
            </w:r>
          </w:p>
        </w:tc>
      </w:tr>
    </w:tbl>
    <w:p w14:paraId="231A9BE5">
      <w:p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注：（1）上述资格证明文件未按采购文件要求附入投标文件中的，资格性审查不合格。</w:t>
      </w:r>
    </w:p>
    <w:p w14:paraId="731DD22B">
      <w:pPr>
        <w:spacing w:line="440" w:lineRule="exact"/>
        <w:ind w:firstLine="398" w:firstLineChars="16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（2）上述审查项目中，任意一项不符合的，资格性审查不合格。</w:t>
      </w:r>
    </w:p>
    <w:p w14:paraId="5C45D6D5">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2.符合性审查</w:t>
      </w:r>
    </w:p>
    <w:p w14:paraId="436A44DE">
      <w:pPr>
        <w:spacing w:line="440" w:lineRule="exact"/>
        <w:ind w:firstLine="480" w:firstLineChars="2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依据采购文件的规定，</w:t>
      </w:r>
      <w:r>
        <w:rPr>
          <w:rFonts w:hint="eastAsia" w:asciiTheme="minorEastAsia" w:hAnsiTheme="minorEastAsia" w:eastAsiaTheme="minorEastAsia" w:cstheme="minorEastAsia"/>
          <w:color w:val="auto"/>
          <w:kern w:val="0"/>
          <w:sz w:val="24"/>
          <w:szCs w:val="24"/>
        </w:rPr>
        <w:t>评标委员会应当对符合资格的投标人的投标文件进行符合性审查，以确定其是否满足采购文件的实质性要求。</w:t>
      </w:r>
    </w:p>
    <w:tbl>
      <w:tblPr>
        <w:tblStyle w:val="37"/>
        <w:tblW w:w="9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2279"/>
        <w:gridCol w:w="6302"/>
      </w:tblGrid>
      <w:tr w14:paraId="764C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Align w:val="center"/>
          </w:tcPr>
          <w:p w14:paraId="02DC0894">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序号</w:t>
            </w:r>
          </w:p>
        </w:tc>
        <w:tc>
          <w:tcPr>
            <w:tcW w:w="2279" w:type="dxa"/>
            <w:vAlign w:val="center"/>
          </w:tcPr>
          <w:p w14:paraId="0133B4BD">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审查项目</w:t>
            </w:r>
          </w:p>
        </w:tc>
        <w:tc>
          <w:tcPr>
            <w:tcW w:w="6302" w:type="dxa"/>
            <w:vAlign w:val="center"/>
          </w:tcPr>
          <w:p w14:paraId="7A191D81">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要求</w:t>
            </w:r>
          </w:p>
        </w:tc>
      </w:tr>
      <w:tr w14:paraId="1AD6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Align w:val="center"/>
          </w:tcPr>
          <w:p w14:paraId="3CAF08F6">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2279" w:type="dxa"/>
            <w:vAlign w:val="center"/>
          </w:tcPr>
          <w:p w14:paraId="6DD0617B">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w:t>
            </w:r>
          </w:p>
        </w:tc>
        <w:tc>
          <w:tcPr>
            <w:tcW w:w="6302" w:type="dxa"/>
            <w:vAlign w:val="center"/>
          </w:tcPr>
          <w:p w14:paraId="65DC3235">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与营业执照副本一致。</w:t>
            </w:r>
          </w:p>
        </w:tc>
      </w:tr>
      <w:tr w14:paraId="1CB3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Align w:val="center"/>
          </w:tcPr>
          <w:p w14:paraId="0BED2982">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2279" w:type="dxa"/>
            <w:vAlign w:val="center"/>
          </w:tcPr>
          <w:p w14:paraId="72B31FFB">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w:t>
            </w:r>
          </w:p>
        </w:tc>
        <w:tc>
          <w:tcPr>
            <w:tcW w:w="6302" w:type="dxa"/>
            <w:vAlign w:val="center"/>
          </w:tcPr>
          <w:p w14:paraId="2DCDF5C8">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投标有效期满足采购文件要求。</w:t>
            </w:r>
          </w:p>
        </w:tc>
      </w:tr>
      <w:tr w14:paraId="380C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56" w:type="dxa"/>
            <w:vAlign w:val="center"/>
          </w:tcPr>
          <w:p w14:paraId="356DC780">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2279" w:type="dxa"/>
            <w:vAlign w:val="center"/>
          </w:tcPr>
          <w:p w14:paraId="3A7DB32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法定代表人身份证明和法定代表人授权书</w:t>
            </w:r>
          </w:p>
        </w:tc>
        <w:tc>
          <w:tcPr>
            <w:tcW w:w="6302" w:type="dxa"/>
            <w:vAlign w:val="center"/>
          </w:tcPr>
          <w:p w14:paraId="7A6ECB0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投标文件由法定代表人签字的，提供“法定代表人身份证明”。</w:t>
            </w:r>
          </w:p>
          <w:p w14:paraId="68A3A5AF">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投标文件由授权代表签字的，提供法定代表人授权书。</w:t>
            </w:r>
          </w:p>
        </w:tc>
      </w:tr>
      <w:tr w14:paraId="1B45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56" w:type="dxa"/>
            <w:vAlign w:val="center"/>
          </w:tcPr>
          <w:p w14:paraId="7A610FA1">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2279" w:type="dxa"/>
            <w:vAlign w:val="center"/>
          </w:tcPr>
          <w:p w14:paraId="0F24DDD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投标文件的签署盖章</w:t>
            </w:r>
          </w:p>
        </w:tc>
        <w:tc>
          <w:tcPr>
            <w:tcW w:w="6302" w:type="dxa"/>
            <w:vAlign w:val="center"/>
          </w:tcPr>
          <w:p w14:paraId="736AB62B">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按采购文件要求签署、签章。</w:t>
            </w:r>
          </w:p>
        </w:tc>
      </w:tr>
      <w:tr w14:paraId="65A7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restart"/>
            <w:vAlign w:val="center"/>
          </w:tcPr>
          <w:p w14:paraId="726F2A7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2279" w:type="dxa"/>
            <w:vMerge w:val="restart"/>
            <w:vAlign w:val="center"/>
          </w:tcPr>
          <w:p w14:paraId="4C8F13F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投标报价</w:t>
            </w:r>
          </w:p>
        </w:tc>
        <w:tc>
          <w:tcPr>
            <w:tcW w:w="6302" w:type="dxa"/>
            <w:vAlign w:val="center"/>
          </w:tcPr>
          <w:p w14:paraId="0EFC21A4">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本次公开招标设有最高限价，投标报价超出最高限价的，投标无效。</w:t>
            </w:r>
          </w:p>
        </w:tc>
      </w:tr>
      <w:tr w14:paraId="5575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59A65074">
            <w:pPr>
              <w:spacing w:line="440" w:lineRule="exact"/>
              <w:jc w:val="center"/>
              <w:rPr>
                <w:rFonts w:hint="eastAsia" w:asciiTheme="minorEastAsia" w:hAnsiTheme="minorEastAsia" w:eastAsiaTheme="minorEastAsia" w:cstheme="minorEastAsia"/>
                <w:color w:val="auto"/>
                <w:sz w:val="24"/>
                <w:szCs w:val="24"/>
              </w:rPr>
            </w:pPr>
          </w:p>
        </w:tc>
        <w:tc>
          <w:tcPr>
            <w:tcW w:w="2279" w:type="dxa"/>
            <w:vMerge w:val="continue"/>
            <w:vAlign w:val="center"/>
          </w:tcPr>
          <w:p w14:paraId="79601478">
            <w:pPr>
              <w:spacing w:line="440" w:lineRule="exact"/>
              <w:jc w:val="center"/>
              <w:rPr>
                <w:rFonts w:hint="eastAsia" w:asciiTheme="minorEastAsia" w:hAnsiTheme="minorEastAsia" w:eastAsiaTheme="minorEastAsia" w:cstheme="minorEastAsia"/>
                <w:color w:val="auto"/>
                <w:sz w:val="24"/>
                <w:szCs w:val="24"/>
              </w:rPr>
            </w:pPr>
          </w:p>
        </w:tc>
        <w:tc>
          <w:tcPr>
            <w:tcW w:w="6302" w:type="dxa"/>
          </w:tcPr>
          <w:p w14:paraId="3FBB721D">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委员会认为投标人的报价明显低于其他通过初步审查的投标人的报价，有可能影响服务质量或者不能诚信履约的，应当要求其在评标现场合理的时间内提供书面说明，必要时提交相关证明材料；投标人不能证明其报价合理性的，评标委员会应当将其作为无效投标处理。</w:t>
            </w:r>
          </w:p>
        </w:tc>
      </w:tr>
      <w:tr w14:paraId="1A70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restart"/>
            <w:vAlign w:val="center"/>
          </w:tcPr>
          <w:p w14:paraId="39B3B88D">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2279" w:type="dxa"/>
            <w:vMerge w:val="restart"/>
            <w:vAlign w:val="center"/>
          </w:tcPr>
          <w:p w14:paraId="3ABEEEFC">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其他</w:t>
            </w:r>
          </w:p>
        </w:tc>
        <w:tc>
          <w:tcPr>
            <w:tcW w:w="6302" w:type="dxa"/>
            <w:vAlign w:val="center"/>
          </w:tcPr>
          <w:p w14:paraId="370AF4C3">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对同个子包不允许提供两个投标方案。</w:t>
            </w:r>
          </w:p>
        </w:tc>
      </w:tr>
      <w:tr w14:paraId="3AB8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76399A03">
            <w:pPr>
              <w:spacing w:line="440" w:lineRule="exact"/>
              <w:rPr>
                <w:rFonts w:hint="eastAsia" w:asciiTheme="minorEastAsia" w:hAnsiTheme="minorEastAsia" w:eastAsiaTheme="minorEastAsia" w:cstheme="minorEastAsia"/>
                <w:color w:val="auto"/>
                <w:sz w:val="24"/>
                <w:szCs w:val="24"/>
              </w:rPr>
            </w:pPr>
          </w:p>
        </w:tc>
        <w:tc>
          <w:tcPr>
            <w:tcW w:w="2279" w:type="dxa"/>
            <w:vMerge w:val="continue"/>
            <w:vAlign w:val="center"/>
          </w:tcPr>
          <w:p w14:paraId="27CA9964">
            <w:pPr>
              <w:spacing w:line="440" w:lineRule="exact"/>
              <w:rPr>
                <w:rFonts w:hint="eastAsia" w:asciiTheme="minorEastAsia" w:hAnsiTheme="minorEastAsia" w:eastAsiaTheme="minorEastAsia" w:cstheme="minorEastAsia"/>
                <w:color w:val="auto"/>
                <w:sz w:val="24"/>
                <w:szCs w:val="24"/>
              </w:rPr>
            </w:pPr>
          </w:p>
        </w:tc>
        <w:tc>
          <w:tcPr>
            <w:tcW w:w="6302" w:type="dxa"/>
            <w:vAlign w:val="center"/>
          </w:tcPr>
          <w:p w14:paraId="5E675D9F">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不含有招标人不能接受的附加条件。</w:t>
            </w:r>
          </w:p>
        </w:tc>
      </w:tr>
      <w:tr w14:paraId="63E6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7E4D9B65">
            <w:pPr>
              <w:spacing w:line="440" w:lineRule="exact"/>
              <w:rPr>
                <w:rFonts w:hint="eastAsia" w:asciiTheme="minorEastAsia" w:hAnsiTheme="minorEastAsia" w:eastAsiaTheme="minorEastAsia" w:cstheme="minorEastAsia"/>
                <w:color w:val="auto"/>
                <w:sz w:val="24"/>
                <w:szCs w:val="24"/>
              </w:rPr>
            </w:pPr>
          </w:p>
        </w:tc>
        <w:tc>
          <w:tcPr>
            <w:tcW w:w="2279" w:type="dxa"/>
            <w:vMerge w:val="continue"/>
            <w:vAlign w:val="center"/>
          </w:tcPr>
          <w:p w14:paraId="5A40A56D">
            <w:pPr>
              <w:spacing w:line="440" w:lineRule="exact"/>
              <w:rPr>
                <w:rFonts w:hint="eastAsia" w:asciiTheme="minorEastAsia" w:hAnsiTheme="minorEastAsia" w:eastAsiaTheme="minorEastAsia" w:cstheme="minorEastAsia"/>
                <w:color w:val="auto"/>
                <w:sz w:val="24"/>
                <w:szCs w:val="24"/>
              </w:rPr>
            </w:pPr>
          </w:p>
        </w:tc>
        <w:tc>
          <w:tcPr>
            <w:tcW w:w="6302" w:type="dxa"/>
            <w:vAlign w:val="center"/>
          </w:tcPr>
          <w:p w14:paraId="58ADA22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符合采购文件要求的，未发生与采购文件中标注“*”的条款实质性偏离的。</w:t>
            </w:r>
          </w:p>
        </w:tc>
      </w:tr>
      <w:tr w14:paraId="1FDA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76C41722">
            <w:pPr>
              <w:spacing w:line="440" w:lineRule="exact"/>
              <w:rPr>
                <w:rFonts w:hint="eastAsia" w:asciiTheme="minorEastAsia" w:hAnsiTheme="minorEastAsia" w:eastAsiaTheme="minorEastAsia" w:cstheme="minorEastAsia"/>
                <w:color w:val="auto"/>
                <w:sz w:val="24"/>
                <w:szCs w:val="24"/>
              </w:rPr>
            </w:pPr>
          </w:p>
        </w:tc>
        <w:tc>
          <w:tcPr>
            <w:tcW w:w="2279" w:type="dxa"/>
            <w:vMerge w:val="continue"/>
            <w:vAlign w:val="center"/>
          </w:tcPr>
          <w:p w14:paraId="0649AA7B">
            <w:pPr>
              <w:spacing w:line="440" w:lineRule="exact"/>
              <w:rPr>
                <w:rFonts w:hint="eastAsia" w:asciiTheme="minorEastAsia" w:hAnsiTheme="minorEastAsia" w:eastAsiaTheme="minorEastAsia" w:cstheme="minorEastAsia"/>
                <w:color w:val="auto"/>
                <w:sz w:val="24"/>
                <w:szCs w:val="24"/>
              </w:rPr>
            </w:pPr>
          </w:p>
        </w:tc>
        <w:tc>
          <w:tcPr>
            <w:tcW w:w="6302" w:type="dxa"/>
            <w:vAlign w:val="center"/>
          </w:tcPr>
          <w:p w14:paraId="5E9F9EF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投标文件格式规范、提供资料齐全或者未提供任何虚假材料或从事其他违法活动的。</w:t>
            </w:r>
          </w:p>
        </w:tc>
      </w:tr>
      <w:tr w14:paraId="6B38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41C0A7F7">
            <w:pPr>
              <w:spacing w:line="440" w:lineRule="exact"/>
              <w:rPr>
                <w:rFonts w:hint="eastAsia" w:asciiTheme="minorEastAsia" w:hAnsiTheme="minorEastAsia" w:eastAsiaTheme="minorEastAsia" w:cstheme="minorEastAsia"/>
                <w:color w:val="auto"/>
                <w:sz w:val="24"/>
                <w:szCs w:val="24"/>
              </w:rPr>
            </w:pPr>
          </w:p>
        </w:tc>
        <w:tc>
          <w:tcPr>
            <w:tcW w:w="2279" w:type="dxa"/>
            <w:vMerge w:val="continue"/>
            <w:vAlign w:val="center"/>
          </w:tcPr>
          <w:p w14:paraId="17AB8682">
            <w:pPr>
              <w:spacing w:line="440" w:lineRule="exact"/>
              <w:rPr>
                <w:rFonts w:hint="eastAsia" w:asciiTheme="minorEastAsia" w:hAnsiTheme="minorEastAsia" w:eastAsiaTheme="minorEastAsia" w:cstheme="minorEastAsia"/>
                <w:color w:val="auto"/>
                <w:sz w:val="24"/>
                <w:szCs w:val="24"/>
              </w:rPr>
            </w:pPr>
          </w:p>
        </w:tc>
        <w:tc>
          <w:tcPr>
            <w:tcW w:w="6302" w:type="dxa"/>
            <w:vAlign w:val="center"/>
          </w:tcPr>
          <w:p w14:paraId="1DAA8D39">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投标文件的实质性内容使用中文表述、表述明确、前后不矛盾或者使用计量单位符合采购文件要求的（经评标委员会认定并允许其当场更正的笔误除外）。</w:t>
            </w:r>
          </w:p>
        </w:tc>
      </w:tr>
      <w:tr w14:paraId="1B77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6" w:type="dxa"/>
            <w:vMerge w:val="continue"/>
            <w:vAlign w:val="center"/>
          </w:tcPr>
          <w:p w14:paraId="4FD6DEDC">
            <w:pPr>
              <w:spacing w:line="440" w:lineRule="exact"/>
              <w:rPr>
                <w:rFonts w:hint="eastAsia" w:asciiTheme="minorEastAsia" w:hAnsiTheme="minorEastAsia" w:eastAsiaTheme="minorEastAsia" w:cstheme="minorEastAsia"/>
                <w:color w:val="auto"/>
                <w:sz w:val="24"/>
                <w:szCs w:val="24"/>
              </w:rPr>
            </w:pPr>
          </w:p>
        </w:tc>
        <w:tc>
          <w:tcPr>
            <w:tcW w:w="2279" w:type="dxa"/>
            <w:vMerge w:val="continue"/>
            <w:vAlign w:val="center"/>
          </w:tcPr>
          <w:p w14:paraId="5A697EF4">
            <w:pPr>
              <w:spacing w:line="440" w:lineRule="exact"/>
              <w:rPr>
                <w:rFonts w:hint="eastAsia" w:asciiTheme="minorEastAsia" w:hAnsiTheme="minorEastAsia" w:eastAsiaTheme="minorEastAsia" w:cstheme="minorEastAsia"/>
                <w:color w:val="auto"/>
                <w:sz w:val="24"/>
                <w:szCs w:val="24"/>
              </w:rPr>
            </w:pPr>
          </w:p>
        </w:tc>
        <w:tc>
          <w:tcPr>
            <w:tcW w:w="6302" w:type="dxa"/>
            <w:vAlign w:val="center"/>
          </w:tcPr>
          <w:p w14:paraId="27892466">
            <w:pPr>
              <w:widowControl/>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未发现法律、法规和采购文件规定的其他无效情形。</w:t>
            </w:r>
          </w:p>
        </w:tc>
      </w:tr>
    </w:tbl>
    <w:p w14:paraId="5E26CF7C">
      <w:pPr>
        <w:spacing w:line="440" w:lineRule="exact"/>
        <w:ind w:firstLine="470"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注：上述审查项目中，任意一项不符合的，符合性审查不合格。</w:t>
      </w:r>
    </w:p>
    <w:p w14:paraId="7A1B9098">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3.澄清问题</w:t>
      </w:r>
    </w:p>
    <w:p w14:paraId="403D425E">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由评标委员会对投标文件审查中发现的投标文件中含义不明确、同类问题表述不一致或者有明显文字和计算错误的内容，以及评标委员会认为需要进一步确认的其他内容，评标委员会将以书面形式并通过询标的方式要求投标人到场作出必要澄清、说明或者补正。投标人必须按照评标委员会委托采购代理机构通知的时间、地点安排技术或商务人员进行答疑和澄清，未响应澄清安排的通知到场进行答疑和澄清，将被视作自动放弃并承担后果。</w:t>
      </w:r>
    </w:p>
    <w:p w14:paraId="5DA5D7C9">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投标人的澄清、说明或者补正应当采用书面形式，并加盖公章，或者由法定代表人或其授权的代表签字。书面澄清将作为投标内容的一部分。</w:t>
      </w:r>
    </w:p>
    <w:p w14:paraId="080856BF">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投标人的澄清、说明或者补正不得超出投标文件的范围或者改变投标文件的实质性内容。</w:t>
      </w:r>
    </w:p>
    <w:p w14:paraId="4D9E2AC3">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询标的次序和时间是根据评委对投标文件审查的具体情况安排的，如果评委认为已经理解或不需要澄清的投标文件，将可能不再安排投标人进行询标。</w:t>
      </w:r>
    </w:p>
    <w:p w14:paraId="4796AD5A">
      <w:pPr>
        <w:pStyle w:val="21"/>
        <w:spacing w:line="440" w:lineRule="exact"/>
        <w:ind w:left="473" w:firstLine="0" w:firstLineChars="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4.详细评审</w:t>
      </w:r>
    </w:p>
    <w:p w14:paraId="72CCAC02">
      <w:pPr>
        <w:pStyle w:val="21"/>
        <w:spacing w:line="440" w:lineRule="exact"/>
        <w:ind w:firstLine="480" w:firstLineChars="20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评标委员会对通过符合性审查的投标文件，依照本办法对技术、商务内容作进一步评审、比较。评标委员会成员经过阅标、审标和询标，对各投标人进行综合打分。</w:t>
      </w:r>
    </w:p>
    <w:p w14:paraId="5E45D024">
      <w:pPr>
        <w:widowControl/>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委打分参照本部分附表：评分标准表。技术商务得分由各评标委员会成员打分，根据投标人的投标文件及相关澄清文件，进行独立打分。价格分由评标委员会统一核算。评委打分采用记名方式，取所有评委汇总得分的算术平均分（小数点后保留两位小数）。</w:t>
      </w:r>
    </w:p>
    <w:p w14:paraId="7ADD4BAD">
      <w:pPr>
        <w:widowControl/>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注：评标委员会认为投标文件无效的，应组织相关投标人代表进行陈述、澄清或申辩。</w:t>
      </w:r>
    </w:p>
    <w:p w14:paraId="387BD726">
      <w:pPr>
        <w:widowControl/>
        <w:spacing w:line="44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标委员会认为投标人报价明显低于其它通过符合性审查投标人的报价，有可能影响服务质量或者不能诚信履约的，应当要求其在评标现场合理的时间内提供书面说明，必要时提供相关证明材料；投标人不能证明其报价合理性的，评标委员会应当将其作为无效标处理。</w:t>
      </w:r>
    </w:p>
    <w:p w14:paraId="33E68A22">
      <w:pPr>
        <w:widowControl/>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代理机构可协助评标委员会组长评委对打分结果进行校对、核对并汇总统计；对明显畸高、畸低的评分（其总评分偏离平均分30%以上的），评标委员会组长评委应提醒相关评标委员会成员进行复核或书面说明理由，评标委员会成员拒绝说明的，由现场监督员据实记录；评标委员会成员的评审、修改记录应保留原件，随项目其他资料一并存档。</w:t>
      </w:r>
    </w:p>
    <w:p w14:paraId="41197B32">
      <w:pPr>
        <w:pStyle w:val="21"/>
        <w:spacing w:line="440" w:lineRule="exact"/>
        <w:ind w:left="473" w:firstLine="0" w:firstLineChars="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5.确定中标候选人名单</w:t>
      </w:r>
    </w:p>
    <w:p w14:paraId="5FE7ACBC">
      <w:pPr>
        <w:widowControl/>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委员会根据投标人的综合得分高低排定顺序，推荐综合得分排名第一的投标人为本项目的中标候选人。如投标人综合得分相同的则价格低者优先中标；若技术商务得分也相同，则由投标人抽签决定。如评标过程中出现本采购文件未尽事宜，则由评标委员会讨论决定。</w:t>
      </w:r>
    </w:p>
    <w:p w14:paraId="79748AA0">
      <w:pPr>
        <w:pStyle w:val="21"/>
        <w:spacing w:line="440" w:lineRule="exact"/>
        <w:ind w:left="471" w:firstLine="0" w:firstLineChars="0"/>
        <w:rPr>
          <w:rFonts w:hint="eastAsia" w:asciiTheme="minorEastAsia" w:hAnsiTheme="minorEastAsia" w:eastAsiaTheme="minorEastAsia" w:cstheme="minorEastAsia"/>
          <w:b w:val="0"/>
          <w:bCs w:val="0"/>
          <w:color w:val="auto"/>
          <w:sz w:val="24"/>
          <w:szCs w:val="24"/>
        </w:rPr>
      </w:pPr>
      <w:r>
        <w:rPr>
          <w:rFonts w:hint="eastAsia" w:asciiTheme="minorEastAsia" w:hAnsiTheme="minorEastAsia" w:eastAsiaTheme="minorEastAsia" w:cstheme="minorEastAsia"/>
          <w:b w:val="0"/>
          <w:bCs w:val="0"/>
          <w:color w:val="auto"/>
          <w:sz w:val="24"/>
          <w:szCs w:val="24"/>
        </w:rPr>
        <w:t>6.编写评标报告</w:t>
      </w:r>
    </w:p>
    <w:p w14:paraId="0C83ED63">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评标委员会根据全体评标成员签字的原始评标记录和评标结果编写评标报告；评标结束。</w:t>
      </w:r>
    </w:p>
    <w:p w14:paraId="52312319">
      <w:pPr>
        <w:pStyle w:val="27"/>
        <w:spacing w:before="0" w:after="0" w:line="440" w:lineRule="exact"/>
        <w:ind w:firstLine="472" w:firstLineChars="196"/>
        <w:jc w:val="both"/>
        <w:rPr>
          <w:rFonts w:hint="eastAsia" w:asciiTheme="minorEastAsia" w:hAnsiTheme="minorEastAsia" w:eastAsiaTheme="minorEastAsia" w:cstheme="minorEastAsia"/>
          <w:color w:val="auto"/>
          <w:sz w:val="24"/>
          <w:szCs w:val="24"/>
        </w:rPr>
      </w:pPr>
      <w:bookmarkStart w:id="281" w:name="_Toc26234"/>
      <w:bookmarkStart w:id="282" w:name="_Toc97726042"/>
      <w:bookmarkStart w:id="283" w:name="_Toc81480955"/>
      <w:bookmarkStart w:id="284" w:name="_Toc39877708"/>
      <w:r>
        <w:rPr>
          <w:rFonts w:hint="eastAsia" w:asciiTheme="minorEastAsia" w:hAnsiTheme="minorEastAsia" w:eastAsiaTheme="minorEastAsia" w:cstheme="minorEastAsia"/>
          <w:color w:val="auto"/>
          <w:sz w:val="24"/>
          <w:szCs w:val="24"/>
        </w:rPr>
        <w:t>四、投标无效的情形</w:t>
      </w:r>
      <w:bookmarkEnd w:id="281"/>
      <w:bookmarkEnd w:id="282"/>
      <w:bookmarkEnd w:id="283"/>
      <w:bookmarkEnd w:id="284"/>
    </w:p>
    <w:p w14:paraId="03716755">
      <w:pPr>
        <w:spacing w:line="440" w:lineRule="exact"/>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没有响应采购文件实质性要求的投标将被视为无效投标。投标人不得通过修正或撤消不合要求的偏离或保留从而使其投标成为实质上响应的投标。</w:t>
      </w:r>
    </w:p>
    <w:p w14:paraId="466D5AB3">
      <w:pPr>
        <w:pStyle w:val="15"/>
        <w:widowControl/>
        <w:spacing w:line="440" w:lineRule="exact"/>
        <w:ind w:firstLine="454"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1.在资格审查时，如发现下列情形之一的，投标文件将被视为无效：</w:t>
      </w:r>
    </w:p>
    <w:p w14:paraId="588257A5">
      <w:pPr>
        <w:pStyle w:val="15"/>
        <w:widowControl/>
        <w:numPr>
          <w:ilvl w:val="0"/>
          <w:numId w:val="12"/>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资格证明文件不全的或者不符合采购文件标明的资格要求的；</w:t>
      </w:r>
    </w:p>
    <w:p w14:paraId="66E3DA16">
      <w:pPr>
        <w:pStyle w:val="15"/>
        <w:widowControl/>
        <w:numPr>
          <w:ilvl w:val="0"/>
          <w:numId w:val="12"/>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投标人资格声明函无法定代表人或授权代表签名或盖章；</w:t>
      </w:r>
    </w:p>
    <w:p w14:paraId="2932789C">
      <w:pPr>
        <w:pStyle w:val="15"/>
        <w:widowControl/>
        <w:spacing w:line="440" w:lineRule="exact"/>
        <w:ind w:firstLine="454"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2.在符合性审查时，如发现下列情形之一的，投标文件将被视为无效：</w:t>
      </w:r>
    </w:p>
    <w:p w14:paraId="6CC72F2E">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投标文件未按采购文件要求签署、签章的；</w:t>
      </w:r>
    </w:p>
    <w:p w14:paraId="1FC5D30D">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投标有效期不满足采购文件要求的；</w:t>
      </w:r>
    </w:p>
    <w:p w14:paraId="3A2C7CD1">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snapToGrid w:val="0"/>
          <w:color w:val="auto"/>
          <w:sz w:val="24"/>
          <w:szCs w:val="24"/>
        </w:rPr>
        <w:t>明显不符合采购文件要求的，或者与</w:t>
      </w:r>
      <w:r>
        <w:rPr>
          <w:rFonts w:hint="eastAsia" w:asciiTheme="minorEastAsia" w:hAnsiTheme="minorEastAsia" w:eastAsiaTheme="minorEastAsia" w:cstheme="minorEastAsia"/>
          <w:bCs/>
          <w:color w:val="auto"/>
          <w:sz w:val="24"/>
          <w:szCs w:val="24"/>
        </w:rPr>
        <w:t>采购文件中标注“*”的条款发生实质性负偏离的；</w:t>
      </w:r>
    </w:p>
    <w:p w14:paraId="26E6D44C">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投标文件中含有</w:t>
      </w:r>
      <w:r>
        <w:rPr>
          <w:rFonts w:hint="eastAsia" w:asciiTheme="minorEastAsia" w:hAnsiTheme="minorEastAsia" w:eastAsiaTheme="minorEastAsia" w:cstheme="minorEastAsia"/>
          <w:bCs/>
          <w:color w:val="auto"/>
          <w:sz w:val="24"/>
          <w:szCs w:val="24"/>
          <w:lang w:eastAsia="zh-CN"/>
        </w:rPr>
        <w:t>招标人</w:t>
      </w:r>
      <w:r>
        <w:rPr>
          <w:rFonts w:hint="eastAsia" w:asciiTheme="minorEastAsia" w:hAnsiTheme="minorEastAsia" w:eastAsiaTheme="minorEastAsia" w:cstheme="minorEastAsia"/>
          <w:bCs/>
          <w:color w:val="auto"/>
          <w:sz w:val="24"/>
          <w:szCs w:val="24"/>
        </w:rPr>
        <w:t>不能接受的附加条件的；</w:t>
      </w:r>
    </w:p>
    <w:p w14:paraId="30DE3826">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委托人未提供法定代表人授权委托书或填写项目不齐全的；</w:t>
      </w:r>
    </w:p>
    <w:p w14:paraId="41B31131">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投标文件格式不规范、提供资料不齐全或者内容虚假的；</w:t>
      </w:r>
    </w:p>
    <w:p w14:paraId="10724BA4">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投标文件的实质性内容未使用中文表述、表述不明确、前后矛盾或者使用计量单位不符合采购文件要求的（经评标委员会认定并允许其当场更正的笔误除外）；</w:t>
      </w:r>
    </w:p>
    <w:p w14:paraId="2FF9E0AE">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投标文件的关键内容字迹模糊、无法辨认的，或者投标文件中经修正的内容字迹模糊难以辩认或者修改处未按规定签署、盖章的；</w:t>
      </w:r>
    </w:p>
    <w:p w14:paraId="036886D1">
      <w:pPr>
        <w:pStyle w:val="15"/>
        <w:widowControl/>
        <w:numPr>
          <w:ilvl w:val="0"/>
          <w:numId w:val="13"/>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法律、法规和采购文件规定的其他无效情形；</w:t>
      </w:r>
    </w:p>
    <w:p w14:paraId="70377DB7">
      <w:pPr>
        <w:pStyle w:val="15"/>
        <w:widowControl/>
        <w:spacing w:line="440" w:lineRule="exact"/>
        <w:ind w:firstLine="454"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3.在技术商务评审时，如发现下列情形之一的，投标文件将被视为无效：</w:t>
      </w:r>
    </w:p>
    <w:p w14:paraId="7A7F9C30">
      <w:pPr>
        <w:pStyle w:val="15"/>
        <w:widowControl/>
        <w:numPr>
          <w:ilvl w:val="0"/>
          <w:numId w:val="14"/>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未提供或未如实提供投标服务需求，或者投标文件标明的响应或偏离与事实不符或虚假投标的；</w:t>
      </w:r>
    </w:p>
    <w:p w14:paraId="7B40A6B3">
      <w:pPr>
        <w:pStyle w:val="15"/>
        <w:widowControl/>
        <w:numPr>
          <w:ilvl w:val="0"/>
          <w:numId w:val="14"/>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投标技术方案不明确，存在一个或一个以上备选（替代）投标方案的；</w:t>
      </w:r>
    </w:p>
    <w:p w14:paraId="71DA0455">
      <w:pPr>
        <w:pStyle w:val="15"/>
        <w:widowControl/>
        <w:spacing w:line="440" w:lineRule="exact"/>
        <w:ind w:firstLine="454"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4.在报价评审时，如发现下列情形之一的，投标文件将被视为无效：</w:t>
      </w:r>
    </w:p>
    <w:p w14:paraId="2888B69E">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报价超过采购文件中规定的预算金额或者最高限价的；</w:t>
      </w:r>
    </w:p>
    <w:p w14:paraId="59E070D6">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未采用投标文件要求的报价形式报价的；</w:t>
      </w:r>
    </w:p>
    <w:p w14:paraId="6413B3C1">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投标报价具有选择性；</w:t>
      </w:r>
    </w:p>
    <w:p w14:paraId="04F3A9BD">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评标委员会一致认为报价不合理的（不平衡报价）；</w:t>
      </w:r>
    </w:p>
    <w:p w14:paraId="0648D9BC">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评标委员会认为投标人的报价明显低于其他通过符合性审查投标人的报价，有可能影响服务质量或者不能诚信履约的，且不能在评标现场合理时间内提供相关证明材料说明其报价的合理性的；</w:t>
      </w:r>
    </w:p>
    <w:p w14:paraId="3429EE49">
      <w:pPr>
        <w:pStyle w:val="15"/>
        <w:widowControl/>
        <w:numPr>
          <w:ilvl w:val="0"/>
          <w:numId w:val="15"/>
        </w:numPr>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采购文件规定的其他无效情形；</w:t>
      </w:r>
    </w:p>
    <w:p w14:paraId="2911A85E">
      <w:pPr>
        <w:pStyle w:val="15"/>
        <w:widowControl/>
        <w:spacing w:line="440" w:lineRule="exact"/>
        <w:ind w:firstLine="454" w:firstLineChars="196"/>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5.被拒绝的投标文件为无效。</w:t>
      </w:r>
      <w:bookmarkEnd w:id="268"/>
      <w:bookmarkEnd w:id="269"/>
      <w:bookmarkEnd w:id="278"/>
      <w:bookmarkEnd w:id="279"/>
      <w:bookmarkEnd w:id="280"/>
    </w:p>
    <w:p w14:paraId="329151BF">
      <w:pPr>
        <w:pStyle w:val="5"/>
        <w:numPr>
          <w:ilvl w:val="0"/>
          <w:numId w:val="0"/>
        </w:numPr>
        <w:spacing w:before="0" w:after="0" w:line="440" w:lineRule="exact"/>
        <w:rPr>
          <w:rFonts w:hint="eastAsia" w:asciiTheme="minorEastAsia" w:hAnsiTheme="minorEastAsia" w:eastAsiaTheme="minorEastAsia" w:cstheme="minorEastAsia"/>
          <w:b w:val="0"/>
          <w:color w:val="auto"/>
          <w:sz w:val="24"/>
          <w:szCs w:val="24"/>
        </w:rPr>
      </w:pPr>
      <w:r>
        <w:rPr>
          <w:rFonts w:hint="eastAsia" w:asciiTheme="minorEastAsia" w:hAnsiTheme="minorEastAsia" w:eastAsiaTheme="minorEastAsia" w:cstheme="minorEastAsia"/>
          <w:color w:val="auto"/>
          <w:sz w:val="24"/>
          <w:szCs w:val="24"/>
        </w:rPr>
        <w:br w:type="page"/>
      </w:r>
      <w:bookmarkStart w:id="285" w:name="_Toc21694"/>
      <w:r>
        <w:rPr>
          <w:rFonts w:hint="eastAsia" w:asciiTheme="minorEastAsia" w:hAnsiTheme="minorEastAsia" w:eastAsiaTheme="minorEastAsia" w:cstheme="minorEastAsia"/>
          <w:color w:val="auto"/>
          <w:kern w:val="28"/>
          <w:sz w:val="24"/>
          <w:szCs w:val="24"/>
        </w:rPr>
        <w:t>五、评分标准</w:t>
      </w:r>
      <w:bookmarkEnd w:id="285"/>
    </w:p>
    <w:p w14:paraId="2817D3E5">
      <w:pPr>
        <w:widowControl/>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评委打分表</w:t>
      </w:r>
    </w:p>
    <w:tbl>
      <w:tblPr>
        <w:tblStyle w:val="37"/>
        <w:tblW w:w="9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288"/>
        <w:gridCol w:w="5575"/>
        <w:gridCol w:w="705"/>
        <w:gridCol w:w="955"/>
      </w:tblGrid>
      <w:tr w14:paraId="47C85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8" w:hRule="atLeast"/>
          <w:tblHeader/>
          <w:jc w:val="center"/>
        </w:trPr>
        <w:tc>
          <w:tcPr>
            <w:tcW w:w="1262" w:type="dxa"/>
            <w:vAlign w:val="center"/>
          </w:tcPr>
          <w:p w14:paraId="4D5C40CF">
            <w:pPr>
              <w:spacing w:line="320" w:lineRule="exact"/>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评分项目</w:t>
            </w:r>
          </w:p>
        </w:tc>
        <w:tc>
          <w:tcPr>
            <w:tcW w:w="6863" w:type="dxa"/>
            <w:gridSpan w:val="2"/>
            <w:vAlign w:val="center"/>
          </w:tcPr>
          <w:p w14:paraId="2C22F3A6">
            <w:pPr>
              <w:spacing w:line="320" w:lineRule="exact"/>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评标要点及说明</w:t>
            </w:r>
          </w:p>
        </w:tc>
        <w:tc>
          <w:tcPr>
            <w:tcW w:w="705" w:type="dxa"/>
            <w:vAlign w:val="center"/>
          </w:tcPr>
          <w:p w14:paraId="66C11A26">
            <w:pPr>
              <w:widowControl/>
              <w:tabs>
                <w:tab w:val="left" w:pos="0"/>
              </w:tabs>
              <w:autoSpaceDE w:val="0"/>
              <w:autoSpaceDN w:val="0"/>
              <w:spacing w:line="300" w:lineRule="exact"/>
              <w:jc w:val="center"/>
              <w:rPr>
                <w:rFonts w:hint="eastAsia" w:asciiTheme="minorEastAsia" w:hAnsiTheme="minorEastAsia" w:eastAsiaTheme="minorEastAsia" w:cstheme="minorEastAsia"/>
                <w:b/>
                <w:bCs/>
                <w:color w:val="auto"/>
                <w:kern w:val="0"/>
                <w:sz w:val="24"/>
                <w:szCs w:val="24"/>
                <w:lang w:val="zh-CN"/>
              </w:rPr>
            </w:pPr>
            <w:r>
              <w:rPr>
                <w:rFonts w:hint="eastAsia" w:asciiTheme="minorEastAsia" w:hAnsiTheme="minorEastAsia" w:eastAsiaTheme="minorEastAsia" w:cstheme="minorEastAsia"/>
                <w:b/>
                <w:bCs/>
                <w:color w:val="auto"/>
                <w:kern w:val="0"/>
                <w:sz w:val="24"/>
                <w:szCs w:val="24"/>
                <w:lang w:val="zh-CN"/>
              </w:rPr>
              <w:t>分值</w:t>
            </w:r>
          </w:p>
        </w:tc>
        <w:tc>
          <w:tcPr>
            <w:tcW w:w="955" w:type="dxa"/>
            <w:vAlign w:val="center"/>
          </w:tcPr>
          <w:p w14:paraId="14406AD0">
            <w:pPr>
              <w:widowControl/>
              <w:tabs>
                <w:tab w:val="left" w:pos="0"/>
              </w:tabs>
              <w:autoSpaceDE w:val="0"/>
              <w:autoSpaceDN w:val="0"/>
              <w:spacing w:line="300" w:lineRule="exact"/>
              <w:jc w:val="center"/>
              <w:rPr>
                <w:rFonts w:hint="eastAsia" w:asciiTheme="minorEastAsia" w:hAnsiTheme="minorEastAsia" w:eastAsiaTheme="minorEastAsia" w:cstheme="minorEastAsia"/>
                <w:b/>
                <w:bCs/>
                <w:color w:val="auto"/>
                <w:kern w:val="0"/>
                <w:sz w:val="24"/>
                <w:szCs w:val="24"/>
                <w:lang w:val="zh-CN"/>
              </w:rPr>
            </w:pPr>
            <w:r>
              <w:rPr>
                <w:rFonts w:hint="eastAsia" w:asciiTheme="minorEastAsia" w:hAnsiTheme="minorEastAsia" w:eastAsiaTheme="minorEastAsia" w:cstheme="minorEastAsia"/>
                <w:b/>
                <w:bCs/>
                <w:color w:val="auto"/>
                <w:kern w:val="0"/>
                <w:sz w:val="24"/>
                <w:szCs w:val="24"/>
                <w:lang w:val="zh-CN"/>
              </w:rPr>
              <w:t>备注</w:t>
            </w:r>
          </w:p>
        </w:tc>
      </w:tr>
      <w:tr w14:paraId="071A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00" w:hRule="atLeast"/>
          <w:jc w:val="center"/>
        </w:trPr>
        <w:tc>
          <w:tcPr>
            <w:tcW w:w="1262" w:type="dxa"/>
            <w:vAlign w:val="center"/>
          </w:tcPr>
          <w:p w14:paraId="60EDA453">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价格分</w:t>
            </w:r>
          </w:p>
          <w:p w14:paraId="31EA024F">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（30分）</w:t>
            </w:r>
          </w:p>
        </w:tc>
        <w:tc>
          <w:tcPr>
            <w:tcW w:w="6863" w:type="dxa"/>
            <w:gridSpan w:val="2"/>
            <w:vAlign w:val="center"/>
          </w:tcPr>
          <w:p w14:paraId="15A27E9F">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评标基准价指的是满足招标文件要求且最低的参与评审的价格。</w:t>
            </w:r>
          </w:p>
          <w:p w14:paraId="40E0C742">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参与评审的价格=投标报价。</w:t>
            </w:r>
          </w:p>
          <w:p w14:paraId="086CA36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参与评审的价格为评标基准价的其价格得分得满分30分。</w:t>
            </w:r>
          </w:p>
          <w:p w14:paraId="77E21382">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其他投标人价格得分按照下列公式计算：</w:t>
            </w:r>
          </w:p>
          <w:p w14:paraId="62652E5D">
            <w:pPr>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价格得分=（评标基准价/参与评审的价格）×30%×100。</w:t>
            </w:r>
          </w:p>
        </w:tc>
        <w:tc>
          <w:tcPr>
            <w:tcW w:w="705" w:type="dxa"/>
            <w:vAlign w:val="center"/>
          </w:tcPr>
          <w:p w14:paraId="33C0CB13">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30</w:t>
            </w:r>
          </w:p>
        </w:tc>
        <w:tc>
          <w:tcPr>
            <w:tcW w:w="955" w:type="dxa"/>
            <w:vAlign w:val="center"/>
          </w:tcPr>
          <w:p w14:paraId="312A2F34">
            <w:pPr>
              <w:adjustRightInd w:val="0"/>
              <w:snapToGrid w:val="0"/>
              <w:spacing w:line="400" w:lineRule="exact"/>
              <w:jc w:val="center"/>
              <w:rPr>
                <w:rFonts w:hint="eastAsia" w:asciiTheme="minorEastAsia" w:hAnsiTheme="minorEastAsia" w:eastAsiaTheme="minorEastAsia" w:cstheme="minorEastAsia"/>
                <w:color w:val="auto"/>
                <w:sz w:val="24"/>
                <w:szCs w:val="24"/>
                <w:lang w:val="zh-CN"/>
              </w:rPr>
            </w:pPr>
            <w:r>
              <w:rPr>
                <w:rFonts w:hint="eastAsia" w:asciiTheme="minorEastAsia" w:hAnsiTheme="minorEastAsia" w:eastAsiaTheme="minorEastAsia" w:cstheme="minorEastAsia"/>
                <w:color w:val="auto"/>
                <w:sz w:val="24"/>
                <w:szCs w:val="24"/>
                <w:lang w:val="zh-CN"/>
              </w:rPr>
              <w:t>客观评审</w:t>
            </w:r>
          </w:p>
        </w:tc>
      </w:tr>
      <w:tr w14:paraId="7B295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4" w:hRule="atLeast"/>
          <w:jc w:val="center"/>
        </w:trPr>
        <w:tc>
          <w:tcPr>
            <w:tcW w:w="1262" w:type="dxa"/>
            <w:vMerge w:val="restart"/>
            <w:vAlign w:val="center"/>
          </w:tcPr>
          <w:p w14:paraId="7B011F51">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商务</w:t>
            </w:r>
          </w:p>
          <w:p w14:paraId="239E94C4">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技术分</w:t>
            </w:r>
          </w:p>
          <w:p w14:paraId="0CD89900">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（70分）</w:t>
            </w:r>
          </w:p>
        </w:tc>
        <w:tc>
          <w:tcPr>
            <w:tcW w:w="1288" w:type="dxa"/>
            <w:vAlign w:val="center"/>
          </w:tcPr>
          <w:p w14:paraId="2B5E39F2">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1、对招标文件的技术响应（15分）</w:t>
            </w:r>
          </w:p>
        </w:tc>
        <w:tc>
          <w:tcPr>
            <w:tcW w:w="5575" w:type="dxa"/>
            <w:vAlign w:val="center"/>
          </w:tcPr>
          <w:p w14:paraId="1BF5629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根据供应商对招标文件的技术响应进行综合评议</w:t>
            </w:r>
          </w:p>
          <w:p w14:paraId="6A075FC8">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（1）完全响应招标文件“第二章 采购需求二采购需求清单”中所有指标的得15分。</w:t>
            </w:r>
          </w:p>
          <w:p w14:paraId="26A8D1CF">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（2）每负偏离一条技术参数指标的扣1分。</w:t>
            </w:r>
          </w:p>
          <w:p w14:paraId="2F00119E">
            <w:pPr>
              <w:adjustRightInd w:val="0"/>
              <w:snapToGrid w:val="0"/>
              <w:spacing w:line="400" w:lineRule="exact"/>
              <w:rPr>
                <w:rFonts w:hint="eastAsia" w:asciiTheme="minorEastAsia" w:hAnsiTheme="minorEastAsia" w:eastAsiaTheme="minorEastAsia" w:cstheme="minorEastAsia"/>
                <w:color w:val="auto"/>
                <w:kern w:val="0"/>
                <w:sz w:val="24"/>
                <w:szCs w:val="24"/>
                <w:highlight w:val="yellow"/>
              </w:rPr>
            </w:pPr>
            <w:r>
              <w:rPr>
                <w:rFonts w:hint="eastAsia" w:asciiTheme="minorEastAsia" w:hAnsiTheme="minorEastAsia" w:eastAsiaTheme="minorEastAsia" w:cstheme="minorEastAsia"/>
                <w:bCs/>
                <w:color w:val="auto"/>
                <w:kern w:val="0"/>
                <w:sz w:val="24"/>
                <w:szCs w:val="24"/>
              </w:rPr>
              <w:t>注：当有投标人此项分值扣减至0分时，该投标人投标将被拒绝，其投标文件作无效标处理，不再进行评审。</w:t>
            </w:r>
          </w:p>
        </w:tc>
        <w:tc>
          <w:tcPr>
            <w:tcW w:w="705" w:type="dxa"/>
            <w:vAlign w:val="center"/>
          </w:tcPr>
          <w:p w14:paraId="5DBF21B9">
            <w:pPr>
              <w:autoSpaceDE w:val="0"/>
              <w:autoSpaceDN w:val="0"/>
              <w:adjustRightInd w:val="0"/>
              <w:snapToGrid w:val="0"/>
              <w:spacing w:line="40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15</w:t>
            </w:r>
          </w:p>
        </w:tc>
        <w:tc>
          <w:tcPr>
            <w:tcW w:w="955" w:type="dxa"/>
            <w:vAlign w:val="center"/>
          </w:tcPr>
          <w:p w14:paraId="6365B15F">
            <w:pPr>
              <w:autoSpaceDE w:val="0"/>
              <w:autoSpaceDN w:val="0"/>
              <w:adjustRightInd w:val="0"/>
              <w:snapToGrid w:val="0"/>
              <w:spacing w:line="40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lang w:val="zh-CN"/>
              </w:rPr>
              <w:t>客观评审</w:t>
            </w:r>
          </w:p>
        </w:tc>
      </w:tr>
      <w:tr w14:paraId="032F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4" w:hRule="atLeast"/>
          <w:jc w:val="center"/>
        </w:trPr>
        <w:tc>
          <w:tcPr>
            <w:tcW w:w="1262" w:type="dxa"/>
            <w:vMerge w:val="continue"/>
            <w:vAlign w:val="center"/>
          </w:tcPr>
          <w:p w14:paraId="6FD790C4">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restart"/>
            <w:vAlign w:val="center"/>
          </w:tcPr>
          <w:p w14:paraId="05C40A91">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2、健康宣传阵地服务项目设计方案</w:t>
            </w:r>
          </w:p>
          <w:p w14:paraId="44CBFF1D">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15分）</w:t>
            </w:r>
          </w:p>
        </w:tc>
        <w:tc>
          <w:tcPr>
            <w:tcW w:w="5575" w:type="dxa"/>
            <w:vAlign w:val="center"/>
          </w:tcPr>
          <w:p w14:paraId="1A1A2EC0">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2.1、根据投标人提供的医院健康宣传阵地规划方案（包含但不限于规划理念、内容策划思路、布置点位等内容）进行评议：。</w:t>
            </w:r>
          </w:p>
          <w:p w14:paraId="73AC65B9">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①规划理念表达符合国家对医院发展的政策、符合医院实际需求、符合未来医院文化建设方向，方案整体内容详细、考虑周全的得5分；</w:t>
            </w:r>
          </w:p>
          <w:p w14:paraId="6A2AE792">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②规划理念表达较符合国家对医院发展的政策、较符合医院实际需求、较符合未来医院健康宣传阵地建设方向，方案整体内容较详细、考虑较周全的得3分；</w:t>
            </w:r>
          </w:p>
          <w:p w14:paraId="464CC03C">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③规划理念表达欠符合国家对医院发展的政策、欠符合医院实际需求、欠符合未来医院健康宣传阵地建设方向，方案整体内容欠详细、考虑欠周全的得1分；</w:t>
            </w:r>
          </w:p>
          <w:p w14:paraId="6B417053">
            <w:pPr>
              <w:adjustRightInd w:val="0"/>
              <w:snapToGrid w:val="0"/>
              <w:spacing w:line="400" w:lineRule="exact"/>
              <w:rPr>
                <w:rFonts w:hint="eastAsia" w:asciiTheme="minorEastAsia" w:hAnsiTheme="minorEastAsia" w:eastAsiaTheme="minorEastAsia" w:cstheme="minorEastAsia"/>
                <w:bCs/>
                <w:color w:val="auto"/>
                <w:kern w:val="0"/>
                <w:sz w:val="24"/>
                <w:szCs w:val="24"/>
                <w:lang w:val="zh-CN"/>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76DA72F9">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955" w:type="dxa"/>
            <w:vAlign w:val="center"/>
          </w:tcPr>
          <w:p w14:paraId="1B6BF1AD">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40283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3E4A6F28">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continue"/>
            <w:vAlign w:val="center"/>
          </w:tcPr>
          <w:p w14:paraId="0BD0A9AE">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p>
        </w:tc>
        <w:tc>
          <w:tcPr>
            <w:tcW w:w="5575" w:type="dxa"/>
            <w:vAlign w:val="center"/>
          </w:tcPr>
          <w:p w14:paraId="065D15B7">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2.2、根据投标人提供的医院健康宣传阵地设计方案进行评议：采购需求下招标清单中（二）规划设计清单的全部内容。</w:t>
            </w:r>
          </w:p>
          <w:p w14:paraId="2C878051">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①文案内容策划完整且符合医院实际内容、平面设计稿与实际场景3D空间模拟效果图完整且设计风格出彩的得5分；</w:t>
            </w:r>
          </w:p>
          <w:p w14:paraId="406FB4AD">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②文案内容策划不完整且较符合医院实际内容、平面设计稿与实际场景3D空间模拟效果图不完整且设计风格一般的得3分；</w:t>
            </w:r>
          </w:p>
          <w:p w14:paraId="1E0EA905">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③文案内容策划不完整且不符合医院实际内容、平面设计稿与实际场景3D空间模拟效果图不完整且设计风格差的得1分；</w:t>
            </w:r>
          </w:p>
          <w:p w14:paraId="3A92F2A5">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19E4F4F2">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955" w:type="dxa"/>
            <w:vAlign w:val="center"/>
          </w:tcPr>
          <w:p w14:paraId="0C5C6985">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76101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6" w:hRule="atLeast"/>
          <w:jc w:val="center"/>
        </w:trPr>
        <w:tc>
          <w:tcPr>
            <w:tcW w:w="1262" w:type="dxa"/>
            <w:vMerge w:val="continue"/>
            <w:vAlign w:val="center"/>
          </w:tcPr>
          <w:p w14:paraId="6B4D6604">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continue"/>
            <w:vAlign w:val="center"/>
          </w:tcPr>
          <w:p w14:paraId="47A62B47">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p>
        </w:tc>
        <w:tc>
          <w:tcPr>
            <w:tcW w:w="5575" w:type="dxa"/>
            <w:vAlign w:val="center"/>
          </w:tcPr>
          <w:p w14:paraId="23D81FA6">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2.3、根据供应商针对三楼中医区域、四楼医防护儿童管理中心区域，融入健康宣传系统规划设计的内容，提供三维动态展示效果视频方案，对视频方案进行综合评议。</w:t>
            </w:r>
          </w:p>
          <w:p w14:paraId="743F1798">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①视频演示方案内容完整丰富，能够全面传达诠释设计理念、不同角度设计效果展示、整体逻辑思路条理清晰，得5分；</w:t>
            </w:r>
          </w:p>
          <w:p w14:paraId="0A7AF009">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②视频演示方案内容一般，基本能够传达诠释设计理念、不同角度设计效果展示、整体逻辑思路条理一般，得3分；</w:t>
            </w:r>
          </w:p>
          <w:p w14:paraId="0A41873E">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③视频演示方案内容不完整，不能完整传达诠释设计理念、整体逻辑思路条理不清，得1分；</w:t>
            </w:r>
          </w:p>
          <w:p w14:paraId="7CF2EC05">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④未提供不得分。</w:t>
            </w:r>
          </w:p>
          <w:p w14:paraId="6039B579">
            <w:pPr>
              <w:pStyle w:val="2"/>
              <w:adjustRightInd w:val="0"/>
              <w:snapToGrid w:val="0"/>
              <w:spacing w:line="400" w:lineRule="exact"/>
              <w:ind w:firstLine="0" w:firstLineChars="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i w:val="0"/>
                <w:color w:val="auto"/>
                <w:sz w:val="24"/>
                <w:szCs w:val="24"/>
                <w:lang w:val="en-US" w:eastAsia="zh-CN"/>
              </w:rPr>
              <w:t>注：通过录制视频以U盘存储形式密封在电子备份文件中一并提交（未提交不得分），演示次序以开标顺序为准。如评标现场U盘读取异常或录像无法播放的视为无效果演示，本项不得分；总时间控制在10分钟以内，要求中文普通话配音。</w:t>
            </w:r>
          </w:p>
        </w:tc>
        <w:tc>
          <w:tcPr>
            <w:tcW w:w="705" w:type="dxa"/>
            <w:vAlign w:val="center"/>
          </w:tcPr>
          <w:p w14:paraId="08640187">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955" w:type="dxa"/>
            <w:vAlign w:val="center"/>
          </w:tcPr>
          <w:p w14:paraId="0A8264CC">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20352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15EF72A1">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restart"/>
            <w:vAlign w:val="center"/>
          </w:tcPr>
          <w:p w14:paraId="60BE640B">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3、新院标识服务项目设计方案</w:t>
            </w:r>
          </w:p>
          <w:p w14:paraId="3CEDA5B0">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（8分）</w:t>
            </w:r>
          </w:p>
        </w:tc>
        <w:tc>
          <w:tcPr>
            <w:tcW w:w="5575" w:type="dxa"/>
            <w:vAlign w:val="center"/>
          </w:tcPr>
          <w:p w14:paraId="19BF569F">
            <w:pPr>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3.1根据投标人提供的导视系统规划方案的总体设计思路（包含但不限于</w:t>
            </w:r>
            <w:r>
              <w:rPr>
                <w:rFonts w:hint="eastAsia" w:asciiTheme="minorEastAsia" w:hAnsiTheme="minorEastAsia" w:eastAsiaTheme="minorEastAsia" w:cstheme="minorEastAsia"/>
                <w:color w:val="auto"/>
                <w:sz w:val="24"/>
                <w:szCs w:val="24"/>
              </w:rPr>
              <w:t>车流动线、人流动线、医疗通道流程、导视节点、导视布点等内容</w:t>
            </w:r>
            <w:r>
              <w:rPr>
                <w:rFonts w:hint="eastAsia" w:asciiTheme="minorEastAsia" w:hAnsiTheme="minorEastAsia" w:eastAsiaTheme="minorEastAsia" w:cstheme="minorEastAsia"/>
                <w:bCs/>
                <w:color w:val="auto"/>
                <w:kern w:val="0"/>
                <w:sz w:val="24"/>
                <w:szCs w:val="24"/>
              </w:rPr>
              <w:t>）进行评价：</w:t>
            </w:r>
          </w:p>
          <w:p w14:paraId="741DFA68">
            <w:pPr>
              <w:tabs>
                <w:tab w:val="left" w:pos="0"/>
              </w:tabs>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①</w:t>
            </w:r>
            <w:r>
              <w:rPr>
                <w:rFonts w:hint="eastAsia" w:asciiTheme="minorEastAsia" w:hAnsiTheme="minorEastAsia" w:eastAsiaTheme="minorEastAsia" w:cstheme="minorEastAsia"/>
                <w:color w:val="auto"/>
                <w:sz w:val="24"/>
                <w:szCs w:val="24"/>
              </w:rPr>
              <w:t>空间关系、空间指引策略科学性与前瞻性强，医疗通道及流程分析科学、规划完整、设置合理、专业性强、并与医院整体功能空间及现有指引系统契合度高，得4分；</w:t>
            </w:r>
          </w:p>
          <w:p w14:paraId="32E7AD6E">
            <w:pPr>
              <w:tabs>
                <w:tab w:val="left" w:pos="0"/>
              </w:tabs>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②</w:t>
            </w:r>
            <w:r>
              <w:rPr>
                <w:rFonts w:hint="eastAsia" w:asciiTheme="minorEastAsia" w:hAnsiTheme="minorEastAsia" w:eastAsiaTheme="minorEastAsia" w:cstheme="minorEastAsia"/>
                <w:color w:val="auto"/>
                <w:sz w:val="24"/>
                <w:szCs w:val="24"/>
              </w:rPr>
              <w:t>空间关系、空间指引策略科学性与前瞻性一般或不明显，医疗  通道及流程分析、规划、设置一般、专业性一般、并与医院整体功 能空间及现有指引系统契合度中等，得3分；</w:t>
            </w:r>
          </w:p>
          <w:p w14:paraId="4E025C02">
            <w:pPr>
              <w:tabs>
                <w:tab w:val="left" w:pos="0"/>
              </w:tabs>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③</w:t>
            </w:r>
            <w:r>
              <w:rPr>
                <w:rFonts w:hint="eastAsia" w:asciiTheme="minorEastAsia" w:hAnsiTheme="minorEastAsia" w:eastAsiaTheme="minorEastAsia" w:cstheme="minorEastAsia"/>
                <w:color w:val="auto"/>
                <w:sz w:val="24"/>
                <w:szCs w:val="24"/>
              </w:rPr>
              <w:t>空间关系、空间指引策略科学性与前瞻性差，医疗通道及流程分析、规划、设置不合理、专业性不强、与医院整体功能空间及现 有指引系统契合度差，得1分。</w:t>
            </w:r>
          </w:p>
          <w:p w14:paraId="5C894362">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47095D5A">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955" w:type="dxa"/>
            <w:vAlign w:val="center"/>
          </w:tcPr>
          <w:p w14:paraId="5586140B">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7591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00F57C95">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continue"/>
            <w:vAlign w:val="center"/>
          </w:tcPr>
          <w:p w14:paraId="71C377BA">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p>
        </w:tc>
        <w:tc>
          <w:tcPr>
            <w:tcW w:w="5575" w:type="dxa"/>
            <w:vAlign w:val="center"/>
          </w:tcPr>
          <w:p w14:paraId="7F76CDC5">
            <w:pPr>
              <w:pStyle w:val="169"/>
              <w:widowControl w:val="0"/>
              <w:adjustRightInd w:val="0"/>
              <w:snapToGrid w:val="0"/>
              <w:spacing w:before="30" w:line="40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3.2、根据投标人提供的导视系统设计方案（包含但不限于室外导视</w:t>
            </w:r>
            <w:r>
              <w:rPr>
                <w:rFonts w:hint="eastAsia" w:asciiTheme="minorEastAsia" w:hAnsiTheme="minorEastAsia" w:eastAsiaTheme="minorEastAsia" w:cstheme="minorEastAsia"/>
                <w:color w:val="auto"/>
                <w:spacing w:val="-3"/>
                <w:sz w:val="24"/>
                <w:szCs w:val="24"/>
              </w:rPr>
              <w:t>、室内导视、清单的所有内容的设计方案等内容）</w:t>
            </w:r>
            <w:r>
              <w:rPr>
                <w:rFonts w:hint="eastAsia" w:asciiTheme="minorEastAsia" w:hAnsiTheme="minorEastAsia" w:eastAsiaTheme="minorEastAsia" w:cstheme="minorEastAsia"/>
                <w:bCs/>
                <w:color w:val="auto"/>
                <w:sz w:val="24"/>
                <w:szCs w:val="24"/>
              </w:rPr>
              <w:t>进行评议：</w:t>
            </w:r>
          </w:p>
          <w:p w14:paraId="7BC4C009">
            <w:pPr>
              <w:pStyle w:val="169"/>
              <w:widowControl w:val="0"/>
              <w:adjustRightInd w:val="0"/>
              <w:snapToGrid w:val="0"/>
              <w:spacing w:before="54" w:line="400" w:lineRule="exact"/>
              <w:ind w:right="109"/>
              <w:jc w:val="both"/>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①</w:t>
            </w:r>
            <w:r>
              <w:rPr>
                <w:rFonts w:hint="eastAsia" w:asciiTheme="minorEastAsia" w:hAnsiTheme="minorEastAsia" w:eastAsiaTheme="minorEastAsia" w:cstheme="minorEastAsia"/>
                <w:color w:val="auto"/>
                <w:sz w:val="24"/>
                <w:szCs w:val="24"/>
              </w:rPr>
              <w:t>设计内容完整、特点鲜明、时代同步、富有创新因素、完全契</w:t>
            </w:r>
            <w:r>
              <w:rPr>
                <w:rFonts w:hint="eastAsia" w:asciiTheme="minorEastAsia" w:hAnsiTheme="minorEastAsia" w:eastAsiaTheme="minorEastAsia" w:cstheme="minorEastAsia"/>
                <w:color w:val="auto"/>
                <w:spacing w:val="-1"/>
                <w:sz w:val="24"/>
                <w:szCs w:val="24"/>
              </w:rPr>
              <w:t>合医院实际氛围，提供不同项目的效果图不少于140张，优于招标</w:t>
            </w:r>
            <w:r>
              <w:rPr>
                <w:rFonts w:hint="eastAsia" w:asciiTheme="minorEastAsia" w:hAnsiTheme="minorEastAsia" w:eastAsiaTheme="minorEastAsia" w:cstheme="minorEastAsia"/>
                <w:color w:val="auto"/>
                <w:spacing w:val="17"/>
                <w:sz w:val="24"/>
                <w:szCs w:val="24"/>
              </w:rPr>
              <w:t>要求，得4分；</w:t>
            </w:r>
          </w:p>
          <w:p w14:paraId="26826F8F">
            <w:pPr>
              <w:pStyle w:val="169"/>
              <w:widowControl w:val="0"/>
              <w:adjustRightInd w:val="0"/>
              <w:snapToGrid w:val="0"/>
              <w:spacing w:before="63" w:line="400" w:lineRule="exact"/>
              <w:rPr>
                <w:rFonts w:hint="eastAsia" w:asciiTheme="minorEastAsia" w:hAnsiTheme="minorEastAsia" w:eastAsiaTheme="minorEastAsia" w:cstheme="minorEastAsia"/>
                <w:color w:val="auto"/>
                <w:spacing w:val="-4"/>
                <w:sz w:val="24"/>
                <w:szCs w:val="24"/>
              </w:rPr>
            </w:pPr>
            <w:r>
              <w:rPr>
                <w:rFonts w:hint="eastAsia" w:asciiTheme="minorEastAsia" w:hAnsiTheme="minorEastAsia" w:eastAsiaTheme="minorEastAsia" w:cstheme="minorEastAsia"/>
                <w:bCs/>
                <w:color w:val="auto"/>
                <w:sz w:val="24"/>
                <w:szCs w:val="24"/>
              </w:rPr>
              <w:t>②</w:t>
            </w:r>
            <w:r>
              <w:rPr>
                <w:rFonts w:hint="eastAsia" w:asciiTheme="minorEastAsia" w:hAnsiTheme="minorEastAsia" w:eastAsiaTheme="minorEastAsia" w:cstheme="minorEastAsia"/>
                <w:color w:val="auto"/>
                <w:sz w:val="24"/>
                <w:szCs w:val="24"/>
              </w:rPr>
              <w:t>设计内容完整具有一定的特点、时代同步性和创新性、基本契</w:t>
            </w:r>
            <w:r>
              <w:rPr>
                <w:rFonts w:hint="eastAsia" w:asciiTheme="minorEastAsia" w:hAnsiTheme="minorEastAsia" w:eastAsiaTheme="minorEastAsia" w:cstheme="minorEastAsia"/>
                <w:color w:val="auto"/>
                <w:spacing w:val="-3"/>
                <w:sz w:val="24"/>
                <w:szCs w:val="24"/>
              </w:rPr>
              <w:t>合医院氛围，提供的效果图不少于80张，满足招标要求，得3分</w:t>
            </w:r>
          </w:p>
          <w:p w14:paraId="6862021A">
            <w:pPr>
              <w:pStyle w:val="169"/>
              <w:widowControl w:val="0"/>
              <w:adjustRightInd w:val="0"/>
              <w:snapToGrid w:val="0"/>
              <w:spacing w:before="78"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③</w:t>
            </w:r>
            <w:r>
              <w:rPr>
                <w:rFonts w:hint="eastAsia" w:asciiTheme="minorEastAsia" w:hAnsiTheme="minorEastAsia" w:eastAsiaTheme="minorEastAsia" w:cstheme="minorEastAsia"/>
                <w:color w:val="auto"/>
                <w:spacing w:val="-2"/>
                <w:sz w:val="24"/>
                <w:szCs w:val="24"/>
              </w:rPr>
              <w:t>设计内容缺失、时代同步性和创新性较差、无法契合医院氛围，</w:t>
            </w:r>
            <w:r>
              <w:rPr>
                <w:rFonts w:hint="eastAsia" w:asciiTheme="minorEastAsia" w:hAnsiTheme="minorEastAsia" w:eastAsiaTheme="minorEastAsia" w:cstheme="minorEastAsia"/>
                <w:color w:val="auto"/>
                <w:spacing w:val="4"/>
                <w:sz w:val="24"/>
                <w:szCs w:val="24"/>
              </w:rPr>
              <w:t>提供的效果图少于50张，不能完全满足招标要求，得1分；</w:t>
            </w:r>
          </w:p>
          <w:p w14:paraId="0E2B8D4A">
            <w:pPr>
              <w:adjustRightInd w:val="0"/>
              <w:snapToGrid w:val="0"/>
              <w:spacing w:line="400" w:lineRule="exact"/>
              <w:rPr>
                <w:rFonts w:hint="eastAsia" w:asciiTheme="minorEastAsia" w:hAnsiTheme="minorEastAsia" w:eastAsiaTheme="minorEastAsia" w:cstheme="minorEastAsia"/>
                <w:bCs/>
                <w:color w:val="auto"/>
                <w:kern w:val="0"/>
                <w:sz w:val="24"/>
                <w:szCs w:val="24"/>
                <w:lang w:val="zh-CN"/>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5AECEA85">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955" w:type="dxa"/>
            <w:vAlign w:val="center"/>
          </w:tcPr>
          <w:p w14:paraId="15DFCB2A">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6651D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37059B9C">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restart"/>
            <w:vAlign w:val="center"/>
          </w:tcPr>
          <w:p w14:paraId="3BA5998C">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4、样品</w:t>
            </w:r>
          </w:p>
          <w:p w14:paraId="346CDD2C">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（12分）</w:t>
            </w:r>
          </w:p>
          <w:p w14:paraId="6C7BC21B">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
                <w:bCs/>
                <w:color w:val="auto"/>
                <w:sz w:val="24"/>
                <w:szCs w:val="24"/>
              </w:rPr>
              <w:t>注：样品未提供或样品提供不全的，此项不得分。</w:t>
            </w:r>
          </w:p>
        </w:tc>
        <w:tc>
          <w:tcPr>
            <w:tcW w:w="5575" w:type="dxa"/>
            <w:vAlign w:val="center"/>
          </w:tcPr>
          <w:p w14:paraId="6FE747B8">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w:t>
            </w:r>
            <w:r>
              <w:rPr>
                <w:rFonts w:hint="eastAsia" w:asciiTheme="minorEastAsia" w:hAnsiTheme="minorEastAsia" w:eastAsiaTheme="minorEastAsia" w:cstheme="minorEastAsia"/>
                <w:bCs/>
                <w:color w:val="auto"/>
                <w:sz w:val="24"/>
                <w:szCs w:val="24"/>
              </w:rPr>
              <w:t>悬挂标识</w:t>
            </w:r>
            <w:r>
              <w:rPr>
                <w:rFonts w:hint="eastAsia" w:asciiTheme="minorEastAsia" w:hAnsiTheme="minorEastAsia" w:eastAsiaTheme="minorEastAsia" w:cstheme="minorEastAsia"/>
                <w:color w:val="auto"/>
                <w:sz w:val="24"/>
                <w:szCs w:val="24"/>
              </w:rPr>
              <w:t>（5分）：</w:t>
            </w:r>
          </w:p>
          <w:p w14:paraId="1FC94091">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根据投标人提供的样品，对其技术要求的符合性、工艺精细度、形态结构及外形美观等方面进行评议。</w:t>
            </w:r>
          </w:p>
          <w:p w14:paraId="01095A5D">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①</w:t>
            </w:r>
            <w:r>
              <w:rPr>
                <w:rFonts w:hint="eastAsia" w:asciiTheme="minorEastAsia" w:hAnsiTheme="minorEastAsia" w:eastAsiaTheme="minorEastAsia" w:cstheme="minorEastAsia"/>
                <w:color w:val="auto"/>
                <w:sz w:val="24"/>
                <w:szCs w:val="24"/>
              </w:rPr>
              <w:t>技术要求符合技术要求、工艺做工精细、形态结构美观的得5分；</w:t>
            </w:r>
          </w:p>
          <w:p w14:paraId="5472A135">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②</w:t>
            </w:r>
            <w:r>
              <w:rPr>
                <w:rFonts w:hint="eastAsia" w:asciiTheme="minorEastAsia" w:hAnsiTheme="minorEastAsia" w:eastAsiaTheme="minorEastAsia" w:cstheme="minorEastAsia"/>
                <w:color w:val="auto"/>
                <w:sz w:val="24"/>
                <w:szCs w:val="24"/>
              </w:rPr>
              <w:t>技术要求较符合技术要求、工艺做工较精细、形态结构较美观的得2分；</w:t>
            </w:r>
          </w:p>
          <w:p w14:paraId="0B48FEA7">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③</w:t>
            </w:r>
            <w:r>
              <w:rPr>
                <w:rFonts w:hint="eastAsia" w:asciiTheme="minorEastAsia" w:hAnsiTheme="minorEastAsia" w:eastAsiaTheme="minorEastAsia" w:cstheme="minorEastAsia"/>
                <w:color w:val="auto"/>
                <w:sz w:val="24"/>
                <w:szCs w:val="24"/>
              </w:rPr>
              <w:t>技术要求欠符合技术要求、工艺做工欠精细、形态结构欠美观的得1分；</w:t>
            </w:r>
          </w:p>
          <w:p w14:paraId="5A187BC3">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4E6765B0">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955" w:type="dxa"/>
            <w:vAlign w:val="center"/>
          </w:tcPr>
          <w:p w14:paraId="05808801">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252B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4FCF831B">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continue"/>
            <w:vAlign w:val="center"/>
          </w:tcPr>
          <w:p w14:paraId="02B30D3D">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p>
        </w:tc>
        <w:tc>
          <w:tcPr>
            <w:tcW w:w="5575" w:type="dxa"/>
            <w:vAlign w:val="center"/>
          </w:tcPr>
          <w:p w14:paraId="23FF233C">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4.2、服务</w:t>
            </w:r>
            <w:r>
              <w:rPr>
                <w:rFonts w:hint="eastAsia" w:asciiTheme="minorEastAsia" w:hAnsiTheme="minorEastAsia" w:eastAsiaTheme="minorEastAsia" w:cstheme="minorEastAsia"/>
                <w:bCs/>
                <w:color w:val="auto"/>
                <w:sz w:val="24"/>
                <w:szCs w:val="24"/>
              </w:rPr>
              <w:t>台立体字</w:t>
            </w:r>
            <w:r>
              <w:rPr>
                <w:rFonts w:hint="eastAsia" w:asciiTheme="minorEastAsia" w:hAnsiTheme="minorEastAsia" w:eastAsiaTheme="minorEastAsia" w:cstheme="minorEastAsia"/>
                <w:color w:val="auto"/>
                <w:sz w:val="24"/>
                <w:szCs w:val="24"/>
              </w:rPr>
              <w:t>（4分）：</w:t>
            </w:r>
          </w:p>
          <w:p w14:paraId="19A25082">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根据投标人提供的样品，对其技术要求的符合性、工艺精细度、形态结构及外形美观等方面进行评议。</w:t>
            </w:r>
          </w:p>
          <w:p w14:paraId="1CA268E6">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①</w:t>
            </w:r>
            <w:r>
              <w:rPr>
                <w:rFonts w:hint="eastAsia" w:asciiTheme="minorEastAsia" w:hAnsiTheme="minorEastAsia" w:eastAsiaTheme="minorEastAsia" w:cstheme="minorEastAsia"/>
                <w:color w:val="auto"/>
                <w:sz w:val="24"/>
                <w:szCs w:val="24"/>
              </w:rPr>
              <w:t>技术要求符合技术要求、工艺做工精细、形态结构美观的得4分；</w:t>
            </w:r>
          </w:p>
          <w:p w14:paraId="64AA8E4F">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②</w:t>
            </w:r>
            <w:r>
              <w:rPr>
                <w:rFonts w:hint="eastAsia" w:asciiTheme="minorEastAsia" w:hAnsiTheme="minorEastAsia" w:eastAsiaTheme="minorEastAsia" w:cstheme="minorEastAsia"/>
                <w:color w:val="auto"/>
                <w:sz w:val="24"/>
                <w:szCs w:val="24"/>
              </w:rPr>
              <w:t>技术要求较符合技术要求、工艺做工较精细、形态结构较美观的得2分；</w:t>
            </w:r>
          </w:p>
          <w:p w14:paraId="23954592">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③</w:t>
            </w:r>
            <w:r>
              <w:rPr>
                <w:rFonts w:hint="eastAsia" w:asciiTheme="minorEastAsia" w:hAnsiTheme="minorEastAsia" w:eastAsiaTheme="minorEastAsia" w:cstheme="minorEastAsia"/>
                <w:color w:val="auto"/>
                <w:sz w:val="24"/>
                <w:szCs w:val="24"/>
              </w:rPr>
              <w:t>技术要求欠符合技术要求、工艺做工欠精细、形态结构欠美观的得1分；</w:t>
            </w:r>
          </w:p>
          <w:p w14:paraId="30A36AE3">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125AD6DB">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955" w:type="dxa"/>
            <w:vAlign w:val="center"/>
          </w:tcPr>
          <w:p w14:paraId="1C7B2F91">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0F08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365B4C76">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Merge w:val="continue"/>
            <w:vAlign w:val="center"/>
          </w:tcPr>
          <w:p w14:paraId="300492B0">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p>
        </w:tc>
        <w:tc>
          <w:tcPr>
            <w:tcW w:w="5575" w:type="dxa"/>
            <w:vAlign w:val="center"/>
          </w:tcPr>
          <w:p w14:paraId="1FB5F01E">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4.3、</w:t>
            </w:r>
            <w:r>
              <w:rPr>
                <w:rFonts w:hint="eastAsia" w:asciiTheme="minorEastAsia" w:hAnsiTheme="minorEastAsia" w:eastAsiaTheme="minorEastAsia" w:cstheme="minorEastAsia"/>
                <w:bCs/>
                <w:color w:val="auto"/>
                <w:sz w:val="24"/>
                <w:szCs w:val="24"/>
              </w:rPr>
              <w:t>科室门牌(内部）</w:t>
            </w:r>
            <w:r>
              <w:rPr>
                <w:rFonts w:hint="eastAsia" w:asciiTheme="minorEastAsia" w:hAnsiTheme="minorEastAsia" w:eastAsiaTheme="minorEastAsia" w:cstheme="minorEastAsia"/>
                <w:color w:val="auto"/>
                <w:sz w:val="24"/>
                <w:szCs w:val="24"/>
              </w:rPr>
              <w:t>（3分）：</w:t>
            </w:r>
          </w:p>
          <w:p w14:paraId="69608C4F">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根据投标人提供的样品，对其技术要求的符合性、工艺精细度、形态结构及外形美观等方面进行评议。</w:t>
            </w:r>
          </w:p>
          <w:p w14:paraId="5FA2C375">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①</w:t>
            </w:r>
            <w:r>
              <w:rPr>
                <w:rFonts w:hint="eastAsia" w:asciiTheme="minorEastAsia" w:hAnsiTheme="minorEastAsia" w:eastAsiaTheme="minorEastAsia" w:cstheme="minorEastAsia"/>
                <w:color w:val="auto"/>
                <w:sz w:val="24"/>
                <w:szCs w:val="24"/>
              </w:rPr>
              <w:t>技术要求符合技术要求、工艺做工精细、形态结构美观的得3分；</w:t>
            </w:r>
          </w:p>
          <w:p w14:paraId="7C0F2EAA">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②</w:t>
            </w:r>
            <w:r>
              <w:rPr>
                <w:rFonts w:hint="eastAsia" w:asciiTheme="minorEastAsia" w:hAnsiTheme="minorEastAsia" w:eastAsiaTheme="minorEastAsia" w:cstheme="minorEastAsia"/>
                <w:color w:val="auto"/>
                <w:sz w:val="24"/>
                <w:szCs w:val="24"/>
              </w:rPr>
              <w:t>技术要求较符合技术要求、工艺做工较精细、形态结构较美观的得2分；</w:t>
            </w:r>
          </w:p>
          <w:p w14:paraId="1C39EDAB">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③</w:t>
            </w:r>
            <w:r>
              <w:rPr>
                <w:rFonts w:hint="eastAsia" w:asciiTheme="minorEastAsia" w:hAnsiTheme="minorEastAsia" w:eastAsiaTheme="minorEastAsia" w:cstheme="minorEastAsia"/>
                <w:color w:val="auto"/>
                <w:sz w:val="24"/>
                <w:szCs w:val="24"/>
              </w:rPr>
              <w:t>技术要求欠符合技术要求、工艺做工欠精细、形态结构欠美观的得1分；</w:t>
            </w:r>
          </w:p>
          <w:p w14:paraId="5B38FB03">
            <w:pPr>
              <w:adjustRightInd w:val="0"/>
              <w:snapToGrid w:val="0"/>
              <w:spacing w:line="4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6EC3D11C">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955" w:type="dxa"/>
            <w:vAlign w:val="center"/>
          </w:tcPr>
          <w:p w14:paraId="14C6E014">
            <w:pPr>
              <w:widowControl/>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75DB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21261CD0">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6427E05D">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5、实施方案（4分）</w:t>
            </w:r>
          </w:p>
        </w:tc>
        <w:tc>
          <w:tcPr>
            <w:tcW w:w="5575" w:type="dxa"/>
            <w:vAlign w:val="center"/>
          </w:tcPr>
          <w:p w14:paraId="2E421CE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5.1根据投标人拟定的项目实施方案（包含不限于施工安装方案、产品验收方案、安全生产、质量保证措施、成品保护措施等内容）进行评议：</w:t>
            </w:r>
          </w:p>
          <w:p w14:paraId="70E51637">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①施工安装方案内容详细，产品验收方案安排周全，安全生产实施具有保障，质量保证措施有力可行，成品保护措施考虑全面的得4分；</w:t>
            </w:r>
          </w:p>
          <w:p w14:paraId="75BB7516">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②施工安装方案内容较详细，产品验收方案安排较周全，安全生产实施较具有保障，质量保证措施较有力可行，成品保护措施考虑较全面的得3分；</w:t>
            </w:r>
          </w:p>
          <w:p w14:paraId="75B13D27">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③施工安装方案内容简单，产品验收方案安排欠周全，安全生产实施欠具有保障，质量保证措施欠有力可行，成品保护措施考虑片面的得1分；</w:t>
            </w:r>
          </w:p>
          <w:p w14:paraId="6BCF2691">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0C7E5C19">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4</w:t>
            </w:r>
          </w:p>
        </w:tc>
        <w:tc>
          <w:tcPr>
            <w:tcW w:w="955" w:type="dxa"/>
            <w:vAlign w:val="center"/>
          </w:tcPr>
          <w:p w14:paraId="1D97F595">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29F6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7B1A58DB">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298A5366">
            <w:pPr>
              <w:widowControl/>
              <w:adjustRightInd w:val="0"/>
              <w:snapToGrid w:val="0"/>
              <w:spacing w:line="40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6、主要材料检测报告</w:t>
            </w:r>
          </w:p>
          <w:p w14:paraId="635AE25D">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sz w:val="24"/>
                <w:szCs w:val="24"/>
              </w:rPr>
              <w:t>（4分）</w:t>
            </w:r>
          </w:p>
        </w:tc>
        <w:tc>
          <w:tcPr>
            <w:tcW w:w="5575" w:type="dxa"/>
            <w:vAlign w:val="center"/>
          </w:tcPr>
          <w:p w14:paraId="59F83D5B">
            <w:pPr>
              <w:adjustRightInd w:val="0"/>
              <w:snapToGrid w:val="0"/>
              <w:spacing w:line="400" w:lineRule="exact"/>
              <w:jc w:val="lef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投标人的投标产品具有有效期内的CMA或CNAS国家认可检测（检验）资质机构出具的与产品相关的主要材料合格检测报告，检测内容为不锈钢、铝型材、油漆、铝塑板、LED光源、镀锌管、锚栓、亚克力，每提供1个材料合格检测报告得0.5分，本项最高得4分。</w:t>
            </w:r>
          </w:p>
          <w:p w14:paraId="773C38EB">
            <w:pPr>
              <w:adjustRightInd w:val="0"/>
              <w:snapToGrid w:val="0"/>
              <w:spacing w:line="400" w:lineRule="exact"/>
              <w:jc w:val="lef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注：须将检测报告复印件及全国认证认可信息公共服务平台（http://cx.cnca.cn/CertECloud/index/index/page）查询结果截图加盖公章后附入商务技术文件中，否则不得分。</w:t>
            </w:r>
          </w:p>
        </w:tc>
        <w:tc>
          <w:tcPr>
            <w:tcW w:w="705" w:type="dxa"/>
            <w:vAlign w:val="center"/>
          </w:tcPr>
          <w:p w14:paraId="3784736A">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4</w:t>
            </w:r>
          </w:p>
        </w:tc>
        <w:tc>
          <w:tcPr>
            <w:tcW w:w="955" w:type="dxa"/>
            <w:vAlign w:val="center"/>
          </w:tcPr>
          <w:p w14:paraId="68310DD5">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客观评审</w:t>
            </w:r>
          </w:p>
        </w:tc>
      </w:tr>
      <w:tr w14:paraId="6FC5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0" w:hRule="atLeast"/>
          <w:jc w:val="center"/>
        </w:trPr>
        <w:tc>
          <w:tcPr>
            <w:tcW w:w="1262" w:type="dxa"/>
            <w:vMerge w:val="continue"/>
            <w:vAlign w:val="center"/>
          </w:tcPr>
          <w:p w14:paraId="5A621836">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51A4C4EA">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7、供货方案（4分）</w:t>
            </w:r>
          </w:p>
        </w:tc>
        <w:tc>
          <w:tcPr>
            <w:tcW w:w="5575" w:type="dxa"/>
            <w:vAlign w:val="center"/>
          </w:tcPr>
          <w:p w14:paraId="19F25DCB">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根据供应商提供的供货方案（包含但不限于以下要点：供货进度方案、交货方式、包装方案、运输方案、供货实施步骤、施工安装等内容）进行评议：</w:t>
            </w:r>
          </w:p>
          <w:p w14:paraId="799FA34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供货进度方案完全满足采购人需求，交货方式切合实际、合理可行，包装方案中货物包装箱体外标记清晰可辨、完好，运输方案合理、安全，供货实施步骤清晰，施工安装方案流程明确、各工序时间安排合理，能提供有针对性的服务措施的得4分；</w:t>
            </w:r>
          </w:p>
          <w:p w14:paraId="60265FF1">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供货进度方案较好满足采购人需求，交货方式较为切合实际、合理可行，包装方案中货物包装箱体外标记较为清晰可辨、基本完好，运输方案较为合理、安全，供货实施步骤较为清晰，施工安装方案流程较为明确、各工序时间安排较为合理，能提供比较有针对性的服务措施的得3分；</w:t>
            </w:r>
          </w:p>
          <w:p w14:paraId="0D8406BC">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③供货进度方案不能满足采购人需求，交货方式、包装、运输方案笼统，供货实施步骤模糊，施工安装方案流程笼统、各工序时间安排不合理，与本项目货物供应要求差距较大的得1分；</w:t>
            </w:r>
          </w:p>
          <w:p w14:paraId="47119DF2">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w:t>
            </w:r>
            <w:r>
              <w:rPr>
                <w:rFonts w:hint="eastAsia" w:asciiTheme="minorEastAsia" w:hAnsiTheme="minorEastAsia" w:eastAsiaTheme="minorEastAsia" w:cstheme="minorEastAsia"/>
                <w:color w:val="auto"/>
                <w:sz w:val="24"/>
                <w:szCs w:val="24"/>
              </w:rPr>
              <w:t>未提供不得分。</w:t>
            </w:r>
          </w:p>
        </w:tc>
        <w:tc>
          <w:tcPr>
            <w:tcW w:w="705" w:type="dxa"/>
            <w:vAlign w:val="center"/>
          </w:tcPr>
          <w:p w14:paraId="3EF14E23">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4</w:t>
            </w:r>
          </w:p>
        </w:tc>
        <w:tc>
          <w:tcPr>
            <w:tcW w:w="955" w:type="dxa"/>
            <w:vAlign w:val="center"/>
          </w:tcPr>
          <w:p w14:paraId="59253536">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7332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7DCAA170">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72E12231">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8、售后服务能力</w:t>
            </w:r>
          </w:p>
          <w:p w14:paraId="48E799A7">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（4分）</w:t>
            </w:r>
          </w:p>
        </w:tc>
        <w:tc>
          <w:tcPr>
            <w:tcW w:w="5575" w:type="dxa"/>
            <w:vAlign w:val="center"/>
          </w:tcPr>
          <w:p w14:paraId="413A9269">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根据投标人的售后服务能力（包含但不限于售后响应承诺时间、后期维保服务方案、维护人员安排、应急保障措施等内容）进行评议：</w:t>
            </w:r>
          </w:p>
          <w:p w14:paraId="2D99E21F">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①售后响应承诺时间及时、后期维保服务方案详细可行、维护人员安排有序周全、应急保障措施考虑全面的得4分；</w:t>
            </w:r>
          </w:p>
          <w:p w14:paraId="3A938FA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②售后响应承诺时间较及时、后期维保服务方案较详细可行、维护人员安排较有序周全、应急保障措施较考虑全面的得3分；</w:t>
            </w:r>
          </w:p>
          <w:p w14:paraId="4919EBB4">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③售后响应承诺时间欠及时、后期维保服务方案欠详细可行、维护人员安排欠有序周全、应急保障措施欠考虑全面的得1分；</w:t>
            </w:r>
          </w:p>
          <w:p w14:paraId="5FC17BF7">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④无相关内容不得分。</w:t>
            </w:r>
          </w:p>
        </w:tc>
        <w:tc>
          <w:tcPr>
            <w:tcW w:w="705" w:type="dxa"/>
            <w:vAlign w:val="center"/>
          </w:tcPr>
          <w:p w14:paraId="6895A703">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4</w:t>
            </w:r>
          </w:p>
        </w:tc>
        <w:tc>
          <w:tcPr>
            <w:tcW w:w="955" w:type="dxa"/>
            <w:vAlign w:val="center"/>
          </w:tcPr>
          <w:p w14:paraId="6CA4DAFB">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主观评审</w:t>
            </w:r>
          </w:p>
        </w:tc>
      </w:tr>
      <w:tr w14:paraId="4300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392A730E">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42583C5A">
            <w:pPr>
              <w:tabs>
                <w:tab w:val="left" w:pos="0"/>
              </w:tabs>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9、业绩</w:t>
            </w:r>
          </w:p>
          <w:p w14:paraId="7D9F7D08">
            <w:pPr>
              <w:tabs>
                <w:tab w:val="left" w:pos="0"/>
              </w:tabs>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color w:val="auto"/>
                <w:sz w:val="24"/>
                <w:szCs w:val="24"/>
              </w:rPr>
              <w:t>（3分）</w:t>
            </w:r>
          </w:p>
        </w:tc>
        <w:tc>
          <w:tcPr>
            <w:tcW w:w="5575" w:type="dxa"/>
            <w:vAlign w:val="center"/>
          </w:tcPr>
          <w:p w14:paraId="25E9491D">
            <w:pPr>
              <w:adjustRightInd w:val="0"/>
              <w:snapToGrid w:val="0"/>
              <w:spacing w:line="400" w:lineRule="exact"/>
              <w:rPr>
                <w:rFonts w:hint="eastAsia" w:asciiTheme="minorEastAsia" w:hAnsiTheme="minorEastAsia" w:eastAsiaTheme="minorEastAsia" w:cstheme="minorEastAsia"/>
                <w:bCs/>
                <w:color w:val="auto"/>
                <w:kern w:val="0"/>
                <w:sz w:val="24"/>
                <w:szCs w:val="24"/>
              </w:rPr>
            </w:pPr>
            <w:bookmarkStart w:id="286" w:name="OLE_LINK14"/>
            <w:r>
              <w:rPr>
                <w:rFonts w:hint="eastAsia" w:asciiTheme="minorEastAsia" w:hAnsiTheme="minorEastAsia" w:eastAsiaTheme="minorEastAsia" w:cstheme="minorEastAsia"/>
                <w:bCs/>
                <w:color w:val="auto"/>
                <w:kern w:val="0"/>
                <w:sz w:val="24"/>
                <w:szCs w:val="24"/>
              </w:rPr>
              <w:t>投标人2022年1月1日至今（以合同签订时间为准）具有类似项目业绩的，每提供一个案例得0.5分，最高得3分。</w:t>
            </w:r>
          </w:p>
          <w:p w14:paraId="0E104791">
            <w:pPr>
              <w:adjustRightInd w:val="0"/>
              <w:snapToGrid w:val="0"/>
              <w:spacing w:line="400" w:lineRule="exact"/>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注：投标文件中业绩须同时提供合同复印件及中标通知书并加盖供应商公章，缺一项不得分。</w:t>
            </w:r>
            <w:bookmarkEnd w:id="286"/>
          </w:p>
        </w:tc>
        <w:tc>
          <w:tcPr>
            <w:tcW w:w="705" w:type="dxa"/>
            <w:vAlign w:val="center"/>
          </w:tcPr>
          <w:p w14:paraId="2AE8D214">
            <w:pPr>
              <w:widowControl/>
              <w:adjustRightInd w:val="0"/>
              <w:snapToGrid w:val="0"/>
              <w:spacing w:line="400" w:lineRule="exact"/>
              <w:jc w:val="center"/>
              <w:rPr>
                <w:rFonts w:hint="eastAsia" w:asciiTheme="minorEastAsia" w:hAnsiTheme="minorEastAsia" w:eastAsiaTheme="minorEastAsia" w:cstheme="minorEastAsia"/>
                <w:bCs/>
                <w:color w:val="auto"/>
                <w:kern w:val="0"/>
                <w:sz w:val="24"/>
                <w:szCs w:val="24"/>
              </w:rPr>
            </w:pPr>
            <w:r>
              <w:rPr>
                <w:rFonts w:hint="eastAsia" w:asciiTheme="minorEastAsia" w:hAnsiTheme="minorEastAsia" w:eastAsiaTheme="minorEastAsia" w:cstheme="minorEastAsia"/>
                <w:bCs/>
                <w:color w:val="auto"/>
                <w:kern w:val="0"/>
                <w:sz w:val="24"/>
                <w:szCs w:val="24"/>
              </w:rPr>
              <w:t>3</w:t>
            </w:r>
          </w:p>
        </w:tc>
        <w:tc>
          <w:tcPr>
            <w:tcW w:w="955" w:type="dxa"/>
            <w:vAlign w:val="center"/>
          </w:tcPr>
          <w:p w14:paraId="7AD9E598">
            <w:pPr>
              <w:adjustRightInd w:val="0"/>
              <w:snapToGrid w:val="0"/>
              <w:spacing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客观评审</w:t>
            </w:r>
          </w:p>
        </w:tc>
      </w:tr>
      <w:tr w14:paraId="0FDF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262" w:type="dxa"/>
            <w:vMerge w:val="continue"/>
            <w:vAlign w:val="center"/>
          </w:tcPr>
          <w:p w14:paraId="422C2C8A">
            <w:pPr>
              <w:adjustRightInd w:val="0"/>
              <w:snapToGrid w:val="0"/>
              <w:spacing w:line="400" w:lineRule="exact"/>
              <w:rPr>
                <w:rFonts w:hint="eastAsia" w:asciiTheme="minorEastAsia" w:hAnsiTheme="minorEastAsia" w:eastAsiaTheme="minorEastAsia" w:cstheme="minorEastAsia"/>
                <w:color w:val="auto"/>
                <w:sz w:val="24"/>
                <w:szCs w:val="24"/>
              </w:rPr>
            </w:pPr>
          </w:p>
        </w:tc>
        <w:tc>
          <w:tcPr>
            <w:tcW w:w="1288" w:type="dxa"/>
            <w:vAlign w:val="center"/>
          </w:tcPr>
          <w:p w14:paraId="4261FF07">
            <w:pPr>
              <w:adjustRightInd w:val="0"/>
              <w:snapToGrid w:val="0"/>
              <w:spacing w:after="120"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10、政策</w:t>
            </w:r>
          </w:p>
          <w:p w14:paraId="1C154B83">
            <w:pPr>
              <w:adjustRightInd w:val="0"/>
              <w:snapToGrid w:val="0"/>
              <w:spacing w:after="12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加分</w:t>
            </w:r>
          </w:p>
          <w:p w14:paraId="32CE629A">
            <w:pPr>
              <w:adjustRightInd w:val="0"/>
              <w:snapToGrid w:val="0"/>
              <w:spacing w:after="12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（1分）</w:t>
            </w:r>
          </w:p>
        </w:tc>
        <w:tc>
          <w:tcPr>
            <w:tcW w:w="5575" w:type="dxa"/>
            <w:vAlign w:val="center"/>
          </w:tcPr>
          <w:p w14:paraId="66BF9DC7">
            <w:pPr>
              <w:adjustRightInd w:val="0"/>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投标产品属于《节能产品政府采购品目清单》范围的且具有国家确定的认证机构出具的、处于有效期之内的节能产品认证证书的得0.5分；</w:t>
            </w:r>
          </w:p>
          <w:p w14:paraId="1B687E69">
            <w:pPr>
              <w:adjustRightInd w:val="0"/>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投标产品属于《环境标志产品政府采购品目清单》范围的且具有国家确定的认证机构出具的、处于有效期之内的环境标志产品认证证书的得0.5分。</w:t>
            </w:r>
          </w:p>
          <w:p w14:paraId="2D6367A1">
            <w:pPr>
              <w:adjustRightInd w:val="0"/>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注：投标文件中必须同时提供以下资料：</w:t>
            </w:r>
          </w:p>
          <w:p w14:paraId="16D7D472">
            <w:pPr>
              <w:adjustRightInd w:val="0"/>
              <w:snapToGrid w:val="0"/>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提供政府采购品目清单相关内容页（并对相关内容作圈记），采购品目清单详见《关于印发环境标志产品政府采购品目清单的通知》（财库〔2019〕18号）和《关于印发节能产品政府采购品目清单的通知》（财库〔2019〕19号）。</w:t>
            </w:r>
          </w:p>
          <w:p w14:paraId="0C4F6C3F">
            <w:pPr>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0"/>
                <w:sz w:val="24"/>
                <w:szCs w:val="24"/>
              </w:rPr>
              <w:t>（2）《市场监管总局关于发布参与实施政府采购节能产品、环境标志产品认证机构名录的公告》中的认证机构出具的、处于有效期之内的节能产品/环境标志产品认证证书复印件并加盖公章。</w:t>
            </w:r>
          </w:p>
        </w:tc>
        <w:tc>
          <w:tcPr>
            <w:tcW w:w="705" w:type="dxa"/>
            <w:vAlign w:val="center"/>
          </w:tcPr>
          <w:p w14:paraId="50B3EE05">
            <w:pPr>
              <w:adjustRightInd w:val="0"/>
              <w:snapToGrid w:val="0"/>
              <w:spacing w:line="40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p>
        </w:tc>
        <w:tc>
          <w:tcPr>
            <w:tcW w:w="955" w:type="dxa"/>
            <w:vAlign w:val="center"/>
          </w:tcPr>
          <w:p w14:paraId="201F3761">
            <w:pPr>
              <w:adjustRightInd w:val="0"/>
              <w:snapToGrid w:val="0"/>
              <w:spacing w:line="400" w:lineRule="exact"/>
              <w:jc w:val="center"/>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客观评审</w:t>
            </w:r>
          </w:p>
        </w:tc>
      </w:tr>
    </w:tbl>
    <w:p w14:paraId="541F32D5">
      <w:pPr>
        <w:widowControl/>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w:t>
      </w:r>
    </w:p>
    <w:p w14:paraId="4DA05452">
      <w:pPr>
        <w:widowControl/>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1、评委独立打分，每栏分值不得超出本栏规定的分值范围。</w:t>
      </w:r>
    </w:p>
    <w:p w14:paraId="0A43649F">
      <w:pPr>
        <w:widowControl/>
        <w:adjustRightInd w:val="0"/>
        <w:snapToGrid w:val="0"/>
        <w:spacing w:line="4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2、以上评分标准中要求提供的资料必须清晰、完整并加盖单位公章。</w:t>
      </w:r>
    </w:p>
    <w:p w14:paraId="0CD827D8">
      <w:pPr>
        <w:adjustRightInd w:val="0"/>
        <w:snapToGrid w:val="0"/>
        <w:spacing w:line="400" w:lineRule="exact"/>
        <w:ind w:right="1164"/>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评审签名：</w:t>
      </w:r>
    </w:p>
    <w:p w14:paraId="1B5CEFCB">
      <w:pPr>
        <w:spacing w:line="440" w:lineRule="exact"/>
        <w:ind w:right="1164"/>
        <w:jc w:val="left"/>
        <w:rPr>
          <w:rFonts w:hint="eastAsia" w:asciiTheme="minorEastAsia" w:hAnsiTheme="minorEastAsia" w:eastAsiaTheme="minorEastAsia" w:cstheme="minorEastAsia"/>
          <w:color w:val="auto"/>
          <w:sz w:val="24"/>
          <w:szCs w:val="24"/>
        </w:rPr>
      </w:pPr>
    </w:p>
    <w:p w14:paraId="3ED645AB">
      <w:pPr>
        <w:wordWrap w:val="0"/>
        <w:spacing w:line="440" w:lineRule="exact"/>
        <w:ind w:right="210"/>
        <w:jc w:val="righ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日期：2025年  月  日</w:t>
      </w:r>
    </w:p>
    <w:p w14:paraId="1203BAAE">
      <w:pPr>
        <w:spacing w:line="320" w:lineRule="exact"/>
        <w:ind w:right="210"/>
        <w:jc w:val="right"/>
        <w:rPr>
          <w:rFonts w:hint="eastAsia" w:asciiTheme="minorEastAsia" w:hAnsiTheme="minorEastAsia" w:eastAsiaTheme="minorEastAsia" w:cstheme="minorEastAsia"/>
          <w:color w:val="auto"/>
          <w:w w:val="80"/>
          <w:sz w:val="24"/>
          <w:szCs w:val="24"/>
        </w:rPr>
        <w:sectPr>
          <w:headerReference r:id="rId7" w:type="default"/>
          <w:footerReference r:id="rId8" w:type="default"/>
          <w:pgSz w:w="11907" w:h="16840"/>
          <w:pgMar w:top="1276" w:right="1474" w:bottom="1242" w:left="1474" w:header="720" w:footer="720" w:gutter="0"/>
          <w:cols w:space="720" w:num="1"/>
          <w:docGrid w:linePitch="285" w:charSpace="0"/>
        </w:sectPr>
      </w:pPr>
    </w:p>
    <w:p w14:paraId="16991E9E">
      <w:pPr>
        <w:pStyle w:val="4"/>
        <w:spacing w:before="0" w:after="0" w:line="360" w:lineRule="auto"/>
        <w:jc w:val="center"/>
        <w:rPr>
          <w:rFonts w:hint="eastAsia" w:asciiTheme="minorEastAsia" w:hAnsiTheme="minorEastAsia" w:eastAsiaTheme="minorEastAsia" w:cstheme="minorEastAsia"/>
          <w:color w:val="auto"/>
          <w:sz w:val="24"/>
          <w:szCs w:val="24"/>
        </w:rPr>
      </w:pPr>
      <w:bookmarkStart w:id="287" w:name="_Toc17707963"/>
      <w:bookmarkStart w:id="288" w:name="_Toc460857944"/>
      <w:bookmarkStart w:id="289" w:name="_Toc27005"/>
      <w:r>
        <w:rPr>
          <w:rFonts w:hint="eastAsia" w:asciiTheme="minorEastAsia" w:hAnsiTheme="minorEastAsia" w:eastAsiaTheme="minorEastAsia" w:cstheme="minorEastAsia"/>
          <w:color w:val="auto"/>
          <w:sz w:val="24"/>
          <w:szCs w:val="24"/>
        </w:rPr>
        <w:t>第五章  政府采购合同主要条款</w:t>
      </w:r>
      <w:bookmarkEnd w:id="287"/>
      <w:bookmarkEnd w:id="288"/>
      <w:bookmarkEnd w:id="289"/>
    </w:p>
    <w:p w14:paraId="431EA71C">
      <w:pPr>
        <w:pStyle w:val="19"/>
        <w:snapToGrid w:val="0"/>
        <w:spacing w:before="120" w:after="120"/>
        <w:jc w:val="center"/>
        <w:rPr>
          <w:rFonts w:hint="eastAsia" w:asciiTheme="minorEastAsia" w:hAnsiTheme="minorEastAsia" w:eastAsiaTheme="minorEastAsia" w:cstheme="minorEastAsia"/>
          <w:b/>
          <w:color w:val="auto"/>
          <w:sz w:val="24"/>
          <w:szCs w:val="24"/>
        </w:rPr>
      </w:pPr>
      <w:bookmarkStart w:id="290" w:name="_Toc460857945"/>
      <w:bookmarkStart w:id="291" w:name="_Toc460857947"/>
      <w:r>
        <w:rPr>
          <w:rFonts w:hint="eastAsia" w:asciiTheme="minorEastAsia" w:hAnsiTheme="minorEastAsia" w:eastAsiaTheme="minorEastAsia" w:cstheme="minorEastAsia"/>
          <w:b/>
          <w:color w:val="auto"/>
          <w:sz w:val="24"/>
          <w:szCs w:val="24"/>
        </w:rPr>
        <w:t>（本合同为合同样稿，最终稿由甲乙双方协商后确定）</w:t>
      </w:r>
    </w:p>
    <w:p w14:paraId="1F50814D">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买方（全称）</w:t>
      </w:r>
    </w:p>
    <w:p w14:paraId="09487258">
      <w:pPr>
        <w:tabs>
          <w:tab w:val="left" w:pos="630"/>
        </w:tabs>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卖方（全称）</w:t>
      </w:r>
    </w:p>
    <w:p w14:paraId="324D338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根据《中华人民共和国民法典》及相关法律法规的规定，为明确双方的权利和义务，经协商一致，签订本合同，共同信守。</w:t>
      </w:r>
    </w:p>
    <w:p w14:paraId="79A3BD55">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292" w:name="_Toc369786982"/>
      <w:bookmarkStart w:id="293" w:name="_Toc398816082"/>
      <w:bookmarkStart w:id="294" w:name="_Toc397950487"/>
      <w:bookmarkStart w:id="295" w:name="_Toc10137"/>
      <w:bookmarkStart w:id="296" w:name="_Toc9475"/>
      <w:bookmarkStart w:id="297" w:name="_Toc30881"/>
      <w:bookmarkStart w:id="298" w:name="_Toc406353206"/>
      <w:r>
        <w:rPr>
          <w:rFonts w:hint="eastAsia" w:asciiTheme="minorEastAsia" w:hAnsiTheme="minorEastAsia" w:eastAsiaTheme="minorEastAsia" w:cstheme="minorEastAsia"/>
          <w:color w:val="auto"/>
          <w:sz w:val="24"/>
          <w:szCs w:val="24"/>
        </w:rPr>
        <w:t>一、定义</w:t>
      </w:r>
      <w:bookmarkEnd w:id="292"/>
      <w:r>
        <w:rPr>
          <w:rFonts w:hint="eastAsia" w:asciiTheme="minorEastAsia" w:hAnsiTheme="minorEastAsia" w:eastAsiaTheme="minorEastAsia" w:cstheme="minorEastAsia"/>
          <w:color w:val="auto"/>
          <w:sz w:val="24"/>
          <w:szCs w:val="24"/>
        </w:rPr>
        <w:t>和法律</w:t>
      </w:r>
      <w:bookmarkEnd w:id="293"/>
      <w:bookmarkEnd w:id="294"/>
      <w:bookmarkEnd w:id="295"/>
      <w:bookmarkEnd w:id="296"/>
      <w:bookmarkEnd w:id="297"/>
      <w:bookmarkEnd w:id="298"/>
    </w:p>
    <w:p w14:paraId="54939FB9">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1.1 “合同”系指买方和卖方已签署的协议，即由双方签订的合同格式中的文件，包括所有的附件、附录和组成合同部分的所有其它文件。</w:t>
      </w:r>
    </w:p>
    <w:p w14:paraId="1469864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1.2 “货物”系指卖方按合同要求，须向买方提供的一切设备、机械、器具、耗材、备品备件、工具、手册及其它技术资料和其它材料等。</w:t>
      </w:r>
    </w:p>
    <w:p w14:paraId="6150CD8C">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 “服务”系指合同规定卖方须承担与货物相关的服务，包括但不限于安装就位、安装指导、安装调试、技术协助、校准、培训以及其它卖方应承担的义务。</w:t>
      </w:r>
    </w:p>
    <w:p w14:paraId="48E74E4F">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 “现场”系指合同项下货物仓储、存放、安装就位、安装指导、安装调试、运行的现场。</w:t>
      </w:r>
    </w:p>
    <w:p w14:paraId="7B42A039">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 “验收”系指买方依据技术规格书（用户需求书）规定接受合同货物所依据的程序和条件。</w:t>
      </w:r>
    </w:p>
    <w:p w14:paraId="4FABD613">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  本合同适用的是中国的法律、法规，以及部门规章、项目所在地的地方法规、地方规章。</w:t>
      </w:r>
    </w:p>
    <w:p w14:paraId="1B8F8094">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299" w:name="_Toc398816083"/>
      <w:bookmarkStart w:id="300" w:name="_Toc369786983"/>
      <w:bookmarkStart w:id="301" w:name="_Toc30082"/>
      <w:bookmarkStart w:id="302" w:name="_Toc397950488"/>
      <w:bookmarkStart w:id="303" w:name="_Toc3868"/>
      <w:bookmarkStart w:id="304" w:name="_Toc406353207"/>
      <w:bookmarkStart w:id="305" w:name="_Toc26922"/>
      <w:r>
        <w:rPr>
          <w:rFonts w:hint="eastAsia" w:asciiTheme="minorEastAsia" w:hAnsiTheme="minorEastAsia" w:eastAsiaTheme="minorEastAsia" w:cstheme="minorEastAsia"/>
          <w:color w:val="auto"/>
          <w:sz w:val="24"/>
          <w:szCs w:val="24"/>
        </w:rPr>
        <w:t>二、合同标的</w:t>
      </w:r>
      <w:bookmarkEnd w:id="299"/>
      <w:bookmarkEnd w:id="300"/>
      <w:bookmarkEnd w:id="301"/>
      <w:bookmarkEnd w:id="302"/>
      <w:bookmarkEnd w:id="303"/>
      <w:bookmarkEnd w:id="304"/>
      <w:bookmarkEnd w:id="305"/>
    </w:p>
    <w:p w14:paraId="44224E76">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 合同生效后，买方同意采购、卖方同意提供本合同项下的所有货物及服务。本次合同的标的为：，具体内容及要求详见合同附件。</w:t>
      </w:r>
    </w:p>
    <w:p w14:paraId="6912AEFA">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 卖方提供的所有货物及服务内容必须完全满足合同的要求。</w:t>
      </w:r>
    </w:p>
    <w:p w14:paraId="1A512C31">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06" w:name="_Toc406353208"/>
      <w:bookmarkStart w:id="307" w:name="_Toc398816084"/>
      <w:bookmarkStart w:id="308" w:name="_Toc5588"/>
      <w:bookmarkStart w:id="309" w:name="_Toc23174"/>
      <w:bookmarkStart w:id="310" w:name="_Toc31049"/>
      <w:bookmarkStart w:id="311" w:name="_Toc397950489"/>
      <w:bookmarkStart w:id="312" w:name="_Toc369786984"/>
      <w:r>
        <w:rPr>
          <w:rFonts w:hint="eastAsia" w:asciiTheme="minorEastAsia" w:hAnsiTheme="minorEastAsia" w:eastAsiaTheme="minorEastAsia" w:cstheme="minorEastAsia"/>
          <w:color w:val="auto"/>
          <w:sz w:val="24"/>
          <w:szCs w:val="24"/>
        </w:rPr>
        <w:t>三、合同价格</w:t>
      </w:r>
      <w:bookmarkEnd w:id="306"/>
      <w:bookmarkEnd w:id="307"/>
      <w:bookmarkEnd w:id="308"/>
      <w:bookmarkEnd w:id="309"/>
      <w:bookmarkEnd w:id="310"/>
      <w:bookmarkEnd w:id="311"/>
      <w:bookmarkEnd w:id="312"/>
    </w:p>
    <w:p w14:paraId="51B73395">
      <w:pPr>
        <w:adjustRightInd w:val="0"/>
        <w:spacing w:line="400" w:lineRule="exact"/>
        <w:ind w:firstLine="480" w:firstLineChars="200"/>
        <w:textAlignment w:val="baseline"/>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3.1</w:t>
      </w:r>
      <w:r>
        <w:rPr>
          <w:rFonts w:hint="eastAsia" w:asciiTheme="minorEastAsia" w:hAnsiTheme="minorEastAsia" w:eastAsiaTheme="minorEastAsia" w:cstheme="minorEastAsia"/>
          <w:b/>
          <w:bCs/>
          <w:color w:val="auto"/>
          <w:sz w:val="24"/>
          <w:szCs w:val="24"/>
        </w:rPr>
        <w:t>本合同含税总价为人民币（大写）：元整，（小写）元；其中不含税价为人民币 元，增值税税额为人民币元。</w:t>
      </w:r>
      <w:r>
        <w:rPr>
          <w:rFonts w:hint="eastAsia" w:asciiTheme="minorEastAsia" w:hAnsiTheme="minorEastAsia" w:eastAsiaTheme="minorEastAsia" w:cstheme="minorEastAsia"/>
          <w:color w:val="auto"/>
          <w:sz w:val="24"/>
          <w:szCs w:val="24"/>
        </w:rPr>
        <w:t>详细分项报价见合同附件。</w:t>
      </w:r>
    </w:p>
    <w:p w14:paraId="2771437C">
      <w:pPr>
        <w:pStyle w:val="2"/>
        <w:spacing w:after="0" w:line="400" w:lineRule="exact"/>
        <w:ind w:firstLine="240"/>
        <w:rPr>
          <w:rFonts w:hint="eastAsia" w:asciiTheme="minorEastAsia" w:hAnsiTheme="minorEastAsia" w:eastAsiaTheme="minorEastAsia" w:cstheme="minorEastAsia"/>
          <w:color w:val="auto"/>
          <w:sz w:val="24"/>
          <w:szCs w:val="24"/>
        </w:rPr>
      </w:pPr>
    </w:p>
    <w:p w14:paraId="673C0EF2">
      <w:pPr>
        <w:spacing w:line="400" w:lineRule="exact"/>
        <w:ind w:firstLine="482"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不含税价格不受国家税率变化而变化，若在合同履行期间，遇国家的税率调整，税率按新税率执行，则价税合计作相应调整。</w:t>
      </w:r>
    </w:p>
    <w:p w14:paraId="3C450111">
      <w:pPr>
        <w:spacing w:line="40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color w:val="auto"/>
          <w:sz w:val="24"/>
          <w:szCs w:val="24"/>
        </w:rPr>
        <w:t>因卖方纳税人资格发生变化等原因，导致实际税率高于原合同约定的，合同金额（合同金额=不含税金额+增值税金额）不予调整；若实际税率低于原合同约定的，合同金额将根据新税率进行调整，不含税金额保持不变。</w:t>
      </w:r>
    </w:p>
    <w:p w14:paraId="71869736">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3.2 本合同约定的货物单价为固定价格，在合同执行期间不受政策、法规变化以及汇率浮动、物价指数浮动等影响。</w:t>
      </w:r>
    </w:p>
    <w:p w14:paraId="4FB3B6C6">
      <w:pPr>
        <w:spacing w:line="360" w:lineRule="auto"/>
        <w:ind w:firstLine="482" w:firstLineChars="201"/>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3.3 本合同为固定单价合同，除合同约定的相关变更情形外，综合单价在合同履行过程不得做任何形式的调整，最终根据中标综合单价按实结算。综合单价包括但不仅限于：深化设计，标识、标牌的制造、供货、检测、包装、储存、运杂（含二次搬运）、保险、现场卸货、未正式交付招标人之前的保管（自负设备及材料的损坏及失窃等责任）、安装、现场成品保护、安全文明施工、脚手架搭设等措施费、施工用水电费（支付给总承包单位）、总承包管理费（按结算造价的2%支付给总承包单位）、涉及工作产生垃圾的清运费，技术培训、检验和验收、质保期内备品备件及易损件、质保期内维保、设备安装后与其他相关系统所需连接等安装工作的指导、售后服务及提交所有相关技术资料、税金等完成本项目所发生的一切应有费用。</w:t>
      </w:r>
    </w:p>
    <w:p w14:paraId="27D0048A">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本项目实行风险包干制，乙方已考虑了下列风险因素：</w:t>
      </w:r>
    </w:p>
    <w:p w14:paraId="00C25834">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1）因市场变化、政策性调整导致材料价格变化；</w:t>
      </w:r>
    </w:p>
    <w:p w14:paraId="6782C3E0">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2）因天气、地形、地质等自然条件的变化，采取的临时措施；</w:t>
      </w:r>
    </w:p>
    <w:p w14:paraId="3FDEDB97">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乙方根据自身实力和工程实际情况自行确定风险费用，风险费用应包括在综合单价中，不得单列项目，不论是否计取风险费用即可认为风险费用已包括各项费用中。除甲方提出更改外，其他所有费用均视为已包括在综合单价中，不另行计取。</w:t>
      </w:r>
    </w:p>
    <w:p w14:paraId="0976D9CD">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3.4 质保期内的备品备件（详见附件）均由卖方提供，费用已含入综合单价内。</w:t>
      </w:r>
    </w:p>
    <w:p w14:paraId="3871EFA7">
      <w:pPr>
        <w:tabs>
          <w:tab w:val="left" w:pos="360"/>
          <w:tab w:val="left" w:pos="5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3.5 合同及附件中所列的数量为本次预计采购数量，如有调整以买方发出的交货通知为准。如实际数量低于合同预计数量，在合同履行期间按照本合同约定的货物单价执行。如因卖方原因导致采购数量增加的，结算费用不予增加。</w:t>
      </w:r>
    </w:p>
    <w:p w14:paraId="2F8943E9">
      <w:pPr>
        <w:pStyle w:val="4"/>
        <w:spacing w:line="440" w:lineRule="exact"/>
        <w:jc w:val="left"/>
        <w:rPr>
          <w:rFonts w:hint="eastAsia" w:asciiTheme="minorEastAsia" w:hAnsiTheme="minorEastAsia" w:eastAsiaTheme="minorEastAsia" w:cstheme="minorEastAsia"/>
          <w:color w:val="auto"/>
          <w:sz w:val="24"/>
          <w:szCs w:val="24"/>
        </w:rPr>
      </w:pPr>
      <w:bookmarkStart w:id="313" w:name="_Toc397950490"/>
      <w:bookmarkStart w:id="314" w:name="_Toc14422"/>
      <w:bookmarkStart w:id="315" w:name="_Toc406353209"/>
      <w:bookmarkStart w:id="316" w:name="_Toc398816085"/>
      <w:bookmarkStart w:id="317" w:name="_Toc1065"/>
      <w:bookmarkStart w:id="318" w:name="_Toc24105"/>
      <w:bookmarkStart w:id="319" w:name="_Toc369786986"/>
      <w:r>
        <w:rPr>
          <w:rFonts w:hint="eastAsia" w:asciiTheme="minorEastAsia" w:hAnsiTheme="minorEastAsia" w:eastAsiaTheme="minorEastAsia" w:cstheme="minorEastAsia"/>
          <w:color w:val="auto"/>
          <w:sz w:val="24"/>
          <w:szCs w:val="24"/>
        </w:rPr>
        <w:t>四、交货</w:t>
      </w:r>
      <w:bookmarkEnd w:id="313"/>
      <w:bookmarkEnd w:id="314"/>
      <w:bookmarkEnd w:id="315"/>
      <w:bookmarkEnd w:id="316"/>
      <w:bookmarkEnd w:id="317"/>
      <w:bookmarkEnd w:id="318"/>
      <w:bookmarkEnd w:id="319"/>
    </w:p>
    <w:p w14:paraId="729A5474">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4.1实施周期：接买方通知后</w:t>
      </w:r>
      <w:r>
        <w:rPr>
          <w:rFonts w:hint="eastAsia" w:asciiTheme="minorEastAsia" w:hAnsiTheme="minorEastAsia" w:eastAsiaTheme="minorEastAsia" w:cstheme="minorEastAsia"/>
          <w:color w:val="auto"/>
          <w:kern w:val="0"/>
          <w:sz w:val="24"/>
          <w:szCs w:val="24"/>
        </w:rPr>
        <w:t>日历天</w:t>
      </w:r>
      <w:bookmarkStart w:id="320" w:name="OLE_LINK1"/>
      <w:r>
        <w:rPr>
          <w:rFonts w:hint="eastAsia" w:asciiTheme="minorEastAsia" w:hAnsiTheme="minorEastAsia" w:eastAsiaTheme="minorEastAsia" w:cstheme="minorEastAsia"/>
          <w:color w:val="auto"/>
          <w:kern w:val="0"/>
          <w:sz w:val="24"/>
          <w:szCs w:val="24"/>
        </w:rPr>
        <w:t>内完成</w:t>
      </w:r>
      <w:bookmarkEnd w:id="320"/>
      <w:r>
        <w:rPr>
          <w:rFonts w:hint="eastAsia" w:asciiTheme="minorEastAsia" w:hAnsiTheme="minorEastAsia" w:eastAsiaTheme="minorEastAsia" w:cstheme="minorEastAsia"/>
          <w:color w:val="auto"/>
          <w:kern w:val="0"/>
          <w:sz w:val="24"/>
          <w:szCs w:val="24"/>
        </w:rPr>
        <w:t>建设，具体起始时间以买方书面通知为准。</w:t>
      </w:r>
    </w:p>
    <w:p w14:paraId="5DD918E1">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4.2 项目地点：买方指定的仓储地点或现场存放点，存放点由买方现场指定。卖方负责交货地点的卸货和现场就位。</w:t>
      </w:r>
    </w:p>
    <w:p w14:paraId="5BCD5428">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21" w:name="_Toc29891"/>
      <w:bookmarkStart w:id="322" w:name="_Toc397950491"/>
      <w:bookmarkStart w:id="323" w:name="_Toc369786987"/>
      <w:bookmarkStart w:id="324" w:name="_Toc406353210"/>
      <w:bookmarkStart w:id="325" w:name="_Toc20156"/>
      <w:bookmarkStart w:id="326" w:name="_Toc398816086"/>
      <w:bookmarkStart w:id="327" w:name="_Toc1834"/>
      <w:r>
        <w:rPr>
          <w:rFonts w:hint="eastAsia" w:asciiTheme="minorEastAsia" w:hAnsiTheme="minorEastAsia" w:eastAsiaTheme="minorEastAsia" w:cstheme="minorEastAsia"/>
          <w:color w:val="auto"/>
          <w:sz w:val="24"/>
          <w:szCs w:val="24"/>
        </w:rPr>
        <w:t>五、合同文件和资料</w:t>
      </w:r>
      <w:bookmarkEnd w:id="321"/>
      <w:bookmarkEnd w:id="322"/>
      <w:bookmarkEnd w:id="323"/>
      <w:bookmarkEnd w:id="324"/>
      <w:bookmarkEnd w:id="325"/>
      <w:bookmarkEnd w:id="326"/>
      <w:bookmarkEnd w:id="327"/>
    </w:p>
    <w:p w14:paraId="1D9AFDF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5.1没有买方事先书面同意，卖方不得将由买方提供的有关合同或任何合同条文、规格、计划、图纸、模型、样品或资料提供给卖方雇佣于履行本合同以外的任何其他人。即使向履行本合同的雇员提供，也应注意保密并限于履行合同必须的范围。</w:t>
      </w:r>
    </w:p>
    <w:p w14:paraId="5ED4A19A">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5.2没有买方事先书面同意，除了履行本合同之外，卖方不应使用合同条款5.1条所列举的任何文件和资料。</w:t>
      </w:r>
    </w:p>
    <w:p w14:paraId="6D5309A4">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5.3除了合同本身之外，合同条款5.1条所列举的任何文件是买方的财产。如买方有要求，卖方在完成本合同后应将这些文件及复制件全部归还给买方。</w:t>
      </w:r>
    </w:p>
    <w:p w14:paraId="559891C1">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5.4 卖方应提供与货物相符的中文技术资料，例如：样本、图纸、操作手册、使用说明、维修指南或服务手册等，并随每批货物一同装箱。如本条款所述资料寄送不完整或丢失，卖方应在收到买方通知后立即免费另寄。</w:t>
      </w:r>
    </w:p>
    <w:p w14:paraId="025E24EE">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5.5技术资料的全部费用已包含在综合单价内。</w:t>
      </w:r>
    </w:p>
    <w:p w14:paraId="2883006B">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28" w:name="_Toc398816087"/>
      <w:bookmarkStart w:id="329" w:name="_Toc4725"/>
      <w:bookmarkStart w:id="330" w:name="_Toc25599"/>
      <w:bookmarkStart w:id="331" w:name="_Toc369786988"/>
      <w:bookmarkStart w:id="332" w:name="_Toc406353211"/>
      <w:bookmarkStart w:id="333" w:name="_Toc10393"/>
      <w:bookmarkStart w:id="334" w:name="_Toc397950492"/>
      <w:r>
        <w:rPr>
          <w:rFonts w:hint="eastAsia" w:asciiTheme="minorEastAsia" w:hAnsiTheme="minorEastAsia" w:eastAsiaTheme="minorEastAsia" w:cstheme="minorEastAsia"/>
          <w:color w:val="auto"/>
          <w:sz w:val="24"/>
          <w:szCs w:val="24"/>
        </w:rPr>
        <w:t>六、知识产权</w:t>
      </w:r>
      <w:bookmarkEnd w:id="328"/>
      <w:bookmarkEnd w:id="329"/>
      <w:bookmarkEnd w:id="330"/>
      <w:bookmarkEnd w:id="331"/>
      <w:bookmarkEnd w:id="332"/>
      <w:bookmarkEnd w:id="333"/>
      <w:bookmarkEnd w:id="334"/>
    </w:p>
    <w:p w14:paraId="3385A3B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6.1卖方应保证，买方在中华人民共和国境内使用该货物或货物的任何一部分时，免受第三方提出的侵犯其专利权、商标权、著作权或其它知识产权的起诉；若买方受到此类侵权指控（包括收到第三方的律师函、索赔函等文书）或起诉，卖方须与第三方交涉并承担由此引起的一切法律责任和费用（包括但不限于法院诉讼费、保全费和律师费等为处理相关事宜支出的所有费用）。如买方不得不继续使用该货物，由此扩大损失部分也由卖方承担，但买方需提前发函告知卖方。</w:t>
      </w:r>
    </w:p>
    <w:p w14:paraId="74A9C75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6.2买方永久享有卖方为本合同项下提供的产品、软件、技术资料的使用权，并无需承担任何费用。</w:t>
      </w:r>
    </w:p>
    <w:p w14:paraId="5E3536DE">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35" w:name="_Toc369786990"/>
      <w:bookmarkStart w:id="336" w:name="_Toc398816089"/>
      <w:bookmarkStart w:id="337" w:name="_Toc397950494"/>
      <w:bookmarkStart w:id="338" w:name="_Toc16719"/>
      <w:bookmarkStart w:id="339" w:name="_Toc1660"/>
      <w:bookmarkStart w:id="340" w:name="_Toc25653"/>
      <w:bookmarkStart w:id="341" w:name="_Toc406353213"/>
      <w:r>
        <w:rPr>
          <w:rFonts w:hint="eastAsia" w:asciiTheme="minorEastAsia" w:hAnsiTheme="minorEastAsia" w:eastAsiaTheme="minorEastAsia" w:cstheme="minorEastAsia"/>
          <w:color w:val="auto"/>
          <w:sz w:val="24"/>
          <w:szCs w:val="24"/>
        </w:rPr>
        <w:t>七、包装</w:t>
      </w:r>
      <w:bookmarkEnd w:id="335"/>
      <w:bookmarkEnd w:id="336"/>
      <w:bookmarkEnd w:id="337"/>
      <w:r>
        <w:rPr>
          <w:rFonts w:hint="eastAsia" w:asciiTheme="minorEastAsia" w:hAnsiTheme="minorEastAsia" w:eastAsiaTheme="minorEastAsia" w:cstheme="minorEastAsia"/>
          <w:color w:val="auto"/>
          <w:sz w:val="24"/>
          <w:szCs w:val="24"/>
        </w:rPr>
        <w:t>运输</w:t>
      </w:r>
      <w:bookmarkEnd w:id="338"/>
      <w:bookmarkEnd w:id="339"/>
      <w:bookmarkEnd w:id="340"/>
      <w:bookmarkEnd w:id="341"/>
    </w:p>
    <w:p w14:paraId="7EC5281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7.1 除非本合同另有规定，提供的全部货物须采用相应标准的保护措施进行包装。这种包装应适于内陆运输，并有良好的防潮、防震、防锈和防野蛮装卸等保护措施，以确保货物安全运抵现场。卖方应承担由于其包装或其防护措施不妥而引起货物锈蚀、损坏和丢失的任何损失的责任或费用。</w:t>
      </w:r>
    </w:p>
    <w:p w14:paraId="16DF4809">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7.2 每件包装应附有详细装箱单和质量证书各两套，一套在包装箱里，一套在包装箱外。</w:t>
      </w:r>
    </w:p>
    <w:p w14:paraId="6FC9FE43">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7.3．卖方负责办理运输和保险，将货物运抵至买方指定地点，并负责到场卸货，货物运输费、保险费及装卸费包含在综合单价中。</w:t>
      </w:r>
    </w:p>
    <w:p w14:paraId="41B070A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7.4．货物运输及到场卸货均由卖方自行负责，货物到场、就位后，继续由卖方负责保管直至通过最终验收并办理交接手续为止。</w:t>
      </w:r>
    </w:p>
    <w:p w14:paraId="49854299">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42" w:name="_Toc22435"/>
      <w:bookmarkStart w:id="343" w:name="_Toc398816090"/>
      <w:bookmarkStart w:id="344" w:name="_Toc1733"/>
      <w:bookmarkStart w:id="345" w:name="_Toc8815"/>
      <w:bookmarkStart w:id="346" w:name="_Toc369786991"/>
      <w:bookmarkStart w:id="347" w:name="_Toc397950495"/>
      <w:bookmarkStart w:id="348" w:name="_Toc406353214"/>
      <w:r>
        <w:rPr>
          <w:rFonts w:hint="eastAsia" w:asciiTheme="minorEastAsia" w:hAnsiTheme="minorEastAsia" w:eastAsiaTheme="minorEastAsia" w:cstheme="minorEastAsia"/>
          <w:color w:val="auto"/>
          <w:sz w:val="24"/>
          <w:szCs w:val="24"/>
        </w:rPr>
        <w:t>八、安装、验收</w:t>
      </w:r>
      <w:bookmarkEnd w:id="342"/>
      <w:bookmarkEnd w:id="343"/>
      <w:bookmarkEnd w:id="344"/>
      <w:bookmarkEnd w:id="345"/>
      <w:bookmarkEnd w:id="346"/>
      <w:bookmarkEnd w:id="347"/>
      <w:bookmarkEnd w:id="348"/>
    </w:p>
    <w:p w14:paraId="534E5DB5">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8.1卖方应于发货前3个工作日书面通知买方，根据双方协定时间地点进行交货并开箱检验，该检验不代表已经验收合格。如发现货物元件、配件规格和数量或两者都与合同文件、招标文件不符，卖方应无条件及时更换。</w:t>
      </w:r>
    </w:p>
    <w:p w14:paraId="3567E102">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8.2货物检验时须同时满足以下各项标准及要求方为合格：①装箱单、质量合格证书、保修证书、产品使用说明书及其他应随产品一同装箱的技术资料；②该批次货物采购文件及本合同附件所涉及的质量、技术、服务及验收的相关内容。</w:t>
      </w:r>
    </w:p>
    <w:p w14:paraId="673DEE87">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8.3．卖方负责其提供货物的就位、安装和调试，包括卖方提供货物与公用设施、建筑等界面的连接。卖方应在买方指定日期派遣工程师到现场进行就位、安装和调试工作，并应提供全部安装、调试过程中的特殊工具、润滑剂、易损件，并自带专用仪器、仪表。</w:t>
      </w:r>
    </w:p>
    <w:p w14:paraId="2524DE5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8.4．就位、安装、调试的安全管理</w:t>
      </w:r>
    </w:p>
    <w:p w14:paraId="22BA39A8">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卖方是本项目施工和安装调试的责任人，应对建设工程安全管理负全部责任并承担所有的责任和费用支付。卖方承诺：应对本项目的安装和调试过程的安全管理负责；在整个过程中遵守国家法规和买方所在地相关主管部门的有关规定。</w:t>
      </w:r>
    </w:p>
    <w:p w14:paraId="46105F46">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（2）卖方应对项目实施从采购到安装、调试直至顺利通过验收并交付使用的全过程的质量、安全负责，并按照本项目的设计图纸、标准与规范和有关技术要求组织本项目的实施，不得偷工减料。</w:t>
      </w:r>
    </w:p>
    <w:p w14:paraId="62253A61">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除本合同另有规定，卖方应根据安装工程的实际需要，自行解决施工所用的照明、围栏、各种警示标志和警卫。除不可抗力外，由于卖方的原因导致安装调试过程所产生的货物、设施损失和损坏以及人身伤害（包括买方的货物、设施受损及配合人员受伤），由卖方承担责任及所有发生的费用，并全价赔偿。</w:t>
      </w:r>
    </w:p>
    <w:p w14:paraId="2A6C0C6E">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卖方应严格执行安装施工规范、安全操作规程、防火安全规定、环境保护规定。遵守政府有关部门对工地交通和卫生管理的有关规定，达到文明工地标准，并承担由于违反规定引起的罚款及买方的损失。文明施工费已包含在综合单价内。</w:t>
      </w:r>
    </w:p>
    <w:p w14:paraId="0BB1CA14">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（5）卖方承包范围内部分已经竣工的工程未正式交付买方之前，卖方负责已完工程的保护工作，如保护期间发生成品损坏，卖方应自费予以修复或赔偿。</w:t>
      </w:r>
    </w:p>
    <w:p w14:paraId="34CB9E3F">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8.5货物具备竣工验收条件，乙方应按约定的工程竣工验收技术资料格式和要求，向甲方提交完整竣工资料和竣工报告5份，甲方组建的验收小组对双方合同约定的全部内容进行验收，验收小组出具验收意见。</w:t>
      </w:r>
    </w:p>
    <w:p w14:paraId="7E343489">
      <w:pPr>
        <w:spacing w:line="440" w:lineRule="exact"/>
        <w:ind w:firstLine="470" w:firstLineChars="19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8.6如果卖方不按约定提交竣工资料或提交的资料不符合要求，则认为本项目尚未达到竣工条件。</w:t>
      </w:r>
    </w:p>
    <w:p w14:paraId="3A425F43">
      <w:pPr>
        <w:spacing w:line="440" w:lineRule="exact"/>
        <w:ind w:firstLine="470" w:firstLineChars="196"/>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8.7买方在收到卖方提交的竣工报告后的28天内组织验收，并在验收后14天内予以认可或提出修改意见。验收不合格，卖方应按要求修改后再次提请甲方验收，并承担因自身原因造成修改的费用。</w:t>
      </w:r>
    </w:p>
    <w:p w14:paraId="22B30984">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8.8货物在通过买方组织的竣工验收合格后，一个月内货物运行正常无问题，视为最终验收合格，最终验收合格之日起计算质保期。</w:t>
      </w:r>
    </w:p>
    <w:p w14:paraId="2C6E3835">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49" w:name="_Toc369786992"/>
      <w:bookmarkStart w:id="350" w:name="_Toc31026"/>
      <w:bookmarkStart w:id="351" w:name="_Toc406353215"/>
      <w:bookmarkStart w:id="352" w:name="_Toc398816091"/>
      <w:bookmarkStart w:id="353" w:name="_Toc15342"/>
      <w:bookmarkStart w:id="354" w:name="_Toc19435"/>
      <w:bookmarkStart w:id="355" w:name="_Toc397950496"/>
      <w:r>
        <w:rPr>
          <w:rFonts w:hint="eastAsia" w:asciiTheme="minorEastAsia" w:hAnsiTheme="minorEastAsia" w:eastAsiaTheme="minorEastAsia" w:cstheme="minorEastAsia"/>
          <w:color w:val="auto"/>
          <w:sz w:val="24"/>
          <w:szCs w:val="24"/>
        </w:rPr>
        <w:t>九、</w:t>
      </w:r>
      <w:bookmarkEnd w:id="349"/>
      <w:r>
        <w:rPr>
          <w:rFonts w:hint="eastAsia" w:asciiTheme="minorEastAsia" w:hAnsiTheme="minorEastAsia" w:eastAsiaTheme="minorEastAsia" w:cstheme="minorEastAsia"/>
          <w:color w:val="auto"/>
          <w:sz w:val="24"/>
          <w:szCs w:val="24"/>
        </w:rPr>
        <w:t>质量标准、质保期和售后服务</w:t>
      </w:r>
      <w:bookmarkEnd w:id="350"/>
      <w:bookmarkEnd w:id="351"/>
      <w:bookmarkEnd w:id="352"/>
      <w:bookmarkEnd w:id="353"/>
      <w:bookmarkEnd w:id="354"/>
      <w:bookmarkEnd w:id="355"/>
    </w:p>
    <w:p w14:paraId="0BB8498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9.1卖方交付的货物应符合招标文件“第三章 招标内容与技术需求”所述的标准。如没有提及适用标准，则应符合国家标准或行业标准。这些标准必须是有关机构发布的最新有效版本的标准。</w:t>
      </w:r>
    </w:p>
    <w:p w14:paraId="7DB7B085">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9.2本合同项下的货物质保期：个月，自最终验收合格之日起计算。</w:t>
      </w:r>
    </w:p>
    <w:p w14:paraId="2CDF4D4F">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9.3有保质期的产品，卖方所供的有效日期必须大于整个保质期。如涉及到特殊物品，由双方协商决定。</w:t>
      </w:r>
    </w:p>
    <w:p w14:paraId="7956FB5B">
      <w:pPr>
        <w:autoSpaceDE w:val="0"/>
        <w:autoSpaceDN w:val="0"/>
        <w:adjustRightInd w:val="0"/>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9.4卖方提供的货物必须是全新原装正品，符合货物要求的规格型号和技术指标。质保期内非因买方的人为原因而出现质量问题的，卖方需在</w:t>
      </w:r>
      <w:r>
        <w:rPr>
          <w:rFonts w:hint="eastAsia" w:asciiTheme="minorEastAsia" w:hAnsiTheme="minorEastAsia" w:eastAsiaTheme="minorEastAsia" w:cstheme="minorEastAsia"/>
          <w:color w:val="auto"/>
          <w:sz w:val="24"/>
          <w:szCs w:val="24"/>
          <w:u w:val="single"/>
        </w:rPr>
        <w:t>2</w:t>
      </w:r>
      <w:r>
        <w:rPr>
          <w:rFonts w:hint="eastAsia" w:asciiTheme="minorEastAsia" w:hAnsiTheme="minorEastAsia" w:eastAsiaTheme="minorEastAsia" w:cstheme="minorEastAsia"/>
          <w:color w:val="auto"/>
          <w:sz w:val="24"/>
          <w:szCs w:val="24"/>
        </w:rPr>
        <w:t>天内负责包修、包换或者包退，并承担调换或退货的实际费用。卖方不能修理和不能调换的，按不能交货处理。</w:t>
      </w:r>
    </w:p>
    <w:p w14:paraId="33816C57">
      <w:pPr>
        <w:autoSpaceDE w:val="0"/>
        <w:autoSpaceDN w:val="0"/>
        <w:adjustRightInd w:val="0"/>
        <w:spacing w:line="40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质保期内出现问题，卖方在接到电话后2小时内响应，6小时内到达现场解决问题，最迟在2个工作日内修复，如不能修复应采取补救措施，以保证使用方的正常工作，卖方有其它服务承诺的，一并履行。未及时响应或到达现场解决问题并修复的，买方有权自行通过第三方进行修复，其修复费用另加20%管理费均由供货商承担。在保修期内卖方不得以任何理由影响正常使用。</w:t>
      </w:r>
    </w:p>
    <w:p w14:paraId="3A2485C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9.5质保期内维修包括提供维修所需的材料、配件的生产、运输、装卸至维修现场、安装调试等全过程所产生的成本和费用以及卖方应承担的一切税费。质保期满后，卖方应继续提供维修服务，只收取维修配件成本费、免收人工费。</w:t>
      </w:r>
    </w:p>
    <w:p w14:paraId="7A9B85C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9.6在质保期内，卖方应实行一年一次的质量跟踪服务和反馈。在质保期满前时作一次免费维护保养。质保期外，实行二年一次的跟踪服务和反馈。</w:t>
      </w:r>
    </w:p>
    <w:p w14:paraId="6A11454C">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9.7质保期外，如若货物故障，卖方提供维修服务，维修费买方先付50%，另50%待货物运行一月后结清，货物配件如需要重新购买则按不超过投标文件中承诺的报价计算。</w:t>
      </w:r>
    </w:p>
    <w:p w14:paraId="033210E9">
      <w:pPr>
        <w:tabs>
          <w:tab w:val="left" w:pos="720"/>
          <w:tab w:val="left" w:pos="900"/>
        </w:tabs>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9.8如配件将要停止生产，卖方应事先告知买方将要停止生产的计划，使买方有足够的时间采购所需的备品备件。</w:t>
      </w:r>
    </w:p>
    <w:p w14:paraId="2DBC33D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9.9在配件停止生产后，如买方要求，卖方应免费向买方提供备件的蓝图、图纸和规格。</w:t>
      </w:r>
    </w:p>
    <w:p w14:paraId="42F6EA21">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56" w:name="_Toc369786993"/>
      <w:bookmarkStart w:id="357" w:name="_Toc398816092"/>
      <w:bookmarkStart w:id="358" w:name="_Toc21189"/>
      <w:bookmarkStart w:id="359" w:name="_Toc29348"/>
      <w:bookmarkStart w:id="360" w:name="_Toc397950497"/>
      <w:bookmarkStart w:id="361" w:name="_Toc10601"/>
      <w:bookmarkStart w:id="362" w:name="_Toc406353216"/>
      <w:r>
        <w:rPr>
          <w:rFonts w:hint="eastAsia" w:asciiTheme="minorEastAsia" w:hAnsiTheme="minorEastAsia" w:eastAsiaTheme="minorEastAsia" w:cstheme="minorEastAsia"/>
          <w:color w:val="auto"/>
          <w:sz w:val="24"/>
          <w:szCs w:val="24"/>
        </w:rPr>
        <w:t>十</w:t>
      </w:r>
      <w:bookmarkEnd w:id="356"/>
      <w:r>
        <w:rPr>
          <w:rFonts w:hint="eastAsia" w:asciiTheme="minorEastAsia" w:hAnsiTheme="minorEastAsia" w:eastAsiaTheme="minorEastAsia" w:cstheme="minorEastAsia"/>
          <w:color w:val="auto"/>
          <w:sz w:val="24"/>
          <w:szCs w:val="24"/>
        </w:rPr>
        <w:t>、所有权与风险转移</w:t>
      </w:r>
      <w:bookmarkEnd w:id="357"/>
      <w:bookmarkEnd w:id="358"/>
      <w:bookmarkEnd w:id="359"/>
      <w:bookmarkEnd w:id="360"/>
      <w:bookmarkEnd w:id="361"/>
      <w:bookmarkEnd w:id="362"/>
    </w:p>
    <w:p w14:paraId="55FBD8D9">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10.1 货物所有权和毁损、灭失的风险自卖方将货物运至买方指定的交货地点并通过最终验收后止，出具书面验收报告并办理交接手续后由卖方转移至买方。</w:t>
      </w:r>
    </w:p>
    <w:p w14:paraId="08FEC0DF">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10.2 所有权和风险的转移，如另有约定的从其约定。所有权和风险的转移，不得减轻或免除卖方的产品质量责任；不影响因卖方履行义务不符合合同约定，买方要求其承担违约责任的权利。</w:t>
      </w:r>
    </w:p>
    <w:p w14:paraId="0DC9FADA">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63" w:name="_Toc369786994"/>
      <w:bookmarkStart w:id="364" w:name="_Toc398816093"/>
      <w:bookmarkStart w:id="365" w:name="_Toc406353217"/>
      <w:bookmarkStart w:id="366" w:name="_Toc397950498"/>
      <w:bookmarkStart w:id="367" w:name="_Toc26092"/>
      <w:bookmarkStart w:id="368" w:name="_Toc21350"/>
      <w:bookmarkStart w:id="369" w:name="_Toc8529"/>
      <w:r>
        <w:rPr>
          <w:rFonts w:hint="eastAsia" w:asciiTheme="minorEastAsia" w:hAnsiTheme="minorEastAsia" w:eastAsiaTheme="minorEastAsia" w:cstheme="minorEastAsia"/>
          <w:color w:val="auto"/>
          <w:sz w:val="24"/>
          <w:szCs w:val="24"/>
        </w:rPr>
        <w:t>十一、</w:t>
      </w:r>
      <w:bookmarkEnd w:id="363"/>
      <w:bookmarkEnd w:id="364"/>
      <w:bookmarkEnd w:id="365"/>
      <w:bookmarkEnd w:id="366"/>
      <w:r>
        <w:rPr>
          <w:rFonts w:hint="eastAsia" w:asciiTheme="minorEastAsia" w:hAnsiTheme="minorEastAsia" w:eastAsiaTheme="minorEastAsia" w:cstheme="minorEastAsia"/>
          <w:color w:val="auto"/>
          <w:sz w:val="24"/>
          <w:szCs w:val="24"/>
        </w:rPr>
        <w:t>付款方法和条件</w:t>
      </w:r>
      <w:bookmarkEnd w:id="367"/>
      <w:bookmarkEnd w:id="368"/>
      <w:bookmarkEnd w:id="369"/>
    </w:p>
    <w:p w14:paraId="2D6983A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合同生效以及具备实施条件后7个工作日内，采购人凭中标供应商提供的预付款保函支付合同总价的40%预付款（中标供应商在合同生效后，采购人支付预付款前，需向采购人提交银行、保险公司等金融机构出具的预付款保函）。</w:t>
      </w:r>
    </w:p>
    <w:p w14:paraId="7184C8FC">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2.货到指定地点、安装完成并验收合格后，采购人向中标人支付至结算金额的100%。</w:t>
      </w:r>
    </w:p>
    <w:p w14:paraId="2FAE5D6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中标人应开具全额增值税发票，采购人自收到中标人提供的发票后 7 个工作日内支付，否则，采购人有权拒绝付款。</w:t>
      </w:r>
    </w:p>
    <w:p w14:paraId="66BC26D7">
      <w:pPr>
        <w:pStyle w:val="4"/>
        <w:ind w:firstLine="482" w:firstLineChars="200"/>
        <w:rPr>
          <w:rFonts w:hint="eastAsia" w:asciiTheme="minorEastAsia" w:hAnsiTheme="minorEastAsia" w:eastAsiaTheme="minorEastAsia" w:cstheme="minorEastAsia"/>
          <w:color w:val="auto"/>
          <w:sz w:val="24"/>
          <w:szCs w:val="24"/>
        </w:rPr>
      </w:pPr>
      <w:bookmarkStart w:id="370" w:name="_Toc2624"/>
      <w:bookmarkStart w:id="371" w:name="_Toc29863"/>
      <w:bookmarkStart w:id="372" w:name="_Toc14315"/>
      <w:r>
        <w:rPr>
          <w:rFonts w:hint="eastAsia" w:asciiTheme="minorEastAsia" w:hAnsiTheme="minorEastAsia" w:eastAsiaTheme="minorEastAsia" w:cstheme="minorEastAsia"/>
          <w:color w:val="auto"/>
          <w:sz w:val="24"/>
          <w:szCs w:val="24"/>
        </w:rPr>
        <w:t>十二、履约保证金：</w:t>
      </w:r>
      <w:bookmarkEnd w:id="370"/>
      <w:bookmarkEnd w:id="371"/>
      <w:bookmarkEnd w:id="372"/>
      <w:r>
        <w:rPr>
          <w:rFonts w:hint="eastAsia" w:asciiTheme="minorEastAsia" w:hAnsiTheme="minorEastAsia" w:eastAsiaTheme="minorEastAsia" w:cstheme="minorEastAsia"/>
          <w:color w:val="auto"/>
          <w:sz w:val="24"/>
          <w:szCs w:val="24"/>
          <w:lang w:val="en-US" w:eastAsia="zh-CN"/>
        </w:rPr>
        <w:t>无</w:t>
      </w:r>
    </w:p>
    <w:p w14:paraId="21391419">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73" w:name="_Toc398816094"/>
      <w:bookmarkStart w:id="374" w:name="_Toc397950499"/>
      <w:bookmarkStart w:id="375" w:name="_Toc1510"/>
      <w:bookmarkStart w:id="376" w:name="_Toc26736"/>
      <w:bookmarkStart w:id="377" w:name="_Toc406353218"/>
      <w:bookmarkStart w:id="378" w:name="_Toc369786995"/>
      <w:bookmarkStart w:id="379" w:name="_Toc22489"/>
      <w:r>
        <w:rPr>
          <w:rFonts w:hint="eastAsia" w:asciiTheme="minorEastAsia" w:hAnsiTheme="minorEastAsia" w:eastAsiaTheme="minorEastAsia" w:cstheme="minorEastAsia"/>
          <w:color w:val="auto"/>
          <w:sz w:val="24"/>
          <w:szCs w:val="24"/>
        </w:rPr>
        <w:t>十三、违约责任</w:t>
      </w:r>
      <w:bookmarkEnd w:id="373"/>
      <w:bookmarkEnd w:id="374"/>
      <w:bookmarkEnd w:id="375"/>
      <w:bookmarkEnd w:id="376"/>
      <w:bookmarkEnd w:id="377"/>
      <w:bookmarkEnd w:id="378"/>
      <w:bookmarkEnd w:id="379"/>
    </w:p>
    <w:p w14:paraId="4430EBF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13.1如卖方延期交货，每逾期一日，卖方应按未交付货物的金额1%向买方支付违约金；逾期超过20日仍不能交货的，买方有权单方解除合同，且卖方应向买方支付合同总额10%的违约金。</w:t>
      </w:r>
    </w:p>
    <w:p w14:paraId="55C902FC">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13.2如卖方所交的货物品种、型号、规格、技术参数、数量、质量及提供服务等不符合合同规定及技术资料规定标准的，买方有权拒收该货物，卖方愿意更换补货物但逾期交货的，按卖方逾期交货处理。卖方拒绝更换补货物的，买方可单方解除合同，且卖方应向买方支付合同总额10%的违约金。如因买方原因造成的，卖方可免除责任。</w:t>
      </w:r>
    </w:p>
    <w:p w14:paraId="5B06500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卖方所交付货物性能、品牌、规格型号等与合同（包括但不限于因16.2条导致的货物变更）不一致，本项货物经买方认可同意更换，优于本合同的，按本合同价格结算，且买方有权直接扣除本项货物金额5%作为违约金；更换补货物性能、品牌、规格型号差于本合同的，按照市场询价结果结算，且买方有权直接扣除本项货物金额5%作为违约金。</w:t>
      </w:r>
    </w:p>
    <w:p w14:paraId="2DBE250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13.3卖方不履行保修义务或拖延履行保修义务的，买方有权罚没余款，同时买方有权将卖方列入不良行为记录名单、一年内禁止卖方参加买方的采购任何活动。</w:t>
      </w:r>
    </w:p>
    <w:p w14:paraId="3A007D5D">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13.4 卖方存在恶意磋商或虚假承诺等不正当竞争行为，买方有权将卖方列入不良行为记录名单，一年内禁止卖方参加买方的采购任何活动。</w:t>
      </w:r>
    </w:p>
    <w:p w14:paraId="071DD96A">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13.5由于卖方所提供的产品质量不合格给买方或第三方造成人身财产损失的，卖方应承担全部赔偿责任。</w:t>
      </w:r>
    </w:p>
    <w:p w14:paraId="65E121FE">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13.6卖方存在违反合同条款有关知识产权的违约行为，向买方支付合同总金额的10%违约金。</w:t>
      </w:r>
    </w:p>
    <w:p w14:paraId="729C1756">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13.7卖方存在违反合同条款有关转让和分包的违约行为，经买方指出仍不纠正的，买方有权单方解除合同，卖方向买方支付合同总金额5%的违约金，如造成买方损失超过违约金的，超出部分由卖方继续承担赔偿责任。</w:t>
      </w:r>
    </w:p>
    <w:p w14:paraId="6B62AA14">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13.8因卖方逾期交货、不能交货或交付的货物不符合规定要求等违约行为导致买方解除合同的，卖方应向买方支付合同总金额10%的违约金，如造成买方损失超过违约金的，超出部分由卖方继续承担赔偿责任。</w:t>
      </w:r>
    </w:p>
    <w:p w14:paraId="6AD86CA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13.9对于合同中所列的违约金和赔偿款，买方有权从货款中扣除。所有违约金和赔偿款的支付，不免除卖方继续履行合同的义务，也不减轻卖方合同项下的其他责任和义务。</w:t>
      </w:r>
    </w:p>
    <w:p w14:paraId="6BCF59A6">
      <w:pPr>
        <w:pStyle w:val="4"/>
        <w:spacing w:line="440" w:lineRule="exact"/>
        <w:ind w:firstLine="482" w:firstLineChars="200"/>
        <w:jc w:val="left"/>
        <w:rPr>
          <w:rFonts w:hint="eastAsia" w:asciiTheme="minorEastAsia" w:hAnsiTheme="minorEastAsia" w:eastAsiaTheme="minorEastAsia" w:cstheme="minorEastAsia"/>
          <w:color w:val="auto"/>
          <w:kern w:val="2"/>
          <w:sz w:val="24"/>
          <w:szCs w:val="24"/>
        </w:rPr>
      </w:pPr>
      <w:bookmarkStart w:id="380" w:name="_Toc397950500"/>
      <w:bookmarkStart w:id="381" w:name="_Toc398816095"/>
      <w:bookmarkStart w:id="382" w:name="_Toc10754"/>
      <w:bookmarkStart w:id="383" w:name="_Toc369786996"/>
      <w:bookmarkStart w:id="384" w:name="_Toc8725"/>
      <w:bookmarkStart w:id="385" w:name="_Toc406353219"/>
      <w:bookmarkStart w:id="386" w:name="_Toc6099"/>
      <w:r>
        <w:rPr>
          <w:rFonts w:hint="eastAsia" w:asciiTheme="minorEastAsia" w:hAnsiTheme="minorEastAsia" w:eastAsiaTheme="minorEastAsia" w:cstheme="minorEastAsia"/>
          <w:color w:val="auto"/>
          <w:kern w:val="2"/>
          <w:sz w:val="24"/>
          <w:szCs w:val="24"/>
        </w:rPr>
        <w:t>十四、不可抗力</w:t>
      </w:r>
      <w:bookmarkEnd w:id="380"/>
      <w:bookmarkEnd w:id="381"/>
      <w:bookmarkEnd w:id="382"/>
      <w:bookmarkEnd w:id="383"/>
      <w:bookmarkEnd w:id="384"/>
      <w:bookmarkEnd w:id="385"/>
      <w:bookmarkEnd w:id="386"/>
    </w:p>
    <w:p w14:paraId="6D01167D">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14.1不可抗力系指买卖双方在缔结合同时所不能预见的，并且它的发生及其后果是无法避免和无法克服的事件，诸如战争、严重火灾、洪水、台风、地震等。</w:t>
      </w:r>
    </w:p>
    <w:p w14:paraId="5F1A8E7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14.2 受阻方应在不可抗力事件发生后7日内，以书面形式通知另一方并详细描述不可抗力事件的发生原因、情况和可能导致的后果，包括该不可抗力事件发生的日期和预计停止的时间，以及对该方履行在本合同下义务的影响，并在另一方合理要求的时间内提供证明。</w:t>
      </w:r>
    </w:p>
    <w:p w14:paraId="7F6E2113">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14.3发生不可抗力事件时，双方应各自承担不可抗力事件对其造成的损失。</w:t>
      </w:r>
    </w:p>
    <w:p w14:paraId="7E6D38FC">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14.4若不可抗力发生使合同执行受阻，则合同执行时间根据受影响的时间相应延长，但合同价格不得调整。</w:t>
      </w:r>
    </w:p>
    <w:p w14:paraId="175A6F71">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14.5一旦不可抗力事件的影响持续60天以上，双方应通过友好协商在合理的时间内达成一致的处理办法。</w:t>
      </w:r>
    </w:p>
    <w:p w14:paraId="594B0F8E">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14.6 迟延履行期间发生的不可抗力不具有免责效力。</w:t>
      </w:r>
    </w:p>
    <w:p w14:paraId="34FFDE84">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87" w:name="_Toc406353220"/>
      <w:bookmarkStart w:id="388" w:name="_Toc397950501"/>
      <w:bookmarkStart w:id="389" w:name="_Toc666"/>
      <w:bookmarkStart w:id="390" w:name="_Toc23286"/>
      <w:bookmarkStart w:id="391" w:name="_Toc398816096"/>
      <w:bookmarkStart w:id="392" w:name="_Toc25338"/>
      <w:bookmarkStart w:id="393" w:name="_Toc369786997"/>
      <w:r>
        <w:rPr>
          <w:rFonts w:hint="eastAsia" w:asciiTheme="minorEastAsia" w:hAnsiTheme="minorEastAsia" w:eastAsiaTheme="minorEastAsia" w:cstheme="minorEastAsia"/>
          <w:color w:val="auto"/>
          <w:sz w:val="24"/>
          <w:szCs w:val="24"/>
        </w:rPr>
        <w:t>十五、税费</w:t>
      </w:r>
      <w:bookmarkEnd w:id="387"/>
      <w:bookmarkEnd w:id="388"/>
      <w:bookmarkEnd w:id="389"/>
      <w:bookmarkEnd w:id="390"/>
      <w:bookmarkEnd w:id="391"/>
      <w:bookmarkEnd w:id="392"/>
      <w:bookmarkEnd w:id="393"/>
    </w:p>
    <w:p w14:paraId="20AE6CE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15.1根据中国现行税法向卖方征收的与履行本合同有关的一切税费由卖方支付。</w:t>
      </w:r>
    </w:p>
    <w:p w14:paraId="0F8A9DE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15.2发生在中国境外的，与履行本合同有关的一切税费，应由卖方承担。</w:t>
      </w:r>
    </w:p>
    <w:p w14:paraId="23C83244">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394" w:name="_Toc397950502"/>
      <w:bookmarkStart w:id="395" w:name="_Toc398816097"/>
      <w:bookmarkStart w:id="396" w:name="_Toc7369"/>
      <w:bookmarkStart w:id="397" w:name="_Toc18672"/>
      <w:bookmarkStart w:id="398" w:name="_Toc369786998"/>
      <w:bookmarkStart w:id="399" w:name="_Toc6039"/>
      <w:bookmarkStart w:id="400" w:name="_Toc406353221"/>
      <w:r>
        <w:rPr>
          <w:rFonts w:hint="eastAsia" w:asciiTheme="minorEastAsia" w:hAnsiTheme="minorEastAsia" w:eastAsiaTheme="minorEastAsia" w:cstheme="minorEastAsia"/>
          <w:color w:val="auto"/>
          <w:sz w:val="24"/>
          <w:szCs w:val="24"/>
        </w:rPr>
        <w:t>十六、变更</w:t>
      </w:r>
      <w:bookmarkEnd w:id="394"/>
      <w:bookmarkEnd w:id="395"/>
      <w:bookmarkEnd w:id="396"/>
      <w:bookmarkEnd w:id="397"/>
      <w:bookmarkEnd w:id="398"/>
      <w:bookmarkEnd w:id="399"/>
      <w:bookmarkEnd w:id="400"/>
    </w:p>
    <w:p w14:paraId="11A1FAA0">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16.1、当买方提出货物数量增减时，合同价款可进行调整，按合同已有的单价变更合同价款。</w:t>
      </w:r>
    </w:p>
    <w:p w14:paraId="00F8CB43">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16.2、涉及买方要求货物变更的，双方在变更确定后7天内，卖方提出变更合同价款的报告，经买方确认后调整合同价款。变更合同价款按下列方法进行：</w:t>
      </w:r>
    </w:p>
    <w:p w14:paraId="491F3893">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drawing>
          <wp:anchor distT="0" distB="0" distL="114300" distR="114300" simplePos="0" relativeHeight="251660288" behindDoc="1" locked="1" layoutInCell="1" allowOverlap="1">
            <wp:simplePos x="0" y="0"/>
            <wp:positionH relativeFrom="column">
              <wp:posOffset>4368800</wp:posOffset>
            </wp:positionH>
            <wp:positionV relativeFrom="paragraph">
              <wp:posOffset>9372600</wp:posOffset>
            </wp:positionV>
            <wp:extent cx="558800" cy="533400"/>
            <wp:effectExtent l="0" t="0" r="0" b="0"/>
            <wp:wrapNone/>
            <wp:docPr id="24" name="图片 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38"/>
                    <pic:cNvPicPr>
                      <a:picLocks noChangeAspect="1"/>
                    </pic:cNvPicPr>
                  </pic:nvPicPr>
                  <pic:blipFill>
                    <a:blip r:embed="rId67"/>
                    <a:stretch>
                      <a:fillRect/>
                    </a:stretch>
                  </pic:blipFill>
                  <pic:spPr>
                    <a:xfrm>
                      <a:off x="0" y="0"/>
                      <a:ext cx="558800" cy="533400"/>
                    </a:xfrm>
                    <a:prstGeom prst="rect">
                      <a:avLst/>
                    </a:prstGeom>
                    <a:noFill/>
                    <a:ln>
                      <a:noFill/>
                    </a:ln>
                  </pic:spPr>
                </pic:pic>
              </a:graphicData>
            </a:graphic>
          </wp:anchor>
        </w:drawing>
      </w:r>
      <w:r>
        <w:rPr>
          <w:rFonts w:hint="eastAsia" w:asciiTheme="minorEastAsia" w:hAnsiTheme="minorEastAsia" w:eastAsiaTheme="minorEastAsia" w:cstheme="minorEastAsia"/>
          <w:color w:val="auto"/>
          <w:sz w:val="24"/>
          <w:szCs w:val="24"/>
        </w:rPr>
        <w:t>（1）合同中已有适用于变更货物的单价，按合同已有的单价变更合同价款；</w:t>
      </w:r>
    </w:p>
    <w:p w14:paraId="2B23C5A7">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（2）合同中只有适用或类似于变更货物的单价，可以参照类似单价变更合同价款；</w:t>
      </w:r>
    </w:p>
    <w:p w14:paraId="172CDA46">
      <w:pPr>
        <w:spacing w:line="44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（3）合同中没有适用或类似于变更货物的价格，由卖方提出适当的变更单价，经买方或买方委托的造价咨询确认后执行，定价依据原则上参照控制价编制并结合中标下浮率后确定。</w:t>
      </w:r>
    </w:p>
    <w:p w14:paraId="59800458">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16.3、因变更导致费用增加的，变更后7天内不向买方提出变更签证的报告时，视为该项变更不涉及合同价款的变更。</w:t>
      </w:r>
    </w:p>
    <w:p w14:paraId="7073664E">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16.4、买方提出的对已交货部分进行变更，卖方对于有可能被重复利用的货物，必须报买方确认，否则视为全部重新利用。</w:t>
      </w:r>
    </w:p>
    <w:p w14:paraId="16BC21B4">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16.5、现场签证由卖方填写，买方单位派人审核数量和单价，经买方书面审定后方为有效。</w:t>
      </w:r>
    </w:p>
    <w:p w14:paraId="736C976D">
      <w:pPr>
        <w:spacing w:line="400" w:lineRule="exact"/>
        <w:ind w:firstLine="42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16.6、因卖方擅自变更发生的费用和由此导致买方的直接损失，由卖方承担，延误的工期不予顺延。</w:t>
      </w:r>
    </w:p>
    <w:p w14:paraId="1ACB7311">
      <w:pPr>
        <w:spacing w:line="440" w:lineRule="exact"/>
        <w:ind w:firstLine="480"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16.7、卖方提出的合理化建议涉及到对清单内规定的货物的更改及对货物的换用，须经买方同意。未经买方书面同意擅自更改或换用时，卖方承担由此发生的费用，并赔偿买方的有关损失，并按照13.1条承担逾期交货责任。</w:t>
      </w:r>
      <w:bookmarkStart w:id="401" w:name="_Toc8662"/>
      <w:bookmarkStart w:id="402" w:name="_Toc28356"/>
      <w:bookmarkStart w:id="403" w:name="_Toc8767"/>
      <w:bookmarkStart w:id="404" w:name="_Toc369786999"/>
    </w:p>
    <w:p w14:paraId="483E76BA">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十七、转让和分包</w:t>
      </w:r>
      <w:bookmarkEnd w:id="401"/>
      <w:bookmarkEnd w:id="402"/>
      <w:bookmarkEnd w:id="403"/>
    </w:p>
    <w:p w14:paraId="0967A222">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除买方事先书面同意外，卖方不得将其合同权利、责任和义务部分转让或全部转让或转移给第三方。</w:t>
      </w:r>
    </w:p>
    <w:bookmarkEnd w:id="404"/>
    <w:p w14:paraId="55143357">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405" w:name="_Toc8421"/>
      <w:bookmarkStart w:id="406" w:name="_Toc397950503"/>
      <w:bookmarkStart w:id="407" w:name="_Toc12783"/>
      <w:bookmarkStart w:id="408" w:name="_Toc398816098"/>
      <w:bookmarkStart w:id="409" w:name="_Toc406353222"/>
      <w:bookmarkStart w:id="410" w:name="_Toc4203"/>
      <w:bookmarkStart w:id="411" w:name="_Toc369787000"/>
      <w:r>
        <w:rPr>
          <w:rFonts w:hint="eastAsia" w:asciiTheme="minorEastAsia" w:hAnsiTheme="minorEastAsia" w:eastAsiaTheme="minorEastAsia" w:cstheme="minorEastAsia"/>
          <w:color w:val="auto"/>
          <w:sz w:val="24"/>
          <w:szCs w:val="24"/>
        </w:rPr>
        <w:t>十八、合同修改</w:t>
      </w:r>
      <w:bookmarkEnd w:id="405"/>
      <w:bookmarkEnd w:id="406"/>
      <w:bookmarkEnd w:id="407"/>
      <w:bookmarkEnd w:id="408"/>
      <w:bookmarkEnd w:id="409"/>
      <w:bookmarkEnd w:id="410"/>
    </w:p>
    <w:p w14:paraId="77FAE56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欲对合同条款作出任何改动或偏离，均须由买卖双方签署书面的合同修改书。</w:t>
      </w:r>
    </w:p>
    <w:bookmarkEnd w:id="411"/>
    <w:p w14:paraId="0D4C7DAD">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412" w:name="_Toc17556"/>
      <w:bookmarkStart w:id="413" w:name="_Toc397950504"/>
      <w:bookmarkStart w:id="414" w:name="_Toc11532"/>
      <w:bookmarkStart w:id="415" w:name="_Toc406353223"/>
      <w:bookmarkStart w:id="416" w:name="_Toc398816099"/>
      <w:bookmarkStart w:id="417" w:name="_Toc28615"/>
      <w:bookmarkStart w:id="418" w:name="_Toc369787001"/>
      <w:r>
        <w:rPr>
          <w:rFonts w:hint="eastAsia" w:asciiTheme="minorEastAsia" w:hAnsiTheme="minorEastAsia" w:eastAsiaTheme="minorEastAsia" w:cstheme="minorEastAsia"/>
          <w:color w:val="auto"/>
          <w:sz w:val="24"/>
          <w:szCs w:val="24"/>
        </w:rPr>
        <w:t>十九、合同的解除和终止</w:t>
      </w:r>
      <w:bookmarkEnd w:id="412"/>
      <w:bookmarkEnd w:id="413"/>
      <w:bookmarkEnd w:id="414"/>
      <w:bookmarkEnd w:id="415"/>
      <w:bookmarkEnd w:id="416"/>
      <w:bookmarkEnd w:id="417"/>
    </w:p>
    <w:p w14:paraId="11B567B7">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19.1如果卖方迟延履行或交付不符合要求，买方有选择是否继续接受。</w:t>
      </w:r>
    </w:p>
    <w:p w14:paraId="05D354AD">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1）如买方接受，则买方应支付与所交付产品相对应的相关款项；</w:t>
      </w:r>
    </w:p>
    <w:p w14:paraId="09C57383">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2）如买方不接受，解除合同，卖方需支付合同总金额10%的违约金。</w:t>
      </w:r>
    </w:p>
    <w:p w14:paraId="6734A16D">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19.2合同的解除及终止不影响任何一方依据本合同的约定向另一方提出索赔、追索或其他约定、法定权利。</w:t>
      </w:r>
    </w:p>
    <w:bookmarkEnd w:id="418"/>
    <w:p w14:paraId="4E901786">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419" w:name="_Toc24074"/>
      <w:bookmarkStart w:id="420" w:name="_Toc406353224"/>
      <w:bookmarkStart w:id="421" w:name="_Toc398816100"/>
      <w:bookmarkStart w:id="422" w:name="_Toc28322"/>
      <w:bookmarkStart w:id="423" w:name="_Toc397950505"/>
      <w:bookmarkStart w:id="424" w:name="_Toc9539"/>
      <w:bookmarkStart w:id="425" w:name="_Toc369787002"/>
      <w:r>
        <w:rPr>
          <w:rFonts w:hint="eastAsia" w:asciiTheme="minorEastAsia" w:hAnsiTheme="minorEastAsia" w:eastAsiaTheme="minorEastAsia" w:cstheme="minorEastAsia"/>
          <w:color w:val="auto"/>
          <w:sz w:val="24"/>
          <w:szCs w:val="24"/>
        </w:rPr>
        <w:t>二十、争端处理</w:t>
      </w:r>
      <w:bookmarkEnd w:id="419"/>
      <w:bookmarkEnd w:id="420"/>
      <w:bookmarkEnd w:id="421"/>
      <w:bookmarkEnd w:id="422"/>
      <w:bookmarkEnd w:id="423"/>
      <w:bookmarkEnd w:id="424"/>
    </w:p>
    <w:p w14:paraId="3C639EF5">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20.1因本合同发生的争议，双方应友好协商解决，协商不成，按下列</w:t>
      </w:r>
      <w:r>
        <w:rPr>
          <w:rFonts w:hint="eastAsia" w:asciiTheme="minorEastAsia" w:hAnsiTheme="minorEastAsia" w:eastAsiaTheme="minorEastAsia" w:cstheme="minorEastAsia"/>
          <w:color w:val="auto"/>
          <w:sz w:val="24"/>
          <w:szCs w:val="24"/>
          <w:u w:val="single"/>
        </w:rPr>
        <w:t>第（2）种</w:t>
      </w:r>
      <w:r>
        <w:rPr>
          <w:rFonts w:hint="eastAsia" w:asciiTheme="minorEastAsia" w:hAnsiTheme="minorEastAsia" w:eastAsiaTheme="minorEastAsia" w:cstheme="minorEastAsia"/>
          <w:color w:val="auto"/>
          <w:sz w:val="24"/>
          <w:szCs w:val="24"/>
        </w:rPr>
        <w:t>方式解决：</w:t>
      </w:r>
    </w:p>
    <w:p w14:paraId="1D0EA243">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（1）向工程所在地仲裁委员会申请仲裁；</w:t>
      </w:r>
    </w:p>
    <w:p w14:paraId="34D8DCCA">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（2）向工程所在地人民法院起诉。</w:t>
      </w:r>
    </w:p>
    <w:p w14:paraId="57E4E117">
      <w:pPr>
        <w:pStyle w:val="4"/>
        <w:spacing w:line="440" w:lineRule="exact"/>
        <w:ind w:firstLine="482" w:firstLineChars="200"/>
        <w:jc w:val="left"/>
        <w:rPr>
          <w:rFonts w:hint="eastAsia" w:asciiTheme="minorEastAsia" w:hAnsiTheme="minorEastAsia" w:eastAsiaTheme="minorEastAsia" w:cstheme="minorEastAsia"/>
          <w:color w:val="auto"/>
          <w:sz w:val="24"/>
          <w:szCs w:val="24"/>
        </w:rPr>
      </w:pPr>
      <w:bookmarkStart w:id="426" w:name="_Toc397950506"/>
      <w:bookmarkStart w:id="427" w:name="_Toc398816101"/>
      <w:bookmarkStart w:id="428" w:name="_Toc406353225"/>
      <w:bookmarkStart w:id="429" w:name="_Toc21376"/>
      <w:bookmarkStart w:id="430" w:name="_Toc130"/>
      <w:bookmarkStart w:id="431" w:name="_Toc24615"/>
      <w:r>
        <w:rPr>
          <w:rFonts w:hint="eastAsia" w:asciiTheme="minorEastAsia" w:hAnsiTheme="minorEastAsia" w:eastAsiaTheme="minorEastAsia" w:cstheme="minorEastAsia"/>
          <w:color w:val="auto"/>
          <w:sz w:val="24"/>
          <w:szCs w:val="24"/>
        </w:rPr>
        <w:t>二十一、合同生效及其它</w:t>
      </w:r>
      <w:bookmarkEnd w:id="425"/>
      <w:bookmarkEnd w:id="426"/>
      <w:bookmarkEnd w:id="427"/>
      <w:bookmarkEnd w:id="428"/>
      <w:bookmarkEnd w:id="429"/>
      <w:bookmarkEnd w:id="430"/>
      <w:bookmarkEnd w:id="431"/>
    </w:p>
    <w:p w14:paraId="518676D4">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21.1本合同在双方签字盖章后生效。</w:t>
      </w:r>
    </w:p>
    <w:p w14:paraId="38B00CC0">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21.2招标文件、投标文件和招标过程中的澄清文件是本合同不可分割的组成部分，本合同未尽事宜从其规定。</w:t>
      </w:r>
    </w:p>
    <w:p w14:paraId="1BBE2944">
      <w:pPr>
        <w:spacing w:line="440" w:lineRule="exact"/>
        <w:ind w:firstLine="480"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21.3 本合同一式</w:t>
      </w:r>
      <w:r>
        <w:rPr>
          <w:rFonts w:hint="eastAsia" w:asciiTheme="minorEastAsia" w:hAnsiTheme="minorEastAsia" w:eastAsiaTheme="minorEastAsia" w:cstheme="minorEastAsia"/>
          <w:color w:val="auto"/>
          <w:sz w:val="24"/>
          <w:szCs w:val="24"/>
          <w:u w:val="single"/>
        </w:rPr>
        <w:t>伍</w:t>
      </w:r>
      <w:r>
        <w:rPr>
          <w:rFonts w:hint="eastAsia" w:asciiTheme="minorEastAsia" w:hAnsiTheme="minorEastAsia" w:eastAsiaTheme="minorEastAsia" w:cstheme="minorEastAsia"/>
          <w:color w:val="auto"/>
          <w:sz w:val="24"/>
          <w:szCs w:val="24"/>
        </w:rPr>
        <w:t>份，买方</w:t>
      </w:r>
      <w:r>
        <w:rPr>
          <w:rFonts w:hint="eastAsia" w:asciiTheme="minorEastAsia" w:hAnsiTheme="minorEastAsia" w:eastAsiaTheme="minorEastAsia" w:cstheme="minorEastAsia"/>
          <w:color w:val="auto"/>
          <w:sz w:val="24"/>
          <w:szCs w:val="24"/>
          <w:u w:val="single"/>
        </w:rPr>
        <w:t>叁</w:t>
      </w:r>
      <w:r>
        <w:rPr>
          <w:rFonts w:hint="eastAsia" w:asciiTheme="minorEastAsia" w:hAnsiTheme="minorEastAsia" w:eastAsiaTheme="minorEastAsia" w:cstheme="minorEastAsia"/>
          <w:color w:val="auto"/>
          <w:sz w:val="24"/>
          <w:szCs w:val="24"/>
        </w:rPr>
        <w:t>份，卖方</w:t>
      </w:r>
      <w:r>
        <w:rPr>
          <w:rFonts w:hint="eastAsia" w:asciiTheme="minorEastAsia" w:hAnsiTheme="minorEastAsia" w:eastAsiaTheme="minorEastAsia" w:cstheme="minorEastAsia"/>
          <w:color w:val="auto"/>
          <w:sz w:val="24"/>
          <w:szCs w:val="24"/>
          <w:u w:val="single"/>
        </w:rPr>
        <w:t>贰</w:t>
      </w:r>
      <w:r>
        <w:rPr>
          <w:rFonts w:hint="eastAsia" w:asciiTheme="minorEastAsia" w:hAnsiTheme="minorEastAsia" w:eastAsiaTheme="minorEastAsia" w:cstheme="minorEastAsia"/>
          <w:color w:val="auto"/>
          <w:sz w:val="24"/>
          <w:szCs w:val="24"/>
        </w:rPr>
        <w:t>份，具有相同法律效力。</w:t>
      </w:r>
    </w:p>
    <w:p w14:paraId="0AC753E4">
      <w:pPr>
        <w:spacing w:line="440" w:lineRule="exact"/>
        <w:ind w:firstLine="482" w:firstLineChars="20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二十二、合同附件</w:t>
      </w:r>
    </w:p>
    <w:p w14:paraId="1CEE9E4E">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下列合同附件为本合同不可分割的部分并与本合同具有同等效力：</w:t>
      </w:r>
    </w:p>
    <w:p w14:paraId="1C0B1A8A">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1)供货范围及分项报价表；</w:t>
      </w:r>
    </w:p>
    <w:p w14:paraId="2E971ECB">
      <w:pPr>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22.1组成合同的各项文件应相互解释，互为说明。除合同另有规定外，其优先顺序如下:</w:t>
      </w:r>
    </w:p>
    <w:p w14:paraId="550E1C9F">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 本合同文本及附件；</w:t>
      </w:r>
    </w:p>
    <w:p w14:paraId="5C401BC3">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 中标通知书；</w:t>
      </w:r>
    </w:p>
    <w:p w14:paraId="745418CC">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 授标前澄清文件（含询标纪要及承诺）；</w:t>
      </w:r>
    </w:p>
    <w:p w14:paraId="3A0ABB0C">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招标文件及招标补充文件（澄清文件、其他补充资料）；</w:t>
      </w:r>
    </w:p>
    <w:p w14:paraId="73E90D0D">
      <w:pPr>
        <w:tabs>
          <w:tab w:val="left" w:pos="540"/>
          <w:tab w:val="left" w:pos="840"/>
        </w:tabs>
        <w:autoSpaceDE w:val="0"/>
        <w:autoSpaceDN w:val="0"/>
        <w:adjustRightIn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 投标文件及附件。</w:t>
      </w:r>
    </w:p>
    <w:p w14:paraId="6FD52749">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买方（盖章）：                           卖方（盖章）：</w:t>
      </w:r>
    </w:p>
    <w:p w14:paraId="3324AFBF">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法定代表人或授权代表人（签字）：         法定代表人或授权代表人（签字）：</w:t>
      </w:r>
    </w:p>
    <w:p w14:paraId="5438CC32">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                                   地址：</w:t>
      </w:r>
    </w:p>
    <w:p w14:paraId="1E66F466">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电话：                                   电话：</w:t>
      </w:r>
    </w:p>
    <w:p w14:paraId="6462A8C0">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开户账号：                               开户账号：</w:t>
      </w:r>
    </w:p>
    <w:p w14:paraId="2B530A2F">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开户银行：                               开户银行：</w:t>
      </w:r>
    </w:p>
    <w:p w14:paraId="3200EDA1">
      <w:pPr>
        <w:adjustRightInd w:val="0"/>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税号：                                   税号：</w:t>
      </w:r>
    </w:p>
    <w:p w14:paraId="126A1289">
      <w:pPr>
        <w:adjustRightInd w:val="0"/>
        <w:snapToGrid w:val="0"/>
        <w:spacing w:line="440" w:lineRule="exact"/>
        <w:ind w:firstLine="480" w:firstLineChars="200"/>
        <w:jc w:val="lef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签订日期：                               签订日期：</w:t>
      </w:r>
    </w:p>
    <w:p w14:paraId="0FFDB2FE">
      <w:pP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br w:type="page"/>
      </w:r>
    </w:p>
    <w:p w14:paraId="30D47A2E">
      <w:pPr>
        <w:spacing w:line="460" w:lineRule="exact"/>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项目廉洁合同</w:t>
      </w:r>
    </w:p>
    <w:p w14:paraId="0E34F51E">
      <w:pPr>
        <w:spacing w:line="46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发包人（甲方）：</w:t>
      </w:r>
    </w:p>
    <w:p w14:paraId="02032ACD">
      <w:pPr>
        <w:spacing w:line="46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承包人（乙方）：</w:t>
      </w:r>
    </w:p>
    <w:p w14:paraId="68A85EB6">
      <w:pPr>
        <w:pStyle w:val="19"/>
        <w:spacing w:before="120" w:after="120" w:line="46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工程建设</w:t>
      </w:r>
      <w:r>
        <w:rPr>
          <w:rFonts w:hint="eastAsia" w:asciiTheme="minorEastAsia" w:hAnsiTheme="minorEastAsia" w:eastAsiaTheme="minorEastAsia" w:cstheme="minorEastAsia"/>
          <w:color w:val="auto"/>
          <w:sz w:val="24"/>
          <w:szCs w:val="24"/>
          <w:lang w:val="en-US" w:eastAsia="zh-CN"/>
        </w:rPr>
        <w:sym w:font="Wingdings" w:char="00A8"/>
      </w:r>
      <w:r>
        <w:rPr>
          <w:rFonts w:hint="eastAsia" w:asciiTheme="minorEastAsia" w:hAnsiTheme="minorEastAsia" w:eastAsiaTheme="minorEastAsia" w:cstheme="minorEastAsia"/>
          <w:color w:val="auto"/>
          <w:sz w:val="24"/>
          <w:szCs w:val="24"/>
          <w:lang w:val="en-US" w:eastAsia="zh-CN"/>
        </w:rPr>
        <w:t xml:space="preserve"> 物资货物采购</w:t>
      </w:r>
      <w:r>
        <w:rPr>
          <w:rFonts w:hint="eastAsia" w:asciiTheme="minorEastAsia" w:hAnsiTheme="minorEastAsia" w:eastAsiaTheme="minorEastAsia" w:cstheme="minorEastAsia"/>
          <w:color w:val="auto"/>
          <w:sz w:val="24"/>
          <w:szCs w:val="24"/>
          <w:lang w:val="en-US" w:eastAsia="zh-CN"/>
        </w:rPr>
        <w:sym w:font="Wingdings" w:char="00A8"/>
      </w:r>
      <w:r>
        <w:rPr>
          <w:rFonts w:hint="eastAsia" w:asciiTheme="minorEastAsia" w:hAnsiTheme="minorEastAsia" w:eastAsiaTheme="minorEastAsia" w:cstheme="minorEastAsia"/>
          <w:color w:val="auto"/>
          <w:sz w:val="24"/>
          <w:szCs w:val="24"/>
          <w:lang w:val="en-US" w:eastAsia="zh-CN"/>
        </w:rPr>
        <w:t xml:space="preserve"> 服务采购</w:t>
      </w:r>
      <w:r>
        <w:rPr>
          <w:rFonts w:hint="eastAsia" w:asciiTheme="minorEastAsia" w:hAnsiTheme="minorEastAsia" w:eastAsiaTheme="minorEastAsia" w:cstheme="minorEastAsia"/>
          <w:color w:val="auto"/>
          <w:sz w:val="24"/>
          <w:szCs w:val="24"/>
          <w:lang w:val="en-US" w:eastAsia="zh-CN"/>
        </w:rPr>
        <w:sym w:font="Wingdings" w:char="00A8"/>
      </w:r>
      <w:r>
        <w:rPr>
          <w:rFonts w:hint="eastAsia" w:asciiTheme="minorEastAsia" w:hAnsiTheme="minorEastAsia" w:eastAsiaTheme="minorEastAsia" w:cstheme="minorEastAsia"/>
          <w:color w:val="auto"/>
          <w:sz w:val="24"/>
          <w:szCs w:val="24"/>
          <w:lang w:val="en-US" w:eastAsia="zh-CN"/>
        </w:rPr>
        <w:t>（相对应类别</w:t>
      </w:r>
      <w:r>
        <w:rPr>
          <w:rFonts w:hint="eastAsia" w:asciiTheme="minorEastAsia" w:hAnsiTheme="minorEastAsia" w:eastAsiaTheme="minorEastAsia" w:cstheme="minorEastAsia"/>
          <w:color w:val="auto"/>
          <w:sz w:val="24"/>
          <w:szCs w:val="24"/>
          <w:lang w:val="en-US" w:eastAsia="zh-CN"/>
        </w:rPr>
        <w:sym w:font="Wingdings" w:char="00A8"/>
      </w:r>
      <w:r>
        <w:rPr>
          <w:rFonts w:hint="eastAsia" w:asciiTheme="minorEastAsia" w:hAnsiTheme="minorEastAsia" w:eastAsiaTheme="minorEastAsia" w:cstheme="minorEastAsia"/>
          <w:color w:val="auto"/>
          <w:sz w:val="24"/>
          <w:szCs w:val="24"/>
          <w:lang w:val="en-US" w:eastAsia="zh-CN"/>
        </w:rPr>
        <w:t>内打“√”）</w:t>
      </w:r>
    </w:p>
    <w:p w14:paraId="545FAE79">
      <w:pPr>
        <w:pStyle w:val="19"/>
        <w:spacing w:before="120" w:after="120" w:line="46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lang w:val="en-US" w:eastAsia="zh-CN"/>
        </w:rPr>
        <w:t>项目名称（编号）：</w:t>
      </w:r>
    </w:p>
    <w:p w14:paraId="75221175">
      <w:pPr>
        <w:pStyle w:val="19"/>
        <w:spacing w:before="120" w:after="120" w:line="460" w:lineRule="exact"/>
        <w:rPr>
          <w:rFonts w:hint="eastAsia" w:asciiTheme="minorEastAsia" w:hAnsiTheme="minorEastAsia" w:eastAsiaTheme="minorEastAsia" w:cstheme="minorEastAsia"/>
          <w:color w:val="auto"/>
          <w:sz w:val="24"/>
          <w:szCs w:val="24"/>
          <w:u w:val="single"/>
        </w:rPr>
      </w:pPr>
    </w:p>
    <w:p w14:paraId="1A989CEC">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为加强工程建设、物资采购和服务采购领域中的廉洁建设，规范甲、乙双方各项活动，防止发生各种谋取不正当利益的违纪违法行为，保护国家、集体和当事人的合法权益，根据国家、省市的法律法规和廉洁责任制规定，特订立本廉洁合同。</w:t>
      </w:r>
    </w:p>
    <w:p w14:paraId="7E8AC9BA">
      <w:pPr>
        <w:spacing w:line="46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第一条 双方共同责任</w:t>
      </w:r>
    </w:p>
    <w:p w14:paraId="5CC968BC">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（一）应严格遵守国家关于工程建设、物资采购和服务采购领域有关法律、法规，相关政策，以及党风廉政建设的各项规定。</w:t>
      </w:r>
    </w:p>
    <w:p w14:paraId="36931275">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（二）严格执行项目合同文件和廉洁合同文件，自觉按合同办事。</w:t>
      </w:r>
    </w:p>
    <w:p w14:paraId="35037DEA">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（三）除法律认定的商业秘密或合同文件另有规定外，甲、乙双方的业务活动必须坚持公开、公平、公正、诚信、透明的原则，甲、乙双方不得为获取不正当利益而损害国家、集体利益。</w:t>
      </w:r>
    </w:p>
    <w:p w14:paraId="06A5B7A9">
      <w:pPr>
        <w:spacing w:line="46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（四）建立健全廉洁制度，开展廉洁教育，设立廉洁告示牌，公布举报电话。</w:t>
      </w:r>
    </w:p>
    <w:p w14:paraId="60EE0687">
      <w:pPr>
        <w:spacing w:line="46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（五）发现对方在业务活动中有违反本合同规定或其他违纪违法行为的，有及时提醒对方纠正的权利和义务。情节严重的，有向其上级有关部门举报、建议给予处理并要求告知处理结果的权利。</w:t>
      </w:r>
    </w:p>
    <w:p w14:paraId="69110D79">
      <w:pPr>
        <w:spacing w:line="46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第二条 甲方的责任</w:t>
      </w:r>
    </w:p>
    <w:p w14:paraId="54D6487F">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所有参与本项目的甲方人员，在工程建设的事前、事中、事后应遵守以下规定：</w:t>
      </w:r>
    </w:p>
    <w:p w14:paraId="37E55EED">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（一）不准向乙方和相关单位索要或接受回扣、礼金、有价证券、贵重物品和好处费、感谢费等。</w:t>
      </w:r>
    </w:p>
    <w:p w14:paraId="4EFA3DA3">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（二）不准在乙方和相关单位报销任何应由甲方或个人支付的费用。</w:t>
      </w:r>
    </w:p>
    <w:p w14:paraId="0DBFBED5">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（三）不准要求、暗示和接受乙方和相关单位为个人装修住房、婚丧嫁娶、配偶子女的工作安排以及出国（境）、旅游等提供方便。</w:t>
      </w:r>
    </w:p>
    <w:p w14:paraId="3F7C93DE">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(四)不准参加乙方和相关单位组织的有可能影响公正执行公务的宴请和健身、娱乐等活动，不得接受乙方提供的通讯工具、交通工具、高档办公用品等。</w:t>
      </w:r>
    </w:p>
    <w:p w14:paraId="3E62CF24">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（五）甲方人员的配偶、子女、亲属等不得参与乙方或相关单位承包的本工程有关的设备、材料、工程分包、劳务、监理、勘察设计等经济活动。</w:t>
      </w:r>
    </w:p>
    <w:p w14:paraId="73297E0A">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（六）不准以任何理由与乙方私下交易，向乙方和相关单位推荐分包单位或要求乙方购买私自指定的材料、设备等。</w:t>
      </w:r>
    </w:p>
    <w:p w14:paraId="752C3B37">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（七）不准利用职权从事各种个人有偿中介活动。</w:t>
      </w:r>
    </w:p>
    <w:p w14:paraId="04C61749">
      <w:pPr>
        <w:spacing w:line="460"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第三条 乙方的责任</w:t>
      </w:r>
    </w:p>
    <w:p w14:paraId="49EE476E">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乙方应与甲方保持正常的业务交往，按照有关法律法规和程序开展工作，并遵守以下规定：</w:t>
      </w:r>
    </w:p>
    <w:p w14:paraId="488A2F73">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（一）不准以任何理由向甲方、相关单位及其工作人员赠送礼金、有价证券、贵重物品和回扣、好处费、感谢费等。</w:t>
      </w:r>
    </w:p>
    <w:p w14:paraId="692F6DBB">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（二）不准以任何名义为甲方、相关单位或个人报销应由对方或个人支付的费用。</w:t>
      </w:r>
    </w:p>
    <w:p w14:paraId="4601135F">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（三）不准接受或暗示为甲方、相关单位或个人装修住房、婚丧嫁娶、配偶子女的工作安排以及出国（境）、旅游等提供方便。</w:t>
      </w:r>
    </w:p>
    <w:p w14:paraId="4557B59A">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（四）不准以任何理由为甲方、相关单位或个人组织有可能影响公正执行公务的宴请、健身、娱乐等活动。</w:t>
      </w:r>
    </w:p>
    <w:p w14:paraId="21D8DEA6">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（五）不准为甲方人员购置或提供通讯工具、交通工具、高档办公用品。</w:t>
      </w:r>
    </w:p>
    <w:p w14:paraId="421BA00C">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（六）不准以任何理由与甲方私下交易。</w:t>
      </w:r>
    </w:p>
    <w:p w14:paraId="6FD3A09D">
      <w:pPr>
        <w:spacing w:line="460" w:lineRule="exact"/>
        <w:ind w:firstLine="482"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第四条 违约责任</w:t>
      </w:r>
    </w:p>
    <w:p w14:paraId="29CB0FBC">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如发现甲、乙双方的违规违纪违法行为，公司纪委（监察专员办）将以“零容忍”态度从严从快处理，一律点名通报，形成震慑。</w:t>
      </w:r>
    </w:p>
    <w:p w14:paraId="22E4C670">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一）甲方人员有违反本合同第一、二条责任行为的，按照情节轻重程度作出处理。情节轻微的，对党员干部作出组织处理或依据《中国共产党纪律处分条例》作出处理；对非党员的监察对象依据《监察法》《政务处分法》作出处理；对其他人员依据《劳动法》和公司规章制度作出处理，以上处理可一并给予经济处罚。情节严重的，移交上级纪委监委办理。涉嫌犯罪的，移交司法机关追究刑事责任。</w:t>
      </w:r>
    </w:p>
    <w:p w14:paraId="66E8533B">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（二）乙方人员有违反本合同第一、三条责任行为的，甲方有权要求乙方依据有关法律法规和规定给予相关人员党纪、政纪处分或组织处理；</w:t>
      </w:r>
    </w:p>
    <w:p w14:paraId="44F97A1D">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（三）如涉及合法分包的项目，乙方有责任向分包方说明廉洁合同的具体内容，要求其严格执行。分包方违反上述责任行为的，乙方与分包方承担连带责任。</w:t>
      </w:r>
    </w:p>
    <w:p w14:paraId="5103BFB4">
      <w:pPr>
        <w:spacing w:line="46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（四）甲乙双方人员赠送、贿赂，接受或索要钱物，如果一方发生，另一方当事人应立即报告本单位领导和纪检监察机关，对不主动报告情况的有关人员，一经查出，视情节轻重给予处罚。</w:t>
      </w:r>
    </w:p>
    <w:p w14:paraId="2EBA0477">
      <w:pPr>
        <w:pStyle w:val="19"/>
        <w:spacing w:before="120" w:after="120" w:line="460"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kern w:val="2"/>
          <w:sz w:val="24"/>
          <w:szCs w:val="24"/>
          <w:lang w:val="en-US" w:eastAsia="zh-CN"/>
        </w:rPr>
        <w:t>第五条</w:t>
      </w:r>
      <w:r>
        <w:rPr>
          <w:rFonts w:hint="eastAsia" w:asciiTheme="minorEastAsia" w:hAnsiTheme="minorEastAsia" w:eastAsiaTheme="minorEastAsia" w:cstheme="minorEastAsia"/>
          <w:color w:val="auto"/>
          <w:kern w:val="2"/>
          <w:sz w:val="24"/>
          <w:szCs w:val="24"/>
          <w:lang w:val="en-US" w:eastAsia="zh-CN"/>
        </w:rPr>
        <w:t>本合同由双方单位纪检监察人员或其上级纪委负责监督，并对执行情况进行检查。</w:t>
      </w:r>
    </w:p>
    <w:p w14:paraId="4A1F2FFF">
      <w:pPr>
        <w:spacing w:line="460"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第六条</w:t>
      </w:r>
      <w:r>
        <w:rPr>
          <w:rFonts w:hint="eastAsia" w:asciiTheme="minorEastAsia" w:hAnsiTheme="minorEastAsia" w:eastAsiaTheme="minorEastAsia" w:cstheme="minorEastAsia"/>
          <w:color w:val="auto"/>
          <w:sz w:val="24"/>
          <w:szCs w:val="24"/>
        </w:rPr>
        <w:t xml:space="preserve"> 本廉洁合同作为主合同的附件，与主合同具有同等法律效力。经双方法定代表人（委托代理人）和纪检监察人员签署后生效。</w:t>
      </w:r>
    </w:p>
    <w:p w14:paraId="06CF934D">
      <w:pPr>
        <w:spacing w:line="460"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 xml:space="preserve">第七条 </w:t>
      </w:r>
      <w:r>
        <w:rPr>
          <w:rFonts w:hint="eastAsia" w:asciiTheme="minorEastAsia" w:hAnsiTheme="minorEastAsia" w:eastAsiaTheme="minorEastAsia" w:cstheme="minorEastAsia"/>
          <w:color w:val="auto"/>
          <w:sz w:val="24"/>
          <w:szCs w:val="24"/>
        </w:rPr>
        <w:t>本廉洁合同的有效期为双方签署之日起至主合同履约完毕时止。</w:t>
      </w:r>
    </w:p>
    <w:p w14:paraId="07532184">
      <w:pPr>
        <w:spacing w:line="460" w:lineRule="exact"/>
        <w:ind w:firstLine="482"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t>第八条</w:t>
      </w:r>
      <w:r>
        <w:rPr>
          <w:rFonts w:hint="eastAsia" w:asciiTheme="minorEastAsia" w:hAnsiTheme="minorEastAsia" w:eastAsiaTheme="minorEastAsia" w:cstheme="minorEastAsia"/>
          <w:color w:val="auto"/>
          <w:sz w:val="24"/>
          <w:szCs w:val="24"/>
        </w:rPr>
        <w:t xml:space="preserve"> 本廉洁合同一式四份，由甲乙双方各执一份，送交甲乙双方的监督部门各一份。签订廉洁合同必须在工程项目招标文件和公告中予以明确，接受群众监督。</w:t>
      </w:r>
    </w:p>
    <w:p w14:paraId="608EC7E8">
      <w:pPr>
        <w:spacing w:line="360" w:lineRule="auto"/>
        <w:ind w:firstLine="480" w:firstLineChars="200"/>
        <w:rPr>
          <w:rFonts w:hint="eastAsia" w:asciiTheme="minorEastAsia" w:hAnsiTheme="minorEastAsia" w:eastAsiaTheme="minorEastAsia" w:cstheme="minorEastAsia"/>
          <w:color w:val="auto"/>
          <w:sz w:val="24"/>
          <w:szCs w:val="24"/>
        </w:rPr>
      </w:pPr>
    </w:p>
    <w:p w14:paraId="3B6A4FB5">
      <w:pPr>
        <w:pStyle w:val="19"/>
        <w:spacing w:before="120" w:after="120"/>
        <w:ind w:firstLine="480" w:firstLineChars="200"/>
        <w:rPr>
          <w:rFonts w:hint="eastAsia" w:asciiTheme="minorEastAsia" w:hAnsiTheme="minorEastAsia" w:eastAsiaTheme="minorEastAsia" w:cstheme="minorEastAsia"/>
          <w:color w:val="auto"/>
          <w:sz w:val="24"/>
          <w:szCs w:val="24"/>
        </w:rPr>
      </w:pPr>
    </w:p>
    <w:p w14:paraId="79528B19">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甲方单位（盖章）:                    乙方单位（盖章）：</w:t>
      </w:r>
    </w:p>
    <w:p w14:paraId="47F579C8">
      <w:pPr>
        <w:spacing w:line="360" w:lineRule="auto"/>
        <w:ind w:firstLine="480" w:firstLineChars="200"/>
        <w:rPr>
          <w:rFonts w:hint="eastAsia" w:asciiTheme="minorEastAsia" w:hAnsiTheme="minorEastAsia" w:eastAsiaTheme="minorEastAsia" w:cstheme="minorEastAsia"/>
          <w:color w:val="auto"/>
          <w:sz w:val="24"/>
          <w:szCs w:val="24"/>
        </w:rPr>
      </w:pPr>
    </w:p>
    <w:p w14:paraId="7A255E26">
      <w:pPr>
        <w:pStyle w:val="19"/>
        <w:spacing w:before="120" w:after="120"/>
        <w:ind w:firstLine="480" w:firstLineChars="200"/>
        <w:rPr>
          <w:rFonts w:hint="eastAsia" w:asciiTheme="minorEastAsia" w:hAnsiTheme="minorEastAsia" w:eastAsiaTheme="minorEastAsia" w:cstheme="minorEastAsia"/>
          <w:color w:val="auto"/>
          <w:sz w:val="24"/>
          <w:szCs w:val="24"/>
        </w:rPr>
      </w:pPr>
    </w:p>
    <w:p w14:paraId="29B69B6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法定代表人法定代表人</w:t>
      </w:r>
    </w:p>
    <w:p w14:paraId="35854008">
      <w:pPr>
        <w:spacing w:line="360" w:lineRule="auto"/>
        <w:ind w:firstLine="480" w:firstLineChars="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或委托代理人：          或委托代理人：</w:t>
      </w:r>
    </w:p>
    <w:p w14:paraId="002241FA">
      <w:pPr>
        <w:pStyle w:val="19"/>
        <w:spacing w:before="120" w:after="120"/>
        <w:ind w:firstLine="480" w:firstLineChars="200"/>
        <w:rPr>
          <w:rFonts w:hint="eastAsia" w:asciiTheme="minorEastAsia" w:hAnsiTheme="minorEastAsia" w:eastAsiaTheme="minorEastAsia" w:cstheme="minorEastAsia"/>
          <w:color w:val="auto"/>
          <w:sz w:val="24"/>
          <w:szCs w:val="24"/>
        </w:rPr>
      </w:pPr>
    </w:p>
    <w:p w14:paraId="0660EA59">
      <w:pPr>
        <w:pStyle w:val="19"/>
        <w:spacing w:before="120" w:after="120"/>
        <w:ind w:firstLine="480" w:firstLineChars="200"/>
        <w:rPr>
          <w:rFonts w:hint="eastAsia" w:asciiTheme="minorEastAsia" w:hAnsiTheme="minorEastAsia" w:eastAsiaTheme="minorEastAsia" w:cstheme="minorEastAsia"/>
          <w:color w:val="auto"/>
          <w:sz w:val="24"/>
          <w:szCs w:val="24"/>
        </w:rPr>
      </w:pPr>
    </w:p>
    <w:p w14:paraId="20967780">
      <w:pPr>
        <w:pStyle w:val="19"/>
        <w:spacing w:before="120" w:after="120"/>
        <w:ind w:firstLine="480" w:firstLineChars="200"/>
        <w:rPr>
          <w:rFonts w:hint="eastAsia" w:asciiTheme="minorEastAsia" w:hAnsiTheme="minorEastAsia" w:eastAsiaTheme="minorEastAsia" w:cstheme="minorEastAsia"/>
          <w:color w:val="auto"/>
          <w:sz w:val="24"/>
          <w:szCs w:val="24"/>
        </w:rPr>
      </w:pPr>
    </w:p>
    <w:p w14:paraId="2C4C405F">
      <w:pPr>
        <w:pStyle w:val="19"/>
        <w:spacing w:before="120" w:after="120"/>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甲方纪检监察人员：</w:t>
      </w:r>
      <w:r>
        <w:rPr>
          <w:rFonts w:hint="eastAsia" w:asciiTheme="minorEastAsia" w:hAnsiTheme="minorEastAsia" w:eastAsiaTheme="minorEastAsia" w:cstheme="minorEastAsia"/>
          <w:color w:val="auto"/>
          <w:sz w:val="24"/>
          <w:szCs w:val="24"/>
        </w:rPr>
        <w:t>乙方</w:t>
      </w:r>
      <w:r>
        <w:rPr>
          <w:rFonts w:hint="eastAsia" w:asciiTheme="minorEastAsia" w:hAnsiTheme="minorEastAsia" w:eastAsiaTheme="minorEastAsia" w:cstheme="minorEastAsia"/>
          <w:color w:val="auto"/>
          <w:sz w:val="24"/>
          <w:szCs w:val="24"/>
          <w:lang w:val="en-US" w:eastAsia="zh-CN"/>
        </w:rPr>
        <w:t>纪检监察人员</w:t>
      </w:r>
      <w:r>
        <w:rPr>
          <w:rFonts w:hint="eastAsia" w:asciiTheme="minorEastAsia" w:hAnsiTheme="minorEastAsia" w:eastAsiaTheme="minorEastAsia" w:cstheme="minorEastAsia"/>
          <w:color w:val="auto"/>
          <w:sz w:val="24"/>
          <w:szCs w:val="24"/>
        </w:rPr>
        <w:t>：</w:t>
      </w:r>
    </w:p>
    <w:p w14:paraId="3E5FE361">
      <w:pPr>
        <w:pStyle w:val="19"/>
        <w:spacing w:before="120" w:after="120"/>
        <w:rPr>
          <w:rFonts w:hint="eastAsia" w:asciiTheme="minorEastAsia" w:hAnsiTheme="minorEastAsia" w:eastAsiaTheme="minorEastAsia" w:cstheme="minorEastAsia"/>
          <w:color w:val="auto"/>
          <w:sz w:val="24"/>
          <w:szCs w:val="24"/>
        </w:rPr>
      </w:pPr>
    </w:p>
    <w:p w14:paraId="2537DF7D">
      <w:pPr>
        <w:spacing w:line="360" w:lineRule="auto"/>
        <w:ind w:firstLine="960" w:firstLineChars="4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年月日                   年月日</w:t>
      </w:r>
    </w:p>
    <w:p w14:paraId="6F6F0ED7">
      <w:pPr>
        <w:spacing w:line="360" w:lineRule="auto"/>
        <w:rPr>
          <w:rFonts w:hint="eastAsia" w:asciiTheme="minorEastAsia" w:hAnsiTheme="minorEastAsia" w:eastAsiaTheme="minorEastAsia" w:cstheme="minorEastAsia"/>
          <w:color w:val="auto"/>
          <w:sz w:val="24"/>
          <w:szCs w:val="24"/>
        </w:rPr>
      </w:pPr>
    </w:p>
    <w:p w14:paraId="04FF885A">
      <w:pPr>
        <w:pStyle w:val="158"/>
        <w:spacing w:line="440" w:lineRule="exact"/>
        <w:ind w:firstLine="480"/>
        <w:rPr>
          <w:rFonts w:hint="eastAsia" w:asciiTheme="minorEastAsia" w:hAnsiTheme="minorEastAsia" w:eastAsiaTheme="minorEastAsia" w:cstheme="minorEastAsia"/>
          <w:color w:val="auto"/>
          <w:sz w:val="24"/>
          <w:szCs w:val="24"/>
        </w:rPr>
      </w:pPr>
    </w:p>
    <w:p w14:paraId="3CC27624">
      <w:pPr>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color w:val="auto"/>
          <w:sz w:val="24"/>
          <w:szCs w:val="24"/>
        </w:rPr>
        <w:br w:type="page"/>
      </w:r>
      <w:bookmarkEnd w:id="290"/>
      <w:bookmarkStart w:id="432" w:name="_Toc51138001"/>
      <w:bookmarkStart w:id="433" w:name="_Toc12815"/>
      <w:bookmarkStart w:id="434" w:name="_Toc17707964"/>
      <w:r>
        <w:rPr>
          <w:rFonts w:hint="eastAsia" w:asciiTheme="minorEastAsia" w:hAnsiTheme="minorEastAsia" w:eastAsiaTheme="minorEastAsia" w:cstheme="minorEastAsia"/>
          <w:color w:val="auto"/>
          <w:sz w:val="24"/>
          <w:szCs w:val="24"/>
        </w:rPr>
        <w:t>第六章  投标文件格式</w:t>
      </w:r>
      <w:bookmarkEnd w:id="432"/>
      <w:bookmarkEnd w:id="433"/>
      <w:bookmarkEnd w:id="434"/>
    </w:p>
    <w:p w14:paraId="01A4FB03">
      <w:pPr>
        <w:snapToGrid w:val="0"/>
        <w:spacing w:line="36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一、资格文件</w:t>
      </w:r>
    </w:p>
    <w:p w14:paraId="49565B15">
      <w:pPr>
        <w:numPr>
          <w:ilvl w:val="0"/>
          <w:numId w:val="16"/>
        </w:numPr>
        <w:snapToGrid w:val="0"/>
        <w:spacing w:line="360" w:lineRule="auto"/>
        <w:ind w:firstLine="0"/>
        <w:jc w:val="lef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资格证明文件封面格式（选用）：</w:t>
      </w:r>
    </w:p>
    <w:p w14:paraId="5074E001">
      <w:pPr>
        <w:snapToGrid w:val="0"/>
        <w:spacing w:line="360" w:lineRule="auto"/>
        <w:ind w:firstLine="236" w:firstLineChars="98"/>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封面格式：</w:t>
      </w:r>
    </w:p>
    <w:p w14:paraId="62DAB94D">
      <w:pPr>
        <w:tabs>
          <w:tab w:val="left" w:pos="6096"/>
        </w:tabs>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ab/>
      </w:r>
      <w:r>
        <w:rPr>
          <w:rFonts w:hint="eastAsia" w:asciiTheme="minorEastAsia" w:hAnsiTheme="minorEastAsia" w:eastAsiaTheme="minorEastAsia" w:cstheme="minorEastAsia"/>
          <w:b/>
          <w:color w:val="auto"/>
          <w:sz w:val="24"/>
          <w:szCs w:val="24"/>
        </w:rPr>
        <w:t>正本/或副本</w:t>
      </w:r>
    </w:p>
    <w:p w14:paraId="744A2E0D">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资格证明文件</w:t>
      </w:r>
    </w:p>
    <w:p w14:paraId="421A9053">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项目名称：</w:t>
      </w:r>
    </w:p>
    <w:p w14:paraId="4793B62E">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项目编号：</w:t>
      </w:r>
    </w:p>
    <w:p w14:paraId="3DBC87D1">
      <w:pPr>
        <w:spacing w:line="480" w:lineRule="auto"/>
        <w:ind w:firstLine="1080" w:firstLineChars="45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投标人名称：</w:t>
      </w:r>
      <w:r>
        <w:rPr>
          <w:rFonts w:hint="eastAsia" w:asciiTheme="minorEastAsia" w:hAnsiTheme="minorEastAsia" w:eastAsiaTheme="minorEastAsia" w:cstheme="minorEastAsia"/>
          <w:bCs/>
          <w:color w:val="auto"/>
          <w:sz w:val="24"/>
          <w:szCs w:val="24"/>
          <w:u w:val="single"/>
        </w:rPr>
        <w:t xml:space="preserve">[填写单位名称并盖章] </w:t>
      </w:r>
    </w:p>
    <w:p w14:paraId="173F0C4D">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 xml:space="preserve">标项： </w:t>
      </w:r>
    </w:p>
    <w:p w14:paraId="20E4BEB7">
      <w:pPr>
        <w:snapToGrid w:val="0"/>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投标人地址：</w:t>
      </w:r>
    </w:p>
    <w:p w14:paraId="37B06492">
      <w:pPr>
        <w:snapToGrid w:val="0"/>
        <w:spacing w:line="480" w:lineRule="auto"/>
        <w:ind w:firstLine="1080" w:firstLineChars="4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法定代表人或其被授权代表</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u w:val="single"/>
        </w:rPr>
        <w:t xml:space="preserve">     [签字或盖章]           </w:t>
      </w:r>
    </w:p>
    <w:p w14:paraId="2517B308">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  月  日</w:t>
      </w:r>
    </w:p>
    <w:p w14:paraId="06E8BC2B">
      <w:pPr>
        <w:snapToGrid w:val="0"/>
        <w:spacing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color w:val="auto"/>
          <w:sz w:val="24"/>
          <w:szCs w:val="24"/>
        </w:rPr>
        <w:t>（三）</w:t>
      </w:r>
      <w:r>
        <w:rPr>
          <w:rFonts w:hint="eastAsia" w:asciiTheme="minorEastAsia" w:hAnsiTheme="minorEastAsia" w:eastAsiaTheme="minorEastAsia" w:cstheme="minorEastAsia"/>
          <w:b/>
          <w:bCs/>
          <w:color w:val="auto"/>
          <w:sz w:val="24"/>
          <w:szCs w:val="24"/>
        </w:rPr>
        <w:t>资格证明文件包括以下内容：</w:t>
      </w:r>
    </w:p>
    <w:p w14:paraId="018FD06C">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（1）资格条件自查表；</w:t>
      </w:r>
    </w:p>
    <w:p w14:paraId="2CAFD6AB">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（2）投标人资格声明函</w:t>
      </w:r>
      <w:bookmarkStart w:id="435" w:name="OLE_LINK98"/>
      <w:bookmarkStart w:id="436" w:name="OLE_LINK97"/>
      <w:r>
        <w:rPr>
          <w:rFonts w:hint="eastAsia" w:asciiTheme="minorEastAsia" w:hAnsiTheme="minorEastAsia" w:eastAsiaTheme="minorEastAsia" w:cstheme="minorEastAsia"/>
          <w:color w:val="auto"/>
          <w:sz w:val="24"/>
          <w:szCs w:val="24"/>
        </w:rPr>
        <w:t>；</w:t>
      </w:r>
      <w:bookmarkEnd w:id="435"/>
      <w:bookmarkEnd w:id="436"/>
    </w:p>
    <w:p w14:paraId="5FEC679F">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（3）有效的企业法人营业执照（或事业法人登记证）、其他组织（个体工商户）的营业执照或者民办非企业单位登记证书复印件（复印件加盖公章）；</w:t>
      </w:r>
    </w:p>
    <w:p w14:paraId="6EC6D57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（4）中小企业声明函或残疾人福利性单位声明函或监狱企业证明文件；</w:t>
      </w:r>
    </w:p>
    <w:p w14:paraId="3C69F950">
      <w:pPr>
        <w:widowControl/>
        <w:adjustRightInd w:val="0"/>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r>
        <w:rPr>
          <w:rFonts w:hint="eastAsia" w:asciiTheme="minorEastAsia" w:hAnsiTheme="minorEastAsia" w:eastAsiaTheme="minorEastAsia" w:cstheme="minorEastAsia"/>
          <w:b/>
          <w:color w:val="auto"/>
          <w:sz w:val="24"/>
          <w:szCs w:val="24"/>
        </w:rPr>
        <w:t>资格条件自查表</w:t>
      </w:r>
    </w:p>
    <w:tbl>
      <w:tblPr>
        <w:tblStyle w:val="37"/>
        <w:tblW w:w="8295"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0"/>
        <w:gridCol w:w="4320"/>
        <w:gridCol w:w="1517"/>
        <w:gridCol w:w="1678"/>
      </w:tblGrid>
      <w:tr w14:paraId="0A34FB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85" w:hRule="atLeast"/>
          <w:tblHeader/>
          <w:jc w:val="center"/>
        </w:trPr>
        <w:tc>
          <w:tcPr>
            <w:tcW w:w="780" w:type="dxa"/>
            <w:vAlign w:val="center"/>
          </w:tcPr>
          <w:p w14:paraId="077EAF10">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Style w:val="40"/>
                <w:rFonts w:hint="eastAsia" w:asciiTheme="minorEastAsia" w:hAnsiTheme="minorEastAsia" w:eastAsiaTheme="minorEastAsia" w:cstheme="minorEastAsia"/>
                <w:color w:val="auto"/>
                <w:sz w:val="24"/>
                <w:szCs w:val="24"/>
              </w:rPr>
              <w:t>评审内容</w:t>
            </w:r>
          </w:p>
        </w:tc>
        <w:tc>
          <w:tcPr>
            <w:tcW w:w="4320" w:type="dxa"/>
            <w:vAlign w:val="center"/>
          </w:tcPr>
          <w:p w14:paraId="02C31778">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Style w:val="40"/>
                <w:rFonts w:hint="eastAsia" w:asciiTheme="minorEastAsia" w:hAnsiTheme="minorEastAsia" w:eastAsiaTheme="minorEastAsia" w:cstheme="minorEastAsia"/>
                <w:color w:val="auto"/>
                <w:sz w:val="24"/>
                <w:szCs w:val="24"/>
              </w:rPr>
              <w:t>采购文件要求</w:t>
            </w:r>
          </w:p>
        </w:tc>
        <w:tc>
          <w:tcPr>
            <w:tcW w:w="1517" w:type="dxa"/>
            <w:vAlign w:val="center"/>
          </w:tcPr>
          <w:p w14:paraId="1FE40D0D">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Style w:val="40"/>
                <w:rFonts w:hint="eastAsia" w:asciiTheme="minorEastAsia" w:hAnsiTheme="minorEastAsia" w:eastAsiaTheme="minorEastAsia" w:cstheme="minorEastAsia"/>
                <w:color w:val="auto"/>
                <w:sz w:val="24"/>
                <w:szCs w:val="24"/>
              </w:rPr>
              <w:t>自查结论</w:t>
            </w:r>
          </w:p>
        </w:tc>
        <w:tc>
          <w:tcPr>
            <w:tcW w:w="1678" w:type="dxa"/>
            <w:vAlign w:val="center"/>
          </w:tcPr>
          <w:p w14:paraId="225A1A03">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Style w:val="40"/>
                <w:rFonts w:hint="eastAsia" w:asciiTheme="minorEastAsia" w:hAnsiTheme="minorEastAsia" w:eastAsiaTheme="minorEastAsia" w:cstheme="minorEastAsia"/>
                <w:color w:val="auto"/>
                <w:sz w:val="24"/>
                <w:szCs w:val="24"/>
              </w:rPr>
              <w:t>证明资料页码</w:t>
            </w:r>
          </w:p>
        </w:tc>
      </w:tr>
      <w:tr w14:paraId="16D59D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0" w:type="dxa"/>
            <w:vMerge w:val="restart"/>
            <w:textDirection w:val="tbRlV"/>
            <w:vAlign w:val="center"/>
          </w:tcPr>
          <w:p w14:paraId="0F3E6BE6">
            <w:pPr>
              <w:ind w:left="113" w:right="113"/>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资格性审查</w:t>
            </w:r>
          </w:p>
        </w:tc>
        <w:tc>
          <w:tcPr>
            <w:tcW w:w="4320" w:type="dxa"/>
            <w:vAlign w:val="center"/>
          </w:tcPr>
          <w:p w14:paraId="7A056B6A">
            <w:pPr>
              <w:widowControl/>
              <w:adjustRightInd w:val="0"/>
              <w:spacing w:line="44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一、投标人具备《政府采购法》第二十二条所规定的条件：</w:t>
            </w:r>
          </w:p>
        </w:tc>
        <w:tc>
          <w:tcPr>
            <w:tcW w:w="1517" w:type="dxa"/>
            <w:vMerge w:val="restart"/>
            <w:vAlign w:val="center"/>
          </w:tcPr>
          <w:p w14:paraId="42872774">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303D199C">
            <w:pPr>
              <w:widowControl/>
              <w:adjustRightInd w:val="0"/>
              <w:spacing w:line="44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□不通过</w:t>
            </w:r>
          </w:p>
        </w:tc>
        <w:tc>
          <w:tcPr>
            <w:tcW w:w="1678" w:type="dxa"/>
            <w:vAlign w:val="center"/>
          </w:tcPr>
          <w:p w14:paraId="037534F7">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第（ ）页-（  ）页</w:t>
            </w:r>
          </w:p>
        </w:tc>
      </w:tr>
      <w:tr w14:paraId="575A2E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4" w:hRule="atLeast"/>
          <w:jc w:val="center"/>
        </w:trPr>
        <w:tc>
          <w:tcPr>
            <w:tcW w:w="780" w:type="dxa"/>
            <w:vMerge w:val="continue"/>
          </w:tcPr>
          <w:p w14:paraId="63E5E71B">
            <w:pPr>
              <w:adjustRightInd w:val="0"/>
              <w:spacing w:line="440" w:lineRule="exact"/>
              <w:rPr>
                <w:rFonts w:hint="eastAsia" w:asciiTheme="minorEastAsia" w:hAnsiTheme="minorEastAsia" w:eastAsiaTheme="minorEastAsia" w:cstheme="minorEastAsia"/>
                <w:b/>
                <w:color w:val="auto"/>
                <w:sz w:val="24"/>
                <w:szCs w:val="24"/>
              </w:rPr>
            </w:pPr>
          </w:p>
        </w:tc>
        <w:tc>
          <w:tcPr>
            <w:tcW w:w="4320" w:type="dxa"/>
            <w:vAlign w:val="center"/>
          </w:tcPr>
          <w:p w14:paraId="362459FD">
            <w:pPr>
              <w:spacing w:line="44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（1）关于资格的声明函（格式见附件）。</w:t>
            </w:r>
          </w:p>
        </w:tc>
        <w:tc>
          <w:tcPr>
            <w:tcW w:w="1517" w:type="dxa"/>
            <w:vMerge w:val="continue"/>
          </w:tcPr>
          <w:p w14:paraId="1DBA0238">
            <w:pPr>
              <w:widowControl/>
              <w:adjustRightInd w:val="0"/>
              <w:spacing w:line="440" w:lineRule="exact"/>
              <w:rPr>
                <w:rFonts w:hint="eastAsia" w:asciiTheme="minorEastAsia" w:hAnsiTheme="minorEastAsia" w:eastAsiaTheme="minorEastAsia" w:cstheme="minorEastAsia"/>
                <w:b/>
                <w:color w:val="auto"/>
                <w:sz w:val="24"/>
                <w:szCs w:val="24"/>
              </w:rPr>
            </w:pPr>
          </w:p>
        </w:tc>
        <w:tc>
          <w:tcPr>
            <w:tcW w:w="1678" w:type="dxa"/>
            <w:vAlign w:val="center"/>
          </w:tcPr>
          <w:p w14:paraId="7DE7A741">
            <w:pPr>
              <w:widowControl/>
              <w:adjustRightInd w:val="0"/>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第（ ）页-（  ）页</w:t>
            </w:r>
          </w:p>
        </w:tc>
      </w:tr>
      <w:tr w14:paraId="09FD2B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0" w:type="dxa"/>
            <w:vMerge w:val="continue"/>
          </w:tcPr>
          <w:p w14:paraId="3270FDB5">
            <w:pPr>
              <w:adjustRightInd w:val="0"/>
              <w:spacing w:line="440" w:lineRule="exact"/>
              <w:rPr>
                <w:rFonts w:hint="eastAsia" w:asciiTheme="minorEastAsia" w:hAnsiTheme="minorEastAsia" w:eastAsiaTheme="minorEastAsia" w:cstheme="minorEastAsia"/>
                <w:bCs/>
                <w:color w:val="auto"/>
                <w:sz w:val="24"/>
                <w:szCs w:val="24"/>
              </w:rPr>
            </w:pPr>
          </w:p>
        </w:tc>
        <w:tc>
          <w:tcPr>
            <w:tcW w:w="4320" w:type="dxa"/>
          </w:tcPr>
          <w:p w14:paraId="15F747C8">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（2）有效的企业法人营业执照（或事业法人登记证）、其他组织（个体工商户）的营业执照或者民办非企业单位登记证书复印件（复印件加盖公章）。</w:t>
            </w:r>
          </w:p>
        </w:tc>
        <w:tc>
          <w:tcPr>
            <w:tcW w:w="1517" w:type="dxa"/>
            <w:vMerge w:val="continue"/>
          </w:tcPr>
          <w:p w14:paraId="024784FA">
            <w:pPr>
              <w:widowControl/>
              <w:adjustRightInd w:val="0"/>
              <w:spacing w:line="440" w:lineRule="exact"/>
              <w:rPr>
                <w:rFonts w:hint="eastAsia" w:asciiTheme="minorEastAsia" w:hAnsiTheme="minorEastAsia" w:eastAsiaTheme="minorEastAsia" w:cstheme="minorEastAsia"/>
                <w:bCs/>
                <w:color w:val="auto"/>
                <w:sz w:val="24"/>
                <w:szCs w:val="24"/>
              </w:rPr>
            </w:pPr>
          </w:p>
        </w:tc>
        <w:tc>
          <w:tcPr>
            <w:tcW w:w="1678" w:type="dxa"/>
            <w:vAlign w:val="center"/>
          </w:tcPr>
          <w:p w14:paraId="752A3BC8">
            <w:pPr>
              <w:widowControl/>
              <w:adjustRightIn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第（ ）页-（  ）页</w:t>
            </w:r>
          </w:p>
        </w:tc>
      </w:tr>
      <w:tr w14:paraId="477500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0" w:type="dxa"/>
            <w:vMerge w:val="continue"/>
          </w:tcPr>
          <w:p w14:paraId="462AF255">
            <w:pPr>
              <w:widowControl/>
              <w:adjustRightInd w:val="0"/>
              <w:spacing w:line="440" w:lineRule="exact"/>
              <w:rPr>
                <w:rFonts w:hint="eastAsia" w:asciiTheme="minorEastAsia" w:hAnsiTheme="minorEastAsia" w:eastAsiaTheme="minorEastAsia" w:cstheme="minorEastAsia"/>
                <w:bCs/>
                <w:color w:val="auto"/>
                <w:sz w:val="24"/>
                <w:szCs w:val="24"/>
              </w:rPr>
            </w:pPr>
          </w:p>
        </w:tc>
        <w:tc>
          <w:tcPr>
            <w:tcW w:w="4320" w:type="dxa"/>
            <w:vAlign w:val="center"/>
          </w:tcPr>
          <w:p w14:paraId="3C56F716">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二、</w:t>
            </w:r>
            <w:r>
              <w:rPr>
                <w:rFonts w:hint="eastAsia" w:asciiTheme="minorEastAsia" w:hAnsiTheme="minorEastAsia" w:eastAsiaTheme="minorEastAsia" w:cstheme="minorEastAsia"/>
                <w:color w:val="auto"/>
                <w:sz w:val="24"/>
                <w:szCs w:val="24"/>
              </w:rPr>
              <w:t>投标人未被列入信用中国网站（www.creditchina.gov.cn）记录失信被执行人、重大税收违法案件当事人名单；不处于中国政府采购网（www.ccgp.gov.cn）政府采购严重违法失信行为信息记录中的禁止参加政府采购活动期间（以采购代理机构于投标截止日当天在信用中国网站及中国政府采购网查询结果为准，如相关失信记录已失效，投标人需提供相关证明资料。）。</w:t>
            </w:r>
          </w:p>
        </w:tc>
        <w:tc>
          <w:tcPr>
            <w:tcW w:w="1517" w:type="dxa"/>
            <w:vAlign w:val="center"/>
          </w:tcPr>
          <w:p w14:paraId="784A56A3">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4935092E">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□不通过</w:t>
            </w:r>
          </w:p>
        </w:tc>
        <w:tc>
          <w:tcPr>
            <w:tcW w:w="1678" w:type="dxa"/>
            <w:vAlign w:val="center"/>
          </w:tcPr>
          <w:p w14:paraId="43654930">
            <w:pPr>
              <w:widowControl/>
              <w:adjustRightIn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第（ ）页-（  ）页</w:t>
            </w:r>
          </w:p>
        </w:tc>
      </w:tr>
      <w:tr w14:paraId="228B5F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80" w:type="dxa"/>
            <w:vMerge w:val="continue"/>
          </w:tcPr>
          <w:p w14:paraId="6EBA2D79">
            <w:pPr>
              <w:widowControl/>
              <w:adjustRightInd w:val="0"/>
              <w:spacing w:line="440" w:lineRule="exact"/>
              <w:rPr>
                <w:rFonts w:hint="eastAsia" w:asciiTheme="minorEastAsia" w:hAnsiTheme="minorEastAsia" w:eastAsiaTheme="minorEastAsia" w:cstheme="minorEastAsia"/>
                <w:bCs/>
                <w:color w:val="auto"/>
                <w:sz w:val="24"/>
                <w:szCs w:val="24"/>
              </w:rPr>
            </w:pPr>
          </w:p>
        </w:tc>
        <w:tc>
          <w:tcPr>
            <w:tcW w:w="4320" w:type="dxa"/>
            <w:vAlign w:val="center"/>
          </w:tcPr>
          <w:p w14:paraId="59EB5AC2">
            <w:pPr>
              <w:pStyle w:val="13"/>
              <w:spacing w:line="440" w:lineRule="exact"/>
              <w:jc w:val="both"/>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三、单位负责人为同一人或者存在直接控股、管理关系的不同投标人，不得参加同一合同项下的政府采购活动。</w:t>
            </w:r>
            <w:r>
              <w:rPr>
                <w:rFonts w:hint="eastAsia" w:asciiTheme="minorEastAsia" w:hAnsiTheme="minorEastAsia" w:eastAsiaTheme="minorEastAsia" w:cstheme="minorEastAsia"/>
                <w:color w:val="auto"/>
                <w:sz w:val="24"/>
                <w:szCs w:val="24"/>
                <w:lang w:val="en-US" w:eastAsia="zh-CN"/>
              </w:rPr>
              <w:t>为采购项目提供整体设计、规范编制或者项目管理、监理、检测等服务的投标人，不得再参加该采购项目的其他采购活动</w:t>
            </w:r>
            <w:r>
              <w:rPr>
                <w:rFonts w:hint="eastAsia" w:asciiTheme="minorEastAsia" w:hAnsiTheme="minorEastAsia" w:eastAsiaTheme="minorEastAsia" w:cstheme="minorEastAsia"/>
                <w:color w:val="auto"/>
                <w:kern w:val="2"/>
                <w:sz w:val="24"/>
                <w:szCs w:val="24"/>
                <w:lang w:val="en-US" w:eastAsia="zh-CN"/>
              </w:rPr>
              <w:t>（提供《书面声明》）。</w:t>
            </w:r>
          </w:p>
        </w:tc>
        <w:tc>
          <w:tcPr>
            <w:tcW w:w="1517" w:type="dxa"/>
            <w:vAlign w:val="center"/>
          </w:tcPr>
          <w:p w14:paraId="5F31D23B">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6788FD5E">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□不通过</w:t>
            </w:r>
          </w:p>
        </w:tc>
        <w:tc>
          <w:tcPr>
            <w:tcW w:w="1678" w:type="dxa"/>
            <w:vAlign w:val="center"/>
          </w:tcPr>
          <w:p w14:paraId="54A824B7">
            <w:pPr>
              <w:widowControl/>
              <w:adjustRightIn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第（ ）页-（  ）页</w:t>
            </w:r>
          </w:p>
        </w:tc>
      </w:tr>
      <w:tr w14:paraId="20D257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0" w:hRule="atLeast"/>
          <w:jc w:val="center"/>
        </w:trPr>
        <w:tc>
          <w:tcPr>
            <w:tcW w:w="780" w:type="dxa"/>
            <w:vMerge w:val="continue"/>
          </w:tcPr>
          <w:p w14:paraId="72157887">
            <w:pPr>
              <w:widowControl/>
              <w:adjustRightInd w:val="0"/>
              <w:spacing w:line="440" w:lineRule="exact"/>
              <w:rPr>
                <w:rFonts w:hint="eastAsia" w:asciiTheme="minorEastAsia" w:hAnsiTheme="minorEastAsia" w:eastAsiaTheme="minorEastAsia" w:cstheme="minorEastAsia"/>
                <w:bCs/>
                <w:color w:val="auto"/>
                <w:sz w:val="24"/>
                <w:szCs w:val="24"/>
              </w:rPr>
            </w:pPr>
          </w:p>
        </w:tc>
        <w:tc>
          <w:tcPr>
            <w:tcW w:w="4320" w:type="dxa"/>
            <w:vAlign w:val="center"/>
          </w:tcPr>
          <w:p w14:paraId="1B265585">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四、本项目特定的资格条件。</w:t>
            </w:r>
          </w:p>
        </w:tc>
        <w:tc>
          <w:tcPr>
            <w:tcW w:w="1517" w:type="dxa"/>
            <w:vAlign w:val="center"/>
          </w:tcPr>
          <w:p w14:paraId="2DE637CB">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0108B2C1">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□不通过</w:t>
            </w:r>
          </w:p>
        </w:tc>
        <w:tc>
          <w:tcPr>
            <w:tcW w:w="1678" w:type="dxa"/>
            <w:vAlign w:val="center"/>
          </w:tcPr>
          <w:p w14:paraId="49007709">
            <w:pPr>
              <w:widowControl/>
              <w:adjustRightIn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第（ ）页-（  ）页</w:t>
            </w:r>
          </w:p>
        </w:tc>
      </w:tr>
      <w:tr w14:paraId="729BCF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830" w:hRule="atLeast"/>
          <w:jc w:val="center"/>
        </w:trPr>
        <w:tc>
          <w:tcPr>
            <w:tcW w:w="780" w:type="dxa"/>
            <w:vMerge w:val="continue"/>
          </w:tcPr>
          <w:p w14:paraId="55DA08EB">
            <w:pPr>
              <w:widowControl/>
              <w:adjustRightInd w:val="0"/>
              <w:spacing w:line="440" w:lineRule="exact"/>
              <w:rPr>
                <w:rFonts w:hint="eastAsia" w:asciiTheme="minorEastAsia" w:hAnsiTheme="minorEastAsia" w:eastAsiaTheme="minorEastAsia" w:cstheme="minorEastAsia"/>
                <w:bCs/>
                <w:color w:val="auto"/>
                <w:sz w:val="24"/>
                <w:szCs w:val="24"/>
              </w:rPr>
            </w:pPr>
          </w:p>
        </w:tc>
        <w:tc>
          <w:tcPr>
            <w:tcW w:w="4320" w:type="dxa"/>
            <w:vAlign w:val="center"/>
          </w:tcPr>
          <w:p w14:paraId="1723DA6D">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五、本项目不接受联合体投标。</w:t>
            </w:r>
          </w:p>
        </w:tc>
        <w:tc>
          <w:tcPr>
            <w:tcW w:w="1517" w:type="dxa"/>
            <w:vAlign w:val="center"/>
          </w:tcPr>
          <w:p w14:paraId="4231BBAA">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6F909F31">
            <w:pPr>
              <w:widowControl/>
              <w:adjustRightInd w:val="0"/>
              <w:spacing w:line="440" w:lineRule="exact"/>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□不通过</w:t>
            </w:r>
          </w:p>
        </w:tc>
        <w:tc>
          <w:tcPr>
            <w:tcW w:w="1678" w:type="dxa"/>
            <w:vAlign w:val="center"/>
          </w:tcPr>
          <w:p w14:paraId="381EBB67">
            <w:pPr>
              <w:widowControl/>
              <w:adjustRightInd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第（ ）页-（  ）页</w:t>
            </w:r>
          </w:p>
        </w:tc>
      </w:tr>
    </w:tbl>
    <w:p w14:paraId="6B415C9D">
      <w:pPr>
        <w:widowControl/>
        <w:adjustRightInd w:val="0"/>
        <w:spacing w:line="360" w:lineRule="auto"/>
        <w:rPr>
          <w:rFonts w:hint="eastAsia" w:asciiTheme="minorEastAsia" w:hAnsiTheme="minorEastAsia" w:eastAsiaTheme="minorEastAsia" w:cstheme="minorEastAsia"/>
          <w:b/>
          <w:color w:val="auto"/>
          <w:sz w:val="24"/>
          <w:szCs w:val="24"/>
        </w:rPr>
      </w:pPr>
    </w:p>
    <w:p w14:paraId="05D628D8">
      <w:pPr>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投标人资格声明函</w:t>
      </w:r>
    </w:p>
    <w:p w14:paraId="7B16C6A6">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浙江中创招投标有限公司：</w:t>
      </w:r>
    </w:p>
    <w:p w14:paraId="56B3630C">
      <w:pPr>
        <w:widowControl/>
        <w:adjustRightInd w:val="0"/>
        <w:spacing w:line="440" w:lineRule="exact"/>
        <w:rPr>
          <w:rFonts w:hint="eastAsia" w:asciiTheme="minorEastAsia" w:hAnsiTheme="minorEastAsia" w:eastAsiaTheme="minorEastAsia" w:cstheme="minorEastAsia"/>
          <w:color w:val="auto"/>
          <w:sz w:val="24"/>
          <w:szCs w:val="24"/>
        </w:rPr>
      </w:pPr>
    </w:p>
    <w:p w14:paraId="708DAA3E">
      <w:pPr>
        <w:widowControl/>
        <w:adjustRightInd w:val="0"/>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关于你贵司项目（项目编号：    ）的采购公告，本公司（企业）愿意参加投标，并声明：</w:t>
      </w:r>
    </w:p>
    <w:p w14:paraId="64F3DABC">
      <w:pPr>
        <w:widowControl/>
        <w:adjustRightInd w:val="0"/>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本公司（企业）具备《中华人民共和国政府采购法》第二十二条资格条件，并已清楚采购文件的要求及有关文件规定。</w:t>
      </w:r>
    </w:p>
    <w:p w14:paraId="1DF22247">
      <w:pPr>
        <w:widowControl/>
        <w:adjustRightInd w:val="0"/>
        <w:spacing w:line="440" w:lineRule="exact"/>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本公司（企业）的法定代表人或单位负责人与所参投的本采购项目的其他投标人的法定代表人或单位负责人不为同一人且与其他投标人之间不存在直接控股、管理关系。</w:t>
      </w:r>
    </w:p>
    <w:p w14:paraId="5812AA32">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根据《中华人民共和国政府采购法实施条例》的规定，本公司（企业）如为采购项目提供整体设计、规范编制或者项目管理、监理、检测等服务的投标人，不得再参加该采购项目的其他采购活动。否则，由此所造成的损失、不良后果及法律责任，一律由我公司（企业）承担。</w:t>
      </w:r>
    </w:p>
    <w:p w14:paraId="42F2292D">
      <w:pPr>
        <w:widowControl/>
        <w:adjustRightInd w:val="0"/>
        <w:spacing w:line="440" w:lineRule="exact"/>
        <w:ind w:firstLine="360" w:firstLineChars="1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企业）具有履行合同所必需的设备和专业技术能力，且本公司（企业）参加政府采购活动前3年内在经营活动中没有重大违法记录。否则，由此所造成的损失、不良后果及法律责任，一律由我公司（企业）承担。</w:t>
      </w:r>
    </w:p>
    <w:p w14:paraId="5B53AA35">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本次招标采购活动中，如有违法、违规、弄虚作假行为，所造成的损失、不良后果及法律责任，一律由我公司（企业）承担。</w:t>
      </w:r>
    </w:p>
    <w:p w14:paraId="7BE0F9AF">
      <w:pPr>
        <w:widowControl/>
        <w:adjustRightInd w:val="0"/>
        <w:spacing w:line="440" w:lineRule="exact"/>
        <w:rPr>
          <w:rFonts w:hint="eastAsia" w:asciiTheme="minorEastAsia" w:hAnsiTheme="minorEastAsia" w:eastAsiaTheme="minorEastAsia" w:cstheme="minorEastAsia"/>
          <w:color w:val="auto"/>
          <w:sz w:val="24"/>
          <w:szCs w:val="24"/>
        </w:rPr>
      </w:pPr>
    </w:p>
    <w:p w14:paraId="2F64339B">
      <w:pPr>
        <w:widowControl/>
        <w:adjustRightInd w:val="0"/>
        <w:spacing w:line="440" w:lineRule="exact"/>
        <w:rPr>
          <w:rFonts w:hint="eastAsia" w:asciiTheme="minorEastAsia" w:hAnsiTheme="minorEastAsia" w:eastAsiaTheme="minorEastAsia" w:cstheme="minorEastAsia"/>
          <w:color w:val="auto"/>
          <w:sz w:val="24"/>
          <w:szCs w:val="24"/>
        </w:rPr>
      </w:pPr>
    </w:p>
    <w:p w14:paraId="2E75B2E9">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特此声明！</w:t>
      </w:r>
    </w:p>
    <w:p w14:paraId="4FFAEE13">
      <w:pPr>
        <w:widowControl/>
        <w:adjustRightInd w:val="0"/>
        <w:spacing w:line="440" w:lineRule="exact"/>
        <w:rPr>
          <w:rFonts w:hint="eastAsia" w:asciiTheme="minorEastAsia" w:hAnsiTheme="minorEastAsia" w:eastAsiaTheme="minorEastAsia" w:cstheme="minorEastAsia"/>
          <w:color w:val="auto"/>
          <w:sz w:val="24"/>
          <w:szCs w:val="24"/>
        </w:rPr>
      </w:pPr>
    </w:p>
    <w:p w14:paraId="56D02066">
      <w:pPr>
        <w:widowControl/>
        <w:adjustRightInd w:val="0"/>
        <w:spacing w:line="440" w:lineRule="exact"/>
        <w:rPr>
          <w:rFonts w:hint="eastAsia" w:asciiTheme="minorEastAsia" w:hAnsiTheme="minorEastAsia" w:eastAsiaTheme="minorEastAsia" w:cstheme="minorEastAsia"/>
          <w:color w:val="auto"/>
          <w:sz w:val="24"/>
          <w:szCs w:val="24"/>
        </w:rPr>
      </w:pPr>
    </w:p>
    <w:p w14:paraId="577F23E4">
      <w:pPr>
        <w:widowControl/>
        <w:adjustRightInd w:val="0"/>
        <w:spacing w:line="440" w:lineRule="exact"/>
        <w:rPr>
          <w:rFonts w:hint="eastAsia" w:asciiTheme="minorEastAsia" w:hAnsiTheme="minorEastAsia" w:eastAsiaTheme="minorEastAsia" w:cstheme="minorEastAsia"/>
          <w:color w:val="auto"/>
          <w:sz w:val="24"/>
          <w:szCs w:val="24"/>
        </w:rPr>
      </w:pPr>
    </w:p>
    <w:p w14:paraId="44E55D71">
      <w:pPr>
        <w:widowControl/>
        <w:adjustRightInd w:val="0"/>
        <w:spacing w:line="440" w:lineRule="exact"/>
        <w:rPr>
          <w:rFonts w:hint="eastAsia" w:asciiTheme="minorEastAsia" w:hAnsiTheme="minorEastAsia" w:eastAsiaTheme="minorEastAsia" w:cstheme="minorEastAsia"/>
          <w:color w:val="auto"/>
          <w:sz w:val="24"/>
          <w:szCs w:val="24"/>
        </w:rPr>
      </w:pPr>
    </w:p>
    <w:p w14:paraId="385EAA18">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1F4D30C4">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法定代表人或其授权代表（签字或盖章）：</w:t>
      </w:r>
    </w:p>
    <w:p w14:paraId="6CA33968">
      <w:pPr>
        <w:widowControl/>
        <w:adjustRightIn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p>
    <w:p w14:paraId="2F67786E">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color w:val="auto"/>
          <w:sz w:val="24"/>
          <w:szCs w:val="24"/>
        </w:rPr>
        <w:br w:type="page"/>
      </w:r>
      <w:r>
        <w:rPr>
          <w:rFonts w:hint="eastAsia" w:asciiTheme="minorEastAsia" w:hAnsiTheme="minorEastAsia" w:eastAsiaTheme="minorEastAsia" w:cstheme="minorEastAsia"/>
          <w:b/>
          <w:color w:val="auto"/>
          <w:sz w:val="24"/>
          <w:szCs w:val="24"/>
        </w:rPr>
        <w:t>中小企业声明函（货物）</w:t>
      </w:r>
    </w:p>
    <w:p w14:paraId="63758FA5">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本公司（联合体）郑重声明，根据《政府采购促进中小企业发展管理办法》（财库﹝2020﹞46 号）的规定，本公司（联合体）参加 （单位名称） 的 （贵驷街道社区卫生服务中心新院标识与健康宣传阵地设计及制作服务） 采购活动，提供的货物全部由符合政策要求的中小企业制造。相关企业（含联合体中的中小企业、签订分包意向协议的中小企业）的具体情况如下：</w:t>
      </w:r>
    </w:p>
    <w:p w14:paraId="11180078">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r>
        <w:rPr>
          <w:rFonts w:hint="eastAsia" w:asciiTheme="minorEastAsia" w:hAnsiTheme="minorEastAsia" w:eastAsiaTheme="minorEastAsia" w:cstheme="minorEastAsia"/>
          <w:color w:val="auto"/>
          <w:sz w:val="24"/>
          <w:szCs w:val="24"/>
          <w:u w:val="single"/>
        </w:rPr>
        <w:t xml:space="preserve"> （贵驷街道社区卫生服务中心新院标识与健康宣传阵地设计及制作服务</w:t>
      </w:r>
      <w:r>
        <w:rPr>
          <w:rFonts w:hint="eastAsia" w:asciiTheme="minorEastAsia" w:hAnsiTheme="minorEastAsia" w:eastAsiaTheme="minorEastAsia" w:cstheme="minorEastAsia"/>
          <w:color w:val="auto"/>
          <w:sz w:val="24"/>
          <w:szCs w:val="24"/>
          <w:u w:val="single"/>
          <w:lang w:val="en-US" w:eastAsia="zh-CN"/>
        </w:rPr>
        <w:t>项目</w:t>
      </w:r>
      <w:r>
        <w:rPr>
          <w:rFonts w:hint="eastAsia" w:asciiTheme="minorEastAsia" w:hAnsiTheme="minorEastAsia" w:eastAsiaTheme="minorEastAsia" w:cstheme="minorEastAsia"/>
          <w:color w:val="auto"/>
          <w:sz w:val="24"/>
          <w:szCs w:val="24"/>
          <w:u w:val="single"/>
        </w:rPr>
        <w:t>）</w:t>
      </w:r>
      <w:r>
        <w:rPr>
          <w:rFonts w:hint="eastAsia" w:asciiTheme="minorEastAsia" w:hAnsiTheme="minorEastAsia" w:eastAsiaTheme="minorEastAsia" w:cstheme="minorEastAsia"/>
          <w:color w:val="auto"/>
          <w:sz w:val="24"/>
          <w:szCs w:val="24"/>
        </w:rPr>
        <w:t xml:space="preserve">，属于 </w:t>
      </w:r>
      <w:r>
        <w:rPr>
          <w:rFonts w:hint="eastAsia" w:asciiTheme="minorEastAsia" w:hAnsiTheme="minorEastAsia" w:eastAsiaTheme="minorEastAsia" w:cstheme="minorEastAsia"/>
          <w:color w:val="auto"/>
          <w:sz w:val="24"/>
          <w:szCs w:val="24"/>
          <w:u w:val="single"/>
        </w:rPr>
        <w:t>（工业）</w:t>
      </w:r>
      <w:r>
        <w:rPr>
          <w:rFonts w:hint="eastAsia" w:asciiTheme="minorEastAsia" w:hAnsiTheme="minorEastAsia" w:eastAsiaTheme="minorEastAsia" w:cstheme="minorEastAsia"/>
          <w:color w:val="auto"/>
          <w:sz w:val="24"/>
          <w:szCs w:val="24"/>
        </w:rPr>
        <w:t>行业 ；制造商为</w:t>
      </w:r>
      <w:r>
        <w:rPr>
          <w:rFonts w:hint="eastAsia" w:asciiTheme="minorEastAsia" w:hAnsiTheme="minorEastAsia" w:eastAsiaTheme="minorEastAsia" w:cstheme="minorEastAsia"/>
          <w:color w:val="auto"/>
          <w:sz w:val="24"/>
          <w:szCs w:val="24"/>
          <w:u w:val="single"/>
        </w:rPr>
        <w:t xml:space="preserve"> （企业名称）</w:t>
      </w:r>
      <w:r>
        <w:rPr>
          <w:rFonts w:hint="eastAsia" w:asciiTheme="minorEastAsia" w:hAnsiTheme="minorEastAsia" w:eastAsiaTheme="minorEastAsia" w:cstheme="minorEastAsia"/>
          <w:color w:val="auto"/>
          <w:sz w:val="24"/>
          <w:szCs w:val="24"/>
        </w:rPr>
        <w:t xml:space="preserve"> ，从业人员人，营业收入为万元，资产总额为万元，属于</w:t>
      </w:r>
      <w:r>
        <w:rPr>
          <w:rFonts w:hint="eastAsia" w:asciiTheme="minorEastAsia" w:hAnsiTheme="minorEastAsia" w:eastAsiaTheme="minorEastAsia" w:cstheme="minorEastAsia"/>
          <w:color w:val="auto"/>
          <w:sz w:val="24"/>
          <w:szCs w:val="24"/>
          <w:u w:val="single"/>
        </w:rPr>
        <w:t xml:space="preserve"> （中型企业、小型企业、微型企业）</w:t>
      </w:r>
      <w:r>
        <w:rPr>
          <w:rFonts w:hint="eastAsia" w:asciiTheme="minorEastAsia" w:hAnsiTheme="minorEastAsia" w:eastAsiaTheme="minorEastAsia" w:cstheme="minorEastAsia"/>
          <w:color w:val="auto"/>
          <w:sz w:val="24"/>
          <w:szCs w:val="24"/>
        </w:rPr>
        <w:t xml:space="preserve"> ；</w:t>
      </w:r>
    </w:p>
    <w:p w14:paraId="5981A611">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w:t>
      </w:r>
    </w:p>
    <w:p w14:paraId="426784CA">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以上企业，不属于大企业的分支机构，不存在控股股东为大企业的情形，也不存在与大企业的负责人为同一人的情形。</w:t>
      </w:r>
    </w:p>
    <w:p w14:paraId="26A7952B">
      <w:pPr>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本企业对上述声明内容的真实性负责。如有虚假，将依法承担相应责任。</w:t>
      </w:r>
    </w:p>
    <w:p w14:paraId="70DD4B80">
      <w:pPr>
        <w:snapToGrid w:val="0"/>
        <w:spacing w:line="360" w:lineRule="auto"/>
        <w:ind w:firstLine="5160" w:firstLineChars="2150"/>
        <w:rPr>
          <w:rFonts w:hint="eastAsia" w:asciiTheme="minorEastAsia" w:hAnsiTheme="minorEastAsia" w:eastAsiaTheme="minorEastAsia" w:cstheme="minorEastAsia"/>
          <w:color w:val="auto"/>
          <w:kern w:val="0"/>
          <w:sz w:val="24"/>
          <w:szCs w:val="24"/>
          <w:lang w:val="zh-CN"/>
        </w:rPr>
      </w:pPr>
    </w:p>
    <w:p w14:paraId="1AAA0D68">
      <w:pPr>
        <w:adjustRightInd w:val="0"/>
        <w:snapToGrid w:val="0"/>
        <w:spacing w:line="360" w:lineRule="auto"/>
        <w:ind w:left="3360" w:leftChars="1600"/>
        <w:rPr>
          <w:rFonts w:hint="eastAsia" w:asciiTheme="minorEastAsia" w:hAnsiTheme="minorEastAsia" w:eastAsiaTheme="minorEastAsia" w:cstheme="minorEastAsia"/>
          <w:color w:val="auto"/>
          <w:kern w:val="0"/>
          <w:sz w:val="24"/>
          <w:szCs w:val="24"/>
          <w:lang w:val="zh-CN"/>
        </w:rPr>
      </w:pPr>
      <w:r>
        <w:rPr>
          <w:rFonts w:hint="eastAsia" w:asciiTheme="minorEastAsia" w:hAnsiTheme="minorEastAsia" w:eastAsiaTheme="minorEastAsia" w:cstheme="minorEastAsia"/>
          <w:color w:val="auto"/>
          <w:kern w:val="0"/>
          <w:sz w:val="24"/>
          <w:szCs w:val="24"/>
          <w:lang w:val="zh-CN"/>
        </w:rPr>
        <w:t>法定代表人或其授权委托人（签名或印章）：</w:t>
      </w:r>
    </w:p>
    <w:p w14:paraId="31098D5C">
      <w:pPr>
        <w:adjustRightInd w:val="0"/>
        <w:snapToGrid w:val="0"/>
        <w:spacing w:line="360" w:lineRule="auto"/>
        <w:ind w:left="3360" w:leftChars="1600"/>
        <w:rPr>
          <w:rFonts w:hint="eastAsia" w:asciiTheme="minorEastAsia" w:hAnsiTheme="minorEastAsia" w:eastAsiaTheme="minorEastAsia" w:cstheme="minorEastAsia"/>
          <w:color w:val="auto"/>
          <w:kern w:val="0"/>
          <w:sz w:val="24"/>
          <w:szCs w:val="24"/>
          <w:lang w:val="zh-CN"/>
        </w:rPr>
      </w:pPr>
      <w:r>
        <w:rPr>
          <w:rFonts w:hint="eastAsia" w:asciiTheme="minorEastAsia" w:hAnsiTheme="minorEastAsia" w:eastAsiaTheme="minorEastAsia" w:cstheme="minorEastAsia"/>
          <w:color w:val="auto"/>
          <w:kern w:val="0"/>
          <w:sz w:val="24"/>
          <w:szCs w:val="24"/>
          <w:lang w:val="zh-CN"/>
        </w:rPr>
        <w:t>投标人（盖章）：</w:t>
      </w:r>
    </w:p>
    <w:p w14:paraId="75546F4C">
      <w:pPr>
        <w:adjustRightInd w:val="0"/>
        <w:snapToGrid w:val="0"/>
        <w:spacing w:line="360" w:lineRule="auto"/>
        <w:ind w:left="3360" w:leftChars="1600"/>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lang w:val="zh-CN"/>
        </w:rPr>
        <w:t>日期</w:t>
      </w:r>
      <w:r>
        <w:rPr>
          <w:rFonts w:hint="eastAsia" w:asciiTheme="minorEastAsia" w:hAnsiTheme="minorEastAsia" w:eastAsiaTheme="minorEastAsia" w:cstheme="minorEastAsia"/>
          <w:color w:val="auto"/>
          <w:kern w:val="0"/>
          <w:sz w:val="24"/>
          <w:szCs w:val="24"/>
        </w:rPr>
        <w:t>:</w:t>
      </w:r>
    </w:p>
    <w:p w14:paraId="297AF611">
      <w:pPr>
        <w:pStyle w:val="47"/>
        <w:numPr>
          <w:ilvl w:val="0"/>
          <w:numId w:val="0"/>
        </w:numPr>
        <w:spacing w:line="360" w:lineRule="auto"/>
        <w:rPr>
          <w:rFonts w:hint="eastAsia" w:asciiTheme="minorEastAsia" w:hAnsiTheme="minorEastAsia" w:eastAsiaTheme="minorEastAsia" w:cstheme="minorEastAsia"/>
          <w:b/>
          <w:bCs/>
          <w:color w:val="auto"/>
          <w:kern w:val="0"/>
          <w:sz w:val="24"/>
          <w:szCs w:val="24"/>
        </w:rPr>
      </w:pPr>
      <w:r>
        <w:rPr>
          <w:rFonts w:hint="eastAsia" w:asciiTheme="minorEastAsia" w:hAnsiTheme="minorEastAsia" w:eastAsiaTheme="minorEastAsia" w:cstheme="minorEastAsia"/>
          <w:b/>
          <w:bCs/>
          <w:color w:val="auto"/>
          <w:kern w:val="0"/>
          <w:sz w:val="24"/>
          <w:szCs w:val="24"/>
          <w:lang w:val="en-US" w:eastAsia="zh-CN"/>
        </w:rPr>
        <w:t>（备注：投标人</w:t>
      </w:r>
      <w:r>
        <w:rPr>
          <w:rFonts w:hint="eastAsia" w:asciiTheme="minorEastAsia" w:hAnsiTheme="minorEastAsia" w:eastAsiaTheme="minorEastAsia" w:cstheme="minorEastAsia"/>
          <w:b/>
          <w:bCs/>
          <w:color w:val="auto"/>
          <w:kern w:val="0"/>
          <w:sz w:val="24"/>
          <w:szCs w:val="24"/>
        </w:rPr>
        <w:t>应当根据</w:t>
      </w:r>
      <w:r>
        <w:rPr>
          <w:rFonts w:hint="eastAsia" w:asciiTheme="minorEastAsia" w:hAnsiTheme="minorEastAsia" w:eastAsiaTheme="minorEastAsia" w:cstheme="minorEastAsia"/>
          <w:b/>
          <w:bCs/>
          <w:color w:val="auto"/>
          <w:kern w:val="0"/>
          <w:sz w:val="24"/>
          <w:szCs w:val="24"/>
          <w:lang w:val="en-US" w:eastAsia="zh-CN"/>
        </w:rPr>
        <w:t>第二章采购需求中二采购需求清单的</w:t>
      </w:r>
      <w:r>
        <w:rPr>
          <w:rFonts w:hint="eastAsia" w:asciiTheme="minorEastAsia" w:hAnsiTheme="minorEastAsia" w:eastAsiaTheme="minorEastAsia" w:cstheme="minorEastAsia"/>
          <w:b/>
          <w:bCs/>
          <w:color w:val="auto"/>
          <w:kern w:val="0"/>
          <w:sz w:val="24"/>
          <w:szCs w:val="24"/>
        </w:rPr>
        <w:t>产品清单逐项对所投产品的制造商进行填报）</w:t>
      </w:r>
    </w:p>
    <w:p w14:paraId="46ABFD2F">
      <w:pPr>
        <w:pStyle w:val="47"/>
        <w:numPr>
          <w:ilvl w:val="0"/>
          <w:numId w:val="0"/>
        </w:numPr>
        <w:rPr>
          <w:rFonts w:hint="eastAsia" w:asciiTheme="minorEastAsia" w:hAnsiTheme="minorEastAsia" w:eastAsiaTheme="minorEastAsia" w:cstheme="minorEastAsia"/>
          <w:color w:val="auto"/>
          <w:kern w:val="0"/>
          <w:sz w:val="24"/>
          <w:szCs w:val="24"/>
        </w:rPr>
      </w:pPr>
    </w:p>
    <w:p w14:paraId="190DE097">
      <w:pPr>
        <w:pStyle w:val="47"/>
        <w:numPr>
          <w:ilvl w:val="0"/>
          <w:numId w:val="0"/>
        </w:numPr>
        <w:ind w:firstLine="720" w:firstLineChars="300"/>
        <w:rPr>
          <w:rFonts w:hint="eastAsia" w:asciiTheme="minorEastAsia" w:hAnsiTheme="minorEastAsia" w:eastAsiaTheme="minorEastAsia" w:cstheme="minorEastAsia"/>
          <w:color w:val="auto"/>
          <w:kern w:val="0"/>
          <w:sz w:val="24"/>
          <w:szCs w:val="24"/>
          <w:lang w:val="zh-CN"/>
        </w:rPr>
      </w:pPr>
      <w:r>
        <w:rPr>
          <w:rFonts w:hint="eastAsia" w:asciiTheme="minorEastAsia" w:hAnsiTheme="minorEastAsia" w:eastAsiaTheme="minorEastAsia" w:cstheme="minorEastAsia"/>
          <w:color w:val="auto"/>
          <w:kern w:val="0"/>
          <w:sz w:val="24"/>
          <w:szCs w:val="24"/>
          <w:lang w:val="zh-CN"/>
        </w:rPr>
        <w:t>……</w:t>
      </w:r>
    </w:p>
    <w:p w14:paraId="13F60F86">
      <w:pPr>
        <w:spacing w:line="360" w:lineRule="auto"/>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从业人员、营业收入、资产总额填报上一年度数据，无上一年度数据的新成立企业可不填报。</w:t>
      </w:r>
    </w:p>
    <w:p w14:paraId="1E4B78D7">
      <w:pPr>
        <w:spacing w:line="360" w:lineRule="auto"/>
        <w:ind w:right="-420" w:rightChars="-200" w:firstLine="480"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383FD7D">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p>
    <w:p w14:paraId="715800AE">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残疾人福利性单位声明函</w:t>
      </w:r>
    </w:p>
    <w:p w14:paraId="48E1AE0D">
      <w:pPr>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本单位郑重声明，根据《财政部民政部中国残疾人联合会关于促进残疾人就业政府采购政策的通知》（财库</w:t>
      </w:r>
      <w:r>
        <w:rPr>
          <w:rFonts w:hint="eastAsia" w:asciiTheme="minorEastAsia" w:hAnsiTheme="minorEastAsia" w:eastAsiaTheme="minorEastAsia" w:cstheme="minorEastAsia"/>
          <w:color w:val="auto"/>
          <w:sz w:val="24"/>
          <w:szCs w:val="24"/>
        </w:rPr>
        <w:t>〔2017〕141</w:t>
      </w:r>
      <w:r>
        <w:rPr>
          <w:rFonts w:hint="eastAsia" w:asciiTheme="minorEastAsia" w:hAnsiTheme="minorEastAsia" w:eastAsiaTheme="minorEastAsia" w:cstheme="minorEastAsia"/>
          <w:color w:val="auto"/>
          <w:spacing w:val="6"/>
          <w:sz w:val="24"/>
          <w:szCs w:val="24"/>
        </w:rPr>
        <w:t>号）的规定，本单位为符合条件的残疾人福利性单位，且本单位参加 单位的 项目采购活动提供本单位制造的货物（由本单位承担工程/提供服务），或者提供其他残疾人福利性单位制造的货物（不包括使用非残疾人福利性单位注册商标的货物）。</w:t>
      </w:r>
    </w:p>
    <w:p w14:paraId="33C036D8">
      <w:pPr>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本单位对上述声明的真实性负责。如有虚假，将依法承担相应责任。</w:t>
      </w:r>
    </w:p>
    <w:p w14:paraId="7B71C5A8">
      <w:pPr>
        <w:spacing w:line="440" w:lineRule="exact"/>
        <w:ind w:firstLine="504" w:firstLineChars="200"/>
        <w:rPr>
          <w:rFonts w:hint="eastAsia" w:asciiTheme="minorEastAsia" w:hAnsiTheme="minorEastAsia" w:eastAsiaTheme="minorEastAsia" w:cstheme="minorEastAsia"/>
          <w:color w:val="auto"/>
          <w:spacing w:val="6"/>
          <w:sz w:val="24"/>
          <w:szCs w:val="24"/>
        </w:rPr>
      </w:pPr>
    </w:p>
    <w:p w14:paraId="23B3BECF">
      <w:pPr>
        <w:widowControl/>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3E9BDCA6">
      <w:pPr>
        <w:pStyle w:val="15"/>
        <w:snapToGrid w:val="0"/>
        <w:spacing w:line="440" w:lineRule="exact"/>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039B62A4">
      <w:pPr>
        <w:pStyle w:val="15"/>
        <w:widowControl/>
        <w:spacing w:line="440" w:lineRule="exact"/>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3ED48051">
      <w:pPr>
        <w:pStyle w:val="15"/>
        <w:tabs>
          <w:tab w:val="left" w:pos="4841"/>
        </w:tabs>
        <w:spacing w:line="440" w:lineRule="exact"/>
        <w:ind w:left="420" w:leftChars="200" w:right="425" w:firstLine="0"/>
        <w:rPr>
          <w:rFonts w:hint="eastAsia" w:asciiTheme="minorEastAsia" w:hAnsiTheme="minorEastAsia" w:eastAsiaTheme="minorEastAsia" w:cstheme="minorEastAsia"/>
          <w:b/>
          <w:color w:val="auto"/>
          <w:spacing w:val="0"/>
          <w:kern w:val="2"/>
          <w:sz w:val="24"/>
          <w:szCs w:val="24"/>
        </w:rPr>
      </w:pPr>
      <w:r>
        <w:rPr>
          <w:rFonts w:hint="eastAsia" w:asciiTheme="minorEastAsia" w:hAnsiTheme="minorEastAsia" w:eastAsiaTheme="minorEastAsia" w:cstheme="minorEastAsia"/>
          <w:b/>
          <w:color w:val="auto"/>
          <w:sz w:val="24"/>
          <w:szCs w:val="24"/>
        </w:rPr>
        <w:t>如是联合体投标，联合体各方均需残疾人福利性单位声明函。</w:t>
      </w:r>
    </w:p>
    <w:p w14:paraId="062CACCF">
      <w:pPr>
        <w:tabs>
          <w:tab w:val="left" w:pos="4860"/>
        </w:tabs>
        <w:spacing w:line="440" w:lineRule="exact"/>
        <w:ind w:right="1560" w:firstLine="504" w:firstLineChars="200"/>
        <w:jc w:val="center"/>
        <w:rPr>
          <w:rFonts w:hint="eastAsia" w:asciiTheme="minorEastAsia" w:hAnsiTheme="minorEastAsia" w:eastAsiaTheme="minorEastAsia" w:cstheme="minorEastAsia"/>
          <w:color w:val="auto"/>
          <w:spacing w:val="6"/>
          <w:sz w:val="24"/>
          <w:szCs w:val="24"/>
        </w:rPr>
      </w:pPr>
    </w:p>
    <w:p w14:paraId="31481840">
      <w:pPr>
        <w:tabs>
          <w:tab w:val="left" w:pos="4860"/>
        </w:tabs>
        <w:spacing w:line="440" w:lineRule="exact"/>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注</w:t>
      </w:r>
      <w:r>
        <w:rPr>
          <w:rFonts w:hint="eastAsia" w:asciiTheme="minorEastAsia" w:hAnsiTheme="minorEastAsia" w:eastAsiaTheme="minorEastAsia" w:cstheme="minorEastAsia"/>
          <w:b/>
          <w:color w:val="auto"/>
          <w:spacing w:val="6"/>
          <w:sz w:val="24"/>
          <w:szCs w:val="24"/>
        </w:rPr>
        <w:t>：1、如投标人为非残疾人福利性单位的可不提供本声明函</w:t>
      </w:r>
      <w:r>
        <w:rPr>
          <w:rFonts w:hint="eastAsia" w:asciiTheme="minorEastAsia" w:hAnsiTheme="minorEastAsia" w:eastAsiaTheme="minorEastAsia" w:cstheme="minorEastAsia"/>
          <w:color w:val="auto"/>
          <w:spacing w:val="6"/>
          <w:sz w:val="24"/>
          <w:szCs w:val="24"/>
        </w:rPr>
        <w:t>。</w:t>
      </w:r>
    </w:p>
    <w:p w14:paraId="27A51D11">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2、享受政府采购支持政策的残疾人福利性单位应当同时满足以下条件：</w:t>
      </w:r>
    </w:p>
    <w:p w14:paraId="6E3D9DCB">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（1）安置的残疾人占本单位在职职工人数的比例不低于25%（含25%），并且安置的残疾人人数不少于10人（含10人）；</w:t>
      </w:r>
    </w:p>
    <w:p w14:paraId="022D5627">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（2）依法与安置的每位残疾人签订了一年以上（含一年）的劳动合同或服务协议；</w:t>
      </w:r>
    </w:p>
    <w:p w14:paraId="23787EAD">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（3）为安置的每位残疾人按月足额缴纳了基本养老保险、基本医疗保险、失业保险、工伤保险和生育保险等社会保险费；</w:t>
      </w:r>
    </w:p>
    <w:p w14:paraId="506FAE72">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（4）通过银行等金融机构向安置的每位残疾人，按月支付了不低于单位所在区县适用的经省级人民政府批准的月最低工资标准的工资；</w:t>
      </w:r>
    </w:p>
    <w:p w14:paraId="04D5266F">
      <w:pPr>
        <w:tabs>
          <w:tab w:val="left" w:pos="4860"/>
        </w:tabs>
        <w:spacing w:line="440" w:lineRule="exact"/>
        <w:ind w:firstLine="504" w:firstLineChars="200"/>
        <w:rPr>
          <w:rFonts w:hint="eastAsia" w:asciiTheme="minorEastAsia" w:hAnsiTheme="minorEastAsia" w:eastAsiaTheme="minorEastAsia" w:cstheme="minorEastAsia"/>
          <w:color w:val="auto"/>
          <w:spacing w:val="6"/>
          <w:sz w:val="24"/>
          <w:szCs w:val="24"/>
        </w:rPr>
      </w:pPr>
      <w:r>
        <w:rPr>
          <w:rFonts w:hint="eastAsia" w:asciiTheme="minorEastAsia" w:hAnsiTheme="minorEastAsia" w:eastAsiaTheme="minorEastAsia" w:cstheme="minorEastAsia"/>
          <w:color w:val="auto"/>
          <w:spacing w:val="6"/>
          <w:sz w:val="24"/>
          <w:szCs w:val="24"/>
        </w:rPr>
        <w:t>（5）提供本单位制造的货物、承担的工程或者服务（以下简称产品），或者提供其他残疾人福利性单位制造的货物（不包括使用非残疾人福利性单位注册商标的货物）。</w:t>
      </w:r>
    </w:p>
    <w:p w14:paraId="2D9BE1A6">
      <w:pPr>
        <w:tabs>
          <w:tab w:val="left" w:pos="4860"/>
        </w:tabs>
        <w:spacing w:line="440" w:lineRule="exact"/>
        <w:ind w:firstLine="504" w:firstLineChars="2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pacing w:val="6"/>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76CAE4D9">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
          <w:bCs/>
          <w:color w:val="auto"/>
          <w:sz w:val="24"/>
          <w:szCs w:val="24"/>
        </w:rPr>
        <w:br w:type="page"/>
      </w:r>
      <w:r>
        <w:rPr>
          <w:rFonts w:hint="eastAsia" w:asciiTheme="minorEastAsia" w:hAnsiTheme="minorEastAsia" w:eastAsiaTheme="minorEastAsia" w:cstheme="minorEastAsia"/>
          <w:b/>
          <w:bCs/>
          <w:color w:val="auto"/>
          <w:sz w:val="24"/>
          <w:szCs w:val="24"/>
        </w:rPr>
        <w:t>二、商务技术文件</w:t>
      </w:r>
    </w:p>
    <w:p w14:paraId="04AC6199">
      <w:pPr>
        <w:snapToGrid w:val="0"/>
        <w:spacing w:line="360" w:lineRule="auto"/>
        <w:jc w:val="center"/>
        <w:rPr>
          <w:rFonts w:hint="eastAsia" w:asciiTheme="minorEastAsia" w:hAnsiTheme="minorEastAsia" w:eastAsiaTheme="minorEastAsia" w:cstheme="minorEastAsia"/>
          <w:bCs/>
          <w:color w:val="auto"/>
          <w:sz w:val="24"/>
          <w:szCs w:val="24"/>
        </w:rPr>
      </w:pPr>
    </w:p>
    <w:p w14:paraId="3E512B5D">
      <w:pPr>
        <w:numPr>
          <w:ilvl w:val="0"/>
          <w:numId w:val="17"/>
        </w:numPr>
        <w:snapToGrid w:val="0"/>
        <w:spacing w:line="360" w:lineRule="auto"/>
        <w:ind w:firstLine="0"/>
        <w:jc w:val="lef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商务技术文件封面格式（选用）：</w:t>
      </w:r>
    </w:p>
    <w:p w14:paraId="016731E7">
      <w:pPr>
        <w:snapToGrid w:val="0"/>
        <w:spacing w:line="360" w:lineRule="auto"/>
        <w:ind w:firstLine="236" w:firstLineChars="98"/>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封面格式：</w:t>
      </w:r>
    </w:p>
    <w:p w14:paraId="61BCEF63">
      <w:pPr>
        <w:tabs>
          <w:tab w:val="left" w:pos="6663"/>
        </w:tabs>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ab/>
      </w:r>
      <w:r>
        <w:rPr>
          <w:rFonts w:hint="eastAsia" w:asciiTheme="minorEastAsia" w:hAnsiTheme="minorEastAsia" w:eastAsiaTheme="minorEastAsia" w:cstheme="minorEastAsia"/>
          <w:b/>
          <w:color w:val="auto"/>
          <w:sz w:val="24"/>
          <w:szCs w:val="24"/>
        </w:rPr>
        <w:t>正本/或副本</w:t>
      </w:r>
    </w:p>
    <w:p w14:paraId="641676EC">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color w:val="auto"/>
          <w:sz w:val="24"/>
          <w:szCs w:val="24"/>
        </w:rPr>
        <w:t>商务技术文件</w:t>
      </w:r>
    </w:p>
    <w:p w14:paraId="01069F7B">
      <w:pPr>
        <w:snapToGrid w:val="0"/>
        <w:spacing w:line="360" w:lineRule="auto"/>
        <w:ind w:firstLine="6919" w:firstLineChars="2883"/>
        <w:rPr>
          <w:rFonts w:hint="eastAsia" w:asciiTheme="minorEastAsia" w:hAnsiTheme="minorEastAsia" w:eastAsiaTheme="minorEastAsia" w:cstheme="minorEastAsia"/>
          <w:bCs/>
          <w:color w:val="auto"/>
          <w:sz w:val="24"/>
          <w:szCs w:val="24"/>
        </w:rPr>
      </w:pPr>
    </w:p>
    <w:p w14:paraId="3D9E6EA8">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项目名称：</w:t>
      </w:r>
    </w:p>
    <w:p w14:paraId="7A0EED09">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项目编号：</w:t>
      </w:r>
    </w:p>
    <w:p w14:paraId="2C4843E7">
      <w:pPr>
        <w:spacing w:line="480" w:lineRule="auto"/>
        <w:ind w:firstLine="1080" w:firstLineChars="45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投标人名称：</w:t>
      </w:r>
      <w:r>
        <w:rPr>
          <w:rFonts w:hint="eastAsia" w:asciiTheme="minorEastAsia" w:hAnsiTheme="minorEastAsia" w:eastAsiaTheme="minorEastAsia" w:cstheme="minorEastAsia"/>
          <w:bCs/>
          <w:color w:val="auto"/>
          <w:sz w:val="24"/>
          <w:szCs w:val="24"/>
          <w:u w:val="single"/>
        </w:rPr>
        <w:t xml:space="preserve">[填写单位名称并盖章] </w:t>
      </w:r>
    </w:p>
    <w:p w14:paraId="513C7ED2">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 xml:space="preserve">标项： </w:t>
      </w:r>
    </w:p>
    <w:p w14:paraId="237B2CD1">
      <w:pPr>
        <w:snapToGrid w:val="0"/>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投标人地址：</w:t>
      </w:r>
    </w:p>
    <w:p w14:paraId="10EDEB66">
      <w:pPr>
        <w:snapToGrid w:val="0"/>
        <w:spacing w:line="480" w:lineRule="auto"/>
        <w:ind w:firstLine="1080" w:firstLineChars="4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法定代表人或其被授权代表</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u w:val="single"/>
        </w:rPr>
        <w:t xml:space="preserve">     [签字或盖章]           </w:t>
      </w:r>
    </w:p>
    <w:p w14:paraId="14C07CDC">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  月  日</w:t>
      </w:r>
    </w:p>
    <w:p w14:paraId="775812A4">
      <w:pPr>
        <w:snapToGrid w:val="0"/>
        <w:spacing w:beforeLines="50"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Cs/>
          <w:color w:val="auto"/>
          <w:sz w:val="24"/>
          <w:szCs w:val="24"/>
        </w:rPr>
        <w:br w:type="page"/>
      </w:r>
      <w:r>
        <w:rPr>
          <w:rFonts w:hint="eastAsia" w:asciiTheme="minorEastAsia" w:hAnsiTheme="minorEastAsia" w:eastAsiaTheme="minorEastAsia" w:cstheme="minorEastAsia"/>
          <w:b/>
          <w:color w:val="auto"/>
          <w:sz w:val="24"/>
          <w:szCs w:val="24"/>
        </w:rPr>
        <w:t>（三）商务技术文件内容包括以下内容：</w:t>
      </w:r>
    </w:p>
    <w:p w14:paraId="1A3E7D83">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（1）符合性自查表（格式见附件）；</w:t>
      </w:r>
    </w:p>
    <w:p w14:paraId="239F9AC8">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（2）法定代表人的身份证明或法定代表人授权书【投标人的代表若为非法定代表人的，必须提交法定代表人授权书，格式见附件】；</w:t>
      </w:r>
    </w:p>
    <w:p w14:paraId="511DA983">
      <w:pPr>
        <w:tabs>
          <w:tab w:val="left" w:pos="518"/>
        </w:tabs>
        <w:adjustRightInd w:val="0"/>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（3）投标人基本情况说明（格式见附件）；</w:t>
      </w:r>
    </w:p>
    <w:p w14:paraId="3DA8CE15">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（4）商务条款偏离表（格式见附件）；</w:t>
      </w:r>
    </w:p>
    <w:p w14:paraId="37850569">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（5）技术条款偏离表（格式见附件）；</w:t>
      </w:r>
    </w:p>
    <w:p w14:paraId="253C6A11">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（6）评分标准或采购文件需要提供的证明材料及必要文字说明；</w:t>
      </w:r>
    </w:p>
    <w:p w14:paraId="1D51DAA9">
      <w:pPr>
        <w:snapToGrid w:val="0"/>
        <w:spacing w:line="440" w:lineRule="exact"/>
        <w:ind w:firstLine="480" w:firstLineChars="20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（7）投标人认为有必要提交的其他商务技术说明文件和资料。</w:t>
      </w:r>
    </w:p>
    <w:p w14:paraId="307BDC07">
      <w:pPr>
        <w:spacing w:line="360" w:lineRule="auto"/>
        <w:jc w:val="center"/>
        <w:rPr>
          <w:rFonts w:hint="eastAsia" w:asciiTheme="minorEastAsia" w:hAnsiTheme="minorEastAsia" w:eastAsiaTheme="minorEastAsia" w:cstheme="minorEastAsia"/>
          <w:b/>
          <w:color w:val="auto"/>
          <w:sz w:val="24"/>
          <w:szCs w:val="24"/>
        </w:rPr>
      </w:pPr>
    </w:p>
    <w:p w14:paraId="440C12F8">
      <w:pPr>
        <w:spacing w:line="440" w:lineRule="exact"/>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符合性自查表</w:t>
      </w:r>
    </w:p>
    <w:tbl>
      <w:tblPr>
        <w:tblStyle w:val="37"/>
        <w:tblW w:w="925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150" w:type="dxa"/>
          <w:left w:w="150" w:type="dxa"/>
          <w:bottom w:w="150" w:type="dxa"/>
          <w:right w:w="150" w:type="dxa"/>
        </w:tblCellMar>
      </w:tblPr>
      <w:tblGrid>
        <w:gridCol w:w="1053"/>
        <w:gridCol w:w="1142"/>
        <w:gridCol w:w="3842"/>
        <w:gridCol w:w="1363"/>
        <w:gridCol w:w="1859"/>
      </w:tblGrid>
      <w:tr w14:paraId="7533AA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Align w:val="center"/>
          </w:tcPr>
          <w:p w14:paraId="299B023A">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评审内容</w:t>
            </w:r>
          </w:p>
        </w:tc>
        <w:tc>
          <w:tcPr>
            <w:tcW w:w="4984" w:type="dxa"/>
            <w:gridSpan w:val="2"/>
            <w:vAlign w:val="center"/>
          </w:tcPr>
          <w:p w14:paraId="0A91A9F8">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采购文件要求</w:t>
            </w:r>
          </w:p>
        </w:tc>
        <w:tc>
          <w:tcPr>
            <w:tcW w:w="1363" w:type="dxa"/>
            <w:vAlign w:val="center"/>
          </w:tcPr>
          <w:p w14:paraId="32A977B7">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自查结论</w:t>
            </w:r>
          </w:p>
        </w:tc>
        <w:tc>
          <w:tcPr>
            <w:tcW w:w="1859" w:type="dxa"/>
            <w:vAlign w:val="center"/>
          </w:tcPr>
          <w:p w14:paraId="26F6CD3F">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证明资料</w:t>
            </w:r>
          </w:p>
        </w:tc>
      </w:tr>
      <w:tr w14:paraId="750963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restart"/>
            <w:vAlign w:val="center"/>
          </w:tcPr>
          <w:p w14:paraId="01A1369E">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w:t>
            </w:r>
          </w:p>
          <w:p w14:paraId="30F3EED1">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w:t>
            </w:r>
          </w:p>
          <w:p w14:paraId="6DF20E9A">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性</w:t>
            </w:r>
          </w:p>
          <w:p w14:paraId="323F7C3F">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审</w:t>
            </w:r>
          </w:p>
          <w:p w14:paraId="625A8DF1">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查</w:t>
            </w:r>
          </w:p>
        </w:tc>
        <w:tc>
          <w:tcPr>
            <w:tcW w:w="1142" w:type="dxa"/>
            <w:tcBorders>
              <w:right w:val="single" w:color="auto" w:sz="4" w:space="0"/>
            </w:tcBorders>
            <w:vAlign w:val="center"/>
          </w:tcPr>
          <w:p w14:paraId="6AC2FEE2">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w:t>
            </w:r>
          </w:p>
        </w:tc>
        <w:tc>
          <w:tcPr>
            <w:tcW w:w="3842" w:type="dxa"/>
            <w:tcBorders>
              <w:left w:val="single" w:color="auto" w:sz="4" w:space="0"/>
            </w:tcBorders>
            <w:vAlign w:val="center"/>
          </w:tcPr>
          <w:p w14:paraId="3D4EFE81">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与营业执照副本一致。</w:t>
            </w:r>
          </w:p>
        </w:tc>
        <w:tc>
          <w:tcPr>
            <w:tcW w:w="1363" w:type="dxa"/>
            <w:vAlign w:val="center"/>
          </w:tcPr>
          <w:p w14:paraId="429513CF">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25372A9B">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37FC2AFE">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34B7FF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26F9E1C1">
            <w:pPr>
              <w:spacing w:line="300" w:lineRule="exact"/>
              <w:rPr>
                <w:rFonts w:hint="eastAsia" w:asciiTheme="minorEastAsia" w:hAnsiTheme="minorEastAsia" w:eastAsiaTheme="minorEastAsia" w:cstheme="minorEastAsia"/>
                <w:color w:val="auto"/>
                <w:sz w:val="24"/>
                <w:szCs w:val="24"/>
              </w:rPr>
            </w:pPr>
          </w:p>
        </w:tc>
        <w:tc>
          <w:tcPr>
            <w:tcW w:w="1142" w:type="dxa"/>
            <w:tcBorders>
              <w:right w:val="single" w:color="auto" w:sz="4" w:space="0"/>
            </w:tcBorders>
            <w:vAlign w:val="center"/>
          </w:tcPr>
          <w:p w14:paraId="0581B736">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w:t>
            </w:r>
          </w:p>
        </w:tc>
        <w:tc>
          <w:tcPr>
            <w:tcW w:w="3842" w:type="dxa"/>
            <w:tcBorders>
              <w:left w:val="single" w:color="auto" w:sz="4" w:space="0"/>
            </w:tcBorders>
            <w:vAlign w:val="center"/>
          </w:tcPr>
          <w:p w14:paraId="1F4ACC21">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投标有效期满足采购文件要求。</w:t>
            </w:r>
          </w:p>
        </w:tc>
        <w:tc>
          <w:tcPr>
            <w:tcW w:w="1363" w:type="dxa"/>
            <w:vAlign w:val="center"/>
          </w:tcPr>
          <w:p w14:paraId="5E700F0A">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634804A5">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0C0BCF43">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64C35D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27340BF0">
            <w:pPr>
              <w:spacing w:line="300" w:lineRule="exact"/>
              <w:rPr>
                <w:rFonts w:hint="eastAsia" w:asciiTheme="minorEastAsia" w:hAnsiTheme="minorEastAsia" w:eastAsiaTheme="minorEastAsia" w:cstheme="minorEastAsia"/>
                <w:color w:val="auto"/>
                <w:sz w:val="24"/>
                <w:szCs w:val="24"/>
              </w:rPr>
            </w:pPr>
          </w:p>
        </w:tc>
        <w:tc>
          <w:tcPr>
            <w:tcW w:w="1142" w:type="dxa"/>
            <w:tcBorders>
              <w:right w:val="single" w:color="auto" w:sz="4" w:space="0"/>
            </w:tcBorders>
            <w:vAlign w:val="center"/>
          </w:tcPr>
          <w:p w14:paraId="65B47936">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法定代表人身份证明和法定代表人授权书</w:t>
            </w:r>
          </w:p>
        </w:tc>
        <w:tc>
          <w:tcPr>
            <w:tcW w:w="3842" w:type="dxa"/>
            <w:tcBorders>
              <w:left w:val="single" w:color="auto" w:sz="4" w:space="0"/>
            </w:tcBorders>
            <w:vAlign w:val="center"/>
          </w:tcPr>
          <w:p w14:paraId="62F2607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投标文件由法定代表人签字的，提供“法定代表人身份证明”。</w:t>
            </w:r>
          </w:p>
          <w:p w14:paraId="16E13D55">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投标文件由授权代表签字的，提供“法定代表人身份证明”和“法定代表人授权书”。</w:t>
            </w:r>
          </w:p>
        </w:tc>
        <w:tc>
          <w:tcPr>
            <w:tcW w:w="1363" w:type="dxa"/>
            <w:vAlign w:val="center"/>
          </w:tcPr>
          <w:p w14:paraId="5748E78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42FAC9F8">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473E5F8C">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509B37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318E0639">
            <w:pPr>
              <w:spacing w:line="300" w:lineRule="exact"/>
              <w:rPr>
                <w:rFonts w:hint="eastAsia" w:asciiTheme="minorEastAsia" w:hAnsiTheme="minorEastAsia" w:eastAsiaTheme="minorEastAsia" w:cstheme="minorEastAsia"/>
                <w:color w:val="auto"/>
                <w:sz w:val="24"/>
                <w:szCs w:val="24"/>
              </w:rPr>
            </w:pPr>
          </w:p>
        </w:tc>
        <w:tc>
          <w:tcPr>
            <w:tcW w:w="1142" w:type="dxa"/>
            <w:tcBorders>
              <w:right w:val="single" w:color="auto" w:sz="4" w:space="0"/>
            </w:tcBorders>
            <w:vAlign w:val="center"/>
          </w:tcPr>
          <w:p w14:paraId="6EAEC23C">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投标文件的签署盖章</w:t>
            </w:r>
          </w:p>
        </w:tc>
        <w:tc>
          <w:tcPr>
            <w:tcW w:w="3842" w:type="dxa"/>
            <w:tcBorders>
              <w:left w:val="single" w:color="auto" w:sz="4" w:space="0"/>
            </w:tcBorders>
            <w:vAlign w:val="center"/>
          </w:tcPr>
          <w:p w14:paraId="48AB588D">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按采购文件要求签署、签章。</w:t>
            </w:r>
          </w:p>
        </w:tc>
        <w:tc>
          <w:tcPr>
            <w:tcW w:w="1363" w:type="dxa"/>
            <w:vAlign w:val="center"/>
          </w:tcPr>
          <w:p w14:paraId="0DA7A3DF">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059EDBAC">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56625BE9">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10C206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5533899F">
            <w:pPr>
              <w:spacing w:line="300" w:lineRule="exact"/>
              <w:rPr>
                <w:rFonts w:hint="eastAsia" w:asciiTheme="minorEastAsia" w:hAnsiTheme="minorEastAsia" w:eastAsiaTheme="minorEastAsia" w:cstheme="minorEastAsia"/>
                <w:color w:val="auto"/>
                <w:sz w:val="24"/>
                <w:szCs w:val="24"/>
              </w:rPr>
            </w:pPr>
          </w:p>
        </w:tc>
        <w:tc>
          <w:tcPr>
            <w:tcW w:w="1142" w:type="dxa"/>
            <w:vMerge w:val="restart"/>
            <w:tcBorders>
              <w:right w:val="single" w:color="auto" w:sz="4" w:space="0"/>
            </w:tcBorders>
            <w:vAlign w:val="center"/>
          </w:tcPr>
          <w:p w14:paraId="5CA6DAFC">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其他</w:t>
            </w:r>
          </w:p>
        </w:tc>
        <w:tc>
          <w:tcPr>
            <w:tcW w:w="3842" w:type="dxa"/>
            <w:tcBorders>
              <w:left w:val="single" w:color="auto" w:sz="4" w:space="0"/>
            </w:tcBorders>
            <w:vAlign w:val="center"/>
          </w:tcPr>
          <w:p w14:paraId="173B454D">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不含有招标人不能接受的附加条件。</w:t>
            </w:r>
          </w:p>
        </w:tc>
        <w:tc>
          <w:tcPr>
            <w:tcW w:w="1363" w:type="dxa"/>
            <w:vAlign w:val="center"/>
          </w:tcPr>
          <w:p w14:paraId="38D4E851">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7F86744B">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7F7D243C">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397288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0F561BB8">
            <w:pPr>
              <w:spacing w:line="300" w:lineRule="exact"/>
              <w:rPr>
                <w:rFonts w:hint="eastAsia" w:asciiTheme="minorEastAsia" w:hAnsiTheme="minorEastAsia" w:eastAsiaTheme="minorEastAsia" w:cstheme="minorEastAsia"/>
                <w:color w:val="auto"/>
                <w:sz w:val="24"/>
                <w:szCs w:val="24"/>
              </w:rPr>
            </w:pPr>
          </w:p>
        </w:tc>
        <w:tc>
          <w:tcPr>
            <w:tcW w:w="1142" w:type="dxa"/>
            <w:vMerge w:val="continue"/>
            <w:tcBorders>
              <w:right w:val="single" w:color="auto" w:sz="4" w:space="0"/>
            </w:tcBorders>
          </w:tcPr>
          <w:p w14:paraId="40784F0A">
            <w:pPr>
              <w:spacing w:line="300" w:lineRule="exact"/>
              <w:rPr>
                <w:rFonts w:hint="eastAsia" w:asciiTheme="minorEastAsia" w:hAnsiTheme="minorEastAsia" w:eastAsiaTheme="minorEastAsia" w:cstheme="minorEastAsia"/>
                <w:color w:val="auto"/>
                <w:sz w:val="24"/>
                <w:szCs w:val="24"/>
              </w:rPr>
            </w:pPr>
          </w:p>
        </w:tc>
        <w:tc>
          <w:tcPr>
            <w:tcW w:w="3842" w:type="dxa"/>
            <w:tcBorders>
              <w:left w:val="single" w:color="auto" w:sz="4" w:space="0"/>
            </w:tcBorders>
            <w:vAlign w:val="center"/>
          </w:tcPr>
          <w:p w14:paraId="0454939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符合采购文件要求的，未发生与采购文件中标注“*”的条款实质性偏离的。</w:t>
            </w:r>
          </w:p>
        </w:tc>
        <w:tc>
          <w:tcPr>
            <w:tcW w:w="1363" w:type="dxa"/>
            <w:vAlign w:val="center"/>
          </w:tcPr>
          <w:p w14:paraId="2A4562EF">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44F95179">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08DC91CA">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1A1CFC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119BB094">
            <w:pPr>
              <w:spacing w:line="300" w:lineRule="exact"/>
              <w:rPr>
                <w:rFonts w:hint="eastAsia" w:asciiTheme="minorEastAsia" w:hAnsiTheme="minorEastAsia" w:eastAsiaTheme="minorEastAsia" w:cstheme="minorEastAsia"/>
                <w:color w:val="auto"/>
                <w:sz w:val="24"/>
                <w:szCs w:val="24"/>
              </w:rPr>
            </w:pPr>
          </w:p>
        </w:tc>
        <w:tc>
          <w:tcPr>
            <w:tcW w:w="1142" w:type="dxa"/>
            <w:vMerge w:val="continue"/>
            <w:tcBorders>
              <w:right w:val="single" w:color="auto" w:sz="4" w:space="0"/>
            </w:tcBorders>
          </w:tcPr>
          <w:p w14:paraId="4C29E0DA">
            <w:pPr>
              <w:spacing w:line="300" w:lineRule="exact"/>
              <w:rPr>
                <w:rFonts w:hint="eastAsia" w:asciiTheme="minorEastAsia" w:hAnsiTheme="minorEastAsia" w:eastAsiaTheme="minorEastAsia" w:cstheme="minorEastAsia"/>
                <w:color w:val="auto"/>
                <w:sz w:val="24"/>
                <w:szCs w:val="24"/>
              </w:rPr>
            </w:pPr>
          </w:p>
        </w:tc>
        <w:tc>
          <w:tcPr>
            <w:tcW w:w="3842" w:type="dxa"/>
            <w:tcBorders>
              <w:left w:val="single" w:color="auto" w:sz="4" w:space="0"/>
            </w:tcBorders>
            <w:vAlign w:val="center"/>
          </w:tcPr>
          <w:p w14:paraId="409395B1">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投标文件格式规范、提供资料齐全或者未提供任何虚假材料或从事其他违法活动的。</w:t>
            </w:r>
          </w:p>
        </w:tc>
        <w:tc>
          <w:tcPr>
            <w:tcW w:w="1363" w:type="dxa"/>
            <w:vAlign w:val="center"/>
          </w:tcPr>
          <w:p w14:paraId="4310AF0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395B47F7">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311DCB8A">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468196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4CD4893C">
            <w:pPr>
              <w:spacing w:line="300" w:lineRule="exact"/>
              <w:rPr>
                <w:rFonts w:hint="eastAsia" w:asciiTheme="minorEastAsia" w:hAnsiTheme="minorEastAsia" w:eastAsiaTheme="minorEastAsia" w:cstheme="minorEastAsia"/>
                <w:color w:val="auto"/>
                <w:sz w:val="24"/>
                <w:szCs w:val="24"/>
              </w:rPr>
            </w:pPr>
          </w:p>
        </w:tc>
        <w:tc>
          <w:tcPr>
            <w:tcW w:w="1142" w:type="dxa"/>
            <w:vMerge w:val="continue"/>
            <w:tcBorders>
              <w:right w:val="single" w:color="auto" w:sz="4" w:space="0"/>
            </w:tcBorders>
          </w:tcPr>
          <w:p w14:paraId="1C1E9A8D">
            <w:pPr>
              <w:spacing w:line="300" w:lineRule="exact"/>
              <w:rPr>
                <w:rFonts w:hint="eastAsia" w:asciiTheme="minorEastAsia" w:hAnsiTheme="minorEastAsia" w:eastAsiaTheme="minorEastAsia" w:cstheme="minorEastAsia"/>
                <w:color w:val="auto"/>
                <w:sz w:val="24"/>
                <w:szCs w:val="24"/>
              </w:rPr>
            </w:pPr>
          </w:p>
        </w:tc>
        <w:tc>
          <w:tcPr>
            <w:tcW w:w="3842" w:type="dxa"/>
            <w:tcBorders>
              <w:left w:val="single" w:color="auto" w:sz="4" w:space="0"/>
            </w:tcBorders>
            <w:vAlign w:val="center"/>
          </w:tcPr>
          <w:p w14:paraId="1E8A6F0C">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投标文件的实质性内容使用中文表述、表述明确、前后不矛盾或者使用计量单位符合采购文件要求的（经评标委员会认定并允许其当场更正的笔误除外）。</w:t>
            </w:r>
          </w:p>
        </w:tc>
        <w:tc>
          <w:tcPr>
            <w:tcW w:w="1363" w:type="dxa"/>
            <w:vAlign w:val="center"/>
          </w:tcPr>
          <w:p w14:paraId="5332101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2FC917A5">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326DC7F3">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1EBCDB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576" w:hRule="atLeast"/>
          <w:jc w:val="center"/>
        </w:trPr>
        <w:tc>
          <w:tcPr>
            <w:tcW w:w="1053" w:type="dxa"/>
            <w:vMerge w:val="continue"/>
            <w:vAlign w:val="center"/>
          </w:tcPr>
          <w:p w14:paraId="145E5C1D">
            <w:pPr>
              <w:spacing w:line="300" w:lineRule="exact"/>
              <w:rPr>
                <w:rFonts w:hint="eastAsia" w:asciiTheme="minorEastAsia" w:hAnsiTheme="minorEastAsia" w:eastAsiaTheme="minorEastAsia" w:cstheme="minorEastAsia"/>
                <w:color w:val="auto"/>
                <w:sz w:val="24"/>
                <w:szCs w:val="24"/>
              </w:rPr>
            </w:pPr>
          </w:p>
        </w:tc>
        <w:tc>
          <w:tcPr>
            <w:tcW w:w="1142" w:type="dxa"/>
            <w:vMerge w:val="continue"/>
            <w:tcBorders>
              <w:right w:val="single" w:color="auto" w:sz="4" w:space="0"/>
            </w:tcBorders>
          </w:tcPr>
          <w:p w14:paraId="74409150">
            <w:pPr>
              <w:spacing w:line="300" w:lineRule="exact"/>
              <w:rPr>
                <w:rFonts w:hint="eastAsia" w:asciiTheme="minorEastAsia" w:hAnsiTheme="minorEastAsia" w:eastAsiaTheme="minorEastAsia" w:cstheme="minorEastAsia"/>
                <w:color w:val="auto"/>
                <w:sz w:val="24"/>
                <w:szCs w:val="24"/>
              </w:rPr>
            </w:pPr>
          </w:p>
        </w:tc>
        <w:tc>
          <w:tcPr>
            <w:tcW w:w="3842" w:type="dxa"/>
            <w:tcBorders>
              <w:left w:val="single" w:color="auto" w:sz="4" w:space="0"/>
            </w:tcBorders>
            <w:vAlign w:val="center"/>
          </w:tcPr>
          <w:p w14:paraId="40D790EA">
            <w:pPr>
              <w:widowControl/>
              <w:spacing w:line="30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未发现法律、法规和采购文件规定的其他无效情形。</w:t>
            </w:r>
          </w:p>
        </w:tc>
        <w:tc>
          <w:tcPr>
            <w:tcW w:w="1363" w:type="dxa"/>
            <w:vAlign w:val="center"/>
          </w:tcPr>
          <w:p w14:paraId="41E7269E">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3C856DC3">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23F37C88">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r w14:paraId="40915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0" w:type="dxa"/>
            <w:left w:w="150" w:type="dxa"/>
            <w:bottom w:w="150" w:type="dxa"/>
            <w:right w:w="150" w:type="dxa"/>
          </w:tblCellMar>
        </w:tblPrEx>
        <w:trPr>
          <w:trHeight w:val="23" w:hRule="atLeast"/>
          <w:jc w:val="center"/>
        </w:trPr>
        <w:tc>
          <w:tcPr>
            <w:tcW w:w="1053" w:type="dxa"/>
            <w:vMerge w:val="continue"/>
            <w:vAlign w:val="center"/>
          </w:tcPr>
          <w:p w14:paraId="790B01D5">
            <w:pPr>
              <w:spacing w:line="300" w:lineRule="exact"/>
              <w:rPr>
                <w:rFonts w:hint="eastAsia" w:asciiTheme="minorEastAsia" w:hAnsiTheme="minorEastAsia" w:eastAsiaTheme="minorEastAsia" w:cstheme="minorEastAsia"/>
                <w:color w:val="auto"/>
                <w:sz w:val="24"/>
                <w:szCs w:val="24"/>
              </w:rPr>
            </w:pPr>
          </w:p>
        </w:tc>
        <w:tc>
          <w:tcPr>
            <w:tcW w:w="1142" w:type="dxa"/>
            <w:vMerge w:val="continue"/>
            <w:tcBorders>
              <w:right w:val="single" w:color="auto" w:sz="4" w:space="0"/>
            </w:tcBorders>
          </w:tcPr>
          <w:p w14:paraId="4EE321EB">
            <w:pPr>
              <w:spacing w:line="300" w:lineRule="exact"/>
              <w:rPr>
                <w:rFonts w:hint="eastAsia" w:asciiTheme="minorEastAsia" w:hAnsiTheme="minorEastAsia" w:eastAsiaTheme="minorEastAsia" w:cstheme="minorEastAsia"/>
                <w:color w:val="auto"/>
                <w:sz w:val="24"/>
                <w:szCs w:val="24"/>
              </w:rPr>
            </w:pPr>
          </w:p>
        </w:tc>
        <w:tc>
          <w:tcPr>
            <w:tcW w:w="3842" w:type="dxa"/>
            <w:tcBorders>
              <w:left w:val="single" w:color="auto" w:sz="4" w:space="0"/>
            </w:tcBorders>
            <w:vAlign w:val="center"/>
          </w:tcPr>
          <w:p w14:paraId="2057FBCD">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对同个子包不允许提供两个投标方案。</w:t>
            </w:r>
          </w:p>
        </w:tc>
        <w:tc>
          <w:tcPr>
            <w:tcW w:w="1363" w:type="dxa"/>
            <w:vAlign w:val="center"/>
          </w:tcPr>
          <w:p w14:paraId="5BA570FE">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□通过</w:t>
            </w:r>
          </w:p>
          <w:p w14:paraId="1536B442">
            <w:pPr>
              <w:spacing w:line="30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□不通过</w:t>
            </w:r>
          </w:p>
        </w:tc>
        <w:tc>
          <w:tcPr>
            <w:tcW w:w="1859" w:type="dxa"/>
            <w:vAlign w:val="center"/>
          </w:tcPr>
          <w:p w14:paraId="00B2507B">
            <w:pPr>
              <w:spacing w:line="3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第（ ）页</w:t>
            </w:r>
          </w:p>
        </w:tc>
      </w:tr>
    </w:tbl>
    <w:p w14:paraId="439C9365">
      <w:pPr>
        <w:adjustRightInd w:val="0"/>
        <w:snapToGrid w:val="0"/>
        <w:spacing w:line="440" w:lineRule="exac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备注：投标人自查表将作为投标投标人有效性审查的重要内容之一，投标投标人必须严格按照其内容及序列要求在投标文件中对应如实提供。</w:t>
      </w:r>
    </w:p>
    <w:p w14:paraId="5DA1F8CD">
      <w:pPr>
        <w:widowControl/>
        <w:jc w:val="lef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p>
    <w:p w14:paraId="4B9FF774">
      <w:pPr>
        <w:jc w:val="center"/>
        <w:rPr>
          <w:rFonts w:hint="eastAsia" w:asciiTheme="minorEastAsia" w:hAnsiTheme="minorEastAsia" w:eastAsiaTheme="minorEastAsia" w:cstheme="minorEastAsia"/>
          <w:b/>
          <w:color w:val="auto"/>
          <w:sz w:val="24"/>
          <w:szCs w:val="24"/>
        </w:rPr>
      </w:pPr>
    </w:p>
    <w:p w14:paraId="73CDCB87">
      <w:pPr>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法定代表人身份证明</w:t>
      </w:r>
    </w:p>
    <w:p w14:paraId="65F2759E">
      <w:pPr>
        <w:spacing w:line="440" w:lineRule="exact"/>
        <w:ind w:firstLine="480" w:firstLineChars="200"/>
        <w:rPr>
          <w:rFonts w:hint="eastAsia" w:asciiTheme="minorEastAsia" w:hAnsiTheme="minorEastAsia" w:eastAsiaTheme="minorEastAsia" w:cstheme="minorEastAsia"/>
          <w:color w:val="auto"/>
          <w:sz w:val="24"/>
          <w:szCs w:val="24"/>
        </w:rPr>
      </w:pPr>
    </w:p>
    <w:p w14:paraId="1C091BD6">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p>
    <w:p w14:paraId="15F51E87">
      <w:pPr>
        <w:spacing w:line="440" w:lineRule="exact"/>
        <w:ind w:left="420"/>
        <w:rPr>
          <w:rFonts w:hint="eastAsia" w:asciiTheme="minorEastAsia" w:hAnsiTheme="minorEastAsia" w:eastAsiaTheme="minorEastAsia" w:cstheme="minorEastAsia"/>
          <w:color w:val="auto"/>
          <w:sz w:val="24"/>
          <w:szCs w:val="24"/>
        </w:rPr>
      </w:pPr>
    </w:p>
    <w:p w14:paraId="2D3E6A3E">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p>
    <w:p w14:paraId="1BE95387">
      <w:pPr>
        <w:spacing w:line="440" w:lineRule="exact"/>
        <w:ind w:left="420"/>
        <w:rPr>
          <w:rFonts w:hint="eastAsia" w:asciiTheme="minorEastAsia" w:hAnsiTheme="minorEastAsia" w:eastAsiaTheme="minorEastAsia" w:cstheme="minorEastAsia"/>
          <w:color w:val="auto"/>
          <w:sz w:val="24"/>
          <w:szCs w:val="24"/>
        </w:rPr>
      </w:pPr>
    </w:p>
    <w:p w14:paraId="2AC3F993">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 性别：  年龄： 职务：</w:t>
      </w:r>
    </w:p>
    <w:p w14:paraId="32CFFC72">
      <w:pPr>
        <w:spacing w:line="440" w:lineRule="exact"/>
        <w:rPr>
          <w:rFonts w:hint="eastAsia" w:asciiTheme="minorEastAsia" w:hAnsiTheme="minorEastAsia" w:eastAsiaTheme="minorEastAsia" w:cstheme="minorEastAsia"/>
          <w:color w:val="auto"/>
          <w:sz w:val="24"/>
          <w:szCs w:val="24"/>
        </w:rPr>
      </w:pPr>
    </w:p>
    <w:p w14:paraId="5B843ED5">
      <w:pPr>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 xml:space="preserve">本人系 </w:t>
      </w:r>
      <w:r>
        <w:rPr>
          <w:rFonts w:hint="eastAsia" w:asciiTheme="minorEastAsia" w:hAnsiTheme="minorEastAsia" w:eastAsiaTheme="minorEastAsia" w:cstheme="minorEastAsia"/>
          <w:color w:val="auto"/>
          <w:sz w:val="24"/>
          <w:szCs w:val="24"/>
          <w:u w:val="single"/>
        </w:rPr>
        <w:t>&lt;投标人名称&gt;</w:t>
      </w:r>
      <w:r>
        <w:rPr>
          <w:rFonts w:hint="eastAsia" w:asciiTheme="minorEastAsia" w:hAnsiTheme="minorEastAsia" w:eastAsiaTheme="minorEastAsia" w:cstheme="minorEastAsia"/>
          <w:color w:val="auto"/>
          <w:sz w:val="24"/>
          <w:szCs w:val="24"/>
        </w:rPr>
        <w:t>的法定代表人。就参加</w:t>
      </w:r>
      <w:r>
        <w:rPr>
          <w:rFonts w:hint="eastAsia" w:asciiTheme="minorEastAsia" w:hAnsiTheme="minorEastAsia" w:eastAsiaTheme="minorEastAsia" w:cstheme="minorEastAsia"/>
          <w:color w:val="auto"/>
          <w:sz w:val="24"/>
          <w:szCs w:val="24"/>
          <w:u w:val="single"/>
        </w:rPr>
        <w:t xml:space="preserve">  [招标人名称]    </w:t>
      </w:r>
      <w:r>
        <w:rPr>
          <w:rFonts w:hint="eastAsia" w:asciiTheme="minorEastAsia" w:hAnsiTheme="minorEastAsia" w:eastAsiaTheme="minorEastAsia" w:cstheme="minorEastAsia"/>
          <w:color w:val="auto"/>
          <w:sz w:val="24"/>
          <w:szCs w:val="24"/>
        </w:rPr>
        <w:t>组织的采购编号为</w:t>
      </w:r>
      <w:r>
        <w:rPr>
          <w:rFonts w:hint="eastAsia" w:asciiTheme="minorEastAsia" w:hAnsiTheme="minorEastAsia" w:eastAsiaTheme="minorEastAsia" w:cstheme="minorEastAsia"/>
          <w:color w:val="auto"/>
          <w:sz w:val="24"/>
          <w:szCs w:val="24"/>
          <w:u w:val="single"/>
        </w:rPr>
        <w:t>&lt;项目编号&gt;</w:t>
      </w:r>
      <w:r>
        <w:rPr>
          <w:rFonts w:hint="eastAsia" w:asciiTheme="minorEastAsia" w:hAnsiTheme="minorEastAsia" w:eastAsiaTheme="minorEastAsia" w:cstheme="minorEastAsia"/>
          <w:color w:val="auto"/>
          <w:sz w:val="24"/>
          <w:szCs w:val="24"/>
        </w:rPr>
        <w:t>的</w:t>
      </w:r>
      <w:r>
        <w:rPr>
          <w:rFonts w:hint="eastAsia" w:asciiTheme="minorEastAsia" w:hAnsiTheme="minorEastAsia" w:eastAsiaTheme="minorEastAsia" w:cstheme="minorEastAsia"/>
          <w:color w:val="auto"/>
          <w:sz w:val="24"/>
          <w:szCs w:val="24"/>
          <w:u w:val="single"/>
        </w:rPr>
        <w:t>&lt;项目名称&gt;</w:t>
      </w:r>
      <w:r>
        <w:rPr>
          <w:rFonts w:hint="eastAsia" w:asciiTheme="minorEastAsia" w:hAnsiTheme="minorEastAsia" w:eastAsiaTheme="minorEastAsia" w:cstheme="minorEastAsia"/>
          <w:color w:val="auto"/>
          <w:sz w:val="24"/>
          <w:szCs w:val="24"/>
        </w:rPr>
        <w:t>公开采购项目的投标、报价，签署上述项目的投标文件及合同的执行、完成和服务，签署合同和处理与之有关的一切事务。</w:t>
      </w:r>
    </w:p>
    <w:p w14:paraId="5A7186CD">
      <w:pPr>
        <w:spacing w:line="440" w:lineRule="exact"/>
        <w:ind w:left="420" w:leftChars="200"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特此证明。</w:t>
      </w:r>
    </w:p>
    <w:p w14:paraId="118A201D">
      <w:pPr>
        <w:spacing w:line="440" w:lineRule="exact"/>
        <w:ind w:left="420"/>
        <w:rPr>
          <w:rFonts w:hint="eastAsia" w:asciiTheme="minorEastAsia" w:hAnsiTheme="minorEastAsia" w:eastAsiaTheme="minorEastAsia" w:cstheme="minorEastAsia"/>
          <w:color w:val="auto"/>
          <w:sz w:val="24"/>
          <w:szCs w:val="24"/>
        </w:rPr>
      </w:pPr>
    </w:p>
    <w:p w14:paraId="28938986">
      <w:pPr>
        <w:spacing w:line="440" w:lineRule="exact"/>
        <w:ind w:left="42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（此处请粘贴法定代表人身份证复印件）</w:t>
      </w:r>
    </w:p>
    <w:p w14:paraId="2E42F42C">
      <w:pPr>
        <w:spacing w:line="440" w:lineRule="exact"/>
        <w:ind w:left="420"/>
        <w:rPr>
          <w:rFonts w:hint="eastAsia" w:asciiTheme="minorEastAsia" w:hAnsiTheme="minorEastAsia" w:eastAsiaTheme="minorEastAsia" w:cstheme="minorEastAsia"/>
          <w:color w:val="auto"/>
          <w:sz w:val="24"/>
          <w:szCs w:val="24"/>
        </w:rPr>
      </w:pPr>
    </w:p>
    <w:p w14:paraId="69CFF8DE">
      <w:pPr>
        <w:pStyle w:val="15"/>
        <w:tabs>
          <w:tab w:val="left" w:pos="4820"/>
        </w:tabs>
        <w:spacing w:line="440" w:lineRule="exact"/>
        <w:jc w:val="right"/>
        <w:rPr>
          <w:rFonts w:hint="eastAsia" w:asciiTheme="minorEastAsia" w:hAnsiTheme="minorEastAsia" w:eastAsiaTheme="minorEastAsia" w:cstheme="minorEastAsia"/>
          <w:color w:val="auto"/>
          <w:sz w:val="24"/>
          <w:szCs w:val="24"/>
        </w:rPr>
      </w:pPr>
    </w:p>
    <w:p w14:paraId="6998EB7E">
      <w:pPr>
        <w:pStyle w:val="15"/>
        <w:tabs>
          <w:tab w:val="left" w:pos="5180"/>
          <w:tab w:val="left" w:pos="5921"/>
        </w:tabs>
        <w:spacing w:line="440" w:lineRule="exact"/>
        <w:ind w:right="840"/>
        <w:rPr>
          <w:rFonts w:hint="eastAsia" w:asciiTheme="minorEastAsia" w:hAnsiTheme="minorEastAsia" w:eastAsiaTheme="minorEastAsia" w:cstheme="minorEastAsia"/>
          <w:color w:val="auto"/>
          <w:spacing w:val="0"/>
          <w:kern w:val="2"/>
          <w:sz w:val="24"/>
          <w:szCs w:val="24"/>
        </w:rPr>
      </w:pPr>
      <w:r>
        <w:rPr>
          <w:rFonts w:hint="eastAsia" w:asciiTheme="minorEastAsia" w:hAnsiTheme="minorEastAsia" w:eastAsiaTheme="minorEastAsia" w:cstheme="minorEastAsia"/>
          <w:color w:val="auto"/>
          <w:spacing w:val="0"/>
          <w:kern w:val="2"/>
          <w:sz w:val="24"/>
          <w:szCs w:val="24"/>
        </w:rPr>
        <w:t>投标单位：（盖章）</w:t>
      </w:r>
    </w:p>
    <w:p w14:paraId="21482DF8">
      <w:pPr>
        <w:pStyle w:val="15"/>
        <w:tabs>
          <w:tab w:val="left" w:pos="5180"/>
          <w:tab w:val="left" w:pos="5921"/>
        </w:tabs>
        <w:spacing w:line="440" w:lineRule="exact"/>
        <w:ind w:right="840"/>
        <w:rPr>
          <w:rFonts w:hint="eastAsia" w:asciiTheme="minorEastAsia" w:hAnsiTheme="minorEastAsia" w:eastAsiaTheme="minorEastAsia" w:cstheme="minorEastAsia"/>
          <w:color w:val="auto"/>
          <w:spacing w:val="0"/>
          <w:kern w:val="2"/>
          <w:sz w:val="24"/>
          <w:szCs w:val="24"/>
        </w:rPr>
      </w:pPr>
      <w:r>
        <w:rPr>
          <w:rFonts w:hint="eastAsia" w:asciiTheme="minorEastAsia" w:hAnsiTheme="minorEastAsia" w:eastAsiaTheme="minorEastAsia" w:cstheme="minorEastAsia"/>
          <w:color w:val="auto"/>
          <w:spacing w:val="0"/>
          <w:kern w:val="2"/>
          <w:sz w:val="24"/>
          <w:szCs w:val="24"/>
        </w:rPr>
        <w:t>日期：2024年   月   日</w:t>
      </w:r>
    </w:p>
    <w:p w14:paraId="07106B36">
      <w:pPr>
        <w:pStyle w:val="15"/>
        <w:tabs>
          <w:tab w:val="left" w:pos="4841"/>
        </w:tabs>
        <w:spacing w:line="440" w:lineRule="exact"/>
        <w:ind w:left="5250" w:right="824" w:firstLine="4988" w:firstLineChars="2150"/>
        <w:rPr>
          <w:rFonts w:hint="eastAsia" w:asciiTheme="minorEastAsia" w:hAnsiTheme="minorEastAsia" w:eastAsiaTheme="minorEastAsia" w:cstheme="minorEastAsia"/>
          <w:color w:val="auto"/>
          <w:sz w:val="24"/>
          <w:szCs w:val="24"/>
        </w:rPr>
      </w:pPr>
    </w:p>
    <w:p w14:paraId="5DFCD774">
      <w:pPr>
        <w:spacing w:line="440" w:lineRule="exact"/>
        <w:jc w:val="center"/>
        <w:rPr>
          <w:rFonts w:hint="eastAsia" w:asciiTheme="minorEastAsia" w:hAnsiTheme="minorEastAsia" w:eastAsiaTheme="minorEastAsia" w:cstheme="minorEastAsia"/>
          <w:b/>
          <w:color w:val="auto"/>
          <w:kern w:val="12"/>
          <w:sz w:val="24"/>
          <w:szCs w:val="24"/>
        </w:rPr>
      </w:pPr>
    </w:p>
    <w:p w14:paraId="2BF38757">
      <w:pPr>
        <w:spacing w:line="440" w:lineRule="exact"/>
        <w:ind w:left="472" w:hanging="472" w:hangingChars="196"/>
        <w:rPr>
          <w:rFonts w:hint="eastAsia" w:asciiTheme="minorEastAsia" w:hAnsiTheme="minorEastAsia" w:eastAsiaTheme="minorEastAsia" w:cstheme="minorEastAsia"/>
          <w:b/>
          <w:color w:val="auto"/>
          <w:kern w:val="12"/>
          <w:sz w:val="24"/>
          <w:szCs w:val="24"/>
        </w:rPr>
      </w:pPr>
      <w:r>
        <w:rPr>
          <w:rFonts w:hint="eastAsia" w:asciiTheme="minorEastAsia" w:hAnsiTheme="minorEastAsia" w:eastAsiaTheme="minorEastAsia" w:cstheme="minorEastAsia"/>
          <w:b/>
          <w:color w:val="auto"/>
          <w:kern w:val="12"/>
          <w:sz w:val="24"/>
          <w:szCs w:val="24"/>
        </w:rPr>
        <w:t>注：法定代表人参加本采购项目投标的，须出具此证明书。</w:t>
      </w:r>
    </w:p>
    <w:p w14:paraId="321F07E9">
      <w:pPr>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kern w:val="12"/>
          <w:sz w:val="24"/>
          <w:szCs w:val="24"/>
        </w:rPr>
        <w:br w:type="page"/>
      </w:r>
      <w:r>
        <w:rPr>
          <w:rFonts w:hint="eastAsia" w:asciiTheme="minorEastAsia" w:hAnsiTheme="minorEastAsia" w:eastAsiaTheme="minorEastAsia" w:cstheme="minorEastAsia"/>
          <w:b/>
          <w:color w:val="auto"/>
          <w:sz w:val="24"/>
          <w:szCs w:val="24"/>
        </w:rPr>
        <w:t>法定代表人授权委托书</w:t>
      </w:r>
    </w:p>
    <w:p w14:paraId="67126E97">
      <w:pPr>
        <w:snapToGrid w:val="0"/>
        <w:spacing w:line="360" w:lineRule="auto"/>
        <w:rPr>
          <w:rFonts w:hint="eastAsia" w:asciiTheme="minorEastAsia" w:hAnsiTheme="minorEastAsia" w:eastAsiaTheme="minorEastAsia" w:cstheme="minorEastAsia"/>
          <w:bCs/>
          <w:color w:val="auto"/>
          <w:sz w:val="24"/>
          <w:szCs w:val="24"/>
        </w:rPr>
      </w:pPr>
    </w:p>
    <w:p w14:paraId="4CCBDFBA">
      <w:pPr>
        <w:snapToGri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致：</w:t>
      </w:r>
      <w:r>
        <w:rPr>
          <w:rFonts w:hint="eastAsia" w:asciiTheme="minorEastAsia" w:hAnsiTheme="minorEastAsia" w:eastAsiaTheme="minorEastAsia" w:cstheme="minorEastAsia"/>
          <w:color w:val="auto"/>
          <w:sz w:val="24"/>
          <w:szCs w:val="24"/>
        </w:rPr>
        <w:t>（采购单位名称）：</w:t>
      </w:r>
    </w:p>
    <w:p w14:paraId="6BBF327A">
      <w:pPr>
        <w:snapToGrid w:val="0"/>
        <w:spacing w:line="440" w:lineRule="exact"/>
        <w:ind w:firstLine="600" w:firstLineChars="25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我（姓名）系（投标人名称）的法定代表人，现授权委托本单位在职职工 （姓名）以我方的名义参加项目的投标活动，并代表我方全权办理针对上述项目的投标、开标、评标、签约等具体事务和签署相关文件。</w:t>
      </w:r>
    </w:p>
    <w:p w14:paraId="18FE5974">
      <w:pPr>
        <w:snapToGrid w:val="0"/>
        <w:spacing w:line="440" w:lineRule="exact"/>
        <w:ind w:firstLine="480" w:firstLineChars="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我方对被授权人的签名事项负全部责任。</w:t>
      </w:r>
    </w:p>
    <w:p w14:paraId="5B4838CF">
      <w:pPr>
        <w:snapToGrid w:val="0"/>
        <w:spacing w:line="440" w:lineRule="exact"/>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在撤销授权的书面通知以前，本授权书一直有效。被授权人在授权书有效期内签署的所有文件不因授权的撤销而失效。</w:t>
      </w:r>
    </w:p>
    <w:p w14:paraId="6518975D">
      <w:pPr>
        <w:snapToGrid w:val="0"/>
        <w:spacing w:line="440" w:lineRule="exact"/>
        <w:ind w:firstLine="48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被授权人无转委托权，特此委托。</w:t>
      </w:r>
    </w:p>
    <w:p w14:paraId="77F64A36">
      <w:pPr>
        <w:snapToGrid w:val="0"/>
        <w:spacing w:line="440" w:lineRule="exact"/>
        <w:rPr>
          <w:rFonts w:hint="eastAsia" w:asciiTheme="minorEastAsia" w:hAnsiTheme="minorEastAsia" w:eastAsiaTheme="minorEastAsia" w:cstheme="minorEastAsia"/>
          <w:color w:val="auto"/>
          <w:sz w:val="24"/>
          <w:szCs w:val="24"/>
        </w:rPr>
      </w:pPr>
    </w:p>
    <w:p w14:paraId="5B77C310">
      <w:pPr>
        <w:snapToGrid w:val="0"/>
        <w:spacing w:line="440" w:lineRule="exact"/>
        <w:rPr>
          <w:rFonts w:hint="eastAsia" w:asciiTheme="minorEastAsia" w:hAnsiTheme="minorEastAsia" w:eastAsiaTheme="minorEastAsia" w:cstheme="minorEastAsia"/>
          <w:color w:val="auto"/>
          <w:sz w:val="24"/>
          <w:szCs w:val="24"/>
        </w:rPr>
      </w:pPr>
    </w:p>
    <w:p w14:paraId="1F63880B">
      <w:pPr>
        <w:snapToGrid w:val="0"/>
        <w:spacing w:line="44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被授权人签名：             法定代表人（签名或盖章）：</w:t>
      </w:r>
    </w:p>
    <w:p w14:paraId="04E56572">
      <w:pPr>
        <w:snapToGri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职务：                    职务：</w:t>
      </w:r>
    </w:p>
    <w:p w14:paraId="19E11C64">
      <w:pPr>
        <w:snapToGrid w:val="0"/>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被授权人身份证号码：</w:t>
      </w:r>
    </w:p>
    <w:p w14:paraId="23966942">
      <w:pPr>
        <w:spacing w:line="440" w:lineRule="exact"/>
        <w:rPr>
          <w:rFonts w:hint="eastAsia" w:asciiTheme="minorEastAsia" w:hAnsiTheme="minorEastAsia" w:eastAsiaTheme="minorEastAsia" w:cstheme="minorEastAsia"/>
          <w:b/>
          <w:bCs/>
          <w:color w:val="auto"/>
          <w:sz w:val="24"/>
          <w:szCs w:val="24"/>
        </w:rPr>
      </w:pPr>
    </w:p>
    <w:p w14:paraId="370D8097">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投标人名称：       （盖章）</w:t>
      </w:r>
    </w:p>
    <w:p w14:paraId="75BF4001">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日期：</w:t>
      </w:r>
      <w:bookmarkStart w:id="437" w:name="_Toc48981993"/>
      <w:bookmarkEnd w:id="437"/>
    </w:p>
    <w:p w14:paraId="260ACB3E">
      <w:pPr>
        <w:spacing w:line="440" w:lineRule="exact"/>
        <w:rPr>
          <w:rFonts w:hint="eastAsia" w:asciiTheme="minorEastAsia" w:hAnsiTheme="minorEastAsia" w:eastAsiaTheme="minorEastAsia" w:cstheme="minorEastAsia"/>
          <w:b/>
          <w:color w:val="auto"/>
          <w:sz w:val="24"/>
          <w:szCs w:val="24"/>
        </w:rPr>
      </w:pPr>
    </w:p>
    <w:p w14:paraId="42561DF9">
      <w:pPr>
        <w:spacing w:line="440" w:lineRule="exact"/>
        <w:rPr>
          <w:rFonts w:hint="eastAsia" w:asciiTheme="minorEastAsia" w:hAnsiTheme="minorEastAsia" w:eastAsiaTheme="minorEastAsia" w:cstheme="minorEastAsia"/>
          <w:b/>
          <w:color w:val="auto"/>
          <w:sz w:val="24"/>
          <w:szCs w:val="24"/>
        </w:rPr>
      </w:pPr>
    </w:p>
    <w:p w14:paraId="2CE9AF85">
      <w:pPr>
        <w:spacing w:line="440" w:lineRule="exact"/>
        <w:ind w:left="420"/>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（此处请粘贴法定代表人和被授权人身份证复印件）</w:t>
      </w:r>
    </w:p>
    <w:p w14:paraId="3E79544D">
      <w:pPr>
        <w:spacing w:line="440" w:lineRule="exact"/>
        <w:ind w:left="561" w:leftChars="267" w:firstLine="4327" w:firstLineChars="1796"/>
        <w:rPr>
          <w:rFonts w:hint="eastAsia" w:asciiTheme="minorEastAsia" w:hAnsiTheme="minorEastAsia" w:eastAsiaTheme="minorEastAsia" w:cstheme="minorEastAsia"/>
          <w:b/>
          <w:bCs/>
          <w:color w:val="auto"/>
          <w:sz w:val="24"/>
          <w:szCs w:val="24"/>
        </w:rPr>
      </w:pPr>
    </w:p>
    <w:p w14:paraId="6D918D23">
      <w:pPr>
        <w:spacing w:line="440" w:lineRule="exact"/>
        <w:rPr>
          <w:rFonts w:hint="eastAsia" w:asciiTheme="minorEastAsia" w:hAnsiTheme="minorEastAsia" w:eastAsiaTheme="minorEastAsia" w:cstheme="minorEastAsia"/>
          <w:b/>
          <w:color w:val="auto"/>
          <w:kern w:val="12"/>
          <w:sz w:val="24"/>
          <w:szCs w:val="24"/>
        </w:rPr>
      </w:pPr>
      <w:r>
        <w:rPr>
          <w:rFonts w:hint="eastAsia" w:asciiTheme="minorEastAsia" w:hAnsiTheme="minorEastAsia" w:eastAsiaTheme="minorEastAsia" w:cstheme="minorEastAsia"/>
          <w:b/>
          <w:color w:val="auto"/>
          <w:kern w:val="12"/>
          <w:sz w:val="24"/>
          <w:szCs w:val="24"/>
        </w:rPr>
        <w:t>说明：法定代表人的授权代表参加本采购项目投标的，须出具此授权书。</w:t>
      </w:r>
    </w:p>
    <w:p w14:paraId="684489A7">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r>
        <w:rPr>
          <w:rFonts w:hint="eastAsia" w:asciiTheme="minorEastAsia" w:hAnsiTheme="minorEastAsia" w:eastAsiaTheme="minorEastAsia" w:cstheme="minorEastAsia"/>
          <w:b/>
          <w:color w:val="auto"/>
          <w:sz w:val="24"/>
          <w:szCs w:val="24"/>
        </w:rPr>
        <w:t>投标人基本情况说明</w:t>
      </w:r>
    </w:p>
    <w:tbl>
      <w:tblPr>
        <w:tblStyle w:val="37"/>
        <w:tblW w:w="91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680"/>
        <w:gridCol w:w="1050"/>
        <w:gridCol w:w="945"/>
        <w:gridCol w:w="1785"/>
        <w:gridCol w:w="2234"/>
      </w:tblGrid>
      <w:tr w14:paraId="29182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5CD45FC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单位名称</w:t>
            </w:r>
          </w:p>
        </w:tc>
        <w:tc>
          <w:tcPr>
            <w:tcW w:w="3675" w:type="dxa"/>
            <w:gridSpan w:val="3"/>
            <w:vAlign w:val="center"/>
          </w:tcPr>
          <w:p w14:paraId="69EBA104">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643C380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组织机构代码</w:t>
            </w:r>
          </w:p>
        </w:tc>
        <w:tc>
          <w:tcPr>
            <w:tcW w:w="2234" w:type="dxa"/>
            <w:vAlign w:val="center"/>
          </w:tcPr>
          <w:p w14:paraId="156785B2">
            <w:pPr>
              <w:spacing w:line="440" w:lineRule="exact"/>
              <w:jc w:val="center"/>
              <w:rPr>
                <w:rFonts w:hint="eastAsia" w:asciiTheme="minorEastAsia" w:hAnsiTheme="minorEastAsia" w:eastAsiaTheme="minorEastAsia" w:cstheme="minorEastAsia"/>
                <w:color w:val="auto"/>
                <w:sz w:val="24"/>
                <w:szCs w:val="24"/>
              </w:rPr>
            </w:pPr>
          </w:p>
        </w:tc>
      </w:tr>
      <w:tr w14:paraId="26A2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5CDA0E0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注册地址</w:t>
            </w:r>
          </w:p>
        </w:tc>
        <w:tc>
          <w:tcPr>
            <w:tcW w:w="3675" w:type="dxa"/>
            <w:gridSpan w:val="3"/>
            <w:vAlign w:val="center"/>
          </w:tcPr>
          <w:p w14:paraId="377129F8">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7ECD242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注册登记号</w:t>
            </w:r>
          </w:p>
        </w:tc>
        <w:tc>
          <w:tcPr>
            <w:tcW w:w="2234" w:type="dxa"/>
            <w:vAlign w:val="center"/>
          </w:tcPr>
          <w:p w14:paraId="17E8FF1D">
            <w:pPr>
              <w:spacing w:line="440" w:lineRule="exact"/>
              <w:jc w:val="center"/>
              <w:rPr>
                <w:rFonts w:hint="eastAsia" w:asciiTheme="minorEastAsia" w:hAnsiTheme="minorEastAsia" w:eastAsiaTheme="minorEastAsia" w:cstheme="minorEastAsia"/>
                <w:color w:val="auto"/>
                <w:sz w:val="24"/>
                <w:szCs w:val="24"/>
              </w:rPr>
            </w:pPr>
          </w:p>
        </w:tc>
      </w:tr>
      <w:tr w14:paraId="76B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1397D2FD">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经营地址</w:t>
            </w:r>
          </w:p>
        </w:tc>
        <w:tc>
          <w:tcPr>
            <w:tcW w:w="3675" w:type="dxa"/>
            <w:gridSpan w:val="3"/>
            <w:vAlign w:val="center"/>
          </w:tcPr>
          <w:p w14:paraId="64AE9B45">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2972BDF9">
            <w:pPr>
              <w:spacing w:line="440" w:lineRule="exact"/>
              <w:jc w:val="center"/>
              <w:rPr>
                <w:rFonts w:hint="eastAsia" w:asciiTheme="minorEastAsia" w:hAnsiTheme="minorEastAsia" w:eastAsiaTheme="minorEastAsia" w:cstheme="minorEastAsia"/>
                <w:color w:val="auto"/>
                <w:spacing w:val="30"/>
                <w:sz w:val="24"/>
                <w:szCs w:val="24"/>
              </w:rPr>
            </w:pPr>
            <w:r>
              <w:rPr>
                <w:rFonts w:hint="eastAsia" w:asciiTheme="minorEastAsia" w:hAnsiTheme="minorEastAsia" w:eastAsiaTheme="minorEastAsia" w:cstheme="minorEastAsia"/>
                <w:color w:val="auto"/>
                <w:sz w:val="24"/>
                <w:szCs w:val="24"/>
              </w:rPr>
              <w:t>税务登记证号</w:t>
            </w:r>
          </w:p>
        </w:tc>
        <w:tc>
          <w:tcPr>
            <w:tcW w:w="2234" w:type="dxa"/>
            <w:vAlign w:val="center"/>
          </w:tcPr>
          <w:p w14:paraId="04E5A5A4">
            <w:pPr>
              <w:spacing w:line="440" w:lineRule="exact"/>
              <w:jc w:val="center"/>
              <w:rPr>
                <w:rFonts w:hint="eastAsia" w:asciiTheme="minorEastAsia" w:hAnsiTheme="minorEastAsia" w:eastAsiaTheme="minorEastAsia" w:cstheme="minorEastAsia"/>
                <w:color w:val="auto"/>
                <w:sz w:val="24"/>
                <w:szCs w:val="24"/>
              </w:rPr>
            </w:pPr>
          </w:p>
        </w:tc>
      </w:tr>
      <w:tr w14:paraId="15E7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6350EC9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单位性质</w:t>
            </w:r>
          </w:p>
        </w:tc>
        <w:tc>
          <w:tcPr>
            <w:tcW w:w="3675" w:type="dxa"/>
            <w:gridSpan w:val="3"/>
            <w:vAlign w:val="center"/>
          </w:tcPr>
          <w:p w14:paraId="1C0B83FF">
            <w:pPr>
              <w:pStyle w:val="149"/>
              <w:widowControl w:val="0"/>
              <w:spacing w:before="0" w:beforeAutospacing="0" w:after="0" w:afterAutospacing="0" w:line="440" w:lineRule="exact"/>
              <w:ind w:left="1320" w:firstLine="420"/>
              <w:rPr>
                <w:rFonts w:hint="eastAsia" w:asciiTheme="minorEastAsia" w:hAnsiTheme="minorEastAsia" w:eastAsiaTheme="minorEastAsia" w:cstheme="minorEastAsia"/>
                <w:color w:val="auto"/>
                <w:kern w:val="2"/>
                <w:sz w:val="24"/>
                <w:szCs w:val="24"/>
              </w:rPr>
            </w:pPr>
          </w:p>
        </w:tc>
        <w:tc>
          <w:tcPr>
            <w:tcW w:w="1785" w:type="dxa"/>
            <w:vAlign w:val="center"/>
          </w:tcPr>
          <w:p w14:paraId="68774471">
            <w:pPr>
              <w:spacing w:line="440" w:lineRule="exact"/>
              <w:jc w:val="center"/>
              <w:rPr>
                <w:rFonts w:hint="eastAsia" w:asciiTheme="minorEastAsia" w:hAnsiTheme="minorEastAsia" w:eastAsiaTheme="minorEastAsia" w:cstheme="minorEastAsia"/>
                <w:color w:val="auto"/>
                <w:spacing w:val="34"/>
                <w:sz w:val="24"/>
                <w:szCs w:val="24"/>
              </w:rPr>
            </w:pPr>
            <w:r>
              <w:rPr>
                <w:rFonts w:hint="eastAsia" w:asciiTheme="minorEastAsia" w:hAnsiTheme="minorEastAsia" w:eastAsiaTheme="minorEastAsia" w:cstheme="minorEastAsia"/>
                <w:color w:val="auto"/>
                <w:spacing w:val="34"/>
                <w:sz w:val="24"/>
                <w:szCs w:val="24"/>
              </w:rPr>
              <w:t>注册资本</w:t>
            </w:r>
          </w:p>
        </w:tc>
        <w:tc>
          <w:tcPr>
            <w:tcW w:w="2234" w:type="dxa"/>
            <w:vAlign w:val="center"/>
          </w:tcPr>
          <w:p w14:paraId="48ACCD22">
            <w:pPr>
              <w:spacing w:line="440" w:lineRule="exact"/>
              <w:jc w:val="center"/>
              <w:rPr>
                <w:rFonts w:hint="eastAsia" w:asciiTheme="minorEastAsia" w:hAnsiTheme="minorEastAsia" w:eastAsiaTheme="minorEastAsia" w:cstheme="minorEastAsia"/>
                <w:color w:val="auto"/>
                <w:sz w:val="24"/>
                <w:szCs w:val="24"/>
              </w:rPr>
            </w:pPr>
          </w:p>
        </w:tc>
      </w:tr>
      <w:tr w14:paraId="2B17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31C896E9">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经营范围</w:t>
            </w:r>
          </w:p>
        </w:tc>
        <w:tc>
          <w:tcPr>
            <w:tcW w:w="3675" w:type="dxa"/>
            <w:gridSpan w:val="3"/>
            <w:vAlign w:val="center"/>
          </w:tcPr>
          <w:p w14:paraId="43605B1B">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4F42B290">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营业期限</w:t>
            </w:r>
          </w:p>
        </w:tc>
        <w:tc>
          <w:tcPr>
            <w:tcW w:w="2234" w:type="dxa"/>
            <w:vAlign w:val="center"/>
          </w:tcPr>
          <w:p w14:paraId="5952FA63">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年 月-  年 月</w:t>
            </w:r>
          </w:p>
        </w:tc>
      </w:tr>
      <w:tr w14:paraId="7818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5E91655F">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资质情况</w:t>
            </w:r>
          </w:p>
        </w:tc>
        <w:tc>
          <w:tcPr>
            <w:tcW w:w="7694" w:type="dxa"/>
            <w:gridSpan w:val="5"/>
            <w:vAlign w:val="center"/>
          </w:tcPr>
          <w:p w14:paraId="15C02079">
            <w:pPr>
              <w:spacing w:line="440" w:lineRule="exact"/>
              <w:jc w:val="center"/>
              <w:rPr>
                <w:rFonts w:hint="eastAsia" w:asciiTheme="minorEastAsia" w:hAnsiTheme="minorEastAsia" w:eastAsiaTheme="minorEastAsia" w:cstheme="minorEastAsia"/>
                <w:color w:val="auto"/>
                <w:sz w:val="24"/>
                <w:szCs w:val="24"/>
              </w:rPr>
            </w:pPr>
          </w:p>
        </w:tc>
      </w:tr>
      <w:tr w14:paraId="0CB2E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122F4FE6">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员工数量</w:t>
            </w:r>
          </w:p>
        </w:tc>
        <w:tc>
          <w:tcPr>
            <w:tcW w:w="7694" w:type="dxa"/>
            <w:gridSpan w:val="5"/>
            <w:vAlign w:val="center"/>
          </w:tcPr>
          <w:p w14:paraId="52B74C76">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共人，其中，高级职称人，中级职称人</w:t>
            </w:r>
          </w:p>
        </w:tc>
      </w:tr>
      <w:tr w14:paraId="6A3C2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12A514C1">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3675" w:type="dxa"/>
            <w:gridSpan w:val="3"/>
            <w:vAlign w:val="center"/>
          </w:tcPr>
          <w:p w14:paraId="45FB0175">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750E12ED">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传真</w:t>
            </w:r>
          </w:p>
        </w:tc>
        <w:tc>
          <w:tcPr>
            <w:tcW w:w="2234" w:type="dxa"/>
            <w:vAlign w:val="center"/>
          </w:tcPr>
          <w:p w14:paraId="60EB9B90">
            <w:pPr>
              <w:spacing w:line="440" w:lineRule="exact"/>
              <w:jc w:val="center"/>
              <w:rPr>
                <w:rFonts w:hint="eastAsia" w:asciiTheme="minorEastAsia" w:hAnsiTheme="minorEastAsia" w:eastAsiaTheme="minorEastAsia" w:cstheme="minorEastAsia"/>
                <w:color w:val="auto"/>
                <w:sz w:val="24"/>
                <w:szCs w:val="24"/>
              </w:rPr>
            </w:pPr>
          </w:p>
        </w:tc>
      </w:tr>
      <w:tr w14:paraId="14EB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470" w:type="dxa"/>
            <w:vAlign w:val="center"/>
          </w:tcPr>
          <w:p w14:paraId="612D3633">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主要业绩</w:t>
            </w:r>
          </w:p>
        </w:tc>
        <w:tc>
          <w:tcPr>
            <w:tcW w:w="7694" w:type="dxa"/>
            <w:gridSpan w:val="5"/>
            <w:vAlign w:val="center"/>
          </w:tcPr>
          <w:p w14:paraId="28E78290">
            <w:pPr>
              <w:spacing w:line="440" w:lineRule="exact"/>
              <w:jc w:val="center"/>
              <w:rPr>
                <w:rFonts w:hint="eastAsia" w:asciiTheme="minorEastAsia" w:hAnsiTheme="minorEastAsia" w:eastAsiaTheme="minorEastAsia" w:cstheme="minorEastAsia"/>
                <w:color w:val="auto"/>
                <w:sz w:val="24"/>
                <w:szCs w:val="24"/>
              </w:rPr>
            </w:pPr>
          </w:p>
          <w:p w14:paraId="107F8FD8">
            <w:pPr>
              <w:spacing w:line="440" w:lineRule="exact"/>
              <w:jc w:val="center"/>
              <w:rPr>
                <w:rFonts w:hint="eastAsia" w:asciiTheme="minorEastAsia" w:hAnsiTheme="minorEastAsia" w:eastAsiaTheme="minorEastAsia" w:cstheme="minorEastAsia"/>
                <w:color w:val="auto"/>
                <w:sz w:val="24"/>
                <w:szCs w:val="24"/>
              </w:rPr>
            </w:pPr>
          </w:p>
        </w:tc>
      </w:tr>
      <w:tr w14:paraId="3325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164" w:type="dxa"/>
            <w:gridSpan w:val="6"/>
            <w:vAlign w:val="center"/>
          </w:tcPr>
          <w:p w14:paraId="14B80F70">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法 定 代 表 人 基 本 情 况</w:t>
            </w:r>
          </w:p>
        </w:tc>
      </w:tr>
      <w:tr w14:paraId="76108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7844123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  名</w:t>
            </w:r>
          </w:p>
        </w:tc>
        <w:tc>
          <w:tcPr>
            <w:tcW w:w="3675" w:type="dxa"/>
            <w:gridSpan w:val="3"/>
            <w:vAlign w:val="center"/>
          </w:tcPr>
          <w:p w14:paraId="7D96D854">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447C4B87">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身份证号码</w:t>
            </w:r>
          </w:p>
        </w:tc>
        <w:tc>
          <w:tcPr>
            <w:tcW w:w="2234" w:type="dxa"/>
            <w:vAlign w:val="center"/>
          </w:tcPr>
          <w:p w14:paraId="0CE953D4">
            <w:pPr>
              <w:spacing w:line="440" w:lineRule="exact"/>
              <w:jc w:val="center"/>
              <w:rPr>
                <w:rFonts w:hint="eastAsia" w:asciiTheme="minorEastAsia" w:hAnsiTheme="minorEastAsia" w:eastAsiaTheme="minorEastAsia" w:cstheme="minorEastAsia"/>
                <w:color w:val="auto"/>
                <w:sz w:val="24"/>
                <w:szCs w:val="24"/>
              </w:rPr>
            </w:pPr>
          </w:p>
        </w:tc>
      </w:tr>
      <w:tr w14:paraId="074A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70" w:type="dxa"/>
            <w:vAlign w:val="center"/>
          </w:tcPr>
          <w:p w14:paraId="39912C8E">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  务</w:t>
            </w:r>
          </w:p>
        </w:tc>
        <w:tc>
          <w:tcPr>
            <w:tcW w:w="1680" w:type="dxa"/>
            <w:vAlign w:val="center"/>
          </w:tcPr>
          <w:p w14:paraId="47BDA328">
            <w:pPr>
              <w:spacing w:line="440" w:lineRule="exact"/>
              <w:jc w:val="center"/>
              <w:rPr>
                <w:rFonts w:hint="eastAsia" w:asciiTheme="minorEastAsia" w:hAnsiTheme="minorEastAsia" w:eastAsiaTheme="minorEastAsia" w:cstheme="minorEastAsia"/>
                <w:color w:val="auto"/>
                <w:sz w:val="24"/>
                <w:szCs w:val="24"/>
              </w:rPr>
            </w:pPr>
          </w:p>
        </w:tc>
        <w:tc>
          <w:tcPr>
            <w:tcW w:w="1050" w:type="dxa"/>
            <w:vAlign w:val="center"/>
          </w:tcPr>
          <w:p w14:paraId="71DB7BC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职称</w:t>
            </w:r>
          </w:p>
        </w:tc>
        <w:tc>
          <w:tcPr>
            <w:tcW w:w="945" w:type="dxa"/>
            <w:vAlign w:val="center"/>
          </w:tcPr>
          <w:p w14:paraId="221BE016">
            <w:pPr>
              <w:spacing w:line="440" w:lineRule="exact"/>
              <w:jc w:val="center"/>
              <w:rPr>
                <w:rFonts w:hint="eastAsia" w:asciiTheme="minorEastAsia" w:hAnsiTheme="minorEastAsia" w:eastAsiaTheme="minorEastAsia" w:cstheme="minorEastAsia"/>
                <w:color w:val="auto"/>
                <w:sz w:val="24"/>
                <w:szCs w:val="24"/>
              </w:rPr>
            </w:pPr>
          </w:p>
        </w:tc>
        <w:tc>
          <w:tcPr>
            <w:tcW w:w="1785" w:type="dxa"/>
            <w:vAlign w:val="center"/>
          </w:tcPr>
          <w:p w14:paraId="3FF1DF61">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学    历</w:t>
            </w:r>
          </w:p>
        </w:tc>
        <w:tc>
          <w:tcPr>
            <w:tcW w:w="2234" w:type="dxa"/>
            <w:vAlign w:val="center"/>
          </w:tcPr>
          <w:p w14:paraId="2F81DDCC">
            <w:pPr>
              <w:spacing w:line="440" w:lineRule="exact"/>
              <w:jc w:val="center"/>
              <w:rPr>
                <w:rFonts w:hint="eastAsia" w:asciiTheme="minorEastAsia" w:hAnsiTheme="minorEastAsia" w:eastAsiaTheme="minorEastAsia" w:cstheme="minorEastAsia"/>
                <w:color w:val="auto"/>
                <w:sz w:val="24"/>
                <w:szCs w:val="24"/>
              </w:rPr>
            </w:pPr>
          </w:p>
        </w:tc>
      </w:tr>
      <w:tr w14:paraId="7066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9164" w:type="dxa"/>
            <w:gridSpan w:val="6"/>
            <w:vAlign w:val="center"/>
          </w:tcPr>
          <w:p w14:paraId="3D8AAB54">
            <w:pPr>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r>
    </w:tbl>
    <w:p w14:paraId="3935E776">
      <w:pPr>
        <w:spacing w:line="360" w:lineRule="auto"/>
        <w:ind w:firstLine="480" w:firstLineChars="20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兹证明上述声明是真实、正确的，并提供了全部能提供的资料和数据，我们同意遵照贵方要求出示有关证明文件。</w:t>
      </w:r>
    </w:p>
    <w:p w14:paraId="48F01909">
      <w:pPr>
        <w:spacing w:line="360" w:lineRule="auto"/>
        <w:rPr>
          <w:rFonts w:hint="eastAsia" w:asciiTheme="minorEastAsia" w:hAnsiTheme="minorEastAsia" w:eastAsiaTheme="minorEastAsia" w:cstheme="minorEastAsia"/>
          <w:b/>
          <w:color w:val="auto"/>
          <w:sz w:val="24"/>
          <w:szCs w:val="24"/>
        </w:rPr>
      </w:pPr>
    </w:p>
    <w:p w14:paraId="09F8D2C1">
      <w:pPr>
        <w:rPr>
          <w:rFonts w:hint="eastAsia" w:asciiTheme="minorEastAsia" w:hAnsiTheme="minorEastAsia" w:eastAsiaTheme="minorEastAsia" w:cstheme="minorEastAsia"/>
          <w:color w:val="auto"/>
          <w:sz w:val="24"/>
          <w:szCs w:val="24"/>
        </w:rPr>
      </w:pPr>
    </w:p>
    <w:p w14:paraId="275E1B8D">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100C3FC5">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4026C6C3">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29428AAA">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p>
    <w:p w14:paraId="0DC6D214">
      <w:pPr>
        <w:spacing w:line="360" w:lineRule="auto"/>
        <w:rPr>
          <w:rFonts w:hint="eastAsia" w:asciiTheme="minorEastAsia" w:hAnsiTheme="minorEastAsia" w:eastAsiaTheme="minorEastAsia" w:cstheme="minorEastAsia"/>
          <w:color w:val="auto"/>
          <w:sz w:val="24"/>
          <w:szCs w:val="24"/>
        </w:rPr>
        <w:sectPr>
          <w:headerReference r:id="rId9" w:type="default"/>
          <w:footerReference r:id="rId10" w:type="default"/>
          <w:pgSz w:w="11907" w:h="16840"/>
          <w:pgMar w:top="1276" w:right="1474" w:bottom="1242" w:left="1474" w:header="720" w:footer="720" w:gutter="0"/>
          <w:cols w:space="720" w:num="1"/>
          <w:docGrid w:linePitch="285" w:charSpace="0"/>
        </w:sectPr>
      </w:pPr>
    </w:p>
    <w:p w14:paraId="6C4E2837">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商务条款偏离表</w:t>
      </w:r>
    </w:p>
    <w:p w14:paraId="1E099F33">
      <w:pPr>
        <w:spacing w:line="360" w:lineRule="auto"/>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项目名称：</w:t>
      </w:r>
    </w:p>
    <w:p w14:paraId="649DC117">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项目编号：</w:t>
      </w:r>
    </w:p>
    <w:tbl>
      <w:tblPr>
        <w:tblStyle w:val="37"/>
        <w:tblW w:w="9213" w:type="dxa"/>
        <w:tblInd w:w="-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08"/>
        <w:gridCol w:w="2513"/>
        <w:gridCol w:w="4008"/>
        <w:gridCol w:w="1984"/>
      </w:tblGrid>
      <w:tr w14:paraId="631F4C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302166AF">
            <w:pPr>
              <w:pStyle w:val="19"/>
              <w:spacing w:beforeLines="0" w:afterLines="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序号</w:t>
            </w:r>
          </w:p>
        </w:tc>
        <w:tc>
          <w:tcPr>
            <w:tcW w:w="2513" w:type="dxa"/>
            <w:vAlign w:val="center"/>
          </w:tcPr>
          <w:p w14:paraId="2A1919CB">
            <w:pPr>
              <w:pStyle w:val="19"/>
              <w:spacing w:beforeLines="0" w:afterLines="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采购文件的商务条款</w:t>
            </w:r>
          </w:p>
        </w:tc>
        <w:tc>
          <w:tcPr>
            <w:tcW w:w="4008" w:type="dxa"/>
            <w:vAlign w:val="center"/>
          </w:tcPr>
          <w:p w14:paraId="1087C24F">
            <w:pPr>
              <w:pStyle w:val="19"/>
              <w:spacing w:beforeLines="0" w:afterLines="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投标文件的商务条款</w:t>
            </w:r>
          </w:p>
        </w:tc>
        <w:tc>
          <w:tcPr>
            <w:tcW w:w="1984" w:type="dxa"/>
            <w:vAlign w:val="center"/>
          </w:tcPr>
          <w:p w14:paraId="00D025D8">
            <w:pPr>
              <w:pStyle w:val="19"/>
              <w:spacing w:beforeLines="0" w:afterLines="0"/>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说明（填写：正偏离/负偏离/响应）</w:t>
            </w:r>
          </w:p>
        </w:tc>
      </w:tr>
      <w:tr w14:paraId="21B3C8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6C2AF7C6">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1</w:t>
            </w:r>
          </w:p>
        </w:tc>
        <w:tc>
          <w:tcPr>
            <w:tcW w:w="2513" w:type="dxa"/>
            <w:vAlign w:val="center"/>
          </w:tcPr>
          <w:p w14:paraId="2973BD52">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6628A474">
            <w:pPr>
              <w:spacing w:line="0" w:lineRule="atLeast"/>
              <w:rPr>
                <w:rFonts w:hint="eastAsia" w:asciiTheme="minorEastAsia" w:hAnsiTheme="minorEastAsia" w:eastAsiaTheme="minorEastAsia" w:cstheme="minorEastAsia"/>
                <w:color w:val="auto"/>
                <w:sz w:val="24"/>
                <w:szCs w:val="24"/>
              </w:rPr>
            </w:pPr>
          </w:p>
        </w:tc>
        <w:tc>
          <w:tcPr>
            <w:tcW w:w="1984" w:type="dxa"/>
          </w:tcPr>
          <w:p w14:paraId="0A1CB902">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r w14:paraId="519390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476" w:hRule="atLeast"/>
        </w:trPr>
        <w:tc>
          <w:tcPr>
            <w:tcW w:w="708" w:type="dxa"/>
            <w:vAlign w:val="center"/>
          </w:tcPr>
          <w:p w14:paraId="25090FAB">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2</w:t>
            </w:r>
          </w:p>
        </w:tc>
        <w:tc>
          <w:tcPr>
            <w:tcW w:w="2513" w:type="dxa"/>
            <w:vAlign w:val="center"/>
          </w:tcPr>
          <w:p w14:paraId="48119FA1">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39B27FCB">
            <w:pPr>
              <w:spacing w:line="0" w:lineRule="atLeast"/>
              <w:rPr>
                <w:rFonts w:hint="eastAsia" w:asciiTheme="minorEastAsia" w:hAnsiTheme="minorEastAsia" w:eastAsiaTheme="minorEastAsia" w:cstheme="minorEastAsia"/>
                <w:color w:val="auto"/>
                <w:sz w:val="24"/>
                <w:szCs w:val="24"/>
              </w:rPr>
            </w:pPr>
          </w:p>
        </w:tc>
        <w:tc>
          <w:tcPr>
            <w:tcW w:w="1984" w:type="dxa"/>
          </w:tcPr>
          <w:p w14:paraId="2469B69E">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r w14:paraId="06DA73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46884868">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3</w:t>
            </w:r>
          </w:p>
        </w:tc>
        <w:tc>
          <w:tcPr>
            <w:tcW w:w="2513" w:type="dxa"/>
            <w:vAlign w:val="center"/>
          </w:tcPr>
          <w:p w14:paraId="32474980">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14830256">
            <w:pPr>
              <w:spacing w:line="0" w:lineRule="atLeast"/>
              <w:rPr>
                <w:rFonts w:hint="eastAsia" w:asciiTheme="minorEastAsia" w:hAnsiTheme="minorEastAsia" w:eastAsiaTheme="minorEastAsia" w:cstheme="minorEastAsia"/>
                <w:color w:val="auto"/>
                <w:sz w:val="24"/>
                <w:szCs w:val="24"/>
              </w:rPr>
            </w:pPr>
          </w:p>
        </w:tc>
        <w:tc>
          <w:tcPr>
            <w:tcW w:w="1984" w:type="dxa"/>
          </w:tcPr>
          <w:p w14:paraId="6E9EE464">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r w14:paraId="6E284E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407835D2">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4</w:t>
            </w:r>
          </w:p>
        </w:tc>
        <w:tc>
          <w:tcPr>
            <w:tcW w:w="2513" w:type="dxa"/>
            <w:vAlign w:val="center"/>
          </w:tcPr>
          <w:p w14:paraId="4B216E40">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5AC42E9E">
            <w:pPr>
              <w:spacing w:line="0" w:lineRule="atLeast"/>
              <w:rPr>
                <w:rFonts w:hint="eastAsia" w:asciiTheme="minorEastAsia" w:hAnsiTheme="minorEastAsia" w:eastAsiaTheme="minorEastAsia" w:cstheme="minorEastAsia"/>
                <w:color w:val="auto"/>
                <w:sz w:val="24"/>
                <w:szCs w:val="24"/>
              </w:rPr>
            </w:pPr>
          </w:p>
        </w:tc>
        <w:tc>
          <w:tcPr>
            <w:tcW w:w="1984" w:type="dxa"/>
          </w:tcPr>
          <w:p w14:paraId="7A95866A">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r w14:paraId="7C53E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6003ACB3">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5</w:t>
            </w:r>
          </w:p>
        </w:tc>
        <w:tc>
          <w:tcPr>
            <w:tcW w:w="2513" w:type="dxa"/>
            <w:vAlign w:val="center"/>
          </w:tcPr>
          <w:p w14:paraId="0F07F65A">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3C58B274">
            <w:pPr>
              <w:spacing w:line="0" w:lineRule="atLeast"/>
              <w:rPr>
                <w:rFonts w:hint="eastAsia" w:asciiTheme="minorEastAsia" w:hAnsiTheme="minorEastAsia" w:eastAsiaTheme="minorEastAsia" w:cstheme="minorEastAsia"/>
                <w:bCs/>
                <w:color w:val="auto"/>
                <w:sz w:val="24"/>
                <w:szCs w:val="24"/>
              </w:rPr>
            </w:pPr>
          </w:p>
        </w:tc>
        <w:tc>
          <w:tcPr>
            <w:tcW w:w="1984" w:type="dxa"/>
          </w:tcPr>
          <w:p w14:paraId="3AD47351">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r w14:paraId="243FDF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200" w:hRule="atLeast"/>
        </w:trPr>
        <w:tc>
          <w:tcPr>
            <w:tcW w:w="708" w:type="dxa"/>
            <w:vAlign w:val="center"/>
          </w:tcPr>
          <w:p w14:paraId="5F2BB90E">
            <w:pPr>
              <w:pStyle w:val="19"/>
              <w:snapToGrid w:val="0"/>
              <w:spacing w:beforeLines="0" w:afterLines="0" w:line="0" w:lineRule="atLeast"/>
              <w:jc w:val="center"/>
              <w:rPr>
                <w:rFonts w:hint="eastAsia" w:asciiTheme="minorEastAsia" w:hAnsiTheme="minorEastAsia" w:eastAsiaTheme="minorEastAsia" w:cstheme="minorEastAsia"/>
                <w:color w:val="auto"/>
                <w:kern w:val="2"/>
                <w:sz w:val="24"/>
                <w:szCs w:val="24"/>
                <w:lang w:val="en-US" w:eastAsia="zh-CN"/>
              </w:rPr>
            </w:pPr>
            <w:r>
              <w:rPr>
                <w:rFonts w:hint="eastAsia" w:asciiTheme="minorEastAsia" w:hAnsiTheme="minorEastAsia" w:eastAsiaTheme="minorEastAsia" w:cstheme="minorEastAsia"/>
                <w:color w:val="auto"/>
                <w:kern w:val="2"/>
                <w:sz w:val="24"/>
                <w:szCs w:val="24"/>
                <w:lang w:val="en-US" w:eastAsia="zh-CN"/>
              </w:rPr>
              <w:t>6</w:t>
            </w:r>
          </w:p>
        </w:tc>
        <w:tc>
          <w:tcPr>
            <w:tcW w:w="2513" w:type="dxa"/>
            <w:vAlign w:val="center"/>
          </w:tcPr>
          <w:p w14:paraId="193AD1E9">
            <w:pPr>
              <w:spacing w:line="0" w:lineRule="atLeast"/>
              <w:jc w:val="center"/>
              <w:rPr>
                <w:rFonts w:hint="eastAsia" w:asciiTheme="minorEastAsia" w:hAnsiTheme="minorEastAsia" w:eastAsiaTheme="minorEastAsia" w:cstheme="minorEastAsia"/>
                <w:color w:val="auto"/>
                <w:sz w:val="24"/>
                <w:szCs w:val="24"/>
              </w:rPr>
            </w:pPr>
          </w:p>
        </w:tc>
        <w:tc>
          <w:tcPr>
            <w:tcW w:w="4008" w:type="dxa"/>
            <w:vAlign w:val="center"/>
          </w:tcPr>
          <w:p w14:paraId="10AC356B">
            <w:pPr>
              <w:spacing w:line="0" w:lineRule="atLeast"/>
              <w:rPr>
                <w:rFonts w:hint="eastAsia" w:asciiTheme="minorEastAsia" w:hAnsiTheme="minorEastAsia" w:eastAsiaTheme="minorEastAsia" w:cstheme="minorEastAsia"/>
                <w:color w:val="auto"/>
                <w:sz w:val="24"/>
                <w:szCs w:val="24"/>
              </w:rPr>
            </w:pPr>
          </w:p>
        </w:tc>
        <w:tc>
          <w:tcPr>
            <w:tcW w:w="1984" w:type="dxa"/>
          </w:tcPr>
          <w:p w14:paraId="54B2E32B">
            <w:pPr>
              <w:pStyle w:val="19"/>
              <w:snapToGrid w:val="0"/>
              <w:spacing w:beforeLines="0" w:afterLines="0"/>
              <w:rPr>
                <w:rFonts w:hint="eastAsia" w:asciiTheme="minorEastAsia" w:hAnsiTheme="minorEastAsia" w:eastAsiaTheme="minorEastAsia" w:cstheme="minorEastAsia"/>
                <w:color w:val="auto"/>
                <w:sz w:val="24"/>
                <w:szCs w:val="24"/>
                <w:u w:val="single"/>
                <w:lang w:val="en-US" w:eastAsia="zh-CN"/>
              </w:rPr>
            </w:pPr>
          </w:p>
        </w:tc>
      </w:tr>
    </w:tbl>
    <w:p w14:paraId="318BA354">
      <w:pPr>
        <w:pStyle w:val="15"/>
        <w:spacing w:line="360" w:lineRule="auto"/>
        <w:ind w:left="464" w:hanging="464" w:hangingChars="200"/>
        <w:rPr>
          <w:rFonts w:hint="eastAsia" w:asciiTheme="minorEastAsia" w:hAnsiTheme="minorEastAsia" w:eastAsiaTheme="minorEastAsia" w:cstheme="minorEastAsia"/>
          <w:color w:val="auto"/>
          <w:sz w:val="24"/>
          <w:szCs w:val="24"/>
        </w:rPr>
      </w:pPr>
    </w:p>
    <w:p w14:paraId="12E02448">
      <w:pPr>
        <w:widowControl/>
        <w:spacing w:line="360" w:lineRule="auto"/>
        <w:jc w:val="left"/>
        <w:rPr>
          <w:rFonts w:hint="eastAsia" w:asciiTheme="minorEastAsia" w:hAnsiTheme="minorEastAsia" w:eastAsiaTheme="minorEastAsia" w:cstheme="minorEastAsia"/>
          <w:color w:val="auto"/>
          <w:sz w:val="24"/>
          <w:szCs w:val="24"/>
        </w:rPr>
      </w:pPr>
    </w:p>
    <w:p w14:paraId="46D5345C">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5FFB9FD0">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7D20E65D">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78474A41">
      <w:pPr>
        <w:snapToGrid w:val="0"/>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bookmarkEnd w:id="291"/>
      <w:r>
        <w:rPr>
          <w:rFonts w:hint="eastAsia" w:asciiTheme="minorEastAsia" w:hAnsiTheme="minorEastAsia" w:eastAsiaTheme="minorEastAsia" w:cstheme="minorEastAsia"/>
          <w:b/>
          <w:color w:val="auto"/>
          <w:sz w:val="24"/>
          <w:szCs w:val="24"/>
        </w:rPr>
        <w:t>技术条款偏离表</w:t>
      </w:r>
    </w:p>
    <w:p w14:paraId="17E72085">
      <w:pPr>
        <w:snapToGrid w:val="0"/>
        <w:spacing w:line="440" w:lineRule="exact"/>
        <w:ind w:firstLine="240" w:firstLineChars="1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项目名称：</w:t>
      </w:r>
    </w:p>
    <w:p w14:paraId="2D14D7E7">
      <w:pPr>
        <w:snapToGrid w:val="0"/>
        <w:spacing w:line="440" w:lineRule="exact"/>
        <w:ind w:firstLine="240"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t>项目编号：</w:t>
      </w:r>
    </w:p>
    <w:tbl>
      <w:tblPr>
        <w:tblStyle w:val="37"/>
        <w:tblW w:w="88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58"/>
        <w:gridCol w:w="3217"/>
        <w:gridCol w:w="3296"/>
        <w:gridCol w:w="1275"/>
      </w:tblGrid>
      <w:tr w14:paraId="685AC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670FF98A">
            <w:pPr>
              <w:autoSpaceDN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序号</w:t>
            </w:r>
          </w:p>
        </w:tc>
        <w:tc>
          <w:tcPr>
            <w:tcW w:w="3217" w:type="dxa"/>
            <w:vAlign w:val="center"/>
          </w:tcPr>
          <w:p w14:paraId="2D9DF772">
            <w:pPr>
              <w:autoSpaceDN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招标要求</w:t>
            </w:r>
          </w:p>
        </w:tc>
        <w:tc>
          <w:tcPr>
            <w:tcW w:w="3296" w:type="dxa"/>
            <w:vAlign w:val="center"/>
          </w:tcPr>
          <w:p w14:paraId="3C5FD45F">
            <w:pPr>
              <w:autoSpaceDN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投标响应</w:t>
            </w:r>
          </w:p>
        </w:tc>
        <w:tc>
          <w:tcPr>
            <w:tcW w:w="1275" w:type="dxa"/>
            <w:vAlign w:val="center"/>
          </w:tcPr>
          <w:p w14:paraId="08788B6F">
            <w:pPr>
              <w:autoSpaceDN w:val="0"/>
              <w:spacing w:line="440" w:lineRule="exact"/>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说明</w:t>
            </w:r>
          </w:p>
        </w:tc>
      </w:tr>
      <w:tr w14:paraId="6F7B5F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25B8C9D0">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2AC198BB">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7339A477">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11B98FE0">
            <w:pPr>
              <w:autoSpaceDN w:val="0"/>
              <w:spacing w:line="440" w:lineRule="exact"/>
              <w:jc w:val="center"/>
              <w:rPr>
                <w:rFonts w:hint="eastAsia" w:asciiTheme="minorEastAsia" w:hAnsiTheme="minorEastAsia" w:eastAsiaTheme="minorEastAsia" w:cstheme="minorEastAsia"/>
                <w:color w:val="auto"/>
                <w:sz w:val="24"/>
                <w:szCs w:val="24"/>
              </w:rPr>
            </w:pPr>
          </w:p>
        </w:tc>
      </w:tr>
      <w:tr w14:paraId="3CF6D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773092BB">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53611AAC">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5E1C964E">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6EBCE069">
            <w:pPr>
              <w:autoSpaceDN w:val="0"/>
              <w:spacing w:line="440" w:lineRule="exact"/>
              <w:jc w:val="center"/>
              <w:rPr>
                <w:rFonts w:hint="eastAsia" w:asciiTheme="minorEastAsia" w:hAnsiTheme="minorEastAsia" w:eastAsiaTheme="minorEastAsia" w:cstheme="minorEastAsia"/>
                <w:color w:val="auto"/>
                <w:sz w:val="24"/>
                <w:szCs w:val="24"/>
              </w:rPr>
            </w:pPr>
          </w:p>
        </w:tc>
      </w:tr>
      <w:tr w14:paraId="22142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7AEADE9D">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3F4A51F5">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03AF03D0">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023036CB">
            <w:pPr>
              <w:autoSpaceDN w:val="0"/>
              <w:spacing w:line="440" w:lineRule="exact"/>
              <w:jc w:val="center"/>
              <w:rPr>
                <w:rFonts w:hint="eastAsia" w:asciiTheme="minorEastAsia" w:hAnsiTheme="minorEastAsia" w:eastAsiaTheme="minorEastAsia" w:cstheme="minorEastAsia"/>
                <w:color w:val="auto"/>
                <w:sz w:val="24"/>
                <w:szCs w:val="24"/>
              </w:rPr>
            </w:pPr>
          </w:p>
        </w:tc>
      </w:tr>
      <w:tr w14:paraId="430B6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07C47FCB">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56B3F54B">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352ACC5A">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5A53066E">
            <w:pPr>
              <w:autoSpaceDN w:val="0"/>
              <w:spacing w:line="440" w:lineRule="exact"/>
              <w:jc w:val="center"/>
              <w:rPr>
                <w:rFonts w:hint="eastAsia" w:asciiTheme="minorEastAsia" w:hAnsiTheme="minorEastAsia" w:eastAsiaTheme="minorEastAsia" w:cstheme="minorEastAsia"/>
                <w:color w:val="auto"/>
                <w:sz w:val="24"/>
                <w:szCs w:val="24"/>
              </w:rPr>
            </w:pPr>
          </w:p>
        </w:tc>
      </w:tr>
      <w:tr w14:paraId="1409A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39414DBA">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7776207D">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090ECDA5">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0CC5FB7E">
            <w:pPr>
              <w:autoSpaceDN w:val="0"/>
              <w:spacing w:line="440" w:lineRule="exact"/>
              <w:jc w:val="center"/>
              <w:rPr>
                <w:rFonts w:hint="eastAsia" w:asciiTheme="minorEastAsia" w:hAnsiTheme="minorEastAsia" w:eastAsiaTheme="minorEastAsia" w:cstheme="minorEastAsia"/>
                <w:color w:val="auto"/>
                <w:sz w:val="24"/>
                <w:szCs w:val="24"/>
              </w:rPr>
            </w:pPr>
          </w:p>
        </w:tc>
      </w:tr>
      <w:tr w14:paraId="21118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32C5A4FB">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0745AF9C">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4CA4ADF0">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1C04EF37">
            <w:pPr>
              <w:autoSpaceDN w:val="0"/>
              <w:spacing w:line="440" w:lineRule="exact"/>
              <w:jc w:val="center"/>
              <w:rPr>
                <w:rFonts w:hint="eastAsia" w:asciiTheme="minorEastAsia" w:hAnsiTheme="minorEastAsia" w:eastAsiaTheme="minorEastAsia" w:cstheme="minorEastAsia"/>
                <w:color w:val="auto"/>
                <w:sz w:val="24"/>
                <w:szCs w:val="24"/>
              </w:rPr>
            </w:pPr>
          </w:p>
        </w:tc>
      </w:tr>
      <w:tr w14:paraId="7BBA16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56695B19">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4A8AAF61">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24CD43D8">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09658197">
            <w:pPr>
              <w:autoSpaceDN w:val="0"/>
              <w:spacing w:line="440" w:lineRule="exact"/>
              <w:jc w:val="center"/>
              <w:rPr>
                <w:rFonts w:hint="eastAsia" w:asciiTheme="minorEastAsia" w:hAnsiTheme="minorEastAsia" w:eastAsiaTheme="minorEastAsia" w:cstheme="minorEastAsia"/>
                <w:color w:val="auto"/>
                <w:sz w:val="24"/>
                <w:szCs w:val="24"/>
              </w:rPr>
            </w:pPr>
          </w:p>
        </w:tc>
      </w:tr>
      <w:tr w14:paraId="04F4E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3D951DD3">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4783AAD5">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416B36F1">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1F65865E">
            <w:pPr>
              <w:autoSpaceDN w:val="0"/>
              <w:spacing w:line="440" w:lineRule="exact"/>
              <w:jc w:val="center"/>
              <w:rPr>
                <w:rFonts w:hint="eastAsia" w:asciiTheme="minorEastAsia" w:hAnsiTheme="minorEastAsia" w:eastAsiaTheme="minorEastAsia" w:cstheme="minorEastAsia"/>
                <w:color w:val="auto"/>
                <w:sz w:val="24"/>
                <w:szCs w:val="24"/>
              </w:rPr>
            </w:pPr>
          </w:p>
        </w:tc>
      </w:tr>
      <w:tr w14:paraId="7C8FC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5D22B877">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3016055A">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09D8E9F1">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59879D12">
            <w:pPr>
              <w:autoSpaceDN w:val="0"/>
              <w:spacing w:line="440" w:lineRule="exact"/>
              <w:jc w:val="center"/>
              <w:rPr>
                <w:rFonts w:hint="eastAsia" w:asciiTheme="minorEastAsia" w:hAnsiTheme="minorEastAsia" w:eastAsiaTheme="minorEastAsia" w:cstheme="minorEastAsia"/>
                <w:color w:val="auto"/>
                <w:sz w:val="24"/>
                <w:szCs w:val="24"/>
              </w:rPr>
            </w:pPr>
          </w:p>
        </w:tc>
      </w:tr>
      <w:tr w14:paraId="7BDE3C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273FBE34">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3DF69EB0">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21843CFE">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328471A6">
            <w:pPr>
              <w:autoSpaceDN w:val="0"/>
              <w:spacing w:line="440" w:lineRule="exact"/>
              <w:jc w:val="center"/>
              <w:rPr>
                <w:rFonts w:hint="eastAsia" w:asciiTheme="minorEastAsia" w:hAnsiTheme="minorEastAsia" w:eastAsiaTheme="minorEastAsia" w:cstheme="minorEastAsia"/>
                <w:color w:val="auto"/>
                <w:sz w:val="24"/>
                <w:szCs w:val="24"/>
              </w:rPr>
            </w:pPr>
          </w:p>
        </w:tc>
      </w:tr>
      <w:tr w14:paraId="128BE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77335174">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788C1E28">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07ED7470">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29459BE3">
            <w:pPr>
              <w:autoSpaceDN w:val="0"/>
              <w:spacing w:line="440" w:lineRule="exact"/>
              <w:jc w:val="center"/>
              <w:rPr>
                <w:rFonts w:hint="eastAsia" w:asciiTheme="minorEastAsia" w:hAnsiTheme="minorEastAsia" w:eastAsiaTheme="minorEastAsia" w:cstheme="minorEastAsia"/>
                <w:color w:val="auto"/>
                <w:sz w:val="24"/>
                <w:szCs w:val="24"/>
              </w:rPr>
            </w:pPr>
          </w:p>
        </w:tc>
      </w:tr>
      <w:tr w14:paraId="29E7A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4ACFD3C0">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4B1DF82F">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19D1203E">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1EA50F8F">
            <w:pPr>
              <w:autoSpaceDN w:val="0"/>
              <w:spacing w:line="440" w:lineRule="exact"/>
              <w:jc w:val="center"/>
              <w:rPr>
                <w:rFonts w:hint="eastAsia" w:asciiTheme="minorEastAsia" w:hAnsiTheme="minorEastAsia" w:eastAsiaTheme="minorEastAsia" w:cstheme="minorEastAsia"/>
                <w:color w:val="auto"/>
                <w:sz w:val="24"/>
                <w:szCs w:val="24"/>
              </w:rPr>
            </w:pPr>
          </w:p>
        </w:tc>
      </w:tr>
      <w:tr w14:paraId="61FDE0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76B47B9C">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6443200F">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2BFFE634">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314E529C">
            <w:pPr>
              <w:autoSpaceDN w:val="0"/>
              <w:spacing w:line="440" w:lineRule="exact"/>
              <w:jc w:val="center"/>
              <w:rPr>
                <w:rFonts w:hint="eastAsia" w:asciiTheme="minorEastAsia" w:hAnsiTheme="minorEastAsia" w:eastAsiaTheme="minorEastAsia" w:cstheme="minorEastAsia"/>
                <w:color w:val="auto"/>
                <w:sz w:val="24"/>
                <w:szCs w:val="24"/>
              </w:rPr>
            </w:pPr>
          </w:p>
        </w:tc>
      </w:tr>
      <w:tr w14:paraId="73AD9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15EABA2A">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454EC6F2">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38688356">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5DDFBAE7">
            <w:pPr>
              <w:autoSpaceDN w:val="0"/>
              <w:spacing w:line="440" w:lineRule="exact"/>
              <w:jc w:val="center"/>
              <w:rPr>
                <w:rFonts w:hint="eastAsia" w:asciiTheme="minorEastAsia" w:hAnsiTheme="minorEastAsia" w:eastAsiaTheme="minorEastAsia" w:cstheme="minorEastAsia"/>
                <w:color w:val="auto"/>
                <w:sz w:val="24"/>
                <w:szCs w:val="24"/>
              </w:rPr>
            </w:pPr>
          </w:p>
        </w:tc>
      </w:tr>
      <w:tr w14:paraId="493F4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cantSplit/>
          <w:trHeight w:val="460" w:hRule="atLeast"/>
          <w:jc w:val="center"/>
        </w:trPr>
        <w:tc>
          <w:tcPr>
            <w:tcW w:w="1058" w:type="dxa"/>
            <w:vAlign w:val="center"/>
          </w:tcPr>
          <w:p w14:paraId="45A70962">
            <w:pPr>
              <w:autoSpaceDN w:val="0"/>
              <w:spacing w:line="440" w:lineRule="exact"/>
              <w:jc w:val="center"/>
              <w:rPr>
                <w:rFonts w:hint="eastAsia" w:asciiTheme="minorEastAsia" w:hAnsiTheme="minorEastAsia" w:eastAsiaTheme="minorEastAsia" w:cstheme="minorEastAsia"/>
                <w:color w:val="auto"/>
                <w:sz w:val="24"/>
                <w:szCs w:val="24"/>
              </w:rPr>
            </w:pPr>
          </w:p>
        </w:tc>
        <w:tc>
          <w:tcPr>
            <w:tcW w:w="3217" w:type="dxa"/>
            <w:vAlign w:val="center"/>
          </w:tcPr>
          <w:p w14:paraId="41E00976">
            <w:pPr>
              <w:autoSpaceDN w:val="0"/>
              <w:spacing w:line="440" w:lineRule="exact"/>
              <w:jc w:val="center"/>
              <w:rPr>
                <w:rFonts w:hint="eastAsia" w:asciiTheme="minorEastAsia" w:hAnsiTheme="minorEastAsia" w:eastAsiaTheme="minorEastAsia" w:cstheme="minorEastAsia"/>
                <w:color w:val="auto"/>
                <w:sz w:val="24"/>
                <w:szCs w:val="24"/>
              </w:rPr>
            </w:pPr>
          </w:p>
        </w:tc>
        <w:tc>
          <w:tcPr>
            <w:tcW w:w="3296" w:type="dxa"/>
            <w:vAlign w:val="center"/>
          </w:tcPr>
          <w:p w14:paraId="14467763">
            <w:pPr>
              <w:autoSpaceDN w:val="0"/>
              <w:spacing w:line="440" w:lineRule="exact"/>
              <w:jc w:val="center"/>
              <w:rPr>
                <w:rFonts w:hint="eastAsia" w:asciiTheme="minorEastAsia" w:hAnsiTheme="minorEastAsia" w:eastAsiaTheme="minorEastAsia" w:cstheme="minorEastAsia"/>
                <w:color w:val="auto"/>
                <w:sz w:val="24"/>
                <w:szCs w:val="24"/>
              </w:rPr>
            </w:pPr>
          </w:p>
        </w:tc>
        <w:tc>
          <w:tcPr>
            <w:tcW w:w="1275" w:type="dxa"/>
            <w:vAlign w:val="center"/>
          </w:tcPr>
          <w:p w14:paraId="690DF0F7">
            <w:pPr>
              <w:autoSpaceDN w:val="0"/>
              <w:spacing w:line="440" w:lineRule="exact"/>
              <w:jc w:val="center"/>
              <w:rPr>
                <w:rFonts w:hint="eastAsia" w:asciiTheme="minorEastAsia" w:hAnsiTheme="minorEastAsia" w:eastAsiaTheme="minorEastAsia" w:cstheme="minorEastAsia"/>
                <w:color w:val="auto"/>
                <w:sz w:val="24"/>
                <w:szCs w:val="24"/>
              </w:rPr>
            </w:pPr>
          </w:p>
        </w:tc>
      </w:tr>
    </w:tbl>
    <w:p w14:paraId="00E96112">
      <w:pPr>
        <w:pStyle w:val="15"/>
        <w:widowControl/>
        <w:spacing w:line="440" w:lineRule="exact"/>
        <w:ind w:firstLine="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注：由投标人根据第二章</w:t>
      </w:r>
      <w:r>
        <w:rPr>
          <w:rFonts w:hint="eastAsia" w:asciiTheme="minorEastAsia" w:hAnsiTheme="minorEastAsia" w:eastAsiaTheme="minorEastAsia" w:cstheme="minorEastAsia"/>
          <w:b/>
          <w:color w:val="auto"/>
          <w:sz w:val="24"/>
          <w:szCs w:val="24"/>
        </w:rPr>
        <w:t xml:space="preserve"> 采购需求 </w:t>
      </w:r>
      <w:r>
        <w:rPr>
          <w:rFonts w:hint="eastAsia" w:asciiTheme="minorEastAsia" w:hAnsiTheme="minorEastAsia" w:eastAsiaTheme="minorEastAsia" w:cstheme="minorEastAsia"/>
          <w:color w:val="auto"/>
          <w:sz w:val="24"/>
          <w:szCs w:val="24"/>
        </w:rPr>
        <w:t>进行响应，若均满足招标需求，请填写“招标需求均无偏离”。</w:t>
      </w:r>
    </w:p>
    <w:p w14:paraId="4272824C">
      <w:pPr>
        <w:snapToGrid w:val="0"/>
        <w:spacing w:line="440" w:lineRule="exact"/>
        <w:rPr>
          <w:rFonts w:hint="eastAsia" w:asciiTheme="minorEastAsia" w:hAnsiTheme="minorEastAsia" w:eastAsiaTheme="minorEastAsia" w:cstheme="minorEastAsia"/>
          <w:b/>
          <w:bCs/>
          <w:color w:val="auto"/>
          <w:sz w:val="24"/>
          <w:szCs w:val="24"/>
        </w:rPr>
      </w:pPr>
    </w:p>
    <w:p w14:paraId="3957ECEA">
      <w:pPr>
        <w:snapToGrid w:val="0"/>
        <w:spacing w:line="440" w:lineRule="exact"/>
        <w:rPr>
          <w:rFonts w:hint="eastAsia" w:asciiTheme="minorEastAsia" w:hAnsiTheme="minorEastAsia" w:eastAsiaTheme="minorEastAsia" w:cstheme="minorEastAsia"/>
          <w:b/>
          <w:bCs/>
          <w:color w:val="auto"/>
          <w:sz w:val="24"/>
          <w:szCs w:val="24"/>
        </w:rPr>
      </w:pPr>
    </w:p>
    <w:p w14:paraId="53D60EDD">
      <w:pPr>
        <w:widowControl/>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7F0AA7DA">
      <w:pPr>
        <w:pStyle w:val="15"/>
        <w:snapToGrid w:val="0"/>
        <w:spacing w:line="440" w:lineRule="exact"/>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571B6942">
      <w:pPr>
        <w:pStyle w:val="15"/>
        <w:widowControl/>
        <w:spacing w:line="440" w:lineRule="exact"/>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158A868A">
      <w:pPr>
        <w:spacing w:before="120" w:after="120"/>
        <w:jc w:val="center"/>
        <w:rPr>
          <w:rFonts w:hint="eastAsia" w:asciiTheme="minorEastAsia" w:hAnsiTheme="minorEastAsia" w:eastAsiaTheme="minorEastAsia" w:cstheme="minorEastAsia"/>
          <w:b/>
          <w:bCs/>
          <w:color w:val="auto"/>
          <w:spacing w:val="20"/>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类似项目业绩表</w:t>
      </w:r>
    </w:p>
    <w:p w14:paraId="3A242FFB">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p w14:paraId="62C3D140">
      <w:pPr>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项目编号：</w:t>
      </w:r>
    </w:p>
    <w:tbl>
      <w:tblPr>
        <w:tblStyle w:val="37"/>
        <w:tblW w:w="8950"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431"/>
        <w:gridCol w:w="1932"/>
        <w:gridCol w:w="2028"/>
        <w:gridCol w:w="1143"/>
        <w:gridCol w:w="1561"/>
        <w:gridCol w:w="1855"/>
      </w:tblGrid>
      <w:tr w14:paraId="6E26F7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05" w:hRule="atLeast"/>
          <w:jc w:val="center"/>
        </w:trPr>
        <w:tc>
          <w:tcPr>
            <w:tcW w:w="431" w:type="dxa"/>
            <w:tcBorders>
              <w:top w:val="single" w:color="auto" w:sz="4" w:space="0"/>
              <w:bottom w:val="single" w:color="auto" w:sz="4" w:space="0"/>
            </w:tcBorders>
            <w:tcMar>
              <w:left w:w="0" w:type="dxa"/>
              <w:right w:w="0" w:type="dxa"/>
            </w:tcMar>
            <w:vAlign w:val="center"/>
          </w:tcPr>
          <w:p w14:paraId="7D2A82AB">
            <w:pPr>
              <w:spacing w:line="0" w:lineRule="atLeast"/>
              <w:ind w:left="-115" w:right="-107"/>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932" w:type="dxa"/>
            <w:tcBorders>
              <w:top w:val="single" w:color="auto" w:sz="4" w:space="0"/>
              <w:bottom w:val="single" w:color="auto" w:sz="4" w:space="0"/>
            </w:tcBorders>
            <w:tcMar>
              <w:left w:w="0" w:type="dxa"/>
              <w:right w:w="0" w:type="dxa"/>
            </w:tcMar>
            <w:vAlign w:val="center"/>
          </w:tcPr>
          <w:p w14:paraId="2212499D">
            <w:pPr>
              <w:spacing w:line="0" w:lineRule="atLeas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2028" w:type="dxa"/>
            <w:tcBorders>
              <w:top w:val="single" w:color="auto" w:sz="4" w:space="0"/>
              <w:bottom w:val="single" w:color="auto" w:sz="4" w:space="0"/>
            </w:tcBorders>
            <w:tcMar>
              <w:left w:w="0" w:type="dxa"/>
              <w:right w:w="0" w:type="dxa"/>
            </w:tcMar>
            <w:vAlign w:val="center"/>
          </w:tcPr>
          <w:p w14:paraId="41BB52BF">
            <w:pPr>
              <w:spacing w:line="0" w:lineRule="atLeast"/>
              <w:ind w:left="-115" w:right="-107"/>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用户名称</w:t>
            </w:r>
          </w:p>
        </w:tc>
        <w:tc>
          <w:tcPr>
            <w:tcW w:w="1143" w:type="dxa"/>
            <w:tcBorders>
              <w:top w:val="single" w:color="auto" w:sz="4" w:space="0"/>
              <w:bottom w:val="single" w:color="auto" w:sz="4" w:space="0"/>
            </w:tcBorders>
            <w:tcMar>
              <w:left w:w="0" w:type="dxa"/>
              <w:right w:w="0" w:type="dxa"/>
            </w:tcMar>
            <w:vAlign w:val="center"/>
          </w:tcPr>
          <w:p w14:paraId="748FC08A">
            <w:pPr>
              <w:spacing w:line="0" w:lineRule="atLeast"/>
              <w:ind w:left="-115" w:right="-107"/>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合同金额</w:t>
            </w:r>
          </w:p>
        </w:tc>
        <w:tc>
          <w:tcPr>
            <w:tcW w:w="1561" w:type="dxa"/>
            <w:tcBorders>
              <w:top w:val="single" w:color="auto" w:sz="4" w:space="0"/>
              <w:bottom w:val="single" w:color="auto" w:sz="4" w:space="0"/>
            </w:tcBorders>
            <w:tcMar>
              <w:left w:w="0" w:type="dxa"/>
              <w:right w:w="0" w:type="dxa"/>
            </w:tcMar>
            <w:vAlign w:val="center"/>
          </w:tcPr>
          <w:p w14:paraId="0619A639">
            <w:pPr>
              <w:spacing w:line="0" w:lineRule="atLeast"/>
              <w:ind w:left="-115" w:right="-107"/>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合同签订时间</w:t>
            </w:r>
          </w:p>
        </w:tc>
        <w:tc>
          <w:tcPr>
            <w:tcW w:w="1855" w:type="dxa"/>
            <w:tcBorders>
              <w:top w:val="single" w:color="auto" w:sz="4" w:space="0"/>
              <w:bottom w:val="single" w:color="auto" w:sz="4" w:space="0"/>
            </w:tcBorders>
            <w:tcMar>
              <w:left w:w="0" w:type="dxa"/>
              <w:right w:w="0" w:type="dxa"/>
            </w:tcMar>
            <w:vAlign w:val="center"/>
          </w:tcPr>
          <w:p w14:paraId="5EC9ED65">
            <w:pPr>
              <w:spacing w:line="0" w:lineRule="atLeast"/>
              <w:ind w:left="-115" w:right="-107"/>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联系人/电话</w:t>
            </w:r>
          </w:p>
        </w:tc>
      </w:tr>
      <w:tr w14:paraId="6411A3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Borders>
              <w:top w:val="single" w:color="auto" w:sz="4" w:space="0"/>
            </w:tcBorders>
            <w:tcMar>
              <w:left w:w="0" w:type="dxa"/>
              <w:right w:w="0" w:type="dxa"/>
            </w:tcMar>
            <w:vAlign w:val="center"/>
          </w:tcPr>
          <w:p w14:paraId="237E84A7">
            <w:pPr>
              <w:spacing w:line="0" w:lineRule="atLeast"/>
              <w:jc w:val="center"/>
              <w:rPr>
                <w:rFonts w:hint="eastAsia" w:asciiTheme="minorEastAsia" w:hAnsiTheme="minorEastAsia" w:eastAsiaTheme="minorEastAsia" w:cstheme="minorEastAsia"/>
                <w:color w:val="auto"/>
                <w:sz w:val="24"/>
                <w:szCs w:val="24"/>
              </w:rPr>
            </w:pPr>
          </w:p>
        </w:tc>
        <w:tc>
          <w:tcPr>
            <w:tcW w:w="1932" w:type="dxa"/>
            <w:tcBorders>
              <w:top w:val="single" w:color="auto" w:sz="4" w:space="0"/>
            </w:tcBorders>
            <w:tcMar>
              <w:left w:w="0" w:type="dxa"/>
              <w:right w:w="0" w:type="dxa"/>
            </w:tcMar>
            <w:vAlign w:val="center"/>
          </w:tcPr>
          <w:p w14:paraId="355AA870">
            <w:pPr>
              <w:spacing w:line="0" w:lineRule="atLeast"/>
              <w:jc w:val="center"/>
              <w:rPr>
                <w:rFonts w:hint="eastAsia" w:asciiTheme="minorEastAsia" w:hAnsiTheme="minorEastAsia" w:eastAsiaTheme="minorEastAsia" w:cstheme="minorEastAsia"/>
                <w:color w:val="auto"/>
                <w:sz w:val="24"/>
                <w:szCs w:val="24"/>
              </w:rPr>
            </w:pPr>
          </w:p>
        </w:tc>
        <w:tc>
          <w:tcPr>
            <w:tcW w:w="2028" w:type="dxa"/>
            <w:tcBorders>
              <w:top w:val="single" w:color="auto" w:sz="4" w:space="0"/>
            </w:tcBorders>
            <w:tcMar>
              <w:left w:w="0" w:type="dxa"/>
              <w:right w:w="0" w:type="dxa"/>
            </w:tcMar>
            <w:vAlign w:val="center"/>
          </w:tcPr>
          <w:p w14:paraId="435ABF56">
            <w:pPr>
              <w:spacing w:line="0" w:lineRule="atLeast"/>
              <w:jc w:val="center"/>
              <w:rPr>
                <w:rFonts w:hint="eastAsia" w:asciiTheme="minorEastAsia" w:hAnsiTheme="minorEastAsia" w:eastAsiaTheme="minorEastAsia" w:cstheme="minorEastAsia"/>
                <w:color w:val="auto"/>
                <w:sz w:val="24"/>
                <w:szCs w:val="24"/>
              </w:rPr>
            </w:pPr>
          </w:p>
        </w:tc>
        <w:tc>
          <w:tcPr>
            <w:tcW w:w="1143" w:type="dxa"/>
            <w:tcBorders>
              <w:top w:val="single" w:color="auto" w:sz="4" w:space="0"/>
            </w:tcBorders>
            <w:tcMar>
              <w:left w:w="0" w:type="dxa"/>
              <w:right w:w="0" w:type="dxa"/>
            </w:tcMar>
            <w:vAlign w:val="center"/>
          </w:tcPr>
          <w:p w14:paraId="6176FCBB">
            <w:pPr>
              <w:spacing w:line="0" w:lineRule="atLeast"/>
              <w:jc w:val="center"/>
              <w:rPr>
                <w:rFonts w:hint="eastAsia" w:asciiTheme="minorEastAsia" w:hAnsiTheme="minorEastAsia" w:eastAsiaTheme="minorEastAsia" w:cstheme="minorEastAsia"/>
                <w:color w:val="auto"/>
                <w:sz w:val="24"/>
                <w:szCs w:val="24"/>
              </w:rPr>
            </w:pPr>
          </w:p>
        </w:tc>
        <w:tc>
          <w:tcPr>
            <w:tcW w:w="1561" w:type="dxa"/>
            <w:tcBorders>
              <w:top w:val="single" w:color="auto" w:sz="4" w:space="0"/>
            </w:tcBorders>
            <w:tcMar>
              <w:left w:w="0" w:type="dxa"/>
              <w:right w:w="0" w:type="dxa"/>
            </w:tcMar>
            <w:vAlign w:val="center"/>
          </w:tcPr>
          <w:p w14:paraId="458E5762">
            <w:pPr>
              <w:spacing w:line="0" w:lineRule="atLeast"/>
              <w:jc w:val="center"/>
              <w:rPr>
                <w:rFonts w:hint="eastAsia" w:asciiTheme="minorEastAsia" w:hAnsiTheme="minorEastAsia" w:eastAsiaTheme="minorEastAsia" w:cstheme="minorEastAsia"/>
                <w:color w:val="auto"/>
                <w:sz w:val="24"/>
                <w:szCs w:val="24"/>
              </w:rPr>
            </w:pPr>
          </w:p>
        </w:tc>
        <w:tc>
          <w:tcPr>
            <w:tcW w:w="1855" w:type="dxa"/>
            <w:tcBorders>
              <w:top w:val="single" w:color="auto" w:sz="4" w:space="0"/>
            </w:tcBorders>
            <w:tcMar>
              <w:left w:w="0" w:type="dxa"/>
              <w:right w:w="0" w:type="dxa"/>
            </w:tcMar>
            <w:vAlign w:val="center"/>
          </w:tcPr>
          <w:p w14:paraId="6E9AD4CC">
            <w:pPr>
              <w:spacing w:line="0" w:lineRule="atLeast"/>
              <w:jc w:val="center"/>
              <w:rPr>
                <w:rFonts w:hint="eastAsia" w:asciiTheme="minorEastAsia" w:hAnsiTheme="minorEastAsia" w:eastAsiaTheme="minorEastAsia" w:cstheme="minorEastAsia"/>
                <w:color w:val="auto"/>
                <w:sz w:val="24"/>
                <w:szCs w:val="24"/>
              </w:rPr>
            </w:pPr>
          </w:p>
        </w:tc>
      </w:tr>
      <w:tr w14:paraId="58E605D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515B6769">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1C7AE696">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15A59EE4">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2F7E0C5B">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5A7F20A1">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4725C954">
            <w:pPr>
              <w:spacing w:line="0" w:lineRule="atLeast"/>
              <w:jc w:val="center"/>
              <w:rPr>
                <w:rFonts w:hint="eastAsia" w:asciiTheme="minorEastAsia" w:hAnsiTheme="minorEastAsia" w:eastAsiaTheme="minorEastAsia" w:cstheme="minorEastAsia"/>
                <w:color w:val="auto"/>
                <w:sz w:val="24"/>
                <w:szCs w:val="24"/>
              </w:rPr>
            </w:pPr>
          </w:p>
        </w:tc>
      </w:tr>
      <w:tr w14:paraId="5471F93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7BEBB0D2">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67234704">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2D3D41B2">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2384367A">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643825AA">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3468AD84">
            <w:pPr>
              <w:spacing w:line="0" w:lineRule="atLeast"/>
              <w:jc w:val="center"/>
              <w:rPr>
                <w:rFonts w:hint="eastAsia" w:asciiTheme="minorEastAsia" w:hAnsiTheme="minorEastAsia" w:eastAsiaTheme="minorEastAsia" w:cstheme="minorEastAsia"/>
                <w:color w:val="auto"/>
                <w:sz w:val="24"/>
                <w:szCs w:val="24"/>
              </w:rPr>
            </w:pPr>
          </w:p>
        </w:tc>
      </w:tr>
      <w:tr w14:paraId="077217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1119BA70">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107CC2CF">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037CBCEB">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17544168">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545718CB">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0BC77617">
            <w:pPr>
              <w:spacing w:line="0" w:lineRule="atLeast"/>
              <w:jc w:val="center"/>
              <w:rPr>
                <w:rFonts w:hint="eastAsia" w:asciiTheme="minorEastAsia" w:hAnsiTheme="minorEastAsia" w:eastAsiaTheme="minorEastAsia" w:cstheme="minorEastAsia"/>
                <w:color w:val="auto"/>
                <w:sz w:val="24"/>
                <w:szCs w:val="24"/>
              </w:rPr>
            </w:pPr>
          </w:p>
        </w:tc>
      </w:tr>
      <w:tr w14:paraId="44C327E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0EB16110">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14EBA0B2">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6D6B5199">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6DB6FBA3">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65581319">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6C74E833">
            <w:pPr>
              <w:spacing w:line="0" w:lineRule="atLeast"/>
              <w:jc w:val="center"/>
              <w:rPr>
                <w:rFonts w:hint="eastAsia" w:asciiTheme="minorEastAsia" w:hAnsiTheme="minorEastAsia" w:eastAsiaTheme="minorEastAsia" w:cstheme="minorEastAsia"/>
                <w:color w:val="auto"/>
                <w:sz w:val="24"/>
                <w:szCs w:val="24"/>
              </w:rPr>
            </w:pPr>
          </w:p>
        </w:tc>
      </w:tr>
      <w:tr w14:paraId="6F5A4E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5AABBAEF">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23787ACB">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2BEA0154">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329F00CB">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153D577B">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70ED4EF9">
            <w:pPr>
              <w:spacing w:line="0" w:lineRule="atLeast"/>
              <w:jc w:val="center"/>
              <w:rPr>
                <w:rFonts w:hint="eastAsia" w:asciiTheme="minorEastAsia" w:hAnsiTheme="minorEastAsia" w:eastAsiaTheme="minorEastAsia" w:cstheme="minorEastAsia"/>
                <w:color w:val="auto"/>
                <w:sz w:val="24"/>
                <w:szCs w:val="24"/>
              </w:rPr>
            </w:pPr>
          </w:p>
        </w:tc>
      </w:tr>
      <w:tr w14:paraId="6924A6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0BC0845E">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4F318EEE">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57D310AC">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4EDEF8F1">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67B2B0C4">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5AD61ACD">
            <w:pPr>
              <w:spacing w:line="0" w:lineRule="atLeast"/>
              <w:jc w:val="center"/>
              <w:rPr>
                <w:rFonts w:hint="eastAsia" w:asciiTheme="minorEastAsia" w:hAnsiTheme="minorEastAsia" w:eastAsiaTheme="minorEastAsia" w:cstheme="minorEastAsia"/>
                <w:color w:val="auto"/>
                <w:sz w:val="24"/>
                <w:szCs w:val="24"/>
              </w:rPr>
            </w:pPr>
          </w:p>
        </w:tc>
      </w:tr>
      <w:tr w14:paraId="15B50E3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71C439BF">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5A7ED3BE">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5D5F4EBF">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39CED9A8">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202F4C16">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599D5CD3">
            <w:pPr>
              <w:spacing w:line="0" w:lineRule="atLeast"/>
              <w:jc w:val="center"/>
              <w:rPr>
                <w:rFonts w:hint="eastAsia" w:asciiTheme="minorEastAsia" w:hAnsiTheme="minorEastAsia" w:eastAsiaTheme="minorEastAsia" w:cstheme="minorEastAsia"/>
                <w:color w:val="auto"/>
                <w:sz w:val="24"/>
                <w:szCs w:val="24"/>
              </w:rPr>
            </w:pPr>
          </w:p>
        </w:tc>
      </w:tr>
      <w:tr w14:paraId="24F3500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235BE46C">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69A07E58">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23993B67">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7B04DEC4">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038C9D9C">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3DB4C219">
            <w:pPr>
              <w:spacing w:line="0" w:lineRule="atLeast"/>
              <w:jc w:val="center"/>
              <w:rPr>
                <w:rFonts w:hint="eastAsia" w:asciiTheme="minorEastAsia" w:hAnsiTheme="minorEastAsia" w:eastAsiaTheme="minorEastAsia" w:cstheme="minorEastAsia"/>
                <w:color w:val="auto"/>
                <w:sz w:val="24"/>
                <w:szCs w:val="24"/>
              </w:rPr>
            </w:pPr>
          </w:p>
        </w:tc>
      </w:tr>
      <w:tr w14:paraId="4DAE8A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43F754D8">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5A76ED09">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5A558F5D">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1051E561">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3CB8D754">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3324B5E0">
            <w:pPr>
              <w:spacing w:line="0" w:lineRule="atLeast"/>
              <w:jc w:val="center"/>
              <w:rPr>
                <w:rFonts w:hint="eastAsia" w:asciiTheme="minorEastAsia" w:hAnsiTheme="minorEastAsia" w:eastAsiaTheme="minorEastAsia" w:cstheme="minorEastAsia"/>
                <w:color w:val="auto"/>
                <w:sz w:val="24"/>
                <w:szCs w:val="24"/>
              </w:rPr>
            </w:pPr>
          </w:p>
        </w:tc>
      </w:tr>
      <w:tr w14:paraId="1FB698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718" w:hRule="atLeast"/>
          <w:jc w:val="center"/>
        </w:trPr>
        <w:tc>
          <w:tcPr>
            <w:tcW w:w="431" w:type="dxa"/>
            <w:tcMar>
              <w:left w:w="0" w:type="dxa"/>
              <w:right w:w="0" w:type="dxa"/>
            </w:tcMar>
            <w:vAlign w:val="center"/>
          </w:tcPr>
          <w:p w14:paraId="6BD22476">
            <w:pPr>
              <w:spacing w:line="0" w:lineRule="atLeast"/>
              <w:jc w:val="center"/>
              <w:rPr>
                <w:rFonts w:hint="eastAsia" w:asciiTheme="minorEastAsia" w:hAnsiTheme="minorEastAsia" w:eastAsiaTheme="minorEastAsia" w:cstheme="minorEastAsia"/>
                <w:color w:val="auto"/>
                <w:sz w:val="24"/>
                <w:szCs w:val="24"/>
              </w:rPr>
            </w:pPr>
          </w:p>
        </w:tc>
        <w:tc>
          <w:tcPr>
            <w:tcW w:w="1932" w:type="dxa"/>
            <w:tcMar>
              <w:left w:w="0" w:type="dxa"/>
              <w:right w:w="0" w:type="dxa"/>
            </w:tcMar>
            <w:vAlign w:val="center"/>
          </w:tcPr>
          <w:p w14:paraId="6A7D9D7D">
            <w:pPr>
              <w:spacing w:line="0" w:lineRule="atLeast"/>
              <w:jc w:val="center"/>
              <w:rPr>
                <w:rFonts w:hint="eastAsia" w:asciiTheme="minorEastAsia" w:hAnsiTheme="minorEastAsia" w:eastAsiaTheme="minorEastAsia" w:cstheme="minorEastAsia"/>
                <w:color w:val="auto"/>
                <w:sz w:val="24"/>
                <w:szCs w:val="24"/>
              </w:rPr>
            </w:pPr>
          </w:p>
        </w:tc>
        <w:tc>
          <w:tcPr>
            <w:tcW w:w="2028" w:type="dxa"/>
            <w:tcMar>
              <w:left w:w="0" w:type="dxa"/>
              <w:right w:w="0" w:type="dxa"/>
            </w:tcMar>
            <w:vAlign w:val="center"/>
          </w:tcPr>
          <w:p w14:paraId="53F561EC">
            <w:pPr>
              <w:spacing w:line="0" w:lineRule="atLeast"/>
              <w:jc w:val="center"/>
              <w:rPr>
                <w:rFonts w:hint="eastAsia" w:asciiTheme="minorEastAsia" w:hAnsiTheme="minorEastAsia" w:eastAsiaTheme="minorEastAsia" w:cstheme="minorEastAsia"/>
                <w:color w:val="auto"/>
                <w:sz w:val="24"/>
                <w:szCs w:val="24"/>
              </w:rPr>
            </w:pPr>
          </w:p>
        </w:tc>
        <w:tc>
          <w:tcPr>
            <w:tcW w:w="1143" w:type="dxa"/>
            <w:tcMar>
              <w:left w:w="0" w:type="dxa"/>
              <w:right w:w="0" w:type="dxa"/>
            </w:tcMar>
            <w:vAlign w:val="center"/>
          </w:tcPr>
          <w:p w14:paraId="059C81DB">
            <w:pPr>
              <w:spacing w:line="0" w:lineRule="atLeast"/>
              <w:jc w:val="center"/>
              <w:rPr>
                <w:rFonts w:hint="eastAsia" w:asciiTheme="minorEastAsia" w:hAnsiTheme="minorEastAsia" w:eastAsiaTheme="minorEastAsia" w:cstheme="minorEastAsia"/>
                <w:color w:val="auto"/>
                <w:sz w:val="24"/>
                <w:szCs w:val="24"/>
              </w:rPr>
            </w:pPr>
          </w:p>
        </w:tc>
        <w:tc>
          <w:tcPr>
            <w:tcW w:w="1561" w:type="dxa"/>
            <w:tcMar>
              <w:left w:w="0" w:type="dxa"/>
              <w:right w:w="0" w:type="dxa"/>
            </w:tcMar>
            <w:vAlign w:val="center"/>
          </w:tcPr>
          <w:p w14:paraId="36D1986F">
            <w:pPr>
              <w:spacing w:line="0" w:lineRule="atLeast"/>
              <w:jc w:val="center"/>
              <w:rPr>
                <w:rFonts w:hint="eastAsia" w:asciiTheme="minorEastAsia" w:hAnsiTheme="minorEastAsia" w:eastAsiaTheme="minorEastAsia" w:cstheme="minorEastAsia"/>
                <w:color w:val="auto"/>
                <w:sz w:val="24"/>
                <w:szCs w:val="24"/>
              </w:rPr>
            </w:pPr>
          </w:p>
        </w:tc>
        <w:tc>
          <w:tcPr>
            <w:tcW w:w="1855" w:type="dxa"/>
            <w:tcMar>
              <w:left w:w="0" w:type="dxa"/>
              <w:right w:w="0" w:type="dxa"/>
            </w:tcMar>
            <w:vAlign w:val="center"/>
          </w:tcPr>
          <w:p w14:paraId="637ACC99">
            <w:pPr>
              <w:spacing w:line="0" w:lineRule="atLeast"/>
              <w:jc w:val="center"/>
              <w:rPr>
                <w:rFonts w:hint="eastAsia" w:asciiTheme="minorEastAsia" w:hAnsiTheme="minorEastAsia" w:eastAsiaTheme="minorEastAsia" w:cstheme="minorEastAsia"/>
                <w:color w:val="auto"/>
                <w:sz w:val="24"/>
                <w:szCs w:val="24"/>
              </w:rPr>
            </w:pPr>
          </w:p>
        </w:tc>
      </w:tr>
    </w:tbl>
    <w:p w14:paraId="77D827E4">
      <w:pPr>
        <w:spacing w:line="0" w:lineRule="atLeast"/>
        <w:rPr>
          <w:rFonts w:hint="eastAsia" w:asciiTheme="minorEastAsia" w:hAnsiTheme="minorEastAsia" w:eastAsiaTheme="minorEastAsia" w:cstheme="minorEastAsia"/>
          <w:color w:val="auto"/>
          <w:sz w:val="24"/>
          <w:szCs w:val="24"/>
        </w:rPr>
      </w:pPr>
    </w:p>
    <w:p w14:paraId="00A9CA1E">
      <w:pPr>
        <w:spacing w:line="0" w:lineRule="atLeast"/>
        <w:rPr>
          <w:rFonts w:hint="eastAsia" w:asciiTheme="minorEastAsia" w:hAnsiTheme="minorEastAsia" w:eastAsiaTheme="minorEastAsia" w:cstheme="minorEastAsia"/>
          <w:color w:val="auto"/>
          <w:sz w:val="24"/>
          <w:szCs w:val="24"/>
        </w:rPr>
      </w:pPr>
    </w:p>
    <w:p w14:paraId="6C79DF9A">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6ABAD884">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113659A0">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2B1DD201">
      <w:pPr>
        <w:spacing w:before="120" w:after="120"/>
        <w:jc w:val="center"/>
        <w:rPr>
          <w:rFonts w:hint="eastAsia" w:asciiTheme="minorEastAsia" w:hAnsiTheme="minorEastAsia" w:eastAsiaTheme="minorEastAsia" w:cstheme="minorEastAsia"/>
          <w:b/>
          <w:bCs/>
          <w:color w:val="auto"/>
          <w:spacing w:val="20"/>
          <w:sz w:val="24"/>
          <w:szCs w:val="24"/>
        </w:rPr>
      </w:pPr>
      <w:r>
        <w:rPr>
          <w:rFonts w:hint="eastAsia" w:asciiTheme="minorEastAsia" w:hAnsiTheme="minorEastAsia" w:eastAsiaTheme="minorEastAsia" w:cstheme="minorEastAsia"/>
          <w:b/>
          <w:color w:val="auto"/>
          <w:sz w:val="24"/>
          <w:szCs w:val="24"/>
        </w:rPr>
        <w:br w:type="page"/>
      </w:r>
      <w:r>
        <w:rPr>
          <w:rFonts w:hint="eastAsia" w:asciiTheme="minorEastAsia" w:hAnsiTheme="minorEastAsia" w:eastAsiaTheme="minorEastAsia" w:cstheme="minorEastAsia"/>
          <w:b/>
          <w:color w:val="auto"/>
          <w:sz w:val="24"/>
          <w:szCs w:val="24"/>
        </w:rPr>
        <w:t>项目负责人简历表</w:t>
      </w:r>
    </w:p>
    <w:tbl>
      <w:tblPr>
        <w:tblStyle w:val="37"/>
        <w:tblW w:w="8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508"/>
        <w:gridCol w:w="720"/>
        <w:gridCol w:w="193"/>
        <w:gridCol w:w="1420"/>
        <w:gridCol w:w="1420"/>
        <w:gridCol w:w="1797"/>
      </w:tblGrid>
      <w:tr w14:paraId="3DB9C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155CDF39">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    名</w:t>
            </w:r>
          </w:p>
        </w:tc>
        <w:tc>
          <w:tcPr>
            <w:tcW w:w="1420" w:type="dxa"/>
          </w:tcPr>
          <w:p w14:paraId="3E7203EC">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21" w:type="dxa"/>
            <w:gridSpan w:val="3"/>
          </w:tcPr>
          <w:p w14:paraId="28901655">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性   别</w:t>
            </w:r>
          </w:p>
        </w:tc>
        <w:tc>
          <w:tcPr>
            <w:tcW w:w="1420" w:type="dxa"/>
          </w:tcPr>
          <w:p w14:paraId="61F9279D">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20" w:type="dxa"/>
          </w:tcPr>
          <w:p w14:paraId="48A31A42">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出生年月</w:t>
            </w:r>
          </w:p>
        </w:tc>
        <w:tc>
          <w:tcPr>
            <w:tcW w:w="1797" w:type="dxa"/>
          </w:tcPr>
          <w:p w14:paraId="62EE23B6">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4193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252F2DB3">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    业</w:t>
            </w:r>
          </w:p>
        </w:tc>
        <w:tc>
          <w:tcPr>
            <w:tcW w:w="1420" w:type="dxa"/>
          </w:tcPr>
          <w:p w14:paraId="4A52222F">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21" w:type="dxa"/>
            <w:gridSpan w:val="3"/>
          </w:tcPr>
          <w:p w14:paraId="6C0A28D9">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学   历</w:t>
            </w:r>
          </w:p>
        </w:tc>
        <w:tc>
          <w:tcPr>
            <w:tcW w:w="1420" w:type="dxa"/>
          </w:tcPr>
          <w:p w14:paraId="5501C7C4">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20" w:type="dxa"/>
          </w:tcPr>
          <w:p w14:paraId="732E20F2">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     称</w:t>
            </w:r>
          </w:p>
        </w:tc>
        <w:tc>
          <w:tcPr>
            <w:tcW w:w="1797" w:type="dxa"/>
          </w:tcPr>
          <w:p w14:paraId="10C17470">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2B69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316AC3D8">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何时参加工作</w:t>
            </w:r>
          </w:p>
        </w:tc>
        <w:tc>
          <w:tcPr>
            <w:tcW w:w="7478" w:type="dxa"/>
            <w:gridSpan w:val="7"/>
          </w:tcPr>
          <w:p w14:paraId="69F5BDE9">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67B9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268B0D5F">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何时进入公司</w:t>
            </w:r>
          </w:p>
        </w:tc>
        <w:tc>
          <w:tcPr>
            <w:tcW w:w="7478" w:type="dxa"/>
            <w:gridSpan w:val="7"/>
          </w:tcPr>
          <w:p w14:paraId="489F9B50">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0770C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0C4C0B1E">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从事项目年限</w:t>
            </w:r>
          </w:p>
        </w:tc>
        <w:tc>
          <w:tcPr>
            <w:tcW w:w="7478" w:type="dxa"/>
            <w:gridSpan w:val="7"/>
          </w:tcPr>
          <w:p w14:paraId="6A32B8F1">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0CA8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8898" w:type="dxa"/>
            <w:gridSpan w:val="8"/>
          </w:tcPr>
          <w:p w14:paraId="5D11B36C">
            <w:pPr>
              <w:spacing w:line="500" w:lineRule="exact"/>
              <w:ind w:right="25" w:rightChars="12"/>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工作简历</w:t>
            </w:r>
          </w:p>
        </w:tc>
      </w:tr>
      <w:tr w14:paraId="272A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2E236143">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业主单位</w:t>
            </w:r>
          </w:p>
        </w:tc>
        <w:tc>
          <w:tcPr>
            <w:tcW w:w="1928" w:type="dxa"/>
            <w:gridSpan w:val="2"/>
          </w:tcPr>
          <w:p w14:paraId="2D378D81">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720" w:type="dxa"/>
          </w:tcPr>
          <w:p w14:paraId="21A4D4CE">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规模</w:t>
            </w:r>
          </w:p>
        </w:tc>
        <w:tc>
          <w:tcPr>
            <w:tcW w:w="1613" w:type="dxa"/>
            <w:gridSpan w:val="2"/>
          </w:tcPr>
          <w:p w14:paraId="61346920">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合同时间</w:t>
            </w:r>
          </w:p>
        </w:tc>
        <w:tc>
          <w:tcPr>
            <w:tcW w:w="3217" w:type="dxa"/>
            <w:gridSpan w:val="2"/>
          </w:tcPr>
          <w:p w14:paraId="23502F20">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管理业绩</w:t>
            </w:r>
          </w:p>
        </w:tc>
      </w:tr>
      <w:tr w14:paraId="10FA0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7DA0E74B">
            <w:pPr>
              <w:spacing w:line="360" w:lineRule="auto"/>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07128815">
            <w:pPr>
              <w:spacing w:line="360" w:lineRule="auto"/>
              <w:ind w:right="25" w:rightChars="12"/>
              <w:jc w:val="center"/>
              <w:rPr>
                <w:rFonts w:hint="eastAsia" w:asciiTheme="minorEastAsia" w:hAnsiTheme="minorEastAsia" w:eastAsiaTheme="minorEastAsia" w:cstheme="minorEastAsia"/>
                <w:b/>
                <w:color w:val="auto"/>
                <w:sz w:val="24"/>
                <w:szCs w:val="24"/>
              </w:rPr>
            </w:pPr>
          </w:p>
        </w:tc>
        <w:tc>
          <w:tcPr>
            <w:tcW w:w="720" w:type="dxa"/>
          </w:tcPr>
          <w:p w14:paraId="4143C736">
            <w:pPr>
              <w:spacing w:line="360" w:lineRule="auto"/>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55AB5D3E">
            <w:pPr>
              <w:spacing w:line="360" w:lineRule="auto"/>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743078BF">
            <w:pPr>
              <w:spacing w:line="360" w:lineRule="auto"/>
              <w:ind w:right="25" w:rightChars="12"/>
              <w:jc w:val="center"/>
              <w:rPr>
                <w:rFonts w:hint="eastAsia" w:asciiTheme="minorEastAsia" w:hAnsiTheme="minorEastAsia" w:eastAsiaTheme="minorEastAsia" w:cstheme="minorEastAsia"/>
                <w:b/>
                <w:color w:val="auto"/>
                <w:sz w:val="24"/>
                <w:szCs w:val="24"/>
              </w:rPr>
            </w:pPr>
          </w:p>
        </w:tc>
      </w:tr>
      <w:tr w14:paraId="7025C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66EB9E63">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7D3F56D5">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7772FC1E">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029EEA20">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7FACD991">
            <w:pPr>
              <w:spacing w:line="580" w:lineRule="exact"/>
              <w:ind w:right="25" w:rightChars="12"/>
              <w:jc w:val="center"/>
              <w:rPr>
                <w:rFonts w:hint="eastAsia" w:asciiTheme="minorEastAsia" w:hAnsiTheme="minorEastAsia" w:eastAsiaTheme="minorEastAsia" w:cstheme="minorEastAsia"/>
                <w:b/>
                <w:color w:val="auto"/>
                <w:sz w:val="24"/>
                <w:szCs w:val="24"/>
              </w:rPr>
            </w:pPr>
          </w:p>
        </w:tc>
      </w:tr>
      <w:tr w14:paraId="45E4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1B6AA628">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41243D26">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41A276D5">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49E773D9">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326626F6">
            <w:pPr>
              <w:spacing w:line="580" w:lineRule="exact"/>
              <w:ind w:right="25" w:rightChars="12"/>
              <w:jc w:val="center"/>
              <w:rPr>
                <w:rFonts w:hint="eastAsia" w:asciiTheme="minorEastAsia" w:hAnsiTheme="minorEastAsia" w:eastAsiaTheme="minorEastAsia" w:cstheme="minorEastAsia"/>
                <w:b/>
                <w:color w:val="auto"/>
                <w:sz w:val="24"/>
                <w:szCs w:val="24"/>
              </w:rPr>
            </w:pPr>
          </w:p>
        </w:tc>
      </w:tr>
      <w:tr w14:paraId="18AE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40795030">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13DF4393">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625700E9">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088F263B">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748EB30B">
            <w:pPr>
              <w:spacing w:line="580" w:lineRule="exact"/>
              <w:ind w:right="25" w:rightChars="12"/>
              <w:jc w:val="center"/>
              <w:rPr>
                <w:rFonts w:hint="eastAsia" w:asciiTheme="minorEastAsia" w:hAnsiTheme="minorEastAsia" w:eastAsiaTheme="minorEastAsia" w:cstheme="minorEastAsia"/>
                <w:b/>
                <w:color w:val="auto"/>
                <w:sz w:val="24"/>
                <w:szCs w:val="24"/>
              </w:rPr>
            </w:pPr>
          </w:p>
        </w:tc>
      </w:tr>
      <w:tr w14:paraId="01B2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35923477">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1D6B0AD8">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456EB01D">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3C5E3C8C">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3E346AB7">
            <w:pPr>
              <w:spacing w:line="580" w:lineRule="exact"/>
              <w:ind w:right="25" w:rightChars="12"/>
              <w:jc w:val="center"/>
              <w:rPr>
                <w:rFonts w:hint="eastAsia" w:asciiTheme="minorEastAsia" w:hAnsiTheme="minorEastAsia" w:eastAsiaTheme="minorEastAsia" w:cstheme="minorEastAsia"/>
                <w:b/>
                <w:color w:val="auto"/>
                <w:sz w:val="24"/>
                <w:szCs w:val="24"/>
              </w:rPr>
            </w:pPr>
          </w:p>
        </w:tc>
      </w:tr>
      <w:tr w14:paraId="29367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7CD6B459">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16569F88">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449E3AB0">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420A8928">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4353071C">
            <w:pPr>
              <w:spacing w:line="580" w:lineRule="exact"/>
              <w:ind w:right="25" w:rightChars="12"/>
              <w:jc w:val="center"/>
              <w:rPr>
                <w:rFonts w:hint="eastAsia" w:asciiTheme="minorEastAsia" w:hAnsiTheme="minorEastAsia" w:eastAsiaTheme="minorEastAsia" w:cstheme="minorEastAsia"/>
                <w:b/>
                <w:color w:val="auto"/>
                <w:sz w:val="24"/>
                <w:szCs w:val="24"/>
              </w:rPr>
            </w:pPr>
          </w:p>
        </w:tc>
      </w:tr>
      <w:tr w14:paraId="2971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420" w:type="dxa"/>
          </w:tcPr>
          <w:p w14:paraId="332936C0">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928" w:type="dxa"/>
            <w:gridSpan w:val="2"/>
          </w:tcPr>
          <w:p w14:paraId="07AA925E">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720" w:type="dxa"/>
          </w:tcPr>
          <w:p w14:paraId="54E08938">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1613" w:type="dxa"/>
            <w:gridSpan w:val="2"/>
          </w:tcPr>
          <w:p w14:paraId="2CC3AEF4">
            <w:pPr>
              <w:spacing w:line="580" w:lineRule="exact"/>
              <w:ind w:right="25" w:rightChars="12"/>
              <w:jc w:val="center"/>
              <w:rPr>
                <w:rFonts w:hint="eastAsia" w:asciiTheme="minorEastAsia" w:hAnsiTheme="minorEastAsia" w:eastAsiaTheme="minorEastAsia" w:cstheme="minorEastAsia"/>
                <w:b/>
                <w:color w:val="auto"/>
                <w:sz w:val="24"/>
                <w:szCs w:val="24"/>
              </w:rPr>
            </w:pPr>
          </w:p>
        </w:tc>
        <w:tc>
          <w:tcPr>
            <w:tcW w:w="3217" w:type="dxa"/>
            <w:gridSpan w:val="2"/>
          </w:tcPr>
          <w:p w14:paraId="0B325EA0">
            <w:pPr>
              <w:spacing w:line="580" w:lineRule="exact"/>
              <w:ind w:right="25" w:rightChars="12"/>
              <w:jc w:val="center"/>
              <w:rPr>
                <w:rFonts w:hint="eastAsia" w:asciiTheme="minorEastAsia" w:hAnsiTheme="minorEastAsia" w:eastAsiaTheme="minorEastAsia" w:cstheme="minorEastAsia"/>
                <w:b/>
                <w:color w:val="auto"/>
                <w:sz w:val="24"/>
                <w:szCs w:val="24"/>
              </w:rPr>
            </w:pPr>
          </w:p>
        </w:tc>
      </w:tr>
    </w:tbl>
    <w:p w14:paraId="2DB396E5">
      <w:pPr>
        <w:rPr>
          <w:rFonts w:hint="eastAsia" w:asciiTheme="minorEastAsia" w:hAnsiTheme="minorEastAsia" w:eastAsiaTheme="minorEastAsia" w:cstheme="minorEastAsia"/>
          <w:color w:val="auto"/>
          <w:sz w:val="24"/>
          <w:szCs w:val="24"/>
        </w:rPr>
      </w:pPr>
    </w:p>
    <w:p w14:paraId="2E5494C4">
      <w:pPr>
        <w:spacing w:line="0" w:lineRule="atLeast"/>
        <w:rPr>
          <w:rFonts w:hint="eastAsia" w:asciiTheme="minorEastAsia" w:hAnsiTheme="minorEastAsia" w:eastAsiaTheme="minorEastAsia" w:cstheme="minorEastAsia"/>
          <w:color w:val="auto"/>
          <w:sz w:val="24"/>
          <w:szCs w:val="24"/>
        </w:rPr>
      </w:pPr>
    </w:p>
    <w:p w14:paraId="71F2A94F">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7693DE66">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6B27D2C0">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5B6774BE">
      <w:pPr>
        <w:pStyle w:val="15"/>
        <w:widowControl/>
        <w:spacing w:line="360" w:lineRule="auto"/>
        <w:ind w:firstLine="0"/>
        <w:jc w:val="center"/>
        <w:rPr>
          <w:rFonts w:hint="eastAsia" w:asciiTheme="minorEastAsia" w:hAnsiTheme="minorEastAsia" w:eastAsiaTheme="minorEastAsia" w:cstheme="minorEastAsia"/>
          <w:b/>
          <w:color w:val="auto"/>
          <w:sz w:val="24"/>
          <w:szCs w:val="24"/>
        </w:rPr>
      </w:pPr>
      <w:r>
        <w:rPr>
          <w:rStyle w:val="91"/>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项目人员配置表</w:t>
      </w:r>
    </w:p>
    <w:tbl>
      <w:tblPr>
        <w:tblStyle w:val="37"/>
        <w:tblW w:w="8931" w:type="dxa"/>
        <w:tblInd w:w="-8"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567"/>
        <w:gridCol w:w="1134"/>
        <w:gridCol w:w="709"/>
        <w:gridCol w:w="1418"/>
        <w:gridCol w:w="1559"/>
        <w:gridCol w:w="1984"/>
        <w:gridCol w:w="1560"/>
      </w:tblGrid>
      <w:tr w14:paraId="1C4B5D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c>
          <w:tcPr>
            <w:tcW w:w="567" w:type="dxa"/>
            <w:tcBorders>
              <w:top w:val="single" w:color="auto" w:sz="4" w:space="0"/>
              <w:bottom w:val="single" w:color="auto" w:sz="4" w:space="0"/>
            </w:tcBorders>
            <w:tcMar>
              <w:left w:w="28" w:type="dxa"/>
              <w:right w:w="28" w:type="dxa"/>
            </w:tcMar>
            <w:vAlign w:val="center"/>
          </w:tcPr>
          <w:p w14:paraId="6E66B105">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134" w:type="dxa"/>
            <w:tcBorders>
              <w:top w:val="single" w:color="auto" w:sz="4" w:space="0"/>
              <w:bottom w:val="single" w:color="auto" w:sz="4" w:space="0"/>
            </w:tcBorders>
            <w:tcMar>
              <w:left w:w="28" w:type="dxa"/>
              <w:right w:w="28" w:type="dxa"/>
            </w:tcMar>
            <w:vAlign w:val="center"/>
          </w:tcPr>
          <w:p w14:paraId="34A8276E">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姓名</w:t>
            </w:r>
          </w:p>
        </w:tc>
        <w:tc>
          <w:tcPr>
            <w:tcW w:w="709" w:type="dxa"/>
            <w:tcBorders>
              <w:top w:val="single" w:color="auto" w:sz="4" w:space="0"/>
              <w:bottom w:val="single" w:color="auto" w:sz="4" w:space="0"/>
            </w:tcBorders>
            <w:tcMar>
              <w:left w:w="28" w:type="dxa"/>
              <w:right w:w="28" w:type="dxa"/>
            </w:tcMar>
            <w:vAlign w:val="center"/>
          </w:tcPr>
          <w:p w14:paraId="0B2E9F61">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性别</w:t>
            </w:r>
          </w:p>
        </w:tc>
        <w:tc>
          <w:tcPr>
            <w:tcW w:w="1418" w:type="dxa"/>
            <w:tcBorders>
              <w:top w:val="single" w:color="auto" w:sz="4" w:space="0"/>
              <w:bottom w:val="single" w:color="auto" w:sz="4" w:space="0"/>
            </w:tcBorders>
            <w:tcMar>
              <w:left w:w="28" w:type="dxa"/>
              <w:right w:w="28" w:type="dxa"/>
            </w:tcMar>
            <w:vAlign w:val="center"/>
          </w:tcPr>
          <w:p w14:paraId="5964B1C2">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职称</w:t>
            </w:r>
          </w:p>
        </w:tc>
        <w:tc>
          <w:tcPr>
            <w:tcW w:w="1559" w:type="dxa"/>
            <w:tcBorders>
              <w:top w:val="single" w:color="auto" w:sz="4" w:space="0"/>
              <w:bottom w:val="single" w:color="auto" w:sz="4" w:space="0"/>
            </w:tcBorders>
            <w:tcMar>
              <w:left w:w="28" w:type="dxa"/>
              <w:right w:w="28" w:type="dxa"/>
            </w:tcMar>
            <w:vAlign w:val="center"/>
          </w:tcPr>
          <w:p w14:paraId="00650127">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专业</w:t>
            </w:r>
          </w:p>
        </w:tc>
        <w:tc>
          <w:tcPr>
            <w:tcW w:w="1984" w:type="dxa"/>
            <w:tcBorders>
              <w:top w:val="single" w:color="auto" w:sz="4" w:space="0"/>
              <w:bottom w:val="single" w:color="auto" w:sz="4" w:space="0"/>
            </w:tcBorders>
            <w:tcMar>
              <w:left w:w="28" w:type="dxa"/>
              <w:right w:w="28" w:type="dxa"/>
            </w:tcMar>
            <w:vAlign w:val="center"/>
          </w:tcPr>
          <w:p w14:paraId="6D91B82B">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1560" w:type="dxa"/>
            <w:tcBorders>
              <w:top w:val="single" w:color="auto" w:sz="4" w:space="0"/>
              <w:bottom w:val="single" w:color="auto" w:sz="4" w:space="0"/>
            </w:tcBorders>
            <w:tcMar>
              <w:left w:w="28" w:type="dxa"/>
              <w:right w:w="28" w:type="dxa"/>
            </w:tcMar>
            <w:vAlign w:val="center"/>
          </w:tcPr>
          <w:p w14:paraId="642AEEC8">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分工</w:t>
            </w:r>
          </w:p>
        </w:tc>
      </w:tr>
      <w:tr w14:paraId="009257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Borders>
              <w:top w:val="single" w:color="auto" w:sz="4" w:space="0"/>
            </w:tcBorders>
            <w:tcMar>
              <w:left w:w="28" w:type="dxa"/>
              <w:right w:w="28" w:type="dxa"/>
            </w:tcMar>
            <w:vAlign w:val="center"/>
          </w:tcPr>
          <w:p w14:paraId="0047534B">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w:t>
            </w:r>
          </w:p>
        </w:tc>
        <w:tc>
          <w:tcPr>
            <w:tcW w:w="1134" w:type="dxa"/>
            <w:tcBorders>
              <w:top w:val="single" w:color="auto" w:sz="4" w:space="0"/>
            </w:tcBorders>
            <w:tcMar>
              <w:left w:w="28" w:type="dxa"/>
              <w:right w:w="28" w:type="dxa"/>
            </w:tcMar>
            <w:vAlign w:val="center"/>
          </w:tcPr>
          <w:p w14:paraId="0699A86E">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Borders>
              <w:top w:val="single" w:color="auto" w:sz="4" w:space="0"/>
            </w:tcBorders>
            <w:tcMar>
              <w:left w:w="28" w:type="dxa"/>
              <w:right w:w="28" w:type="dxa"/>
            </w:tcMar>
            <w:vAlign w:val="center"/>
          </w:tcPr>
          <w:p w14:paraId="2E77B6AD">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Borders>
              <w:top w:val="single" w:color="auto" w:sz="4" w:space="0"/>
            </w:tcBorders>
            <w:tcMar>
              <w:left w:w="28" w:type="dxa"/>
              <w:right w:w="28" w:type="dxa"/>
            </w:tcMar>
            <w:vAlign w:val="center"/>
          </w:tcPr>
          <w:p w14:paraId="454A59CF">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Borders>
              <w:top w:val="single" w:color="auto" w:sz="4" w:space="0"/>
            </w:tcBorders>
            <w:tcMar>
              <w:left w:w="28" w:type="dxa"/>
              <w:right w:w="28" w:type="dxa"/>
            </w:tcMar>
            <w:vAlign w:val="center"/>
          </w:tcPr>
          <w:p w14:paraId="58CB8B68">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Borders>
              <w:top w:val="single" w:color="auto" w:sz="4" w:space="0"/>
            </w:tcBorders>
            <w:tcMar>
              <w:left w:w="28" w:type="dxa"/>
              <w:right w:w="28" w:type="dxa"/>
            </w:tcMar>
            <w:vAlign w:val="center"/>
          </w:tcPr>
          <w:p w14:paraId="6D563F3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Borders>
              <w:top w:val="single" w:color="auto" w:sz="4" w:space="0"/>
            </w:tcBorders>
            <w:tcMar>
              <w:left w:w="28" w:type="dxa"/>
              <w:right w:w="28" w:type="dxa"/>
            </w:tcMar>
            <w:vAlign w:val="center"/>
          </w:tcPr>
          <w:p w14:paraId="5AC1A07C">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5B056D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3AA62956">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w:t>
            </w:r>
          </w:p>
        </w:tc>
        <w:tc>
          <w:tcPr>
            <w:tcW w:w="1134" w:type="dxa"/>
            <w:tcMar>
              <w:left w:w="28" w:type="dxa"/>
              <w:right w:w="28" w:type="dxa"/>
            </w:tcMar>
            <w:vAlign w:val="center"/>
          </w:tcPr>
          <w:p w14:paraId="056B7E56">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4E8FF358">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3E5F0275">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3247444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5FB91B1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337ED8EF">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1A0B6F0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1F68A4CB">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w:t>
            </w:r>
          </w:p>
        </w:tc>
        <w:tc>
          <w:tcPr>
            <w:tcW w:w="1134" w:type="dxa"/>
            <w:tcMar>
              <w:left w:w="28" w:type="dxa"/>
              <w:right w:w="28" w:type="dxa"/>
            </w:tcMar>
            <w:vAlign w:val="center"/>
          </w:tcPr>
          <w:p w14:paraId="463FCED1">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05509352">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7738DACC">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46857A78">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6DF48624">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25FB55E9">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6582989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57589975">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w:t>
            </w:r>
          </w:p>
        </w:tc>
        <w:tc>
          <w:tcPr>
            <w:tcW w:w="1134" w:type="dxa"/>
            <w:tcMar>
              <w:left w:w="28" w:type="dxa"/>
              <w:right w:w="28" w:type="dxa"/>
            </w:tcMar>
            <w:vAlign w:val="center"/>
          </w:tcPr>
          <w:p w14:paraId="0EE94C47">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3EEC0EEB">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3059FCAB">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186370A1">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4E8156F4">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0A679BEC">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3FD716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5A06BAB4">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w:t>
            </w:r>
          </w:p>
        </w:tc>
        <w:tc>
          <w:tcPr>
            <w:tcW w:w="1134" w:type="dxa"/>
            <w:tcMar>
              <w:left w:w="28" w:type="dxa"/>
              <w:right w:w="28" w:type="dxa"/>
            </w:tcMar>
            <w:vAlign w:val="center"/>
          </w:tcPr>
          <w:p w14:paraId="3641537C">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526FA59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66313427">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2DEA1A4A">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4206CEA3">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59684196">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012114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3BCDD209">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w:t>
            </w:r>
          </w:p>
        </w:tc>
        <w:tc>
          <w:tcPr>
            <w:tcW w:w="1134" w:type="dxa"/>
            <w:tcMar>
              <w:left w:w="28" w:type="dxa"/>
              <w:right w:w="28" w:type="dxa"/>
            </w:tcMar>
            <w:vAlign w:val="center"/>
          </w:tcPr>
          <w:p w14:paraId="2F0CF741">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2779990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430CD222">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0BADB3C6">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23071CB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620E943D">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5344C49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40BF580C">
            <w:pPr>
              <w:spacing w:line="500" w:lineRule="exact"/>
              <w:ind w:right="25" w:rightChars="12"/>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w:t>
            </w:r>
          </w:p>
        </w:tc>
        <w:tc>
          <w:tcPr>
            <w:tcW w:w="1134" w:type="dxa"/>
            <w:tcMar>
              <w:left w:w="28" w:type="dxa"/>
              <w:right w:w="28" w:type="dxa"/>
            </w:tcMar>
            <w:vAlign w:val="center"/>
          </w:tcPr>
          <w:p w14:paraId="75C77AEA">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7546ADEE">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7AB78B63">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5913EA1E">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6FA1B277">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09E71C61">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42719A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28C5D50B">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134" w:type="dxa"/>
            <w:tcMar>
              <w:left w:w="28" w:type="dxa"/>
              <w:right w:w="28" w:type="dxa"/>
            </w:tcMar>
            <w:vAlign w:val="center"/>
          </w:tcPr>
          <w:p w14:paraId="2CBBFE88">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0396DE41">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16F49FA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22C8E5DA">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6D25C7AD">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30F75D08">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7B6EB61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0D80B43A">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134" w:type="dxa"/>
            <w:tcMar>
              <w:left w:w="28" w:type="dxa"/>
              <w:right w:w="28" w:type="dxa"/>
            </w:tcMar>
            <w:vAlign w:val="center"/>
          </w:tcPr>
          <w:p w14:paraId="36D6505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15495311">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1F309E2B">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7E73E36D">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24B387BF">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730620FD">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3B65419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1D4A9F6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134" w:type="dxa"/>
            <w:tcMar>
              <w:left w:w="28" w:type="dxa"/>
              <w:right w:w="28" w:type="dxa"/>
            </w:tcMar>
            <w:vAlign w:val="center"/>
          </w:tcPr>
          <w:p w14:paraId="2FFB0D2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709" w:type="dxa"/>
            <w:tcMar>
              <w:left w:w="28" w:type="dxa"/>
              <w:right w:w="28" w:type="dxa"/>
            </w:tcMar>
            <w:vAlign w:val="center"/>
          </w:tcPr>
          <w:p w14:paraId="0C032644">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418" w:type="dxa"/>
            <w:tcMar>
              <w:left w:w="28" w:type="dxa"/>
              <w:right w:w="28" w:type="dxa"/>
            </w:tcMar>
            <w:vAlign w:val="center"/>
          </w:tcPr>
          <w:p w14:paraId="436AD259">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59" w:type="dxa"/>
            <w:tcMar>
              <w:left w:w="28" w:type="dxa"/>
              <w:right w:w="28" w:type="dxa"/>
            </w:tcMar>
            <w:vAlign w:val="center"/>
          </w:tcPr>
          <w:p w14:paraId="0B89D04D">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984" w:type="dxa"/>
            <w:tcMar>
              <w:left w:w="28" w:type="dxa"/>
              <w:right w:w="28" w:type="dxa"/>
            </w:tcMar>
            <w:vAlign w:val="center"/>
          </w:tcPr>
          <w:p w14:paraId="70B60610">
            <w:pPr>
              <w:spacing w:line="500" w:lineRule="exact"/>
              <w:ind w:right="25" w:rightChars="12"/>
              <w:jc w:val="center"/>
              <w:rPr>
                <w:rFonts w:hint="eastAsia" w:asciiTheme="minorEastAsia" w:hAnsiTheme="minorEastAsia" w:eastAsiaTheme="minorEastAsia" w:cstheme="minorEastAsia"/>
                <w:color w:val="auto"/>
                <w:sz w:val="24"/>
                <w:szCs w:val="24"/>
              </w:rPr>
            </w:pPr>
          </w:p>
        </w:tc>
        <w:tc>
          <w:tcPr>
            <w:tcW w:w="1560" w:type="dxa"/>
            <w:tcMar>
              <w:left w:w="28" w:type="dxa"/>
              <w:right w:w="28" w:type="dxa"/>
            </w:tcMar>
            <w:vAlign w:val="center"/>
          </w:tcPr>
          <w:p w14:paraId="61B7401E">
            <w:pPr>
              <w:spacing w:line="500" w:lineRule="exact"/>
              <w:ind w:right="25" w:rightChars="12"/>
              <w:jc w:val="center"/>
              <w:rPr>
                <w:rFonts w:hint="eastAsia" w:asciiTheme="minorEastAsia" w:hAnsiTheme="minorEastAsia" w:eastAsiaTheme="minorEastAsia" w:cstheme="minorEastAsia"/>
                <w:color w:val="auto"/>
                <w:sz w:val="24"/>
                <w:szCs w:val="24"/>
              </w:rPr>
            </w:pPr>
          </w:p>
        </w:tc>
      </w:tr>
      <w:tr w14:paraId="7A2C4DC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28E09475">
            <w:pPr>
              <w:jc w:val="center"/>
              <w:rPr>
                <w:rFonts w:hint="eastAsia" w:asciiTheme="minorEastAsia" w:hAnsiTheme="minorEastAsia" w:eastAsiaTheme="minorEastAsia" w:cstheme="minorEastAsia"/>
                <w:color w:val="auto"/>
                <w:w w:val="80"/>
                <w:sz w:val="24"/>
                <w:szCs w:val="24"/>
              </w:rPr>
            </w:pPr>
          </w:p>
        </w:tc>
        <w:tc>
          <w:tcPr>
            <w:tcW w:w="1134" w:type="dxa"/>
            <w:tcMar>
              <w:left w:w="28" w:type="dxa"/>
              <w:right w:w="28" w:type="dxa"/>
            </w:tcMar>
            <w:vAlign w:val="center"/>
          </w:tcPr>
          <w:p w14:paraId="507C4449">
            <w:pPr>
              <w:jc w:val="center"/>
              <w:rPr>
                <w:rFonts w:hint="eastAsia" w:asciiTheme="minorEastAsia" w:hAnsiTheme="minorEastAsia" w:eastAsiaTheme="minorEastAsia" w:cstheme="minorEastAsia"/>
                <w:color w:val="auto"/>
                <w:w w:val="80"/>
                <w:sz w:val="24"/>
                <w:szCs w:val="24"/>
              </w:rPr>
            </w:pPr>
          </w:p>
        </w:tc>
        <w:tc>
          <w:tcPr>
            <w:tcW w:w="709" w:type="dxa"/>
            <w:tcMar>
              <w:left w:w="28" w:type="dxa"/>
              <w:right w:w="28" w:type="dxa"/>
            </w:tcMar>
            <w:vAlign w:val="center"/>
          </w:tcPr>
          <w:p w14:paraId="7D70EC5B">
            <w:pPr>
              <w:jc w:val="center"/>
              <w:rPr>
                <w:rFonts w:hint="eastAsia" w:asciiTheme="minorEastAsia" w:hAnsiTheme="minorEastAsia" w:eastAsiaTheme="minorEastAsia" w:cstheme="minorEastAsia"/>
                <w:color w:val="auto"/>
                <w:w w:val="80"/>
                <w:sz w:val="24"/>
                <w:szCs w:val="24"/>
              </w:rPr>
            </w:pPr>
          </w:p>
        </w:tc>
        <w:tc>
          <w:tcPr>
            <w:tcW w:w="1418" w:type="dxa"/>
            <w:tcMar>
              <w:left w:w="28" w:type="dxa"/>
              <w:right w:w="28" w:type="dxa"/>
            </w:tcMar>
            <w:vAlign w:val="center"/>
          </w:tcPr>
          <w:p w14:paraId="1E269050">
            <w:pPr>
              <w:jc w:val="center"/>
              <w:rPr>
                <w:rFonts w:hint="eastAsia" w:asciiTheme="minorEastAsia" w:hAnsiTheme="minorEastAsia" w:eastAsiaTheme="minorEastAsia" w:cstheme="minorEastAsia"/>
                <w:color w:val="auto"/>
                <w:w w:val="80"/>
                <w:sz w:val="24"/>
                <w:szCs w:val="24"/>
              </w:rPr>
            </w:pPr>
          </w:p>
        </w:tc>
        <w:tc>
          <w:tcPr>
            <w:tcW w:w="1559" w:type="dxa"/>
            <w:tcMar>
              <w:left w:w="28" w:type="dxa"/>
              <w:right w:w="28" w:type="dxa"/>
            </w:tcMar>
            <w:vAlign w:val="center"/>
          </w:tcPr>
          <w:p w14:paraId="3DFA2CE1">
            <w:pPr>
              <w:jc w:val="center"/>
              <w:rPr>
                <w:rFonts w:hint="eastAsia" w:asciiTheme="minorEastAsia" w:hAnsiTheme="minorEastAsia" w:eastAsiaTheme="minorEastAsia" w:cstheme="minorEastAsia"/>
                <w:color w:val="auto"/>
                <w:w w:val="80"/>
                <w:sz w:val="24"/>
                <w:szCs w:val="24"/>
              </w:rPr>
            </w:pPr>
          </w:p>
        </w:tc>
        <w:tc>
          <w:tcPr>
            <w:tcW w:w="1984" w:type="dxa"/>
            <w:tcMar>
              <w:left w:w="28" w:type="dxa"/>
              <w:right w:w="28" w:type="dxa"/>
            </w:tcMar>
            <w:vAlign w:val="center"/>
          </w:tcPr>
          <w:p w14:paraId="67585F8C">
            <w:pPr>
              <w:jc w:val="center"/>
              <w:rPr>
                <w:rFonts w:hint="eastAsia" w:asciiTheme="minorEastAsia" w:hAnsiTheme="minorEastAsia" w:eastAsiaTheme="minorEastAsia" w:cstheme="minorEastAsia"/>
                <w:color w:val="auto"/>
                <w:w w:val="80"/>
                <w:sz w:val="24"/>
                <w:szCs w:val="24"/>
              </w:rPr>
            </w:pPr>
          </w:p>
        </w:tc>
        <w:tc>
          <w:tcPr>
            <w:tcW w:w="1560" w:type="dxa"/>
            <w:tcMar>
              <w:left w:w="28" w:type="dxa"/>
              <w:right w:w="28" w:type="dxa"/>
            </w:tcMar>
            <w:vAlign w:val="center"/>
          </w:tcPr>
          <w:p w14:paraId="09132F3D">
            <w:pPr>
              <w:jc w:val="center"/>
              <w:rPr>
                <w:rFonts w:hint="eastAsia" w:asciiTheme="minorEastAsia" w:hAnsiTheme="minorEastAsia" w:eastAsiaTheme="minorEastAsia" w:cstheme="minorEastAsia"/>
                <w:color w:val="auto"/>
                <w:w w:val="80"/>
                <w:sz w:val="24"/>
                <w:szCs w:val="24"/>
              </w:rPr>
            </w:pPr>
          </w:p>
        </w:tc>
      </w:tr>
      <w:tr w14:paraId="1B0E77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45" w:hRule="atLeast"/>
        </w:trPr>
        <w:tc>
          <w:tcPr>
            <w:tcW w:w="567" w:type="dxa"/>
            <w:tcMar>
              <w:left w:w="28" w:type="dxa"/>
              <w:right w:w="28" w:type="dxa"/>
            </w:tcMar>
            <w:vAlign w:val="center"/>
          </w:tcPr>
          <w:p w14:paraId="1B228E16">
            <w:pPr>
              <w:jc w:val="center"/>
              <w:rPr>
                <w:rFonts w:hint="eastAsia" w:asciiTheme="minorEastAsia" w:hAnsiTheme="minorEastAsia" w:eastAsiaTheme="minorEastAsia" w:cstheme="minorEastAsia"/>
                <w:color w:val="auto"/>
                <w:w w:val="80"/>
                <w:sz w:val="24"/>
                <w:szCs w:val="24"/>
              </w:rPr>
            </w:pPr>
          </w:p>
        </w:tc>
        <w:tc>
          <w:tcPr>
            <w:tcW w:w="1134" w:type="dxa"/>
            <w:tcMar>
              <w:left w:w="28" w:type="dxa"/>
              <w:right w:w="28" w:type="dxa"/>
            </w:tcMar>
            <w:vAlign w:val="center"/>
          </w:tcPr>
          <w:p w14:paraId="4D08176E">
            <w:pPr>
              <w:jc w:val="center"/>
              <w:rPr>
                <w:rFonts w:hint="eastAsia" w:asciiTheme="minorEastAsia" w:hAnsiTheme="minorEastAsia" w:eastAsiaTheme="minorEastAsia" w:cstheme="minorEastAsia"/>
                <w:color w:val="auto"/>
                <w:w w:val="80"/>
                <w:sz w:val="24"/>
                <w:szCs w:val="24"/>
              </w:rPr>
            </w:pPr>
          </w:p>
        </w:tc>
        <w:tc>
          <w:tcPr>
            <w:tcW w:w="709" w:type="dxa"/>
            <w:tcMar>
              <w:left w:w="28" w:type="dxa"/>
              <w:right w:w="28" w:type="dxa"/>
            </w:tcMar>
            <w:vAlign w:val="center"/>
          </w:tcPr>
          <w:p w14:paraId="1B783373">
            <w:pPr>
              <w:jc w:val="center"/>
              <w:rPr>
                <w:rFonts w:hint="eastAsia" w:asciiTheme="minorEastAsia" w:hAnsiTheme="minorEastAsia" w:eastAsiaTheme="minorEastAsia" w:cstheme="minorEastAsia"/>
                <w:color w:val="auto"/>
                <w:w w:val="80"/>
                <w:sz w:val="24"/>
                <w:szCs w:val="24"/>
              </w:rPr>
            </w:pPr>
          </w:p>
        </w:tc>
        <w:tc>
          <w:tcPr>
            <w:tcW w:w="1418" w:type="dxa"/>
            <w:tcMar>
              <w:left w:w="28" w:type="dxa"/>
              <w:right w:w="28" w:type="dxa"/>
            </w:tcMar>
            <w:vAlign w:val="center"/>
          </w:tcPr>
          <w:p w14:paraId="338FBA3A">
            <w:pPr>
              <w:jc w:val="center"/>
              <w:rPr>
                <w:rFonts w:hint="eastAsia" w:asciiTheme="minorEastAsia" w:hAnsiTheme="minorEastAsia" w:eastAsiaTheme="minorEastAsia" w:cstheme="minorEastAsia"/>
                <w:color w:val="auto"/>
                <w:w w:val="80"/>
                <w:sz w:val="24"/>
                <w:szCs w:val="24"/>
              </w:rPr>
            </w:pPr>
          </w:p>
        </w:tc>
        <w:tc>
          <w:tcPr>
            <w:tcW w:w="1559" w:type="dxa"/>
            <w:tcMar>
              <w:left w:w="28" w:type="dxa"/>
              <w:right w:w="28" w:type="dxa"/>
            </w:tcMar>
            <w:vAlign w:val="center"/>
          </w:tcPr>
          <w:p w14:paraId="6103E982">
            <w:pPr>
              <w:jc w:val="center"/>
              <w:rPr>
                <w:rFonts w:hint="eastAsia" w:asciiTheme="minorEastAsia" w:hAnsiTheme="minorEastAsia" w:eastAsiaTheme="minorEastAsia" w:cstheme="minorEastAsia"/>
                <w:color w:val="auto"/>
                <w:w w:val="80"/>
                <w:sz w:val="24"/>
                <w:szCs w:val="24"/>
              </w:rPr>
            </w:pPr>
          </w:p>
        </w:tc>
        <w:tc>
          <w:tcPr>
            <w:tcW w:w="1984" w:type="dxa"/>
            <w:tcMar>
              <w:left w:w="28" w:type="dxa"/>
              <w:right w:w="28" w:type="dxa"/>
            </w:tcMar>
            <w:vAlign w:val="center"/>
          </w:tcPr>
          <w:p w14:paraId="76DA0C6B">
            <w:pPr>
              <w:jc w:val="center"/>
              <w:rPr>
                <w:rFonts w:hint="eastAsia" w:asciiTheme="minorEastAsia" w:hAnsiTheme="minorEastAsia" w:eastAsiaTheme="minorEastAsia" w:cstheme="minorEastAsia"/>
                <w:color w:val="auto"/>
                <w:w w:val="80"/>
                <w:sz w:val="24"/>
                <w:szCs w:val="24"/>
              </w:rPr>
            </w:pPr>
          </w:p>
        </w:tc>
        <w:tc>
          <w:tcPr>
            <w:tcW w:w="1560" w:type="dxa"/>
            <w:tcMar>
              <w:left w:w="28" w:type="dxa"/>
              <w:right w:w="28" w:type="dxa"/>
            </w:tcMar>
            <w:vAlign w:val="center"/>
          </w:tcPr>
          <w:p w14:paraId="6A027B97">
            <w:pPr>
              <w:jc w:val="center"/>
              <w:rPr>
                <w:rFonts w:hint="eastAsia" w:asciiTheme="minorEastAsia" w:hAnsiTheme="minorEastAsia" w:eastAsiaTheme="minorEastAsia" w:cstheme="minorEastAsia"/>
                <w:color w:val="auto"/>
                <w:w w:val="80"/>
                <w:sz w:val="24"/>
                <w:szCs w:val="24"/>
              </w:rPr>
            </w:pPr>
          </w:p>
        </w:tc>
      </w:tr>
    </w:tbl>
    <w:p w14:paraId="0FE36C07">
      <w:pPr>
        <w:pStyle w:val="15"/>
        <w:widowControl/>
        <w:spacing w:line="360" w:lineRule="auto"/>
        <w:ind w:firstLine="0"/>
        <w:jc w:val="left"/>
        <w:rPr>
          <w:rFonts w:hint="eastAsia" w:asciiTheme="minorEastAsia" w:hAnsiTheme="minorEastAsia" w:eastAsiaTheme="minorEastAsia" w:cstheme="minorEastAsia"/>
          <w:b/>
          <w:color w:val="auto"/>
          <w:sz w:val="24"/>
          <w:szCs w:val="24"/>
        </w:rPr>
      </w:pPr>
    </w:p>
    <w:p w14:paraId="0A321241">
      <w:pPr>
        <w:spacing w:line="0" w:lineRule="atLeast"/>
        <w:rPr>
          <w:rFonts w:hint="eastAsia" w:asciiTheme="minorEastAsia" w:hAnsiTheme="minorEastAsia" w:eastAsiaTheme="minorEastAsia" w:cstheme="minorEastAsia"/>
          <w:color w:val="auto"/>
          <w:sz w:val="24"/>
          <w:szCs w:val="24"/>
        </w:rPr>
      </w:pPr>
    </w:p>
    <w:p w14:paraId="37EF9D33">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7CDC1AEF">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55F27F83">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054081DA">
      <w:pPr>
        <w:pStyle w:val="15"/>
        <w:widowControl/>
        <w:spacing w:line="360" w:lineRule="auto"/>
        <w:ind w:firstLine="0"/>
        <w:jc w:val="left"/>
        <w:rPr>
          <w:rStyle w:val="91"/>
          <w:rFonts w:hint="eastAsia" w:asciiTheme="minorEastAsia" w:hAnsiTheme="minorEastAsia" w:eastAsiaTheme="minorEastAsia" w:cstheme="minorEastAsia"/>
          <w:b w:val="0"/>
          <w:bCs w:val="0"/>
          <w:color w:val="auto"/>
          <w:spacing w:val="0"/>
          <w:kern w:val="0"/>
          <w:sz w:val="24"/>
          <w:szCs w:val="24"/>
        </w:rPr>
      </w:pPr>
    </w:p>
    <w:p w14:paraId="4A4A5791">
      <w:pPr>
        <w:widowControl/>
        <w:snapToGrid w:val="0"/>
        <w:spacing w:line="360" w:lineRule="auto"/>
        <w:jc w:val="center"/>
        <w:rPr>
          <w:rFonts w:hint="eastAsia" w:asciiTheme="minorEastAsia" w:hAnsiTheme="minorEastAsia" w:eastAsiaTheme="minorEastAsia" w:cstheme="minorEastAsia"/>
          <w:b/>
          <w:color w:val="auto"/>
          <w:sz w:val="24"/>
          <w:szCs w:val="24"/>
        </w:rPr>
      </w:pPr>
    </w:p>
    <w:p w14:paraId="0FF9BAF7">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br w:type="page"/>
      </w:r>
      <w:r>
        <w:rPr>
          <w:rFonts w:hint="eastAsia" w:asciiTheme="minorEastAsia" w:hAnsiTheme="minorEastAsia" w:eastAsiaTheme="minorEastAsia" w:cstheme="minorEastAsia"/>
          <w:b/>
          <w:color w:val="auto"/>
          <w:sz w:val="24"/>
          <w:szCs w:val="24"/>
        </w:rPr>
        <w:t>距采购单位最近或者能为本项目提供最优服务的网点情况表</w:t>
      </w:r>
    </w:p>
    <w:p w14:paraId="4D32C78D">
      <w:pPr>
        <w:widowControl/>
        <w:snapToGrid w:val="0"/>
        <w:spacing w:line="360" w:lineRule="auto"/>
        <w:jc w:val="center"/>
        <w:rPr>
          <w:rFonts w:hint="eastAsia" w:asciiTheme="minorEastAsia" w:hAnsiTheme="minorEastAsia" w:eastAsiaTheme="minorEastAsia" w:cstheme="minorEastAsia"/>
          <w:b/>
          <w:color w:val="auto"/>
          <w:sz w:val="24"/>
          <w:szCs w:val="24"/>
        </w:rPr>
      </w:pPr>
    </w:p>
    <w:tbl>
      <w:tblPr>
        <w:tblStyle w:val="37"/>
        <w:tblW w:w="8751" w:type="dxa"/>
        <w:tblInd w:w="-11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26"/>
        <w:gridCol w:w="1622"/>
        <w:gridCol w:w="191"/>
        <w:gridCol w:w="1439"/>
        <w:gridCol w:w="888"/>
        <w:gridCol w:w="1435"/>
        <w:gridCol w:w="1450"/>
      </w:tblGrid>
      <w:tr w14:paraId="584161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0AD0D8AD">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服务网点名称</w:t>
            </w:r>
          </w:p>
        </w:tc>
        <w:tc>
          <w:tcPr>
            <w:tcW w:w="7025" w:type="dxa"/>
            <w:gridSpan w:val="6"/>
            <w:vAlign w:val="center"/>
          </w:tcPr>
          <w:p w14:paraId="40D6B8CE">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0C8C7F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3BF8747F">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p>
        </w:tc>
        <w:tc>
          <w:tcPr>
            <w:tcW w:w="7025" w:type="dxa"/>
            <w:gridSpan w:val="6"/>
            <w:vAlign w:val="center"/>
          </w:tcPr>
          <w:p w14:paraId="1A6832A5">
            <w:pPr>
              <w:jc w:val="center"/>
              <w:rPr>
                <w:rFonts w:hint="eastAsia" w:asciiTheme="minorEastAsia" w:hAnsiTheme="minorEastAsia" w:eastAsiaTheme="minorEastAsia" w:cstheme="minorEastAsia"/>
                <w:color w:val="auto"/>
                <w:sz w:val="24"/>
                <w:szCs w:val="24"/>
              </w:rPr>
            </w:pPr>
          </w:p>
        </w:tc>
      </w:tr>
      <w:tr w14:paraId="06A2B3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68728F1C">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注册资本金</w:t>
            </w:r>
          </w:p>
        </w:tc>
        <w:tc>
          <w:tcPr>
            <w:tcW w:w="1622" w:type="dxa"/>
            <w:vAlign w:val="center"/>
          </w:tcPr>
          <w:p w14:paraId="2DAE9A7F">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2518" w:type="dxa"/>
            <w:gridSpan w:val="3"/>
            <w:vAlign w:val="center"/>
          </w:tcPr>
          <w:p w14:paraId="13BEA959">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其中：投标人出资比例</w:t>
            </w:r>
          </w:p>
        </w:tc>
        <w:tc>
          <w:tcPr>
            <w:tcW w:w="1435" w:type="dxa"/>
            <w:vAlign w:val="center"/>
          </w:tcPr>
          <w:p w14:paraId="6BE35056">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28D35D54">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2FD402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6D4DED48">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员工总人数</w:t>
            </w:r>
          </w:p>
        </w:tc>
        <w:tc>
          <w:tcPr>
            <w:tcW w:w="1622" w:type="dxa"/>
            <w:vAlign w:val="center"/>
          </w:tcPr>
          <w:p w14:paraId="2D966F60">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2518" w:type="dxa"/>
            <w:gridSpan w:val="3"/>
            <w:vAlign w:val="center"/>
          </w:tcPr>
          <w:p w14:paraId="11CE5D3E">
            <w:pPr>
              <w:snapToGrid w:val="0"/>
              <w:spacing w:before="50" w:afterLines="50" w:line="400" w:lineRule="exact"/>
              <w:ind w:left="6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其中：技术人员数</w:t>
            </w:r>
          </w:p>
        </w:tc>
        <w:tc>
          <w:tcPr>
            <w:tcW w:w="1435" w:type="dxa"/>
            <w:vAlign w:val="center"/>
          </w:tcPr>
          <w:p w14:paraId="6177B69B">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258CD506">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4D483B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5BBFD5A3">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经营期限</w:t>
            </w:r>
          </w:p>
        </w:tc>
        <w:tc>
          <w:tcPr>
            <w:tcW w:w="5575" w:type="dxa"/>
            <w:gridSpan w:val="5"/>
            <w:vAlign w:val="center"/>
          </w:tcPr>
          <w:p w14:paraId="5F4899D6">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155DDAD1">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38C9B3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13B81778">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售后服务协议</w:t>
            </w:r>
          </w:p>
        </w:tc>
        <w:tc>
          <w:tcPr>
            <w:tcW w:w="5575" w:type="dxa"/>
            <w:gridSpan w:val="5"/>
            <w:vAlign w:val="center"/>
          </w:tcPr>
          <w:p w14:paraId="323987D0">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3EDE6A0F">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02288E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45BBE8EA">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售后服务内容</w:t>
            </w:r>
          </w:p>
        </w:tc>
        <w:tc>
          <w:tcPr>
            <w:tcW w:w="5575" w:type="dxa"/>
            <w:gridSpan w:val="5"/>
            <w:vAlign w:val="center"/>
          </w:tcPr>
          <w:p w14:paraId="3C67D371">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381EACB1">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123D48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73BBFEF5">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工作业绩</w:t>
            </w:r>
          </w:p>
        </w:tc>
        <w:tc>
          <w:tcPr>
            <w:tcW w:w="5575" w:type="dxa"/>
            <w:gridSpan w:val="5"/>
            <w:vAlign w:val="center"/>
          </w:tcPr>
          <w:p w14:paraId="3CB92A3D">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3E307727">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781EAD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03E2C89C">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服务承诺</w:t>
            </w:r>
          </w:p>
        </w:tc>
        <w:tc>
          <w:tcPr>
            <w:tcW w:w="5575" w:type="dxa"/>
            <w:gridSpan w:val="5"/>
            <w:vAlign w:val="center"/>
          </w:tcPr>
          <w:p w14:paraId="2CF7FB77">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4E7E5533">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0EF657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44DA04DD">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业务咨询电话</w:t>
            </w:r>
          </w:p>
        </w:tc>
        <w:tc>
          <w:tcPr>
            <w:tcW w:w="1813" w:type="dxa"/>
            <w:gridSpan w:val="2"/>
            <w:vAlign w:val="center"/>
          </w:tcPr>
          <w:p w14:paraId="6B405336">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39" w:type="dxa"/>
            <w:vAlign w:val="center"/>
          </w:tcPr>
          <w:p w14:paraId="53562B00">
            <w:pPr>
              <w:snapToGrid w:val="0"/>
              <w:spacing w:before="50" w:afterLines="50" w:line="400" w:lineRule="exact"/>
              <w:ind w:firstLine="240" w:firstLineChars="10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传 真</w:t>
            </w:r>
          </w:p>
        </w:tc>
        <w:tc>
          <w:tcPr>
            <w:tcW w:w="2323" w:type="dxa"/>
            <w:gridSpan w:val="2"/>
            <w:vAlign w:val="center"/>
          </w:tcPr>
          <w:p w14:paraId="5709463D">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13B8D504">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r w14:paraId="2AE948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726" w:type="dxa"/>
            <w:vAlign w:val="center"/>
          </w:tcPr>
          <w:p w14:paraId="51394098">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负责人</w:t>
            </w:r>
          </w:p>
        </w:tc>
        <w:tc>
          <w:tcPr>
            <w:tcW w:w="1813" w:type="dxa"/>
            <w:gridSpan w:val="2"/>
            <w:vAlign w:val="center"/>
          </w:tcPr>
          <w:p w14:paraId="19AB0F80">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39" w:type="dxa"/>
            <w:vAlign w:val="center"/>
          </w:tcPr>
          <w:p w14:paraId="7DDD5AD4">
            <w:pPr>
              <w:snapToGrid w:val="0"/>
              <w:spacing w:before="50" w:afterLines="50" w:line="40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联系电话</w:t>
            </w:r>
          </w:p>
        </w:tc>
        <w:tc>
          <w:tcPr>
            <w:tcW w:w="2323" w:type="dxa"/>
            <w:gridSpan w:val="2"/>
            <w:vAlign w:val="center"/>
          </w:tcPr>
          <w:p w14:paraId="14DBB1EB">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c>
          <w:tcPr>
            <w:tcW w:w="1450" w:type="dxa"/>
            <w:vAlign w:val="center"/>
          </w:tcPr>
          <w:p w14:paraId="4F53D9B3">
            <w:pPr>
              <w:snapToGrid w:val="0"/>
              <w:spacing w:before="50" w:afterLines="50" w:line="400" w:lineRule="exact"/>
              <w:jc w:val="center"/>
              <w:rPr>
                <w:rFonts w:hint="eastAsia" w:asciiTheme="minorEastAsia" w:hAnsiTheme="minorEastAsia" w:eastAsiaTheme="minorEastAsia" w:cstheme="minorEastAsia"/>
                <w:color w:val="auto"/>
                <w:sz w:val="24"/>
                <w:szCs w:val="24"/>
              </w:rPr>
            </w:pPr>
          </w:p>
        </w:tc>
      </w:tr>
    </w:tbl>
    <w:p w14:paraId="67119941">
      <w:pPr>
        <w:pStyle w:val="11"/>
        <w:numPr>
          <w:ilvl w:val="0"/>
          <w:numId w:val="0"/>
        </w:numPr>
        <w:snapToGrid w:val="0"/>
        <w:rPr>
          <w:rFonts w:hint="eastAsia" w:asciiTheme="minorEastAsia" w:hAnsiTheme="minorEastAsia" w:eastAsiaTheme="minorEastAsia" w:cstheme="minorEastAsia"/>
          <w:color w:val="auto"/>
          <w:sz w:val="24"/>
          <w:szCs w:val="24"/>
        </w:rPr>
      </w:pPr>
    </w:p>
    <w:p w14:paraId="00B61FE4">
      <w:pPr>
        <w:widowControl/>
        <w:spacing w:line="360" w:lineRule="auto"/>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5F4FCC40">
      <w:pPr>
        <w:pStyle w:val="15"/>
        <w:snapToGrid w:val="0"/>
        <w:spacing w:line="360" w:lineRule="auto"/>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3B61A38D">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01A1F72D">
      <w:pPr>
        <w:snapToGrid w:val="0"/>
        <w:spacing w:line="360" w:lineRule="auto"/>
        <w:jc w:val="center"/>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bCs/>
          <w:color w:val="auto"/>
          <w:sz w:val="24"/>
          <w:szCs w:val="24"/>
        </w:rPr>
        <w:t>三、报价文件</w:t>
      </w:r>
    </w:p>
    <w:p w14:paraId="5AFBF205">
      <w:pPr>
        <w:numPr>
          <w:ilvl w:val="0"/>
          <w:numId w:val="18"/>
        </w:numPr>
        <w:snapToGrid w:val="0"/>
        <w:spacing w:line="360" w:lineRule="auto"/>
        <w:ind w:firstLine="0"/>
        <w:jc w:val="left"/>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报价文件封面格式（选用）：</w:t>
      </w:r>
    </w:p>
    <w:p w14:paraId="3FF62F01">
      <w:pPr>
        <w:snapToGrid w:val="0"/>
        <w:spacing w:line="360" w:lineRule="auto"/>
        <w:ind w:firstLine="236" w:firstLineChars="98"/>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封面格式：</w:t>
      </w:r>
    </w:p>
    <w:p w14:paraId="45813204">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
          <w:color w:val="auto"/>
          <w:sz w:val="24"/>
          <w:szCs w:val="24"/>
        </w:rPr>
        <w:t xml:space="preserve"> 正本/或副本</w:t>
      </w:r>
    </w:p>
    <w:p w14:paraId="7AC73581">
      <w:pPr>
        <w:snapToGrid w:val="0"/>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报价文件</w:t>
      </w:r>
    </w:p>
    <w:p w14:paraId="664E83D8">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项目名称：</w:t>
      </w:r>
    </w:p>
    <w:p w14:paraId="6E064F78">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项目编号：</w:t>
      </w:r>
    </w:p>
    <w:p w14:paraId="57353589">
      <w:pPr>
        <w:spacing w:line="480" w:lineRule="auto"/>
        <w:ind w:firstLine="1080" w:firstLineChars="45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投标人名称：</w:t>
      </w:r>
      <w:r>
        <w:rPr>
          <w:rFonts w:hint="eastAsia" w:asciiTheme="minorEastAsia" w:hAnsiTheme="minorEastAsia" w:eastAsiaTheme="minorEastAsia" w:cstheme="minorEastAsia"/>
          <w:bCs/>
          <w:color w:val="auto"/>
          <w:sz w:val="24"/>
          <w:szCs w:val="24"/>
          <w:u w:val="single"/>
        </w:rPr>
        <w:t xml:space="preserve">[填写单位名称并盖章] </w:t>
      </w:r>
    </w:p>
    <w:p w14:paraId="31F7F1BF">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 xml:space="preserve">标项： </w:t>
      </w:r>
    </w:p>
    <w:p w14:paraId="70EF513C">
      <w:pPr>
        <w:snapToGrid w:val="0"/>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投标人地址：</w:t>
      </w:r>
    </w:p>
    <w:p w14:paraId="768FD423">
      <w:pPr>
        <w:snapToGrid w:val="0"/>
        <w:spacing w:line="480" w:lineRule="auto"/>
        <w:ind w:firstLine="1080" w:firstLineChars="4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法定代表人或其被授权代表</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u w:val="single"/>
        </w:rPr>
        <w:t xml:space="preserve">     [签字或盖章]           </w:t>
      </w:r>
    </w:p>
    <w:p w14:paraId="4CA6F1AB">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  月  日</w:t>
      </w:r>
    </w:p>
    <w:p w14:paraId="27D85A62">
      <w:pPr>
        <w:snapToGri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bCs/>
          <w:color w:val="auto"/>
          <w:sz w:val="24"/>
          <w:szCs w:val="24"/>
        </w:rPr>
        <w:br w:type="page"/>
      </w:r>
      <w:r>
        <w:rPr>
          <w:rFonts w:hint="eastAsia" w:asciiTheme="minorEastAsia" w:hAnsiTheme="minorEastAsia" w:eastAsiaTheme="minorEastAsia" w:cstheme="minorEastAsia"/>
          <w:b/>
          <w:color w:val="auto"/>
          <w:sz w:val="24"/>
          <w:szCs w:val="24"/>
        </w:rPr>
        <w:t>（三）报价文件包括以下内容：</w:t>
      </w:r>
    </w:p>
    <w:p w14:paraId="73BB64FE">
      <w:pPr>
        <w:tabs>
          <w:tab w:val="left" w:pos="420"/>
        </w:tabs>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（1）投标函（格式见附件）；</w:t>
      </w:r>
    </w:p>
    <w:p w14:paraId="2C90CD38">
      <w:pPr>
        <w:tabs>
          <w:tab w:val="left" w:pos="518"/>
        </w:tabs>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（2）开标一览表（格式见附件）；</w:t>
      </w:r>
    </w:p>
    <w:p w14:paraId="1DDD3B80">
      <w:pPr>
        <w:tabs>
          <w:tab w:val="left" w:pos="518"/>
        </w:tabs>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（3）投标分项报价表（格式见附件）；</w:t>
      </w:r>
    </w:p>
    <w:p w14:paraId="629BEFA1">
      <w:pPr>
        <w:tabs>
          <w:tab w:val="left" w:pos="518"/>
        </w:tabs>
        <w:spacing w:line="360" w:lineRule="auto"/>
        <w:ind w:firstLine="480"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（4）投标人针对报价需要说明的其他文件和说明。</w:t>
      </w:r>
    </w:p>
    <w:p w14:paraId="5C42A2D0">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投标函</w:t>
      </w:r>
    </w:p>
    <w:p w14:paraId="7A6BEFED">
      <w:pPr>
        <w:pStyle w:val="15"/>
        <w:widowControl/>
        <w:spacing w:line="400" w:lineRule="exact"/>
        <w:ind w:firstLine="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致：浙江中创招投标有限公司</w:t>
      </w:r>
    </w:p>
    <w:p w14:paraId="38F7AB03">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u w:val="single"/>
        </w:rPr>
        <w:t xml:space="preserve">（投标人全称） </w:t>
      </w:r>
      <w:r>
        <w:rPr>
          <w:rFonts w:hint="eastAsia" w:asciiTheme="minorEastAsia" w:hAnsiTheme="minorEastAsia" w:eastAsiaTheme="minorEastAsia" w:cstheme="minorEastAsia"/>
          <w:color w:val="auto"/>
          <w:sz w:val="24"/>
          <w:szCs w:val="24"/>
        </w:rPr>
        <w:t>授权</w:t>
      </w:r>
      <w:r>
        <w:rPr>
          <w:rFonts w:hint="eastAsia" w:asciiTheme="minorEastAsia" w:hAnsiTheme="minorEastAsia" w:eastAsiaTheme="minorEastAsia" w:cstheme="minorEastAsia"/>
          <w:color w:val="auto"/>
          <w:sz w:val="24"/>
          <w:szCs w:val="24"/>
          <w:u w:val="single"/>
        </w:rPr>
        <w:t xml:space="preserve"> （授权代表姓名、职务）</w:t>
      </w:r>
      <w:r>
        <w:rPr>
          <w:rFonts w:hint="eastAsia" w:asciiTheme="minorEastAsia" w:hAnsiTheme="minorEastAsia" w:eastAsiaTheme="minorEastAsia" w:cstheme="minorEastAsia"/>
          <w:color w:val="auto"/>
          <w:sz w:val="24"/>
          <w:szCs w:val="24"/>
        </w:rPr>
        <w:t>为本公司合法代理人，参加贵方组织的</w:t>
      </w:r>
      <w:r>
        <w:rPr>
          <w:rFonts w:hint="eastAsia" w:asciiTheme="minorEastAsia" w:hAnsiTheme="minorEastAsia" w:eastAsiaTheme="minorEastAsia" w:cstheme="minorEastAsia"/>
          <w:color w:val="auto"/>
          <w:sz w:val="24"/>
          <w:szCs w:val="24"/>
          <w:u w:val="single"/>
        </w:rPr>
        <w:t xml:space="preserve">（项目编号、项目名称） </w:t>
      </w:r>
      <w:r>
        <w:rPr>
          <w:rFonts w:hint="eastAsia" w:asciiTheme="minorEastAsia" w:hAnsiTheme="minorEastAsia" w:eastAsiaTheme="minorEastAsia" w:cstheme="minorEastAsia"/>
          <w:color w:val="auto"/>
          <w:sz w:val="24"/>
          <w:szCs w:val="24"/>
        </w:rPr>
        <w:t>招投标活动，代表本公司（单位）处理招投标活动中的一切事宜，在此：</w:t>
      </w:r>
    </w:p>
    <w:p w14:paraId="30A63E0B">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1、提供采购文件中“投标须知”规定的全部投标文件：</w:t>
      </w:r>
    </w:p>
    <w:p w14:paraId="1D2E37D4">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（1）上传到政府采购云平台的电子投标文件（含资格证明文件、商务技术文件、报价文件）1份。</w:t>
      </w:r>
    </w:p>
    <w:p w14:paraId="76BD7C1E">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（2）以U盘存储的电子备份投标文件份。</w:t>
      </w:r>
    </w:p>
    <w:p w14:paraId="3E7156F9">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2、据此函，签字代表宣布并承诺如下：</w:t>
      </w:r>
    </w:p>
    <w:p w14:paraId="597D8C1C">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（1）投标报价为开标一览表载明的投标报价。</w:t>
      </w:r>
    </w:p>
    <w:p w14:paraId="4CCFCBDD">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本报价已经包含了投标项目应纳的税金及采购文件规定的报价方式应包含的其它费用。本报价在投标有效期内固定不变，并在合同有效期内不受利率波动的影响。</w:t>
      </w:r>
    </w:p>
    <w:p w14:paraId="2D47BDE2">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（2）本投标文件自开标之日起</w:t>
      </w:r>
      <w:r>
        <w:rPr>
          <w:rFonts w:hint="eastAsia" w:asciiTheme="minorEastAsia" w:hAnsiTheme="minorEastAsia" w:eastAsiaTheme="minorEastAsia" w:cstheme="minorEastAsia"/>
          <w:b/>
          <w:color w:val="auto"/>
          <w:sz w:val="24"/>
          <w:szCs w:val="24"/>
          <w:u w:val="single"/>
        </w:rPr>
        <w:t>90</w:t>
      </w:r>
      <w:r>
        <w:rPr>
          <w:rFonts w:hint="eastAsia" w:asciiTheme="minorEastAsia" w:hAnsiTheme="minorEastAsia" w:eastAsiaTheme="minorEastAsia" w:cstheme="minorEastAsia"/>
          <w:color w:val="auto"/>
          <w:sz w:val="24"/>
          <w:szCs w:val="24"/>
        </w:rPr>
        <w:t>天内有效。</w:t>
      </w:r>
    </w:p>
    <w:p w14:paraId="2E8714B8">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（3）我们已详细审查全部采购文件及有关的澄清/修改文件（若有），我们完全理解并同意放弃对这方面提出任何异议的权利。</w:t>
      </w:r>
    </w:p>
    <w:p w14:paraId="5DF1296A">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（4）保证遵守采购文件有关条款规定。</w:t>
      </w:r>
    </w:p>
    <w:p w14:paraId="7D81A448">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（5）保证在中标后忠实地执行与</w:t>
      </w:r>
      <w:r>
        <w:rPr>
          <w:rFonts w:hint="eastAsia" w:asciiTheme="minorEastAsia" w:hAnsiTheme="minorEastAsia" w:eastAsiaTheme="minorEastAsia" w:cstheme="minorEastAsia"/>
          <w:color w:val="auto"/>
          <w:sz w:val="24"/>
          <w:szCs w:val="24"/>
          <w:lang w:eastAsia="zh-CN"/>
        </w:rPr>
        <w:t>招标人</w:t>
      </w:r>
      <w:r>
        <w:rPr>
          <w:rFonts w:hint="eastAsia" w:asciiTheme="minorEastAsia" w:hAnsiTheme="minorEastAsia" w:eastAsiaTheme="minorEastAsia" w:cstheme="minorEastAsia"/>
          <w:color w:val="auto"/>
          <w:sz w:val="24"/>
          <w:szCs w:val="24"/>
        </w:rPr>
        <w:t>所签署的合同，并承担合同规定的责任义务。</w:t>
      </w:r>
    </w:p>
    <w:p w14:paraId="09669270">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6）完全同意采购文件中有关招标代理服务费的条款，保证在中标后按照采购文件规定的金额、时间和方式，向贵方一次性交纳中标服务费。我方如逾期未交纳（含未足额）的，愿凭贵方开出的违约通知，按上述规定应交纳金额（含欠交纳）的200%交纳违约金和滞纳的银行利息。承诺在未交足上述违约金和利息前，同意不再参加贵方代理的其他项目，如果贵方不接受我们的投标，我们自愿放弃任何方式进行抗辩的权力。</w:t>
      </w:r>
    </w:p>
    <w:p w14:paraId="7C44F5D9">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7）我们郑重声明：我公司符合政府采购法规定的参加政府采购活动应当具备的条件：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05BAC37C">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3、与本项目投标有关的一切往来通讯请寄：</w:t>
      </w:r>
    </w:p>
    <w:p w14:paraId="0AAEE11C">
      <w:pPr>
        <w:pStyle w:val="15"/>
        <w:widowControl/>
        <w:spacing w:line="400" w:lineRule="exact"/>
        <w:ind w:firstLine="464" w:firstLineChars="2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地址：</w:t>
      </w:r>
    </w:p>
    <w:p w14:paraId="762DDC96">
      <w:pPr>
        <w:pStyle w:val="15"/>
        <w:widowControl/>
        <w:spacing w:line="400" w:lineRule="exact"/>
        <w:ind w:firstLine="464" w:firstLineChars="2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邮编：电话：传真：</w:t>
      </w:r>
    </w:p>
    <w:p w14:paraId="077D629A">
      <w:pPr>
        <w:pStyle w:val="15"/>
        <w:widowControl/>
        <w:spacing w:line="400" w:lineRule="exact"/>
        <w:ind w:firstLine="0"/>
        <w:rPr>
          <w:rFonts w:hint="eastAsia" w:asciiTheme="minorEastAsia" w:hAnsiTheme="minorEastAsia" w:eastAsiaTheme="minorEastAsia" w:cstheme="minorEastAsia"/>
          <w:color w:val="auto"/>
          <w:sz w:val="24"/>
          <w:szCs w:val="24"/>
        </w:rPr>
      </w:pPr>
    </w:p>
    <w:p w14:paraId="61B1C2F4">
      <w:pPr>
        <w:pStyle w:val="15"/>
        <w:widowControl/>
        <w:spacing w:line="400" w:lineRule="exact"/>
        <w:ind w:firstLine="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5AAEA6F2">
      <w:pPr>
        <w:pStyle w:val="15"/>
        <w:widowControl/>
        <w:spacing w:line="400" w:lineRule="exact"/>
        <w:ind w:firstLine="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4A8D65A8">
      <w:pPr>
        <w:pStyle w:val="15"/>
        <w:widowControl/>
        <w:spacing w:line="400" w:lineRule="exact"/>
        <w:ind w:firstLine="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pacing w:val="0"/>
          <w:sz w:val="24"/>
          <w:szCs w:val="24"/>
        </w:rPr>
        <w:t>日期：</w:t>
      </w:r>
    </w:p>
    <w:p w14:paraId="2B9861A1">
      <w:pPr>
        <w:spacing w:line="360" w:lineRule="auto"/>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开标一览表</w:t>
      </w:r>
    </w:p>
    <w:p w14:paraId="4B5BBC9F">
      <w:pPr>
        <w:spacing w:line="440" w:lineRule="exact"/>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项目编号：</w:t>
      </w:r>
    </w:p>
    <w:p w14:paraId="17EDF102">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项目名称</w:t>
      </w:r>
      <w:r>
        <w:rPr>
          <w:rFonts w:hint="eastAsia" w:asciiTheme="minorEastAsia" w:hAnsiTheme="minorEastAsia" w:eastAsiaTheme="minorEastAsia" w:cstheme="minorEastAsia"/>
          <w:color w:val="auto"/>
          <w:sz w:val="24"/>
          <w:szCs w:val="24"/>
        </w:rPr>
        <w:t>：</w:t>
      </w:r>
    </w:p>
    <w:p w14:paraId="34527C8D">
      <w:pPr>
        <w:spacing w:line="440" w:lineRule="exac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单位：元</w:t>
      </w:r>
    </w:p>
    <w:tbl>
      <w:tblPr>
        <w:tblStyle w:val="37"/>
        <w:tblW w:w="937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979"/>
        <w:gridCol w:w="2672"/>
        <w:gridCol w:w="1843"/>
        <w:gridCol w:w="1203"/>
      </w:tblGrid>
      <w:tr w14:paraId="576DCBD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681" w:type="dxa"/>
            <w:vAlign w:val="center"/>
          </w:tcPr>
          <w:p w14:paraId="64352055">
            <w:pPr>
              <w:pStyle w:val="15"/>
              <w:widowControl/>
              <w:spacing w:line="400" w:lineRule="exact"/>
              <w:ind w:firstLine="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标项</w:t>
            </w:r>
          </w:p>
        </w:tc>
        <w:tc>
          <w:tcPr>
            <w:tcW w:w="2979" w:type="dxa"/>
            <w:vAlign w:val="center"/>
          </w:tcPr>
          <w:p w14:paraId="6F6791D2">
            <w:pPr>
              <w:pStyle w:val="15"/>
              <w:widowControl/>
              <w:spacing w:line="400" w:lineRule="exact"/>
              <w:ind w:firstLine="1027" w:firstLineChars="443"/>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标项名称</w:t>
            </w:r>
          </w:p>
        </w:tc>
        <w:tc>
          <w:tcPr>
            <w:tcW w:w="2672" w:type="dxa"/>
            <w:vAlign w:val="center"/>
          </w:tcPr>
          <w:p w14:paraId="611BB4E0">
            <w:pPr>
              <w:pStyle w:val="15"/>
              <w:widowControl/>
              <w:spacing w:line="400" w:lineRule="exact"/>
              <w:jc w:val="both"/>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投标价（人民币万元）</w:t>
            </w:r>
          </w:p>
        </w:tc>
        <w:tc>
          <w:tcPr>
            <w:tcW w:w="1843" w:type="dxa"/>
            <w:vAlign w:val="center"/>
          </w:tcPr>
          <w:p w14:paraId="104148DD">
            <w:pPr>
              <w:pStyle w:val="15"/>
              <w:widowControl/>
              <w:spacing w:line="400" w:lineRule="exact"/>
              <w:ind w:firstLine="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交货时间、地点</w:t>
            </w:r>
          </w:p>
        </w:tc>
        <w:tc>
          <w:tcPr>
            <w:tcW w:w="1203" w:type="dxa"/>
            <w:vAlign w:val="center"/>
          </w:tcPr>
          <w:p w14:paraId="6A5197FA">
            <w:pPr>
              <w:pStyle w:val="15"/>
              <w:widowControl/>
              <w:spacing w:line="400" w:lineRule="exact"/>
              <w:ind w:firstLine="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产地品牌</w:t>
            </w:r>
          </w:p>
        </w:tc>
      </w:tr>
      <w:tr w14:paraId="2C28D38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81" w:type="dxa"/>
            <w:vAlign w:val="center"/>
          </w:tcPr>
          <w:p w14:paraId="335DFCED">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c>
          <w:tcPr>
            <w:tcW w:w="2979" w:type="dxa"/>
            <w:vAlign w:val="center"/>
          </w:tcPr>
          <w:p w14:paraId="3D545544">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c>
          <w:tcPr>
            <w:tcW w:w="2672" w:type="dxa"/>
            <w:vAlign w:val="center"/>
          </w:tcPr>
          <w:p w14:paraId="084E1D9B">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c>
          <w:tcPr>
            <w:tcW w:w="1843" w:type="dxa"/>
            <w:vAlign w:val="center"/>
          </w:tcPr>
          <w:p w14:paraId="6E487378">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c>
          <w:tcPr>
            <w:tcW w:w="1203" w:type="dxa"/>
            <w:vAlign w:val="center"/>
          </w:tcPr>
          <w:p w14:paraId="5C0D3E86">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r>
      <w:tr w14:paraId="3423E1E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3660" w:type="dxa"/>
            <w:gridSpan w:val="2"/>
            <w:vAlign w:val="center"/>
          </w:tcPr>
          <w:p w14:paraId="180E650C">
            <w:pPr>
              <w:pStyle w:val="15"/>
              <w:widowControl/>
              <w:spacing w:line="400" w:lineRule="exact"/>
              <w:ind w:firstLine="696" w:firstLineChars="3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投标总价（大写）</w:t>
            </w:r>
          </w:p>
        </w:tc>
        <w:tc>
          <w:tcPr>
            <w:tcW w:w="5718" w:type="dxa"/>
            <w:gridSpan w:val="3"/>
            <w:vAlign w:val="center"/>
          </w:tcPr>
          <w:p w14:paraId="380BE517">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r>
      <w:tr w14:paraId="21675FE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jc w:val="center"/>
        </w:trPr>
        <w:tc>
          <w:tcPr>
            <w:tcW w:w="681" w:type="dxa"/>
            <w:vAlign w:val="center"/>
          </w:tcPr>
          <w:p w14:paraId="0795B2B1">
            <w:pPr>
              <w:pStyle w:val="15"/>
              <w:widowControl/>
              <w:spacing w:line="400" w:lineRule="exact"/>
              <w:ind w:firstLine="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投标声明</w:t>
            </w:r>
          </w:p>
        </w:tc>
        <w:tc>
          <w:tcPr>
            <w:tcW w:w="8697" w:type="dxa"/>
            <w:gridSpan w:val="4"/>
          </w:tcPr>
          <w:p w14:paraId="13B52AEA">
            <w:pPr>
              <w:pStyle w:val="15"/>
              <w:widowControl/>
              <w:spacing w:line="400" w:lineRule="exact"/>
              <w:ind w:firstLine="464" w:firstLineChars="200"/>
              <w:rPr>
                <w:rFonts w:hint="eastAsia" w:asciiTheme="minorEastAsia" w:hAnsiTheme="minorEastAsia" w:eastAsiaTheme="minorEastAsia" w:cstheme="minorEastAsia"/>
                <w:color w:val="auto"/>
                <w:sz w:val="24"/>
                <w:szCs w:val="24"/>
                <w:lang w:val="en-US" w:eastAsia="zh-CN"/>
              </w:rPr>
            </w:pPr>
          </w:p>
        </w:tc>
      </w:tr>
    </w:tbl>
    <w:p w14:paraId="5DE01758">
      <w:pPr>
        <w:pStyle w:val="47"/>
        <w:numPr>
          <w:ilvl w:val="0"/>
          <w:numId w:val="0"/>
        </w:numPr>
        <w:rPr>
          <w:rFonts w:hint="eastAsia" w:asciiTheme="minorEastAsia" w:hAnsiTheme="minorEastAsia" w:eastAsiaTheme="minorEastAsia" w:cstheme="minorEastAsia"/>
          <w:color w:val="auto"/>
          <w:sz w:val="24"/>
          <w:szCs w:val="24"/>
        </w:rPr>
      </w:pPr>
    </w:p>
    <w:p w14:paraId="02AFE7DA">
      <w:pPr>
        <w:snapToGrid w:val="0"/>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注：1、报价一经涂改，应在涂改处加盖单位公章或者由法定代表人或授权委托人签字或盖章，否则其投标作无效标处理。</w:t>
      </w:r>
    </w:p>
    <w:p w14:paraId="79D089E8">
      <w:pPr>
        <w:snapToGrid w:val="0"/>
        <w:spacing w:line="440" w:lineRule="exact"/>
        <w:ind w:firstLine="480" w:firstLineChars="200"/>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2、以上报价合计应与“投标分项报价表”中的“投标总价”相一致。</w:t>
      </w:r>
    </w:p>
    <w:p w14:paraId="1182845A">
      <w:pPr>
        <w:spacing w:line="440" w:lineRule="exact"/>
        <w:rPr>
          <w:rFonts w:hint="eastAsia" w:asciiTheme="minorEastAsia" w:hAnsiTheme="minorEastAsia" w:eastAsiaTheme="minorEastAsia" w:cstheme="minorEastAsia"/>
          <w:color w:val="auto"/>
          <w:sz w:val="24"/>
          <w:szCs w:val="24"/>
        </w:rPr>
      </w:pPr>
    </w:p>
    <w:p w14:paraId="23A4B086">
      <w:pPr>
        <w:pStyle w:val="15"/>
        <w:spacing w:line="440" w:lineRule="exact"/>
        <w:ind w:firstLine="0"/>
        <w:rPr>
          <w:rFonts w:hint="eastAsia" w:asciiTheme="minorEastAsia" w:hAnsiTheme="minorEastAsia" w:eastAsiaTheme="minorEastAsia" w:cstheme="minorEastAsia"/>
          <w:color w:val="auto"/>
          <w:sz w:val="24"/>
          <w:szCs w:val="24"/>
        </w:rPr>
      </w:pPr>
    </w:p>
    <w:p w14:paraId="001B3BA9">
      <w:pPr>
        <w:widowControl/>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50D0456A">
      <w:pPr>
        <w:pStyle w:val="15"/>
        <w:snapToGrid w:val="0"/>
        <w:spacing w:line="440" w:lineRule="exact"/>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718267DC">
      <w:pPr>
        <w:pStyle w:val="15"/>
        <w:widowControl/>
        <w:spacing w:line="440" w:lineRule="exact"/>
        <w:ind w:firstLine="0"/>
        <w:jc w:val="left"/>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日期：</w:t>
      </w:r>
    </w:p>
    <w:p w14:paraId="0479C1BF">
      <w:pPr>
        <w:pStyle w:val="15"/>
        <w:widowControl/>
        <w:spacing w:line="360" w:lineRule="auto"/>
        <w:ind w:firstLine="0"/>
        <w:jc w:val="left"/>
        <w:rPr>
          <w:rFonts w:hint="eastAsia" w:asciiTheme="minorEastAsia" w:hAnsiTheme="minorEastAsia" w:eastAsiaTheme="minorEastAsia" w:cstheme="minorEastAsia"/>
          <w:color w:val="auto"/>
          <w:spacing w:val="0"/>
          <w:sz w:val="24"/>
          <w:szCs w:val="24"/>
        </w:rPr>
      </w:pPr>
    </w:p>
    <w:p w14:paraId="0B73FD9E">
      <w:pPr>
        <w:pStyle w:val="15"/>
        <w:widowControl/>
        <w:spacing w:line="360" w:lineRule="auto"/>
        <w:ind w:firstLine="0"/>
        <w:jc w:val="left"/>
        <w:rPr>
          <w:rFonts w:hint="eastAsia" w:asciiTheme="minorEastAsia" w:hAnsiTheme="minorEastAsia" w:eastAsiaTheme="minorEastAsia" w:cstheme="minorEastAsia"/>
          <w:b/>
          <w:color w:val="auto"/>
          <w:sz w:val="24"/>
          <w:szCs w:val="24"/>
        </w:rPr>
        <w:sectPr>
          <w:headerReference r:id="rId11" w:type="default"/>
          <w:footerReference r:id="rId12" w:type="default"/>
          <w:pgSz w:w="11907" w:h="16840"/>
          <w:pgMar w:top="1276" w:right="1474" w:bottom="1242" w:left="1474" w:header="851" w:footer="851" w:gutter="0"/>
          <w:cols w:space="720" w:num="1"/>
          <w:titlePg/>
          <w:docGrid w:linePitch="312" w:charSpace="0"/>
        </w:sectPr>
      </w:pPr>
    </w:p>
    <w:p w14:paraId="1A5F382F">
      <w:pPr>
        <w:widowControl/>
        <w:jc w:val="center"/>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投标分项报价表</w:t>
      </w:r>
    </w:p>
    <w:p w14:paraId="5A887318">
      <w:pPr>
        <w:snapToGrid w:val="0"/>
        <w:spacing w:line="440" w:lineRule="exact"/>
        <w:ind w:firstLine="240" w:firstLineChars="1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color w:val="auto"/>
          <w:sz w:val="24"/>
          <w:szCs w:val="24"/>
        </w:rPr>
        <w:t>项目编号：</w:t>
      </w:r>
    </w:p>
    <w:p w14:paraId="607B12CA">
      <w:pPr>
        <w:snapToGrid w:val="0"/>
        <w:spacing w:line="440" w:lineRule="exact"/>
        <w:ind w:firstLine="240" w:firstLineChars="100"/>
        <w:rPr>
          <w:rFonts w:hint="eastAsia" w:asciiTheme="minorEastAsia" w:hAnsiTheme="minorEastAsia" w:eastAsiaTheme="minorEastAsia" w:cstheme="minorEastAsia"/>
          <w:color w:val="auto"/>
          <w:sz w:val="24"/>
          <w:szCs w:val="24"/>
          <w:u w:val="single"/>
        </w:rPr>
      </w:pPr>
      <w:r>
        <w:rPr>
          <w:rFonts w:hint="eastAsia" w:asciiTheme="minorEastAsia" w:hAnsiTheme="minorEastAsia" w:eastAsiaTheme="minorEastAsia" w:cstheme="minorEastAsia"/>
          <w:bCs/>
          <w:color w:val="auto"/>
          <w:sz w:val="24"/>
          <w:szCs w:val="24"/>
        </w:rPr>
        <w:t>项目名称</w:t>
      </w:r>
      <w:r>
        <w:rPr>
          <w:rFonts w:hint="eastAsia" w:asciiTheme="minorEastAsia" w:hAnsiTheme="minorEastAsia" w:eastAsiaTheme="minorEastAsia" w:cstheme="minorEastAsia"/>
          <w:color w:val="auto"/>
          <w:sz w:val="24"/>
          <w:szCs w:val="24"/>
        </w:rPr>
        <w:t>：</w:t>
      </w:r>
    </w:p>
    <w:p w14:paraId="79F5C5BB">
      <w:pPr>
        <w:pStyle w:val="47"/>
        <w:numPr>
          <w:ilvl w:val="0"/>
          <w:numId w:val="0"/>
        </w:numPr>
        <w:rPr>
          <w:rFonts w:hint="eastAsia" w:asciiTheme="minorEastAsia" w:hAnsiTheme="minorEastAsia" w:eastAsiaTheme="minorEastAsia" w:cstheme="minorEastAsia"/>
          <w:color w:val="auto"/>
          <w:sz w:val="24"/>
          <w:szCs w:val="24"/>
          <w:u w:val="single"/>
        </w:rPr>
      </w:pPr>
    </w:p>
    <w:tbl>
      <w:tblPr>
        <w:tblStyle w:val="37"/>
        <w:tblW w:w="10407" w:type="dxa"/>
        <w:tblInd w:w="-320" w:type="dxa"/>
        <w:tblLayout w:type="fixed"/>
        <w:tblCellMar>
          <w:top w:w="0" w:type="dxa"/>
          <w:left w:w="108" w:type="dxa"/>
          <w:bottom w:w="0" w:type="dxa"/>
          <w:right w:w="108" w:type="dxa"/>
        </w:tblCellMar>
      </w:tblPr>
      <w:tblGrid>
        <w:gridCol w:w="1012"/>
        <w:gridCol w:w="1405"/>
        <w:gridCol w:w="1450"/>
        <w:gridCol w:w="910"/>
        <w:gridCol w:w="945"/>
        <w:gridCol w:w="765"/>
        <w:gridCol w:w="837"/>
        <w:gridCol w:w="831"/>
        <w:gridCol w:w="1126"/>
        <w:gridCol w:w="1126"/>
      </w:tblGrid>
      <w:tr w14:paraId="0D67258B">
        <w:tblPrEx>
          <w:tblCellMar>
            <w:top w:w="0" w:type="dxa"/>
            <w:left w:w="108" w:type="dxa"/>
            <w:bottom w:w="0" w:type="dxa"/>
            <w:right w:w="108" w:type="dxa"/>
          </w:tblCellMar>
        </w:tblPrEx>
        <w:trPr>
          <w:trHeight w:val="23" w:hRule="atLeast"/>
          <w:tblHeader/>
        </w:trPr>
        <w:tc>
          <w:tcPr>
            <w:tcW w:w="1012" w:type="dxa"/>
            <w:tcBorders>
              <w:top w:val="double" w:color="000000" w:sz="2" w:space="0"/>
              <w:left w:val="double" w:color="000000" w:sz="2" w:space="0"/>
              <w:bottom w:val="single" w:color="000000" w:sz="4" w:space="0"/>
              <w:right w:val="single" w:color="000000" w:sz="4" w:space="0"/>
            </w:tcBorders>
            <w:vAlign w:val="center"/>
          </w:tcPr>
          <w:p w14:paraId="1EFBAC7A">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序号</w:t>
            </w:r>
          </w:p>
        </w:tc>
        <w:tc>
          <w:tcPr>
            <w:tcW w:w="1405" w:type="dxa"/>
            <w:tcBorders>
              <w:top w:val="double" w:color="000000" w:sz="2" w:space="0"/>
              <w:left w:val="single" w:color="000000" w:sz="4" w:space="0"/>
              <w:bottom w:val="single" w:color="000000" w:sz="4" w:space="0"/>
              <w:right w:val="single" w:color="000000" w:sz="4" w:space="0"/>
            </w:tcBorders>
            <w:vAlign w:val="center"/>
          </w:tcPr>
          <w:p w14:paraId="44C4FA1B">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项目名称</w:t>
            </w:r>
          </w:p>
        </w:tc>
        <w:tc>
          <w:tcPr>
            <w:tcW w:w="1450" w:type="dxa"/>
            <w:tcBorders>
              <w:top w:val="double" w:color="000000" w:sz="2" w:space="0"/>
              <w:left w:val="single" w:color="000000" w:sz="4" w:space="0"/>
              <w:bottom w:val="single" w:color="000000" w:sz="4" w:space="0"/>
              <w:right w:val="single" w:color="000000" w:sz="4" w:space="0"/>
            </w:tcBorders>
            <w:vAlign w:val="center"/>
          </w:tcPr>
          <w:p w14:paraId="1A2D8698">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项目特征</w:t>
            </w:r>
          </w:p>
        </w:tc>
        <w:tc>
          <w:tcPr>
            <w:tcW w:w="910" w:type="dxa"/>
            <w:tcBorders>
              <w:top w:val="double" w:color="000000" w:sz="2" w:space="0"/>
              <w:left w:val="single" w:color="000000" w:sz="4" w:space="0"/>
              <w:bottom w:val="single" w:color="000000" w:sz="4" w:space="0"/>
              <w:right w:val="single" w:color="000000" w:sz="4" w:space="0"/>
            </w:tcBorders>
            <w:vAlign w:val="center"/>
          </w:tcPr>
          <w:p w14:paraId="4542002A">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单位</w:t>
            </w:r>
          </w:p>
        </w:tc>
        <w:tc>
          <w:tcPr>
            <w:tcW w:w="945" w:type="dxa"/>
            <w:tcBorders>
              <w:top w:val="double" w:color="000000" w:sz="2" w:space="0"/>
              <w:left w:val="single" w:color="000000" w:sz="4" w:space="0"/>
              <w:bottom w:val="single" w:color="000000" w:sz="4" w:space="0"/>
              <w:right w:val="double" w:color="000000" w:sz="2" w:space="0"/>
            </w:tcBorders>
            <w:vAlign w:val="center"/>
          </w:tcPr>
          <w:p w14:paraId="319AD301">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数量</w:t>
            </w:r>
          </w:p>
        </w:tc>
        <w:tc>
          <w:tcPr>
            <w:tcW w:w="765" w:type="dxa"/>
            <w:tcBorders>
              <w:top w:val="double" w:color="000000" w:sz="2" w:space="0"/>
              <w:left w:val="single" w:color="000000" w:sz="4" w:space="0"/>
              <w:bottom w:val="single" w:color="000000" w:sz="4" w:space="0"/>
              <w:right w:val="single" w:color="auto" w:sz="4" w:space="0"/>
            </w:tcBorders>
            <w:vAlign w:val="center"/>
          </w:tcPr>
          <w:p w14:paraId="27EE706E">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产地品牌</w:t>
            </w:r>
          </w:p>
        </w:tc>
        <w:tc>
          <w:tcPr>
            <w:tcW w:w="837" w:type="dxa"/>
            <w:tcBorders>
              <w:top w:val="double" w:color="000000" w:sz="2" w:space="0"/>
              <w:left w:val="single" w:color="auto" w:sz="4" w:space="0"/>
              <w:bottom w:val="single" w:color="000000" w:sz="4" w:space="0"/>
              <w:right w:val="double" w:color="000000" w:sz="2" w:space="0"/>
            </w:tcBorders>
            <w:vAlign w:val="center"/>
          </w:tcPr>
          <w:p w14:paraId="6629A37F">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规格/型号</w:t>
            </w:r>
          </w:p>
        </w:tc>
        <w:tc>
          <w:tcPr>
            <w:tcW w:w="831" w:type="dxa"/>
            <w:tcBorders>
              <w:top w:val="double" w:color="000000" w:sz="2" w:space="0"/>
              <w:left w:val="single" w:color="000000" w:sz="4" w:space="0"/>
              <w:bottom w:val="single" w:color="000000" w:sz="4" w:space="0"/>
              <w:right w:val="double" w:color="000000" w:sz="2" w:space="0"/>
            </w:tcBorders>
            <w:vAlign w:val="center"/>
          </w:tcPr>
          <w:p w14:paraId="40E42097">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含税综合单价</w:t>
            </w:r>
          </w:p>
        </w:tc>
        <w:tc>
          <w:tcPr>
            <w:tcW w:w="1126" w:type="dxa"/>
            <w:tcBorders>
              <w:top w:val="double" w:color="000000" w:sz="2" w:space="0"/>
              <w:left w:val="single" w:color="000000" w:sz="4" w:space="0"/>
              <w:bottom w:val="single" w:color="000000" w:sz="4" w:space="0"/>
              <w:right w:val="double" w:color="000000" w:sz="2" w:space="0"/>
            </w:tcBorders>
            <w:vAlign w:val="center"/>
          </w:tcPr>
          <w:p w14:paraId="0473A4E6">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含税合价</w:t>
            </w:r>
          </w:p>
        </w:tc>
        <w:tc>
          <w:tcPr>
            <w:tcW w:w="1126" w:type="dxa"/>
            <w:tcBorders>
              <w:top w:val="double" w:color="000000" w:sz="2" w:space="0"/>
              <w:left w:val="single" w:color="000000" w:sz="4" w:space="0"/>
              <w:bottom w:val="single" w:color="000000" w:sz="4" w:space="0"/>
              <w:right w:val="double" w:color="000000" w:sz="2" w:space="0"/>
            </w:tcBorders>
            <w:vAlign w:val="center"/>
          </w:tcPr>
          <w:p w14:paraId="7D5C79C6">
            <w:pPr>
              <w:widowControl/>
              <w:spacing w:line="440" w:lineRule="exact"/>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备注</w:t>
            </w:r>
          </w:p>
        </w:tc>
      </w:tr>
      <w:tr w14:paraId="0A5AB51A">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0A27A890">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096B49A5">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52BCDC17">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67AE5872">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0461379E">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4997A66E">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4AE23C78">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378A280D">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4E96BA3">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022B2336">
            <w:pPr>
              <w:widowControl/>
              <w:spacing w:line="440" w:lineRule="exact"/>
              <w:jc w:val="left"/>
              <w:rPr>
                <w:rFonts w:hint="eastAsia" w:asciiTheme="minorEastAsia" w:hAnsiTheme="minorEastAsia" w:eastAsiaTheme="minorEastAsia" w:cstheme="minorEastAsia"/>
                <w:color w:val="auto"/>
                <w:sz w:val="24"/>
                <w:szCs w:val="24"/>
              </w:rPr>
            </w:pPr>
          </w:p>
        </w:tc>
      </w:tr>
      <w:tr w14:paraId="2DAB8185">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05F866A9">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45672E33">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12586431">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0AB07F32">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34EE3E73">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198E3AEC">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0760918A">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5E992DDA">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48A4FC91">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4BC82C04">
            <w:pPr>
              <w:widowControl/>
              <w:spacing w:line="440" w:lineRule="exact"/>
              <w:jc w:val="left"/>
              <w:rPr>
                <w:rFonts w:hint="eastAsia" w:asciiTheme="minorEastAsia" w:hAnsiTheme="minorEastAsia" w:eastAsiaTheme="minorEastAsia" w:cstheme="minorEastAsia"/>
                <w:color w:val="auto"/>
                <w:sz w:val="24"/>
                <w:szCs w:val="24"/>
              </w:rPr>
            </w:pPr>
          </w:p>
        </w:tc>
      </w:tr>
      <w:tr w14:paraId="4EFB3824">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1735A961">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6B60065A">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0E1B0A35">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1FC45472">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4C75B28E">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1F2B60BC">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04151D9D">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12CEA642">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3553F24A">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687FCB70">
            <w:pPr>
              <w:widowControl/>
              <w:spacing w:line="440" w:lineRule="exact"/>
              <w:jc w:val="left"/>
              <w:rPr>
                <w:rFonts w:hint="eastAsia" w:asciiTheme="minorEastAsia" w:hAnsiTheme="minorEastAsia" w:eastAsiaTheme="minorEastAsia" w:cstheme="minorEastAsia"/>
                <w:color w:val="auto"/>
                <w:sz w:val="24"/>
                <w:szCs w:val="24"/>
              </w:rPr>
            </w:pPr>
          </w:p>
        </w:tc>
      </w:tr>
      <w:tr w14:paraId="080818CB">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2384B0F1">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3F157B15">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64683938">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36DF468E">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3CE4C56F">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0175B4FA">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386E19FC">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331EB55A">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2813F731">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685872DF">
            <w:pPr>
              <w:widowControl/>
              <w:spacing w:line="440" w:lineRule="exact"/>
              <w:jc w:val="left"/>
              <w:rPr>
                <w:rFonts w:hint="eastAsia" w:asciiTheme="minorEastAsia" w:hAnsiTheme="minorEastAsia" w:eastAsiaTheme="minorEastAsia" w:cstheme="minorEastAsia"/>
                <w:color w:val="auto"/>
                <w:sz w:val="24"/>
                <w:szCs w:val="24"/>
              </w:rPr>
            </w:pPr>
          </w:p>
        </w:tc>
      </w:tr>
      <w:tr w14:paraId="4A8F1A28">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0557B2E1">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3A2F8AE6">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2E875E78">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2B05CDD5">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00626A14">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7683E426">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6E195C0E">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7436FBAA">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449C16CA">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516B416E">
            <w:pPr>
              <w:widowControl/>
              <w:spacing w:line="440" w:lineRule="exact"/>
              <w:jc w:val="left"/>
              <w:rPr>
                <w:rFonts w:hint="eastAsia" w:asciiTheme="minorEastAsia" w:hAnsiTheme="minorEastAsia" w:eastAsiaTheme="minorEastAsia" w:cstheme="minorEastAsia"/>
                <w:color w:val="auto"/>
                <w:sz w:val="24"/>
                <w:szCs w:val="24"/>
              </w:rPr>
            </w:pPr>
          </w:p>
        </w:tc>
      </w:tr>
      <w:tr w14:paraId="4CF47C3C">
        <w:tblPrEx>
          <w:tblCellMar>
            <w:top w:w="0" w:type="dxa"/>
            <w:left w:w="108" w:type="dxa"/>
            <w:bottom w:w="0" w:type="dxa"/>
            <w:right w:w="108" w:type="dxa"/>
          </w:tblCellMar>
        </w:tblPrEx>
        <w:trPr>
          <w:trHeight w:val="305"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3A0EDB59">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0FD5B7C2">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0BB14CC1">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0DFF0A82">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581E139E">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3F3E5729">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0867B401">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6D553698">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59FF8363">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36A5DD34">
            <w:pPr>
              <w:widowControl/>
              <w:spacing w:line="440" w:lineRule="exact"/>
              <w:jc w:val="left"/>
              <w:rPr>
                <w:rFonts w:hint="eastAsia" w:asciiTheme="minorEastAsia" w:hAnsiTheme="minorEastAsia" w:eastAsiaTheme="minorEastAsia" w:cstheme="minorEastAsia"/>
                <w:color w:val="auto"/>
                <w:sz w:val="24"/>
                <w:szCs w:val="24"/>
              </w:rPr>
            </w:pPr>
          </w:p>
        </w:tc>
      </w:tr>
      <w:tr w14:paraId="5870C7D9">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50D35184">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5C25B6F0">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1CC28F00">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3A44C928">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70752BBB">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10811B68">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346D70F9">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45FD4A10">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7E7662FB">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625AB3A">
            <w:pPr>
              <w:widowControl/>
              <w:spacing w:line="440" w:lineRule="exact"/>
              <w:jc w:val="left"/>
              <w:rPr>
                <w:rFonts w:hint="eastAsia" w:asciiTheme="minorEastAsia" w:hAnsiTheme="minorEastAsia" w:eastAsiaTheme="minorEastAsia" w:cstheme="minorEastAsia"/>
                <w:color w:val="auto"/>
                <w:sz w:val="24"/>
                <w:szCs w:val="24"/>
              </w:rPr>
            </w:pPr>
          </w:p>
        </w:tc>
      </w:tr>
      <w:tr w14:paraId="53834AB2">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1E2692B3">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18BBBF21">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155CBFB9">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08A5B2F4">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459994BD">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6D0B8923">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078FAECA">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16348E80">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0AE7823C">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C78841B">
            <w:pPr>
              <w:widowControl/>
              <w:spacing w:line="440" w:lineRule="exact"/>
              <w:jc w:val="left"/>
              <w:rPr>
                <w:rFonts w:hint="eastAsia" w:asciiTheme="minorEastAsia" w:hAnsiTheme="minorEastAsia" w:eastAsiaTheme="minorEastAsia" w:cstheme="minorEastAsia"/>
                <w:color w:val="auto"/>
                <w:sz w:val="24"/>
                <w:szCs w:val="24"/>
              </w:rPr>
            </w:pPr>
          </w:p>
        </w:tc>
      </w:tr>
      <w:tr w14:paraId="5011776A">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2D5C1D69">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4ECEE375">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100665C0">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60F4C131">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5E252429">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72768E90">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678D750F">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73F5CDFC">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D5D9BB0">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9D0CB4D">
            <w:pPr>
              <w:widowControl/>
              <w:spacing w:line="440" w:lineRule="exact"/>
              <w:jc w:val="left"/>
              <w:rPr>
                <w:rFonts w:hint="eastAsia" w:asciiTheme="minorEastAsia" w:hAnsiTheme="minorEastAsia" w:eastAsiaTheme="minorEastAsia" w:cstheme="minorEastAsia"/>
                <w:color w:val="auto"/>
                <w:sz w:val="24"/>
                <w:szCs w:val="24"/>
              </w:rPr>
            </w:pPr>
          </w:p>
        </w:tc>
      </w:tr>
      <w:tr w14:paraId="68C6C022">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1B35158E">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5ABF9A20">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7BA15D99">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219F12BD">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2419F4BE">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2B0CDA38">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7D2595E0">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0449647D">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05C804AD">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5BE09EDF">
            <w:pPr>
              <w:widowControl/>
              <w:spacing w:line="440" w:lineRule="exact"/>
              <w:jc w:val="left"/>
              <w:rPr>
                <w:rFonts w:hint="eastAsia" w:asciiTheme="minorEastAsia" w:hAnsiTheme="minorEastAsia" w:eastAsiaTheme="minorEastAsia" w:cstheme="minorEastAsia"/>
                <w:color w:val="auto"/>
                <w:sz w:val="24"/>
                <w:szCs w:val="24"/>
              </w:rPr>
            </w:pPr>
          </w:p>
        </w:tc>
      </w:tr>
      <w:tr w14:paraId="6C924949">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290351AA">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21AB3024">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7E630FCC">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546EC6CB">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204E45DA">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2963F82B">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406BEF7D">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64D966DF">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556CD18F">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6488C95B">
            <w:pPr>
              <w:widowControl/>
              <w:spacing w:line="440" w:lineRule="exact"/>
              <w:jc w:val="left"/>
              <w:rPr>
                <w:rFonts w:hint="eastAsia" w:asciiTheme="minorEastAsia" w:hAnsiTheme="minorEastAsia" w:eastAsiaTheme="minorEastAsia" w:cstheme="minorEastAsia"/>
                <w:color w:val="auto"/>
                <w:sz w:val="24"/>
                <w:szCs w:val="24"/>
              </w:rPr>
            </w:pPr>
          </w:p>
        </w:tc>
      </w:tr>
      <w:tr w14:paraId="3CB639E7">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365145D6">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1322D141">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022CDE50">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3C100E2B">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687155A2">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21495C19">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3B79C719">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54EBDF80">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646A71D8">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5431C7DF">
            <w:pPr>
              <w:widowControl/>
              <w:spacing w:line="440" w:lineRule="exact"/>
              <w:jc w:val="left"/>
              <w:rPr>
                <w:rFonts w:hint="eastAsia" w:asciiTheme="minorEastAsia" w:hAnsiTheme="minorEastAsia" w:eastAsiaTheme="minorEastAsia" w:cstheme="minorEastAsia"/>
                <w:color w:val="auto"/>
                <w:sz w:val="24"/>
                <w:szCs w:val="24"/>
              </w:rPr>
            </w:pPr>
          </w:p>
        </w:tc>
      </w:tr>
      <w:tr w14:paraId="74BFFAFA">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77258141">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33AC91B9">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2A711CAA">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7BDD8EBC">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79F7F4F5">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773D6E4B">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1C16F8A8">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4B7E1330">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7AB550D2">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5DDC433">
            <w:pPr>
              <w:widowControl/>
              <w:spacing w:line="440" w:lineRule="exact"/>
              <w:jc w:val="left"/>
              <w:rPr>
                <w:rFonts w:hint="eastAsia" w:asciiTheme="minorEastAsia" w:hAnsiTheme="minorEastAsia" w:eastAsiaTheme="minorEastAsia" w:cstheme="minorEastAsia"/>
                <w:color w:val="auto"/>
                <w:sz w:val="24"/>
                <w:szCs w:val="24"/>
              </w:rPr>
            </w:pPr>
          </w:p>
        </w:tc>
      </w:tr>
      <w:tr w14:paraId="4C5CA270">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70C58F6D">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0C5769D6">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6C23C2D9">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16B00702">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375A79B8">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3CD5C6A2">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68177AF5">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6A70A0EC">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0038D4F3">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75EF333E">
            <w:pPr>
              <w:widowControl/>
              <w:spacing w:line="440" w:lineRule="exact"/>
              <w:jc w:val="left"/>
              <w:rPr>
                <w:rFonts w:hint="eastAsia" w:asciiTheme="minorEastAsia" w:hAnsiTheme="minorEastAsia" w:eastAsiaTheme="minorEastAsia" w:cstheme="minorEastAsia"/>
                <w:color w:val="auto"/>
                <w:sz w:val="24"/>
                <w:szCs w:val="24"/>
              </w:rPr>
            </w:pPr>
          </w:p>
        </w:tc>
      </w:tr>
      <w:tr w14:paraId="523C3F56">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0ED2AC5B">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36648B75">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7E8C4914">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40AF6FA1">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7E7B922E">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25AC356D">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3B3475D8">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6F903CBD">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2A7975C6">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3EF14C49">
            <w:pPr>
              <w:widowControl/>
              <w:spacing w:line="440" w:lineRule="exact"/>
              <w:jc w:val="left"/>
              <w:rPr>
                <w:rFonts w:hint="eastAsia" w:asciiTheme="minorEastAsia" w:hAnsiTheme="minorEastAsia" w:eastAsiaTheme="minorEastAsia" w:cstheme="minorEastAsia"/>
                <w:color w:val="auto"/>
                <w:sz w:val="24"/>
                <w:szCs w:val="24"/>
              </w:rPr>
            </w:pPr>
          </w:p>
        </w:tc>
      </w:tr>
      <w:tr w14:paraId="38BCE964">
        <w:tblPrEx>
          <w:tblCellMar>
            <w:top w:w="0" w:type="dxa"/>
            <w:left w:w="108" w:type="dxa"/>
            <w:bottom w:w="0" w:type="dxa"/>
            <w:right w:w="108" w:type="dxa"/>
          </w:tblCellMar>
        </w:tblPrEx>
        <w:trPr>
          <w:trHeight w:val="23" w:hRule="atLeast"/>
        </w:trPr>
        <w:tc>
          <w:tcPr>
            <w:tcW w:w="1012" w:type="dxa"/>
            <w:tcBorders>
              <w:top w:val="single" w:color="000000" w:sz="4" w:space="0"/>
              <w:left w:val="double" w:color="000000" w:sz="2" w:space="0"/>
              <w:bottom w:val="single" w:color="000000" w:sz="4" w:space="0"/>
              <w:right w:val="single" w:color="000000" w:sz="4" w:space="0"/>
            </w:tcBorders>
            <w:vAlign w:val="center"/>
          </w:tcPr>
          <w:p w14:paraId="29D97E21">
            <w:pPr>
              <w:widowControl/>
              <w:spacing w:line="440" w:lineRule="exact"/>
              <w:jc w:val="left"/>
              <w:rPr>
                <w:rFonts w:hint="eastAsia" w:asciiTheme="minorEastAsia" w:hAnsiTheme="minorEastAsia" w:eastAsiaTheme="minorEastAsia" w:cstheme="minorEastAsia"/>
                <w:color w:val="auto"/>
                <w:sz w:val="24"/>
                <w:szCs w:val="24"/>
              </w:rPr>
            </w:pPr>
          </w:p>
        </w:tc>
        <w:tc>
          <w:tcPr>
            <w:tcW w:w="1405" w:type="dxa"/>
            <w:tcBorders>
              <w:top w:val="single" w:color="000000" w:sz="4" w:space="0"/>
              <w:left w:val="single" w:color="000000" w:sz="4" w:space="0"/>
              <w:bottom w:val="single" w:color="000000" w:sz="4" w:space="0"/>
              <w:right w:val="single" w:color="000000" w:sz="4" w:space="0"/>
            </w:tcBorders>
            <w:vAlign w:val="center"/>
          </w:tcPr>
          <w:p w14:paraId="3294D8D3">
            <w:pPr>
              <w:widowControl/>
              <w:spacing w:line="440" w:lineRule="exact"/>
              <w:jc w:val="left"/>
              <w:rPr>
                <w:rFonts w:hint="eastAsia" w:asciiTheme="minorEastAsia" w:hAnsiTheme="minorEastAsia" w:eastAsiaTheme="minorEastAsia" w:cstheme="minorEastAsia"/>
                <w:color w:val="auto"/>
                <w:sz w:val="24"/>
                <w:szCs w:val="24"/>
              </w:rPr>
            </w:pPr>
          </w:p>
        </w:tc>
        <w:tc>
          <w:tcPr>
            <w:tcW w:w="1450" w:type="dxa"/>
            <w:tcBorders>
              <w:top w:val="single" w:color="000000" w:sz="4" w:space="0"/>
              <w:left w:val="single" w:color="000000" w:sz="4" w:space="0"/>
              <w:bottom w:val="single" w:color="000000" w:sz="4" w:space="0"/>
              <w:right w:val="single" w:color="000000" w:sz="4" w:space="0"/>
            </w:tcBorders>
            <w:vAlign w:val="center"/>
          </w:tcPr>
          <w:p w14:paraId="2357CCE1">
            <w:pPr>
              <w:widowControl/>
              <w:spacing w:line="440" w:lineRule="exact"/>
              <w:jc w:val="left"/>
              <w:rPr>
                <w:rFonts w:hint="eastAsia" w:asciiTheme="minorEastAsia" w:hAnsiTheme="minorEastAsia" w:eastAsiaTheme="minorEastAsia" w:cstheme="minorEastAsia"/>
                <w:color w:val="auto"/>
                <w:sz w:val="24"/>
                <w:szCs w:val="24"/>
              </w:rPr>
            </w:pPr>
          </w:p>
        </w:tc>
        <w:tc>
          <w:tcPr>
            <w:tcW w:w="910" w:type="dxa"/>
            <w:tcBorders>
              <w:top w:val="single" w:color="000000" w:sz="4" w:space="0"/>
              <w:left w:val="single" w:color="000000" w:sz="4" w:space="0"/>
              <w:bottom w:val="single" w:color="000000" w:sz="4" w:space="0"/>
              <w:right w:val="single" w:color="000000" w:sz="4" w:space="0"/>
            </w:tcBorders>
            <w:vAlign w:val="center"/>
          </w:tcPr>
          <w:p w14:paraId="4535084C">
            <w:pPr>
              <w:widowControl/>
              <w:spacing w:line="440" w:lineRule="exact"/>
              <w:jc w:val="left"/>
              <w:rPr>
                <w:rFonts w:hint="eastAsia" w:asciiTheme="minorEastAsia" w:hAnsiTheme="minorEastAsia" w:eastAsiaTheme="minorEastAsia" w:cstheme="minorEastAsia"/>
                <w:color w:val="auto"/>
                <w:sz w:val="24"/>
                <w:szCs w:val="24"/>
              </w:rPr>
            </w:pPr>
          </w:p>
        </w:tc>
        <w:tc>
          <w:tcPr>
            <w:tcW w:w="945" w:type="dxa"/>
            <w:tcBorders>
              <w:top w:val="single" w:color="000000" w:sz="4" w:space="0"/>
              <w:left w:val="single" w:color="000000" w:sz="4" w:space="0"/>
              <w:bottom w:val="single" w:color="000000" w:sz="4" w:space="0"/>
              <w:right w:val="double" w:color="000000" w:sz="2" w:space="0"/>
            </w:tcBorders>
            <w:vAlign w:val="center"/>
          </w:tcPr>
          <w:p w14:paraId="35C80FFF">
            <w:pPr>
              <w:widowControl/>
              <w:spacing w:line="440" w:lineRule="exact"/>
              <w:jc w:val="left"/>
              <w:rPr>
                <w:rFonts w:hint="eastAsia" w:asciiTheme="minorEastAsia" w:hAnsiTheme="minorEastAsia" w:eastAsiaTheme="minorEastAsia" w:cstheme="minorEastAsia"/>
                <w:color w:val="auto"/>
                <w:sz w:val="24"/>
                <w:szCs w:val="24"/>
              </w:rPr>
            </w:pPr>
          </w:p>
        </w:tc>
        <w:tc>
          <w:tcPr>
            <w:tcW w:w="765" w:type="dxa"/>
            <w:tcBorders>
              <w:top w:val="single" w:color="000000" w:sz="4" w:space="0"/>
              <w:left w:val="single" w:color="000000" w:sz="4" w:space="0"/>
              <w:bottom w:val="single" w:color="000000" w:sz="4" w:space="0"/>
              <w:right w:val="single" w:color="auto" w:sz="4" w:space="0"/>
            </w:tcBorders>
            <w:vAlign w:val="center"/>
          </w:tcPr>
          <w:p w14:paraId="01117D39">
            <w:pPr>
              <w:widowControl/>
              <w:spacing w:line="440" w:lineRule="exact"/>
              <w:jc w:val="left"/>
              <w:rPr>
                <w:rFonts w:hint="eastAsia" w:asciiTheme="minorEastAsia" w:hAnsiTheme="minorEastAsia" w:eastAsiaTheme="minorEastAsia" w:cstheme="minorEastAsia"/>
                <w:color w:val="auto"/>
                <w:sz w:val="24"/>
                <w:szCs w:val="24"/>
              </w:rPr>
            </w:pPr>
          </w:p>
        </w:tc>
        <w:tc>
          <w:tcPr>
            <w:tcW w:w="837" w:type="dxa"/>
            <w:tcBorders>
              <w:top w:val="single" w:color="000000" w:sz="4" w:space="0"/>
              <w:left w:val="single" w:color="auto" w:sz="4" w:space="0"/>
              <w:bottom w:val="single" w:color="000000" w:sz="4" w:space="0"/>
              <w:right w:val="double" w:color="000000" w:sz="2" w:space="0"/>
            </w:tcBorders>
            <w:vAlign w:val="center"/>
          </w:tcPr>
          <w:p w14:paraId="169DE251">
            <w:pPr>
              <w:widowControl/>
              <w:spacing w:line="440" w:lineRule="exact"/>
              <w:jc w:val="left"/>
              <w:rPr>
                <w:rFonts w:hint="eastAsia" w:asciiTheme="minorEastAsia" w:hAnsiTheme="minorEastAsia" w:eastAsiaTheme="minorEastAsia" w:cstheme="minorEastAsia"/>
                <w:color w:val="auto"/>
                <w:sz w:val="24"/>
                <w:szCs w:val="24"/>
              </w:rPr>
            </w:pPr>
          </w:p>
        </w:tc>
        <w:tc>
          <w:tcPr>
            <w:tcW w:w="831" w:type="dxa"/>
            <w:tcBorders>
              <w:top w:val="single" w:color="000000" w:sz="4" w:space="0"/>
              <w:left w:val="single" w:color="000000" w:sz="4" w:space="0"/>
              <w:bottom w:val="single" w:color="000000" w:sz="4" w:space="0"/>
              <w:right w:val="double" w:color="000000" w:sz="2" w:space="0"/>
            </w:tcBorders>
            <w:vAlign w:val="center"/>
          </w:tcPr>
          <w:p w14:paraId="3139E02F">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127CEE67">
            <w:pPr>
              <w:widowControl/>
              <w:spacing w:line="440" w:lineRule="exact"/>
              <w:jc w:val="left"/>
              <w:rPr>
                <w:rFonts w:hint="eastAsia" w:asciiTheme="minorEastAsia" w:hAnsiTheme="minorEastAsia" w:eastAsiaTheme="minorEastAsia" w:cstheme="minorEastAsia"/>
                <w:color w:val="auto"/>
                <w:sz w:val="24"/>
                <w:szCs w:val="24"/>
              </w:rPr>
            </w:pPr>
          </w:p>
        </w:tc>
        <w:tc>
          <w:tcPr>
            <w:tcW w:w="1126" w:type="dxa"/>
            <w:tcBorders>
              <w:top w:val="single" w:color="000000" w:sz="4" w:space="0"/>
              <w:left w:val="single" w:color="000000" w:sz="4" w:space="0"/>
              <w:bottom w:val="single" w:color="000000" w:sz="4" w:space="0"/>
              <w:right w:val="double" w:color="000000" w:sz="2" w:space="0"/>
            </w:tcBorders>
            <w:vAlign w:val="center"/>
          </w:tcPr>
          <w:p w14:paraId="00E308FA">
            <w:pPr>
              <w:widowControl/>
              <w:spacing w:line="440" w:lineRule="exact"/>
              <w:jc w:val="left"/>
              <w:rPr>
                <w:rFonts w:hint="eastAsia" w:asciiTheme="minorEastAsia" w:hAnsiTheme="minorEastAsia" w:eastAsiaTheme="minorEastAsia" w:cstheme="minorEastAsia"/>
                <w:color w:val="auto"/>
                <w:sz w:val="24"/>
                <w:szCs w:val="24"/>
              </w:rPr>
            </w:pPr>
          </w:p>
        </w:tc>
      </w:tr>
      <w:tr w14:paraId="12B16A98">
        <w:tblPrEx>
          <w:tblCellMar>
            <w:top w:w="0" w:type="dxa"/>
            <w:left w:w="108" w:type="dxa"/>
            <w:bottom w:w="0" w:type="dxa"/>
            <w:right w:w="108" w:type="dxa"/>
          </w:tblCellMar>
        </w:tblPrEx>
        <w:trPr>
          <w:trHeight w:val="1090" w:hRule="atLeast"/>
        </w:trPr>
        <w:tc>
          <w:tcPr>
            <w:tcW w:w="10407" w:type="dxa"/>
            <w:gridSpan w:val="10"/>
            <w:tcBorders>
              <w:top w:val="single" w:color="000000" w:sz="4" w:space="0"/>
              <w:left w:val="double" w:color="000000" w:sz="2" w:space="0"/>
              <w:bottom w:val="double" w:color="000000" w:sz="2" w:space="0"/>
              <w:right w:val="double" w:color="000000" w:sz="2" w:space="0"/>
            </w:tcBorders>
            <w:vAlign w:val="center"/>
          </w:tcPr>
          <w:p w14:paraId="515E181E">
            <w:pPr>
              <w:widowControl/>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合计：                        元。</w:t>
            </w:r>
          </w:p>
        </w:tc>
      </w:tr>
    </w:tbl>
    <w:p w14:paraId="203ACF75">
      <w:pPr>
        <w:widowControl/>
        <w:spacing w:line="440" w:lineRule="exact"/>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rPr>
        <w:t>注、1、本表开项与”第二章  采购需求”中二采购需求清单各项序号一一对应，以后者为准,如有缺项、漏项视作包含在总价中。本表最终“合计”价格与开标一览的“投标总价”一致。</w:t>
      </w:r>
    </w:p>
    <w:p w14:paraId="4B9783A1">
      <w:pPr>
        <w:pStyle w:val="47"/>
        <w:numPr>
          <w:ilvl w:val="0"/>
          <w:numId w:val="0"/>
        </w:numPr>
        <w:rPr>
          <w:rFonts w:hint="eastAsia" w:asciiTheme="minorEastAsia" w:hAnsiTheme="minorEastAsia" w:eastAsiaTheme="minorEastAsia" w:cstheme="minorEastAsia"/>
          <w:color w:val="auto"/>
          <w:sz w:val="24"/>
          <w:szCs w:val="24"/>
          <w:u w:val="single"/>
        </w:rPr>
      </w:pPr>
    </w:p>
    <w:p w14:paraId="76CB1853">
      <w:pPr>
        <w:widowControl/>
        <w:spacing w:line="440" w:lineRule="exact"/>
        <w:jc w:val="left"/>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投标人（盖章）：</w:t>
      </w:r>
    </w:p>
    <w:p w14:paraId="2D0AE96D">
      <w:pPr>
        <w:pStyle w:val="15"/>
        <w:snapToGrid w:val="0"/>
        <w:spacing w:line="440" w:lineRule="exact"/>
        <w:ind w:firstLine="0"/>
        <w:rPr>
          <w:rFonts w:hint="eastAsia" w:asciiTheme="minorEastAsia" w:hAnsiTheme="minorEastAsia" w:eastAsiaTheme="minorEastAsia" w:cstheme="minorEastAsia"/>
          <w:color w:val="auto"/>
          <w:spacing w:val="0"/>
          <w:sz w:val="24"/>
          <w:szCs w:val="24"/>
        </w:rPr>
      </w:pPr>
      <w:r>
        <w:rPr>
          <w:rFonts w:hint="eastAsia" w:asciiTheme="minorEastAsia" w:hAnsiTheme="minorEastAsia" w:eastAsiaTheme="minorEastAsia" w:cstheme="minorEastAsia"/>
          <w:color w:val="auto"/>
          <w:spacing w:val="0"/>
          <w:sz w:val="24"/>
          <w:szCs w:val="24"/>
        </w:rPr>
        <w:t>法定代表人或其授权代表（签字或盖章）：</w:t>
      </w:r>
    </w:p>
    <w:p w14:paraId="66DD4F77">
      <w:pPr>
        <w:pStyle w:val="15"/>
        <w:widowControl/>
        <w:spacing w:line="440" w:lineRule="exact"/>
        <w:ind w:firstLine="0"/>
        <w:jc w:val="left"/>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color w:val="auto"/>
          <w:spacing w:val="0"/>
          <w:sz w:val="24"/>
          <w:szCs w:val="24"/>
        </w:rPr>
        <w:t>日期：</w:t>
      </w:r>
      <w:r>
        <w:rPr>
          <w:rFonts w:hint="eastAsia" w:asciiTheme="minorEastAsia" w:hAnsiTheme="minorEastAsia" w:eastAsiaTheme="minorEastAsia" w:cstheme="minorEastAsia"/>
          <w:color w:val="auto"/>
          <w:sz w:val="24"/>
          <w:szCs w:val="24"/>
        </w:rPr>
        <w:br w:type="page"/>
      </w:r>
      <w:r>
        <w:rPr>
          <w:rFonts w:hint="eastAsia" w:asciiTheme="minorEastAsia" w:hAnsiTheme="minorEastAsia" w:eastAsiaTheme="minorEastAsia" w:cstheme="minorEastAsia"/>
          <w:b/>
          <w:color w:val="auto"/>
          <w:sz w:val="24"/>
          <w:szCs w:val="24"/>
        </w:rPr>
        <w:t>四、电子备份投标文件</w:t>
      </w:r>
    </w:p>
    <w:p w14:paraId="0A7CADEB">
      <w:pPr>
        <w:snapToGrid w:val="0"/>
        <w:spacing w:line="360" w:lineRule="auto"/>
        <w:rPr>
          <w:rFonts w:hint="eastAsia" w:asciiTheme="minorEastAsia" w:hAnsiTheme="minorEastAsia" w:eastAsiaTheme="minorEastAsia" w:cstheme="minorEastAsia"/>
          <w:color w:val="auto"/>
          <w:sz w:val="24"/>
          <w:szCs w:val="24"/>
        </w:rPr>
      </w:pPr>
    </w:p>
    <w:p w14:paraId="345433B9">
      <w:pPr>
        <w:snapToGrid w:val="0"/>
        <w:spacing w:line="360" w:lineRule="auto"/>
        <w:rPr>
          <w:rFonts w:hint="eastAsia" w:asciiTheme="minorEastAsia" w:hAnsiTheme="minorEastAsia" w:eastAsiaTheme="minorEastAsia" w:cstheme="minorEastAsia"/>
          <w:color w:val="auto"/>
          <w:sz w:val="24"/>
          <w:szCs w:val="24"/>
        </w:rPr>
      </w:pPr>
    </w:p>
    <w:p w14:paraId="57074B67">
      <w:pPr>
        <w:snapToGrid w:val="0"/>
        <w:spacing w:line="360" w:lineRule="auto"/>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color w:val="auto"/>
          <w:sz w:val="24"/>
          <w:szCs w:val="24"/>
        </w:rPr>
        <w:t>电子备份投标文件的外包装封面格式：</w:t>
      </w:r>
    </w:p>
    <w:p w14:paraId="3519A0BD">
      <w:pPr>
        <w:snapToGrid w:val="0"/>
        <w:spacing w:line="360" w:lineRule="auto"/>
        <w:ind w:firstLine="236" w:firstLineChars="98"/>
        <w:rPr>
          <w:rFonts w:hint="eastAsia" w:asciiTheme="minorEastAsia" w:hAnsiTheme="minorEastAsia" w:eastAsiaTheme="minorEastAsia" w:cstheme="minorEastAsia"/>
          <w:b/>
          <w:color w:val="auto"/>
          <w:sz w:val="24"/>
          <w:szCs w:val="24"/>
        </w:rPr>
      </w:pPr>
      <w:r>
        <w:rPr>
          <w:rFonts w:hint="eastAsia" w:asciiTheme="minorEastAsia" w:hAnsiTheme="minorEastAsia" w:eastAsiaTheme="minorEastAsia" w:cstheme="minorEastAsia"/>
          <w:b/>
          <w:color w:val="auto"/>
          <w:sz w:val="24"/>
          <w:szCs w:val="24"/>
        </w:rPr>
        <w:t>外包装格式：</w:t>
      </w:r>
    </w:p>
    <w:p w14:paraId="5AB7821C">
      <w:pPr>
        <w:snapToGrid w:val="0"/>
        <w:spacing w:line="360" w:lineRule="auto"/>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电子备份投标文件</w:t>
      </w:r>
    </w:p>
    <w:p w14:paraId="5E07F6FB">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项目名称：</w:t>
      </w:r>
    </w:p>
    <w:p w14:paraId="25754D56">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项目编号：</w:t>
      </w:r>
    </w:p>
    <w:p w14:paraId="184C66D8">
      <w:pPr>
        <w:spacing w:line="480" w:lineRule="auto"/>
        <w:ind w:firstLine="1080" w:firstLineChars="450"/>
        <w:rPr>
          <w:rFonts w:hint="eastAsia" w:asciiTheme="minorEastAsia" w:hAnsiTheme="minorEastAsia" w:eastAsiaTheme="minorEastAsia" w:cstheme="minorEastAsia"/>
          <w:bCs/>
          <w:color w:val="auto"/>
          <w:sz w:val="24"/>
          <w:szCs w:val="24"/>
          <w:u w:val="single"/>
        </w:rPr>
      </w:pPr>
      <w:r>
        <w:rPr>
          <w:rFonts w:hint="eastAsia" w:asciiTheme="minorEastAsia" w:hAnsiTheme="minorEastAsia" w:eastAsiaTheme="minorEastAsia" w:cstheme="minorEastAsia"/>
          <w:bCs/>
          <w:color w:val="auto"/>
          <w:sz w:val="24"/>
          <w:szCs w:val="24"/>
        </w:rPr>
        <w:t>投标人名称：</w:t>
      </w:r>
      <w:r>
        <w:rPr>
          <w:rFonts w:hint="eastAsia" w:asciiTheme="minorEastAsia" w:hAnsiTheme="minorEastAsia" w:eastAsiaTheme="minorEastAsia" w:cstheme="minorEastAsia"/>
          <w:bCs/>
          <w:color w:val="auto"/>
          <w:sz w:val="24"/>
          <w:szCs w:val="24"/>
          <w:u w:val="single"/>
        </w:rPr>
        <w:t xml:space="preserve">[填写单位名称并盖章] </w:t>
      </w:r>
    </w:p>
    <w:p w14:paraId="6A82BDA3">
      <w:pPr>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 xml:space="preserve">标项： </w:t>
      </w:r>
    </w:p>
    <w:p w14:paraId="70D5675E">
      <w:pPr>
        <w:snapToGrid w:val="0"/>
        <w:spacing w:line="480" w:lineRule="auto"/>
        <w:ind w:firstLine="1080" w:firstLineChars="450"/>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投标人地址：</w:t>
      </w:r>
    </w:p>
    <w:p w14:paraId="50F7E0E5">
      <w:pPr>
        <w:snapToGrid w:val="0"/>
        <w:spacing w:line="480" w:lineRule="auto"/>
        <w:ind w:firstLine="1080" w:firstLineChars="45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rPr>
        <w:t>法定代表人或其被授权代表</w:t>
      </w:r>
      <w:r>
        <w:rPr>
          <w:rFonts w:hint="eastAsia" w:asciiTheme="minorEastAsia" w:hAnsiTheme="minorEastAsia" w:eastAsiaTheme="minorEastAsia" w:cstheme="minorEastAsia"/>
          <w:color w:val="auto"/>
          <w:sz w:val="24"/>
          <w:szCs w:val="24"/>
        </w:rPr>
        <w:t>：</w:t>
      </w:r>
      <w:r>
        <w:rPr>
          <w:rFonts w:hint="eastAsia" w:asciiTheme="minorEastAsia" w:hAnsiTheme="minorEastAsia" w:eastAsiaTheme="minorEastAsia" w:cstheme="minorEastAsia"/>
          <w:bCs/>
          <w:color w:val="auto"/>
          <w:sz w:val="24"/>
          <w:szCs w:val="24"/>
          <w:u w:val="single"/>
        </w:rPr>
        <w:t xml:space="preserve">     [签字或盖章]           </w:t>
      </w:r>
    </w:p>
    <w:p w14:paraId="36E38884">
      <w:pPr>
        <w:snapToGrid w:val="0"/>
        <w:spacing w:line="360" w:lineRule="auto"/>
        <w:jc w:val="center"/>
        <w:rPr>
          <w:rFonts w:hint="eastAsia" w:asciiTheme="minorEastAsia" w:hAnsiTheme="minorEastAsia" w:eastAsiaTheme="minorEastAsia" w:cstheme="minorEastAsia"/>
          <w:bCs/>
          <w:color w:val="auto"/>
          <w:sz w:val="24"/>
          <w:szCs w:val="24"/>
        </w:rPr>
      </w:pPr>
      <w:r>
        <w:rPr>
          <w:rFonts w:hint="eastAsia" w:asciiTheme="minorEastAsia" w:hAnsiTheme="minorEastAsia" w:eastAsiaTheme="minorEastAsia" w:cstheme="minorEastAsia"/>
          <w:bCs/>
          <w:color w:val="auto"/>
          <w:sz w:val="24"/>
          <w:szCs w:val="24"/>
        </w:rPr>
        <w:t>年      月       日</w:t>
      </w:r>
    </w:p>
    <w:sectPr>
      <w:headerReference r:id="rId13" w:type="default"/>
      <w:footerReference r:id="rId14" w:type="default"/>
      <w:pgSz w:w="11907" w:h="16840"/>
      <w:pgMar w:top="1276" w:right="1474" w:bottom="1242" w:left="1474"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0" w:usb3="00000000" w:csb0="00000001" w:csb1="00000000"/>
  </w:font>
  <w:font w:name="ヒラギノ角ゴ Pro W3">
    <w:altName w:val="Yu Gothic"/>
    <w:panose1 w:val="00000000000000000000"/>
    <w:charset w:val="80"/>
    <w:family w:val="auto"/>
    <w:pitch w:val="default"/>
    <w:sig w:usb0="00000000" w:usb1="00000000" w:usb2="00000012" w:usb3="00000000" w:csb0="0002000D" w:csb1="00000000"/>
  </w:font>
  <w:font w:name="Yu Gothic">
    <w:panose1 w:val="020B0400000000000000"/>
    <w:charset w:val="80"/>
    <w:family w:val="auto"/>
    <w:pitch w:val="default"/>
    <w:sig w:usb0="E00002FF" w:usb1="2AC7FDFF" w:usb2="00000016" w:usb3="00000000" w:csb0="2002009F" w:csb1="00000000"/>
  </w:font>
  <w:font w:name="幼圆">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HarmonyOS Sans SC">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方正隶变简体">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F9217">
    <w:pPr>
      <w:pStyle w:val="23"/>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0F688">
    <w:pPr>
      <w:pStyle w:val="23"/>
      <w:jc w:val="center"/>
    </w:pPr>
    <w:r>
      <w:rPr>
        <w:lang w:val="en-US"/>
      </w:rPr>
      <w:fldChar w:fldCharType="begin"/>
    </w:r>
    <w:r>
      <w:instrText xml:space="preserve"> PAGE   \* MERGEFORMAT </w:instrText>
    </w:r>
    <w:r>
      <w:rPr>
        <w:lang w:val="en-US"/>
      </w:rPr>
      <w:fldChar w:fldCharType="separate"/>
    </w:r>
    <w:r>
      <w:rPr>
        <w:lang w:val="zh-CN"/>
      </w:rPr>
      <w:t>92</w:t>
    </w:r>
    <w:r>
      <w:rPr>
        <w:lang w:val="zh-CN"/>
      </w:rPr>
      <w:fldChar w:fldCharType="end"/>
    </w:r>
  </w:p>
  <w:p w14:paraId="381CC991">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691BB">
    <w:pPr>
      <w:pStyle w:val="23"/>
      <w:jc w:val="center"/>
    </w:pPr>
    <w:r>
      <w:rPr>
        <w:lang w:val="en-US"/>
      </w:rPr>
      <w:fldChar w:fldCharType="begin"/>
    </w:r>
    <w:r>
      <w:instrText xml:space="preserve"> PAGE   \* MERGEFORMAT </w:instrText>
    </w:r>
    <w:r>
      <w:rPr>
        <w:lang w:val="en-US"/>
      </w:rPr>
      <w:fldChar w:fldCharType="separate"/>
    </w:r>
    <w:r>
      <w:rPr>
        <w:lang w:val="zh-CN"/>
      </w:rPr>
      <w:t>12</w:t>
    </w:r>
    <w:r>
      <w:rPr>
        <w:lang w:val="zh-CN"/>
      </w:rPr>
      <w:fldChar w:fldCharType="end"/>
    </w:r>
  </w:p>
  <w:p w14:paraId="103C6938">
    <w:pPr>
      <w:pStyle w:val="2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E03400">
    <w:pPr>
      <w:pStyle w:val="23"/>
      <w:jc w:val="center"/>
    </w:pPr>
    <w:r>
      <w:rPr>
        <w:lang w:val="en-US"/>
      </w:rPr>
      <w:fldChar w:fldCharType="begin"/>
    </w:r>
    <w:r>
      <w:instrText xml:space="preserve"> PAGE   \* MERGEFORMAT </w:instrText>
    </w:r>
    <w:r>
      <w:rPr>
        <w:lang w:val="en-US"/>
      </w:rPr>
      <w:fldChar w:fldCharType="separate"/>
    </w:r>
    <w:r>
      <w:rPr>
        <w:lang w:val="zh-CN"/>
      </w:rPr>
      <w:t>81</w:t>
    </w:r>
    <w:r>
      <w:rPr>
        <w:lang w:val="zh-CN"/>
      </w:rPr>
      <w:fldChar w:fldCharType="end"/>
    </w:r>
  </w:p>
  <w:p w14:paraId="1F6ACF4B">
    <w:pPr>
      <w:pStyle w:val="23"/>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D52C">
    <w:pPr>
      <w:pStyle w:val="23"/>
      <w:ind w:firstLine="480"/>
      <w:jc w:val="center"/>
    </w:pPr>
    <w:r>
      <w:fldChar w:fldCharType="begin"/>
    </w:r>
    <w:r>
      <w:instrText xml:space="preserve"> PAGE   \* MERGEFORMAT </w:instrText>
    </w:r>
    <w:r>
      <w:fldChar w:fldCharType="separate"/>
    </w:r>
    <w:r>
      <w:t>91</w:t>
    </w:r>
    <w:r>
      <w:fldChar w:fldCharType="end"/>
    </w:r>
  </w:p>
  <w:p w14:paraId="363D916A">
    <w:pPr>
      <w:pStyle w:val="23"/>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5668A6">
    <w:pPr>
      <w:pStyle w:val="23"/>
      <w:jc w:val="center"/>
    </w:pPr>
    <w:r>
      <w:fldChar w:fldCharType="begin"/>
    </w:r>
    <w:r>
      <w:instrText xml:space="preserve"> PAGE   \* MERGEFORMAT </w:instrText>
    </w:r>
    <w:r>
      <w:fldChar w:fldCharType="separate"/>
    </w:r>
    <w:r>
      <w:t>93</w:t>
    </w:r>
    <w:r>
      <w:fldChar w:fldCharType="end"/>
    </w:r>
  </w:p>
  <w:p w14:paraId="06BDE2B5">
    <w:pPr>
      <w:pStyle w:val="23"/>
    </w:pPr>
  </w:p>
  <w:p w14:paraId="08CC4D0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9B0DC">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17577">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A10BD">
    <w:pPr>
      <w:pStyle w:val="24"/>
      <w:rPr>
        <w:rFonts w:ascii="方正隶变简体" w:hAnsi="宋体" w:eastAsia="方正隶变简体" w:cs="宋体"/>
        <w:w w:val="80"/>
        <w:sz w:val="15"/>
        <w:szCs w:val="15"/>
      </w:rPr>
    </w:pPr>
    <w:r>
      <w:rPr>
        <w:rFonts w:hint="eastAsia" w:ascii="方正隶变简体" w:hAnsi="宋体" w:eastAsia="方正隶变简体" w:cs="宋体"/>
        <w:w w:val="80"/>
        <w:sz w:val="15"/>
        <w:szCs w:val="15"/>
      </w:rPr>
      <w:tab/>
    </w:r>
    <w:r>
      <w:rPr>
        <w:rFonts w:hint="eastAsia"/>
      </w:rPr>
      <w:t xml:space="preserve">  贵驷街道社区卫生服务中心新院标识与健康宣传阵地设计及制作服务项目采购文件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79008">
    <w:pPr>
      <w:pStyle w:val="24"/>
      <w:rPr>
        <w:rFonts w:ascii="方正隶变简体" w:hAnsi="宋体" w:eastAsia="方正隶变简体" w:cs="宋体"/>
        <w:w w:val="80"/>
      </w:rPr>
    </w:pPr>
    <w:r>
      <w:rPr>
        <w:rFonts w:hint="eastAsia" w:ascii="方正隶变简体" w:hAnsi="宋体" w:eastAsia="方正隶变简体" w:cs="宋体"/>
        <w:w w:val="80"/>
        <w:sz w:val="15"/>
        <w:szCs w:val="15"/>
      </w:rPr>
      <w:tab/>
    </w:r>
    <w:r>
      <w:rPr>
        <w:rFonts w:hint="eastAsia"/>
      </w:rPr>
      <w:t>贵驷街道社区卫生服务中心新院标识与健康宣传阵地设计及制作服务项目</w:t>
    </w:r>
    <w:r>
      <w:rPr>
        <w:rFonts w:hint="eastAsia" w:ascii="方正隶变简体" w:hAnsi="宋体" w:eastAsia="方正隶变简体" w:cs="宋体"/>
        <w:w w:val="80"/>
      </w:rPr>
      <w:t>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DABAD">
    <w:pPr>
      <w:pStyle w:val="24"/>
      <w:pBdr>
        <w:bottom w:val="none" w:color="auto" w:sz="0" w:space="0"/>
      </w:pBd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77597A">
    <w:pPr>
      <w:pStyle w:val="24"/>
      <w:pBdr>
        <w:bottom w:val="none" w:color="auto" w:sz="0" w:space="0"/>
      </w:pBdr>
    </w:pPr>
  </w:p>
  <w:p w14:paraId="354487E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8DFBB2"/>
    <w:multiLevelType w:val="singleLevel"/>
    <w:tmpl w:val="DF8DFBB2"/>
    <w:lvl w:ilvl="0" w:tentative="0">
      <w:start w:val="1"/>
      <w:numFmt w:val="chineseCounting"/>
      <w:suff w:val="nothing"/>
      <w:lvlText w:val="%1、"/>
      <w:lvlJc w:val="left"/>
      <w:pPr>
        <w:ind w:left="0" w:firstLine="420"/>
      </w:pPr>
      <w:rPr>
        <w:rFonts w:hint="eastAsia"/>
      </w:rPr>
    </w:lvl>
  </w:abstractNum>
  <w:abstractNum w:abstractNumId="1">
    <w:nsid w:val="00000004"/>
    <w:multiLevelType w:val="singleLevel"/>
    <w:tmpl w:val="00000004"/>
    <w:lvl w:ilvl="0" w:tentative="0">
      <w:start w:val="1"/>
      <w:numFmt w:val="decimal"/>
      <w:suff w:val="nothing"/>
      <w:lvlText w:val="（%1）"/>
      <w:lvlJc w:val="left"/>
      <w:pPr>
        <w:ind w:left="0" w:firstLine="400"/>
      </w:pPr>
      <w:rPr>
        <w:rFonts w:hint="default"/>
      </w:rPr>
    </w:lvl>
  </w:abstractNum>
  <w:abstractNum w:abstractNumId="2">
    <w:nsid w:val="00000005"/>
    <w:multiLevelType w:val="singleLevel"/>
    <w:tmpl w:val="00000005"/>
    <w:lvl w:ilvl="0" w:tentative="0">
      <w:start w:val="1"/>
      <w:numFmt w:val="decimal"/>
      <w:suff w:val="nothing"/>
      <w:lvlText w:val="（%1）"/>
      <w:lvlJc w:val="left"/>
      <w:pPr>
        <w:ind w:left="0" w:firstLine="400"/>
      </w:pPr>
      <w:rPr>
        <w:rFonts w:hint="default"/>
      </w:rPr>
    </w:lvl>
  </w:abstractNum>
  <w:abstractNum w:abstractNumId="3">
    <w:nsid w:val="00000007"/>
    <w:multiLevelType w:val="singleLevel"/>
    <w:tmpl w:val="00000007"/>
    <w:lvl w:ilvl="0" w:tentative="0">
      <w:start w:val="1"/>
      <w:numFmt w:val="decimal"/>
      <w:suff w:val="nothing"/>
      <w:lvlText w:val="（%1）"/>
      <w:lvlJc w:val="left"/>
      <w:pPr>
        <w:ind w:left="0" w:firstLine="400"/>
      </w:pPr>
      <w:rPr>
        <w:rFonts w:hint="default"/>
      </w:rPr>
    </w:lvl>
  </w:abstractNum>
  <w:abstractNum w:abstractNumId="4">
    <w:nsid w:val="00000017"/>
    <w:multiLevelType w:val="singleLevel"/>
    <w:tmpl w:val="00000017"/>
    <w:lvl w:ilvl="0" w:tentative="0">
      <w:start w:val="1"/>
      <w:numFmt w:val="decimal"/>
      <w:suff w:val="nothing"/>
      <w:lvlText w:val="%1."/>
      <w:lvlJc w:val="left"/>
    </w:lvl>
  </w:abstractNum>
  <w:abstractNum w:abstractNumId="5">
    <w:nsid w:val="0000002F"/>
    <w:multiLevelType w:val="singleLevel"/>
    <w:tmpl w:val="0000002F"/>
    <w:lvl w:ilvl="0" w:tentative="0">
      <w:start w:val="1"/>
      <w:numFmt w:val="decimal"/>
      <w:suff w:val="nothing"/>
      <w:lvlText w:val="（%1）"/>
      <w:lvlJc w:val="left"/>
      <w:pPr>
        <w:ind w:left="0" w:firstLine="400"/>
      </w:pPr>
      <w:rPr>
        <w:rFonts w:hint="default"/>
      </w:rPr>
    </w:lvl>
  </w:abstractNum>
  <w:abstractNum w:abstractNumId="6">
    <w:nsid w:val="0243488F"/>
    <w:multiLevelType w:val="singleLevel"/>
    <w:tmpl w:val="0243488F"/>
    <w:lvl w:ilvl="0" w:tentative="0">
      <w:start w:val="2"/>
      <w:numFmt w:val="chineseCounting"/>
      <w:suff w:val="space"/>
      <w:lvlText w:val="（%1）"/>
      <w:lvlJc w:val="left"/>
      <w:rPr>
        <w:rFonts w:hint="eastAsia"/>
      </w:rPr>
    </w:lvl>
  </w:abstractNum>
  <w:abstractNum w:abstractNumId="7">
    <w:nsid w:val="0FFFFF7C"/>
    <w:multiLevelType w:val="singleLevel"/>
    <w:tmpl w:val="0FFFFF7C"/>
    <w:lvl w:ilvl="0" w:tentative="0">
      <w:start w:val="1"/>
      <w:numFmt w:val="decimal"/>
      <w:pStyle w:val="10"/>
      <w:lvlText w:val="%1."/>
      <w:lvlJc w:val="left"/>
      <w:pPr>
        <w:tabs>
          <w:tab w:val="left" w:pos="2040"/>
        </w:tabs>
        <w:ind w:left="2040" w:hanging="360"/>
      </w:pPr>
    </w:lvl>
  </w:abstractNum>
  <w:abstractNum w:abstractNumId="8">
    <w:nsid w:val="0FFFFF7D"/>
    <w:multiLevelType w:val="singleLevel"/>
    <w:tmpl w:val="0FFFFF7D"/>
    <w:lvl w:ilvl="0" w:tentative="0">
      <w:start w:val="1"/>
      <w:numFmt w:val="decimal"/>
      <w:pStyle w:val="14"/>
      <w:lvlText w:val="%1."/>
      <w:lvlJc w:val="left"/>
      <w:pPr>
        <w:tabs>
          <w:tab w:val="left" w:pos="1620"/>
        </w:tabs>
        <w:ind w:left="1620" w:hanging="360"/>
      </w:pPr>
    </w:lvl>
  </w:abstractNum>
  <w:abstractNum w:abstractNumId="9">
    <w:nsid w:val="0FFFFF7F"/>
    <w:multiLevelType w:val="singleLevel"/>
    <w:tmpl w:val="0FFFFF7F"/>
    <w:lvl w:ilvl="0" w:tentative="0">
      <w:start w:val="1"/>
      <w:numFmt w:val="decimal"/>
      <w:pStyle w:val="11"/>
      <w:lvlText w:val="%1."/>
      <w:lvlJc w:val="left"/>
      <w:pPr>
        <w:tabs>
          <w:tab w:val="left" w:pos="780"/>
        </w:tabs>
        <w:ind w:left="780" w:hanging="360"/>
      </w:pPr>
    </w:lvl>
  </w:abstractNum>
  <w:abstractNum w:abstractNumId="10">
    <w:nsid w:val="0FFFFF80"/>
    <w:multiLevelType w:val="singleLevel"/>
    <w:tmpl w:val="0FFFFF80"/>
    <w:lvl w:ilvl="0" w:tentative="0">
      <w:start w:val="1"/>
      <w:numFmt w:val="bullet"/>
      <w:pStyle w:val="20"/>
      <w:lvlText w:val=""/>
      <w:lvlJc w:val="left"/>
      <w:pPr>
        <w:tabs>
          <w:tab w:val="left" w:pos="2040"/>
        </w:tabs>
        <w:ind w:left="2040" w:hanging="360"/>
      </w:pPr>
      <w:rPr>
        <w:rFonts w:hint="default" w:ascii="Wingdings" w:hAnsi="Wingdings"/>
      </w:rPr>
    </w:lvl>
  </w:abstractNum>
  <w:abstractNum w:abstractNumId="11">
    <w:nsid w:val="0FFFFF81"/>
    <w:multiLevelType w:val="singleLevel"/>
    <w:tmpl w:val="0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12">
    <w:nsid w:val="0FFFFF89"/>
    <w:multiLevelType w:val="singleLevel"/>
    <w:tmpl w:val="0FFFFF89"/>
    <w:lvl w:ilvl="0" w:tentative="0">
      <w:start w:val="1"/>
      <w:numFmt w:val="bullet"/>
      <w:pStyle w:val="47"/>
      <w:lvlText w:val=""/>
      <w:lvlJc w:val="left"/>
      <w:pPr>
        <w:tabs>
          <w:tab w:val="left" w:pos="360"/>
        </w:tabs>
        <w:ind w:left="360" w:hanging="360"/>
      </w:pPr>
      <w:rPr>
        <w:rFonts w:hint="default" w:ascii="Wingdings" w:hAnsi="Wingdings"/>
      </w:rPr>
    </w:lvl>
  </w:abstractNum>
  <w:abstractNum w:abstractNumId="13">
    <w:nsid w:val="29D120CC"/>
    <w:multiLevelType w:val="singleLevel"/>
    <w:tmpl w:val="29D120CC"/>
    <w:lvl w:ilvl="0" w:tentative="0">
      <w:start w:val="1"/>
      <w:numFmt w:val="decimal"/>
      <w:suff w:val="nothing"/>
      <w:lvlText w:val="（%1）"/>
      <w:lvlJc w:val="left"/>
      <w:pPr>
        <w:ind w:left="0" w:firstLine="0"/>
      </w:pPr>
    </w:lvl>
  </w:abstractNum>
  <w:abstractNum w:abstractNumId="14">
    <w:nsid w:val="42B7E391"/>
    <w:multiLevelType w:val="singleLevel"/>
    <w:tmpl w:val="42B7E391"/>
    <w:lvl w:ilvl="0" w:tentative="0">
      <w:start w:val="1"/>
      <w:numFmt w:val="chineseCounting"/>
      <w:suff w:val="nothing"/>
      <w:lvlText w:val="%1、"/>
      <w:lvlJc w:val="left"/>
      <w:pPr>
        <w:ind w:left="0" w:firstLine="420"/>
      </w:pPr>
      <w:rPr>
        <w:rFonts w:hint="eastAsia"/>
      </w:rPr>
    </w:lvl>
  </w:abstractNum>
  <w:abstractNum w:abstractNumId="15">
    <w:nsid w:val="4C4C4634"/>
    <w:multiLevelType w:val="multilevel"/>
    <w:tmpl w:val="4C4C4634"/>
    <w:lvl w:ilvl="0" w:tentative="0">
      <w:start w:val="1"/>
      <w:numFmt w:val="decimal"/>
      <w:lvlText w:val="%1"/>
      <w:lvlJc w:val="left"/>
      <w:pPr>
        <w:tabs>
          <w:tab w:val="left" w:pos="432"/>
        </w:tabs>
        <w:ind w:left="432" w:hanging="432"/>
      </w:pPr>
      <w:rPr>
        <w:rFonts w:hint="eastAsia"/>
      </w:rPr>
    </w:lvl>
    <w:lvl w:ilvl="1" w:tentative="0">
      <w:start w:val="1"/>
      <w:numFmt w:val="decimal"/>
      <w:pStyle w:val="5"/>
      <w:lvlText w:val="%1.%2"/>
      <w:lvlJc w:val="left"/>
      <w:pPr>
        <w:tabs>
          <w:tab w:val="left" w:pos="576"/>
        </w:tabs>
        <w:ind w:left="576" w:hanging="576"/>
      </w:pPr>
      <w:rPr>
        <w:rFonts w:hint="eastAsia"/>
      </w:rPr>
    </w:lvl>
    <w:lvl w:ilvl="2" w:tentative="0">
      <w:start w:val="1"/>
      <w:numFmt w:val="decimal"/>
      <w:pStyle w:val="6"/>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5E7D3963"/>
    <w:multiLevelType w:val="singleLevel"/>
    <w:tmpl w:val="5E7D3963"/>
    <w:lvl w:ilvl="0" w:tentative="0">
      <w:start w:val="1"/>
      <w:numFmt w:val="decimal"/>
      <w:suff w:val="nothing"/>
      <w:lvlText w:val="（%1）"/>
      <w:lvlJc w:val="left"/>
      <w:pPr>
        <w:ind w:left="0" w:firstLine="400"/>
      </w:pPr>
      <w:rPr>
        <w:rFonts w:hint="default"/>
      </w:rPr>
    </w:lvl>
  </w:abstractNum>
  <w:abstractNum w:abstractNumId="17">
    <w:nsid w:val="692F7078"/>
    <w:multiLevelType w:val="singleLevel"/>
    <w:tmpl w:val="692F7078"/>
    <w:lvl w:ilvl="0" w:tentative="0">
      <w:start w:val="1"/>
      <w:numFmt w:val="chineseCounting"/>
      <w:suff w:val="nothing"/>
      <w:lvlText w:val="%1、"/>
      <w:lvlJc w:val="left"/>
      <w:pPr>
        <w:ind w:left="0" w:firstLine="420"/>
      </w:pPr>
      <w:rPr>
        <w:rFonts w:hint="eastAsia"/>
      </w:rPr>
    </w:lvl>
  </w:abstractNum>
  <w:num w:numId="1">
    <w:abstractNumId w:val="15"/>
  </w:num>
  <w:num w:numId="2">
    <w:abstractNumId w:val="7"/>
  </w:num>
  <w:num w:numId="3">
    <w:abstractNumId w:val="9"/>
  </w:num>
  <w:num w:numId="4">
    <w:abstractNumId w:val="8"/>
  </w:num>
  <w:num w:numId="5">
    <w:abstractNumId w:val="11"/>
  </w:num>
  <w:num w:numId="6">
    <w:abstractNumId w:val="10"/>
  </w:num>
  <w:num w:numId="7">
    <w:abstractNumId w:val="12"/>
  </w:num>
  <w:num w:numId="8">
    <w:abstractNumId w:val="6"/>
  </w:num>
  <w:num w:numId="9">
    <w:abstractNumId w:val="13"/>
    <w:lvlOverride w:ilvl="0">
      <w:startOverride w:val="1"/>
    </w:lvlOverride>
  </w:num>
  <w:num w:numId="10">
    <w:abstractNumId w:val="2"/>
  </w:num>
  <w:num w:numId="11">
    <w:abstractNumId w:val="4"/>
  </w:num>
  <w:num w:numId="12">
    <w:abstractNumId w:val="1"/>
  </w:num>
  <w:num w:numId="13">
    <w:abstractNumId w:val="16"/>
  </w:num>
  <w:num w:numId="14">
    <w:abstractNumId w:val="5"/>
  </w:num>
  <w:num w:numId="15">
    <w:abstractNumId w:val="3"/>
  </w:num>
  <w:num w:numId="16">
    <w:abstractNumId w:val="0"/>
  </w:num>
  <w:num w:numId="17">
    <w:abstractNumId w:val="1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2NzliMTFmNjJmYzJkNGRiNjY1OWM0YmNjN2NmOTYifQ=="/>
  </w:docVars>
  <w:rsids>
    <w:rsidRoot w:val="001439E3"/>
    <w:rsid w:val="000013AE"/>
    <w:rsid w:val="000018F6"/>
    <w:rsid w:val="000025CA"/>
    <w:rsid w:val="0000598A"/>
    <w:rsid w:val="00005D75"/>
    <w:rsid w:val="00007555"/>
    <w:rsid w:val="00007C20"/>
    <w:rsid w:val="00007D31"/>
    <w:rsid w:val="00007FEA"/>
    <w:rsid w:val="000107B8"/>
    <w:rsid w:val="0001258F"/>
    <w:rsid w:val="00012C9F"/>
    <w:rsid w:val="00013191"/>
    <w:rsid w:val="000153EA"/>
    <w:rsid w:val="00015683"/>
    <w:rsid w:val="00016E5B"/>
    <w:rsid w:val="0001753A"/>
    <w:rsid w:val="00017ADD"/>
    <w:rsid w:val="000221EF"/>
    <w:rsid w:val="0002251E"/>
    <w:rsid w:val="00022615"/>
    <w:rsid w:val="0002373B"/>
    <w:rsid w:val="00024329"/>
    <w:rsid w:val="000271E7"/>
    <w:rsid w:val="00027255"/>
    <w:rsid w:val="000279D7"/>
    <w:rsid w:val="0003001D"/>
    <w:rsid w:val="000303AC"/>
    <w:rsid w:val="00030FB4"/>
    <w:rsid w:val="000318FB"/>
    <w:rsid w:val="00031FDB"/>
    <w:rsid w:val="00032F13"/>
    <w:rsid w:val="00033F5E"/>
    <w:rsid w:val="00034EF6"/>
    <w:rsid w:val="00036E60"/>
    <w:rsid w:val="0004210B"/>
    <w:rsid w:val="0004351F"/>
    <w:rsid w:val="00043F8B"/>
    <w:rsid w:val="00045734"/>
    <w:rsid w:val="00045B4A"/>
    <w:rsid w:val="000463F5"/>
    <w:rsid w:val="00051877"/>
    <w:rsid w:val="00051AE2"/>
    <w:rsid w:val="000521EF"/>
    <w:rsid w:val="00052230"/>
    <w:rsid w:val="0005301B"/>
    <w:rsid w:val="000540F4"/>
    <w:rsid w:val="00054175"/>
    <w:rsid w:val="00056061"/>
    <w:rsid w:val="00056347"/>
    <w:rsid w:val="00056F88"/>
    <w:rsid w:val="000572B3"/>
    <w:rsid w:val="00057D6A"/>
    <w:rsid w:val="0006085B"/>
    <w:rsid w:val="00062212"/>
    <w:rsid w:val="0006493A"/>
    <w:rsid w:val="00064ADE"/>
    <w:rsid w:val="00064E25"/>
    <w:rsid w:val="000655D0"/>
    <w:rsid w:val="00065D58"/>
    <w:rsid w:val="00065FC4"/>
    <w:rsid w:val="000704DD"/>
    <w:rsid w:val="00071327"/>
    <w:rsid w:val="00071CDA"/>
    <w:rsid w:val="00073814"/>
    <w:rsid w:val="00074DF2"/>
    <w:rsid w:val="00074E91"/>
    <w:rsid w:val="000761DA"/>
    <w:rsid w:val="00076D74"/>
    <w:rsid w:val="00076D9F"/>
    <w:rsid w:val="0007798A"/>
    <w:rsid w:val="00077C7A"/>
    <w:rsid w:val="00081328"/>
    <w:rsid w:val="000817ED"/>
    <w:rsid w:val="00081F08"/>
    <w:rsid w:val="00082404"/>
    <w:rsid w:val="00082B14"/>
    <w:rsid w:val="000852C9"/>
    <w:rsid w:val="00086A48"/>
    <w:rsid w:val="00086FBB"/>
    <w:rsid w:val="0008743B"/>
    <w:rsid w:val="00090723"/>
    <w:rsid w:val="000911D2"/>
    <w:rsid w:val="00093537"/>
    <w:rsid w:val="00093C6D"/>
    <w:rsid w:val="00095CB0"/>
    <w:rsid w:val="0009619A"/>
    <w:rsid w:val="00096562"/>
    <w:rsid w:val="00096BF7"/>
    <w:rsid w:val="00097790"/>
    <w:rsid w:val="000A0D3B"/>
    <w:rsid w:val="000A124B"/>
    <w:rsid w:val="000A1DB4"/>
    <w:rsid w:val="000A3965"/>
    <w:rsid w:val="000A3985"/>
    <w:rsid w:val="000A3B0D"/>
    <w:rsid w:val="000A4754"/>
    <w:rsid w:val="000A5607"/>
    <w:rsid w:val="000A7433"/>
    <w:rsid w:val="000A74AD"/>
    <w:rsid w:val="000A74FC"/>
    <w:rsid w:val="000A796B"/>
    <w:rsid w:val="000B0334"/>
    <w:rsid w:val="000B0B05"/>
    <w:rsid w:val="000B0D00"/>
    <w:rsid w:val="000B0ED7"/>
    <w:rsid w:val="000B3D29"/>
    <w:rsid w:val="000B6375"/>
    <w:rsid w:val="000B64DF"/>
    <w:rsid w:val="000B794A"/>
    <w:rsid w:val="000B7D50"/>
    <w:rsid w:val="000B7E6A"/>
    <w:rsid w:val="000C0DBC"/>
    <w:rsid w:val="000C1376"/>
    <w:rsid w:val="000C1545"/>
    <w:rsid w:val="000C16D5"/>
    <w:rsid w:val="000C22E1"/>
    <w:rsid w:val="000C23A8"/>
    <w:rsid w:val="000C6D9E"/>
    <w:rsid w:val="000C7C45"/>
    <w:rsid w:val="000D06C1"/>
    <w:rsid w:val="000D06DD"/>
    <w:rsid w:val="000D0EC0"/>
    <w:rsid w:val="000D1716"/>
    <w:rsid w:val="000D3755"/>
    <w:rsid w:val="000D3E4C"/>
    <w:rsid w:val="000D5625"/>
    <w:rsid w:val="000D7BD1"/>
    <w:rsid w:val="000E18B2"/>
    <w:rsid w:val="000E32A6"/>
    <w:rsid w:val="000E3FF9"/>
    <w:rsid w:val="000E4396"/>
    <w:rsid w:val="000E4F71"/>
    <w:rsid w:val="000E507A"/>
    <w:rsid w:val="000E7841"/>
    <w:rsid w:val="000F03AF"/>
    <w:rsid w:val="000F1862"/>
    <w:rsid w:val="000F27F2"/>
    <w:rsid w:val="000F2924"/>
    <w:rsid w:val="000F3738"/>
    <w:rsid w:val="000F3DF6"/>
    <w:rsid w:val="000F4002"/>
    <w:rsid w:val="000F432C"/>
    <w:rsid w:val="000F46F6"/>
    <w:rsid w:val="000F664C"/>
    <w:rsid w:val="000F72AD"/>
    <w:rsid w:val="000F767F"/>
    <w:rsid w:val="001001BD"/>
    <w:rsid w:val="00100DCA"/>
    <w:rsid w:val="00101269"/>
    <w:rsid w:val="00101392"/>
    <w:rsid w:val="00101E31"/>
    <w:rsid w:val="001021FE"/>
    <w:rsid w:val="001026FD"/>
    <w:rsid w:val="00102A4F"/>
    <w:rsid w:val="00102AF8"/>
    <w:rsid w:val="00103245"/>
    <w:rsid w:val="0010383D"/>
    <w:rsid w:val="0010620B"/>
    <w:rsid w:val="00107DDB"/>
    <w:rsid w:val="00111084"/>
    <w:rsid w:val="001114F3"/>
    <w:rsid w:val="00112D3B"/>
    <w:rsid w:val="001138CE"/>
    <w:rsid w:val="00114CB6"/>
    <w:rsid w:val="0011512C"/>
    <w:rsid w:val="00116977"/>
    <w:rsid w:val="001169A0"/>
    <w:rsid w:val="00117144"/>
    <w:rsid w:val="001175DB"/>
    <w:rsid w:val="001178BE"/>
    <w:rsid w:val="00120C9D"/>
    <w:rsid w:val="001211D9"/>
    <w:rsid w:val="00121994"/>
    <w:rsid w:val="00121CE5"/>
    <w:rsid w:val="00122597"/>
    <w:rsid w:val="00124FE1"/>
    <w:rsid w:val="0012523E"/>
    <w:rsid w:val="0012576B"/>
    <w:rsid w:val="0012664B"/>
    <w:rsid w:val="00127754"/>
    <w:rsid w:val="00127E5A"/>
    <w:rsid w:val="00127ED6"/>
    <w:rsid w:val="001300E9"/>
    <w:rsid w:val="001301B5"/>
    <w:rsid w:val="00130D25"/>
    <w:rsid w:val="001318FC"/>
    <w:rsid w:val="0013247A"/>
    <w:rsid w:val="0013321A"/>
    <w:rsid w:val="001343D8"/>
    <w:rsid w:val="0013510C"/>
    <w:rsid w:val="001362B9"/>
    <w:rsid w:val="00137501"/>
    <w:rsid w:val="001435AD"/>
    <w:rsid w:val="001439A5"/>
    <w:rsid w:val="001439E3"/>
    <w:rsid w:val="00144115"/>
    <w:rsid w:val="0014426F"/>
    <w:rsid w:val="001447D0"/>
    <w:rsid w:val="00145635"/>
    <w:rsid w:val="0015027D"/>
    <w:rsid w:val="00150955"/>
    <w:rsid w:val="00150C1A"/>
    <w:rsid w:val="00152DCB"/>
    <w:rsid w:val="001543F8"/>
    <w:rsid w:val="00160224"/>
    <w:rsid w:val="00162405"/>
    <w:rsid w:val="0016461D"/>
    <w:rsid w:val="0016478B"/>
    <w:rsid w:val="00166092"/>
    <w:rsid w:val="00167419"/>
    <w:rsid w:val="00170223"/>
    <w:rsid w:val="0017024F"/>
    <w:rsid w:val="00172432"/>
    <w:rsid w:val="001734C3"/>
    <w:rsid w:val="00173E46"/>
    <w:rsid w:val="0017411F"/>
    <w:rsid w:val="0017461F"/>
    <w:rsid w:val="00176612"/>
    <w:rsid w:val="001768D1"/>
    <w:rsid w:val="00176ADE"/>
    <w:rsid w:val="00177A7E"/>
    <w:rsid w:val="00180F4E"/>
    <w:rsid w:val="00181B6A"/>
    <w:rsid w:val="00183EE9"/>
    <w:rsid w:val="00184457"/>
    <w:rsid w:val="001845F0"/>
    <w:rsid w:val="00184F9A"/>
    <w:rsid w:val="001868D8"/>
    <w:rsid w:val="0018706D"/>
    <w:rsid w:val="001904AB"/>
    <w:rsid w:val="00191903"/>
    <w:rsid w:val="001940CF"/>
    <w:rsid w:val="001945CA"/>
    <w:rsid w:val="001A0F20"/>
    <w:rsid w:val="001A15F2"/>
    <w:rsid w:val="001A22AD"/>
    <w:rsid w:val="001A324B"/>
    <w:rsid w:val="001A3856"/>
    <w:rsid w:val="001A43F6"/>
    <w:rsid w:val="001A49FB"/>
    <w:rsid w:val="001A5467"/>
    <w:rsid w:val="001A5D35"/>
    <w:rsid w:val="001A701B"/>
    <w:rsid w:val="001A73EC"/>
    <w:rsid w:val="001A765D"/>
    <w:rsid w:val="001A78ED"/>
    <w:rsid w:val="001A7B63"/>
    <w:rsid w:val="001B00EB"/>
    <w:rsid w:val="001B0677"/>
    <w:rsid w:val="001B0C9C"/>
    <w:rsid w:val="001B1699"/>
    <w:rsid w:val="001B39C5"/>
    <w:rsid w:val="001B3B36"/>
    <w:rsid w:val="001B6A36"/>
    <w:rsid w:val="001B6E4E"/>
    <w:rsid w:val="001B7CC3"/>
    <w:rsid w:val="001B7E68"/>
    <w:rsid w:val="001C30AC"/>
    <w:rsid w:val="001C37E4"/>
    <w:rsid w:val="001C5394"/>
    <w:rsid w:val="001C5DEE"/>
    <w:rsid w:val="001C68AF"/>
    <w:rsid w:val="001C6911"/>
    <w:rsid w:val="001C6C68"/>
    <w:rsid w:val="001C7FF0"/>
    <w:rsid w:val="001D0A73"/>
    <w:rsid w:val="001D226F"/>
    <w:rsid w:val="001D24DB"/>
    <w:rsid w:val="001D29A1"/>
    <w:rsid w:val="001D37B0"/>
    <w:rsid w:val="001D51E6"/>
    <w:rsid w:val="001D7078"/>
    <w:rsid w:val="001D764D"/>
    <w:rsid w:val="001E030C"/>
    <w:rsid w:val="001E064F"/>
    <w:rsid w:val="001E068D"/>
    <w:rsid w:val="001E0984"/>
    <w:rsid w:val="001E0EB1"/>
    <w:rsid w:val="001E2B27"/>
    <w:rsid w:val="001E2BB2"/>
    <w:rsid w:val="001E39BB"/>
    <w:rsid w:val="001E5FC5"/>
    <w:rsid w:val="001F12FD"/>
    <w:rsid w:val="001F2C92"/>
    <w:rsid w:val="001F3DF5"/>
    <w:rsid w:val="001F42D6"/>
    <w:rsid w:val="001F4B7C"/>
    <w:rsid w:val="001F4C7C"/>
    <w:rsid w:val="001F4F06"/>
    <w:rsid w:val="001F60B3"/>
    <w:rsid w:val="001F60F0"/>
    <w:rsid w:val="001F670D"/>
    <w:rsid w:val="001F679D"/>
    <w:rsid w:val="001F7226"/>
    <w:rsid w:val="001F78EC"/>
    <w:rsid w:val="001F7A6C"/>
    <w:rsid w:val="0020014B"/>
    <w:rsid w:val="00200808"/>
    <w:rsid w:val="0020106F"/>
    <w:rsid w:val="0020156D"/>
    <w:rsid w:val="00202B4D"/>
    <w:rsid w:val="002047C5"/>
    <w:rsid w:val="0020528F"/>
    <w:rsid w:val="00205A97"/>
    <w:rsid w:val="0020647D"/>
    <w:rsid w:val="002064A2"/>
    <w:rsid w:val="00207960"/>
    <w:rsid w:val="00207983"/>
    <w:rsid w:val="0021092F"/>
    <w:rsid w:val="00210EDE"/>
    <w:rsid w:val="002111F5"/>
    <w:rsid w:val="002112EA"/>
    <w:rsid w:val="002114D8"/>
    <w:rsid w:val="0021304A"/>
    <w:rsid w:val="00214501"/>
    <w:rsid w:val="002150E7"/>
    <w:rsid w:val="00215407"/>
    <w:rsid w:val="00215D5C"/>
    <w:rsid w:val="00221AE0"/>
    <w:rsid w:val="00223800"/>
    <w:rsid w:val="002252E3"/>
    <w:rsid w:val="00226FBD"/>
    <w:rsid w:val="0022751D"/>
    <w:rsid w:val="00231F34"/>
    <w:rsid w:val="002322C1"/>
    <w:rsid w:val="00232CED"/>
    <w:rsid w:val="00232F99"/>
    <w:rsid w:val="00235B4E"/>
    <w:rsid w:val="002405AE"/>
    <w:rsid w:val="0024087F"/>
    <w:rsid w:val="002414F0"/>
    <w:rsid w:val="0024167C"/>
    <w:rsid w:val="00245DEB"/>
    <w:rsid w:val="00247FF5"/>
    <w:rsid w:val="0025059D"/>
    <w:rsid w:val="00251A5D"/>
    <w:rsid w:val="002521D9"/>
    <w:rsid w:val="002524AA"/>
    <w:rsid w:val="00252BCD"/>
    <w:rsid w:val="0025587D"/>
    <w:rsid w:val="00256521"/>
    <w:rsid w:val="002568C3"/>
    <w:rsid w:val="00257B1B"/>
    <w:rsid w:val="00257BC4"/>
    <w:rsid w:val="002608BE"/>
    <w:rsid w:val="00260D2D"/>
    <w:rsid w:val="002611FC"/>
    <w:rsid w:val="00261F6F"/>
    <w:rsid w:val="00263C66"/>
    <w:rsid w:val="00264886"/>
    <w:rsid w:val="00264E4E"/>
    <w:rsid w:val="0026526D"/>
    <w:rsid w:val="00266542"/>
    <w:rsid w:val="002666C2"/>
    <w:rsid w:val="0026723B"/>
    <w:rsid w:val="00267CAE"/>
    <w:rsid w:val="00267FF7"/>
    <w:rsid w:val="00271563"/>
    <w:rsid w:val="00272D08"/>
    <w:rsid w:val="00272D84"/>
    <w:rsid w:val="00273D49"/>
    <w:rsid w:val="002746E7"/>
    <w:rsid w:val="00274B31"/>
    <w:rsid w:val="00277823"/>
    <w:rsid w:val="0028109A"/>
    <w:rsid w:val="00281E91"/>
    <w:rsid w:val="0028217D"/>
    <w:rsid w:val="002826B2"/>
    <w:rsid w:val="00282A8C"/>
    <w:rsid w:val="00282ED1"/>
    <w:rsid w:val="00283696"/>
    <w:rsid w:val="00283AE4"/>
    <w:rsid w:val="00283C17"/>
    <w:rsid w:val="0028415D"/>
    <w:rsid w:val="00284310"/>
    <w:rsid w:val="00284691"/>
    <w:rsid w:val="00284B6F"/>
    <w:rsid w:val="00284DDC"/>
    <w:rsid w:val="002850E3"/>
    <w:rsid w:val="002851BF"/>
    <w:rsid w:val="002861A1"/>
    <w:rsid w:val="00286876"/>
    <w:rsid w:val="00286BB2"/>
    <w:rsid w:val="00287F94"/>
    <w:rsid w:val="00290E7A"/>
    <w:rsid w:val="00291263"/>
    <w:rsid w:val="002914F0"/>
    <w:rsid w:val="00292F58"/>
    <w:rsid w:val="00293446"/>
    <w:rsid w:val="00293AD9"/>
    <w:rsid w:val="0029438A"/>
    <w:rsid w:val="002945ED"/>
    <w:rsid w:val="00296C48"/>
    <w:rsid w:val="00297863"/>
    <w:rsid w:val="002A0BE4"/>
    <w:rsid w:val="002A2250"/>
    <w:rsid w:val="002A2591"/>
    <w:rsid w:val="002A35C1"/>
    <w:rsid w:val="002A39B4"/>
    <w:rsid w:val="002A3A46"/>
    <w:rsid w:val="002A447D"/>
    <w:rsid w:val="002A57B8"/>
    <w:rsid w:val="002A6611"/>
    <w:rsid w:val="002A71E1"/>
    <w:rsid w:val="002B095E"/>
    <w:rsid w:val="002B1FEF"/>
    <w:rsid w:val="002B2781"/>
    <w:rsid w:val="002B31D1"/>
    <w:rsid w:val="002B3D12"/>
    <w:rsid w:val="002B5A0D"/>
    <w:rsid w:val="002B68F2"/>
    <w:rsid w:val="002B6DB9"/>
    <w:rsid w:val="002B7CF6"/>
    <w:rsid w:val="002B7D62"/>
    <w:rsid w:val="002C2250"/>
    <w:rsid w:val="002C25E7"/>
    <w:rsid w:val="002C31AD"/>
    <w:rsid w:val="002C3F3F"/>
    <w:rsid w:val="002C4814"/>
    <w:rsid w:val="002C5151"/>
    <w:rsid w:val="002C60BA"/>
    <w:rsid w:val="002C6670"/>
    <w:rsid w:val="002C6809"/>
    <w:rsid w:val="002D2E6A"/>
    <w:rsid w:val="002D31E4"/>
    <w:rsid w:val="002D38B1"/>
    <w:rsid w:val="002D3B41"/>
    <w:rsid w:val="002D3E01"/>
    <w:rsid w:val="002D40E3"/>
    <w:rsid w:val="002D5930"/>
    <w:rsid w:val="002D6B8D"/>
    <w:rsid w:val="002D7EAE"/>
    <w:rsid w:val="002D7F24"/>
    <w:rsid w:val="002D7F43"/>
    <w:rsid w:val="002E1A93"/>
    <w:rsid w:val="002E2BF1"/>
    <w:rsid w:val="002E2F07"/>
    <w:rsid w:val="002E328A"/>
    <w:rsid w:val="002E3E0E"/>
    <w:rsid w:val="002E403B"/>
    <w:rsid w:val="002E452F"/>
    <w:rsid w:val="002E45BD"/>
    <w:rsid w:val="002E48C0"/>
    <w:rsid w:val="002E620C"/>
    <w:rsid w:val="002E7C7C"/>
    <w:rsid w:val="002F2B41"/>
    <w:rsid w:val="002F342A"/>
    <w:rsid w:val="002F3BE1"/>
    <w:rsid w:val="002F4600"/>
    <w:rsid w:val="002F4EC4"/>
    <w:rsid w:val="002F643A"/>
    <w:rsid w:val="002F6981"/>
    <w:rsid w:val="002F6A5D"/>
    <w:rsid w:val="003019A0"/>
    <w:rsid w:val="0030395D"/>
    <w:rsid w:val="00305690"/>
    <w:rsid w:val="00305AB4"/>
    <w:rsid w:val="00306EEA"/>
    <w:rsid w:val="0030791C"/>
    <w:rsid w:val="00307C87"/>
    <w:rsid w:val="00312462"/>
    <w:rsid w:val="00313052"/>
    <w:rsid w:val="00314D53"/>
    <w:rsid w:val="0031572E"/>
    <w:rsid w:val="0031698E"/>
    <w:rsid w:val="0031710D"/>
    <w:rsid w:val="00317D91"/>
    <w:rsid w:val="00321267"/>
    <w:rsid w:val="003221FD"/>
    <w:rsid w:val="003227DE"/>
    <w:rsid w:val="00322D21"/>
    <w:rsid w:val="003236E9"/>
    <w:rsid w:val="00324281"/>
    <w:rsid w:val="00324389"/>
    <w:rsid w:val="0032609D"/>
    <w:rsid w:val="003260BB"/>
    <w:rsid w:val="00326582"/>
    <w:rsid w:val="00330EBA"/>
    <w:rsid w:val="00331114"/>
    <w:rsid w:val="00331510"/>
    <w:rsid w:val="00331865"/>
    <w:rsid w:val="003323D3"/>
    <w:rsid w:val="003334E5"/>
    <w:rsid w:val="00335A79"/>
    <w:rsid w:val="00336603"/>
    <w:rsid w:val="00336853"/>
    <w:rsid w:val="00340B60"/>
    <w:rsid w:val="003412B0"/>
    <w:rsid w:val="00341A1E"/>
    <w:rsid w:val="00341AF5"/>
    <w:rsid w:val="00341DF4"/>
    <w:rsid w:val="00342744"/>
    <w:rsid w:val="0034468D"/>
    <w:rsid w:val="003465BF"/>
    <w:rsid w:val="00346625"/>
    <w:rsid w:val="00346D03"/>
    <w:rsid w:val="00347FA7"/>
    <w:rsid w:val="003509BF"/>
    <w:rsid w:val="00350DDD"/>
    <w:rsid w:val="00352870"/>
    <w:rsid w:val="00354198"/>
    <w:rsid w:val="00354924"/>
    <w:rsid w:val="0035505E"/>
    <w:rsid w:val="00355687"/>
    <w:rsid w:val="00355A97"/>
    <w:rsid w:val="00355CE9"/>
    <w:rsid w:val="003565D6"/>
    <w:rsid w:val="00357708"/>
    <w:rsid w:val="00357C0B"/>
    <w:rsid w:val="00357FF8"/>
    <w:rsid w:val="00361D31"/>
    <w:rsid w:val="00362060"/>
    <w:rsid w:val="00364797"/>
    <w:rsid w:val="00364825"/>
    <w:rsid w:val="00365364"/>
    <w:rsid w:val="00365614"/>
    <w:rsid w:val="00365911"/>
    <w:rsid w:val="00365D9E"/>
    <w:rsid w:val="0036735B"/>
    <w:rsid w:val="003674BD"/>
    <w:rsid w:val="00367ACC"/>
    <w:rsid w:val="0037016B"/>
    <w:rsid w:val="0037091D"/>
    <w:rsid w:val="003710EC"/>
    <w:rsid w:val="003714DC"/>
    <w:rsid w:val="003746C1"/>
    <w:rsid w:val="00375E95"/>
    <w:rsid w:val="003763EE"/>
    <w:rsid w:val="003775DD"/>
    <w:rsid w:val="00377935"/>
    <w:rsid w:val="00377973"/>
    <w:rsid w:val="00377A28"/>
    <w:rsid w:val="00380AC3"/>
    <w:rsid w:val="003818C6"/>
    <w:rsid w:val="00382620"/>
    <w:rsid w:val="003828F3"/>
    <w:rsid w:val="0038331E"/>
    <w:rsid w:val="0038398E"/>
    <w:rsid w:val="00384447"/>
    <w:rsid w:val="0038543F"/>
    <w:rsid w:val="003855B7"/>
    <w:rsid w:val="0038574B"/>
    <w:rsid w:val="00385AFE"/>
    <w:rsid w:val="003869D6"/>
    <w:rsid w:val="0039014C"/>
    <w:rsid w:val="0039018E"/>
    <w:rsid w:val="00390E99"/>
    <w:rsid w:val="003919E9"/>
    <w:rsid w:val="00393ACA"/>
    <w:rsid w:val="00394AD3"/>
    <w:rsid w:val="00395739"/>
    <w:rsid w:val="00395B29"/>
    <w:rsid w:val="003964F1"/>
    <w:rsid w:val="003969E2"/>
    <w:rsid w:val="00396ED5"/>
    <w:rsid w:val="003972B5"/>
    <w:rsid w:val="003976BB"/>
    <w:rsid w:val="003A0DE8"/>
    <w:rsid w:val="003A16E4"/>
    <w:rsid w:val="003A1DE7"/>
    <w:rsid w:val="003A210C"/>
    <w:rsid w:val="003A212A"/>
    <w:rsid w:val="003A2134"/>
    <w:rsid w:val="003A2651"/>
    <w:rsid w:val="003A26AB"/>
    <w:rsid w:val="003A2895"/>
    <w:rsid w:val="003A44D8"/>
    <w:rsid w:val="003A5C6A"/>
    <w:rsid w:val="003A6E16"/>
    <w:rsid w:val="003A6FAF"/>
    <w:rsid w:val="003B1822"/>
    <w:rsid w:val="003B2FAA"/>
    <w:rsid w:val="003B2FDC"/>
    <w:rsid w:val="003B31CD"/>
    <w:rsid w:val="003B33CF"/>
    <w:rsid w:val="003B36D3"/>
    <w:rsid w:val="003B39FA"/>
    <w:rsid w:val="003B492F"/>
    <w:rsid w:val="003B4E05"/>
    <w:rsid w:val="003B4E4B"/>
    <w:rsid w:val="003B52A6"/>
    <w:rsid w:val="003B6691"/>
    <w:rsid w:val="003C03D0"/>
    <w:rsid w:val="003C03FC"/>
    <w:rsid w:val="003C04DF"/>
    <w:rsid w:val="003C11F8"/>
    <w:rsid w:val="003C13DF"/>
    <w:rsid w:val="003C1874"/>
    <w:rsid w:val="003C1B97"/>
    <w:rsid w:val="003C1E9C"/>
    <w:rsid w:val="003C4454"/>
    <w:rsid w:val="003C4F24"/>
    <w:rsid w:val="003C708C"/>
    <w:rsid w:val="003C7E14"/>
    <w:rsid w:val="003C7EAC"/>
    <w:rsid w:val="003D01CC"/>
    <w:rsid w:val="003D12DE"/>
    <w:rsid w:val="003D24D8"/>
    <w:rsid w:val="003D2711"/>
    <w:rsid w:val="003D2E41"/>
    <w:rsid w:val="003D46D6"/>
    <w:rsid w:val="003D4B92"/>
    <w:rsid w:val="003D4D01"/>
    <w:rsid w:val="003D4E20"/>
    <w:rsid w:val="003D5095"/>
    <w:rsid w:val="003D5A72"/>
    <w:rsid w:val="003D5FD0"/>
    <w:rsid w:val="003D65C7"/>
    <w:rsid w:val="003D7933"/>
    <w:rsid w:val="003D7B91"/>
    <w:rsid w:val="003E24BA"/>
    <w:rsid w:val="003E25CD"/>
    <w:rsid w:val="003E2788"/>
    <w:rsid w:val="003E2FD9"/>
    <w:rsid w:val="003E3B1B"/>
    <w:rsid w:val="003E47DD"/>
    <w:rsid w:val="003E4D82"/>
    <w:rsid w:val="003E602A"/>
    <w:rsid w:val="003E67BE"/>
    <w:rsid w:val="003E6A2B"/>
    <w:rsid w:val="003E6E04"/>
    <w:rsid w:val="003E7975"/>
    <w:rsid w:val="003E7ECA"/>
    <w:rsid w:val="003F1785"/>
    <w:rsid w:val="003F2BC1"/>
    <w:rsid w:val="003F31A3"/>
    <w:rsid w:val="003F4550"/>
    <w:rsid w:val="003F49AE"/>
    <w:rsid w:val="003F59B5"/>
    <w:rsid w:val="003F6337"/>
    <w:rsid w:val="003F724D"/>
    <w:rsid w:val="003F7259"/>
    <w:rsid w:val="003F7A3B"/>
    <w:rsid w:val="00400886"/>
    <w:rsid w:val="00401260"/>
    <w:rsid w:val="00401CB0"/>
    <w:rsid w:val="00402001"/>
    <w:rsid w:val="00402082"/>
    <w:rsid w:val="004029FC"/>
    <w:rsid w:val="0040305E"/>
    <w:rsid w:val="00403338"/>
    <w:rsid w:val="00404A84"/>
    <w:rsid w:val="00404EAB"/>
    <w:rsid w:val="00404F1E"/>
    <w:rsid w:val="00405B1A"/>
    <w:rsid w:val="00406EF5"/>
    <w:rsid w:val="0040793C"/>
    <w:rsid w:val="004102B8"/>
    <w:rsid w:val="0041370D"/>
    <w:rsid w:val="00413D77"/>
    <w:rsid w:val="0041461C"/>
    <w:rsid w:val="00415D38"/>
    <w:rsid w:val="00417D3C"/>
    <w:rsid w:val="00423B89"/>
    <w:rsid w:val="00423D14"/>
    <w:rsid w:val="004259ED"/>
    <w:rsid w:val="00430E82"/>
    <w:rsid w:val="00431D4D"/>
    <w:rsid w:val="00431E42"/>
    <w:rsid w:val="00432088"/>
    <w:rsid w:val="004320D8"/>
    <w:rsid w:val="00432AFF"/>
    <w:rsid w:val="00433986"/>
    <w:rsid w:val="00433C2F"/>
    <w:rsid w:val="004364DD"/>
    <w:rsid w:val="00436670"/>
    <w:rsid w:val="00436E52"/>
    <w:rsid w:val="0044040E"/>
    <w:rsid w:val="0044041E"/>
    <w:rsid w:val="004416D1"/>
    <w:rsid w:val="00442AF2"/>
    <w:rsid w:val="00445A51"/>
    <w:rsid w:val="0044674D"/>
    <w:rsid w:val="004478D1"/>
    <w:rsid w:val="00450D0E"/>
    <w:rsid w:val="004524B0"/>
    <w:rsid w:val="0045284F"/>
    <w:rsid w:val="00454654"/>
    <w:rsid w:val="004547C8"/>
    <w:rsid w:val="0045615E"/>
    <w:rsid w:val="004571A2"/>
    <w:rsid w:val="004579F6"/>
    <w:rsid w:val="00457E1D"/>
    <w:rsid w:val="00460546"/>
    <w:rsid w:val="00460A56"/>
    <w:rsid w:val="00461678"/>
    <w:rsid w:val="0046219F"/>
    <w:rsid w:val="004622BD"/>
    <w:rsid w:val="00462EAC"/>
    <w:rsid w:val="004642A0"/>
    <w:rsid w:val="004647B7"/>
    <w:rsid w:val="00466754"/>
    <w:rsid w:val="0047074A"/>
    <w:rsid w:val="00470DB8"/>
    <w:rsid w:val="0047309B"/>
    <w:rsid w:val="004742BE"/>
    <w:rsid w:val="00474D3F"/>
    <w:rsid w:val="00475F79"/>
    <w:rsid w:val="0047628B"/>
    <w:rsid w:val="0048019C"/>
    <w:rsid w:val="00481054"/>
    <w:rsid w:val="00482763"/>
    <w:rsid w:val="00483374"/>
    <w:rsid w:val="004844B6"/>
    <w:rsid w:val="0048460A"/>
    <w:rsid w:val="00484CB6"/>
    <w:rsid w:val="00486412"/>
    <w:rsid w:val="00487162"/>
    <w:rsid w:val="00487D71"/>
    <w:rsid w:val="0049163F"/>
    <w:rsid w:val="00492755"/>
    <w:rsid w:val="00493E28"/>
    <w:rsid w:val="00495569"/>
    <w:rsid w:val="00495ABE"/>
    <w:rsid w:val="0049689A"/>
    <w:rsid w:val="0049762D"/>
    <w:rsid w:val="004A1176"/>
    <w:rsid w:val="004A16CC"/>
    <w:rsid w:val="004A346B"/>
    <w:rsid w:val="004A3AAD"/>
    <w:rsid w:val="004A5F61"/>
    <w:rsid w:val="004A7553"/>
    <w:rsid w:val="004A7D75"/>
    <w:rsid w:val="004B0231"/>
    <w:rsid w:val="004B0638"/>
    <w:rsid w:val="004B08F8"/>
    <w:rsid w:val="004B1449"/>
    <w:rsid w:val="004B2669"/>
    <w:rsid w:val="004B26CB"/>
    <w:rsid w:val="004B2A5D"/>
    <w:rsid w:val="004B3555"/>
    <w:rsid w:val="004B71CF"/>
    <w:rsid w:val="004B7298"/>
    <w:rsid w:val="004C1DC0"/>
    <w:rsid w:val="004C2180"/>
    <w:rsid w:val="004C2CD3"/>
    <w:rsid w:val="004C318F"/>
    <w:rsid w:val="004C46AA"/>
    <w:rsid w:val="004C5A27"/>
    <w:rsid w:val="004C7406"/>
    <w:rsid w:val="004D0AB1"/>
    <w:rsid w:val="004D1FE7"/>
    <w:rsid w:val="004D2455"/>
    <w:rsid w:val="004D409A"/>
    <w:rsid w:val="004D4F84"/>
    <w:rsid w:val="004D75CD"/>
    <w:rsid w:val="004D75DD"/>
    <w:rsid w:val="004D7898"/>
    <w:rsid w:val="004E07D5"/>
    <w:rsid w:val="004E108F"/>
    <w:rsid w:val="004E1123"/>
    <w:rsid w:val="004E12A5"/>
    <w:rsid w:val="004E1C52"/>
    <w:rsid w:val="004E4D5C"/>
    <w:rsid w:val="004E5CB4"/>
    <w:rsid w:val="004E6640"/>
    <w:rsid w:val="004E7D29"/>
    <w:rsid w:val="004F0139"/>
    <w:rsid w:val="004F0741"/>
    <w:rsid w:val="004F1883"/>
    <w:rsid w:val="004F1953"/>
    <w:rsid w:val="004F264A"/>
    <w:rsid w:val="004F27BA"/>
    <w:rsid w:val="004F3B3C"/>
    <w:rsid w:val="004F3E59"/>
    <w:rsid w:val="004F3F87"/>
    <w:rsid w:val="004F5591"/>
    <w:rsid w:val="004F5A9F"/>
    <w:rsid w:val="004F6896"/>
    <w:rsid w:val="004F75A6"/>
    <w:rsid w:val="0050013E"/>
    <w:rsid w:val="00500282"/>
    <w:rsid w:val="005003D7"/>
    <w:rsid w:val="00500570"/>
    <w:rsid w:val="00500595"/>
    <w:rsid w:val="0050150E"/>
    <w:rsid w:val="005059F7"/>
    <w:rsid w:val="00505DBF"/>
    <w:rsid w:val="0050662C"/>
    <w:rsid w:val="005073B9"/>
    <w:rsid w:val="00507D3B"/>
    <w:rsid w:val="00507D53"/>
    <w:rsid w:val="00510A99"/>
    <w:rsid w:val="00510ED3"/>
    <w:rsid w:val="005129D6"/>
    <w:rsid w:val="0051347E"/>
    <w:rsid w:val="005143FE"/>
    <w:rsid w:val="005147BE"/>
    <w:rsid w:val="0051492D"/>
    <w:rsid w:val="00514BE6"/>
    <w:rsid w:val="005177BB"/>
    <w:rsid w:val="005221CB"/>
    <w:rsid w:val="00522806"/>
    <w:rsid w:val="00522F69"/>
    <w:rsid w:val="00523C93"/>
    <w:rsid w:val="00524491"/>
    <w:rsid w:val="00524F84"/>
    <w:rsid w:val="00526460"/>
    <w:rsid w:val="00527892"/>
    <w:rsid w:val="00527FC0"/>
    <w:rsid w:val="00530BF6"/>
    <w:rsid w:val="00530EF8"/>
    <w:rsid w:val="00531C1E"/>
    <w:rsid w:val="0053308F"/>
    <w:rsid w:val="00533259"/>
    <w:rsid w:val="005335DA"/>
    <w:rsid w:val="00533997"/>
    <w:rsid w:val="00533AF8"/>
    <w:rsid w:val="005340D4"/>
    <w:rsid w:val="00535391"/>
    <w:rsid w:val="005366E9"/>
    <w:rsid w:val="00537812"/>
    <w:rsid w:val="00541A3B"/>
    <w:rsid w:val="00541B18"/>
    <w:rsid w:val="005426F0"/>
    <w:rsid w:val="0054320D"/>
    <w:rsid w:val="00545FA8"/>
    <w:rsid w:val="0054670A"/>
    <w:rsid w:val="00546E7B"/>
    <w:rsid w:val="00547683"/>
    <w:rsid w:val="005505C2"/>
    <w:rsid w:val="005509CF"/>
    <w:rsid w:val="005525A8"/>
    <w:rsid w:val="00553022"/>
    <w:rsid w:val="005539F5"/>
    <w:rsid w:val="00553B37"/>
    <w:rsid w:val="0055508D"/>
    <w:rsid w:val="00555F03"/>
    <w:rsid w:val="005568C0"/>
    <w:rsid w:val="00560852"/>
    <w:rsid w:val="00560961"/>
    <w:rsid w:val="00561B9D"/>
    <w:rsid w:val="00562BD2"/>
    <w:rsid w:val="00562F32"/>
    <w:rsid w:val="005632E1"/>
    <w:rsid w:val="00563AEF"/>
    <w:rsid w:val="00565D8D"/>
    <w:rsid w:val="00566D9E"/>
    <w:rsid w:val="0056718A"/>
    <w:rsid w:val="00567E74"/>
    <w:rsid w:val="00567F5E"/>
    <w:rsid w:val="00572795"/>
    <w:rsid w:val="00572FBC"/>
    <w:rsid w:val="00573260"/>
    <w:rsid w:val="00573752"/>
    <w:rsid w:val="005751B3"/>
    <w:rsid w:val="005760DA"/>
    <w:rsid w:val="00576326"/>
    <w:rsid w:val="00576BF8"/>
    <w:rsid w:val="00576C10"/>
    <w:rsid w:val="00577662"/>
    <w:rsid w:val="00577E7D"/>
    <w:rsid w:val="00582980"/>
    <w:rsid w:val="00582D26"/>
    <w:rsid w:val="005835C7"/>
    <w:rsid w:val="00584049"/>
    <w:rsid w:val="005840F6"/>
    <w:rsid w:val="00584B1A"/>
    <w:rsid w:val="00584BC6"/>
    <w:rsid w:val="0058533F"/>
    <w:rsid w:val="00585A1B"/>
    <w:rsid w:val="005879DB"/>
    <w:rsid w:val="005910FC"/>
    <w:rsid w:val="0059167C"/>
    <w:rsid w:val="00591E1D"/>
    <w:rsid w:val="005931A4"/>
    <w:rsid w:val="00594B2E"/>
    <w:rsid w:val="0059533F"/>
    <w:rsid w:val="005A0748"/>
    <w:rsid w:val="005A1D44"/>
    <w:rsid w:val="005A26D6"/>
    <w:rsid w:val="005A3F79"/>
    <w:rsid w:val="005A4231"/>
    <w:rsid w:val="005A59E5"/>
    <w:rsid w:val="005A6085"/>
    <w:rsid w:val="005A6C7A"/>
    <w:rsid w:val="005A6C8F"/>
    <w:rsid w:val="005A7582"/>
    <w:rsid w:val="005A7E37"/>
    <w:rsid w:val="005B1765"/>
    <w:rsid w:val="005B1EA6"/>
    <w:rsid w:val="005B2556"/>
    <w:rsid w:val="005B3170"/>
    <w:rsid w:val="005B3AEF"/>
    <w:rsid w:val="005B3E36"/>
    <w:rsid w:val="005B438D"/>
    <w:rsid w:val="005B4696"/>
    <w:rsid w:val="005B7C38"/>
    <w:rsid w:val="005C3320"/>
    <w:rsid w:val="005C3A37"/>
    <w:rsid w:val="005C3A50"/>
    <w:rsid w:val="005C41CA"/>
    <w:rsid w:val="005C5AEA"/>
    <w:rsid w:val="005C6947"/>
    <w:rsid w:val="005C6AED"/>
    <w:rsid w:val="005C730E"/>
    <w:rsid w:val="005D0AD0"/>
    <w:rsid w:val="005D0FD0"/>
    <w:rsid w:val="005D17E7"/>
    <w:rsid w:val="005D1E58"/>
    <w:rsid w:val="005D30B2"/>
    <w:rsid w:val="005D3B71"/>
    <w:rsid w:val="005D5436"/>
    <w:rsid w:val="005D56EC"/>
    <w:rsid w:val="005D6EBA"/>
    <w:rsid w:val="005D6FC0"/>
    <w:rsid w:val="005D748F"/>
    <w:rsid w:val="005E0340"/>
    <w:rsid w:val="005E0BF0"/>
    <w:rsid w:val="005E15EF"/>
    <w:rsid w:val="005E1C44"/>
    <w:rsid w:val="005E3CCB"/>
    <w:rsid w:val="005E3D01"/>
    <w:rsid w:val="005E4CB0"/>
    <w:rsid w:val="005E6E1B"/>
    <w:rsid w:val="005E76CC"/>
    <w:rsid w:val="005E7F47"/>
    <w:rsid w:val="005F0771"/>
    <w:rsid w:val="005F0AEB"/>
    <w:rsid w:val="005F0F92"/>
    <w:rsid w:val="005F2F4A"/>
    <w:rsid w:val="005F3924"/>
    <w:rsid w:val="005F48D4"/>
    <w:rsid w:val="005F4A6E"/>
    <w:rsid w:val="005F4F43"/>
    <w:rsid w:val="005F562F"/>
    <w:rsid w:val="005F5885"/>
    <w:rsid w:val="005F616E"/>
    <w:rsid w:val="005F7501"/>
    <w:rsid w:val="005F757F"/>
    <w:rsid w:val="005F7F8D"/>
    <w:rsid w:val="006001F5"/>
    <w:rsid w:val="00600424"/>
    <w:rsid w:val="006017BA"/>
    <w:rsid w:val="00602332"/>
    <w:rsid w:val="00604556"/>
    <w:rsid w:val="006047F1"/>
    <w:rsid w:val="00604A0E"/>
    <w:rsid w:val="0060623B"/>
    <w:rsid w:val="00606C61"/>
    <w:rsid w:val="006072D0"/>
    <w:rsid w:val="00607495"/>
    <w:rsid w:val="0060789E"/>
    <w:rsid w:val="00607B0F"/>
    <w:rsid w:val="00607D86"/>
    <w:rsid w:val="00610303"/>
    <w:rsid w:val="00612E47"/>
    <w:rsid w:val="0061311A"/>
    <w:rsid w:val="006141F7"/>
    <w:rsid w:val="006161D4"/>
    <w:rsid w:val="006163F0"/>
    <w:rsid w:val="0061683B"/>
    <w:rsid w:val="00616B5E"/>
    <w:rsid w:val="00616DDA"/>
    <w:rsid w:val="006176F8"/>
    <w:rsid w:val="00617B00"/>
    <w:rsid w:val="006213B8"/>
    <w:rsid w:val="006220A2"/>
    <w:rsid w:val="006220E0"/>
    <w:rsid w:val="00622811"/>
    <w:rsid w:val="006244F1"/>
    <w:rsid w:val="006247EC"/>
    <w:rsid w:val="00625447"/>
    <w:rsid w:val="006255CA"/>
    <w:rsid w:val="00625781"/>
    <w:rsid w:val="00626050"/>
    <w:rsid w:val="006264CF"/>
    <w:rsid w:val="00627E6A"/>
    <w:rsid w:val="00630084"/>
    <w:rsid w:val="00631392"/>
    <w:rsid w:val="006328C3"/>
    <w:rsid w:val="00632ECF"/>
    <w:rsid w:val="00635055"/>
    <w:rsid w:val="00643AA9"/>
    <w:rsid w:val="00644001"/>
    <w:rsid w:val="00644749"/>
    <w:rsid w:val="00645122"/>
    <w:rsid w:val="006458BF"/>
    <w:rsid w:val="00645989"/>
    <w:rsid w:val="00645EFB"/>
    <w:rsid w:val="0065068A"/>
    <w:rsid w:val="006512A0"/>
    <w:rsid w:val="00651EE8"/>
    <w:rsid w:val="00653907"/>
    <w:rsid w:val="0066173F"/>
    <w:rsid w:val="006635AF"/>
    <w:rsid w:val="00664AE3"/>
    <w:rsid w:val="00664BCC"/>
    <w:rsid w:val="00666B97"/>
    <w:rsid w:val="0066799B"/>
    <w:rsid w:val="006679FE"/>
    <w:rsid w:val="00670991"/>
    <w:rsid w:val="006715ED"/>
    <w:rsid w:val="00671873"/>
    <w:rsid w:val="00673B31"/>
    <w:rsid w:val="00674757"/>
    <w:rsid w:val="0067638C"/>
    <w:rsid w:val="006775E6"/>
    <w:rsid w:val="0068050E"/>
    <w:rsid w:val="00681D04"/>
    <w:rsid w:val="006824FF"/>
    <w:rsid w:val="006826E9"/>
    <w:rsid w:val="006831B1"/>
    <w:rsid w:val="006838E7"/>
    <w:rsid w:val="00683947"/>
    <w:rsid w:val="00683B2E"/>
    <w:rsid w:val="00683CF7"/>
    <w:rsid w:val="00684174"/>
    <w:rsid w:val="006842C0"/>
    <w:rsid w:val="006844F1"/>
    <w:rsid w:val="00686715"/>
    <w:rsid w:val="00687533"/>
    <w:rsid w:val="006878C0"/>
    <w:rsid w:val="0069018B"/>
    <w:rsid w:val="0069134D"/>
    <w:rsid w:val="00691DA9"/>
    <w:rsid w:val="00692075"/>
    <w:rsid w:val="00692935"/>
    <w:rsid w:val="00693D6A"/>
    <w:rsid w:val="00694797"/>
    <w:rsid w:val="006947B0"/>
    <w:rsid w:val="00694E14"/>
    <w:rsid w:val="006952CA"/>
    <w:rsid w:val="00695E21"/>
    <w:rsid w:val="006968F1"/>
    <w:rsid w:val="006975E5"/>
    <w:rsid w:val="00697CEC"/>
    <w:rsid w:val="006A0406"/>
    <w:rsid w:val="006A59BE"/>
    <w:rsid w:val="006A666F"/>
    <w:rsid w:val="006A6CB8"/>
    <w:rsid w:val="006A748A"/>
    <w:rsid w:val="006B063F"/>
    <w:rsid w:val="006B29CC"/>
    <w:rsid w:val="006B318A"/>
    <w:rsid w:val="006B3270"/>
    <w:rsid w:val="006B49B7"/>
    <w:rsid w:val="006B682C"/>
    <w:rsid w:val="006B6A1B"/>
    <w:rsid w:val="006C01D7"/>
    <w:rsid w:val="006C1102"/>
    <w:rsid w:val="006C1FE4"/>
    <w:rsid w:val="006C42F4"/>
    <w:rsid w:val="006C4BCB"/>
    <w:rsid w:val="006C5346"/>
    <w:rsid w:val="006C6991"/>
    <w:rsid w:val="006C6DE2"/>
    <w:rsid w:val="006C6F66"/>
    <w:rsid w:val="006D0BD6"/>
    <w:rsid w:val="006D10DC"/>
    <w:rsid w:val="006D1CCF"/>
    <w:rsid w:val="006D265B"/>
    <w:rsid w:val="006D36B9"/>
    <w:rsid w:val="006D36F4"/>
    <w:rsid w:val="006D68A7"/>
    <w:rsid w:val="006E0FC3"/>
    <w:rsid w:val="006E12F4"/>
    <w:rsid w:val="006E1DFF"/>
    <w:rsid w:val="006E5C30"/>
    <w:rsid w:val="006E5DFC"/>
    <w:rsid w:val="006E6CA3"/>
    <w:rsid w:val="006E6EB1"/>
    <w:rsid w:val="006E73A9"/>
    <w:rsid w:val="006E7463"/>
    <w:rsid w:val="006E77B3"/>
    <w:rsid w:val="006E7D2C"/>
    <w:rsid w:val="006E7D35"/>
    <w:rsid w:val="006E7DD6"/>
    <w:rsid w:val="006F28BA"/>
    <w:rsid w:val="006F3B66"/>
    <w:rsid w:val="006F4158"/>
    <w:rsid w:val="006F4A94"/>
    <w:rsid w:val="006F52B4"/>
    <w:rsid w:val="006F5C3B"/>
    <w:rsid w:val="006F746E"/>
    <w:rsid w:val="006F77A8"/>
    <w:rsid w:val="00700E84"/>
    <w:rsid w:val="00703DE8"/>
    <w:rsid w:val="00704316"/>
    <w:rsid w:val="00705CD6"/>
    <w:rsid w:val="00706E2F"/>
    <w:rsid w:val="00707577"/>
    <w:rsid w:val="0070760B"/>
    <w:rsid w:val="0071018C"/>
    <w:rsid w:val="007107BE"/>
    <w:rsid w:val="0071109A"/>
    <w:rsid w:val="007117DE"/>
    <w:rsid w:val="00711BF7"/>
    <w:rsid w:val="007166FC"/>
    <w:rsid w:val="00716AFD"/>
    <w:rsid w:val="007174F1"/>
    <w:rsid w:val="00720CB7"/>
    <w:rsid w:val="0072231F"/>
    <w:rsid w:val="00723D99"/>
    <w:rsid w:val="00724955"/>
    <w:rsid w:val="00727AC9"/>
    <w:rsid w:val="00730636"/>
    <w:rsid w:val="00731BDA"/>
    <w:rsid w:val="00731CB2"/>
    <w:rsid w:val="007321AA"/>
    <w:rsid w:val="00732FE7"/>
    <w:rsid w:val="007335B8"/>
    <w:rsid w:val="00733B39"/>
    <w:rsid w:val="00733DDC"/>
    <w:rsid w:val="007357F0"/>
    <w:rsid w:val="00736467"/>
    <w:rsid w:val="00736D9E"/>
    <w:rsid w:val="0073770E"/>
    <w:rsid w:val="007377CF"/>
    <w:rsid w:val="0074174D"/>
    <w:rsid w:val="00741D5A"/>
    <w:rsid w:val="00741DE7"/>
    <w:rsid w:val="0074244C"/>
    <w:rsid w:val="00742C56"/>
    <w:rsid w:val="007509AA"/>
    <w:rsid w:val="00751338"/>
    <w:rsid w:val="0075199B"/>
    <w:rsid w:val="00752193"/>
    <w:rsid w:val="0075302F"/>
    <w:rsid w:val="0075359F"/>
    <w:rsid w:val="007538A3"/>
    <w:rsid w:val="0075425C"/>
    <w:rsid w:val="00754F09"/>
    <w:rsid w:val="0075600F"/>
    <w:rsid w:val="00757304"/>
    <w:rsid w:val="00762890"/>
    <w:rsid w:val="00763651"/>
    <w:rsid w:val="0076386A"/>
    <w:rsid w:val="00763C10"/>
    <w:rsid w:val="00765B22"/>
    <w:rsid w:val="00766717"/>
    <w:rsid w:val="00767952"/>
    <w:rsid w:val="0077117A"/>
    <w:rsid w:val="0077163C"/>
    <w:rsid w:val="00771B6F"/>
    <w:rsid w:val="00772C46"/>
    <w:rsid w:val="007744F2"/>
    <w:rsid w:val="00774ACC"/>
    <w:rsid w:val="00775D20"/>
    <w:rsid w:val="00776436"/>
    <w:rsid w:val="007769AB"/>
    <w:rsid w:val="0077790E"/>
    <w:rsid w:val="00777C6D"/>
    <w:rsid w:val="00777D0B"/>
    <w:rsid w:val="00780682"/>
    <w:rsid w:val="007814F5"/>
    <w:rsid w:val="00781DC1"/>
    <w:rsid w:val="007824B5"/>
    <w:rsid w:val="00782912"/>
    <w:rsid w:val="00783ECE"/>
    <w:rsid w:val="00785832"/>
    <w:rsid w:val="00786372"/>
    <w:rsid w:val="007863BC"/>
    <w:rsid w:val="00787307"/>
    <w:rsid w:val="0078790B"/>
    <w:rsid w:val="00787BEA"/>
    <w:rsid w:val="007915F2"/>
    <w:rsid w:val="0079393B"/>
    <w:rsid w:val="00794032"/>
    <w:rsid w:val="00795E11"/>
    <w:rsid w:val="00797A4F"/>
    <w:rsid w:val="007A160E"/>
    <w:rsid w:val="007A1645"/>
    <w:rsid w:val="007A192A"/>
    <w:rsid w:val="007A1D31"/>
    <w:rsid w:val="007A2EAB"/>
    <w:rsid w:val="007A30D8"/>
    <w:rsid w:val="007A3F36"/>
    <w:rsid w:val="007A4586"/>
    <w:rsid w:val="007A4957"/>
    <w:rsid w:val="007A5B03"/>
    <w:rsid w:val="007A5B43"/>
    <w:rsid w:val="007A5B6A"/>
    <w:rsid w:val="007A5EDB"/>
    <w:rsid w:val="007A6354"/>
    <w:rsid w:val="007A641A"/>
    <w:rsid w:val="007A6836"/>
    <w:rsid w:val="007A76D2"/>
    <w:rsid w:val="007A7BEA"/>
    <w:rsid w:val="007A7DF1"/>
    <w:rsid w:val="007B02AD"/>
    <w:rsid w:val="007B056A"/>
    <w:rsid w:val="007B0E8A"/>
    <w:rsid w:val="007B1114"/>
    <w:rsid w:val="007B19D6"/>
    <w:rsid w:val="007B29DE"/>
    <w:rsid w:val="007B29E9"/>
    <w:rsid w:val="007B2F4A"/>
    <w:rsid w:val="007B3654"/>
    <w:rsid w:val="007B3950"/>
    <w:rsid w:val="007B41BA"/>
    <w:rsid w:val="007B4E57"/>
    <w:rsid w:val="007B5035"/>
    <w:rsid w:val="007B5150"/>
    <w:rsid w:val="007B5B46"/>
    <w:rsid w:val="007B5FEB"/>
    <w:rsid w:val="007B6FDE"/>
    <w:rsid w:val="007C0198"/>
    <w:rsid w:val="007C027B"/>
    <w:rsid w:val="007C0D2F"/>
    <w:rsid w:val="007C168B"/>
    <w:rsid w:val="007C1ADF"/>
    <w:rsid w:val="007C1DF6"/>
    <w:rsid w:val="007C3483"/>
    <w:rsid w:val="007C3801"/>
    <w:rsid w:val="007C3AB2"/>
    <w:rsid w:val="007C3C34"/>
    <w:rsid w:val="007C410A"/>
    <w:rsid w:val="007C5A9C"/>
    <w:rsid w:val="007C5E88"/>
    <w:rsid w:val="007C716F"/>
    <w:rsid w:val="007C76E6"/>
    <w:rsid w:val="007D138A"/>
    <w:rsid w:val="007D20E9"/>
    <w:rsid w:val="007D2362"/>
    <w:rsid w:val="007D2A8E"/>
    <w:rsid w:val="007D2AE3"/>
    <w:rsid w:val="007D35C5"/>
    <w:rsid w:val="007D3B49"/>
    <w:rsid w:val="007D4940"/>
    <w:rsid w:val="007D50C6"/>
    <w:rsid w:val="007D5174"/>
    <w:rsid w:val="007D5CFE"/>
    <w:rsid w:val="007D5F8F"/>
    <w:rsid w:val="007D6837"/>
    <w:rsid w:val="007D708D"/>
    <w:rsid w:val="007E0007"/>
    <w:rsid w:val="007E1F34"/>
    <w:rsid w:val="007E1F39"/>
    <w:rsid w:val="007E2073"/>
    <w:rsid w:val="007E2F88"/>
    <w:rsid w:val="007E3972"/>
    <w:rsid w:val="007E5A55"/>
    <w:rsid w:val="007F1AF5"/>
    <w:rsid w:val="007F27FA"/>
    <w:rsid w:val="007F4784"/>
    <w:rsid w:val="007F519A"/>
    <w:rsid w:val="007F725F"/>
    <w:rsid w:val="007F7B66"/>
    <w:rsid w:val="008000C2"/>
    <w:rsid w:val="0080086E"/>
    <w:rsid w:val="00800AF8"/>
    <w:rsid w:val="00802742"/>
    <w:rsid w:val="00802D53"/>
    <w:rsid w:val="0080314F"/>
    <w:rsid w:val="0080376C"/>
    <w:rsid w:val="00804029"/>
    <w:rsid w:val="008041D4"/>
    <w:rsid w:val="00810C5C"/>
    <w:rsid w:val="00812573"/>
    <w:rsid w:val="0081270C"/>
    <w:rsid w:val="008146D0"/>
    <w:rsid w:val="00814937"/>
    <w:rsid w:val="008159C2"/>
    <w:rsid w:val="00816B35"/>
    <w:rsid w:val="00820A7C"/>
    <w:rsid w:val="008228D6"/>
    <w:rsid w:val="00822BFD"/>
    <w:rsid w:val="0082543F"/>
    <w:rsid w:val="0082566E"/>
    <w:rsid w:val="008307F0"/>
    <w:rsid w:val="00830B1E"/>
    <w:rsid w:val="00830CEA"/>
    <w:rsid w:val="00831041"/>
    <w:rsid w:val="00832BDA"/>
    <w:rsid w:val="008344A6"/>
    <w:rsid w:val="008367EA"/>
    <w:rsid w:val="0083712D"/>
    <w:rsid w:val="008379B7"/>
    <w:rsid w:val="00837F35"/>
    <w:rsid w:val="00840392"/>
    <w:rsid w:val="00840874"/>
    <w:rsid w:val="00840907"/>
    <w:rsid w:val="0084093A"/>
    <w:rsid w:val="00842AAB"/>
    <w:rsid w:val="008439C7"/>
    <w:rsid w:val="0084424A"/>
    <w:rsid w:val="0084468A"/>
    <w:rsid w:val="00844E86"/>
    <w:rsid w:val="00845EC0"/>
    <w:rsid w:val="0084687D"/>
    <w:rsid w:val="00846BF3"/>
    <w:rsid w:val="00846C85"/>
    <w:rsid w:val="0084701E"/>
    <w:rsid w:val="0084740E"/>
    <w:rsid w:val="008505C7"/>
    <w:rsid w:val="00851559"/>
    <w:rsid w:val="008518CB"/>
    <w:rsid w:val="00852044"/>
    <w:rsid w:val="00853F06"/>
    <w:rsid w:val="008541CE"/>
    <w:rsid w:val="00854269"/>
    <w:rsid w:val="00855CDB"/>
    <w:rsid w:val="00856322"/>
    <w:rsid w:val="00856ECC"/>
    <w:rsid w:val="00856F03"/>
    <w:rsid w:val="008572CA"/>
    <w:rsid w:val="00857FF8"/>
    <w:rsid w:val="00860F1A"/>
    <w:rsid w:val="0086181A"/>
    <w:rsid w:val="00861924"/>
    <w:rsid w:val="00862E26"/>
    <w:rsid w:val="00863168"/>
    <w:rsid w:val="00865129"/>
    <w:rsid w:val="00865C02"/>
    <w:rsid w:val="00866021"/>
    <w:rsid w:val="008663AF"/>
    <w:rsid w:val="008664E8"/>
    <w:rsid w:val="0086765D"/>
    <w:rsid w:val="00867C61"/>
    <w:rsid w:val="00870574"/>
    <w:rsid w:val="0087094B"/>
    <w:rsid w:val="008714B1"/>
    <w:rsid w:val="00874026"/>
    <w:rsid w:val="00874204"/>
    <w:rsid w:val="00874A09"/>
    <w:rsid w:val="00874C06"/>
    <w:rsid w:val="008772E4"/>
    <w:rsid w:val="00877564"/>
    <w:rsid w:val="008775FC"/>
    <w:rsid w:val="00877785"/>
    <w:rsid w:val="00877DF8"/>
    <w:rsid w:val="008804F9"/>
    <w:rsid w:val="00880BA6"/>
    <w:rsid w:val="00884127"/>
    <w:rsid w:val="008852F2"/>
    <w:rsid w:val="008860F1"/>
    <w:rsid w:val="0089039F"/>
    <w:rsid w:val="008903E9"/>
    <w:rsid w:val="00891713"/>
    <w:rsid w:val="00892B3B"/>
    <w:rsid w:val="008936C5"/>
    <w:rsid w:val="00893C3B"/>
    <w:rsid w:val="00893C89"/>
    <w:rsid w:val="008940AD"/>
    <w:rsid w:val="00895E3A"/>
    <w:rsid w:val="008976BE"/>
    <w:rsid w:val="008A0F94"/>
    <w:rsid w:val="008A1E10"/>
    <w:rsid w:val="008A2CBF"/>
    <w:rsid w:val="008A5B08"/>
    <w:rsid w:val="008A686E"/>
    <w:rsid w:val="008A7656"/>
    <w:rsid w:val="008B0B34"/>
    <w:rsid w:val="008B1766"/>
    <w:rsid w:val="008B2046"/>
    <w:rsid w:val="008B2A82"/>
    <w:rsid w:val="008B3F26"/>
    <w:rsid w:val="008B4C71"/>
    <w:rsid w:val="008B5457"/>
    <w:rsid w:val="008B5AD5"/>
    <w:rsid w:val="008B6E6E"/>
    <w:rsid w:val="008B73ED"/>
    <w:rsid w:val="008C0006"/>
    <w:rsid w:val="008C0AAD"/>
    <w:rsid w:val="008C11AA"/>
    <w:rsid w:val="008C2896"/>
    <w:rsid w:val="008C28E7"/>
    <w:rsid w:val="008C35F5"/>
    <w:rsid w:val="008C3B72"/>
    <w:rsid w:val="008C4DCF"/>
    <w:rsid w:val="008C4F58"/>
    <w:rsid w:val="008C4FFA"/>
    <w:rsid w:val="008C567F"/>
    <w:rsid w:val="008C6556"/>
    <w:rsid w:val="008C6ABE"/>
    <w:rsid w:val="008C794D"/>
    <w:rsid w:val="008D0223"/>
    <w:rsid w:val="008D10C9"/>
    <w:rsid w:val="008D56E7"/>
    <w:rsid w:val="008D78BC"/>
    <w:rsid w:val="008E1874"/>
    <w:rsid w:val="008E23B8"/>
    <w:rsid w:val="008E2A03"/>
    <w:rsid w:val="008E3A1F"/>
    <w:rsid w:val="008E523C"/>
    <w:rsid w:val="008E6B9A"/>
    <w:rsid w:val="008E6E75"/>
    <w:rsid w:val="008E740D"/>
    <w:rsid w:val="008E7B77"/>
    <w:rsid w:val="008E7BC1"/>
    <w:rsid w:val="008F0308"/>
    <w:rsid w:val="008F4608"/>
    <w:rsid w:val="008F55E9"/>
    <w:rsid w:val="008F5CDA"/>
    <w:rsid w:val="008F612A"/>
    <w:rsid w:val="008F73C1"/>
    <w:rsid w:val="00900D26"/>
    <w:rsid w:val="00901BF1"/>
    <w:rsid w:val="00902FDF"/>
    <w:rsid w:val="00903E72"/>
    <w:rsid w:val="009053D7"/>
    <w:rsid w:val="00905A12"/>
    <w:rsid w:val="00905EBB"/>
    <w:rsid w:val="009078FA"/>
    <w:rsid w:val="00907C5C"/>
    <w:rsid w:val="00913FB5"/>
    <w:rsid w:val="00921BEC"/>
    <w:rsid w:val="0092234F"/>
    <w:rsid w:val="0092311A"/>
    <w:rsid w:val="00923154"/>
    <w:rsid w:val="00924F2D"/>
    <w:rsid w:val="00925498"/>
    <w:rsid w:val="009254A1"/>
    <w:rsid w:val="0092772C"/>
    <w:rsid w:val="00927796"/>
    <w:rsid w:val="00927F5B"/>
    <w:rsid w:val="00927FE0"/>
    <w:rsid w:val="00931C0E"/>
    <w:rsid w:val="00932DEB"/>
    <w:rsid w:val="009337F9"/>
    <w:rsid w:val="0093532C"/>
    <w:rsid w:val="009353A4"/>
    <w:rsid w:val="00935B8D"/>
    <w:rsid w:val="0093617A"/>
    <w:rsid w:val="00936DD9"/>
    <w:rsid w:val="00937AF9"/>
    <w:rsid w:val="00940591"/>
    <w:rsid w:val="00942117"/>
    <w:rsid w:val="00942F39"/>
    <w:rsid w:val="009436BD"/>
    <w:rsid w:val="00945719"/>
    <w:rsid w:val="00945845"/>
    <w:rsid w:val="0094591D"/>
    <w:rsid w:val="0094731E"/>
    <w:rsid w:val="00947A43"/>
    <w:rsid w:val="009505DD"/>
    <w:rsid w:val="00950E5E"/>
    <w:rsid w:val="009513F6"/>
    <w:rsid w:val="0095191E"/>
    <w:rsid w:val="00951A36"/>
    <w:rsid w:val="00952284"/>
    <w:rsid w:val="009522FD"/>
    <w:rsid w:val="009523D3"/>
    <w:rsid w:val="00952929"/>
    <w:rsid w:val="00953061"/>
    <w:rsid w:val="0095447D"/>
    <w:rsid w:val="0095502C"/>
    <w:rsid w:val="0095605D"/>
    <w:rsid w:val="00956769"/>
    <w:rsid w:val="00956E98"/>
    <w:rsid w:val="00957400"/>
    <w:rsid w:val="00957F41"/>
    <w:rsid w:val="0096087E"/>
    <w:rsid w:val="00960A48"/>
    <w:rsid w:val="009626AA"/>
    <w:rsid w:val="009634FF"/>
    <w:rsid w:val="0096375D"/>
    <w:rsid w:val="00963E5A"/>
    <w:rsid w:val="00964C75"/>
    <w:rsid w:val="00964C9F"/>
    <w:rsid w:val="00966DBF"/>
    <w:rsid w:val="00966E67"/>
    <w:rsid w:val="009672D7"/>
    <w:rsid w:val="00970325"/>
    <w:rsid w:val="009704FA"/>
    <w:rsid w:val="009708C6"/>
    <w:rsid w:val="00970B0C"/>
    <w:rsid w:val="00970E7A"/>
    <w:rsid w:val="00970FBD"/>
    <w:rsid w:val="00971A3A"/>
    <w:rsid w:val="009723F3"/>
    <w:rsid w:val="00972D0E"/>
    <w:rsid w:val="00972D87"/>
    <w:rsid w:val="00972DEE"/>
    <w:rsid w:val="009734D0"/>
    <w:rsid w:val="00973940"/>
    <w:rsid w:val="00973CAE"/>
    <w:rsid w:val="009744F8"/>
    <w:rsid w:val="009746F5"/>
    <w:rsid w:val="00974A4C"/>
    <w:rsid w:val="00974B5F"/>
    <w:rsid w:val="00974DC2"/>
    <w:rsid w:val="0097632E"/>
    <w:rsid w:val="00976A52"/>
    <w:rsid w:val="00976B05"/>
    <w:rsid w:val="00976D3F"/>
    <w:rsid w:val="00977804"/>
    <w:rsid w:val="0098019D"/>
    <w:rsid w:val="009806D2"/>
    <w:rsid w:val="00980DB9"/>
    <w:rsid w:val="009823B5"/>
    <w:rsid w:val="00983C3D"/>
    <w:rsid w:val="00983F40"/>
    <w:rsid w:val="00983F66"/>
    <w:rsid w:val="00985CCA"/>
    <w:rsid w:val="00985FD5"/>
    <w:rsid w:val="009879D8"/>
    <w:rsid w:val="00987AE3"/>
    <w:rsid w:val="00987EBF"/>
    <w:rsid w:val="009908C4"/>
    <w:rsid w:val="00990DE9"/>
    <w:rsid w:val="009915A3"/>
    <w:rsid w:val="0099363C"/>
    <w:rsid w:val="0099400F"/>
    <w:rsid w:val="00994459"/>
    <w:rsid w:val="00995A77"/>
    <w:rsid w:val="00995AAE"/>
    <w:rsid w:val="00995CB9"/>
    <w:rsid w:val="009A0AB2"/>
    <w:rsid w:val="009A14A8"/>
    <w:rsid w:val="009A4074"/>
    <w:rsid w:val="009A42C4"/>
    <w:rsid w:val="009A43B7"/>
    <w:rsid w:val="009A447B"/>
    <w:rsid w:val="009A50C6"/>
    <w:rsid w:val="009A5AB4"/>
    <w:rsid w:val="009A5BF1"/>
    <w:rsid w:val="009A7709"/>
    <w:rsid w:val="009A7734"/>
    <w:rsid w:val="009A7EAA"/>
    <w:rsid w:val="009B0596"/>
    <w:rsid w:val="009B088C"/>
    <w:rsid w:val="009B2A4A"/>
    <w:rsid w:val="009B31A9"/>
    <w:rsid w:val="009B59F7"/>
    <w:rsid w:val="009B63FE"/>
    <w:rsid w:val="009C022A"/>
    <w:rsid w:val="009C034C"/>
    <w:rsid w:val="009C094E"/>
    <w:rsid w:val="009C106A"/>
    <w:rsid w:val="009C18CA"/>
    <w:rsid w:val="009C1B60"/>
    <w:rsid w:val="009C2151"/>
    <w:rsid w:val="009C47B5"/>
    <w:rsid w:val="009C4CA6"/>
    <w:rsid w:val="009C52AC"/>
    <w:rsid w:val="009C54C7"/>
    <w:rsid w:val="009C5F6A"/>
    <w:rsid w:val="009C66DC"/>
    <w:rsid w:val="009C6C6A"/>
    <w:rsid w:val="009C7217"/>
    <w:rsid w:val="009D0958"/>
    <w:rsid w:val="009D2279"/>
    <w:rsid w:val="009D2A07"/>
    <w:rsid w:val="009D4552"/>
    <w:rsid w:val="009D4A69"/>
    <w:rsid w:val="009D6102"/>
    <w:rsid w:val="009D6C4C"/>
    <w:rsid w:val="009D75E7"/>
    <w:rsid w:val="009E0384"/>
    <w:rsid w:val="009E0A82"/>
    <w:rsid w:val="009E28D3"/>
    <w:rsid w:val="009E397C"/>
    <w:rsid w:val="009E438D"/>
    <w:rsid w:val="009E4C92"/>
    <w:rsid w:val="009F13DB"/>
    <w:rsid w:val="009F1720"/>
    <w:rsid w:val="009F1985"/>
    <w:rsid w:val="009F2059"/>
    <w:rsid w:val="009F227D"/>
    <w:rsid w:val="009F29EC"/>
    <w:rsid w:val="009F5764"/>
    <w:rsid w:val="009F59E9"/>
    <w:rsid w:val="009F6DEB"/>
    <w:rsid w:val="009F7FFB"/>
    <w:rsid w:val="00A037AA"/>
    <w:rsid w:val="00A03962"/>
    <w:rsid w:val="00A045CE"/>
    <w:rsid w:val="00A051FA"/>
    <w:rsid w:val="00A05C40"/>
    <w:rsid w:val="00A0606B"/>
    <w:rsid w:val="00A06A47"/>
    <w:rsid w:val="00A073F0"/>
    <w:rsid w:val="00A07ADD"/>
    <w:rsid w:val="00A100C2"/>
    <w:rsid w:val="00A11839"/>
    <w:rsid w:val="00A14C07"/>
    <w:rsid w:val="00A1606F"/>
    <w:rsid w:val="00A178D3"/>
    <w:rsid w:val="00A17B94"/>
    <w:rsid w:val="00A2183B"/>
    <w:rsid w:val="00A21B68"/>
    <w:rsid w:val="00A227E7"/>
    <w:rsid w:val="00A236E7"/>
    <w:rsid w:val="00A24408"/>
    <w:rsid w:val="00A2484F"/>
    <w:rsid w:val="00A24EDD"/>
    <w:rsid w:val="00A257A5"/>
    <w:rsid w:val="00A25E37"/>
    <w:rsid w:val="00A272A0"/>
    <w:rsid w:val="00A312D2"/>
    <w:rsid w:val="00A313C9"/>
    <w:rsid w:val="00A31501"/>
    <w:rsid w:val="00A3171C"/>
    <w:rsid w:val="00A31AC4"/>
    <w:rsid w:val="00A31DDC"/>
    <w:rsid w:val="00A32021"/>
    <w:rsid w:val="00A32AE9"/>
    <w:rsid w:val="00A346FF"/>
    <w:rsid w:val="00A35E6B"/>
    <w:rsid w:val="00A3693F"/>
    <w:rsid w:val="00A371B7"/>
    <w:rsid w:val="00A37835"/>
    <w:rsid w:val="00A401F2"/>
    <w:rsid w:val="00A40B6B"/>
    <w:rsid w:val="00A416F3"/>
    <w:rsid w:val="00A42630"/>
    <w:rsid w:val="00A42631"/>
    <w:rsid w:val="00A428AC"/>
    <w:rsid w:val="00A43DA3"/>
    <w:rsid w:val="00A43F19"/>
    <w:rsid w:val="00A44119"/>
    <w:rsid w:val="00A443D9"/>
    <w:rsid w:val="00A443EC"/>
    <w:rsid w:val="00A44466"/>
    <w:rsid w:val="00A44877"/>
    <w:rsid w:val="00A45142"/>
    <w:rsid w:val="00A4550E"/>
    <w:rsid w:val="00A47C6D"/>
    <w:rsid w:val="00A47EE2"/>
    <w:rsid w:val="00A5104B"/>
    <w:rsid w:val="00A51CCE"/>
    <w:rsid w:val="00A51E8A"/>
    <w:rsid w:val="00A522F6"/>
    <w:rsid w:val="00A549D7"/>
    <w:rsid w:val="00A559F7"/>
    <w:rsid w:val="00A56C30"/>
    <w:rsid w:val="00A61673"/>
    <w:rsid w:val="00A619A3"/>
    <w:rsid w:val="00A622CC"/>
    <w:rsid w:val="00A62D95"/>
    <w:rsid w:val="00A632FB"/>
    <w:rsid w:val="00A65108"/>
    <w:rsid w:val="00A651C1"/>
    <w:rsid w:val="00A6560B"/>
    <w:rsid w:val="00A71481"/>
    <w:rsid w:val="00A717E1"/>
    <w:rsid w:val="00A71F3C"/>
    <w:rsid w:val="00A7253D"/>
    <w:rsid w:val="00A72A2B"/>
    <w:rsid w:val="00A7566A"/>
    <w:rsid w:val="00A76514"/>
    <w:rsid w:val="00A8202D"/>
    <w:rsid w:val="00A84995"/>
    <w:rsid w:val="00A85648"/>
    <w:rsid w:val="00A85832"/>
    <w:rsid w:val="00A8601C"/>
    <w:rsid w:val="00A8729F"/>
    <w:rsid w:val="00A879D8"/>
    <w:rsid w:val="00A87B2F"/>
    <w:rsid w:val="00A916B9"/>
    <w:rsid w:val="00A92738"/>
    <w:rsid w:val="00A9325B"/>
    <w:rsid w:val="00A93291"/>
    <w:rsid w:val="00A935F6"/>
    <w:rsid w:val="00A93BFF"/>
    <w:rsid w:val="00A93C92"/>
    <w:rsid w:val="00A96019"/>
    <w:rsid w:val="00A96376"/>
    <w:rsid w:val="00A968E7"/>
    <w:rsid w:val="00AA02CE"/>
    <w:rsid w:val="00AA0AFE"/>
    <w:rsid w:val="00AA0FDE"/>
    <w:rsid w:val="00AA1AB5"/>
    <w:rsid w:val="00AA4060"/>
    <w:rsid w:val="00AA4524"/>
    <w:rsid w:val="00AA6299"/>
    <w:rsid w:val="00AA6633"/>
    <w:rsid w:val="00AA7CD4"/>
    <w:rsid w:val="00AB04BB"/>
    <w:rsid w:val="00AB1F9A"/>
    <w:rsid w:val="00AB334F"/>
    <w:rsid w:val="00AB3807"/>
    <w:rsid w:val="00AB5F4B"/>
    <w:rsid w:val="00AB620E"/>
    <w:rsid w:val="00AB7262"/>
    <w:rsid w:val="00AB72A9"/>
    <w:rsid w:val="00AC1AD5"/>
    <w:rsid w:val="00AC226E"/>
    <w:rsid w:val="00AC3652"/>
    <w:rsid w:val="00AC3B83"/>
    <w:rsid w:val="00AC4809"/>
    <w:rsid w:val="00AC4880"/>
    <w:rsid w:val="00AC52A1"/>
    <w:rsid w:val="00AC5BCA"/>
    <w:rsid w:val="00AC6311"/>
    <w:rsid w:val="00AC7A2C"/>
    <w:rsid w:val="00AD0119"/>
    <w:rsid w:val="00AD22EF"/>
    <w:rsid w:val="00AD2552"/>
    <w:rsid w:val="00AD2AFD"/>
    <w:rsid w:val="00AD40D5"/>
    <w:rsid w:val="00AD497C"/>
    <w:rsid w:val="00AD5E4F"/>
    <w:rsid w:val="00AE07CE"/>
    <w:rsid w:val="00AE1457"/>
    <w:rsid w:val="00AE17B8"/>
    <w:rsid w:val="00AE1B09"/>
    <w:rsid w:val="00AE1D2D"/>
    <w:rsid w:val="00AE20EF"/>
    <w:rsid w:val="00AE2679"/>
    <w:rsid w:val="00AE3198"/>
    <w:rsid w:val="00AE3455"/>
    <w:rsid w:val="00AE36B3"/>
    <w:rsid w:val="00AE4B73"/>
    <w:rsid w:val="00AE5BF3"/>
    <w:rsid w:val="00AE6AD2"/>
    <w:rsid w:val="00AE6CF8"/>
    <w:rsid w:val="00AE74C2"/>
    <w:rsid w:val="00AF0944"/>
    <w:rsid w:val="00AF186B"/>
    <w:rsid w:val="00AF18C5"/>
    <w:rsid w:val="00AF3DF1"/>
    <w:rsid w:val="00AF42A1"/>
    <w:rsid w:val="00AF4840"/>
    <w:rsid w:val="00AF4854"/>
    <w:rsid w:val="00AF48D6"/>
    <w:rsid w:val="00AF5076"/>
    <w:rsid w:val="00AF6BBC"/>
    <w:rsid w:val="00AF7128"/>
    <w:rsid w:val="00B00D8F"/>
    <w:rsid w:val="00B01400"/>
    <w:rsid w:val="00B028DE"/>
    <w:rsid w:val="00B0325F"/>
    <w:rsid w:val="00B036C8"/>
    <w:rsid w:val="00B04301"/>
    <w:rsid w:val="00B06464"/>
    <w:rsid w:val="00B06C5F"/>
    <w:rsid w:val="00B0736B"/>
    <w:rsid w:val="00B07C91"/>
    <w:rsid w:val="00B119D1"/>
    <w:rsid w:val="00B11C35"/>
    <w:rsid w:val="00B11EF7"/>
    <w:rsid w:val="00B13B7D"/>
    <w:rsid w:val="00B14795"/>
    <w:rsid w:val="00B14A14"/>
    <w:rsid w:val="00B15BAB"/>
    <w:rsid w:val="00B15F29"/>
    <w:rsid w:val="00B174FC"/>
    <w:rsid w:val="00B17EB4"/>
    <w:rsid w:val="00B21BB1"/>
    <w:rsid w:val="00B22D5D"/>
    <w:rsid w:val="00B25E65"/>
    <w:rsid w:val="00B267B7"/>
    <w:rsid w:val="00B302AA"/>
    <w:rsid w:val="00B31A46"/>
    <w:rsid w:val="00B33490"/>
    <w:rsid w:val="00B34451"/>
    <w:rsid w:val="00B3459B"/>
    <w:rsid w:val="00B34E00"/>
    <w:rsid w:val="00B34E25"/>
    <w:rsid w:val="00B35666"/>
    <w:rsid w:val="00B35DBC"/>
    <w:rsid w:val="00B36A65"/>
    <w:rsid w:val="00B37504"/>
    <w:rsid w:val="00B4140F"/>
    <w:rsid w:val="00B443B6"/>
    <w:rsid w:val="00B4462F"/>
    <w:rsid w:val="00B45982"/>
    <w:rsid w:val="00B47950"/>
    <w:rsid w:val="00B51098"/>
    <w:rsid w:val="00B515E6"/>
    <w:rsid w:val="00B51AE8"/>
    <w:rsid w:val="00B52A6B"/>
    <w:rsid w:val="00B54768"/>
    <w:rsid w:val="00B55094"/>
    <w:rsid w:val="00B560AB"/>
    <w:rsid w:val="00B575AD"/>
    <w:rsid w:val="00B6013E"/>
    <w:rsid w:val="00B60B92"/>
    <w:rsid w:val="00B61B2A"/>
    <w:rsid w:val="00B63240"/>
    <w:rsid w:val="00B634CA"/>
    <w:rsid w:val="00B6447E"/>
    <w:rsid w:val="00B6486F"/>
    <w:rsid w:val="00B65AE1"/>
    <w:rsid w:val="00B65E95"/>
    <w:rsid w:val="00B66E0B"/>
    <w:rsid w:val="00B67453"/>
    <w:rsid w:val="00B67530"/>
    <w:rsid w:val="00B67E9E"/>
    <w:rsid w:val="00B67EA2"/>
    <w:rsid w:val="00B71B1C"/>
    <w:rsid w:val="00B722F5"/>
    <w:rsid w:val="00B7231D"/>
    <w:rsid w:val="00B7321A"/>
    <w:rsid w:val="00B75A1A"/>
    <w:rsid w:val="00B760C5"/>
    <w:rsid w:val="00B77541"/>
    <w:rsid w:val="00B81D70"/>
    <w:rsid w:val="00B82D7C"/>
    <w:rsid w:val="00B82DD8"/>
    <w:rsid w:val="00B84249"/>
    <w:rsid w:val="00B843F9"/>
    <w:rsid w:val="00B85EC0"/>
    <w:rsid w:val="00B86244"/>
    <w:rsid w:val="00B871B3"/>
    <w:rsid w:val="00B878E4"/>
    <w:rsid w:val="00B905DE"/>
    <w:rsid w:val="00B90806"/>
    <w:rsid w:val="00B90AC9"/>
    <w:rsid w:val="00B90F48"/>
    <w:rsid w:val="00B92D29"/>
    <w:rsid w:val="00B95803"/>
    <w:rsid w:val="00B96817"/>
    <w:rsid w:val="00B96D3A"/>
    <w:rsid w:val="00B97BCB"/>
    <w:rsid w:val="00BA176D"/>
    <w:rsid w:val="00BA29B6"/>
    <w:rsid w:val="00BA39E9"/>
    <w:rsid w:val="00BA61FC"/>
    <w:rsid w:val="00BA62BA"/>
    <w:rsid w:val="00BA6E8D"/>
    <w:rsid w:val="00BA74DE"/>
    <w:rsid w:val="00BA77D6"/>
    <w:rsid w:val="00BB057C"/>
    <w:rsid w:val="00BB0B61"/>
    <w:rsid w:val="00BB1058"/>
    <w:rsid w:val="00BB2D93"/>
    <w:rsid w:val="00BB3B46"/>
    <w:rsid w:val="00BB3F3C"/>
    <w:rsid w:val="00BB474D"/>
    <w:rsid w:val="00BB5369"/>
    <w:rsid w:val="00BB5677"/>
    <w:rsid w:val="00BB640F"/>
    <w:rsid w:val="00BB7596"/>
    <w:rsid w:val="00BB7CDC"/>
    <w:rsid w:val="00BC03EC"/>
    <w:rsid w:val="00BC1046"/>
    <w:rsid w:val="00BC348B"/>
    <w:rsid w:val="00BC37AE"/>
    <w:rsid w:val="00BC3F87"/>
    <w:rsid w:val="00BC4046"/>
    <w:rsid w:val="00BC49C8"/>
    <w:rsid w:val="00BC51F1"/>
    <w:rsid w:val="00BC57AD"/>
    <w:rsid w:val="00BC5ED4"/>
    <w:rsid w:val="00BC63D9"/>
    <w:rsid w:val="00BC674A"/>
    <w:rsid w:val="00BC679E"/>
    <w:rsid w:val="00BC7657"/>
    <w:rsid w:val="00BD00CD"/>
    <w:rsid w:val="00BD0F57"/>
    <w:rsid w:val="00BD445A"/>
    <w:rsid w:val="00BD4B40"/>
    <w:rsid w:val="00BD6465"/>
    <w:rsid w:val="00BD66D0"/>
    <w:rsid w:val="00BE129C"/>
    <w:rsid w:val="00BE1A7D"/>
    <w:rsid w:val="00BE1D49"/>
    <w:rsid w:val="00BE221B"/>
    <w:rsid w:val="00BE2835"/>
    <w:rsid w:val="00BE2EDE"/>
    <w:rsid w:val="00BE311B"/>
    <w:rsid w:val="00BE33ED"/>
    <w:rsid w:val="00BE39E5"/>
    <w:rsid w:val="00BE3DEE"/>
    <w:rsid w:val="00BE4129"/>
    <w:rsid w:val="00BE59AD"/>
    <w:rsid w:val="00BE6EBE"/>
    <w:rsid w:val="00BE6F75"/>
    <w:rsid w:val="00BE7196"/>
    <w:rsid w:val="00BE7509"/>
    <w:rsid w:val="00BE78F1"/>
    <w:rsid w:val="00BF0007"/>
    <w:rsid w:val="00BF1725"/>
    <w:rsid w:val="00BF1774"/>
    <w:rsid w:val="00BF230B"/>
    <w:rsid w:val="00BF25BF"/>
    <w:rsid w:val="00BF2817"/>
    <w:rsid w:val="00BF2CF3"/>
    <w:rsid w:val="00BF638E"/>
    <w:rsid w:val="00BF6B0E"/>
    <w:rsid w:val="00BF7495"/>
    <w:rsid w:val="00BF776A"/>
    <w:rsid w:val="00C000FA"/>
    <w:rsid w:val="00C0043E"/>
    <w:rsid w:val="00C00466"/>
    <w:rsid w:val="00C0076D"/>
    <w:rsid w:val="00C00A65"/>
    <w:rsid w:val="00C00E6E"/>
    <w:rsid w:val="00C01289"/>
    <w:rsid w:val="00C0349C"/>
    <w:rsid w:val="00C03957"/>
    <w:rsid w:val="00C03977"/>
    <w:rsid w:val="00C04743"/>
    <w:rsid w:val="00C06776"/>
    <w:rsid w:val="00C0704E"/>
    <w:rsid w:val="00C070CB"/>
    <w:rsid w:val="00C07B51"/>
    <w:rsid w:val="00C10711"/>
    <w:rsid w:val="00C11A16"/>
    <w:rsid w:val="00C12A15"/>
    <w:rsid w:val="00C13F4C"/>
    <w:rsid w:val="00C17532"/>
    <w:rsid w:val="00C1756D"/>
    <w:rsid w:val="00C17646"/>
    <w:rsid w:val="00C179BC"/>
    <w:rsid w:val="00C20029"/>
    <w:rsid w:val="00C217C6"/>
    <w:rsid w:val="00C22570"/>
    <w:rsid w:val="00C22A11"/>
    <w:rsid w:val="00C22C03"/>
    <w:rsid w:val="00C23949"/>
    <w:rsid w:val="00C2414F"/>
    <w:rsid w:val="00C24B43"/>
    <w:rsid w:val="00C316B6"/>
    <w:rsid w:val="00C325C2"/>
    <w:rsid w:val="00C33B53"/>
    <w:rsid w:val="00C34B23"/>
    <w:rsid w:val="00C35862"/>
    <w:rsid w:val="00C370C4"/>
    <w:rsid w:val="00C37D42"/>
    <w:rsid w:val="00C41CEC"/>
    <w:rsid w:val="00C41E6D"/>
    <w:rsid w:val="00C42F02"/>
    <w:rsid w:val="00C44AD5"/>
    <w:rsid w:val="00C457A5"/>
    <w:rsid w:val="00C45C0E"/>
    <w:rsid w:val="00C462B0"/>
    <w:rsid w:val="00C4702C"/>
    <w:rsid w:val="00C504ED"/>
    <w:rsid w:val="00C505A2"/>
    <w:rsid w:val="00C50C18"/>
    <w:rsid w:val="00C5167C"/>
    <w:rsid w:val="00C5186D"/>
    <w:rsid w:val="00C51DE6"/>
    <w:rsid w:val="00C52333"/>
    <w:rsid w:val="00C5298A"/>
    <w:rsid w:val="00C5353A"/>
    <w:rsid w:val="00C536A1"/>
    <w:rsid w:val="00C53EC7"/>
    <w:rsid w:val="00C548D1"/>
    <w:rsid w:val="00C54B20"/>
    <w:rsid w:val="00C56BD5"/>
    <w:rsid w:val="00C61B14"/>
    <w:rsid w:val="00C62730"/>
    <w:rsid w:val="00C634EC"/>
    <w:rsid w:val="00C64A8B"/>
    <w:rsid w:val="00C66878"/>
    <w:rsid w:val="00C704B4"/>
    <w:rsid w:val="00C7075E"/>
    <w:rsid w:val="00C70BFC"/>
    <w:rsid w:val="00C71278"/>
    <w:rsid w:val="00C71397"/>
    <w:rsid w:val="00C71DB3"/>
    <w:rsid w:val="00C778AE"/>
    <w:rsid w:val="00C80407"/>
    <w:rsid w:val="00C805EB"/>
    <w:rsid w:val="00C81C8A"/>
    <w:rsid w:val="00C8238D"/>
    <w:rsid w:val="00C826E1"/>
    <w:rsid w:val="00C849B1"/>
    <w:rsid w:val="00C85740"/>
    <w:rsid w:val="00C86185"/>
    <w:rsid w:val="00C86951"/>
    <w:rsid w:val="00C873A6"/>
    <w:rsid w:val="00C875B3"/>
    <w:rsid w:val="00C95E86"/>
    <w:rsid w:val="00C95FB1"/>
    <w:rsid w:val="00C96378"/>
    <w:rsid w:val="00CA0686"/>
    <w:rsid w:val="00CA122C"/>
    <w:rsid w:val="00CA1B3B"/>
    <w:rsid w:val="00CA1D83"/>
    <w:rsid w:val="00CA2136"/>
    <w:rsid w:val="00CA2346"/>
    <w:rsid w:val="00CA278C"/>
    <w:rsid w:val="00CA3C37"/>
    <w:rsid w:val="00CA3F2B"/>
    <w:rsid w:val="00CA5AFC"/>
    <w:rsid w:val="00CA5D2A"/>
    <w:rsid w:val="00CA7259"/>
    <w:rsid w:val="00CB0030"/>
    <w:rsid w:val="00CB0A92"/>
    <w:rsid w:val="00CB0D43"/>
    <w:rsid w:val="00CB3B81"/>
    <w:rsid w:val="00CB3DBD"/>
    <w:rsid w:val="00CB6EC2"/>
    <w:rsid w:val="00CC003D"/>
    <w:rsid w:val="00CC2EEA"/>
    <w:rsid w:val="00CC40B1"/>
    <w:rsid w:val="00CC4296"/>
    <w:rsid w:val="00CC4FE6"/>
    <w:rsid w:val="00CC55EB"/>
    <w:rsid w:val="00CC59AF"/>
    <w:rsid w:val="00CC5B1F"/>
    <w:rsid w:val="00CC7C59"/>
    <w:rsid w:val="00CC7D0E"/>
    <w:rsid w:val="00CD0176"/>
    <w:rsid w:val="00CD02D6"/>
    <w:rsid w:val="00CD06AF"/>
    <w:rsid w:val="00CD1484"/>
    <w:rsid w:val="00CD1CD4"/>
    <w:rsid w:val="00CD3930"/>
    <w:rsid w:val="00CD4A3B"/>
    <w:rsid w:val="00CD4D00"/>
    <w:rsid w:val="00CD63FD"/>
    <w:rsid w:val="00CD6A29"/>
    <w:rsid w:val="00CD6EB2"/>
    <w:rsid w:val="00CD6F64"/>
    <w:rsid w:val="00CE1222"/>
    <w:rsid w:val="00CE196D"/>
    <w:rsid w:val="00CE1A1C"/>
    <w:rsid w:val="00CE1D73"/>
    <w:rsid w:val="00CE239C"/>
    <w:rsid w:val="00CE6B9E"/>
    <w:rsid w:val="00CE7846"/>
    <w:rsid w:val="00CE7CD3"/>
    <w:rsid w:val="00CF17FD"/>
    <w:rsid w:val="00CF2E3A"/>
    <w:rsid w:val="00CF47A5"/>
    <w:rsid w:val="00CF4A0D"/>
    <w:rsid w:val="00CF4E1B"/>
    <w:rsid w:val="00CF5486"/>
    <w:rsid w:val="00CF7E7F"/>
    <w:rsid w:val="00D02468"/>
    <w:rsid w:val="00D02CEC"/>
    <w:rsid w:val="00D03453"/>
    <w:rsid w:val="00D053C2"/>
    <w:rsid w:val="00D05E75"/>
    <w:rsid w:val="00D05E80"/>
    <w:rsid w:val="00D0732D"/>
    <w:rsid w:val="00D0741A"/>
    <w:rsid w:val="00D0768D"/>
    <w:rsid w:val="00D11B29"/>
    <w:rsid w:val="00D11DC6"/>
    <w:rsid w:val="00D11FC0"/>
    <w:rsid w:val="00D12276"/>
    <w:rsid w:val="00D12D2F"/>
    <w:rsid w:val="00D13031"/>
    <w:rsid w:val="00D13FAE"/>
    <w:rsid w:val="00D1601E"/>
    <w:rsid w:val="00D1649D"/>
    <w:rsid w:val="00D17BB5"/>
    <w:rsid w:val="00D2100E"/>
    <w:rsid w:val="00D21FBC"/>
    <w:rsid w:val="00D22371"/>
    <w:rsid w:val="00D22B94"/>
    <w:rsid w:val="00D24FDA"/>
    <w:rsid w:val="00D25D47"/>
    <w:rsid w:val="00D264D2"/>
    <w:rsid w:val="00D266F9"/>
    <w:rsid w:val="00D26BFD"/>
    <w:rsid w:val="00D27462"/>
    <w:rsid w:val="00D30304"/>
    <w:rsid w:val="00D30E37"/>
    <w:rsid w:val="00D3115C"/>
    <w:rsid w:val="00D323CE"/>
    <w:rsid w:val="00D343B8"/>
    <w:rsid w:val="00D35560"/>
    <w:rsid w:val="00D35E71"/>
    <w:rsid w:val="00D35F48"/>
    <w:rsid w:val="00D36E0C"/>
    <w:rsid w:val="00D407CE"/>
    <w:rsid w:val="00D411F2"/>
    <w:rsid w:val="00D41E88"/>
    <w:rsid w:val="00D41F4D"/>
    <w:rsid w:val="00D442B8"/>
    <w:rsid w:val="00D44FEE"/>
    <w:rsid w:val="00D46CE4"/>
    <w:rsid w:val="00D47279"/>
    <w:rsid w:val="00D50552"/>
    <w:rsid w:val="00D50E3C"/>
    <w:rsid w:val="00D50EAF"/>
    <w:rsid w:val="00D51C7C"/>
    <w:rsid w:val="00D528D7"/>
    <w:rsid w:val="00D561CD"/>
    <w:rsid w:val="00D57887"/>
    <w:rsid w:val="00D57EA6"/>
    <w:rsid w:val="00D604BF"/>
    <w:rsid w:val="00D609EC"/>
    <w:rsid w:val="00D6129E"/>
    <w:rsid w:val="00D62AD0"/>
    <w:rsid w:val="00D6410D"/>
    <w:rsid w:val="00D64C95"/>
    <w:rsid w:val="00D65157"/>
    <w:rsid w:val="00D655D7"/>
    <w:rsid w:val="00D66146"/>
    <w:rsid w:val="00D66809"/>
    <w:rsid w:val="00D675B5"/>
    <w:rsid w:val="00D6761B"/>
    <w:rsid w:val="00D67BD1"/>
    <w:rsid w:val="00D703D2"/>
    <w:rsid w:val="00D708EE"/>
    <w:rsid w:val="00D74A2C"/>
    <w:rsid w:val="00D74C62"/>
    <w:rsid w:val="00D74EEA"/>
    <w:rsid w:val="00D75D12"/>
    <w:rsid w:val="00D77CE4"/>
    <w:rsid w:val="00D77F08"/>
    <w:rsid w:val="00D819DB"/>
    <w:rsid w:val="00D81E8B"/>
    <w:rsid w:val="00D82166"/>
    <w:rsid w:val="00D83F0A"/>
    <w:rsid w:val="00D8477C"/>
    <w:rsid w:val="00D85E73"/>
    <w:rsid w:val="00D86AC8"/>
    <w:rsid w:val="00D86B70"/>
    <w:rsid w:val="00D86CFC"/>
    <w:rsid w:val="00D87229"/>
    <w:rsid w:val="00D90B51"/>
    <w:rsid w:val="00D91A4A"/>
    <w:rsid w:val="00D91EA0"/>
    <w:rsid w:val="00D924C5"/>
    <w:rsid w:val="00D92FDA"/>
    <w:rsid w:val="00D9315D"/>
    <w:rsid w:val="00D94698"/>
    <w:rsid w:val="00D95121"/>
    <w:rsid w:val="00D95CE6"/>
    <w:rsid w:val="00D9783D"/>
    <w:rsid w:val="00D978FE"/>
    <w:rsid w:val="00D97B6F"/>
    <w:rsid w:val="00D97C72"/>
    <w:rsid w:val="00D97DB5"/>
    <w:rsid w:val="00DA0247"/>
    <w:rsid w:val="00DA107F"/>
    <w:rsid w:val="00DA18F2"/>
    <w:rsid w:val="00DA2615"/>
    <w:rsid w:val="00DA3EF2"/>
    <w:rsid w:val="00DA578E"/>
    <w:rsid w:val="00DA66FB"/>
    <w:rsid w:val="00DB040B"/>
    <w:rsid w:val="00DB05F8"/>
    <w:rsid w:val="00DB0AF4"/>
    <w:rsid w:val="00DB0E3A"/>
    <w:rsid w:val="00DB1A99"/>
    <w:rsid w:val="00DB32C3"/>
    <w:rsid w:val="00DB3DB7"/>
    <w:rsid w:val="00DB5C76"/>
    <w:rsid w:val="00DB5CC6"/>
    <w:rsid w:val="00DC073A"/>
    <w:rsid w:val="00DC087B"/>
    <w:rsid w:val="00DC0FB4"/>
    <w:rsid w:val="00DC1197"/>
    <w:rsid w:val="00DC1550"/>
    <w:rsid w:val="00DC1639"/>
    <w:rsid w:val="00DC1803"/>
    <w:rsid w:val="00DC3B58"/>
    <w:rsid w:val="00DC5F04"/>
    <w:rsid w:val="00DD222A"/>
    <w:rsid w:val="00DD2531"/>
    <w:rsid w:val="00DD2CB3"/>
    <w:rsid w:val="00DD38DE"/>
    <w:rsid w:val="00DD40E6"/>
    <w:rsid w:val="00DD4A16"/>
    <w:rsid w:val="00DD5631"/>
    <w:rsid w:val="00DD56A2"/>
    <w:rsid w:val="00DD7156"/>
    <w:rsid w:val="00DE02D3"/>
    <w:rsid w:val="00DE143A"/>
    <w:rsid w:val="00DE2710"/>
    <w:rsid w:val="00DE3256"/>
    <w:rsid w:val="00DE3D62"/>
    <w:rsid w:val="00DE5FAB"/>
    <w:rsid w:val="00DE75E3"/>
    <w:rsid w:val="00DF1961"/>
    <w:rsid w:val="00DF30F3"/>
    <w:rsid w:val="00DF3B56"/>
    <w:rsid w:val="00DF3D56"/>
    <w:rsid w:val="00DF4854"/>
    <w:rsid w:val="00DF4A7E"/>
    <w:rsid w:val="00DF4D0A"/>
    <w:rsid w:val="00DF5865"/>
    <w:rsid w:val="00DF7535"/>
    <w:rsid w:val="00DF75B9"/>
    <w:rsid w:val="00DF7A70"/>
    <w:rsid w:val="00DF7D57"/>
    <w:rsid w:val="00E018E1"/>
    <w:rsid w:val="00E0482A"/>
    <w:rsid w:val="00E0535D"/>
    <w:rsid w:val="00E0671A"/>
    <w:rsid w:val="00E068C9"/>
    <w:rsid w:val="00E06912"/>
    <w:rsid w:val="00E07310"/>
    <w:rsid w:val="00E07613"/>
    <w:rsid w:val="00E10B0E"/>
    <w:rsid w:val="00E10EF2"/>
    <w:rsid w:val="00E11969"/>
    <w:rsid w:val="00E11D38"/>
    <w:rsid w:val="00E12D39"/>
    <w:rsid w:val="00E132D9"/>
    <w:rsid w:val="00E13ED5"/>
    <w:rsid w:val="00E154BA"/>
    <w:rsid w:val="00E16A46"/>
    <w:rsid w:val="00E16E5C"/>
    <w:rsid w:val="00E1789A"/>
    <w:rsid w:val="00E20673"/>
    <w:rsid w:val="00E21E41"/>
    <w:rsid w:val="00E228E7"/>
    <w:rsid w:val="00E22931"/>
    <w:rsid w:val="00E22CBE"/>
    <w:rsid w:val="00E23ADF"/>
    <w:rsid w:val="00E24292"/>
    <w:rsid w:val="00E25CA3"/>
    <w:rsid w:val="00E262F5"/>
    <w:rsid w:val="00E2651A"/>
    <w:rsid w:val="00E26900"/>
    <w:rsid w:val="00E30398"/>
    <w:rsid w:val="00E30D9A"/>
    <w:rsid w:val="00E30E8F"/>
    <w:rsid w:val="00E319A2"/>
    <w:rsid w:val="00E336DC"/>
    <w:rsid w:val="00E36F1A"/>
    <w:rsid w:val="00E3787B"/>
    <w:rsid w:val="00E37B4C"/>
    <w:rsid w:val="00E37B95"/>
    <w:rsid w:val="00E41027"/>
    <w:rsid w:val="00E41ED2"/>
    <w:rsid w:val="00E438FE"/>
    <w:rsid w:val="00E43FFE"/>
    <w:rsid w:val="00E453B2"/>
    <w:rsid w:val="00E4595A"/>
    <w:rsid w:val="00E459C6"/>
    <w:rsid w:val="00E46FB0"/>
    <w:rsid w:val="00E47A4A"/>
    <w:rsid w:val="00E47DB4"/>
    <w:rsid w:val="00E5043A"/>
    <w:rsid w:val="00E516F9"/>
    <w:rsid w:val="00E51B7D"/>
    <w:rsid w:val="00E51C07"/>
    <w:rsid w:val="00E527E5"/>
    <w:rsid w:val="00E53D2B"/>
    <w:rsid w:val="00E5472D"/>
    <w:rsid w:val="00E54E88"/>
    <w:rsid w:val="00E55C17"/>
    <w:rsid w:val="00E56281"/>
    <w:rsid w:val="00E56C96"/>
    <w:rsid w:val="00E602EB"/>
    <w:rsid w:val="00E62AAA"/>
    <w:rsid w:val="00E62ED7"/>
    <w:rsid w:val="00E64088"/>
    <w:rsid w:val="00E64350"/>
    <w:rsid w:val="00E64B6D"/>
    <w:rsid w:val="00E65380"/>
    <w:rsid w:val="00E657D7"/>
    <w:rsid w:val="00E66138"/>
    <w:rsid w:val="00E701EC"/>
    <w:rsid w:val="00E70665"/>
    <w:rsid w:val="00E71C93"/>
    <w:rsid w:val="00E7290C"/>
    <w:rsid w:val="00E73C79"/>
    <w:rsid w:val="00E75635"/>
    <w:rsid w:val="00E77FA0"/>
    <w:rsid w:val="00E805ED"/>
    <w:rsid w:val="00E8173C"/>
    <w:rsid w:val="00E81F45"/>
    <w:rsid w:val="00E827AD"/>
    <w:rsid w:val="00E834E9"/>
    <w:rsid w:val="00E84A6F"/>
    <w:rsid w:val="00E857F2"/>
    <w:rsid w:val="00E8602D"/>
    <w:rsid w:val="00E86249"/>
    <w:rsid w:val="00E914C1"/>
    <w:rsid w:val="00E927A9"/>
    <w:rsid w:val="00E9403E"/>
    <w:rsid w:val="00E95A5B"/>
    <w:rsid w:val="00E95DA9"/>
    <w:rsid w:val="00E96544"/>
    <w:rsid w:val="00E96CB6"/>
    <w:rsid w:val="00E9744F"/>
    <w:rsid w:val="00E97657"/>
    <w:rsid w:val="00E97E3A"/>
    <w:rsid w:val="00EA0674"/>
    <w:rsid w:val="00EA0A28"/>
    <w:rsid w:val="00EA0A73"/>
    <w:rsid w:val="00EA0FCB"/>
    <w:rsid w:val="00EA3031"/>
    <w:rsid w:val="00EA5762"/>
    <w:rsid w:val="00EA6182"/>
    <w:rsid w:val="00EA6662"/>
    <w:rsid w:val="00EA6A77"/>
    <w:rsid w:val="00EB25D1"/>
    <w:rsid w:val="00EB2D51"/>
    <w:rsid w:val="00EB2FA9"/>
    <w:rsid w:val="00EB3BF9"/>
    <w:rsid w:val="00EB3C37"/>
    <w:rsid w:val="00EB5FE6"/>
    <w:rsid w:val="00EB60C1"/>
    <w:rsid w:val="00EB6943"/>
    <w:rsid w:val="00EB7D10"/>
    <w:rsid w:val="00EC0140"/>
    <w:rsid w:val="00EC23F6"/>
    <w:rsid w:val="00EC25A2"/>
    <w:rsid w:val="00EC2B7E"/>
    <w:rsid w:val="00EC37D0"/>
    <w:rsid w:val="00EC52DC"/>
    <w:rsid w:val="00EC5323"/>
    <w:rsid w:val="00EC64F1"/>
    <w:rsid w:val="00EC7248"/>
    <w:rsid w:val="00EC7D2A"/>
    <w:rsid w:val="00ED0559"/>
    <w:rsid w:val="00ED07E6"/>
    <w:rsid w:val="00ED17C7"/>
    <w:rsid w:val="00ED1B84"/>
    <w:rsid w:val="00ED1D09"/>
    <w:rsid w:val="00ED243F"/>
    <w:rsid w:val="00ED245D"/>
    <w:rsid w:val="00ED2E86"/>
    <w:rsid w:val="00ED3762"/>
    <w:rsid w:val="00ED38FD"/>
    <w:rsid w:val="00ED3B18"/>
    <w:rsid w:val="00ED3FFD"/>
    <w:rsid w:val="00ED65FC"/>
    <w:rsid w:val="00ED7647"/>
    <w:rsid w:val="00EE024A"/>
    <w:rsid w:val="00EE04FA"/>
    <w:rsid w:val="00EE2ABC"/>
    <w:rsid w:val="00EE4BDB"/>
    <w:rsid w:val="00EE5C6B"/>
    <w:rsid w:val="00EE63BD"/>
    <w:rsid w:val="00EE644F"/>
    <w:rsid w:val="00EE6756"/>
    <w:rsid w:val="00EE7E9C"/>
    <w:rsid w:val="00EE7F4F"/>
    <w:rsid w:val="00EF03E6"/>
    <w:rsid w:val="00EF2BC6"/>
    <w:rsid w:val="00EF35DD"/>
    <w:rsid w:val="00EF4E89"/>
    <w:rsid w:val="00EF547E"/>
    <w:rsid w:val="00EF7087"/>
    <w:rsid w:val="00F02571"/>
    <w:rsid w:val="00F03CA2"/>
    <w:rsid w:val="00F03DCE"/>
    <w:rsid w:val="00F04794"/>
    <w:rsid w:val="00F047B2"/>
    <w:rsid w:val="00F054A1"/>
    <w:rsid w:val="00F05E60"/>
    <w:rsid w:val="00F06689"/>
    <w:rsid w:val="00F07CF8"/>
    <w:rsid w:val="00F12002"/>
    <w:rsid w:val="00F1218A"/>
    <w:rsid w:val="00F14C02"/>
    <w:rsid w:val="00F15EB6"/>
    <w:rsid w:val="00F1621A"/>
    <w:rsid w:val="00F1676C"/>
    <w:rsid w:val="00F204D7"/>
    <w:rsid w:val="00F20983"/>
    <w:rsid w:val="00F22719"/>
    <w:rsid w:val="00F240B0"/>
    <w:rsid w:val="00F25D22"/>
    <w:rsid w:val="00F26943"/>
    <w:rsid w:val="00F27C97"/>
    <w:rsid w:val="00F27CFE"/>
    <w:rsid w:val="00F27F3E"/>
    <w:rsid w:val="00F3002C"/>
    <w:rsid w:val="00F30611"/>
    <w:rsid w:val="00F30B92"/>
    <w:rsid w:val="00F3142F"/>
    <w:rsid w:val="00F32625"/>
    <w:rsid w:val="00F333E3"/>
    <w:rsid w:val="00F33F86"/>
    <w:rsid w:val="00F34529"/>
    <w:rsid w:val="00F34F05"/>
    <w:rsid w:val="00F3515D"/>
    <w:rsid w:val="00F35801"/>
    <w:rsid w:val="00F3655F"/>
    <w:rsid w:val="00F366E2"/>
    <w:rsid w:val="00F3680A"/>
    <w:rsid w:val="00F37A03"/>
    <w:rsid w:val="00F37E01"/>
    <w:rsid w:val="00F37F2A"/>
    <w:rsid w:val="00F40CF3"/>
    <w:rsid w:val="00F41FCA"/>
    <w:rsid w:val="00F42053"/>
    <w:rsid w:val="00F42624"/>
    <w:rsid w:val="00F42BB4"/>
    <w:rsid w:val="00F454AA"/>
    <w:rsid w:val="00F457B7"/>
    <w:rsid w:val="00F45885"/>
    <w:rsid w:val="00F477BA"/>
    <w:rsid w:val="00F5085A"/>
    <w:rsid w:val="00F51095"/>
    <w:rsid w:val="00F53460"/>
    <w:rsid w:val="00F54431"/>
    <w:rsid w:val="00F54E88"/>
    <w:rsid w:val="00F557CF"/>
    <w:rsid w:val="00F558DA"/>
    <w:rsid w:val="00F55A30"/>
    <w:rsid w:val="00F5624C"/>
    <w:rsid w:val="00F57C3D"/>
    <w:rsid w:val="00F60DD0"/>
    <w:rsid w:val="00F613DE"/>
    <w:rsid w:val="00F630BD"/>
    <w:rsid w:val="00F6752D"/>
    <w:rsid w:val="00F70FAD"/>
    <w:rsid w:val="00F710DD"/>
    <w:rsid w:val="00F711A6"/>
    <w:rsid w:val="00F7195F"/>
    <w:rsid w:val="00F71B0F"/>
    <w:rsid w:val="00F71E13"/>
    <w:rsid w:val="00F73199"/>
    <w:rsid w:val="00F7399D"/>
    <w:rsid w:val="00F740F2"/>
    <w:rsid w:val="00F74C34"/>
    <w:rsid w:val="00F763FF"/>
    <w:rsid w:val="00F77B84"/>
    <w:rsid w:val="00F8018E"/>
    <w:rsid w:val="00F812FD"/>
    <w:rsid w:val="00F8224B"/>
    <w:rsid w:val="00F82A01"/>
    <w:rsid w:val="00F83063"/>
    <w:rsid w:val="00F835AF"/>
    <w:rsid w:val="00F83E40"/>
    <w:rsid w:val="00F8424C"/>
    <w:rsid w:val="00F845F8"/>
    <w:rsid w:val="00F846FF"/>
    <w:rsid w:val="00F84859"/>
    <w:rsid w:val="00F84A6E"/>
    <w:rsid w:val="00F84E26"/>
    <w:rsid w:val="00F84FC9"/>
    <w:rsid w:val="00F86BAA"/>
    <w:rsid w:val="00F87D35"/>
    <w:rsid w:val="00F900DF"/>
    <w:rsid w:val="00F90AA9"/>
    <w:rsid w:val="00F92097"/>
    <w:rsid w:val="00F92578"/>
    <w:rsid w:val="00F93376"/>
    <w:rsid w:val="00F94E9F"/>
    <w:rsid w:val="00F96C37"/>
    <w:rsid w:val="00F977BD"/>
    <w:rsid w:val="00F97AA5"/>
    <w:rsid w:val="00FA1ACB"/>
    <w:rsid w:val="00FA1C22"/>
    <w:rsid w:val="00FA2377"/>
    <w:rsid w:val="00FA2447"/>
    <w:rsid w:val="00FA30A6"/>
    <w:rsid w:val="00FA36AC"/>
    <w:rsid w:val="00FA435D"/>
    <w:rsid w:val="00FA442C"/>
    <w:rsid w:val="00FA4565"/>
    <w:rsid w:val="00FA5976"/>
    <w:rsid w:val="00FA5ADB"/>
    <w:rsid w:val="00FA6E45"/>
    <w:rsid w:val="00FB0B24"/>
    <w:rsid w:val="00FB0E98"/>
    <w:rsid w:val="00FB149F"/>
    <w:rsid w:val="00FB556A"/>
    <w:rsid w:val="00FB7A65"/>
    <w:rsid w:val="00FC04BE"/>
    <w:rsid w:val="00FC055B"/>
    <w:rsid w:val="00FC0CD1"/>
    <w:rsid w:val="00FC1C54"/>
    <w:rsid w:val="00FC3AF8"/>
    <w:rsid w:val="00FC4208"/>
    <w:rsid w:val="00FC4BCF"/>
    <w:rsid w:val="00FC4DDE"/>
    <w:rsid w:val="00FC5B1C"/>
    <w:rsid w:val="00FC5F38"/>
    <w:rsid w:val="00FC663F"/>
    <w:rsid w:val="00FC74F5"/>
    <w:rsid w:val="00FD1254"/>
    <w:rsid w:val="00FD21CD"/>
    <w:rsid w:val="00FD2990"/>
    <w:rsid w:val="00FD2E6D"/>
    <w:rsid w:val="00FD5CD2"/>
    <w:rsid w:val="00FD6C1C"/>
    <w:rsid w:val="00FD7EA3"/>
    <w:rsid w:val="00FD7F6D"/>
    <w:rsid w:val="00FE0A8F"/>
    <w:rsid w:val="00FE0ED0"/>
    <w:rsid w:val="00FE2A78"/>
    <w:rsid w:val="00FE2AA6"/>
    <w:rsid w:val="00FE3D26"/>
    <w:rsid w:val="00FE4347"/>
    <w:rsid w:val="00FE4755"/>
    <w:rsid w:val="00FE5118"/>
    <w:rsid w:val="00FE5BF9"/>
    <w:rsid w:val="00FE5C0A"/>
    <w:rsid w:val="00FE5CEA"/>
    <w:rsid w:val="00FE6483"/>
    <w:rsid w:val="00FE6765"/>
    <w:rsid w:val="00FF0446"/>
    <w:rsid w:val="00FF0A66"/>
    <w:rsid w:val="00FF1F36"/>
    <w:rsid w:val="00FF1F7E"/>
    <w:rsid w:val="00FF2D8B"/>
    <w:rsid w:val="00FF2F85"/>
    <w:rsid w:val="00FF3889"/>
    <w:rsid w:val="00FF3EFB"/>
    <w:rsid w:val="00FF4745"/>
    <w:rsid w:val="00FF5631"/>
    <w:rsid w:val="00FF6566"/>
    <w:rsid w:val="00FF6F35"/>
    <w:rsid w:val="024F2124"/>
    <w:rsid w:val="02C4287C"/>
    <w:rsid w:val="0408715D"/>
    <w:rsid w:val="04497D79"/>
    <w:rsid w:val="04915691"/>
    <w:rsid w:val="06224E14"/>
    <w:rsid w:val="065A64BB"/>
    <w:rsid w:val="06F153DC"/>
    <w:rsid w:val="07FA1CB0"/>
    <w:rsid w:val="08BB0262"/>
    <w:rsid w:val="0938121A"/>
    <w:rsid w:val="09C7041E"/>
    <w:rsid w:val="0ABD461B"/>
    <w:rsid w:val="0C2A68EF"/>
    <w:rsid w:val="0C3B2099"/>
    <w:rsid w:val="0D7D4556"/>
    <w:rsid w:val="0D951880"/>
    <w:rsid w:val="0D97111C"/>
    <w:rsid w:val="0E24234B"/>
    <w:rsid w:val="0E9A0610"/>
    <w:rsid w:val="0F0A0E78"/>
    <w:rsid w:val="0F3B6629"/>
    <w:rsid w:val="10F05AFB"/>
    <w:rsid w:val="11814217"/>
    <w:rsid w:val="123F1DBA"/>
    <w:rsid w:val="13162043"/>
    <w:rsid w:val="134070BD"/>
    <w:rsid w:val="14B10B0A"/>
    <w:rsid w:val="14DE4A36"/>
    <w:rsid w:val="14EE3158"/>
    <w:rsid w:val="159200BA"/>
    <w:rsid w:val="15B058FC"/>
    <w:rsid w:val="16781DA8"/>
    <w:rsid w:val="16A826F7"/>
    <w:rsid w:val="179325BC"/>
    <w:rsid w:val="18283020"/>
    <w:rsid w:val="189270E7"/>
    <w:rsid w:val="18CD26E7"/>
    <w:rsid w:val="19012C2B"/>
    <w:rsid w:val="1959284E"/>
    <w:rsid w:val="198824D1"/>
    <w:rsid w:val="1A314A86"/>
    <w:rsid w:val="1B1F0FBE"/>
    <w:rsid w:val="1BD47334"/>
    <w:rsid w:val="1BDA69B6"/>
    <w:rsid w:val="1C106B17"/>
    <w:rsid w:val="1DFD301D"/>
    <w:rsid w:val="1E764917"/>
    <w:rsid w:val="1EA736C6"/>
    <w:rsid w:val="1EBE5024"/>
    <w:rsid w:val="1EFF9D8D"/>
    <w:rsid w:val="1FC340AE"/>
    <w:rsid w:val="1FE418D8"/>
    <w:rsid w:val="205C3FB7"/>
    <w:rsid w:val="22267B0D"/>
    <w:rsid w:val="22331F95"/>
    <w:rsid w:val="22723FAD"/>
    <w:rsid w:val="2281170D"/>
    <w:rsid w:val="22882F03"/>
    <w:rsid w:val="234022C7"/>
    <w:rsid w:val="2355234E"/>
    <w:rsid w:val="23E34CC0"/>
    <w:rsid w:val="247E5FEF"/>
    <w:rsid w:val="265D19EB"/>
    <w:rsid w:val="26784894"/>
    <w:rsid w:val="2784362E"/>
    <w:rsid w:val="297676D9"/>
    <w:rsid w:val="2A920FA9"/>
    <w:rsid w:val="2B4778BF"/>
    <w:rsid w:val="2C351E0C"/>
    <w:rsid w:val="2CCB716B"/>
    <w:rsid w:val="2CFA0902"/>
    <w:rsid w:val="2D9A1CD0"/>
    <w:rsid w:val="2EB719B3"/>
    <w:rsid w:val="2EFA5566"/>
    <w:rsid w:val="2F4607A5"/>
    <w:rsid w:val="2FE72CDD"/>
    <w:rsid w:val="3168406D"/>
    <w:rsid w:val="31B937A5"/>
    <w:rsid w:val="32DF06D6"/>
    <w:rsid w:val="34C6492A"/>
    <w:rsid w:val="34E139DE"/>
    <w:rsid w:val="364D647D"/>
    <w:rsid w:val="373E4737"/>
    <w:rsid w:val="37436643"/>
    <w:rsid w:val="374F09D0"/>
    <w:rsid w:val="384E003C"/>
    <w:rsid w:val="38AF2A5D"/>
    <w:rsid w:val="3A4223BC"/>
    <w:rsid w:val="3AAC547B"/>
    <w:rsid w:val="3AFF3D8E"/>
    <w:rsid w:val="3B911029"/>
    <w:rsid w:val="3BADF5DD"/>
    <w:rsid w:val="3C852529"/>
    <w:rsid w:val="3D8F2401"/>
    <w:rsid w:val="3D9F1D7A"/>
    <w:rsid w:val="3E1D550F"/>
    <w:rsid w:val="3E890115"/>
    <w:rsid w:val="3EB3D5A7"/>
    <w:rsid w:val="3F185CE9"/>
    <w:rsid w:val="402D7572"/>
    <w:rsid w:val="40AE7A09"/>
    <w:rsid w:val="4122658B"/>
    <w:rsid w:val="41CD5D7A"/>
    <w:rsid w:val="424344C1"/>
    <w:rsid w:val="42921F36"/>
    <w:rsid w:val="42D27F5D"/>
    <w:rsid w:val="4379056C"/>
    <w:rsid w:val="43D80F02"/>
    <w:rsid w:val="457923C6"/>
    <w:rsid w:val="45FA1A5A"/>
    <w:rsid w:val="4645313C"/>
    <w:rsid w:val="47011F13"/>
    <w:rsid w:val="47050015"/>
    <w:rsid w:val="478A4E02"/>
    <w:rsid w:val="47A1662B"/>
    <w:rsid w:val="4841118A"/>
    <w:rsid w:val="487F69F6"/>
    <w:rsid w:val="48A12E3D"/>
    <w:rsid w:val="4A1250DD"/>
    <w:rsid w:val="4A141091"/>
    <w:rsid w:val="4ADE052A"/>
    <w:rsid w:val="4C856ED0"/>
    <w:rsid w:val="4C9D7D1A"/>
    <w:rsid w:val="4CEF7477"/>
    <w:rsid w:val="4D5E15BA"/>
    <w:rsid w:val="4E00155C"/>
    <w:rsid w:val="4ECC43FA"/>
    <w:rsid w:val="4EFAF519"/>
    <w:rsid w:val="503471E5"/>
    <w:rsid w:val="50423737"/>
    <w:rsid w:val="50502E09"/>
    <w:rsid w:val="50524600"/>
    <w:rsid w:val="50681E79"/>
    <w:rsid w:val="508871BA"/>
    <w:rsid w:val="525D12A8"/>
    <w:rsid w:val="5281643D"/>
    <w:rsid w:val="53FE1E19"/>
    <w:rsid w:val="54294C20"/>
    <w:rsid w:val="54611964"/>
    <w:rsid w:val="54A66EE6"/>
    <w:rsid w:val="55247058"/>
    <w:rsid w:val="565A6005"/>
    <w:rsid w:val="57DF5175"/>
    <w:rsid w:val="58B7255A"/>
    <w:rsid w:val="58D00F8B"/>
    <w:rsid w:val="59075493"/>
    <w:rsid w:val="5A550E89"/>
    <w:rsid w:val="5AD567D3"/>
    <w:rsid w:val="5B6B0292"/>
    <w:rsid w:val="5C2855D3"/>
    <w:rsid w:val="5DC478AD"/>
    <w:rsid w:val="5DC93FBA"/>
    <w:rsid w:val="5FD96977"/>
    <w:rsid w:val="600E22BB"/>
    <w:rsid w:val="61972387"/>
    <w:rsid w:val="623D48D0"/>
    <w:rsid w:val="63F152B7"/>
    <w:rsid w:val="64F751F4"/>
    <w:rsid w:val="67020494"/>
    <w:rsid w:val="67646E75"/>
    <w:rsid w:val="67A76C7B"/>
    <w:rsid w:val="67F59164"/>
    <w:rsid w:val="680673B0"/>
    <w:rsid w:val="681B3071"/>
    <w:rsid w:val="690D15A9"/>
    <w:rsid w:val="699F14EC"/>
    <w:rsid w:val="69A66A1E"/>
    <w:rsid w:val="69F04FA1"/>
    <w:rsid w:val="6B0E3AB5"/>
    <w:rsid w:val="6B227AD6"/>
    <w:rsid w:val="6B386C12"/>
    <w:rsid w:val="6CBF6E0D"/>
    <w:rsid w:val="6CF1106B"/>
    <w:rsid w:val="6D9F23C2"/>
    <w:rsid w:val="6E5D1D3A"/>
    <w:rsid w:val="6EB7D759"/>
    <w:rsid w:val="6FDE0F61"/>
    <w:rsid w:val="70C57FCE"/>
    <w:rsid w:val="71111558"/>
    <w:rsid w:val="71BC14F0"/>
    <w:rsid w:val="72DA58B4"/>
    <w:rsid w:val="743D7D46"/>
    <w:rsid w:val="7505105D"/>
    <w:rsid w:val="75974FBD"/>
    <w:rsid w:val="765A124C"/>
    <w:rsid w:val="777F9F48"/>
    <w:rsid w:val="77D807CB"/>
    <w:rsid w:val="783B4AEE"/>
    <w:rsid w:val="78714E7F"/>
    <w:rsid w:val="78814A26"/>
    <w:rsid w:val="78E30DE6"/>
    <w:rsid w:val="799D5C6E"/>
    <w:rsid w:val="799E2D3C"/>
    <w:rsid w:val="79AF3B28"/>
    <w:rsid w:val="7A4218EA"/>
    <w:rsid w:val="7BBE21A8"/>
    <w:rsid w:val="7C98443E"/>
    <w:rsid w:val="7CDFEF79"/>
    <w:rsid w:val="7D17475D"/>
    <w:rsid w:val="7D1B6E33"/>
    <w:rsid w:val="7DB02925"/>
    <w:rsid w:val="7E4B64FE"/>
    <w:rsid w:val="7EF656EB"/>
    <w:rsid w:val="7F6B48B4"/>
    <w:rsid w:val="7FFE219F"/>
    <w:rsid w:val="B66B07ED"/>
    <w:rsid w:val="B67F0E1D"/>
    <w:rsid w:val="BBFEBD7A"/>
    <w:rsid w:val="BD3D4CDC"/>
    <w:rsid w:val="BDE72652"/>
    <w:rsid w:val="BFF5A9F4"/>
    <w:rsid w:val="C2FF773C"/>
    <w:rsid w:val="CFB7C52C"/>
    <w:rsid w:val="D1F99844"/>
    <w:rsid w:val="DF763202"/>
    <w:rsid w:val="DFB5C16D"/>
    <w:rsid w:val="E5EE3E23"/>
    <w:rsid w:val="E7AE79B1"/>
    <w:rsid w:val="E9FAA495"/>
    <w:rsid w:val="EB3B1BAF"/>
    <w:rsid w:val="F66BF4B0"/>
    <w:rsid w:val="FBFE1EBF"/>
    <w:rsid w:val="FDFF1C5B"/>
    <w:rsid w:val="FDFFEC41"/>
    <w:rsid w:val="FFBFA17E"/>
    <w:rsid w:val="FFF7C8B3"/>
    <w:rsid w:val="FFF9D178"/>
  </w:rsids>
  <m:mathPr>
    <m:mathFont m:val="Cambria Math"/>
    <m:brkBin m:val="before"/>
    <m:brkBinSub m:val="--"/>
    <m:smallFrac m:val="1"/>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0" w:semiHidden="0"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9"/>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50"/>
    <w:qFormat/>
    <w:uiPriority w:val="0"/>
    <w:pPr>
      <w:keepNext/>
      <w:keepLines/>
      <w:numPr>
        <w:ilvl w:val="1"/>
        <w:numId w:val="1"/>
      </w:numPr>
      <w:spacing w:before="260" w:after="260" w:line="412" w:lineRule="auto"/>
      <w:outlineLvl w:val="1"/>
    </w:pPr>
    <w:rPr>
      <w:rFonts w:ascii="Arial" w:hAnsi="Arial" w:eastAsia="黑体"/>
      <w:b/>
      <w:bCs/>
      <w:kern w:val="0"/>
      <w:sz w:val="32"/>
      <w:szCs w:val="32"/>
    </w:rPr>
  </w:style>
  <w:style w:type="paragraph" w:styleId="6">
    <w:name w:val="heading 3"/>
    <w:basedOn w:val="1"/>
    <w:next w:val="1"/>
    <w:link w:val="51"/>
    <w:qFormat/>
    <w:uiPriority w:val="0"/>
    <w:pPr>
      <w:keepNext/>
      <w:keepLines/>
      <w:numPr>
        <w:ilvl w:val="2"/>
        <w:numId w:val="1"/>
      </w:numPr>
      <w:spacing w:before="260" w:after="260" w:line="415" w:lineRule="auto"/>
      <w:outlineLvl w:val="2"/>
    </w:pPr>
    <w:rPr>
      <w:b/>
      <w:bCs/>
      <w:kern w:val="0"/>
      <w:sz w:val="32"/>
      <w:szCs w:val="32"/>
    </w:rPr>
  </w:style>
  <w:style w:type="paragraph" w:styleId="7">
    <w:name w:val="heading 4"/>
    <w:basedOn w:val="1"/>
    <w:next w:val="1"/>
    <w:link w:val="52"/>
    <w:qFormat/>
    <w:uiPriority w:val="0"/>
    <w:pPr>
      <w:keepNext/>
      <w:keepLines/>
      <w:spacing w:before="280" w:after="290" w:line="372" w:lineRule="auto"/>
      <w:outlineLvl w:val="3"/>
    </w:pPr>
    <w:rPr>
      <w:rFonts w:ascii="Arial" w:hAnsi="Arial" w:eastAsia="黑体"/>
      <w:b/>
      <w:bCs/>
      <w:kern w:val="0"/>
      <w:sz w:val="28"/>
      <w:szCs w:val="28"/>
    </w:rPr>
  </w:style>
  <w:style w:type="paragraph" w:styleId="8">
    <w:name w:val="heading 5"/>
    <w:basedOn w:val="1"/>
    <w:next w:val="1"/>
    <w:link w:val="53"/>
    <w:qFormat/>
    <w:uiPriority w:val="0"/>
    <w:pPr>
      <w:keepNext/>
      <w:keepLines/>
      <w:spacing w:before="280" w:after="290" w:line="372" w:lineRule="auto"/>
      <w:outlineLvl w:val="4"/>
    </w:pPr>
    <w:rPr>
      <w:b/>
      <w:bCs/>
      <w:kern w:val="0"/>
      <w:sz w:val="28"/>
      <w:szCs w:val="28"/>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i/>
      <w:kern w:val="2"/>
      <w:sz w:val="24"/>
    </w:rPr>
  </w:style>
  <w:style w:type="paragraph" w:styleId="3">
    <w:name w:val="Body Text"/>
    <w:basedOn w:val="1"/>
    <w:next w:val="2"/>
    <w:link w:val="48"/>
    <w:qFormat/>
    <w:uiPriority w:val="0"/>
    <w:pPr>
      <w:spacing w:after="120"/>
    </w:pPr>
    <w:rPr>
      <w:kern w:val="0"/>
      <w:sz w:val="28"/>
    </w:rPr>
  </w:style>
  <w:style w:type="paragraph" w:styleId="9">
    <w:name w:val="List Number"/>
    <w:basedOn w:val="1"/>
    <w:qFormat/>
    <w:uiPriority w:val="0"/>
    <w:pPr>
      <w:widowControl/>
      <w:tabs>
        <w:tab w:val="left" w:pos="454"/>
        <w:tab w:val="left" w:pos="720"/>
      </w:tabs>
      <w:spacing w:afterLines="50"/>
      <w:ind w:left="454" w:hanging="284"/>
      <w:jc w:val="left"/>
    </w:pPr>
    <w:rPr>
      <w:kern w:val="0"/>
      <w:sz w:val="24"/>
      <w:szCs w:val="20"/>
    </w:rPr>
  </w:style>
  <w:style w:type="paragraph" w:styleId="10">
    <w:name w:val="Normal Indent"/>
    <w:basedOn w:val="1"/>
    <w:next w:val="1"/>
    <w:qFormat/>
    <w:uiPriority w:val="0"/>
    <w:pPr>
      <w:numPr>
        <w:ilvl w:val="0"/>
        <w:numId w:val="2"/>
      </w:numPr>
      <w:ind w:left="0" w:firstLine="420"/>
    </w:pPr>
    <w:rPr>
      <w:szCs w:val="20"/>
    </w:rPr>
  </w:style>
  <w:style w:type="paragraph" w:styleId="11">
    <w:name w:val="caption"/>
    <w:basedOn w:val="1"/>
    <w:next w:val="1"/>
    <w:qFormat/>
    <w:uiPriority w:val="0"/>
    <w:pPr>
      <w:numPr>
        <w:ilvl w:val="0"/>
        <w:numId w:val="3"/>
      </w:numPr>
      <w:spacing w:before="152" w:after="160"/>
      <w:ind w:left="0" w:firstLine="0"/>
    </w:pPr>
    <w:rPr>
      <w:rFonts w:ascii="Arial" w:hAnsi="Arial" w:eastAsia="黑体" w:cs="Arial"/>
      <w:sz w:val="20"/>
      <w:szCs w:val="20"/>
    </w:rPr>
  </w:style>
  <w:style w:type="paragraph" w:styleId="12">
    <w:name w:val="Document Map"/>
    <w:basedOn w:val="1"/>
    <w:link w:val="54"/>
    <w:qFormat/>
    <w:uiPriority w:val="0"/>
    <w:pPr>
      <w:shd w:val="clear" w:color="auto" w:fill="000080"/>
    </w:pPr>
    <w:rPr>
      <w:kern w:val="0"/>
      <w:sz w:val="20"/>
    </w:rPr>
  </w:style>
  <w:style w:type="paragraph" w:styleId="13">
    <w:name w:val="annotation text"/>
    <w:basedOn w:val="1"/>
    <w:link w:val="55"/>
    <w:qFormat/>
    <w:uiPriority w:val="0"/>
    <w:pPr>
      <w:jc w:val="left"/>
    </w:pPr>
    <w:rPr>
      <w:kern w:val="0"/>
      <w:sz w:val="20"/>
      <w:szCs w:val="20"/>
    </w:rPr>
  </w:style>
  <w:style w:type="paragraph" w:styleId="14">
    <w:name w:val="Body Text 3"/>
    <w:basedOn w:val="1"/>
    <w:link w:val="56"/>
    <w:qFormat/>
    <w:uiPriority w:val="0"/>
    <w:pPr>
      <w:numPr>
        <w:ilvl w:val="0"/>
        <w:numId w:val="4"/>
      </w:numPr>
      <w:snapToGrid w:val="0"/>
      <w:spacing w:before="50" w:after="50"/>
      <w:ind w:left="0" w:firstLine="0"/>
    </w:pPr>
    <w:rPr>
      <w:rFonts w:eastAsia="仿宋_GB2312"/>
      <w:b/>
      <w:bCs/>
      <w:kern w:val="0"/>
      <w:sz w:val="24"/>
      <w:szCs w:val="20"/>
    </w:rPr>
  </w:style>
  <w:style w:type="paragraph" w:styleId="15">
    <w:name w:val="Body Text Indent"/>
    <w:basedOn w:val="1"/>
    <w:next w:val="1"/>
    <w:link w:val="57"/>
    <w:qFormat/>
    <w:uiPriority w:val="0"/>
    <w:pPr>
      <w:spacing w:line="200" w:lineRule="exact"/>
      <w:ind w:firstLine="301"/>
    </w:pPr>
    <w:rPr>
      <w:rFonts w:ascii="宋体"/>
      <w:spacing w:val="-4"/>
      <w:kern w:val="0"/>
      <w:sz w:val="18"/>
      <w:szCs w:val="20"/>
    </w:rPr>
  </w:style>
  <w:style w:type="paragraph" w:styleId="16">
    <w:name w:val="List Number 3"/>
    <w:basedOn w:val="1"/>
    <w:qFormat/>
    <w:uiPriority w:val="0"/>
    <w:pPr>
      <w:tabs>
        <w:tab w:val="left" w:pos="1200"/>
      </w:tabs>
      <w:ind w:left="1200" w:hanging="360"/>
    </w:pPr>
  </w:style>
  <w:style w:type="paragraph" w:styleId="17">
    <w:name w:val="List 2"/>
    <w:basedOn w:val="1"/>
    <w:qFormat/>
    <w:uiPriority w:val="0"/>
    <w:pPr>
      <w:numPr>
        <w:ilvl w:val="0"/>
        <w:numId w:val="5"/>
      </w:numPr>
      <w:ind w:left="400" w:leftChars="200" w:hanging="200" w:hangingChars="200"/>
    </w:pPr>
    <w:rPr>
      <w:sz w:val="28"/>
    </w:rPr>
  </w:style>
  <w:style w:type="paragraph" w:styleId="18">
    <w:name w:val="toc 3"/>
    <w:basedOn w:val="1"/>
    <w:next w:val="1"/>
    <w:qFormat/>
    <w:uiPriority w:val="39"/>
    <w:pPr>
      <w:ind w:left="400" w:leftChars="400"/>
    </w:pPr>
  </w:style>
  <w:style w:type="paragraph" w:styleId="19">
    <w:name w:val="Plain Text"/>
    <w:basedOn w:val="1"/>
    <w:link w:val="58"/>
    <w:qFormat/>
    <w:uiPriority w:val="0"/>
    <w:pPr>
      <w:spacing w:beforeLines="50" w:afterLines="50" w:line="400" w:lineRule="exact"/>
    </w:pPr>
    <w:rPr>
      <w:rFonts w:ascii="宋体"/>
      <w:kern w:val="0"/>
      <w:sz w:val="24"/>
    </w:rPr>
  </w:style>
  <w:style w:type="paragraph" w:styleId="20">
    <w:name w:val="Date"/>
    <w:basedOn w:val="1"/>
    <w:next w:val="1"/>
    <w:link w:val="59"/>
    <w:qFormat/>
    <w:uiPriority w:val="0"/>
    <w:pPr>
      <w:numPr>
        <w:ilvl w:val="0"/>
        <w:numId w:val="6"/>
      </w:numPr>
      <w:ind w:left="2500" w:leftChars="2500" w:firstLine="0"/>
    </w:pPr>
    <w:rPr>
      <w:rFonts w:eastAsia="楷体_GB2312"/>
      <w:kern w:val="0"/>
      <w:sz w:val="32"/>
      <w:szCs w:val="20"/>
    </w:rPr>
  </w:style>
  <w:style w:type="paragraph" w:styleId="21">
    <w:name w:val="Body Text Indent 2"/>
    <w:basedOn w:val="1"/>
    <w:link w:val="60"/>
    <w:qFormat/>
    <w:uiPriority w:val="0"/>
    <w:pPr>
      <w:snapToGrid w:val="0"/>
      <w:ind w:firstLine="225" w:firstLineChars="225"/>
    </w:pPr>
    <w:rPr>
      <w:rFonts w:ascii="仿宋_GB2312" w:hAnsi="仿宋_GB2312"/>
      <w:b/>
      <w:bCs/>
      <w:color w:val="000000"/>
      <w:kern w:val="0"/>
      <w:sz w:val="24"/>
    </w:rPr>
  </w:style>
  <w:style w:type="paragraph" w:styleId="22">
    <w:name w:val="Balloon Text"/>
    <w:basedOn w:val="1"/>
    <w:link w:val="61"/>
    <w:qFormat/>
    <w:uiPriority w:val="99"/>
    <w:rPr>
      <w:kern w:val="0"/>
      <w:sz w:val="18"/>
      <w:szCs w:val="18"/>
    </w:rPr>
  </w:style>
  <w:style w:type="paragraph" w:styleId="23">
    <w:name w:val="footer"/>
    <w:basedOn w:val="1"/>
    <w:link w:val="62"/>
    <w:unhideWhenUsed/>
    <w:qFormat/>
    <w:uiPriority w:val="99"/>
    <w:pPr>
      <w:tabs>
        <w:tab w:val="center" w:pos="4153"/>
        <w:tab w:val="right" w:pos="8306"/>
      </w:tabs>
      <w:snapToGrid w:val="0"/>
      <w:jc w:val="left"/>
    </w:pPr>
    <w:rPr>
      <w:kern w:val="0"/>
      <w:sz w:val="18"/>
      <w:szCs w:val="18"/>
    </w:rPr>
  </w:style>
  <w:style w:type="paragraph" w:styleId="24">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5">
    <w:name w:val="toc 1"/>
    <w:basedOn w:val="1"/>
    <w:next w:val="1"/>
    <w:qFormat/>
    <w:uiPriority w:val="39"/>
  </w:style>
  <w:style w:type="paragraph" w:styleId="26">
    <w:name w:val="toc 4"/>
    <w:basedOn w:val="1"/>
    <w:next w:val="1"/>
    <w:unhideWhenUsed/>
    <w:qFormat/>
    <w:uiPriority w:val="39"/>
    <w:pPr>
      <w:ind w:left="1260" w:leftChars="600"/>
    </w:pPr>
  </w:style>
  <w:style w:type="paragraph" w:styleId="27">
    <w:name w:val="Subtitle"/>
    <w:basedOn w:val="1"/>
    <w:next w:val="1"/>
    <w:link w:val="64"/>
    <w:qFormat/>
    <w:uiPriority w:val="0"/>
    <w:pPr>
      <w:spacing w:before="240" w:after="60" w:line="312" w:lineRule="auto"/>
      <w:jc w:val="center"/>
      <w:outlineLvl w:val="1"/>
    </w:pPr>
    <w:rPr>
      <w:rFonts w:ascii="Cambria" w:hAnsi="Cambria"/>
      <w:b/>
      <w:bCs/>
      <w:kern w:val="28"/>
      <w:sz w:val="32"/>
      <w:szCs w:val="32"/>
    </w:rPr>
  </w:style>
  <w:style w:type="paragraph" w:styleId="28">
    <w:name w:val="List"/>
    <w:basedOn w:val="1"/>
    <w:qFormat/>
    <w:uiPriority w:val="0"/>
    <w:pPr>
      <w:ind w:left="200" w:hanging="200" w:hangingChars="200"/>
    </w:pPr>
    <w:rPr>
      <w:sz w:val="28"/>
    </w:rPr>
  </w:style>
  <w:style w:type="paragraph" w:styleId="29">
    <w:name w:val="Body Text Indent 3"/>
    <w:basedOn w:val="1"/>
    <w:link w:val="65"/>
    <w:qFormat/>
    <w:uiPriority w:val="0"/>
    <w:pPr>
      <w:snapToGrid w:val="0"/>
      <w:jc w:val="left"/>
    </w:pPr>
    <w:rPr>
      <w:rFonts w:ascii="仿宋_GB2312" w:eastAsia="仿宋_GB2312"/>
      <w:color w:val="000000"/>
      <w:kern w:val="0"/>
      <w:sz w:val="24"/>
    </w:rPr>
  </w:style>
  <w:style w:type="paragraph" w:styleId="30">
    <w:name w:val="toc 2"/>
    <w:basedOn w:val="1"/>
    <w:next w:val="1"/>
    <w:qFormat/>
    <w:uiPriority w:val="39"/>
    <w:pPr>
      <w:ind w:left="200" w:leftChars="200"/>
    </w:pPr>
  </w:style>
  <w:style w:type="paragraph" w:styleId="31">
    <w:name w:val="Body Text 2"/>
    <w:basedOn w:val="1"/>
    <w:link w:val="66"/>
    <w:qFormat/>
    <w:uiPriority w:val="0"/>
    <w:pPr>
      <w:widowControl/>
      <w:snapToGrid w:val="0"/>
      <w:spacing w:before="50" w:afterLines="50" w:line="400" w:lineRule="exact"/>
      <w:jc w:val="left"/>
    </w:pPr>
    <w:rPr>
      <w:rFonts w:ascii="宋体"/>
      <w:color w:val="000000"/>
      <w:kern w:val="0"/>
      <w:sz w:val="24"/>
    </w:rPr>
  </w:style>
  <w:style w:type="paragraph" w:styleId="32">
    <w:name w:val="HTML Preformatted"/>
    <w:basedOn w:val="1"/>
    <w:link w:val="67"/>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3">
    <w:name w:val="Normal (Web)"/>
    <w:basedOn w:val="1"/>
    <w:qFormat/>
    <w:uiPriority w:val="99"/>
    <w:pPr>
      <w:widowControl/>
      <w:spacing w:before="100" w:beforeAutospacing="1" w:after="100" w:afterAutospacing="1"/>
      <w:jc w:val="left"/>
    </w:pPr>
    <w:rPr>
      <w:kern w:val="0"/>
      <w:sz w:val="24"/>
    </w:rPr>
  </w:style>
  <w:style w:type="paragraph" w:styleId="34">
    <w:name w:val="Title"/>
    <w:basedOn w:val="1"/>
    <w:next w:val="1"/>
    <w:qFormat/>
    <w:uiPriority w:val="0"/>
    <w:pPr>
      <w:widowControl/>
      <w:jc w:val="center"/>
    </w:pPr>
    <w:rPr>
      <w:rFonts w:ascii="宋体"/>
      <w:kern w:val="0"/>
      <w:sz w:val="40"/>
    </w:rPr>
  </w:style>
  <w:style w:type="paragraph" w:styleId="35">
    <w:name w:val="annotation subject"/>
    <w:basedOn w:val="13"/>
    <w:next w:val="13"/>
    <w:link w:val="68"/>
    <w:qFormat/>
    <w:uiPriority w:val="0"/>
  </w:style>
  <w:style w:type="paragraph" w:styleId="36">
    <w:name w:val="Body Text First Indent 2"/>
    <w:basedOn w:val="15"/>
    <w:next w:val="1"/>
    <w:link w:val="69"/>
    <w:unhideWhenUsed/>
    <w:qFormat/>
    <w:uiPriority w:val="99"/>
    <w:pPr>
      <w:spacing w:after="120" w:line="240" w:lineRule="auto"/>
      <w:ind w:left="420" w:leftChars="200" w:firstLine="420" w:firstLineChars="200"/>
    </w:pPr>
    <w:rPr>
      <w:kern w:val="2"/>
      <w:sz w:val="21"/>
      <w:szCs w:val="24"/>
    </w:rPr>
  </w:style>
  <w:style w:type="table" w:styleId="38">
    <w:name w:val="Table Grid"/>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qFormat/>
    <w:uiPriority w:val="0"/>
  </w:style>
  <w:style w:type="character" w:styleId="42">
    <w:name w:val="FollowedHyperlink"/>
    <w:qFormat/>
    <w:uiPriority w:val="99"/>
    <w:rPr>
      <w:color w:val="800080"/>
      <w:u w:val="single"/>
    </w:rPr>
  </w:style>
  <w:style w:type="character" w:styleId="43">
    <w:name w:val="Emphasis"/>
    <w:qFormat/>
    <w:uiPriority w:val="0"/>
    <w:rPr>
      <w:color w:val="CC0000"/>
    </w:rPr>
  </w:style>
  <w:style w:type="character" w:styleId="44">
    <w:name w:val="HTML Acronym"/>
    <w:qFormat/>
    <w:uiPriority w:val="0"/>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paragraph" w:styleId="47">
    <w:name w:val="List Paragraph"/>
    <w:basedOn w:val="1"/>
    <w:link w:val="73"/>
    <w:qFormat/>
    <w:uiPriority w:val="34"/>
    <w:pPr>
      <w:numPr>
        <w:ilvl w:val="0"/>
        <w:numId w:val="7"/>
      </w:numPr>
    </w:pPr>
    <w:rPr>
      <w:szCs w:val="22"/>
    </w:rPr>
  </w:style>
  <w:style w:type="character" w:customStyle="1" w:styleId="48">
    <w:name w:val="正文文本 Char1"/>
    <w:link w:val="3"/>
    <w:qFormat/>
    <w:uiPriority w:val="0"/>
    <w:rPr>
      <w:rFonts w:ascii="Times New Roman" w:hAnsi="Times New Roman" w:eastAsia="宋体" w:cs="Times New Roman"/>
      <w:sz w:val="28"/>
      <w:szCs w:val="24"/>
    </w:rPr>
  </w:style>
  <w:style w:type="character" w:customStyle="1" w:styleId="49">
    <w:name w:val="标题 1 Char1"/>
    <w:link w:val="4"/>
    <w:qFormat/>
    <w:uiPriority w:val="0"/>
    <w:rPr>
      <w:rFonts w:ascii="Times New Roman" w:hAnsi="Times New Roman" w:eastAsia="宋体" w:cs="Times New Roman"/>
      <w:b/>
      <w:bCs/>
      <w:kern w:val="44"/>
      <w:sz w:val="44"/>
      <w:szCs w:val="44"/>
    </w:rPr>
  </w:style>
  <w:style w:type="character" w:customStyle="1" w:styleId="50">
    <w:name w:val="标题 2 Char1"/>
    <w:link w:val="5"/>
    <w:qFormat/>
    <w:uiPriority w:val="0"/>
    <w:rPr>
      <w:rFonts w:ascii="Arial" w:hAnsi="Arial" w:eastAsia="黑体"/>
      <w:b/>
      <w:bCs/>
      <w:sz w:val="32"/>
      <w:szCs w:val="32"/>
    </w:rPr>
  </w:style>
  <w:style w:type="character" w:customStyle="1" w:styleId="51">
    <w:name w:val="标题 3 Char1"/>
    <w:link w:val="6"/>
    <w:qFormat/>
    <w:uiPriority w:val="0"/>
    <w:rPr>
      <w:b/>
      <w:bCs/>
      <w:sz w:val="32"/>
      <w:szCs w:val="32"/>
    </w:rPr>
  </w:style>
  <w:style w:type="character" w:customStyle="1" w:styleId="52">
    <w:name w:val="标题 4 Char1"/>
    <w:link w:val="7"/>
    <w:qFormat/>
    <w:uiPriority w:val="0"/>
    <w:rPr>
      <w:rFonts w:ascii="Arial" w:hAnsi="Arial" w:eastAsia="黑体" w:cs="Times New Roman"/>
      <w:b/>
      <w:bCs/>
      <w:sz w:val="28"/>
      <w:szCs w:val="28"/>
    </w:rPr>
  </w:style>
  <w:style w:type="character" w:customStyle="1" w:styleId="53">
    <w:name w:val="标题 5 Char1"/>
    <w:link w:val="8"/>
    <w:qFormat/>
    <w:uiPriority w:val="0"/>
    <w:rPr>
      <w:rFonts w:ascii="Times New Roman" w:hAnsi="Times New Roman" w:eastAsia="宋体" w:cs="Times New Roman"/>
      <w:b/>
      <w:bCs/>
      <w:sz w:val="28"/>
      <w:szCs w:val="28"/>
    </w:rPr>
  </w:style>
  <w:style w:type="character" w:customStyle="1" w:styleId="54">
    <w:name w:val="文档结构图 Char1"/>
    <w:link w:val="12"/>
    <w:qFormat/>
    <w:uiPriority w:val="0"/>
    <w:rPr>
      <w:rFonts w:ascii="Times New Roman" w:hAnsi="Times New Roman" w:eastAsia="宋体" w:cs="Times New Roman"/>
      <w:szCs w:val="24"/>
      <w:shd w:val="clear" w:color="auto" w:fill="000080"/>
    </w:rPr>
  </w:style>
  <w:style w:type="character" w:customStyle="1" w:styleId="55">
    <w:name w:val="批注文字 Char1"/>
    <w:link w:val="13"/>
    <w:qFormat/>
    <w:uiPriority w:val="0"/>
    <w:rPr>
      <w:rFonts w:ascii="Times New Roman" w:hAnsi="Times New Roman" w:eastAsia="宋体" w:cs="Times New Roman"/>
      <w:szCs w:val="20"/>
    </w:rPr>
  </w:style>
  <w:style w:type="character" w:customStyle="1" w:styleId="56">
    <w:name w:val="正文文本 3 Char1"/>
    <w:link w:val="14"/>
    <w:qFormat/>
    <w:uiPriority w:val="0"/>
    <w:rPr>
      <w:rFonts w:ascii="Times New Roman" w:hAnsi="Times New Roman" w:eastAsia="仿宋_GB2312"/>
      <w:b/>
      <w:bCs/>
      <w:sz w:val="24"/>
    </w:rPr>
  </w:style>
  <w:style w:type="character" w:customStyle="1" w:styleId="57">
    <w:name w:val="正文文本缩进 Char2"/>
    <w:link w:val="15"/>
    <w:qFormat/>
    <w:uiPriority w:val="0"/>
    <w:rPr>
      <w:rFonts w:ascii="宋体" w:hAnsi="Times New Roman" w:eastAsia="宋体" w:cs="Times New Roman"/>
      <w:spacing w:val="-4"/>
      <w:sz w:val="18"/>
      <w:szCs w:val="20"/>
    </w:rPr>
  </w:style>
  <w:style w:type="character" w:customStyle="1" w:styleId="58">
    <w:name w:val="纯文本 Char1"/>
    <w:link w:val="19"/>
    <w:qFormat/>
    <w:uiPriority w:val="0"/>
    <w:rPr>
      <w:rFonts w:ascii="宋体" w:hAnsi="Times New Roman" w:eastAsia="宋体" w:cs="Times New Roman"/>
      <w:sz w:val="24"/>
      <w:szCs w:val="24"/>
    </w:rPr>
  </w:style>
  <w:style w:type="character" w:customStyle="1" w:styleId="59">
    <w:name w:val="日期 Char1"/>
    <w:link w:val="20"/>
    <w:qFormat/>
    <w:uiPriority w:val="0"/>
    <w:rPr>
      <w:rFonts w:ascii="Times New Roman" w:hAnsi="Times New Roman" w:eastAsia="楷体_GB2312"/>
      <w:sz w:val="32"/>
    </w:rPr>
  </w:style>
  <w:style w:type="character" w:customStyle="1" w:styleId="60">
    <w:name w:val="正文文本缩进 2 Char1"/>
    <w:link w:val="21"/>
    <w:qFormat/>
    <w:uiPriority w:val="0"/>
    <w:rPr>
      <w:rFonts w:ascii="仿宋_GB2312" w:hAnsi="仿宋_GB2312" w:eastAsia="宋体" w:cs="Times New Roman"/>
      <w:b/>
      <w:bCs/>
      <w:color w:val="000000"/>
      <w:sz w:val="24"/>
      <w:szCs w:val="24"/>
    </w:rPr>
  </w:style>
  <w:style w:type="character" w:customStyle="1" w:styleId="61">
    <w:name w:val="批注框文本 Char1"/>
    <w:link w:val="22"/>
    <w:qFormat/>
    <w:uiPriority w:val="99"/>
    <w:rPr>
      <w:rFonts w:ascii="Times New Roman" w:hAnsi="Times New Roman" w:eastAsia="宋体" w:cs="Times New Roman"/>
      <w:sz w:val="18"/>
      <w:szCs w:val="18"/>
    </w:rPr>
  </w:style>
  <w:style w:type="character" w:customStyle="1" w:styleId="62">
    <w:name w:val="页脚 Char1"/>
    <w:link w:val="23"/>
    <w:qFormat/>
    <w:uiPriority w:val="99"/>
    <w:rPr>
      <w:sz w:val="18"/>
      <w:szCs w:val="18"/>
    </w:rPr>
  </w:style>
  <w:style w:type="character" w:customStyle="1" w:styleId="63">
    <w:name w:val="页眉 Char1"/>
    <w:link w:val="24"/>
    <w:qFormat/>
    <w:uiPriority w:val="99"/>
    <w:rPr>
      <w:sz w:val="18"/>
      <w:szCs w:val="18"/>
    </w:rPr>
  </w:style>
  <w:style w:type="character" w:customStyle="1" w:styleId="64">
    <w:name w:val="副标题 Char2"/>
    <w:link w:val="27"/>
    <w:qFormat/>
    <w:uiPriority w:val="0"/>
    <w:rPr>
      <w:rFonts w:ascii="Cambria" w:hAnsi="Cambria"/>
      <w:b/>
      <w:bCs/>
      <w:kern w:val="28"/>
      <w:sz w:val="32"/>
      <w:szCs w:val="32"/>
    </w:rPr>
  </w:style>
  <w:style w:type="character" w:customStyle="1" w:styleId="65">
    <w:name w:val="正文文本缩进 3 Char1"/>
    <w:link w:val="29"/>
    <w:qFormat/>
    <w:uiPriority w:val="0"/>
    <w:rPr>
      <w:rFonts w:ascii="仿宋_GB2312" w:hAnsi="Times New Roman" w:eastAsia="仿宋_GB2312"/>
      <w:color w:val="000000"/>
      <w:sz w:val="24"/>
      <w:szCs w:val="24"/>
    </w:rPr>
  </w:style>
  <w:style w:type="character" w:customStyle="1" w:styleId="66">
    <w:name w:val="正文文本 2 Char1"/>
    <w:link w:val="31"/>
    <w:qFormat/>
    <w:uiPriority w:val="0"/>
    <w:rPr>
      <w:rFonts w:ascii="宋体" w:hAnsi="Times New Roman" w:eastAsia="宋体" w:cs="Times New Roman"/>
      <w:color w:val="000000"/>
      <w:sz w:val="24"/>
      <w:szCs w:val="24"/>
    </w:rPr>
  </w:style>
  <w:style w:type="character" w:customStyle="1" w:styleId="67">
    <w:name w:val="HTML 预设格式 Char1"/>
    <w:link w:val="32"/>
    <w:qFormat/>
    <w:uiPriority w:val="0"/>
    <w:rPr>
      <w:rFonts w:ascii="宋体" w:hAnsi="宋体" w:cs="宋体"/>
      <w:sz w:val="24"/>
      <w:szCs w:val="24"/>
    </w:rPr>
  </w:style>
  <w:style w:type="character" w:customStyle="1" w:styleId="68">
    <w:name w:val="批注主题 Char2"/>
    <w:link w:val="35"/>
    <w:qFormat/>
    <w:uiPriority w:val="0"/>
    <w:rPr>
      <w:rFonts w:ascii="Times New Roman" w:hAnsi="Times New Roman" w:eastAsia="宋体" w:cs="Times New Roman"/>
      <w:szCs w:val="20"/>
    </w:rPr>
  </w:style>
  <w:style w:type="character" w:customStyle="1" w:styleId="69">
    <w:name w:val="正文首行缩进 2 Char"/>
    <w:link w:val="36"/>
    <w:semiHidden/>
    <w:qFormat/>
    <w:uiPriority w:val="99"/>
    <w:rPr>
      <w:rFonts w:ascii="宋体" w:hAnsi="Times New Roman" w:eastAsia="宋体" w:cs="Times New Roman"/>
      <w:spacing w:val="-4"/>
      <w:kern w:val="2"/>
      <w:sz w:val="21"/>
      <w:szCs w:val="24"/>
    </w:rPr>
  </w:style>
  <w:style w:type="character" w:styleId="70">
    <w:name w:val="Placeholder Text"/>
    <w:semiHidden/>
    <w:qFormat/>
    <w:uiPriority w:val="99"/>
    <w:rPr>
      <w:color w:val="808080"/>
    </w:rPr>
  </w:style>
  <w:style w:type="character" w:customStyle="1" w:styleId="71">
    <w:name w:val="页眉 Char"/>
    <w:qFormat/>
    <w:uiPriority w:val="99"/>
    <w:rPr>
      <w:sz w:val="18"/>
      <w:szCs w:val="18"/>
    </w:rPr>
  </w:style>
  <w:style w:type="character" w:customStyle="1" w:styleId="72">
    <w:name w:val="正文文本缩进 Char1"/>
    <w:qFormat/>
    <w:uiPriority w:val="0"/>
    <w:rPr>
      <w:rFonts w:ascii="宋体" w:hAnsi="Times New Roman" w:eastAsia="宋体" w:cs="Times New Roman"/>
      <w:spacing w:val="-4"/>
      <w:sz w:val="18"/>
      <w:szCs w:val="20"/>
    </w:rPr>
  </w:style>
  <w:style w:type="character" w:customStyle="1" w:styleId="73">
    <w:name w:val="列出段落 Char2"/>
    <w:link w:val="47"/>
    <w:qFormat/>
    <w:uiPriority w:val="34"/>
    <w:rPr>
      <w:kern w:val="2"/>
      <w:sz w:val="21"/>
      <w:szCs w:val="22"/>
    </w:rPr>
  </w:style>
  <w:style w:type="character" w:customStyle="1" w:styleId="74">
    <w:name w:val="正文文本 3 Char"/>
    <w:qFormat/>
    <w:uiPriority w:val="0"/>
    <w:rPr>
      <w:rFonts w:ascii="Times New Roman" w:hAnsi="Times New Roman" w:eastAsia="仿宋_GB2312"/>
      <w:b/>
      <w:bCs/>
      <w:sz w:val="24"/>
    </w:rPr>
  </w:style>
  <w:style w:type="character" w:customStyle="1" w:styleId="75">
    <w:name w:val="正文文本缩进 2 Char2"/>
    <w:qFormat/>
    <w:uiPriority w:val="0"/>
    <w:rPr>
      <w:rFonts w:ascii="仿宋_GB2312" w:hAnsi="仿宋_GB2312"/>
      <w:b/>
      <w:bCs/>
      <w:color w:val="000000"/>
      <w:sz w:val="24"/>
      <w:szCs w:val="24"/>
    </w:rPr>
  </w:style>
  <w:style w:type="character" w:customStyle="1" w:styleId="76">
    <w:name w:val="标题 2 Char"/>
    <w:qFormat/>
    <w:uiPriority w:val="0"/>
    <w:rPr>
      <w:rFonts w:ascii="Arial" w:hAnsi="Arial" w:eastAsia="黑体"/>
      <w:b/>
      <w:bCs/>
      <w:sz w:val="32"/>
      <w:szCs w:val="32"/>
    </w:rPr>
  </w:style>
  <w:style w:type="character" w:customStyle="1" w:styleId="77">
    <w:name w:val="NormalCharacter"/>
    <w:semiHidden/>
    <w:qFormat/>
    <w:uiPriority w:val="0"/>
  </w:style>
  <w:style w:type="character" w:customStyle="1" w:styleId="78">
    <w:name w:val="文档结构图 Char"/>
    <w:qFormat/>
    <w:uiPriority w:val="0"/>
    <w:rPr>
      <w:rFonts w:ascii="Times New Roman" w:hAnsi="Times New Roman" w:eastAsia="宋体" w:cs="Times New Roman"/>
      <w:szCs w:val="24"/>
      <w:shd w:val="clear" w:color="auto" w:fill="000080"/>
    </w:rPr>
  </w:style>
  <w:style w:type="character" w:customStyle="1" w:styleId="79">
    <w:name w:val="纯文本 Char2"/>
    <w:qFormat/>
    <w:uiPriority w:val="0"/>
    <w:rPr>
      <w:rFonts w:ascii="宋体" w:hAnsi="Times New Roman" w:eastAsia="宋体" w:cs="Times New Roman"/>
      <w:sz w:val="24"/>
      <w:szCs w:val="24"/>
    </w:rPr>
  </w:style>
  <w:style w:type="character" w:customStyle="1" w:styleId="80">
    <w:name w:val="c_title1"/>
    <w:qFormat/>
    <w:uiPriority w:val="0"/>
    <w:rPr>
      <w:rFonts w:ascii="黑体" w:eastAsia="黑体"/>
      <w:color w:val="03005C"/>
      <w:sz w:val="30"/>
      <w:szCs w:val="30"/>
      <w:u w:val="none"/>
    </w:rPr>
  </w:style>
  <w:style w:type="character" w:customStyle="1" w:styleId="81">
    <w:name w:val="正文文本 Char"/>
    <w:qFormat/>
    <w:uiPriority w:val="0"/>
    <w:rPr>
      <w:rFonts w:ascii="Times New Roman" w:hAnsi="Times New Roman" w:eastAsia="宋体" w:cs="Times New Roman"/>
      <w:sz w:val="28"/>
      <w:szCs w:val="24"/>
    </w:rPr>
  </w:style>
  <w:style w:type="character" w:customStyle="1" w:styleId="82">
    <w:name w:val="style7"/>
    <w:qFormat/>
    <w:uiPriority w:val="0"/>
  </w:style>
  <w:style w:type="character" w:customStyle="1" w:styleId="83">
    <w:name w:val="标题 1 字符"/>
    <w:qFormat/>
    <w:uiPriority w:val="0"/>
    <w:rPr>
      <w:rFonts w:ascii="Times New Roman" w:hAnsi="Times New Roman" w:eastAsia="宋体" w:cs="Times New Roman"/>
      <w:b/>
      <w:bCs/>
      <w:kern w:val="44"/>
      <w:sz w:val="44"/>
      <w:szCs w:val="44"/>
    </w:rPr>
  </w:style>
  <w:style w:type="character" w:customStyle="1" w:styleId="84">
    <w:name w:val="标题 1 Char Char"/>
    <w:qFormat/>
    <w:uiPriority w:val="0"/>
    <w:rPr>
      <w:rFonts w:eastAsia="宋体"/>
      <w:b/>
      <w:spacing w:val="-2"/>
      <w:sz w:val="24"/>
      <w:lang w:val="en-US" w:eastAsia="zh-CN" w:bidi="ar-SA"/>
    </w:rPr>
  </w:style>
  <w:style w:type="character" w:customStyle="1" w:styleId="85">
    <w:name w:val="正文42 Char"/>
    <w:link w:val="86"/>
    <w:qFormat/>
    <w:uiPriority w:val="0"/>
    <w:rPr>
      <w:rFonts w:ascii="Microsoft YaHei UI" w:hAnsi="Microsoft YaHei UI" w:eastAsia="Microsoft YaHei UI"/>
      <w:sz w:val="28"/>
      <w:szCs w:val="22"/>
    </w:rPr>
  </w:style>
  <w:style w:type="paragraph" w:customStyle="1" w:styleId="86">
    <w:name w:val="正文42"/>
    <w:basedOn w:val="1"/>
    <w:link w:val="85"/>
    <w:qFormat/>
    <w:uiPriority w:val="0"/>
    <w:pPr>
      <w:widowControl/>
      <w:spacing w:line="276" w:lineRule="auto"/>
      <w:ind w:firstLine="560" w:firstLineChars="200"/>
      <w:jc w:val="left"/>
    </w:pPr>
    <w:rPr>
      <w:rFonts w:ascii="Microsoft YaHei UI" w:hAnsi="Microsoft YaHei UI" w:eastAsia="Microsoft YaHei UI"/>
      <w:kern w:val="0"/>
      <w:sz w:val="28"/>
      <w:szCs w:val="22"/>
    </w:rPr>
  </w:style>
  <w:style w:type="character" w:customStyle="1" w:styleId="87">
    <w:name w:val="bookmark-item"/>
    <w:qFormat/>
    <w:uiPriority w:val="0"/>
  </w:style>
  <w:style w:type="character" w:customStyle="1" w:styleId="88">
    <w:name w:val="副标题 Char"/>
    <w:qFormat/>
    <w:uiPriority w:val="0"/>
    <w:rPr>
      <w:rFonts w:ascii="Cambria" w:hAnsi="Cambria"/>
      <w:b/>
      <w:bCs/>
      <w:kern w:val="28"/>
      <w:sz w:val="32"/>
      <w:szCs w:val="32"/>
    </w:rPr>
  </w:style>
  <w:style w:type="character" w:customStyle="1" w:styleId="89">
    <w:name w:val="纯文本 Char"/>
    <w:qFormat/>
    <w:uiPriority w:val="0"/>
    <w:rPr>
      <w:rFonts w:ascii="宋体" w:hAnsi="Times New Roman" w:eastAsia="宋体" w:cs="Times New Roman"/>
      <w:sz w:val="24"/>
      <w:szCs w:val="24"/>
    </w:rPr>
  </w:style>
  <w:style w:type="character" w:customStyle="1" w:styleId="90">
    <w:name w:val="unnamed1"/>
    <w:qFormat/>
    <w:uiPriority w:val="0"/>
  </w:style>
  <w:style w:type="character" w:customStyle="1" w:styleId="91">
    <w:name w:val="标题 1 Char"/>
    <w:qFormat/>
    <w:uiPriority w:val="0"/>
    <w:rPr>
      <w:rFonts w:ascii="Times New Roman" w:hAnsi="Times New Roman" w:eastAsia="宋体" w:cs="Times New Roman"/>
      <w:b/>
      <w:bCs/>
      <w:kern w:val="44"/>
      <w:sz w:val="44"/>
      <w:szCs w:val="44"/>
    </w:rPr>
  </w:style>
  <w:style w:type="character" w:customStyle="1" w:styleId="92">
    <w:name w:val="日期 Char"/>
    <w:qFormat/>
    <w:uiPriority w:val="0"/>
    <w:rPr>
      <w:rFonts w:ascii="Times New Roman" w:hAnsi="Times New Roman" w:eastAsia="楷体_GB2312"/>
      <w:sz w:val="32"/>
    </w:rPr>
  </w:style>
  <w:style w:type="character" w:customStyle="1" w:styleId="93">
    <w:name w:val="样式 标题 1合同标题卷标题H1h1Level 1 Topic HeadingH11H12H111H13H1... Char"/>
    <w:qFormat/>
    <w:uiPriority w:val="0"/>
    <w:rPr>
      <w:rFonts w:ascii="宋体" w:eastAsia="宋体"/>
      <w:b/>
      <w:bCs/>
      <w:kern w:val="44"/>
      <w:sz w:val="24"/>
      <w:szCs w:val="44"/>
      <w:lang w:val="en-US" w:eastAsia="zh-CN" w:bidi="ar-SA"/>
    </w:rPr>
  </w:style>
  <w:style w:type="character" w:customStyle="1" w:styleId="94">
    <w:name w:val="批注主题 Char"/>
    <w:qFormat/>
    <w:uiPriority w:val="0"/>
    <w:rPr>
      <w:rFonts w:ascii="Times New Roman" w:hAnsi="Times New Roman" w:eastAsia="宋体" w:cs="Times New Roman"/>
      <w:szCs w:val="20"/>
    </w:rPr>
  </w:style>
  <w:style w:type="character" w:customStyle="1" w:styleId="95">
    <w:name w:val="apple-style-span"/>
    <w:qFormat/>
    <w:uiPriority w:val="0"/>
  </w:style>
  <w:style w:type="character" w:customStyle="1" w:styleId="96">
    <w:name w:val="ca-32"/>
    <w:qFormat/>
    <w:uiPriority w:val="0"/>
  </w:style>
  <w:style w:type="character" w:customStyle="1" w:styleId="97">
    <w:name w:val="正文文本缩进 2 Char"/>
    <w:qFormat/>
    <w:uiPriority w:val="0"/>
    <w:rPr>
      <w:rFonts w:ascii="仿宋_GB2312" w:hAnsi="仿宋_GB2312" w:eastAsia="宋体" w:cs="Times New Roman"/>
      <w:b/>
      <w:bCs/>
      <w:color w:val="000000"/>
      <w:sz w:val="24"/>
      <w:szCs w:val="24"/>
    </w:rPr>
  </w:style>
  <w:style w:type="character" w:customStyle="1" w:styleId="98">
    <w:name w:val="正文文本缩进 3 Char"/>
    <w:qFormat/>
    <w:uiPriority w:val="0"/>
    <w:rPr>
      <w:rFonts w:ascii="仿宋_GB2312" w:hAnsi="Times New Roman" w:eastAsia="仿宋_GB2312"/>
      <w:color w:val="000000"/>
      <w:sz w:val="24"/>
      <w:szCs w:val="24"/>
    </w:rPr>
  </w:style>
  <w:style w:type="character" w:customStyle="1" w:styleId="99">
    <w:name w:val="标题 5 Char"/>
    <w:qFormat/>
    <w:uiPriority w:val="0"/>
    <w:rPr>
      <w:rFonts w:ascii="Times New Roman" w:hAnsi="Times New Roman" w:eastAsia="宋体" w:cs="Times New Roman"/>
      <w:b/>
      <w:bCs/>
      <w:sz w:val="28"/>
      <w:szCs w:val="28"/>
    </w:rPr>
  </w:style>
  <w:style w:type="character" w:customStyle="1" w:styleId="100">
    <w:name w:val="正文文本缩进 Char"/>
    <w:qFormat/>
    <w:uiPriority w:val="0"/>
    <w:rPr>
      <w:rFonts w:ascii="宋体" w:hAnsi="Times New Roman" w:eastAsia="宋体" w:cs="Times New Roman"/>
      <w:spacing w:val="-4"/>
      <w:sz w:val="18"/>
      <w:szCs w:val="20"/>
    </w:rPr>
  </w:style>
  <w:style w:type="character" w:customStyle="1" w:styleId="101">
    <w:name w:val="HTML 预设格式 Char"/>
    <w:qFormat/>
    <w:uiPriority w:val="0"/>
    <w:rPr>
      <w:rFonts w:ascii="宋体" w:hAnsi="宋体" w:cs="宋体"/>
      <w:sz w:val="24"/>
      <w:szCs w:val="24"/>
    </w:rPr>
  </w:style>
  <w:style w:type="character" w:customStyle="1" w:styleId="102">
    <w:name w:val="正文文本 2 Char"/>
    <w:qFormat/>
    <w:uiPriority w:val="0"/>
    <w:rPr>
      <w:rFonts w:ascii="宋体" w:hAnsi="Times New Roman" w:eastAsia="宋体" w:cs="Times New Roman"/>
      <w:color w:val="000000"/>
      <w:sz w:val="24"/>
      <w:szCs w:val="24"/>
    </w:rPr>
  </w:style>
  <w:style w:type="character" w:customStyle="1" w:styleId="103">
    <w:name w:val="标题 4 Char"/>
    <w:qFormat/>
    <w:uiPriority w:val="0"/>
    <w:rPr>
      <w:rFonts w:ascii="Arial" w:hAnsi="Arial" w:eastAsia="黑体" w:cs="Times New Roman"/>
      <w:b/>
      <w:bCs/>
      <w:sz w:val="28"/>
      <w:szCs w:val="28"/>
    </w:rPr>
  </w:style>
  <w:style w:type="character" w:customStyle="1" w:styleId="104">
    <w:name w:val="纯文本 字符1"/>
    <w:qFormat/>
    <w:uiPriority w:val="0"/>
    <w:rPr>
      <w:rFonts w:ascii="宋体" w:hAnsi="Courier New" w:eastAsia="宋体"/>
      <w:kern w:val="2"/>
      <w:sz w:val="24"/>
      <w:szCs w:val="24"/>
      <w:lang w:val="en-US" w:eastAsia="zh-CN" w:bidi="ar-SA"/>
    </w:rPr>
  </w:style>
  <w:style w:type="character" w:customStyle="1" w:styleId="105">
    <w:name w:val="列出段落 Char1"/>
    <w:qFormat/>
    <w:uiPriority w:val="0"/>
    <w:rPr>
      <w:kern w:val="2"/>
      <w:sz w:val="21"/>
      <w:szCs w:val="22"/>
    </w:rPr>
  </w:style>
  <w:style w:type="character" w:customStyle="1" w:styleId="106">
    <w:name w:val="标题 3 Char"/>
    <w:qFormat/>
    <w:uiPriority w:val="0"/>
    <w:rPr>
      <w:rFonts w:ascii="Times New Roman" w:hAnsi="Times New Roman"/>
      <w:b/>
      <w:bCs/>
      <w:sz w:val="32"/>
      <w:szCs w:val="32"/>
    </w:rPr>
  </w:style>
  <w:style w:type="character" w:customStyle="1" w:styleId="107">
    <w:name w:val="批注主题 Char1"/>
    <w:qFormat/>
    <w:uiPriority w:val="0"/>
    <w:rPr>
      <w:rFonts w:ascii="Times New Roman" w:hAnsi="Times New Roman" w:eastAsia="宋体" w:cs="Times New Roman"/>
      <w:szCs w:val="20"/>
    </w:rPr>
  </w:style>
  <w:style w:type="character" w:customStyle="1" w:styleId="108">
    <w:name w:val="列出段落 Char"/>
    <w:qFormat/>
    <w:uiPriority w:val="34"/>
    <w:rPr>
      <w:kern w:val="2"/>
      <w:sz w:val="21"/>
      <w:szCs w:val="22"/>
    </w:rPr>
  </w:style>
  <w:style w:type="character" w:customStyle="1" w:styleId="109">
    <w:name w:val="批注文字 Char"/>
    <w:qFormat/>
    <w:uiPriority w:val="0"/>
    <w:rPr>
      <w:rFonts w:ascii="Times New Roman" w:hAnsi="Times New Roman" w:eastAsia="宋体" w:cs="Times New Roman"/>
      <w:szCs w:val="20"/>
    </w:rPr>
  </w:style>
  <w:style w:type="character" w:customStyle="1" w:styleId="110">
    <w:name w:val="副标题 Char1"/>
    <w:qFormat/>
    <w:uiPriority w:val="11"/>
    <w:rPr>
      <w:rFonts w:ascii="Cambria" w:hAnsi="Cambria" w:eastAsia="宋体" w:cs="Times New Roman"/>
      <w:b/>
      <w:bCs/>
      <w:kern w:val="28"/>
      <w:sz w:val="32"/>
      <w:szCs w:val="32"/>
    </w:rPr>
  </w:style>
  <w:style w:type="character" w:customStyle="1" w:styleId="111">
    <w:name w:val="批注框文本 Char"/>
    <w:qFormat/>
    <w:uiPriority w:val="99"/>
    <w:rPr>
      <w:rFonts w:ascii="Times New Roman" w:hAnsi="Times New Roman" w:eastAsia="宋体" w:cs="Times New Roman"/>
      <w:sz w:val="18"/>
      <w:szCs w:val="18"/>
    </w:rPr>
  </w:style>
  <w:style w:type="character" w:customStyle="1" w:styleId="112">
    <w:name w:val="页脚 Char"/>
    <w:qFormat/>
    <w:uiPriority w:val="0"/>
    <w:rPr>
      <w:sz w:val="18"/>
      <w:szCs w:val="18"/>
    </w:rPr>
  </w:style>
  <w:style w:type="character" w:customStyle="1" w:styleId="113">
    <w:name w:val="TableItem Char"/>
    <w:link w:val="114"/>
    <w:qFormat/>
    <w:uiPriority w:val="0"/>
    <w:rPr>
      <w:rFonts w:ascii="Verdana" w:hAnsi="Verdana" w:eastAsia="等线" w:cs="Verdana"/>
      <w:b/>
      <w:bCs/>
      <w:color w:val="538135"/>
      <w:spacing w:val="-10"/>
      <w:sz w:val="16"/>
      <w:szCs w:val="28"/>
      <w:lang w:val="en-US" w:eastAsia="zh-CN" w:bidi="ar-SA"/>
    </w:rPr>
  </w:style>
  <w:style w:type="paragraph" w:customStyle="1" w:styleId="114">
    <w:name w:val="TableItem"/>
    <w:link w:val="113"/>
    <w:qFormat/>
    <w:uiPriority w:val="0"/>
    <w:rPr>
      <w:rFonts w:ascii="Verdana" w:hAnsi="Verdana" w:eastAsia="等线" w:cs="Verdana"/>
      <w:b/>
      <w:bCs/>
      <w:color w:val="538135"/>
      <w:spacing w:val="-10"/>
      <w:sz w:val="16"/>
      <w:szCs w:val="28"/>
      <w:lang w:val="en-US" w:eastAsia="zh-CN" w:bidi="ar-SA"/>
    </w:rPr>
  </w:style>
  <w:style w:type="paragraph" w:customStyle="1" w:styleId="115">
    <w:name w:val="style9"/>
    <w:basedOn w:val="1"/>
    <w:qFormat/>
    <w:uiPriority w:val="0"/>
    <w:pPr>
      <w:widowControl/>
      <w:spacing w:before="100" w:beforeAutospacing="1" w:after="100" w:afterAutospacing="1"/>
      <w:jc w:val="left"/>
    </w:pPr>
    <w:rPr>
      <w:rFonts w:ascii="宋体" w:cs="宋体"/>
      <w:kern w:val="0"/>
      <w:sz w:val="24"/>
    </w:rPr>
  </w:style>
  <w:style w:type="paragraph" w:customStyle="1" w:styleId="116">
    <w:name w:val="Char1"/>
    <w:basedOn w:val="1"/>
    <w:qFormat/>
    <w:uiPriority w:val="0"/>
    <w:rPr>
      <w:rFonts w:ascii="Tahoma" w:hAnsi="Tahoma"/>
      <w:sz w:val="24"/>
      <w:szCs w:val="20"/>
    </w:rPr>
  </w:style>
  <w:style w:type="paragraph" w:customStyle="1" w:styleId="117">
    <w:name w:val="Char21"/>
    <w:basedOn w:val="1"/>
    <w:qFormat/>
    <w:uiPriority w:val="0"/>
    <w:pPr>
      <w:jc w:val="left"/>
    </w:pPr>
    <w:rPr>
      <w:rFonts w:ascii="仿宋_GB2312" w:hAnsi="宋体" w:eastAsia="仿宋_GB2312" w:cs="Arial"/>
      <w:b/>
      <w:sz w:val="32"/>
      <w:szCs w:val="32"/>
    </w:rPr>
  </w:style>
  <w:style w:type="paragraph" w:customStyle="1" w:styleId="118">
    <w:name w:val="正文段"/>
    <w:basedOn w:val="1"/>
    <w:qFormat/>
    <w:uiPriority w:val="0"/>
    <w:pPr>
      <w:widowControl/>
      <w:snapToGrid w:val="0"/>
      <w:spacing w:afterLines="50"/>
      <w:ind w:firstLine="200" w:firstLineChars="200"/>
    </w:pPr>
    <w:rPr>
      <w:kern w:val="0"/>
      <w:sz w:val="24"/>
      <w:szCs w:val="20"/>
    </w:rPr>
  </w:style>
  <w:style w:type="paragraph" w:customStyle="1" w:styleId="119">
    <w:name w:val="Char Char Char Char Char Char"/>
    <w:basedOn w:val="1"/>
    <w:qFormat/>
    <w:uiPriority w:val="0"/>
    <w:pPr>
      <w:ind w:firstLine="200" w:firstLineChars="200"/>
    </w:pPr>
    <w:rPr>
      <w:rFonts w:ascii="Tahoma" w:hAnsi="Tahoma"/>
      <w:sz w:val="24"/>
      <w:szCs w:val="20"/>
    </w:rPr>
  </w:style>
  <w:style w:type="paragraph" w:customStyle="1" w:styleId="120">
    <w:name w:val="样式1"/>
    <w:basedOn w:val="7"/>
    <w:qFormat/>
    <w:uiPriority w:val="0"/>
  </w:style>
  <w:style w:type="paragraph" w:customStyle="1" w:styleId="121">
    <w:name w:val="_Style 120"/>
    <w:basedOn w:val="4"/>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12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3">
    <w:name w:val="table_1stline"/>
    <w:basedOn w:val="1"/>
    <w:qFormat/>
    <w:uiPriority w:val="0"/>
    <w:pPr>
      <w:spacing w:before="120"/>
    </w:pPr>
    <w:rPr>
      <w:bCs/>
      <w:szCs w:val="20"/>
    </w:rPr>
  </w:style>
  <w:style w:type="paragraph" w:customStyle="1" w:styleId="124">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5">
    <w:name w:val="纯文本1"/>
    <w:basedOn w:val="1"/>
    <w:qFormat/>
    <w:uiPriority w:val="0"/>
    <w:pPr>
      <w:spacing w:beforeLines="50" w:afterLines="50" w:line="400" w:lineRule="exact"/>
    </w:pPr>
    <w:rPr>
      <w:rFonts w:ascii="宋体" w:hAnsi="Courier New"/>
      <w:sz w:val="24"/>
    </w:rPr>
  </w:style>
  <w:style w:type="paragraph" w:customStyle="1" w:styleId="126">
    <w:name w:val="pa-1"/>
    <w:basedOn w:val="1"/>
    <w:qFormat/>
    <w:uiPriority w:val="0"/>
    <w:pPr>
      <w:widowControl/>
      <w:spacing w:before="100" w:beforeAutospacing="1" w:after="100" w:afterAutospacing="1"/>
      <w:jc w:val="left"/>
    </w:pPr>
    <w:rPr>
      <w:rFonts w:ascii="宋体" w:cs="宋体"/>
      <w:kern w:val="0"/>
      <w:sz w:val="24"/>
    </w:rPr>
  </w:style>
  <w:style w:type="paragraph" w:customStyle="1" w:styleId="127">
    <w:name w:val="普通(网站)1"/>
    <w:basedOn w:val="1"/>
    <w:qFormat/>
    <w:uiPriority w:val="0"/>
    <w:pPr>
      <w:widowControl/>
      <w:spacing w:before="100" w:beforeAutospacing="1" w:after="100" w:afterAutospacing="1"/>
      <w:jc w:val="left"/>
    </w:pPr>
    <w:rPr>
      <w:rFonts w:ascii="宋体" w:hAnsi="宋体"/>
      <w:kern w:val="0"/>
      <w:sz w:val="24"/>
    </w:rPr>
  </w:style>
  <w:style w:type="paragraph" w:customStyle="1" w:styleId="128">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129">
    <w:name w:val="表内文字"/>
    <w:basedOn w:val="1"/>
    <w:qFormat/>
    <w:uiPriority w:val="0"/>
    <w:pPr>
      <w:tabs>
        <w:tab w:val="left" w:pos="1418"/>
      </w:tabs>
      <w:spacing w:line="360" w:lineRule="auto"/>
      <w:jc w:val="center"/>
    </w:pPr>
    <w:rPr>
      <w:rFonts w:ascii="仿宋_GB2312" w:eastAsia="仿宋_GB2312"/>
      <w:spacing w:val="-20"/>
      <w:kern w:val="0"/>
      <w:sz w:val="24"/>
    </w:rPr>
  </w:style>
  <w:style w:type="paragraph" w:customStyle="1" w:styleId="130">
    <w:name w:val="自由格式 A"/>
    <w:qFormat/>
    <w:uiPriority w:val="0"/>
    <w:rPr>
      <w:rFonts w:ascii="Helvetica" w:hAnsi="Helvetica" w:eastAsia="ヒラギノ角ゴ Pro W3" w:cs="Times New Roman"/>
      <w:color w:val="000000"/>
      <w:sz w:val="24"/>
      <w:lang w:val="en-US" w:eastAsia="zh-CN" w:bidi="ar-SA"/>
    </w:rPr>
  </w:style>
  <w:style w:type="paragraph" w:customStyle="1" w:styleId="131">
    <w:name w:val="Char Char Char Char"/>
    <w:basedOn w:val="1"/>
    <w:qFormat/>
    <w:uiPriority w:val="0"/>
    <w:pPr>
      <w:widowControl/>
      <w:spacing w:after="160" w:line="240" w:lineRule="exact"/>
      <w:jc w:val="left"/>
    </w:pPr>
    <w:rPr>
      <w:szCs w:val="20"/>
    </w:rPr>
  </w:style>
  <w:style w:type="paragraph" w:customStyle="1" w:styleId="132">
    <w:name w:val="Char11"/>
    <w:basedOn w:val="1"/>
    <w:qFormat/>
    <w:uiPriority w:val="0"/>
  </w:style>
  <w:style w:type="paragraph" w:customStyle="1" w:styleId="133">
    <w:name w:val="列出段落1"/>
    <w:basedOn w:val="1"/>
    <w:qFormat/>
    <w:uiPriority w:val="0"/>
    <w:pPr>
      <w:ind w:firstLine="200" w:firstLineChars="200"/>
    </w:pPr>
    <w:rPr>
      <w:rFonts w:ascii="Calibri" w:hAnsi="Calibri"/>
      <w:szCs w:val="22"/>
    </w:rPr>
  </w:style>
  <w:style w:type="paragraph" w:customStyle="1" w:styleId="134">
    <w:name w:val="_Style 77"/>
    <w:basedOn w:val="1"/>
    <w:next w:val="47"/>
    <w:qFormat/>
    <w:uiPriority w:val="34"/>
    <w:pPr>
      <w:tabs>
        <w:tab w:val="left" w:pos="360"/>
      </w:tabs>
      <w:ind w:left="360" w:hanging="360"/>
    </w:pPr>
    <w:rPr>
      <w:rFonts w:ascii="Calibri" w:hAnsi="Calibri"/>
      <w:szCs w:val="22"/>
    </w:rPr>
  </w:style>
  <w:style w:type="paragraph" w:customStyle="1" w:styleId="135">
    <w:name w:val="text-tag"/>
    <w:basedOn w:val="1"/>
    <w:semiHidden/>
    <w:qFormat/>
    <w:uiPriority w:val="99"/>
    <w:pPr>
      <w:widowControl/>
      <w:spacing w:before="100" w:beforeAutospacing="1" w:after="100" w:afterAutospacing="1"/>
      <w:jc w:val="left"/>
    </w:pPr>
    <w:rPr>
      <w:rFonts w:ascii="宋体" w:hAnsi="宋体" w:cs="宋体"/>
      <w:kern w:val="0"/>
      <w:sz w:val="24"/>
    </w:rPr>
  </w:style>
  <w:style w:type="paragraph" w:customStyle="1" w:styleId="136">
    <w:name w:val="索引 11"/>
    <w:basedOn w:val="1"/>
    <w:next w:val="1"/>
    <w:qFormat/>
    <w:uiPriority w:val="99"/>
    <w:pPr>
      <w:spacing w:line="360" w:lineRule="auto"/>
    </w:pPr>
    <w:rPr>
      <w:rFonts w:ascii="仿宋_GB2312" w:eastAsia="仿宋_GB2312"/>
      <w:sz w:val="24"/>
      <w:szCs w:val="20"/>
    </w:rPr>
  </w:style>
  <w:style w:type="paragraph" w:customStyle="1" w:styleId="137">
    <w:name w:val="列出段落11"/>
    <w:basedOn w:val="1"/>
    <w:qFormat/>
    <w:uiPriority w:val="0"/>
    <w:pPr>
      <w:ind w:firstLine="200" w:firstLineChars="200"/>
      <w:jc w:val="left"/>
    </w:pPr>
    <w:rPr>
      <w:rFonts w:ascii="Calibri" w:hAnsi="Calibri" w:cs="Arial"/>
      <w:szCs w:val="22"/>
    </w:rPr>
  </w:style>
  <w:style w:type="paragraph" w:customStyle="1" w:styleId="138">
    <w:name w:val="p0"/>
    <w:basedOn w:val="1"/>
    <w:qFormat/>
    <w:uiPriority w:val="0"/>
    <w:pPr>
      <w:widowControl/>
    </w:pPr>
    <w:rPr>
      <w:kern w:val="0"/>
      <w:szCs w:val="21"/>
    </w:rPr>
  </w:style>
  <w:style w:type="paragraph" w:customStyle="1" w:styleId="139">
    <w:name w:val="列出段落2"/>
    <w:basedOn w:val="1"/>
    <w:qFormat/>
    <w:uiPriority w:val="34"/>
    <w:pPr>
      <w:spacing w:line="300" w:lineRule="auto"/>
      <w:ind w:firstLine="420" w:firstLineChars="200"/>
    </w:pPr>
    <w:rPr>
      <w:rFonts w:ascii="宋体"/>
      <w:kern w:val="0"/>
      <w:sz w:val="24"/>
      <w:szCs w:val="20"/>
    </w:rPr>
  </w:style>
  <w:style w:type="paragraph" w:customStyle="1" w:styleId="140">
    <w:name w:val="Char Char Char Char Char Char1"/>
    <w:basedOn w:val="1"/>
    <w:qFormat/>
    <w:uiPriority w:val="0"/>
    <w:pPr>
      <w:ind w:firstLine="200" w:firstLineChars="200"/>
      <w:jc w:val="left"/>
    </w:pPr>
    <w:rPr>
      <w:rFonts w:ascii="Tahoma" w:hAnsi="Tahoma" w:cs="Arial"/>
      <w:sz w:val="24"/>
      <w:szCs w:val="21"/>
    </w:rPr>
  </w:style>
  <w:style w:type="paragraph" w:customStyle="1" w:styleId="141">
    <w:name w:val="Char Char Char Char Char Char Char Char Char Char Char Char1 Char"/>
    <w:basedOn w:val="12"/>
    <w:qFormat/>
    <w:uiPriority w:val="0"/>
    <w:rPr>
      <w:rFonts w:ascii="Tahoma" w:hAnsi="Tahoma"/>
      <w:sz w:val="24"/>
    </w:rPr>
  </w:style>
  <w:style w:type="paragraph" w:customStyle="1" w:styleId="142">
    <w:name w:val="op_mapdots_left"/>
    <w:basedOn w:val="1"/>
    <w:qFormat/>
    <w:uiPriority w:val="0"/>
    <w:pPr>
      <w:widowControl/>
      <w:jc w:val="left"/>
    </w:pPr>
    <w:rPr>
      <w:rFonts w:ascii="宋体" w:cs="宋体"/>
      <w:kern w:val="0"/>
      <w:sz w:val="24"/>
    </w:rPr>
  </w:style>
  <w:style w:type="paragraph" w:customStyle="1" w:styleId="143">
    <w:name w:val="333"/>
    <w:basedOn w:val="1"/>
    <w:qFormat/>
    <w:uiPriority w:val="0"/>
    <w:pPr>
      <w:adjustRightInd w:val="0"/>
      <w:spacing w:line="312" w:lineRule="atLeast"/>
      <w:textAlignment w:val="baseline"/>
    </w:pPr>
    <w:rPr>
      <w:kern w:val="0"/>
      <w:szCs w:val="20"/>
    </w:rPr>
  </w:style>
  <w:style w:type="paragraph" w:customStyle="1" w:styleId="144">
    <w:name w:val="Char"/>
    <w:basedOn w:val="1"/>
    <w:qFormat/>
    <w:uiPriority w:val="0"/>
    <w:pPr>
      <w:ind w:firstLine="200" w:firstLineChars="200"/>
    </w:pPr>
    <w:rPr>
      <w:rFonts w:ascii="幼圆" w:eastAsia="幼圆" w:cs="幼圆"/>
      <w:sz w:val="24"/>
      <w:szCs w:val="20"/>
    </w:rPr>
  </w:style>
  <w:style w:type="paragraph" w:customStyle="1" w:styleId="145">
    <w:name w:val="Char1 Char Char Char1"/>
    <w:basedOn w:val="1"/>
    <w:qFormat/>
    <w:uiPriority w:val="0"/>
    <w:pPr>
      <w:tabs>
        <w:tab w:val="left" w:pos="840"/>
      </w:tabs>
      <w:ind w:left="840" w:hanging="420"/>
      <w:jc w:val="left"/>
    </w:pPr>
    <w:rPr>
      <w:rFonts w:ascii="宋体" w:hAnsi="宋体" w:cs="Arial"/>
      <w:sz w:val="24"/>
    </w:rPr>
  </w:style>
  <w:style w:type="paragraph" w:customStyle="1" w:styleId="146">
    <w:name w:val="Char Char Char Char Char Char Char Char Char Char Char Char1 Char1"/>
    <w:basedOn w:val="12"/>
    <w:qFormat/>
    <w:uiPriority w:val="0"/>
    <w:pPr>
      <w:jc w:val="left"/>
    </w:pPr>
    <w:rPr>
      <w:rFonts w:ascii="Tahoma" w:hAnsi="Tahoma" w:cs="Arial"/>
      <w:sz w:val="24"/>
    </w:rPr>
  </w:style>
  <w:style w:type="paragraph" w:customStyle="1" w:styleId="147">
    <w:name w:val="正文－恩普"/>
    <w:basedOn w:val="10"/>
    <w:qFormat/>
    <w:uiPriority w:val="0"/>
    <w:pPr>
      <w:widowControl/>
      <w:numPr>
        <w:numId w:val="0"/>
      </w:numPr>
      <w:tabs>
        <w:tab w:val="clear" w:pos="2040"/>
      </w:tabs>
      <w:spacing w:afterLines="50" w:line="360" w:lineRule="auto"/>
      <w:ind w:firstLine="480" w:firstLineChars="200"/>
      <w:jc w:val="left"/>
    </w:pPr>
    <w:rPr>
      <w:kern w:val="0"/>
      <w:sz w:val="24"/>
    </w:rPr>
  </w:style>
  <w:style w:type="paragraph" w:customStyle="1" w:styleId="148">
    <w:name w:val="Char1 Char Char Char"/>
    <w:basedOn w:val="1"/>
    <w:qFormat/>
    <w:uiPriority w:val="0"/>
    <w:pPr>
      <w:tabs>
        <w:tab w:val="left" w:pos="840"/>
      </w:tabs>
      <w:ind w:left="840" w:hanging="420"/>
    </w:pPr>
    <w:rPr>
      <w:sz w:val="24"/>
    </w:rPr>
  </w:style>
  <w:style w:type="paragraph" w:customStyle="1" w:styleId="149">
    <w:name w:val="xl29"/>
    <w:basedOn w:val="1"/>
    <w:qFormat/>
    <w:uiPriority w:val="0"/>
    <w:pPr>
      <w:widowControl/>
      <w:spacing w:before="100" w:beforeAutospacing="1" w:after="100" w:afterAutospacing="1"/>
      <w:jc w:val="center"/>
    </w:pPr>
    <w:rPr>
      <w:rFonts w:ascii="Arial Unicode MS" w:hAnsi="Arial Unicode MS" w:eastAsia="Arial Unicode MS"/>
      <w:kern w:val="0"/>
      <w:sz w:val="24"/>
    </w:rPr>
  </w:style>
  <w:style w:type="paragraph" w:customStyle="1" w:styleId="150">
    <w:name w:val="Char3"/>
    <w:basedOn w:val="1"/>
    <w:qFormat/>
    <w:uiPriority w:val="0"/>
    <w:pPr>
      <w:ind w:firstLine="200" w:firstLineChars="200"/>
      <w:jc w:val="left"/>
    </w:pPr>
    <w:rPr>
      <w:rFonts w:ascii="幼圆" w:hAnsi="宋体" w:eastAsia="幼圆" w:cs="幼圆"/>
      <w:sz w:val="24"/>
      <w:szCs w:val="21"/>
    </w:rPr>
  </w:style>
  <w:style w:type="paragraph" w:customStyle="1" w:styleId="15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152">
    <w:name w:val="zhouzhe jianjie txt"/>
    <w:basedOn w:val="1"/>
    <w:qFormat/>
    <w:uiPriority w:val="0"/>
    <w:pPr>
      <w:spacing w:line="240" w:lineRule="exact"/>
      <w:jc w:val="left"/>
    </w:pPr>
    <w:rPr>
      <w:rFonts w:ascii="宋体" w:hAnsi="宋体" w:eastAsia="Times New Roman" w:cs="Arial"/>
      <w:sz w:val="15"/>
      <w:szCs w:val="15"/>
    </w:rPr>
  </w:style>
  <w:style w:type="paragraph" w:customStyle="1" w:styleId="153">
    <w:name w:val="样式 样式 标题 2 + 宋体 行距: 最小值 20 磅 + 段前: 0.5 行 段后: 0.5 行"/>
    <w:basedOn w:val="1"/>
    <w:qFormat/>
    <w:uiPriority w:val="0"/>
    <w:pPr>
      <w:keepNext/>
      <w:keepLines/>
      <w:tabs>
        <w:tab w:val="left" w:pos="567"/>
      </w:tabs>
      <w:spacing w:before="120" w:after="120"/>
      <w:jc w:val="center"/>
      <w:outlineLvl w:val="1"/>
    </w:pPr>
    <w:rPr>
      <w:rFonts w:eastAsia="仿宋_GB2312"/>
      <w:b/>
      <w:w w:val="80"/>
      <w:sz w:val="28"/>
      <w:szCs w:val="32"/>
    </w:rPr>
  </w:style>
  <w:style w:type="paragraph" w:customStyle="1" w:styleId="154">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eastAsia="Arial Unicode MS"/>
      <w:kern w:val="0"/>
      <w:sz w:val="24"/>
    </w:rPr>
  </w:style>
  <w:style w:type="paragraph" w:customStyle="1" w:styleId="155">
    <w:name w:val="Char2"/>
    <w:basedOn w:val="1"/>
    <w:qFormat/>
    <w:uiPriority w:val="0"/>
    <w:rPr>
      <w:rFonts w:ascii="仿宋_GB2312" w:eastAsia="仿宋_GB2312"/>
      <w:b/>
      <w:sz w:val="32"/>
      <w:szCs w:val="32"/>
    </w:rPr>
  </w:style>
  <w:style w:type="paragraph" w:customStyle="1" w:styleId="156">
    <w:name w:val="p15"/>
    <w:basedOn w:val="1"/>
    <w:qFormat/>
    <w:uiPriority w:val="0"/>
    <w:pPr>
      <w:widowControl/>
    </w:pPr>
    <w:rPr>
      <w:kern w:val="0"/>
      <w:szCs w:val="21"/>
    </w:rPr>
  </w:style>
  <w:style w:type="paragraph" w:customStyle="1" w:styleId="157">
    <w:name w:val="tgt2"/>
    <w:basedOn w:val="1"/>
    <w:qFormat/>
    <w:uiPriority w:val="0"/>
    <w:pPr>
      <w:widowControl/>
      <w:spacing w:after="150" w:line="360" w:lineRule="auto"/>
      <w:jc w:val="left"/>
    </w:pPr>
    <w:rPr>
      <w:rFonts w:ascii="宋体" w:cs="宋体"/>
      <w:b/>
      <w:bCs/>
      <w:kern w:val="0"/>
      <w:sz w:val="36"/>
      <w:szCs w:val="36"/>
    </w:rPr>
  </w:style>
  <w:style w:type="paragraph" w:customStyle="1" w:styleId="158">
    <w:name w:val="_Style 3"/>
    <w:basedOn w:val="1"/>
    <w:qFormat/>
    <w:uiPriority w:val="0"/>
    <w:pPr>
      <w:ind w:firstLine="420" w:firstLineChars="200"/>
    </w:pPr>
    <w:rPr>
      <w:rFonts w:eastAsia="仿宋_GB2312"/>
      <w:sz w:val="28"/>
    </w:rPr>
  </w:style>
  <w:style w:type="paragraph" w:customStyle="1" w:styleId="159">
    <w:name w:val="Char Char Char Char1"/>
    <w:basedOn w:val="1"/>
    <w:qFormat/>
    <w:uiPriority w:val="0"/>
    <w:pPr>
      <w:widowControl/>
      <w:spacing w:after="160" w:line="240" w:lineRule="exact"/>
      <w:jc w:val="left"/>
    </w:pPr>
    <w:rPr>
      <w:rFonts w:ascii="宋体" w:hAnsi="宋体" w:cs="Arial"/>
      <w:szCs w:val="21"/>
    </w:rPr>
  </w:style>
  <w:style w:type="paragraph" w:customStyle="1" w:styleId="160">
    <w:name w:val="纯文本11"/>
    <w:basedOn w:val="1"/>
    <w:qFormat/>
    <w:uiPriority w:val="0"/>
    <w:rPr>
      <w:rFonts w:ascii="宋体" w:hAnsi="Courier New"/>
      <w:kern w:val="0"/>
      <w:sz w:val="20"/>
      <w:szCs w:val="20"/>
    </w:rPr>
  </w:style>
  <w:style w:type="paragraph" w:customStyle="1" w:styleId="161">
    <w:name w:val="默认段落字体 Para Char Char Char Char Char Char Char Char Char1 Char Char Char Char"/>
    <w:basedOn w:val="1"/>
    <w:qFormat/>
    <w:uiPriority w:val="0"/>
    <w:rPr>
      <w:rFonts w:ascii="Tahoma" w:hAnsi="Tahoma"/>
      <w:sz w:val="24"/>
      <w:szCs w:val="20"/>
    </w:rPr>
  </w:style>
  <w:style w:type="paragraph" w:customStyle="1" w:styleId="162">
    <w:name w:val="正文缩进1"/>
    <w:basedOn w:val="1"/>
    <w:next w:val="1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163">
    <w:name w:val="table_lines"/>
    <w:basedOn w:val="1"/>
    <w:qFormat/>
    <w:uiPriority w:val="0"/>
    <w:rPr>
      <w:szCs w:val="20"/>
    </w:rPr>
  </w:style>
  <w:style w:type="character" w:customStyle="1" w:styleId="164">
    <w:name w:val="font71"/>
    <w:basedOn w:val="39"/>
    <w:qFormat/>
    <w:uiPriority w:val="0"/>
    <w:rPr>
      <w:rFonts w:hint="eastAsia" w:ascii="宋体" w:hAnsi="宋体" w:eastAsia="宋体" w:cs="宋体"/>
      <w:b/>
      <w:color w:val="000000"/>
      <w:sz w:val="20"/>
      <w:szCs w:val="20"/>
      <w:u w:val="none"/>
    </w:rPr>
  </w:style>
  <w:style w:type="character" w:customStyle="1" w:styleId="165">
    <w:name w:val="font51"/>
    <w:basedOn w:val="39"/>
    <w:qFormat/>
    <w:uiPriority w:val="0"/>
    <w:rPr>
      <w:rFonts w:ascii="HarmonyOS Sans SC" w:hAnsi="HarmonyOS Sans SC" w:eastAsia="HarmonyOS Sans SC" w:cs="HarmonyOS Sans SC"/>
      <w:color w:val="FFFFFF"/>
      <w:sz w:val="32"/>
      <w:szCs w:val="32"/>
      <w:u w:val="none"/>
    </w:rPr>
  </w:style>
  <w:style w:type="character" w:customStyle="1" w:styleId="166">
    <w:name w:val="font31"/>
    <w:basedOn w:val="39"/>
    <w:qFormat/>
    <w:uiPriority w:val="0"/>
    <w:rPr>
      <w:rFonts w:hint="eastAsia" w:ascii="宋体" w:hAnsi="宋体" w:eastAsia="宋体" w:cs="宋体"/>
      <w:color w:val="FFFFFF"/>
      <w:sz w:val="32"/>
      <w:szCs w:val="32"/>
      <w:u w:val="none"/>
    </w:rPr>
  </w:style>
  <w:style w:type="paragraph" w:customStyle="1" w:styleId="167">
    <w:name w:val="UserStyle_16"/>
    <w:basedOn w:val="168"/>
    <w:qFormat/>
    <w:uiPriority w:val="99"/>
    <w:pPr>
      <w:ind w:firstLine="420"/>
    </w:pPr>
    <w:rPr>
      <w:sz w:val="21"/>
    </w:rPr>
  </w:style>
  <w:style w:type="paragraph" w:customStyle="1" w:styleId="168">
    <w:name w:val="UserStyle_17"/>
    <w:basedOn w:val="1"/>
    <w:qFormat/>
    <w:uiPriority w:val="99"/>
    <w:pPr>
      <w:spacing w:line="360" w:lineRule="auto"/>
      <w:ind w:firstLine="490"/>
      <w:jc w:val="left"/>
    </w:pPr>
    <w:rPr>
      <w:sz w:val="24"/>
    </w:rPr>
  </w:style>
  <w:style w:type="paragraph" w:customStyle="1" w:styleId="169">
    <w:name w:val="Table Text"/>
    <w:basedOn w:val="1"/>
    <w:qFormat/>
    <w:uiPriority w:val="0"/>
    <w:pPr>
      <w:widowControl/>
      <w:spacing w:before="60" w:after="6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emf"/><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San-Elepow CON.</Company>
  <Pages>95</Pages>
  <Words>24464</Words>
  <Characters>26653</Characters>
  <Lines>379</Lines>
  <Paragraphs>106</Paragraphs>
  <TotalTime>0</TotalTime>
  <ScaleCrop>false</ScaleCrop>
  <LinksUpToDate>false</LinksUpToDate>
  <CharactersWithSpaces>26743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2024-12-13T17:38:00Z</dcterms:created>
  <dc:creator>yan</dc:creator>
  <cp:lastModifiedBy>tender203</cp:lastModifiedBy>
  <cp:lastPrinted>2024-01-10T23:36:00Z</cp:lastPrinted>
  <dcterms:modified xsi:type="dcterms:W3CDTF">2025-07-07T08:43:36Z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06E05AC53B244CDCAFA6C736016F731D_13</vt:lpwstr>
  </property>
  <property fmtid="{D5CDD505-2E9C-101B-9397-08002B2CF9AE}" pid="4" name="KSOTemplateDocerSaveRecord">
    <vt:lpwstr>eyJoZGlkIjoiOWM4NmQyMDRjODM1NTlhZGYwYWI1YmUxYzVkYjM2ODgifQ==</vt:lpwstr>
  </property>
</Properties>
</file>