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sz w:val="32"/>
          <w:szCs w:val="32"/>
        </w:rPr>
      </w:pPr>
      <w:r>
        <w:rPr>
          <w:sz w:val="32"/>
          <w:szCs w:val="32"/>
        </w:rPr>
        <w:t xml:space="preserve"> </w:t>
      </w:r>
    </w:p>
    <w:p>
      <w:pPr>
        <w:wordWrap w:val="0"/>
        <w:spacing w:before="156" w:beforeLines="50"/>
        <w:jc w:val="right"/>
        <w:rPr>
          <w:rFonts w:ascii="宋体" w:hAnsi="宋体"/>
          <w:sz w:val="30"/>
          <w:szCs w:val="30"/>
        </w:rPr>
      </w:pPr>
      <w:r>
        <w:rPr>
          <w:rFonts w:ascii="仿宋_GB2312" w:eastAsia="仿宋_GB2312"/>
          <w:b/>
          <w:bCs/>
          <w:spacing w:val="-20"/>
          <w:kern w:val="0"/>
          <w:sz w:val="48"/>
          <w:szCs w:val="48"/>
          <w:u w:val="single"/>
        </w:rPr>
        <w:drawing>
          <wp:anchor distT="0" distB="0" distL="114300" distR="114300" simplePos="0" relativeHeight="251660288" behindDoc="0" locked="0" layoutInCell="1" allowOverlap="1">
            <wp:simplePos x="0" y="0"/>
            <wp:positionH relativeFrom="column">
              <wp:posOffset>-71120</wp:posOffset>
            </wp:positionH>
            <wp:positionV relativeFrom="paragraph">
              <wp:posOffset>160020</wp:posOffset>
            </wp:positionV>
            <wp:extent cx="1537335" cy="989965"/>
            <wp:effectExtent l="0" t="0" r="1905" b="635"/>
            <wp:wrapSquare wrapText="bothSides"/>
            <wp:docPr id="2" name="图片 1" descr="C:\Users\DELL\AppData\Local\Temp\WeChat Files\eac2354c04163b3af708a5e41b81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DELL\AppData\Local\Temp\WeChat Files\eac2354c04163b3af708a5e41b81978.png"/>
                    <pic:cNvPicPr>
                      <a:picLocks noChangeAspect="1"/>
                    </pic:cNvPicPr>
                  </pic:nvPicPr>
                  <pic:blipFill>
                    <a:blip r:embed="rId11"/>
                    <a:stretch>
                      <a:fillRect/>
                    </a:stretch>
                  </pic:blipFill>
                  <pic:spPr>
                    <a:xfrm>
                      <a:off x="0" y="0"/>
                      <a:ext cx="1537335" cy="989965"/>
                    </a:xfrm>
                    <a:prstGeom prst="rect">
                      <a:avLst/>
                    </a:prstGeom>
                    <a:noFill/>
                    <a:ln>
                      <a:noFill/>
                    </a:ln>
                  </pic:spPr>
                </pic:pic>
              </a:graphicData>
            </a:graphic>
          </wp:anchor>
        </w:drawing>
      </w:r>
      <w:r>
        <w:rPr>
          <w:rFonts w:hint="eastAsia" w:ascii="宋体" w:hAnsi="宋体"/>
          <w:b/>
          <w:sz w:val="30"/>
          <w:szCs w:val="30"/>
        </w:rPr>
        <w:t xml:space="preserve"> </w:t>
      </w:r>
    </w:p>
    <w:p>
      <w:pPr>
        <w:spacing w:before="156" w:beforeLines="50"/>
        <w:jc w:val="right"/>
        <w:rPr>
          <w:rFonts w:ascii="宋体" w:hAnsi="宋体"/>
          <w:sz w:val="30"/>
          <w:szCs w:val="30"/>
        </w:rPr>
      </w:pPr>
    </w:p>
    <w:p>
      <w:pPr>
        <w:widowControl/>
        <w:spacing w:before="120" w:after="120" w:line="440" w:lineRule="exact"/>
        <w:jc w:val="center"/>
        <w:rPr>
          <w:rFonts w:ascii="仿宋" w:hAnsi="仿宋" w:eastAsia="仿宋"/>
          <w:sz w:val="28"/>
          <w:szCs w:val="28"/>
        </w:rPr>
      </w:pPr>
    </w:p>
    <w:p>
      <w:pPr>
        <w:widowControl/>
        <w:spacing w:before="120" w:after="120" w:line="440" w:lineRule="exact"/>
        <w:jc w:val="center"/>
        <w:rPr>
          <w:rFonts w:ascii="仿宋" w:hAnsi="仿宋" w:eastAsia="仿宋"/>
          <w:sz w:val="28"/>
          <w:szCs w:val="28"/>
        </w:rPr>
      </w:pPr>
      <w:r>
        <w:rPr>
          <w:rFonts w:hint="eastAsia"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sz w:val="72"/>
          <w:szCs w:val="72"/>
        </w:rPr>
      </w:pPr>
      <w:r>
        <w:rPr>
          <w:rFonts w:hint="eastAsia" w:ascii="宋体" w:hAnsi="宋体"/>
          <w:b/>
          <w:sz w:val="72"/>
          <w:szCs w:val="72"/>
        </w:rPr>
        <w:t>政府采购项目</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sz w:val="72"/>
        </w:rPr>
      </w:pPr>
      <w:r>
        <w:rPr>
          <w:rFonts w:hint="eastAsia" w:ascii="宋体" w:hAnsi="宋体"/>
          <w:b/>
          <w:sz w:val="72"/>
        </w:rPr>
        <w:t>公开招标采购文件</w:t>
      </w:r>
    </w:p>
    <w:p>
      <w:pPr>
        <w:pStyle w:val="2"/>
        <w:rPr>
          <w:rFonts w:ascii="仿宋" w:hAnsi="仿宋" w:eastAsia="仿宋"/>
          <w:sz w:val="72"/>
          <w:szCs w:val="72"/>
        </w:rPr>
      </w:pPr>
    </w:p>
    <w:p>
      <w:pPr>
        <w:pStyle w:val="58"/>
      </w:pPr>
    </w:p>
    <w:p>
      <w:pPr>
        <w:pStyle w:val="58"/>
      </w:pPr>
    </w:p>
    <w:p>
      <w:pPr>
        <w:widowControl/>
        <w:spacing w:before="120" w:after="120" w:line="440" w:lineRule="exact"/>
        <w:rPr>
          <w:rFonts w:hint="default" w:asciiTheme="minorEastAsia" w:hAnsiTheme="minorEastAsia" w:eastAsiaTheme="minorEastAsia"/>
          <w:sz w:val="32"/>
          <w:szCs w:val="28"/>
          <w:lang w:val="en-US" w:eastAsia="zh-CN"/>
        </w:rPr>
      </w:pPr>
      <w:r>
        <w:rPr>
          <w:rFonts w:hint="eastAsia" w:asciiTheme="minorEastAsia" w:hAnsiTheme="minorEastAsia" w:eastAsiaTheme="minorEastAsia"/>
          <w:sz w:val="32"/>
          <w:szCs w:val="28"/>
        </w:rPr>
        <w:t>项目编号：HX-202</w:t>
      </w:r>
      <w:r>
        <w:rPr>
          <w:rFonts w:hint="eastAsia" w:asciiTheme="minorEastAsia" w:hAnsiTheme="minorEastAsia" w:eastAsiaTheme="minorEastAsia"/>
          <w:sz w:val="32"/>
          <w:szCs w:val="28"/>
          <w:lang w:val="en-US" w:eastAsia="zh-CN"/>
        </w:rPr>
        <w:t>4</w:t>
      </w:r>
      <w:r>
        <w:rPr>
          <w:rFonts w:hint="eastAsia" w:asciiTheme="minorEastAsia" w:hAnsiTheme="minorEastAsia" w:eastAsiaTheme="minorEastAsia"/>
          <w:sz w:val="32"/>
          <w:szCs w:val="28"/>
        </w:rPr>
        <w:t>-1</w:t>
      </w:r>
      <w:r>
        <w:rPr>
          <w:rFonts w:hint="eastAsia" w:asciiTheme="minorEastAsia" w:hAnsiTheme="minorEastAsia" w:eastAsiaTheme="minorEastAsia"/>
          <w:sz w:val="32"/>
          <w:szCs w:val="28"/>
          <w:lang w:val="en-US" w:eastAsia="zh-CN"/>
        </w:rPr>
        <w:t>006</w:t>
      </w:r>
    </w:p>
    <w:p>
      <w:pPr>
        <w:widowControl/>
        <w:spacing w:before="120" w:after="120" w:line="440" w:lineRule="exact"/>
        <w:rPr>
          <w:rFonts w:asciiTheme="minorEastAsia" w:hAnsiTheme="minorEastAsia" w:eastAsiaTheme="minorEastAsia"/>
          <w:sz w:val="32"/>
          <w:szCs w:val="28"/>
        </w:rPr>
      </w:pPr>
      <w:r>
        <w:rPr>
          <w:rFonts w:hint="eastAsia" w:asciiTheme="minorEastAsia" w:hAnsiTheme="minorEastAsia" w:eastAsiaTheme="minorEastAsia"/>
          <w:sz w:val="32"/>
          <w:szCs w:val="28"/>
        </w:rPr>
        <w:t>项目名称：</w:t>
      </w:r>
      <w:r>
        <w:rPr>
          <w:rFonts w:hint="eastAsia" w:asciiTheme="minorEastAsia" w:hAnsiTheme="minorEastAsia" w:eastAsiaTheme="minorEastAsia"/>
          <w:spacing w:val="-11"/>
          <w:sz w:val="32"/>
          <w:szCs w:val="28"/>
        </w:rPr>
        <w:t>宁波市海洋与渔业执法队执法船艇202</w:t>
      </w:r>
      <w:r>
        <w:rPr>
          <w:rFonts w:hint="eastAsia" w:asciiTheme="minorEastAsia" w:hAnsiTheme="minorEastAsia" w:eastAsiaTheme="minorEastAsia"/>
          <w:spacing w:val="-11"/>
          <w:sz w:val="32"/>
          <w:szCs w:val="28"/>
          <w:lang w:val="en-US" w:eastAsia="zh-CN"/>
        </w:rPr>
        <w:t>4</w:t>
      </w:r>
      <w:r>
        <w:rPr>
          <w:rFonts w:hint="eastAsia" w:asciiTheme="minorEastAsia" w:hAnsiTheme="minorEastAsia" w:eastAsiaTheme="minorEastAsia"/>
          <w:spacing w:val="-11"/>
          <w:sz w:val="32"/>
          <w:szCs w:val="28"/>
        </w:rPr>
        <w:t>年柴油采购项目</w:t>
      </w:r>
    </w:p>
    <w:p>
      <w:pPr>
        <w:widowControl/>
        <w:spacing w:before="120" w:after="120" w:line="440" w:lineRule="exact"/>
        <w:rPr>
          <w:rFonts w:asciiTheme="minorEastAsia" w:hAnsiTheme="minorEastAsia" w:eastAsiaTheme="minorEastAsia"/>
          <w:sz w:val="32"/>
          <w:szCs w:val="28"/>
        </w:rPr>
      </w:pPr>
    </w:p>
    <w:p>
      <w:pPr>
        <w:pStyle w:val="46"/>
        <w:rPr>
          <w:rFonts w:asciiTheme="minorEastAsia" w:hAnsiTheme="minorEastAsia" w:eastAsiaTheme="minorEastAsia"/>
          <w:kern w:val="2"/>
          <w:sz w:val="32"/>
          <w:szCs w:val="28"/>
        </w:rPr>
      </w:pPr>
    </w:p>
    <w:p>
      <w:pPr>
        <w:widowControl/>
        <w:spacing w:before="120" w:after="120" w:line="440" w:lineRule="exact"/>
        <w:rPr>
          <w:rFonts w:asciiTheme="minorEastAsia" w:hAnsiTheme="minorEastAsia" w:eastAsiaTheme="minorEastAsia"/>
          <w:sz w:val="32"/>
          <w:szCs w:val="28"/>
        </w:rPr>
      </w:pPr>
      <w:r>
        <w:rPr>
          <w:rFonts w:hint="eastAsia" w:asciiTheme="minorEastAsia" w:hAnsiTheme="minorEastAsia" w:eastAsiaTheme="minorEastAsia"/>
          <w:sz w:val="32"/>
          <w:szCs w:val="28"/>
        </w:rPr>
        <w:t>采购单位：宁波市海洋与渔业执法队</w:t>
      </w:r>
    </w:p>
    <w:p>
      <w:pPr>
        <w:widowControl/>
        <w:spacing w:before="120" w:after="120" w:line="440" w:lineRule="exact"/>
        <w:rPr>
          <w:rFonts w:asciiTheme="minorEastAsia" w:hAnsiTheme="minorEastAsia" w:eastAsiaTheme="minorEastAsia"/>
          <w:sz w:val="32"/>
          <w:szCs w:val="28"/>
        </w:rPr>
      </w:pPr>
      <w:r>
        <w:rPr>
          <w:rFonts w:hint="eastAsia" w:asciiTheme="minorEastAsia" w:hAnsiTheme="minorEastAsia" w:eastAsiaTheme="minorEastAsia"/>
          <w:sz w:val="32"/>
          <w:szCs w:val="28"/>
        </w:rPr>
        <w:t>招标代理机构：宁波华欣建设项目管理有限公司</w:t>
      </w:r>
    </w:p>
    <w:p>
      <w:pPr>
        <w:widowControl/>
        <w:spacing w:before="120" w:after="120" w:line="440" w:lineRule="exact"/>
        <w:jc w:val="center"/>
        <w:rPr>
          <w:rFonts w:asciiTheme="minorEastAsia" w:hAnsiTheme="minorEastAsia" w:eastAsiaTheme="minorEastAsia"/>
          <w:sz w:val="30"/>
          <w:szCs w:val="30"/>
        </w:rPr>
      </w:pPr>
    </w:p>
    <w:p>
      <w:pPr>
        <w:widowControl/>
        <w:spacing w:before="120" w:after="120" w:line="440" w:lineRule="exact"/>
        <w:jc w:val="center"/>
        <w:rPr>
          <w:rFonts w:asciiTheme="minorEastAsia" w:hAnsiTheme="minorEastAsia" w:eastAsiaTheme="minorEastAsia"/>
          <w:sz w:val="30"/>
          <w:szCs w:val="30"/>
        </w:rPr>
      </w:pPr>
    </w:p>
    <w:p>
      <w:pPr>
        <w:pStyle w:val="25"/>
        <w:snapToGrid w:val="0"/>
        <w:spacing w:line="360" w:lineRule="auto"/>
        <w:jc w:val="center"/>
        <w:rPr>
          <w:rFonts w:asciiTheme="minorEastAsia" w:hAnsiTheme="minorEastAsia"/>
          <w:b/>
          <w:bCs/>
          <w:w w:val="95"/>
          <w:sz w:val="30"/>
          <w:szCs w:val="30"/>
        </w:rPr>
      </w:pPr>
      <w:r>
        <w:rPr>
          <w:rFonts w:hint="eastAsia" w:asciiTheme="minorEastAsia" w:hAnsiTheme="minorEastAsia"/>
          <w:sz w:val="30"/>
          <w:szCs w:val="30"/>
        </w:rPr>
        <w:t>202</w:t>
      </w:r>
      <w:r>
        <w:rPr>
          <w:rFonts w:hint="eastAsia" w:asciiTheme="minorEastAsia" w:hAnsiTheme="minorEastAsia"/>
          <w:sz w:val="30"/>
          <w:szCs w:val="30"/>
          <w:lang w:val="en-US" w:eastAsia="zh-CN"/>
        </w:rPr>
        <w:t>4</w:t>
      </w:r>
      <w:r>
        <w:rPr>
          <w:rFonts w:hint="eastAsia" w:asciiTheme="minorEastAsia" w:hAnsiTheme="minorEastAsia"/>
          <w:sz w:val="30"/>
          <w:szCs w:val="30"/>
        </w:rPr>
        <w:t>年</w:t>
      </w:r>
      <w:r>
        <w:rPr>
          <w:rFonts w:hint="eastAsia" w:asciiTheme="minorEastAsia" w:hAnsiTheme="minorEastAsia"/>
          <w:sz w:val="30"/>
          <w:szCs w:val="30"/>
          <w:lang w:val="en-US" w:eastAsia="zh-CN"/>
        </w:rPr>
        <w:t>2</w:t>
      </w:r>
      <w:r>
        <w:rPr>
          <w:rFonts w:hint="eastAsia" w:asciiTheme="minorEastAsia" w:hAnsiTheme="minorEastAsia"/>
          <w:sz w:val="30"/>
          <w:szCs w:val="30"/>
        </w:rPr>
        <w:t>月</w:t>
      </w:r>
    </w:p>
    <w:p>
      <w:pPr>
        <w:spacing w:before="120" w:beforeLines="50"/>
        <w:rPr>
          <w:b/>
          <w:sz w:val="52"/>
          <w:szCs w:val="52"/>
        </w:rPr>
      </w:pPr>
    </w:p>
    <w:p>
      <w:pPr>
        <w:spacing w:before="120" w:beforeLines="50"/>
        <w:rPr>
          <w:b/>
          <w:sz w:val="52"/>
          <w:szCs w:val="52"/>
        </w:rPr>
      </w:pPr>
    </w:p>
    <w:p>
      <w:pPr>
        <w:jc w:val="center"/>
        <w:rPr>
          <w:sz w:val="40"/>
          <w:szCs w:val="40"/>
        </w:rPr>
        <w:sectPr>
          <w:headerReference r:id="rId3" w:type="default"/>
          <w:pgSz w:w="11907" w:h="16840"/>
          <w:pgMar w:top="1276" w:right="1474" w:bottom="0" w:left="1474" w:header="720" w:footer="720" w:gutter="0"/>
          <w:cols w:space="720" w:num="1"/>
          <w:docGrid w:linePitch="285" w:charSpace="0"/>
        </w:sectPr>
      </w:pPr>
    </w:p>
    <w:p>
      <w:pPr>
        <w:jc w:val="center"/>
        <w:rPr>
          <w:sz w:val="32"/>
          <w:szCs w:val="32"/>
        </w:rPr>
      </w:pPr>
      <w:r>
        <w:rPr>
          <w:sz w:val="32"/>
          <w:szCs w:val="32"/>
        </w:rPr>
        <w:t>目  录</w:t>
      </w:r>
    </w:p>
    <w:p>
      <w:pPr>
        <w:pStyle w:val="34"/>
        <w:tabs>
          <w:tab w:val="right" w:leader="dot" w:pos="8959"/>
        </w:tabs>
      </w:pPr>
      <w:r>
        <w:rPr>
          <w:sz w:val="30"/>
          <w:szCs w:val="30"/>
        </w:rPr>
        <w:fldChar w:fldCharType="begin"/>
      </w:r>
      <w:r>
        <w:rPr>
          <w:sz w:val="30"/>
          <w:szCs w:val="30"/>
        </w:rPr>
        <w:instrText xml:space="preserve"> TOC \o "1-3" \h \z \u </w:instrText>
      </w:r>
      <w:r>
        <w:rPr>
          <w:sz w:val="30"/>
          <w:szCs w:val="30"/>
        </w:rPr>
        <w:fldChar w:fldCharType="separate"/>
      </w:r>
      <w:r>
        <w:rPr>
          <w:szCs w:val="30"/>
        </w:rPr>
        <w:fldChar w:fldCharType="begin"/>
      </w:r>
      <w:r>
        <w:rPr>
          <w:szCs w:val="30"/>
        </w:rPr>
        <w:instrText xml:space="preserve"> HYPERLINK \l _Toc147 </w:instrText>
      </w:r>
      <w:r>
        <w:rPr>
          <w:szCs w:val="30"/>
        </w:rPr>
        <w:fldChar w:fldCharType="separate"/>
      </w:r>
      <w:r>
        <w:t>第一章  公开招标采购公告</w:t>
      </w:r>
      <w:r>
        <w:tab/>
      </w:r>
      <w:r>
        <w:fldChar w:fldCharType="begin"/>
      </w:r>
      <w:r>
        <w:instrText xml:space="preserve"> PAGEREF _Toc147 \h </w:instrText>
      </w:r>
      <w:r>
        <w:fldChar w:fldCharType="separate"/>
      </w:r>
      <w:r>
        <w:t>1</w:t>
      </w:r>
      <w:r>
        <w:fldChar w:fldCharType="end"/>
      </w:r>
      <w:r>
        <w:rPr>
          <w:szCs w:val="30"/>
        </w:rPr>
        <w:fldChar w:fldCharType="end"/>
      </w:r>
    </w:p>
    <w:p>
      <w:pPr>
        <w:pStyle w:val="34"/>
        <w:tabs>
          <w:tab w:val="right" w:leader="dot" w:pos="8959"/>
        </w:tabs>
      </w:pPr>
      <w:r>
        <w:rPr>
          <w:szCs w:val="30"/>
        </w:rPr>
        <w:fldChar w:fldCharType="begin"/>
      </w:r>
      <w:r>
        <w:rPr>
          <w:szCs w:val="30"/>
        </w:rPr>
        <w:instrText xml:space="preserve"> HYPERLINK \l _Toc19738 </w:instrText>
      </w:r>
      <w:r>
        <w:rPr>
          <w:szCs w:val="30"/>
        </w:rPr>
        <w:fldChar w:fldCharType="separate"/>
      </w:r>
      <w:r>
        <w:t>第二章  采购需求</w:t>
      </w:r>
      <w:r>
        <w:tab/>
      </w:r>
      <w:r>
        <w:fldChar w:fldCharType="begin"/>
      </w:r>
      <w:r>
        <w:instrText xml:space="preserve"> PAGEREF _Toc19738 \h </w:instrText>
      </w:r>
      <w:r>
        <w:fldChar w:fldCharType="separate"/>
      </w:r>
      <w:r>
        <w:t>5</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_Toc16224 </w:instrText>
      </w:r>
      <w:r>
        <w:rPr>
          <w:szCs w:val="30"/>
        </w:rPr>
        <w:fldChar w:fldCharType="separate"/>
      </w:r>
      <w:r>
        <w:rPr>
          <w:rFonts w:ascii="Times New Roman" w:hAnsi="Times New Roman" w:eastAsia="宋体"/>
          <w:szCs w:val="21"/>
        </w:rPr>
        <w:t>前附表</w:t>
      </w:r>
      <w:r>
        <w:tab/>
      </w:r>
      <w:r>
        <w:fldChar w:fldCharType="begin"/>
      </w:r>
      <w:r>
        <w:instrText xml:space="preserve"> PAGEREF _Toc16224 \h </w:instrText>
      </w:r>
      <w:r>
        <w:fldChar w:fldCharType="separate"/>
      </w:r>
      <w:r>
        <w:t>5</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_Toc31407 </w:instrText>
      </w:r>
      <w:r>
        <w:rPr>
          <w:szCs w:val="30"/>
        </w:rPr>
        <w:fldChar w:fldCharType="separate"/>
      </w:r>
      <w:r>
        <w:rPr>
          <w:rFonts w:ascii="Times New Roman" w:hAnsi="Times New Roman" w:eastAsia="宋体"/>
          <w:szCs w:val="28"/>
        </w:rPr>
        <w:t>A、商务需求</w:t>
      </w:r>
      <w:r>
        <w:tab/>
      </w:r>
      <w:r>
        <w:fldChar w:fldCharType="begin"/>
      </w:r>
      <w:r>
        <w:instrText xml:space="preserve"> PAGEREF _Toc31407 \h </w:instrText>
      </w:r>
      <w:r>
        <w:fldChar w:fldCharType="separate"/>
      </w:r>
      <w:r>
        <w:t>6</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_Toc1362 </w:instrText>
      </w:r>
      <w:r>
        <w:rPr>
          <w:szCs w:val="30"/>
        </w:rPr>
        <w:fldChar w:fldCharType="separate"/>
      </w:r>
      <w:r>
        <w:rPr>
          <w:rFonts w:ascii="Times New Roman" w:hAnsi="Times New Roman" w:eastAsia="宋体"/>
          <w:szCs w:val="28"/>
        </w:rPr>
        <w:t>B、</w:t>
      </w:r>
      <w:r>
        <w:rPr>
          <w:rFonts w:hint="eastAsia" w:ascii="Times New Roman" w:hAnsi="Times New Roman" w:eastAsia="宋体"/>
          <w:szCs w:val="28"/>
          <w:lang w:val="en-US" w:eastAsia="zh-CN"/>
        </w:rPr>
        <w:t>采购</w:t>
      </w:r>
      <w:r>
        <w:rPr>
          <w:rFonts w:ascii="Times New Roman" w:hAnsi="Times New Roman" w:eastAsia="宋体"/>
          <w:szCs w:val="28"/>
        </w:rPr>
        <w:t>需求</w:t>
      </w:r>
      <w:r>
        <w:tab/>
      </w:r>
      <w:r>
        <w:fldChar w:fldCharType="begin"/>
      </w:r>
      <w:r>
        <w:instrText xml:space="preserve"> PAGEREF _Toc1362 \h </w:instrText>
      </w:r>
      <w:r>
        <w:fldChar w:fldCharType="separate"/>
      </w:r>
      <w:r>
        <w:t>7</w:t>
      </w:r>
      <w:r>
        <w:fldChar w:fldCharType="end"/>
      </w:r>
      <w:r>
        <w:rPr>
          <w:szCs w:val="30"/>
        </w:rPr>
        <w:fldChar w:fldCharType="end"/>
      </w:r>
    </w:p>
    <w:p>
      <w:pPr>
        <w:pStyle w:val="34"/>
        <w:tabs>
          <w:tab w:val="right" w:leader="dot" w:pos="8959"/>
        </w:tabs>
      </w:pPr>
      <w:r>
        <w:rPr>
          <w:szCs w:val="30"/>
        </w:rPr>
        <w:fldChar w:fldCharType="begin"/>
      </w:r>
      <w:r>
        <w:rPr>
          <w:szCs w:val="30"/>
        </w:rPr>
        <w:instrText xml:space="preserve"> HYPERLINK \l _Toc5864 </w:instrText>
      </w:r>
      <w:r>
        <w:rPr>
          <w:szCs w:val="30"/>
        </w:rPr>
        <w:fldChar w:fldCharType="separate"/>
      </w:r>
      <w:r>
        <w:rPr>
          <w:szCs w:val="30"/>
        </w:rPr>
        <w:t>第三章  投标人须知</w:t>
      </w:r>
      <w:r>
        <w:tab/>
      </w:r>
      <w:r>
        <w:fldChar w:fldCharType="begin"/>
      </w:r>
      <w:r>
        <w:instrText xml:space="preserve"> PAGEREF _Toc5864 \h </w:instrText>
      </w:r>
      <w:r>
        <w:fldChar w:fldCharType="separate"/>
      </w:r>
      <w:r>
        <w:t>9</w:t>
      </w:r>
      <w:r>
        <w:fldChar w:fldCharType="end"/>
      </w:r>
      <w:r>
        <w:rPr>
          <w:szCs w:val="30"/>
        </w:rPr>
        <w:fldChar w:fldCharType="end"/>
      </w:r>
    </w:p>
    <w:p>
      <w:pPr>
        <w:pStyle w:val="34"/>
        <w:tabs>
          <w:tab w:val="right" w:leader="dot" w:pos="8959"/>
        </w:tabs>
      </w:pPr>
      <w:r>
        <w:rPr>
          <w:szCs w:val="30"/>
        </w:rPr>
        <w:fldChar w:fldCharType="begin"/>
      </w:r>
      <w:r>
        <w:rPr>
          <w:szCs w:val="30"/>
        </w:rPr>
        <w:instrText xml:space="preserve"> HYPERLINK \l _Toc22550 </w:instrText>
      </w:r>
      <w:r>
        <w:rPr>
          <w:szCs w:val="30"/>
        </w:rPr>
        <w:fldChar w:fldCharType="separate"/>
      </w:r>
      <w:r>
        <w:rPr>
          <w:szCs w:val="21"/>
        </w:rPr>
        <w:t>一、总  则</w:t>
      </w:r>
      <w:r>
        <w:tab/>
      </w:r>
      <w:r>
        <w:fldChar w:fldCharType="begin"/>
      </w:r>
      <w:r>
        <w:instrText xml:space="preserve"> PAGEREF _Toc22550 \h </w:instrText>
      </w:r>
      <w:r>
        <w:fldChar w:fldCharType="separate"/>
      </w:r>
      <w:r>
        <w:t>11</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_Toc21354 </w:instrText>
      </w:r>
      <w:r>
        <w:rPr>
          <w:szCs w:val="30"/>
        </w:rPr>
        <w:fldChar w:fldCharType="separate"/>
      </w:r>
      <w:r>
        <w:rPr>
          <w:kern w:val="2"/>
          <w:szCs w:val="21"/>
        </w:rPr>
        <w:t>（一）适用范围</w:t>
      </w:r>
      <w:r>
        <w:tab/>
      </w:r>
      <w:r>
        <w:fldChar w:fldCharType="begin"/>
      </w:r>
      <w:r>
        <w:instrText xml:space="preserve"> PAGEREF _Toc21354 \h </w:instrText>
      </w:r>
      <w:r>
        <w:fldChar w:fldCharType="separate"/>
      </w:r>
      <w:r>
        <w:t>11</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_Toc706 </w:instrText>
      </w:r>
      <w:r>
        <w:rPr>
          <w:szCs w:val="30"/>
        </w:rPr>
        <w:fldChar w:fldCharType="separate"/>
      </w:r>
      <w:r>
        <w:rPr>
          <w:kern w:val="2"/>
          <w:szCs w:val="21"/>
        </w:rPr>
        <w:t>（二）定义</w:t>
      </w:r>
      <w:r>
        <w:tab/>
      </w:r>
      <w:r>
        <w:fldChar w:fldCharType="begin"/>
      </w:r>
      <w:r>
        <w:instrText xml:space="preserve"> PAGEREF _Toc706 \h </w:instrText>
      </w:r>
      <w:r>
        <w:fldChar w:fldCharType="separate"/>
      </w:r>
      <w:r>
        <w:t>11</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_Toc14062 </w:instrText>
      </w:r>
      <w:r>
        <w:rPr>
          <w:szCs w:val="30"/>
        </w:rPr>
        <w:fldChar w:fldCharType="separate"/>
      </w:r>
      <w:r>
        <w:rPr>
          <w:kern w:val="2"/>
          <w:szCs w:val="21"/>
        </w:rPr>
        <w:t>（三）采购方式</w:t>
      </w:r>
      <w:r>
        <w:tab/>
      </w:r>
      <w:r>
        <w:fldChar w:fldCharType="begin"/>
      </w:r>
      <w:r>
        <w:instrText xml:space="preserve"> PAGEREF _Toc14062 \h </w:instrText>
      </w:r>
      <w:r>
        <w:fldChar w:fldCharType="separate"/>
      </w:r>
      <w:r>
        <w:t>11</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_Toc8510 </w:instrText>
      </w:r>
      <w:r>
        <w:rPr>
          <w:szCs w:val="30"/>
        </w:rPr>
        <w:fldChar w:fldCharType="separate"/>
      </w:r>
      <w:r>
        <w:rPr>
          <w:kern w:val="2"/>
          <w:szCs w:val="21"/>
        </w:rPr>
        <w:t>（四）投标委托</w:t>
      </w:r>
      <w:r>
        <w:tab/>
      </w:r>
      <w:r>
        <w:fldChar w:fldCharType="begin"/>
      </w:r>
      <w:r>
        <w:instrText xml:space="preserve"> PAGEREF _Toc8510 \h </w:instrText>
      </w:r>
      <w:r>
        <w:fldChar w:fldCharType="separate"/>
      </w:r>
      <w:r>
        <w:t>11</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_Toc9607 </w:instrText>
      </w:r>
      <w:r>
        <w:rPr>
          <w:szCs w:val="30"/>
        </w:rPr>
        <w:fldChar w:fldCharType="separate"/>
      </w:r>
      <w:r>
        <w:rPr>
          <w:kern w:val="2"/>
          <w:szCs w:val="21"/>
        </w:rPr>
        <w:t>（五）投标费用</w:t>
      </w:r>
      <w:r>
        <w:tab/>
      </w:r>
      <w:r>
        <w:fldChar w:fldCharType="begin"/>
      </w:r>
      <w:r>
        <w:instrText xml:space="preserve"> PAGEREF _Toc9607 \h </w:instrText>
      </w:r>
      <w:r>
        <w:fldChar w:fldCharType="separate"/>
      </w:r>
      <w:r>
        <w:t>11</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_Toc2031 </w:instrText>
      </w:r>
      <w:r>
        <w:rPr>
          <w:szCs w:val="30"/>
        </w:rPr>
        <w:fldChar w:fldCharType="separate"/>
      </w:r>
      <w:r>
        <w:rPr>
          <w:kern w:val="2"/>
          <w:szCs w:val="21"/>
        </w:rPr>
        <w:t>（六）联合体投标</w:t>
      </w:r>
      <w:r>
        <w:tab/>
      </w:r>
      <w:r>
        <w:fldChar w:fldCharType="begin"/>
      </w:r>
      <w:r>
        <w:instrText xml:space="preserve"> PAGEREF _Toc2031 \h </w:instrText>
      </w:r>
      <w:r>
        <w:fldChar w:fldCharType="separate"/>
      </w:r>
      <w:r>
        <w:t>11</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_Toc10267 </w:instrText>
      </w:r>
      <w:r>
        <w:rPr>
          <w:szCs w:val="30"/>
        </w:rPr>
        <w:fldChar w:fldCharType="separate"/>
      </w:r>
      <w:r>
        <w:rPr>
          <w:kern w:val="2"/>
          <w:szCs w:val="21"/>
        </w:rPr>
        <w:t>（七）转包与分包</w:t>
      </w:r>
      <w:r>
        <w:tab/>
      </w:r>
      <w:r>
        <w:fldChar w:fldCharType="begin"/>
      </w:r>
      <w:r>
        <w:instrText xml:space="preserve"> PAGEREF _Toc10267 \h </w:instrText>
      </w:r>
      <w:r>
        <w:fldChar w:fldCharType="separate"/>
      </w:r>
      <w:r>
        <w:t>11</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_Toc29144 </w:instrText>
      </w:r>
      <w:r>
        <w:rPr>
          <w:szCs w:val="30"/>
        </w:rPr>
        <w:fldChar w:fldCharType="separate"/>
      </w:r>
      <w:r>
        <w:rPr>
          <w:kern w:val="2"/>
          <w:szCs w:val="21"/>
        </w:rPr>
        <w:t>（八）特别说明</w:t>
      </w:r>
      <w:r>
        <w:tab/>
      </w:r>
      <w:r>
        <w:fldChar w:fldCharType="begin"/>
      </w:r>
      <w:r>
        <w:instrText xml:space="preserve"> PAGEREF _Toc29144 \h </w:instrText>
      </w:r>
      <w:r>
        <w:fldChar w:fldCharType="separate"/>
      </w:r>
      <w:r>
        <w:t>11</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_Toc21651 </w:instrText>
      </w:r>
      <w:r>
        <w:rPr>
          <w:szCs w:val="30"/>
        </w:rPr>
        <w:fldChar w:fldCharType="separate"/>
      </w:r>
      <w:r>
        <w:rPr>
          <w:kern w:val="2"/>
          <w:szCs w:val="21"/>
        </w:rPr>
        <w:t>（九）关于分公司投标</w:t>
      </w:r>
      <w:r>
        <w:tab/>
      </w:r>
      <w:r>
        <w:fldChar w:fldCharType="begin"/>
      </w:r>
      <w:r>
        <w:instrText xml:space="preserve"> PAGEREF _Toc21651 \h </w:instrText>
      </w:r>
      <w:r>
        <w:fldChar w:fldCharType="separate"/>
      </w:r>
      <w:r>
        <w:t>12</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_Toc28801 </w:instrText>
      </w:r>
      <w:r>
        <w:rPr>
          <w:szCs w:val="30"/>
        </w:rPr>
        <w:fldChar w:fldCharType="separate"/>
      </w:r>
      <w:r>
        <w:rPr>
          <w:kern w:val="2"/>
          <w:szCs w:val="21"/>
        </w:rPr>
        <w:t>（十）关于知识产权</w:t>
      </w:r>
      <w:r>
        <w:tab/>
      </w:r>
      <w:r>
        <w:fldChar w:fldCharType="begin"/>
      </w:r>
      <w:r>
        <w:instrText xml:space="preserve"> PAGEREF _Toc28801 \h </w:instrText>
      </w:r>
      <w:r>
        <w:fldChar w:fldCharType="separate"/>
      </w:r>
      <w:r>
        <w:t>12</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_Toc1160 </w:instrText>
      </w:r>
      <w:r>
        <w:rPr>
          <w:szCs w:val="30"/>
        </w:rPr>
        <w:fldChar w:fldCharType="separate"/>
      </w:r>
      <w:r>
        <w:rPr>
          <w:kern w:val="2"/>
          <w:szCs w:val="21"/>
        </w:rPr>
        <w:t>（十一）质疑和投诉</w:t>
      </w:r>
      <w:r>
        <w:tab/>
      </w:r>
      <w:r>
        <w:fldChar w:fldCharType="begin"/>
      </w:r>
      <w:r>
        <w:instrText xml:space="preserve"> PAGEREF _Toc1160 \h </w:instrText>
      </w:r>
      <w:r>
        <w:fldChar w:fldCharType="separate"/>
      </w:r>
      <w:r>
        <w:t>12</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_Toc13420 </w:instrText>
      </w:r>
      <w:r>
        <w:rPr>
          <w:szCs w:val="30"/>
        </w:rPr>
        <w:fldChar w:fldCharType="separate"/>
      </w:r>
      <w:r>
        <w:rPr>
          <w:rFonts w:ascii="Times New Roman" w:hAnsi="Times New Roman" w:eastAsia="宋体"/>
          <w:szCs w:val="21"/>
        </w:rPr>
        <w:t>二、采购文件</w:t>
      </w:r>
      <w:r>
        <w:tab/>
      </w:r>
      <w:r>
        <w:fldChar w:fldCharType="begin"/>
      </w:r>
      <w:r>
        <w:instrText xml:space="preserve"> PAGEREF _Toc13420 \h </w:instrText>
      </w:r>
      <w:r>
        <w:fldChar w:fldCharType="separate"/>
      </w:r>
      <w:r>
        <w:t>12</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_Toc13957 </w:instrText>
      </w:r>
      <w:r>
        <w:rPr>
          <w:szCs w:val="30"/>
        </w:rPr>
        <w:fldChar w:fldCharType="separate"/>
      </w:r>
      <w:r>
        <w:rPr>
          <w:kern w:val="2"/>
          <w:szCs w:val="21"/>
        </w:rPr>
        <w:t>（一）采购文件的构成。</w:t>
      </w:r>
      <w:r>
        <w:tab/>
      </w:r>
      <w:r>
        <w:fldChar w:fldCharType="begin"/>
      </w:r>
      <w:r>
        <w:instrText xml:space="preserve"> PAGEREF _Toc13957 \h </w:instrText>
      </w:r>
      <w:r>
        <w:fldChar w:fldCharType="separate"/>
      </w:r>
      <w:r>
        <w:t>12</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_Toc14816 </w:instrText>
      </w:r>
      <w:r>
        <w:rPr>
          <w:szCs w:val="30"/>
        </w:rPr>
        <w:fldChar w:fldCharType="separate"/>
      </w:r>
      <w:r>
        <w:rPr>
          <w:kern w:val="2"/>
          <w:szCs w:val="21"/>
        </w:rPr>
        <w:t>（二）投标人的风险</w:t>
      </w:r>
      <w:r>
        <w:tab/>
      </w:r>
      <w:r>
        <w:fldChar w:fldCharType="begin"/>
      </w:r>
      <w:r>
        <w:instrText xml:space="preserve"> PAGEREF _Toc14816 \h </w:instrText>
      </w:r>
      <w:r>
        <w:fldChar w:fldCharType="separate"/>
      </w:r>
      <w:r>
        <w:t>13</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_Toc5641 </w:instrText>
      </w:r>
      <w:r>
        <w:rPr>
          <w:szCs w:val="30"/>
        </w:rPr>
        <w:fldChar w:fldCharType="separate"/>
      </w:r>
      <w:r>
        <w:rPr>
          <w:kern w:val="2"/>
          <w:szCs w:val="21"/>
        </w:rPr>
        <w:t>（三）采购文件的澄清与修改</w:t>
      </w:r>
      <w:r>
        <w:tab/>
      </w:r>
      <w:r>
        <w:fldChar w:fldCharType="begin"/>
      </w:r>
      <w:r>
        <w:instrText xml:space="preserve"> PAGEREF _Toc5641 \h </w:instrText>
      </w:r>
      <w:r>
        <w:fldChar w:fldCharType="separate"/>
      </w:r>
      <w:r>
        <w:t>13</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_Toc1357 </w:instrText>
      </w:r>
      <w:r>
        <w:rPr>
          <w:szCs w:val="30"/>
        </w:rPr>
        <w:fldChar w:fldCharType="separate"/>
      </w:r>
      <w:r>
        <w:rPr>
          <w:rFonts w:ascii="Times New Roman" w:hAnsi="Times New Roman" w:eastAsia="宋体"/>
          <w:szCs w:val="21"/>
        </w:rPr>
        <w:t>三、投标文件的编制</w:t>
      </w:r>
      <w:r>
        <w:tab/>
      </w:r>
      <w:r>
        <w:fldChar w:fldCharType="begin"/>
      </w:r>
      <w:r>
        <w:instrText xml:space="preserve"> PAGEREF _Toc1357 \h </w:instrText>
      </w:r>
      <w:r>
        <w:fldChar w:fldCharType="separate"/>
      </w:r>
      <w:r>
        <w:t>13</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_Toc18675 </w:instrText>
      </w:r>
      <w:r>
        <w:rPr>
          <w:szCs w:val="30"/>
        </w:rPr>
        <w:fldChar w:fldCharType="separate"/>
      </w:r>
      <w:r>
        <w:rPr>
          <w:kern w:val="2"/>
          <w:szCs w:val="21"/>
        </w:rPr>
        <w:t>（一）投标文件的组成</w:t>
      </w:r>
      <w:r>
        <w:tab/>
      </w:r>
      <w:r>
        <w:fldChar w:fldCharType="begin"/>
      </w:r>
      <w:r>
        <w:instrText xml:space="preserve"> PAGEREF _Toc18675 \h </w:instrText>
      </w:r>
      <w:r>
        <w:fldChar w:fldCharType="separate"/>
      </w:r>
      <w:r>
        <w:t>13</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_Toc13212 </w:instrText>
      </w:r>
      <w:r>
        <w:rPr>
          <w:szCs w:val="30"/>
        </w:rPr>
        <w:fldChar w:fldCharType="separate"/>
      </w:r>
      <w:r>
        <w:rPr>
          <w:kern w:val="2"/>
          <w:szCs w:val="21"/>
        </w:rPr>
        <w:t>（二）投标文件的语言及计量</w:t>
      </w:r>
      <w:r>
        <w:tab/>
      </w:r>
      <w:r>
        <w:fldChar w:fldCharType="begin"/>
      </w:r>
      <w:r>
        <w:instrText xml:space="preserve"> PAGEREF _Toc13212 \h </w:instrText>
      </w:r>
      <w:r>
        <w:fldChar w:fldCharType="separate"/>
      </w:r>
      <w:r>
        <w:t>14</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_Toc21763 </w:instrText>
      </w:r>
      <w:r>
        <w:rPr>
          <w:szCs w:val="30"/>
        </w:rPr>
        <w:fldChar w:fldCharType="separate"/>
      </w:r>
      <w:r>
        <w:rPr>
          <w:kern w:val="2"/>
          <w:szCs w:val="21"/>
        </w:rPr>
        <w:t>（三）投标报价</w:t>
      </w:r>
      <w:r>
        <w:tab/>
      </w:r>
      <w:r>
        <w:fldChar w:fldCharType="begin"/>
      </w:r>
      <w:r>
        <w:instrText xml:space="preserve"> PAGEREF _Toc21763 \h </w:instrText>
      </w:r>
      <w:r>
        <w:fldChar w:fldCharType="separate"/>
      </w:r>
      <w:r>
        <w:t>14</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_Toc1567 </w:instrText>
      </w:r>
      <w:r>
        <w:rPr>
          <w:szCs w:val="30"/>
        </w:rPr>
        <w:fldChar w:fldCharType="separate"/>
      </w:r>
      <w:r>
        <w:rPr>
          <w:kern w:val="2"/>
          <w:szCs w:val="21"/>
        </w:rPr>
        <w:t>（四）投标文件的有效期</w:t>
      </w:r>
      <w:r>
        <w:tab/>
      </w:r>
      <w:r>
        <w:fldChar w:fldCharType="begin"/>
      </w:r>
      <w:r>
        <w:instrText xml:space="preserve"> PAGEREF _Toc1567 \h </w:instrText>
      </w:r>
      <w:r>
        <w:fldChar w:fldCharType="separate"/>
      </w:r>
      <w:r>
        <w:t>14</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_Toc18054 </w:instrText>
      </w:r>
      <w:r>
        <w:rPr>
          <w:szCs w:val="30"/>
        </w:rPr>
        <w:fldChar w:fldCharType="separate"/>
      </w:r>
      <w:r>
        <w:rPr>
          <w:kern w:val="2"/>
          <w:szCs w:val="21"/>
        </w:rPr>
        <w:t>（五）投标文件的盖章、签署、份数、要求及效力</w:t>
      </w:r>
      <w:r>
        <w:tab/>
      </w:r>
      <w:r>
        <w:fldChar w:fldCharType="begin"/>
      </w:r>
      <w:r>
        <w:instrText xml:space="preserve"> PAGEREF _Toc18054 \h </w:instrText>
      </w:r>
      <w:r>
        <w:fldChar w:fldCharType="separate"/>
      </w:r>
      <w:r>
        <w:t>14</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_Toc3851 </w:instrText>
      </w:r>
      <w:r>
        <w:rPr>
          <w:szCs w:val="30"/>
        </w:rPr>
        <w:fldChar w:fldCharType="separate"/>
      </w:r>
      <w:r>
        <w:rPr>
          <w:kern w:val="2"/>
          <w:szCs w:val="21"/>
        </w:rPr>
        <w:t>（六）投标文件的包装、递交、修改和撤回</w:t>
      </w:r>
      <w:r>
        <w:tab/>
      </w:r>
      <w:r>
        <w:fldChar w:fldCharType="begin"/>
      </w:r>
      <w:r>
        <w:instrText xml:space="preserve"> PAGEREF _Toc3851 \h </w:instrText>
      </w:r>
      <w:r>
        <w:fldChar w:fldCharType="separate"/>
      </w:r>
      <w:r>
        <w:t>15</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_Toc18813 </w:instrText>
      </w:r>
      <w:r>
        <w:rPr>
          <w:szCs w:val="30"/>
        </w:rPr>
        <w:fldChar w:fldCharType="separate"/>
      </w:r>
      <w:r>
        <w:rPr>
          <w:kern w:val="2"/>
          <w:szCs w:val="21"/>
        </w:rPr>
        <w:t>（七）投标无效的情形</w:t>
      </w:r>
      <w:r>
        <w:tab/>
      </w:r>
      <w:r>
        <w:fldChar w:fldCharType="begin"/>
      </w:r>
      <w:r>
        <w:instrText xml:space="preserve"> PAGEREF _Toc18813 \h </w:instrText>
      </w:r>
      <w:r>
        <w:fldChar w:fldCharType="separate"/>
      </w:r>
      <w:r>
        <w:t>15</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_Toc2711 </w:instrText>
      </w:r>
      <w:r>
        <w:rPr>
          <w:szCs w:val="30"/>
        </w:rPr>
        <w:fldChar w:fldCharType="separate"/>
      </w:r>
      <w:r>
        <w:rPr>
          <w:kern w:val="2"/>
          <w:szCs w:val="21"/>
        </w:rPr>
        <w:t>四、开标</w:t>
      </w:r>
      <w:r>
        <w:tab/>
      </w:r>
      <w:r>
        <w:fldChar w:fldCharType="begin"/>
      </w:r>
      <w:r>
        <w:instrText xml:space="preserve"> PAGEREF _Toc2711 \h </w:instrText>
      </w:r>
      <w:r>
        <w:fldChar w:fldCharType="separate"/>
      </w:r>
      <w:r>
        <w:t>16</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_Toc12460 </w:instrText>
      </w:r>
      <w:r>
        <w:rPr>
          <w:szCs w:val="30"/>
        </w:rPr>
        <w:fldChar w:fldCharType="separate"/>
      </w:r>
      <w:r>
        <w:rPr>
          <w:rFonts w:ascii="Times New Roman" w:hAnsi="Times New Roman" w:eastAsia="宋体"/>
          <w:szCs w:val="21"/>
        </w:rPr>
        <w:t>五、评标</w:t>
      </w:r>
      <w:r>
        <w:tab/>
      </w:r>
      <w:r>
        <w:fldChar w:fldCharType="begin"/>
      </w:r>
      <w:r>
        <w:instrText xml:space="preserve"> PAGEREF _Toc12460 \h </w:instrText>
      </w:r>
      <w:r>
        <w:fldChar w:fldCharType="separate"/>
      </w:r>
      <w:r>
        <w:t>16</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_Toc4660 </w:instrText>
      </w:r>
      <w:r>
        <w:rPr>
          <w:szCs w:val="30"/>
        </w:rPr>
        <w:fldChar w:fldCharType="separate"/>
      </w:r>
      <w:r>
        <w:rPr>
          <w:kern w:val="2"/>
          <w:szCs w:val="21"/>
        </w:rPr>
        <w:t>（一）组建评标委员会</w:t>
      </w:r>
      <w:r>
        <w:tab/>
      </w:r>
      <w:r>
        <w:fldChar w:fldCharType="begin"/>
      </w:r>
      <w:r>
        <w:instrText xml:space="preserve"> PAGEREF _Toc4660 \h </w:instrText>
      </w:r>
      <w:r>
        <w:fldChar w:fldCharType="separate"/>
      </w:r>
      <w:r>
        <w:t>16</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_Toc633 </w:instrText>
      </w:r>
      <w:r>
        <w:rPr>
          <w:szCs w:val="30"/>
        </w:rPr>
        <w:fldChar w:fldCharType="separate"/>
      </w:r>
      <w:r>
        <w:rPr>
          <w:kern w:val="2"/>
          <w:szCs w:val="21"/>
        </w:rPr>
        <w:t>（二）评标方法</w:t>
      </w:r>
      <w:r>
        <w:tab/>
      </w:r>
      <w:r>
        <w:fldChar w:fldCharType="begin"/>
      </w:r>
      <w:r>
        <w:instrText xml:space="preserve"> PAGEREF _Toc633 \h </w:instrText>
      </w:r>
      <w:r>
        <w:fldChar w:fldCharType="separate"/>
      </w:r>
      <w:r>
        <w:t>16</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_Toc642 </w:instrText>
      </w:r>
      <w:r>
        <w:rPr>
          <w:szCs w:val="30"/>
        </w:rPr>
        <w:fldChar w:fldCharType="separate"/>
      </w:r>
      <w:r>
        <w:rPr>
          <w:kern w:val="2"/>
          <w:szCs w:val="21"/>
        </w:rPr>
        <w:t>（三）评标程序</w:t>
      </w:r>
      <w:r>
        <w:tab/>
      </w:r>
      <w:r>
        <w:fldChar w:fldCharType="begin"/>
      </w:r>
      <w:r>
        <w:instrText xml:space="preserve"> PAGEREF _Toc642 \h </w:instrText>
      </w:r>
      <w:r>
        <w:fldChar w:fldCharType="separate"/>
      </w:r>
      <w:r>
        <w:t>16</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_Toc8588 </w:instrText>
      </w:r>
      <w:r>
        <w:rPr>
          <w:szCs w:val="30"/>
        </w:rPr>
        <w:fldChar w:fldCharType="separate"/>
      </w:r>
      <w:r>
        <w:rPr>
          <w:kern w:val="2"/>
          <w:szCs w:val="21"/>
        </w:rPr>
        <w:t>（四）评标过程保密</w:t>
      </w:r>
      <w:r>
        <w:tab/>
      </w:r>
      <w:r>
        <w:fldChar w:fldCharType="begin"/>
      </w:r>
      <w:r>
        <w:instrText xml:space="preserve"> PAGEREF _Toc8588 \h </w:instrText>
      </w:r>
      <w:r>
        <w:fldChar w:fldCharType="separate"/>
      </w:r>
      <w:r>
        <w:t>17</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_Toc29163 </w:instrText>
      </w:r>
      <w:r>
        <w:rPr>
          <w:szCs w:val="30"/>
        </w:rPr>
        <w:fldChar w:fldCharType="separate"/>
      </w:r>
      <w:r>
        <w:rPr>
          <w:rFonts w:ascii="Times New Roman" w:hAnsi="Times New Roman" w:eastAsia="宋体"/>
          <w:szCs w:val="21"/>
        </w:rPr>
        <w:t>六、定标</w:t>
      </w:r>
      <w:r>
        <w:tab/>
      </w:r>
      <w:r>
        <w:fldChar w:fldCharType="begin"/>
      </w:r>
      <w:r>
        <w:instrText xml:space="preserve"> PAGEREF _Toc29163 \h </w:instrText>
      </w:r>
      <w:r>
        <w:fldChar w:fldCharType="separate"/>
      </w:r>
      <w:r>
        <w:t>17</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_Toc6020 </w:instrText>
      </w:r>
      <w:r>
        <w:rPr>
          <w:szCs w:val="30"/>
        </w:rPr>
        <w:fldChar w:fldCharType="separate"/>
      </w:r>
      <w:r>
        <w:rPr>
          <w:kern w:val="2"/>
          <w:szCs w:val="21"/>
        </w:rPr>
        <w:t>（一）确定中标人</w:t>
      </w:r>
      <w:r>
        <w:tab/>
      </w:r>
      <w:r>
        <w:fldChar w:fldCharType="begin"/>
      </w:r>
      <w:r>
        <w:instrText xml:space="preserve"> PAGEREF _Toc6020 \h </w:instrText>
      </w:r>
      <w:r>
        <w:fldChar w:fldCharType="separate"/>
      </w:r>
      <w:r>
        <w:t>17</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_Toc17673 </w:instrText>
      </w:r>
      <w:r>
        <w:rPr>
          <w:szCs w:val="30"/>
        </w:rPr>
        <w:fldChar w:fldCharType="separate"/>
      </w:r>
      <w:r>
        <w:rPr>
          <w:rFonts w:ascii="Times New Roman" w:hAnsi="Times New Roman" w:eastAsia="宋体"/>
          <w:szCs w:val="21"/>
        </w:rPr>
        <w:t>七、评标过程的监控</w:t>
      </w:r>
      <w:r>
        <w:tab/>
      </w:r>
      <w:r>
        <w:fldChar w:fldCharType="begin"/>
      </w:r>
      <w:r>
        <w:instrText xml:space="preserve"> PAGEREF _Toc17673 \h </w:instrText>
      </w:r>
      <w:r>
        <w:fldChar w:fldCharType="separate"/>
      </w:r>
      <w:r>
        <w:t>17</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_Toc31295 </w:instrText>
      </w:r>
      <w:r>
        <w:rPr>
          <w:szCs w:val="30"/>
        </w:rPr>
        <w:fldChar w:fldCharType="separate"/>
      </w:r>
      <w:r>
        <w:rPr>
          <w:rFonts w:ascii="Times New Roman" w:hAnsi="Times New Roman" w:eastAsia="宋体"/>
          <w:szCs w:val="21"/>
        </w:rPr>
        <w:t>八、合同授予</w:t>
      </w:r>
      <w:r>
        <w:tab/>
      </w:r>
      <w:r>
        <w:fldChar w:fldCharType="begin"/>
      </w:r>
      <w:r>
        <w:instrText xml:space="preserve"> PAGEREF _Toc31295 \h </w:instrText>
      </w:r>
      <w:r>
        <w:fldChar w:fldCharType="separate"/>
      </w:r>
      <w:r>
        <w:t>17</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_Toc5950 </w:instrText>
      </w:r>
      <w:r>
        <w:rPr>
          <w:szCs w:val="30"/>
        </w:rPr>
        <w:fldChar w:fldCharType="separate"/>
      </w:r>
      <w:r>
        <w:rPr>
          <w:kern w:val="2"/>
          <w:szCs w:val="21"/>
        </w:rPr>
        <w:t>（一）签订合同</w:t>
      </w:r>
      <w:r>
        <w:tab/>
      </w:r>
      <w:r>
        <w:fldChar w:fldCharType="begin"/>
      </w:r>
      <w:r>
        <w:instrText xml:space="preserve"> PAGEREF _Toc5950 \h </w:instrText>
      </w:r>
      <w:r>
        <w:fldChar w:fldCharType="separate"/>
      </w:r>
      <w:r>
        <w:t>17</w:t>
      </w:r>
      <w:r>
        <w:fldChar w:fldCharType="end"/>
      </w:r>
      <w:r>
        <w:rPr>
          <w:szCs w:val="30"/>
        </w:rPr>
        <w:fldChar w:fldCharType="end"/>
      </w:r>
    </w:p>
    <w:p>
      <w:pPr>
        <w:pStyle w:val="24"/>
        <w:tabs>
          <w:tab w:val="right" w:leader="dot" w:pos="8959"/>
        </w:tabs>
      </w:pPr>
      <w:r>
        <w:rPr>
          <w:szCs w:val="30"/>
        </w:rPr>
        <w:fldChar w:fldCharType="begin"/>
      </w:r>
      <w:r>
        <w:rPr>
          <w:szCs w:val="30"/>
        </w:rPr>
        <w:instrText xml:space="preserve"> HYPERLINK \l _Toc26764 </w:instrText>
      </w:r>
      <w:r>
        <w:rPr>
          <w:szCs w:val="30"/>
        </w:rPr>
        <w:fldChar w:fldCharType="separate"/>
      </w:r>
      <w:r>
        <w:rPr>
          <w:kern w:val="2"/>
          <w:szCs w:val="21"/>
        </w:rPr>
        <w:t>（二）履约保证金</w:t>
      </w:r>
      <w:r>
        <w:tab/>
      </w:r>
      <w:r>
        <w:fldChar w:fldCharType="begin"/>
      </w:r>
      <w:r>
        <w:instrText xml:space="preserve"> PAGEREF _Toc26764 \h </w:instrText>
      </w:r>
      <w:r>
        <w:fldChar w:fldCharType="separate"/>
      </w:r>
      <w:r>
        <w:t>18</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_Toc16701 </w:instrText>
      </w:r>
      <w:r>
        <w:rPr>
          <w:szCs w:val="30"/>
        </w:rPr>
        <w:fldChar w:fldCharType="separate"/>
      </w:r>
      <w:r>
        <w:rPr>
          <w:rFonts w:ascii="Times New Roman" w:hAnsi="Times New Roman" w:eastAsia="宋体"/>
          <w:szCs w:val="21"/>
        </w:rPr>
        <w:t>九、特别说明</w:t>
      </w:r>
      <w:r>
        <w:tab/>
      </w:r>
      <w:r>
        <w:fldChar w:fldCharType="begin"/>
      </w:r>
      <w:r>
        <w:instrText xml:space="preserve"> PAGEREF _Toc16701 \h </w:instrText>
      </w:r>
      <w:r>
        <w:fldChar w:fldCharType="separate"/>
      </w:r>
      <w:r>
        <w:t>18</w:t>
      </w:r>
      <w:r>
        <w:fldChar w:fldCharType="end"/>
      </w:r>
      <w:r>
        <w:rPr>
          <w:szCs w:val="30"/>
        </w:rPr>
        <w:fldChar w:fldCharType="end"/>
      </w:r>
    </w:p>
    <w:p>
      <w:pPr>
        <w:pStyle w:val="34"/>
        <w:tabs>
          <w:tab w:val="right" w:leader="dot" w:pos="8959"/>
        </w:tabs>
      </w:pPr>
      <w:r>
        <w:rPr>
          <w:szCs w:val="30"/>
        </w:rPr>
        <w:fldChar w:fldCharType="begin"/>
      </w:r>
      <w:r>
        <w:rPr>
          <w:szCs w:val="30"/>
        </w:rPr>
        <w:instrText xml:space="preserve"> HYPERLINK \l _Toc21520 </w:instrText>
      </w:r>
      <w:r>
        <w:rPr>
          <w:szCs w:val="30"/>
        </w:rPr>
        <w:fldChar w:fldCharType="separate"/>
      </w:r>
      <w:r>
        <w:t>第四章  评标办法及评分标准</w:t>
      </w:r>
      <w:r>
        <w:tab/>
      </w:r>
      <w:r>
        <w:fldChar w:fldCharType="begin"/>
      </w:r>
      <w:r>
        <w:instrText xml:space="preserve"> PAGEREF _Toc21520 \h </w:instrText>
      </w:r>
      <w:r>
        <w:fldChar w:fldCharType="separate"/>
      </w:r>
      <w:r>
        <w:t>20</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_Toc4082 </w:instrText>
      </w:r>
      <w:r>
        <w:rPr>
          <w:szCs w:val="30"/>
        </w:rPr>
        <w:fldChar w:fldCharType="separate"/>
      </w:r>
      <w:r>
        <w:rPr>
          <w:rFonts w:ascii="Times New Roman" w:hAnsi="Times New Roman"/>
          <w:szCs w:val="21"/>
        </w:rPr>
        <w:t>一、总则</w:t>
      </w:r>
      <w:r>
        <w:tab/>
      </w:r>
      <w:r>
        <w:fldChar w:fldCharType="begin"/>
      </w:r>
      <w:r>
        <w:instrText xml:space="preserve"> PAGEREF _Toc4082 \h </w:instrText>
      </w:r>
      <w:r>
        <w:fldChar w:fldCharType="separate"/>
      </w:r>
      <w:r>
        <w:t>20</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_Toc22443 </w:instrText>
      </w:r>
      <w:r>
        <w:rPr>
          <w:szCs w:val="30"/>
        </w:rPr>
        <w:fldChar w:fldCharType="separate"/>
      </w:r>
      <w:r>
        <w:rPr>
          <w:rFonts w:ascii="Times New Roman" w:hAnsi="Times New Roman"/>
          <w:szCs w:val="21"/>
        </w:rPr>
        <w:t>二、评标委员会</w:t>
      </w:r>
      <w:r>
        <w:tab/>
      </w:r>
      <w:r>
        <w:fldChar w:fldCharType="begin"/>
      </w:r>
      <w:r>
        <w:instrText xml:space="preserve"> PAGEREF _Toc22443 \h </w:instrText>
      </w:r>
      <w:r>
        <w:fldChar w:fldCharType="separate"/>
      </w:r>
      <w:r>
        <w:t>20</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_Toc17685 </w:instrText>
      </w:r>
      <w:r>
        <w:rPr>
          <w:szCs w:val="30"/>
        </w:rPr>
        <w:fldChar w:fldCharType="separate"/>
      </w:r>
      <w:r>
        <w:rPr>
          <w:rFonts w:ascii="Times New Roman" w:hAnsi="Times New Roman"/>
          <w:szCs w:val="21"/>
        </w:rPr>
        <w:t>三、评标方法</w:t>
      </w:r>
      <w:r>
        <w:tab/>
      </w:r>
      <w:r>
        <w:fldChar w:fldCharType="begin"/>
      </w:r>
      <w:r>
        <w:instrText xml:space="preserve"> PAGEREF _Toc17685 \h </w:instrText>
      </w:r>
      <w:r>
        <w:fldChar w:fldCharType="separate"/>
      </w:r>
      <w:r>
        <w:t>20</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_Toc19204 </w:instrText>
      </w:r>
      <w:r>
        <w:rPr>
          <w:szCs w:val="30"/>
        </w:rPr>
        <w:fldChar w:fldCharType="separate"/>
      </w:r>
      <w:r>
        <w:rPr>
          <w:rFonts w:ascii="Times New Roman" w:hAnsi="Times New Roman"/>
          <w:szCs w:val="21"/>
        </w:rPr>
        <w:t>四、评标过程</w:t>
      </w:r>
      <w:r>
        <w:tab/>
      </w:r>
      <w:r>
        <w:fldChar w:fldCharType="begin"/>
      </w:r>
      <w:r>
        <w:instrText xml:space="preserve"> PAGEREF _Toc19204 \h </w:instrText>
      </w:r>
      <w:r>
        <w:fldChar w:fldCharType="separate"/>
      </w:r>
      <w:r>
        <w:t>21</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_Toc15072 </w:instrText>
      </w:r>
      <w:r>
        <w:rPr>
          <w:szCs w:val="30"/>
        </w:rPr>
        <w:fldChar w:fldCharType="separate"/>
      </w:r>
      <w:r>
        <w:rPr>
          <w:rFonts w:ascii="Times New Roman" w:hAnsi="Times New Roman" w:eastAsia="宋体" w:cs="Times New Roman"/>
          <w:szCs w:val="21"/>
        </w:rPr>
        <w:t>五、资格条件审查</w:t>
      </w:r>
      <w:r>
        <w:tab/>
      </w:r>
      <w:r>
        <w:fldChar w:fldCharType="begin"/>
      </w:r>
      <w:r>
        <w:instrText xml:space="preserve"> PAGEREF _Toc15072 \h </w:instrText>
      </w:r>
      <w:r>
        <w:fldChar w:fldCharType="separate"/>
      </w:r>
      <w:r>
        <w:t>23</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_Toc25028 </w:instrText>
      </w:r>
      <w:r>
        <w:rPr>
          <w:szCs w:val="30"/>
        </w:rPr>
        <w:fldChar w:fldCharType="separate"/>
      </w:r>
      <w:r>
        <w:rPr>
          <w:rFonts w:ascii="Times New Roman" w:hAnsi="Times New Roman"/>
          <w:szCs w:val="21"/>
        </w:rPr>
        <w:t>六、符合性审查</w:t>
      </w:r>
      <w:r>
        <w:tab/>
      </w:r>
      <w:r>
        <w:fldChar w:fldCharType="begin"/>
      </w:r>
      <w:r>
        <w:instrText xml:space="preserve"> PAGEREF _Toc25028 \h </w:instrText>
      </w:r>
      <w:r>
        <w:fldChar w:fldCharType="separate"/>
      </w:r>
      <w:r>
        <w:t>23</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_Toc22370 </w:instrText>
      </w:r>
      <w:r>
        <w:rPr>
          <w:szCs w:val="30"/>
        </w:rPr>
        <w:fldChar w:fldCharType="separate"/>
      </w:r>
      <w:r>
        <w:rPr>
          <w:rFonts w:ascii="Times New Roman" w:hAnsi="Times New Roman"/>
          <w:szCs w:val="21"/>
        </w:rPr>
        <w:t>七、投标无效的情形</w:t>
      </w:r>
      <w:r>
        <w:rPr>
          <w:rFonts w:hint="eastAsia" w:ascii="Times New Roman" w:hAnsi="Times New Roman"/>
          <w:szCs w:val="21"/>
          <w:lang w:eastAsia="zh-CN"/>
        </w:rPr>
        <w:t>、</w:t>
      </w:r>
      <w:r>
        <w:rPr>
          <w:rFonts w:hint="eastAsia" w:ascii="Times New Roman" w:hAnsi="Times New Roman"/>
          <w:szCs w:val="21"/>
          <w:lang w:val="en-US" w:eastAsia="zh-CN"/>
        </w:rPr>
        <w:t>废标的情形</w:t>
      </w:r>
      <w:r>
        <w:tab/>
      </w:r>
      <w:r>
        <w:fldChar w:fldCharType="begin"/>
      </w:r>
      <w:r>
        <w:instrText xml:space="preserve"> PAGEREF _Toc22370 \h </w:instrText>
      </w:r>
      <w:r>
        <w:fldChar w:fldCharType="separate"/>
      </w:r>
      <w:r>
        <w:t>23</w:t>
      </w:r>
      <w:r>
        <w:fldChar w:fldCharType="end"/>
      </w:r>
      <w:r>
        <w:rPr>
          <w:szCs w:val="30"/>
        </w:rPr>
        <w:fldChar w:fldCharType="end"/>
      </w:r>
    </w:p>
    <w:p>
      <w:pPr>
        <w:pStyle w:val="40"/>
        <w:tabs>
          <w:tab w:val="right" w:leader="dot" w:pos="8959"/>
        </w:tabs>
      </w:pPr>
      <w:r>
        <w:rPr>
          <w:szCs w:val="30"/>
        </w:rPr>
        <w:fldChar w:fldCharType="begin"/>
      </w:r>
      <w:r>
        <w:rPr>
          <w:szCs w:val="30"/>
        </w:rPr>
        <w:instrText xml:space="preserve"> HYPERLINK \l _Toc3741 </w:instrText>
      </w:r>
      <w:r>
        <w:rPr>
          <w:szCs w:val="30"/>
        </w:rPr>
        <w:fldChar w:fldCharType="separate"/>
      </w:r>
      <w:r>
        <w:rPr>
          <w:rFonts w:hint="eastAsia"/>
        </w:rPr>
        <w:t xml:space="preserve">八、 </w:t>
      </w:r>
      <w:r>
        <w:rPr>
          <w:szCs w:val="21"/>
        </w:rPr>
        <w:t>评分标准表</w:t>
      </w:r>
      <w:r>
        <w:tab/>
      </w:r>
      <w:r>
        <w:fldChar w:fldCharType="begin"/>
      </w:r>
      <w:r>
        <w:instrText xml:space="preserve"> PAGEREF _Toc3741 \h </w:instrText>
      </w:r>
      <w:r>
        <w:fldChar w:fldCharType="separate"/>
      </w:r>
      <w:r>
        <w:t>26</w:t>
      </w:r>
      <w:r>
        <w:fldChar w:fldCharType="end"/>
      </w:r>
      <w:r>
        <w:rPr>
          <w:szCs w:val="30"/>
        </w:rPr>
        <w:fldChar w:fldCharType="end"/>
      </w:r>
    </w:p>
    <w:p>
      <w:pPr>
        <w:pStyle w:val="34"/>
        <w:tabs>
          <w:tab w:val="right" w:leader="dot" w:pos="8959"/>
        </w:tabs>
      </w:pPr>
      <w:r>
        <w:rPr>
          <w:szCs w:val="30"/>
        </w:rPr>
        <w:fldChar w:fldCharType="begin"/>
      </w:r>
      <w:r>
        <w:rPr>
          <w:szCs w:val="30"/>
        </w:rPr>
        <w:instrText xml:space="preserve"> HYPERLINK \l _Toc23517 </w:instrText>
      </w:r>
      <w:r>
        <w:rPr>
          <w:szCs w:val="30"/>
        </w:rPr>
        <w:fldChar w:fldCharType="separate"/>
      </w:r>
      <w:r>
        <w:t>第五章  采购合同主要条款</w:t>
      </w:r>
      <w:r>
        <w:tab/>
      </w:r>
      <w:r>
        <w:fldChar w:fldCharType="begin"/>
      </w:r>
      <w:r>
        <w:instrText xml:space="preserve"> PAGEREF _Toc23517 \h </w:instrText>
      </w:r>
      <w:r>
        <w:fldChar w:fldCharType="separate"/>
      </w:r>
      <w:r>
        <w:t>32</w:t>
      </w:r>
      <w:r>
        <w:fldChar w:fldCharType="end"/>
      </w:r>
      <w:r>
        <w:rPr>
          <w:szCs w:val="30"/>
        </w:rPr>
        <w:fldChar w:fldCharType="end"/>
      </w:r>
    </w:p>
    <w:p>
      <w:pPr>
        <w:pStyle w:val="34"/>
        <w:tabs>
          <w:tab w:val="right" w:leader="dot" w:pos="8959"/>
        </w:tabs>
      </w:pPr>
      <w:r>
        <w:rPr>
          <w:szCs w:val="30"/>
        </w:rPr>
        <w:fldChar w:fldCharType="begin"/>
      </w:r>
      <w:r>
        <w:rPr>
          <w:szCs w:val="30"/>
        </w:rPr>
        <w:instrText xml:space="preserve"> HYPERLINK \l _Toc10682 </w:instrText>
      </w:r>
      <w:r>
        <w:rPr>
          <w:szCs w:val="30"/>
        </w:rPr>
        <w:fldChar w:fldCharType="separate"/>
      </w:r>
      <w:r>
        <w:t>第六章</w:t>
      </w:r>
      <w:r>
        <w:rPr>
          <w:rFonts w:hint="eastAsia"/>
          <w:lang w:val="en-US" w:eastAsia="zh-CN"/>
        </w:rPr>
        <w:t xml:space="preserve">  </w:t>
      </w:r>
      <w:r>
        <w:t>投标文件格式</w:t>
      </w:r>
      <w:r>
        <w:tab/>
      </w:r>
      <w:r>
        <w:fldChar w:fldCharType="begin"/>
      </w:r>
      <w:r>
        <w:instrText xml:space="preserve"> PAGEREF _Toc10682 \h </w:instrText>
      </w:r>
      <w:r>
        <w:fldChar w:fldCharType="separate"/>
      </w:r>
      <w:r>
        <w:t>36</w:t>
      </w:r>
      <w:r>
        <w:fldChar w:fldCharType="end"/>
      </w:r>
      <w:r>
        <w:rPr>
          <w:szCs w:val="30"/>
        </w:rPr>
        <w:fldChar w:fldCharType="end"/>
      </w:r>
    </w:p>
    <w:p>
      <w:pPr>
        <w:pStyle w:val="34"/>
        <w:tabs>
          <w:tab w:val="right" w:leader="dot" w:pos="8311"/>
        </w:tabs>
        <w:spacing w:line="240" w:lineRule="exact"/>
        <w:rPr>
          <w:b/>
          <w:szCs w:val="21"/>
        </w:rPr>
      </w:pPr>
      <w:r>
        <w:rPr>
          <w:szCs w:val="30"/>
        </w:rPr>
        <w:fldChar w:fldCharType="end"/>
      </w:r>
    </w:p>
    <w:p>
      <w:pPr>
        <w:pStyle w:val="3"/>
        <w:spacing w:before="0" w:after="0" w:line="360" w:lineRule="auto"/>
        <w:ind w:left="422" w:leftChars="201"/>
        <w:jc w:val="center"/>
        <w:rPr>
          <w:sz w:val="30"/>
        </w:rPr>
        <w:sectPr>
          <w:footerReference r:id="rId4" w:type="default"/>
          <w:pgSz w:w="11907" w:h="16840"/>
          <w:pgMar w:top="1276" w:right="1474" w:bottom="0" w:left="1474" w:header="720" w:footer="720" w:gutter="0"/>
          <w:pgNumType w:start="1"/>
          <w:cols w:space="720" w:num="1"/>
          <w:docGrid w:linePitch="285" w:charSpace="0"/>
        </w:sectPr>
      </w:pPr>
      <w:bookmarkStart w:id="0" w:name="_Toc103878671"/>
      <w:bookmarkStart w:id="1" w:name="_Toc460857890"/>
    </w:p>
    <w:p>
      <w:pPr>
        <w:pStyle w:val="3"/>
        <w:spacing w:before="0" w:after="0" w:line="360" w:lineRule="auto"/>
        <w:ind w:left="422" w:leftChars="201"/>
        <w:jc w:val="center"/>
        <w:rPr>
          <w:sz w:val="24"/>
        </w:rPr>
      </w:pPr>
      <w:bookmarkStart w:id="2" w:name="_Toc1326"/>
      <w:bookmarkStart w:id="3" w:name="_Toc147"/>
      <w:r>
        <w:rPr>
          <w:sz w:val="30"/>
        </w:rPr>
        <w:t>第一章  公开招标采购公告</w:t>
      </w:r>
      <w:bookmarkEnd w:id="0"/>
      <w:bookmarkEnd w:id="1"/>
      <w:bookmarkEnd w:id="2"/>
      <w:bookmarkEnd w:id="3"/>
    </w:p>
    <w:p>
      <w:pPr>
        <w:keepNext w:val="0"/>
        <w:keepLines w:val="0"/>
        <w:pageBreakBefore w:val="0"/>
        <w:widowControl/>
        <w:pBdr>
          <w:top w:val="single" w:color="auto" w:sz="4" w:space="1"/>
          <w:left w:val="single" w:color="auto" w:sz="4" w:space="1"/>
          <w:bottom w:val="single" w:color="auto" w:sz="4" w:space="1"/>
          <w:right w:val="single" w:color="auto" w:sz="4" w:space="4"/>
        </w:pBdr>
        <w:kinsoku/>
        <w:wordWrap/>
        <w:overflowPunct/>
        <w:topLinePunct w:val="0"/>
        <w:autoSpaceDE/>
        <w:autoSpaceDN/>
        <w:bidi w:val="0"/>
        <w:adjustRightInd/>
        <w:snapToGrid/>
        <w:spacing w:before="75" w:after="75" w:line="300" w:lineRule="exact"/>
        <w:jc w:val="left"/>
        <w:textAlignment w:val="auto"/>
        <w:rPr>
          <w:kern w:val="0"/>
          <w:szCs w:val="21"/>
        </w:rPr>
      </w:pPr>
      <w:r>
        <w:rPr>
          <w:kern w:val="0"/>
          <w:szCs w:val="21"/>
        </w:rPr>
        <w:t>项目概况</w:t>
      </w:r>
    </w:p>
    <w:p>
      <w:pPr>
        <w:widowControl/>
        <w:pBdr>
          <w:top w:val="single" w:color="auto" w:sz="4" w:space="1"/>
          <w:left w:val="single" w:color="auto" w:sz="4" w:space="1"/>
          <w:bottom w:val="single" w:color="auto" w:sz="4" w:space="1"/>
          <w:right w:val="single" w:color="auto" w:sz="4" w:space="4"/>
        </w:pBdr>
        <w:spacing w:before="75" w:after="75" w:line="400" w:lineRule="exact"/>
        <w:ind w:firstLine="420" w:firstLineChars="200"/>
        <w:jc w:val="left"/>
        <w:rPr>
          <w:kern w:val="0"/>
          <w:szCs w:val="21"/>
        </w:rPr>
      </w:pPr>
      <w:r>
        <w:rPr>
          <w:rFonts w:hint="eastAsia"/>
          <w:kern w:val="0"/>
          <w:szCs w:val="21"/>
          <w:lang w:eastAsia="zh-CN"/>
        </w:rPr>
        <w:t>宁波市海洋与渔业执法队执法船艇2024年柴油采购项目</w:t>
      </w:r>
      <w:r>
        <w:rPr>
          <w:kern w:val="0"/>
          <w:szCs w:val="21"/>
        </w:rPr>
        <w:t>招标项目的潜在投标人应在政府采购云平台（www.zcygov.cn）获取（下载）招标文件，并于2024年</w:t>
      </w:r>
      <w:r>
        <w:rPr>
          <w:rFonts w:hint="eastAsia"/>
          <w:kern w:val="0"/>
          <w:szCs w:val="21"/>
          <w:u w:val="single"/>
          <w:lang w:val="en-US" w:eastAsia="zh-CN"/>
        </w:rPr>
        <w:t>3</w:t>
      </w:r>
      <w:r>
        <w:rPr>
          <w:kern w:val="0"/>
          <w:szCs w:val="21"/>
        </w:rPr>
        <w:t>月</w:t>
      </w:r>
      <w:r>
        <w:rPr>
          <w:rFonts w:hint="eastAsia"/>
          <w:kern w:val="0"/>
          <w:szCs w:val="21"/>
          <w:u w:val="single"/>
          <w:lang w:val="en-US" w:eastAsia="zh-CN"/>
        </w:rPr>
        <w:t>5</w:t>
      </w:r>
      <w:r>
        <w:rPr>
          <w:kern w:val="0"/>
          <w:szCs w:val="21"/>
        </w:rPr>
        <w:t>日</w:t>
      </w:r>
      <w:r>
        <w:rPr>
          <w:rFonts w:hint="eastAsia"/>
          <w:szCs w:val="21"/>
          <w:u w:val="single"/>
        </w:rPr>
        <w:t>14</w:t>
      </w:r>
      <w:r>
        <w:rPr>
          <w:rFonts w:hint="eastAsia"/>
          <w:szCs w:val="21"/>
          <w:lang w:eastAsia="zh-CN"/>
        </w:rPr>
        <w:t>：</w:t>
      </w:r>
      <w:r>
        <w:rPr>
          <w:szCs w:val="21"/>
          <w:u w:val="single"/>
        </w:rPr>
        <w:t>00</w:t>
      </w:r>
      <w:r>
        <w:rPr>
          <w:kern w:val="0"/>
          <w:szCs w:val="21"/>
        </w:rPr>
        <w:t>（北京时间）前递交（上传）投标文件。</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一、项目基本情况</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eastAsia="宋体"/>
          <w:szCs w:val="21"/>
          <w:lang w:eastAsia="zh-CN"/>
        </w:rPr>
      </w:pPr>
      <w:r>
        <w:rPr>
          <w:szCs w:val="21"/>
        </w:rPr>
        <w:t>项目编号：</w:t>
      </w:r>
      <w:r>
        <w:rPr>
          <w:rFonts w:hint="eastAsia"/>
          <w:szCs w:val="21"/>
          <w:lang w:eastAsia="zh-CN"/>
        </w:rPr>
        <w:t>HX-2024-1006</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eastAsia="宋体"/>
          <w:szCs w:val="21"/>
          <w:lang w:eastAsia="zh-CN"/>
        </w:rPr>
      </w:pPr>
      <w:r>
        <w:rPr>
          <w:szCs w:val="21"/>
        </w:rPr>
        <w:t>项目名称：</w:t>
      </w:r>
      <w:r>
        <w:rPr>
          <w:rFonts w:hint="eastAsia"/>
          <w:szCs w:val="21"/>
          <w:lang w:eastAsia="zh-CN"/>
        </w:rPr>
        <w:t>宁波市海洋与渔业执法队执法船艇2024年柴油采购项目</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szCs w:val="21"/>
        </w:rPr>
      </w:pPr>
      <w:r>
        <w:rPr>
          <w:szCs w:val="21"/>
        </w:rPr>
        <w:t>预算金额（元）：</w:t>
      </w:r>
      <w:r>
        <w:rPr>
          <w:rFonts w:hint="eastAsia"/>
          <w:szCs w:val="21"/>
        </w:rPr>
        <w:t>4893</w:t>
      </w:r>
      <w:r>
        <w:rPr>
          <w:szCs w:val="21"/>
        </w:rPr>
        <w:t>000</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最高限价（元）：</w:t>
      </w:r>
      <w:r>
        <w:rPr>
          <w:rFonts w:hint="eastAsia"/>
          <w:szCs w:val="21"/>
        </w:rPr>
        <w:t>标项1：4000000</w:t>
      </w:r>
      <w:r>
        <w:rPr>
          <w:rFonts w:hint="eastAsia"/>
          <w:szCs w:val="21"/>
          <w:lang w:eastAsia="zh-CN"/>
        </w:rPr>
        <w:t>，</w:t>
      </w:r>
      <w:r>
        <w:rPr>
          <w:rFonts w:hint="eastAsia"/>
          <w:szCs w:val="21"/>
        </w:rPr>
        <w:t>标项2：893000。</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采购需求：</w:t>
      </w:r>
    </w:p>
    <w:p>
      <w:pPr>
        <w:keepNext w:val="0"/>
        <w:keepLines w:val="0"/>
        <w:pageBreakBefore w:val="0"/>
        <w:widowControl w:val="0"/>
        <w:tabs>
          <w:tab w:val="left" w:pos="518"/>
        </w:tabs>
        <w:kinsoku/>
        <w:wordWrap/>
        <w:overflowPunct/>
        <w:topLinePunct w:val="0"/>
        <w:autoSpaceDE/>
        <w:autoSpaceDN/>
        <w:bidi w:val="0"/>
        <w:adjustRightInd w:val="0"/>
        <w:snapToGrid w:val="0"/>
        <w:spacing w:line="240" w:lineRule="auto"/>
        <w:ind w:firstLine="420" w:firstLineChars="200"/>
        <w:textAlignment w:val="auto"/>
        <w:rPr>
          <w:rFonts w:hint="eastAsia"/>
          <w:szCs w:val="21"/>
        </w:rPr>
      </w:pP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szCs w:val="21"/>
        </w:rPr>
        <w:t>标项</w:t>
      </w:r>
      <w:r>
        <w:rPr>
          <w:rFonts w:hint="eastAsia"/>
          <w:szCs w:val="21"/>
          <w:lang w:val="en-US" w:eastAsia="zh-CN"/>
        </w:rPr>
        <w:t>1</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eastAsia="宋体"/>
          <w:szCs w:val="21"/>
          <w:lang w:eastAsia="zh-CN"/>
        </w:rPr>
      </w:pPr>
      <w:r>
        <w:rPr>
          <w:szCs w:val="21"/>
        </w:rPr>
        <w:t>标项名称</w:t>
      </w:r>
      <w:r>
        <w:rPr>
          <w:rFonts w:hint="eastAsia"/>
          <w:szCs w:val="21"/>
        </w:rPr>
        <w:t>：</w:t>
      </w:r>
      <w:r>
        <w:rPr>
          <w:rFonts w:hint="eastAsia"/>
          <w:szCs w:val="21"/>
          <w:lang w:eastAsia="zh-CN"/>
        </w:rPr>
        <w:t>海上固定加油站供油方式的柴油采购</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数量</w:t>
      </w:r>
      <w:r>
        <w:rPr>
          <w:rFonts w:hint="eastAsia"/>
          <w:szCs w:val="21"/>
        </w:rPr>
        <w:t>：</w:t>
      </w:r>
      <w:r>
        <w:rPr>
          <w:rFonts w:hint="eastAsia" w:ascii="Times New Roman" w:hAnsi="Times New Roman" w:cs="Times New Roman"/>
          <w:szCs w:val="21"/>
          <w:lang w:val="en-US" w:eastAsia="zh-CN"/>
        </w:rPr>
        <w:t>1项</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预算金额（元）</w:t>
      </w:r>
      <w:r>
        <w:rPr>
          <w:rFonts w:hint="eastAsia"/>
          <w:szCs w:val="21"/>
        </w:rPr>
        <w:t>：400</w:t>
      </w:r>
      <w:r>
        <w:rPr>
          <w:rFonts w:hint="eastAsia"/>
          <w:szCs w:val="21"/>
          <w:lang w:val="en-US" w:eastAsia="zh-CN"/>
        </w:rPr>
        <w:t>0000</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highlight w:val="none"/>
        </w:rPr>
      </w:pPr>
      <w:r>
        <w:rPr>
          <w:szCs w:val="21"/>
        </w:rPr>
        <w:t>简要规格描述或项目基本概况介绍、用途：</w:t>
      </w:r>
      <w:r>
        <w:rPr>
          <w:rFonts w:hint="eastAsia"/>
          <w:szCs w:val="21"/>
        </w:rPr>
        <w:t>海上固定加油站供油方式的0号柴油采购，详细内容见</w:t>
      </w:r>
      <w:r>
        <w:rPr>
          <w:rFonts w:hint="eastAsia"/>
          <w:szCs w:val="21"/>
          <w:lang w:val="en-US" w:eastAsia="zh-CN"/>
        </w:rPr>
        <w:t>采购需</w:t>
      </w:r>
      <w:r>
        <w:rPr>
          <w:rFonts w:hint="eastAsia"/>
          <w:szCs w:val="21"/>
          <w:highlight w:val="none"/>
          <w:lang w:val="en-US" w:eastAsia="zh-CN"/>
        </w:rPr>
        <w:t>求</w:t>
      </w:r>
      <w:r>
        <w:rPr>
          <w:rFonts w:hint="eastAsia"/>
          <w:szCs w:val="21"/>
          <w:highlight w:val="none"/>
        </w:rPr>
        <w:t xml:space="preserve">。 </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highlight w:val="none"/>
        </w:rPr>
      </w:pPr>
      <w:r>
        <w:rPr>
          <w:szCs w:val="21"/>
          <w:highlight w:val="none"/>
        </w:rPr>
        <w:t>备注：</w:t>
      </w:r>
      <w:r>
        <w:rPr>
          <w:rFonts w:hint="eastAsia"/>
          <w:szCs w:val="21"/>
          <w:highlight w:val="none"/>
          <w:lang w:val="en-US" w:eastAsia="zh-CN"/>
        </w:rPr>
        <w:t>结算</w:t>
      </w:r>
      <w:r>
        <w:rPr>
          <w:rFonts w:hint="eastAsia"/>
          <w:szCs w:val="21"/>
          <w:highlight w:val="none"/>
        </w:rPr>
        <w:t>最高单价不得超过浙江省发展和改革委员会网站（http://fzggw.zj.gov.cn//）发布的最近一期浙江省成品油价格调整公告中《浙江省汽、柴油最高批发、零售价格表》（按照最新期价格表执行）中的0号柴油（国Ⅵ）零售价格。</w:t>
      </w:r>
    </w:p>
    <w:p>
      <w:pPr>
        <w:keepNext w:val="0"/>
        <w:keepLines w:val="0"/>
        <w:pageBreakBefore w:val="0"/>
        <w:widowControl w:val="0"/>
        <w:tabs>
          <w:tab w:val="left" w:pos="518"/>
        </w:tabs>
        <w:kinsoku/>
        <w:wordWrap/>
        <w:overflowPunct/>
        <w:topLinePunct w:val="0"/>
        <w:autoSpaceDE/>
        <w:autoSpaceDN/>
        <w:bidi w:val="0"/>
        <w:adjustRightInd w:val="0"/>
        <w:snapToGrid w:val="0"/>
        <w:spacing w:line="240" w:lineRule="auto"/>
        <w:ind w:firstLine="420" w:firstLineChars="200"/>
        <w:textAlignment w:val="auto"/>
        <w:rPr>
          <w:szCs w:val="21"/>
        </w:rPr>
      </w:pP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szCs w:val="21"/>
        </w:rPr>
      </w:pPr>
      <w:r>
        <w:rPr>
          <w:rFonts w:hint="eastAsia" w:ascii="Times New Roman" w:hAnsi="Times New Roman" w:cs="Times New Roman"/>
          <w:szCs w:val="21"/>
        </w:rPr>
        <w:t>标项</w:t>
      </w:r>
      <w:r>
        <w:rPr>
          <w:rFonts w:hint="eastAsia" w:ascii="Times New Roman" w:hAnsi="Times New Roman" w:cs="Times New Roman"/>
          <w:szCs w:val="21"/>
          <w:lang w:val="en-US" w:eastAsia="zh-CN"/>
        </w:rPr>
        <w:t>2</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szCs w:val="21"/>
          <w:lang w:eastAsia="zh-CN"/>
        </w:rPr>
      </w:pPr>
      <w:r>
        <w:rPr>
          <w:rFonts w:hint="eastAsia" w:ascii="Times New Roman" w:hAnsi="Times New Roman" w:cs="Times New Roman"/>
          <w:szCs w:val="21"/>
        </w:rPr>
        <w:t>标项名称：油罐车供油方式的柴油采购</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rPr>
        <w:t>数量：</w:t>
      </w:r>
      <w:r>
        <w:rPr>
          <w:rFonts w:hint="eastAsia" w:ascii="Times New Roman" w:hAnsi="Times New Roman" w:cs="Times New Roman"/>
          <w:szCs w:val="21"/>
          <w:lang w:val="en-US" w:eastAsia="zh-CN"/>
        </w:rPr>
        <w:t>1项</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default" w:eastAsia="宋体"/>
          <w:szCs w:val="21"/>
          <w:lang w:val="en-US" w:eastAsia="zh-CN"/>
        </w:rPr>
      </w:pPr>
      <w:r>
        <w:rPr>
          <w:szCs w:val="21"/>
        </w:rPr>
        <w:t>预算金额（元）</w:t>
      </w:r>
      <w:r>
        <w:rPr>
          <w:rFonts w:hint="eastAsia"/>
          <w:szCs w:val="21"/>
        </w:rPr>
        <w:t>：893</w:t>
      </w:r>
      <w:r>
        <w:rPr>
          <w:rFonts w:hint="eastAsia"/>
          <w:szCs w:val="21"/>
          <w:lang w:val="en-US" w:eastAsia="zh-CN"/>
        </w:rPr>
        <w:t>000</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简要规格描述或项目基本概况介绍、用途：</w:t>
      </w:r>
      <w:r>
        <w:rPr>
          <w:rFonts w:hint="eastAsia" w:ascii="Calibri" w:hAnsi="Calibri" w:cs="Calibri"/>
          <w:kern w:val="0"/>
          <w:szCs w:val="21"/>
        </w:rPr>
        <w:t>油罐车供油方式的0号柴油采购</w:t>
      </w:r>
      <w:r>
        <w:rPr>
          <w:rFonts w:hint="eastAsia"/>
          <w:szCs w:val="21"/>
        </w:rPr>
        <w:t>，详细内容见采购需求。</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备注：</w:t>
      </w:r>
      <w:r>
        <w:rPr>
          <w:rFonts w:hint="eastAsia"/>
          <w:szCs w:val="21"/>
          <w:lang w:val="en-US" w:eastAsia="zh-CN"/>
        </w:rPr>
        <w:t>结算</w:t>
      </w:r>
      <w:r>
        <w:rPr>
          <w:rFonts w:hint="eastAsia"/>
          <w:szCs w:val="21"/>
        </w:rPr>
        <w:t>最高单价不得超过浙江省发展和改革委员会网站（http://fzggw.zj.gov.cn//）发布的最近一期浙江省成品油价格调整公告中《浙江省汽、柴油最高批发、零售价格表》（按照最新期价格表执行）中的0号柴油（国Ⅵ）零售价格。</w:t>
      </w:r>
    </w:p>
    <w:p>
      <w:pPr>
        <w:pStyle w:val="58"/>
      </w:pP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szCs w:val="21"/>
        </w:rPr>
        <w:t>服务期限</w:t>
      </w:r>
      <w:r>
        <w:rPr>
          <w:szCs w:val="21"/>
        </w:rPr>
        <w:t>：标项1</w:t>
      </w:r>
      <w:r>
        <w:rPr>
          <w:rFonts w:hint="eastAsia"/>
          <w:szCs w:val="21"/>
          <w:lang w:eastAsia="zh-CN"/>
        </w:rPr>
        <w:t>、</w:t>
      </w:r>
      <w:r>
        <w:rPr>
          <w:rFonts w:hint="eastAsia"/>
          <w:szCs w:val="21"/>
        </w:rPr>
        <w:t>标项</w:t>
      </w:r>
      <w:r>
        <w:rPr>
          <w:rFonts w:hint="eastAsia"/>
          <w:szCs w:val="21"/>
          <w:lang w:val="en-US" w:eastAsia="zh-CN"/>
        </w:rPr>
        <w:t>2</w:t>
      </w:r>
      <w:r>
        <w:rPr>
          <w:rFonts w:hint="eastAsia"/>
          <w:szCs w:val="21"/>
        </w:rPr>
        <w:t>，本次招标有效期为三年；合同一年一签，自合同签订生效日起一年；本合同结束后，采购单位可根据该年度合同履约情况及资金审批情况决定是否续签下一个年度，续签最多二次。</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本项目（否）接受联合体投标。</w:t>
      </w:r>
    </w:p>
    <w:p>
      <w:pPr>
        <w:keepNext w:val="0"/>
        <w:keepLines w:val="0"/>
        <w:pageBreakBefore w:val="0"/>
        <w:widowControl w:val="0"/>
        <w:kinsoku/>
        <w:wordWrap/>
        <w:overflowPunct/>
        <w:topLinePunct w:val="0"/>
        <w:autoSpaceDE/>
        <w:autoSpaceDN/>
        <w:bidi w:val="0"/>
        <w:adjustRightInd/>
        <w:snapToGrid/>
        <w:spacing w:line="80" w:lineRule="exact"/>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二、申请人的资格要求</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1.满足《中华人民共和国政府采购法》第二十二条规定；未被“信用中国”（www.creditchina.gov.cn)、中国政府采购网（www.ccgp.gov.cn）列入失信被执行人、重大税收违法失信主体、政府采购严重违法失信行为记录名单。</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2.落实政府采购政策需满足的资格要求：</w:t>
      </w:r>
      <w:r>
        <w:rPr>
          <w:rFonts w:hint="eastAsia"/>
          <w:szCs w:val="21"/>
        </w:rPr>
        <w:t>无</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3.本项目的特定资格</w:t>
      </w:r>
      <w:r>
        <w:rPr>
          <w:szCs w:val="21"/>
          <w:highlight w:val="none"/>
        </w:rPr>
        <w:t>要求：</w:t>
      </w:r>
      <w:r>
        <w:rPr>
          <w:rFonts w:hint="eastAsia"/>
          <w:szCs w:val="21"/>
          <w:highlight w:val="none"/>
        </w:rPr>
        <w:t>【标项1</w:t>
      </w:r>
      <w:r>
        <w:rPr>
          <w:rFonts w:hint="eastAsia"/>
          <w:szCs w:val="21"/>
          <w:highlight w:val="none"/>
          <w:lang w:eastAsia="zh-CN"/>
        </w:rPr>
        <w:t>、</w:t>
      </w:r>
      <w:r>
        <w:rPr>
          <w:rFonts w:hint="eastAsia"/>
          <w:szCs w:val="21"/>
          <w:highlight w:val="none"/>
        </w:rPr>
        <w:t>标项2】</w:t>
      </w:r>
      <w:r>
        <w:rPr>
          <w:rFonts w:hint="eastAsia"/>
          <w:szCs w:val="21"/>
          <w:highlight w:val="none"/>
          <w:lang w:eastAsia="zh-CN"/>
        </w:rPr>
        <w:t>：</w:t>
      </w:r>
      <w:r>
        <w:rPr>
          <w:rFonts w:hint="eastAsia"/>
          <w:szCs w:val="21"/>
          <w:highlight w:val="none"/>
          <w:lang w:val="en-US" w:eastAsia="zh-CN"/>
        </w:rPr>
        <w:t>供应商</w:t>
      </w:r>
      <w:r>
        <w:rPr>
          <w:rFonts w:hint="eastAsia"/>
          <w:szCs w:val="21"/>
          <w:highlight w:val="none"/>
        </w:rPr>
        <w:t>需具有《成品油零售经营批准证书》及《危险化学品经营许可证》。</w:t>
      </w:r>
    </w:p>
    <w:p>
      <w:pPr>
        <w:keepNext w:val="0"/>
        <w:keepLines w:val="0"/>
        <w:pageBreakBefore w:val="0"/>
        <w:widowControl w:val="0"/>
        <w:kinsoku/>
        <w:wordWrap/>
        <w:overflowPunct/>
        <w:topLinePunct w:val="0"/>
        <w:autoSpaceDE/>
        <w:autoSpaceDN/>
        <w:bidi w:val="0"/>
        <w:adjustRightInd/>
        <w:snapToGrid/>
        <w:spacing w:line="80" w:lineRule="exact"/>
        <w:textAlignment w:val="auto"/>
      </w:pP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szCs w:val="21"/>
        </w:rPr>
      </w:pPr>
      <w:r>
        <w:rPr>
          <w:b/>
          <w:bCs/>
        </w:rPr>
        <w:t>获取招标文件</w:t>
      </w:r>
      <w:r>
        <w:rPr>
          <w:rFonts w:hint="eastAsia"/>
          <w:b/>
          <w:bCs/>
        </w:rPr>
        <w:t>：</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时间：202</w:t>
      </w:r>
      <w:r>
        <w:rPr>
          <w:rFonts w:hint="eastAsia"/>
          <w:szCs w:val="21"/>
        </w:rPr>
        <w:t>4</w:t>
      </w:r>
      <w:r>
        <w:rPr>
          <w:szCs w:val="21"/>
        </w:rPr>
        <w:t>年</w:t>
      </w:r>
      <w:r>
        <w:rPr>
          <w:rFonts w:hint="eastAsia"/>
          <w:szCs w:val="21"/>
          <w:u w:val="single"/>
          <w:lang w:val="en-US" w:eastAsia="zh-CN"/>
        </w:rPr>
        <w:t>2</w:t>
      </w:r>
      <w:r>
        <w:rPr>
          <w:szCs w:val="21"/>
        </w:rPr>
        <w:t>月</w:t>
      </w:r>
      <w:r>
        <w:rPr>
          <w:rFonts w:hint="eastAsia"/>
          <w:szCs w:val="21"/>
          <w:u w:val="single"/>
          <w:lang w:val="en-US" w:eastAsia="zh-CN"/>
        </w:rPr>
        <w:t>8</w:t>
      </w:r>
      <w:bookmarkStart w:id="347" w:name="_GoBack"/>
      <w:bookmarkEnd w:id="347"/>
      <w:r>
        <w:rPr>
          <w:szCs w:val="21"/>
        </w:rPr>
        <w:t>日</w:t>
      </w:r>
      <w:r>
        <w:rPr>
          <w:rFonts w:hint="eastAsia"/>
          <w:szCs w:val="21"/>
          <w:lang w:val="en-US" w:eastAsia="zh-CN"/>
        </w:rPr>
        <w:t>起</w:t>
      </w:r>
      <w:r>
        <w:rPr>
          <w:szCs w:val="21"/>
        </w:rPr>
        <w:t>至202</w:t>
      </w:r>
      <w:r>
        <w:rPr>
          <w:rFonts w:hint="eastAsia"/>
          <w:szCs w:val="21"/>
        </w:rPr>
        <w:t>4</w:t>
      </w:r>
      <w:r>
        <w:rPr>
          <w:szCs w:val="21"/>
        </w:rPr>
        <w:t>年</w:t>
      </w:r>
      <w:r>
        <w:rPr>
          <w:rFonts w:hint="eastAsia"/>
          <w:szCs w:val="21"/>
          <w:u w:val="single"/>
          <w:lang w:val="en-US" w:eastAsia="zh-CN"/>
        </w:rPr>
        <w:t>2</w:t>
      </w:r>
      <w:r>
        <w:rPr>
          <w:szCs w:val="21"/>
        </w:rPr>
        <w:t>月</w:t>
      </w:r>
      <w:r>
        <w:rPr>
          <w:rFonts w:hint="eastAsia"/>
          <w:szCs w:val="21"/>
          <w:u w:val="single"/>
          <w:lang w:val="en-US" w:eastAsia="zh-CN"/>
        </w:rPr>
        <w:t>22</w:t>
      </w:r>
      <w:r>
        <w:rPr>
          <w:szCs w:val="21"/>
        </w:rPr>
        <w:t>日，每天上午00:00至12:00，下午12:00至23:59（北京时间，线上获取法定节假日均可，线下获取文件法定节假日除外）</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地点（网址）：</w:t>
      </w:r>
      <w:r>
        <w:rPr>
          <w:rFonts w:hint="eastAsia"/>
          <w:szCs w:val="21"/>
        </w:rPr>
        <w:t xml:space="preserve">政采云平台线上获取  </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szCs w:val="21"/>
        </w:rPr>
      </w:pPr>
      <w:r>
        <w:rPr>
          <w:szCs w:val="21"/>
        </w:rPr>
        <w:t>方式：</w:t>
      </w:r>
      <w:r>
        <w:rPr>
          <w:rFonts w:hint="eastAsia"/>
          <w:szCs w:val="21"/>
        </w:rPr>
        <w:t>供应商登录政采云平台https://www.zcygov.cn/在线申请获取采购文件（进入“项目采购”应用，在获取采购文件菜单中选择项目，申请获取采购文件）。</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售价（元）：0</w:t>
      </w:r>
    </w:p>
    <w:p>
      <w:pPr>
        <w:keepNext w:val="0"/>
        <w:keepLines w:val="0"/>
        <w:pageBreakBefore w:val="0"/>
        <w:widowControl w:val="0"/>
        <w:kinsoku/>
        <w:wordWrap/>
        <w:overflowPunct/>
        <w:topLinePunct w:val="0"/>
        <w:autoSpaceDE/>
        <w:autoSpaceDN/>
        <w:bidi w:val="0"/>
        <w:adjustRightInd/>
        <w:snapToGrid/>
        <w:spacing w:line="80" w:lineRule="exact"/>
        <w:textAlignment w:val="auto"/>
      </w:pP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jc w:val="left"/>
        <w:textAlignment w:val="auto"/>
        <w:rPr>
          <w:b/>
          <w:bCs/>
          <w:szCs w:val="21"/>
        </w:rPr>
      </w:pPr>
      <w:r>
        <w:rPr>
          <w:b/>
          <w:bCs/>
          <w:szCs w:val="21"/>
        </w:rPr>
        <w:t>四、提交投标文件截止时间、开标时间和地点</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提交投标文件截止时间：2024年</w:t>
      </w:r>
      <w:r>
        <w:rPr>
          <w:rFonts w:hint="eastAsia"/>
          <w:szCs w:val="21"/>
          <w:u w:val="single"/>
          <w:lang w:val="en-US" w:eastAsia="zh-CN"/>
        </w:rPr>
        <w:t>3</w:t>
      </w:r>
      <w:r>
        <w:rPr>
          <w:szCs w:val="21"/>
        </w:rPr>
        <w:t>月</w:t>
      </w:r>
      <w:r>
        <w:rPr>
          <w:rFonts w:hint="eastAsia"/>
          <w:szCs w:val="21"/>
          <w:u w:val="single"/>
          <w:lang w:val="en-US" w:eastAsia="zh-CN"/>
        </w:rPr>
        <w:t>5</w:t>
      </w:r>
      <w:r>
        <w:rPr>
          <w:szCs w:val="21"/>
        </w:rPr>
        <w:t>日</w:t>
      </w:r>
      <w:r>
        <w:rPr>
          <w:rFonts w:hint="eastAsia"/>
          <w:szCs w:val="21"/>
          <w:u w:val="single"/>
        </w:rPr>
        <w:t>14</w:t>
      </w:r>
      <w:r>
        <w:rPr>
          <w:rFonts w:hint="eastAsia"/>
          <w:szCs w:val="21"/>
          <w:lang w:eastAsia="zh-CN"/>
        </w:rPr>
        <w:t>：</w:t>
      </w:r>
      <w:r>
        <w:rPr>
          <w:szCs w:val="21"/>
          <w:u w:val="single"/>
        </w:rPr>
        <w:t>00</w:t>
      </w:r>
      <w:r>
        <w:rPr>
          <w:szCs w:val="21"/>
        </w:rPr>
        <w:t>（北京时间）</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投标地点（网址）：</w:t>
      </w:r>
      <w:r>
        <w:rPr>
          <w:rFonts w:hint="eastAsia"/>
          <w:szCs w:val="21"/>
        </w:rPr>
        <w:t xml:space="preserve">政采云平台（https：//www.zcygov.cn/） </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开标时间：2024年</w:t>
      </w:r>
      <w:r>
        <w:rPr>
          <w:rFonts w:hint="eastAsia"/>
          <w:szCs w:val="21"/>
          <w:u w:val="single"/>
          <w:lang w:val="en-US" w:eastAsia="zh-CN"/>
        </w:rPr>
        <w:t>3</w:t>
      </w:r>
      <w:r>
        <w:rPr>
          <w:szCs w:val="21"/>
        </w:rPr>
        <w:t>月</w:t>
      </w:r>
      <w:r>
        <w:rPr>
          <w:rFonts w:hint="eastAsia"/>
          <w:szCs w:val="21"/>
          <w:u w:val="single"/>
          <w:lang w:val="en-US" w:eastAsia="zh-CN"/>
        </w:rPr>
        <w:t>5</w:t>
      </w:r>
      <w:r>
        <w:rPr>
          <w:szCs w:val="21"/>
        </w:rPr>
        <w:t>日</w:t>
      </w:r>
      <w:r>
        <w:rPr>
          <w:rFonts w:hint="eastAsia"/>
          <w:szCs w:val="21"/>
          <w:u w:val="single"/>
        </w:rPr>
        <w:t>14</w:t>
      </w:r>
      <w:r>
        <w:rPr>
          <w:rFonts w:hint="eastAsia"/>
          <w:szCs w:val="21"/>
          <w:lang w:eastAsia="zh-CN"/>
        </w:rPr>
        <w:t>：</w:t>
      </w:r>
      <w:r>
        <w:rPr>
          <w:szCs w:val="21"/>
          <w:u w:val="single"/>
        </w:rPr>
        <w:t>00</w:t>
      </w:r>
      <w:r>
        <w:rPr>
          <w:szCs w:val="21"/>
        </w:rPr>
        <w:t>（北京时间）</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szCs w:val="21"/>
        </w:rPr>
      </w:pPr>
      <w:r>
        <w:rPr>
          <w:szCs w:val="21"/>
        </w:rPr>
        <w:t>开标地点（网址）：</w:t>
      </w:r>
      <w:r>
        <w:rPr>
          <w:rFonts w:hint="eastAsia"/>
          <w:szCs w:val="21"/>
        </w:rPr>
        <w:t xml:space="preserve">政采云平台（https：//www.zcygov.cn/） </w:t>
      </w:r>
    </w:p>
    <w:p>
      <w:pPr>
        <w:keepNext w:val="0"/>
        <w:keepLines w:val="0"/>
        <w:pageBreakBefore w:val="0"/>
        <w:widowControl w:val="0"/>
        <w:kinsoku/>
        <w:wordWrap/>
        <w:overflowPunct/>
        <w:topLinePunct w:val="0"/>
        <w:autoSpaceDE/>
        <w:autoSpaceDN/>
        <w:bidi w:val="0"/>
        <w:adjustRightInd/>
        <w:snapToGrid/>
        <w:spacing w:line="80" w:lineRule="exact"/>
        <w:textAlignment w:val="auto"/>
      </w:pP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jc w:val="left"/>
        <w:textAlignment w:val="auto"/>
        <w:rPr>
          <w:b/>
          <w:bCs/>
          <w:szCs w:val="21"/>
        </w:rPr>
      </w:pPr>
      <w:r>
        <w:rPr>
          <w:b/>
          <w:bCs/>
          <w:szCs w:val="21"/>
        </w:rPr>
        <w:t>五、公告期限 </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自本公告发布之日起5个工作日。</w:t>
      </w:r>
    </w:p>
    <w:p>
      <w:pPr>
        <w:keepNext w:val="0"/>
        <w:keepLines w:val="0"/>
        <w:pageBreakBefore w:val="0"/>
        <w:widowControl w:val="0"/>
        <w:kinsoku/>
        <w:wordWrap/>
        <w:overflowPunct/>
        <w:topLinePunct w:val="0"/>
        <w:autoSpaceDE/>
        <w:autoSpaceDN/>
        <w:bidi w:val="0"/>
        <w:adjustRightInd/>
        <w:snapToGrid/>
        <w:spacing w:line="80" w:lineRule="exact"/>
        <w:textAlignment w:val="auto"/>
        <w:rPr>
          <w:b/>
          <w:bCs/>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Cs w:val="21"/>
        </w:rPr>
      </w:pPr>
      <w:r>
        <w:rPr>
          <w:b/>
          <w:bCs/>
          <w:szCs w:val="21"/>
        </w:rPr>
        <w:t>六、其他补充事宜</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szCs w:val="21"/>
        </w:rPr>
      </w:pPr>
      <w:r>
        <w:rPr>
          <w:rFonts w:hint="eastAsia"/>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2.其他事项：</w:t>
      </w:r>
      <w:r>
        <w:rPr>
          <w:rFonts w:hint="eastAsia"/>
          <w:szCs w:val="21"/>
          <w:lang w:val="en-US" w:eastAsia="zh-CN"/>
        </w:rPr>
        <w:t>2.1</w:t>
      </w:r>
      <w:r>
        <w:rPr>
          <w:szCs w:val="21"/>
        </w:rPr>
        <w:t>落实的政策：《关于促进残疾人就业政府采购政策的通知》（财库[2017]141号）、《政府采购促进中小企业发展管理办法》（财库〔2020〕46号）、《关于政府采购支持监狱企业发展有关问题的通知》(财库[2014]68号)。</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szCs w:val="21"/>
          <w:lang w:val="en-US" w:eastAsia="zh-CN"/>
        </w:rPr>
        <w:t>2.2</w:t>
      </w:r>
      <w:r>
        <w:rPr>
          <w:szCs w:val="21"/>
        </w:rPr>
        <w:t>本次政府采购活动有关信息在“浙江政府采购网”、“宁波政府采购网”、“</w:t>
      </w:r>
      <w:r>
        <w:rPr>
          <w:rFonts w:hint="eastAsia"/>
          <w:szCs w:val="21"/>
          <w:lang w:eastAsia="zh-CN"/>
        </w:rPr>
        <w:t>宁波华欣建设项目管理有限公司</w:t>
      </w:r>
      <w:r>
        <w:rPr>
          <w:szCs w:val="21"/>
        </w:rPr>
        <w:t>”</w:t>
      </w:r>
      <w:r>
        <w:rPr>
          <w:rFonts w:hint="eastAsia"/>
          <w:szCs w:val="21"/>
          <w:lang w:val="en-US" w:eastAsia="zh-CN"/>
        </w:rPr>
        <w:t xml:space="preserve"> </w:t>
      </w:r>
      <w:r>
        <w:rPr>
          <w:szCs w:val="21"/>
        </w:rPr>
        <w:t>网站上公布，公布信息视同送达所有潜在投标人。</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szCs w:val="21"/>
          <w:lang w:val="en-US" w:eastAsia="zh-CN"/>
        </w:rPr>
        <w:t>2.</w:t>
      </w:r>
      <w:r>
        <w:rPr>
          <w:szCs w:val="21"/>
        </w:rPr>
        <w:t>3</w:t>
      </w:r>
      <w:r>
        <w:rPr>
          <w:rFonts w:hint="eastAsia"/>
          <w:szCs w:val="21"/>
        </w:rPr>
        <w:t>供应商</w:t>
      </w:r>
      <w:r>
        <w:rPr>
          <w:szCs w:val="21"/>
        </w:rPr>
        <w:t>应于提交投标文件截止时间前将电子投标文件上传到政府采购云平台。</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szCs w:val="21"/>
          <w:lang w:val="en-US" w:eastAsia="zh-CN"/>
        </w:rPr>
        <w:t>2.</w:t>
      </w:r>
      <w:r>
        <w:rPr>
          <w:szCs w:val="21"/>
        </w:rPr>
        <w:t>4开标时间后半小时内投标单位可以登录政府采购云平台，用“项目采购-开标评标”功能进行解密投标文件。</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szCs w:val="21"/>
          <w:lang w:val="en-US" w:eastAsia="zh-CN"/>
        </w:rPr>
        <w:t>2.</w:t>
      </w:r>
      <w:r>
        <w:rPr>
          <w:szCs w:val="21"/>
        </w:rPr>
        <w:t>5本项目实行网上投标，采用电子投标文件。若</w:t>
      </w:r>
      <w:r>
        <w:rPr>
          <w:rFonts w:hint="eastAsia"/>
          <w:szCs w:val="21"/>
        </w:rPr>
        <w:t>供应商</w:t>
      </w:r>
      <w:r>
        <w:rPr>
          <w:szCs w:val="21"/>
        </w:rPr>
        <w:t>参与投标，自行承担投标一切费用。</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szCs w:val="21"/>
          <w:lang w:eastAsia="zh-CN"/>
        </w:rPr>
      </w:pPr>
      <w:r>
        <w:rPr>
          <w:rFonts w:hint="eastAsia"/>
          <w:szCs w:val="21"/>
          <w:lang w:val="en-US" w:eastAsia="zh-CN"/>
        </w:rPr>
        <w:t>2.</w:t>
      </w:r>
      <w:r>
        <w:rPr>
          <w:szCs w:val="21"/>
        </w:rPr>
        <w:t>6</w:t>
      </w:r>
      <w:r>
        <w:rPr>
          <w:rFonts w:hint="eastAsia"/>
          <w:szCs w:val="21"/>
        </w:rPr>
        <w:t>标前准备：各供应商应在开标前确保成为浙江政府采购网正式注册入库供应商，并完成CA数字证书办理。因未注册入库、未办理CA数字证书等原因造成无法投标或投标失败等后果由供应商自行承担。CA数字证书相关操作可参考“浙江政府采购网-下载专区-电子交易客户端-CA驱动和申领流程”</w:t>
      </w:r>
      <w:r>
        <w:rPr>
          <w:rFonts w:hint="eastAsia"/>
          <w:szCs w:val="21"/>
          <w:lang w:eastAsia="zh-CN"/>
        </w:rPr>
        <w:t>。</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szCs w:val="21"/>
          <w:lang w:val="en-US" w:eastAsia="zh-CN"/>
        </w:rPr>
        <w:t>2.</w:t>
      </w:r>
      <w:r>
        <w:rPr>
          <w:szCs w:val="21"/>
        </w:rPr>
        <w:t>7</w:t>
      </w:r>
      <w:r>
        <w:rPr>
          <w:rFonts w:hint="eastAsia"/>
          <w:szCs w:val="21"/>
        </w:rPr>
        <w:t>投标文件制作：（1）应按照本项目采购文件和政府采购云平台的要求编制、加密并递交投标文件。供应商在使用系统进行投标的过程中遇到涉及平台使用的任何问题，可致电政采云平台技术支持热线咨询，联系方式：95763。（2）供应商通过政府采购云平台电子投标工具制作投标文件，电子投标工具请供应商自行前往浙江政府采购网下载并安装（下载网址：http：//zfcg.czt.zj.gov.cn/bidClientTemplate/2019-05-27/12946.html），投标文件制作具体流程详见政府采购云平台“供应商-政府采购项目电子交易操作指南”（https：//help.zcygov.cn/web/site_2/2018/12-28/2573.html）。</w:t>
      </w:r>
      <w:r>
        <w:rPr>
          <w:szCs w:val="21"/>
        </w:rPr>
        <w:t>（3）以U盘存储的电子备份投标文件1份，即按“项目采购-电子招投标操作指南”制作的电子备份文件</w:t>
      </w:r>
      <w:r>
        <w:rPr>
          <w:rFonts w:hint="eastAsia"/>
          <w:szCs w:val="21"/>
        </w:rPr>
        <w:t>（自愿提供，用于异常情况处理）</w:t>
      </w:r>
      <w:r>
        <w:rPr>
          <w:szCs w:val="21"/>
        </w:rPr>
        <w:t>。</w:t>
      </w:r>
    </w:p>
    <w:p>
      <w:pPr>
        <w:keepNext w:val="0"/>
        <w:keepLines w:val="0"/>
        <w:pageBreakBefore w:val="0"/>
        <w:widowControl w:val="0"/>
        <w:kinsoku/>
        <w:wordWrap/>
        <w:overflowPunct/>
        <w:topLinePunct w:val="0"/>
        <w:autoSpaceDE/>
        <w:autoSpaceDN/>
        <w:bidi w:val="0"/>
        <w:adjustRightInd/>
        <w:snapToGrid/>
        <w:spacing w:line="80" w:lineRule="exact"/>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Cs w:val="21"/>
        </w:rPr>
      </w:pPr>
      <w:r>
        <w:rPr>
          <w:b/>
          <w:bCs/>
          <w:szCs w:val="21"/>
        </w:rPr>
        <w:t>七、对本次采购提出询问、质疑、投诉，请按以下方式联系</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1.采购人信息</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名  称：</w:t>
      </w:r>
      <w:r>
        <w:rPr>
          <w:rFonts w:hint="eastAsia"/>
          <w:szCs w:val="21"/>
        </w:rPr>
        <w:t>宁波市海洋与渔业执法队</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地  址：</w:t>
      </w:r>
      <w:r>
        <w:rPr>
          <w:rFonts w:hint="eastAsia"/>
          <w:szCs w:val="21"/>
        </w:rPr>
        <w:t>宁波市海曙区文化路14号</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传  真：/</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项目联系人（询问）：</w:t>
      </w:r>
      <w:r>
        <w:rPr>
          <w:rFonts w:hint="eastAsia"/>
          <w:szCs w:val="21"/>
        </w:rPr>
        <w:t>严老师</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项目联系方式（询问）：0</w:t>
      </w:r>
      <w:r>
        <w:rPr>
          <w:rFonts w:hint="eastAsia"/>
          <w:szCs w:val="21"/>
        </w:rPr>
        <w:t>574-89298547</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质疑联系人：</w:t>
      </w:r>
      <w:r>
        <w:rPr>
          <w:rFonts w:hint="eastAsia"/>
          <w:szCs w:val="21"/>
          <w:lang w:val="en-US" w:eastAsia="zh-CN"/>
        </w:rPr>
        <w:t>邬</w:t>
      </w:r>
      <w:r>
        <w:rPr>
          <w:rFonts w:hint="eastAsia"/>
          <w:szCs w:val="21"/>
        </w:rPr>
        <w:t>老师</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质疑联系方式：</w:t>
      </w:r>
      <w:r>
        <w:rPr>
          <w:rFonts w:hint="eastAsia"/>
          <w:szCs w:val="21"/>
        </w:rPr>
        <w:t>0574-89298531</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2.采购代理机构信息</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szCs w:val="21"/>
          <w:lang w:eastAsia="zh-CN"/>
        </w:rPr>
      </w:pPr>
      <w:r>
        <w:rPr>
          <w:szCs w:val="21"/>
        </w:rPr>
        <w:t>名   称：</w:t>
      </w:r>
      <w:r>
        <w:rPr>
          <w:rFonts w:hint="eastAsia"/>
          <w:szCs w:val="21"/>
          <w:lang w:eastAsia="zh-CN"/>
        </w:rPr>
        <w:t>宁波华欣建设项目管理有限公司</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地   址：</w:t>
      </w:r>
      <w:r>
        <w:rPr>
          <w:rFonts w:hint="eastAsia"/>
          <w:szCs w:val="21"/>
        </w:rPr>
        <w:t>宁波市江北区长兴路715号恒凯大厦603室</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传   真：</w:t>
      </w:r>
      <w:r>
        <w:rPr>
          <w:rFonts w:hint="eastAsia"/>
          <w:szCs w:val="21"/>
        </w:rPr>
        <w:t>/</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default"/>
          <w:szCs w:val="21"/>
          <w:lang w:val="en-US" w:eastAsia="zh-CN"/>
        </w:rPr>
      </w:pPr>
      <w:r>
        <w:rPr>
          <w:szCs w:val="21"/>
        </w:rPr>
        <w:t>项目联系人（询问）：</w:t>
      </w:r>
      <w:r>
        <w:rPr>
          <w:rFonts w:hint="eastAsia"/>
          <w:szCs w:val="21"/>
        </w:rPr>
        <w:t>陈佳妮、王静、王波、虞礼周、田恬</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项目联系方式（询问）：0574-</w:t>
      </w:r>
      <w:r>
        <w:rPr>
          <w:rFonts w:hint="eastAsia"/>
          <w:szCs w:val="21"/>
        </w:rPr>
        <w:t>88228779</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质疑联系人：</w:t>
      </w:r>
      <w:r>
        <w:rPr>
          <w:rFonts w:hint="eastAsia"/>
          <w:szCs w:val="21"/>
          <w:lang w:val="en-US" w:eastAsia="zh-CN"/>
        </w:rPr>
        <w:t>唐佳萍</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default"/>
          <w:szCs w:val="21"/>
          <w:lang w:val="en-US" w:eastAsia="zh-CN"/>
        </w:rPr>
      </w:pPr>
      <w:r>
        <w:rPr>
          <w:szCs w:val="21"/>
        </w:rPr>
        <w:t>质疑联系方式：0574-</w:t>
      </w:r>
      <w:r>
        <w:rPr>
          <w:rFonts w:hint="eastAsia"/>
          <w:szCs w:val="21"/>
        </w:rPr>
        <w:t>882287</w:t>
      </w:r>
      <w:r>
        <w:rPr>
          <w:rFonts w:hint="eastAsia"/>
          <w:szCs w:val="21"/>
          <w:lang w:val="en-US" w:eastAsia="zh-CN"/>
        </w:rPr>
        <w:t>80</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3.同级政府采购监督管理部门</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名  称：宁波市政府采购管理办公室</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地  址：</w:t>
      </w:r>
      <w:r>
        <w:rPr>
          <w:rFonts w:hint="eastAsia"/>
          <w:szCs w:val="21"/>
        </w:rPr>
        <w:t>宁波市海曙区中山西路19号 </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传  真：/</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 xml:space="preserve">联系人 ：李老师 </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监督投诉电话：0574-89388042</w:t>
      </w:r>
    </w:p>
    <w:p>
      <w:pPr>
        <w:pStyle w:val="2"/>
      </w:pP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若对项目采购电子交易系统操作有疑问，可登录政采云（https://www.zcygov.cn/），点击右侧咨询小采，获取采小蜜智能服务管家帮助，或拨打政采云服务热线95763获取热线服务帮助。       </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szCs w:val="21"/>
        </w:rPr>
      </w:pPr>
      <w:r>
        <w:rPr>
          <w:szCs w:val="21"/>
        </w:rPr>
        <w:t>CA问题联系电话（人工）：汇信CA 400-888-4636；天谷CA 400-087-8198。</w:t>
      </w:r>
    </w:p>
    <w:p>
      <w:pPr>
        <w:jc w:val="center"/>
        <w:rPr>
          <w:kern w:val="0"/>
          <w:szCs w:val="21"/>
        </w:rPr>
      </w:pPr>
      <w:r>
        <w:rPr>
          <w:kern w:val="0"/>
          <w:szCs w:val="21"/>
        </w:rPr>
        <w:br w:type="page"/>
      </w:r>
    </w:p>
    <w:p>
      <w:pPr>
        <w:pStyle w:val="3"/>
        <w:spacing w:before="0" w:after="0" w:line="360" w:lineRule="auto"/>
        <w:ind w:left="422" w:leftChars="201"/>
        <w:jc w:val="center"/>
        <w:rPr>
          <w:sz w:val="30"/>
        </w:rPr>
      </w:pPr>
      <w:bookmarkStart w:id="4" w:name="_Toc103878672"/>
      <w:bookmarkStart w:id="5" w:name="_Toc31618"/>
      <w:bookmarkStart w:id="6" w:name="_Toc460857891"/>
      <w:bookmarkStart w:id="7" w:name="_Toc460416585"/>
      <w:bookmarkStart w:id="8" w:name="_Toc19738"/>
      <w:r>
        <w:rPr>
          <w:sz w:val="30"/>
        </w:rPr>
        <w:t>第二章  采购需求</w:t>
      </w:r>
      <w:bookmarkEnd w:id="4"/>
      <w:bookmarkEnd w:id="5"/>
      <w:bookmarkEnd w:id="6"/>
      <w:bookmarkEnd w:id="7"/>
      <w:bookmarkEnd w:id="8"/>
    </w:p>
    <w:p>
      <w:pPr>
        <w:pStyle w:val="4"/>
        <w:numPr>
          <w:ilvl w:val="0"/>
          <w:numId w:val="0"/>
        </w:numPr>
        <w:tabs>
          <w:tab w:val="clear" w:pos="576"/>
          <w:tab w:val="clear" w:pos="1569"/>
        </w:tabs>
        <w:spacing w:before="0" w:after="0" w:line="360" w:lineRule="auto"/>
        <w:jc w:val="center"/>
        <w:rPr>
          <w:rFonts w:ascii="Times New Roman" w:hAnsi="Times New Roman" w:eastAsia="宋体"/>
          <w:sz w:val="21"/>
          <w:szCs w:val="21"/>
        </w:rPr>
      </w:pPr>
      <w:bookmarkStart w:id="9" w:name="_Toc103878673"/>
      <w:bookmarkStart w:id="10" w:name="_Toc1712"/>
      <w:bookmarkStart w:id="11" w:name="_Toc16224"/>
      <w:bookmarkStart w:id="12" w:name="_Toc460416635"/>
      <w:bookmarkStart w:id="13" w:name="_Toc304292160"/>
      <w:bookmarkStart w:id="14" w:name="_Toc317685546"/>
      <w:bookmarkStart w:id="15" w:name="_Toc460416586"/>
      <w:bookmarkStart w:id="16" w:name="_Toc460857892"/>
      <w:bookmarkStart w:id="17" w:name="_Toc460416331"/>
      <w:r>
        <w:rPr>
          <w:rFonts w:ascii="Times New Roman" w:hAnsi="Times New Roman" w:eastAsia="宋体"/>
          <w:sz w:val="21"/>
          <w:szCs w:val="21"/>
        </w:rPr>
        <w:t>前附表</w:t>
      </w:r>
      <w:bookmarkEnd w:id="9"/>
      <w:bookmarkEnd w:id="10"/>
      <w:bookmarkEnd w:id="11"/>
    </w:p>
    <w:tbl>
      <w:tblPr>
        <w:tblStyle w:val="4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38"/>
        <w:gridCol w:w="3672"/>
        <w:gridCol w:w="44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Cs w:val="21"/>
              </w:rPr>
            </w:pPr>
            <w:r>
              <w:rPr>
                <w:b/>
                <w:szCs w:val="21"/>
              </w:rPr>
              <w:t>序号</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Cs w:val="21"/>
              </w:rPr>
            </w:pPr>
            <w:r>
              <w:rPr>
                <w:b/>
                <w:szCs w:val="21"/>
              </w:rPr>
              <w:t>子项</w:t>
            </w:r>
          </w:p>
        </w:tc>
        <w:tc>
          <w:tcPr>
            <w:tcW w:w="44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Cs w:val="21"/>
              </w:rPr>
            </w:pPr>
            <w:r>
              <w:rPr>
                <w:b/>
                <w:szCs w:val="21"/>
              </w:rPr>
              <w:t>招标需求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Cs w:val="21"/>
              </w:rPr>
            </w:pPr>
            <w:r>
              <w:rPr>
                <w:b/>
                <w:szCs w:val="21"/>
              </w:rPr>
              <w:t>一</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Cs/>
                <w:szCs w:val="21"/>
              </w:rPr>
            </w:pPr>
            <w:r>
              <w:rPr>
                <w:bCs/>
                <w:szCs w:val="21"/>
              </w:rPr>
              <w:t>采购标的需实现的功能或者目标，为落实政府采购需满足的要求</w:t>
            </w:r>
          </w:p>
        </w:tc>
        <w:tc>
          <w:tcPr>
            <w:tcW w:w="44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szCs w:val="21"/>
              </w:rPr>
            </w:pPr>
            <w:r>
              <w:rPr>
                <w:szCs w:val="21"/>
              </w:rPr>
              <w:t>为了满足</w:t>
            </w:r>
            <w:r>
              <w:rPr>
                <w:rFonts w:hint="eastAsia"/>
                <w:szCs w:val="21"/>
                <w:lang w:eastAsia="zh-CN"/>
              </w:rPr>
              <w:t>宁波市海洋与渔业执法队执法船艇柴油采购</w:t>
            </w:r>
            <w:r>
              <w:rPr>
                <w:rFonts w:ascii="宋体" w:hAnsi="宋体"/>
                <w:szCs w:val="21"/>
              </w:rPr>
              <w:t>的需求</w:t>
            </w:r>
            <w:r>
              <w:rPr>
                <w:szCs w:val="21"/>
              </w:rPr>
              <w:t>，开展本次项目采购活动。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Cs w:val="21"/>
              </w:rPr>
            </w:pPr>
            <w:r>
              <w:rPr>
                <w:b/>
                <w:szCs w:val="21"/>
              </w:rPr>
              <w:t>二</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Cs/>
                <w:szCs w:val="21"/>
              </w:rPr>
            </w:pPr>
            <w:r>
              <w:rPr>
                <w:bCs/>
                <w:szCs w:val="21"/>
              </w:rPr>
              <w:t>采购标的需执行的国家相关标准、行业标准、地方标准或者其他标准规范</w:t>
            </w:r>
          </w:p>
        </w:tc>
        <w:tc>
          <w:tcPr>
            <w:tcW w:w="44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由投标单位提供的所有产品和服务必须符合下列规范、条例及标准，并不限于下列规范、条例及标准：</w:t>
            </w:r>
          </w:p>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由招标人认可的有关国家权威标准。</w:t>
            </w:r>
          </w:p>
          <w:p>
            <w:pPr>
              <w:keepNext w:val="0"/>
              <w:keepLines w:val="0"/>
              <w:pageBreakBefore w:val="0"/>
              <w:widowControl w:val="0"/>
              <w:kinsoku/>
              <w:wordWrap/>
              <w:overflowPunct/>
              <w:topLinePunct w:val="0"/>
              <w:autoSpaceDE/>
              <w:autoSpaceDN/>
              <w:bidi w:val="0"/>
              <w:adjustRightInd/>
              <w:snapToGrid/>
              <w:spacing w:line="360" w:lineRule="exact"/>
              <w:textAlignment w:val="auto"/>
              <w:rPr>
                <w:b/>
                <w:szCs w:val="21"/>
              </w:rPr>
            </w:pPr>
            <w:r>
              <w:rPr>
                <w:szCs w:val="21"/>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Cs w:val="21"/>
              </w:rPr>
            </w:pPr>
            <w:r>
              <w:rPr>
                <w:b/>
                <w:szCs w:val="21"/>
              </w:rPr>
              <w:t>三</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Cs/>
                <w:szCs w:val="21"/>
              </w:rPr>
            </w:pPr>
            <w:r>
              <w:rPr>
                <w:bCs/>
                <w:szCs w:val="21"/>
              </w:rPr>
              <w:t>采购标的需满足的质量、安全、技术规格、物理特性等要求</w:t>
            </w:r>
          </w:p>
        </w:tc>
        <w:tc>
          <w:tcPr>
            <w:tcW w:w="44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szCs w:val="21"/>
                <w:lang w:eastAsia="zh-CN"/>
              </w:rPr>
            </w:pPr>
            <w:r>
              <w:rPr>
                <w:szCs w:val="21"/>
              </w:rPr>
              <w:t>详见</w:t>
            </w:r>
            <w:r>
              <w:rPr>
                <w:rFonts w:hint="eastAsia"/>
                <w:szCs w:val="21"/>
                <w:lang w:eastAsia="zh-CN"/>
              </w:rPr>
              <w:t>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Cs/>
                <w:szCs w:val="21"/>
              </w:rPr>
            </w:pPr>
            <w:r>
              <w:rPr>
                <w:bCs/>
                <w:szCs w:val="21"/>
              </w:rPr>
              <w:t>四</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Cs/>
                <w:szCs w:val="21"/>
              </w:rPr>
            </w:pPr>
            <w:r>
              <w:rPr>
                <w:bCs/>
                <w:szCs w:val="21"/>
              </w:rPr>
              <w:t>采购标的的数量、采购项目交付或者实施的时间和地点</w:t>
            </w:r>
          </w:p>
        </w:tc>
        <w:tc>
          <w:tcPr>
            <w:tcW w:w="44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szCs w:val="21"/>
              </w:rPr>
            </w:pPr>
            <w:r>
              <w:rPr>
                <w:szCs w:val="21"/>
              </w:rPr>
              <w:t>详见</w:t>
            </w:r>
            <w:r>
              <w:rPr>
                <w:bCs/>
                <w:szCs w:val="21"/>
              </w:rPr>
              <w:t>商务需求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Cs/>
                <w:szCs w:val="21"/>
              </w:rPr>
            </w:pPr>
            <w:r>
              <w:rPr>
                <w:bCs/>
                <w:szCs w:val="21"/>
              </w:rPr>
              <w:t>五</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Cs/>
                <w:szCs w:val="21"/>
              </w:rPr>
            </w:pPr>
            <w:r>
              <w:rPr>
                <w:bCs/>
                <w:szCs w:val="21"/>
              </w:rPr>
              <w:t>采购标的需满足的服务标准、期限、效率等要求</w:t>
            </w:r>
          </w:p>
        </w:tc>
        <w:tc>
          <w:tcPr>
            <w:tcW w:w="44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szCs w:val="21"/>
              </w:rPr>
            </w:pPr>
            <w:r>
              <w:rPr>
                <w:szCs w:val="21"/>
              </w:rPr>
              <w:t>详见</w:t>
            </w:r>
            <w:r>
              <w:rPr>
                <w:bCs/>
                <w:szCs w:val="21"/>
              </w:rPr>
              <w:t>商务需求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Cs/>
                <w:szCs w:val="21"/>
              </w:rPr>
            </w:pPr>
            <w:r>
              <w:rPr>
                <w:bCs/>
                <w:szCs w:val="21"/>
              </w:rPr>
              <w:t>六</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Cs/>
                <w:szCs w:val="21"/>
              </w:rPr>
            </w:pPr>
            <w:r>
              <w:rPr>
                <w:bCs/>
                <w:szCs w:val="21"/>
              </w:rPr>
              <w:t>采购标的的验收标准</w:t>
            </w:r>
          </w:p>
        </w:tc>
        <w:tc>
          <w:tcPr>
            <w:tcW w:w="44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Cs/>
                <w:szCs w:val="21"/>
                <w:lang w:eastAsia="zh-CN"/>
              </w:rPr>
            </w:pPr>
            <w:r>
              <w:rPr>
                <w:szCs w:val="21"/>
              </w:rPr>
              <w:t>详见</w:t>
            </w:r>
            <w:r>
              <w:rPr>
                <w:rFonts w:hint="eastAsia"/>
                <w:szCs w:val="21"/>
                <w:lang w:eastAsia="zh-CN"/>
              </w:rPr>
              <w:t>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Cs/>
                <w:szCs w:val="21"/>
              </w:rPr>
            </w:pPr>
            <w:r>
              <w:rPr>
                <w:bCs/>
                <w:szCs w:val="21"/>
              </w:rPr>
              <w:t>七</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Cs/>
                <w:szCs w:val="21"/>
              </w:rPr>
            </w:pPr>
            <w:r>
              <w:rPr>
                <w:bCs/>
                <w:szCs w:val="21"/>
              </w:rPr>
              <w:t>采购标的的其他技术、服务等要求</w:t>
            </w:r>
          </w:p>
        </w:tc>
        <w:tc>
          <w:tcPr>
            <w:tcW w:w="44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Cs/>
                <w:szCs w:val="21"/>
                <w:lang w:eastAsia="zh-CN"/>
              </w:rPr>
            </w:pPr>
            <w:r>
              <w:rPr>
                <w:szCs w:val="21"/>
              </w:rPr>
              <w:t>详见</w:t>
            </w:r>
            <w:r>
              <w:rPr>
                <w:rFonts w:hint="eastAsia"/>
                <w:szCs w:val="21"/>
                <w:lang w:eastAsia="zh-CN"/>
              </w:rPr>
              <w:t>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Cs/>
                <w:szCs w:val="21"/>
              </w:rPr>
            </w:pPr>
            <w:r>
              <w:rPr>
                <w:bCs/>
                <w:szCs w:val="21"/>
              </w:rPr>
              <w:t>八</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Cs/>
                <w:szCs w:val="21"/>
              </w:rPr>
            </w:pPr>
            <w:r>
              <w:rPr>
                <w:bCs/>
                <w:szCs w:val="21"/>
              </w:rPr>
              <w:t>核心产品</w:t>
            </w:r>
          </w:p>
        </w:tc>
        <w:tc>
          <w:tcPr>
            <w:tcW w:w="44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Cs/>
                <w:szCs w:val="21"/>
                <w:lang w:eastAsia="zh-CN"/>
              </w:rPr>
            </w:pPr>
            <w:r>
              <w:rPr>
                <w:rFonts w:hint="eastAsia"/>
                <w:bCs/>
                <w:szCs w:val="21"/>
                <w:lang w:val="en-US" w:eastAsia="zh-CN"/>
              </w:rPr>
              <w:t>柴油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Cs/>
                <w:szCs w:val="21"/>
              </w:rPr>
            </w:pPr>
            <w:r>
              <w:rPr>
                <w:bCs/>
                <w:szCs w:val="21"/>
              </w:rPr>
              <w:t>九</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Cs/>
                <w:szCs w:val="21"/>
              </w:rPr>
            </w:pPr>
            <w:r>
              <w:rPr>
                <w:szCs w:val="21"/>
              </w:rPr>
              <w:t>现场踏勘</w:t>
            </w:r>
          </w:p>
        </w:tc>
        <w:tc>
          <w:tcPr>
            <w:tcW w:w="44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sym w:font="Wingdings" w:char="00FE"/>
            </w:r>
            <w:r>
              <w:rPr>
                <w:szCs w:val="21"/>
              </w:rPr>
              <w:t>不组织，自行前往踏勘项目现场，风险自担；</w:t>
            </w:r>
          </w:p>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sym w:font="Wingdings" w:char="00A8"/>
            </w:r>
            <w:r>
              <w:rPr>
                <w:szCs w:val="21"/>
              </w:rPr>
              <w:t>组织，踏勘时间：202</w:t>
            </w:r>
            <w:r>
              <w:rPr>
                <w:rFonts w:hint="eastAsia"/>
                <w:szCs w:val="21"/>
              </w:rPr>
              <w:t>4</w:t>
            </w:r>
            <w:r>
              <w:rPr>
                <w:szCs w:val="21"/>
              </w:rPr>
              <w:t>年   月   日0</w:t>
            </w:r>
            <w:r>
              <w:rPr>
                <w:rFonts w:hint="eastAsia"/>
                <w:szCs w:val="21"/>
              </w:rPr>
              <w:t>0</w:t>
            </w:r>
            <w:r>
              <w:rPr>
                <w:szCs w:val="21"/>
              </w:rPr>
              <w:t>:</w:t>
            </w:r>
            <w:r>
              <w:rPr>
                <w:rFonts w:hint="eastAsia"/>
                <w:szCs w:val="21"/>
              </w:rPr>
              <w:t>0</w:t>
            </w:r>
            <w:r>
              <w:rPr>
                <w:szCs w:val="21"/>
              </w:rPr>
              <w:t xml:space="preserve">0(北京时间)；踏勘集中地点：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Cs/>
                <w:szCs w:val="21"/>
              </w:rPr>
            </w:pPr>
            <w:r>
              <w:rPr>
                <w:bCs/>
                <w:szCs w:val="21"/>
              </w:rPr>
              <w:t>十</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样品要求</w:t>
            </w:r>
          </w:p>
        </w:tc>
        <w:tc>
          <w:tcPr>
            <w:tcW w:w="44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Cs/>
                <w:szCs w:val="21"/>
              </w:rPr>
            </w:pPr>
            <w:r>
              <w:rPr>
                <w:bCs/>
                <w:szCs w:val="21"/>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Cs/>
                <w:szCs w:val="21"/>
              </w:rPr>
            </w:pPr>
            <w:r>
              <w:rPr>
                <w:bCs/>
                <w:szCs w:val="21"/>
              </w:rPr>
              <w:t>十一</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szCs w:val="21"/>
              </w:rPr>
            </w:pPr>
            <w:r>
              <w:rPr>
                <w:b w:val="0"/>
                <w:bCs/>
              </w:rPr>
              <w:t>现场演示要求</w:t>
            </w:r>
          </w:p>
        </w:tc>
        <w:tc>
          <w:tcPr>
            <w:tcW w:w="44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szCs w:val="21"/>
              </w:rPr>
            </w:pPr>
            <w:r>
              <w:rPr>
                <w:b w:val="0"/>
                <w:bCs/>
                <w:szCs w:val="21"/>
              </w:rPr>
              <w:t>无</w:t>
            </w:r>
          </w:p>
        </w:tc>
      </w:tr>
    </w:tbl>
    <w:p/>
    <w:p>
      <w:pPr>
        <w:pStyle w:val="4"/>
        <w:numPr>
          <w:ilvl w:val="0"/>
          <w:numId w:val="0"/>
        </w:numPr>
        <w:tabs>
          <w:tab w:val="clear" w:pos="1569"/>
        </w:tabs>
        <w:spacing w:before="120" w:beforeLines="50" w:after="0" w:line="360" w:lineRule="auto"/>
        <w:jc w:val="center"/>
        <w:rPr>
          <w:rFonts w:ascii="Times New Roman" w:hAnsi="Times New Roman" w:eastAsia="宋体"/>
          <w:sz w:val="28"/>
          <w:szCs w:val="28"/>
        </w:rPr>
      </w:pPr>
      <w:r>
        <w:rPr>
          <w:rFonts w:ascii="Times New Roman" w:hAnsi="Times New Roman" w:eastAsia="宋体"/>
        </w:rPr>
        <w:br w:type="page"/>
      </w:r>
      <w:bookmarkStart w:id="18" w:name="_Toc460857893"/>
      <w:bookmarkStart w:id="19" w:name="_Toc22423"/>
      <w:bookmarkStart w:id="20" w:name="_Toc31407"/>
      <w:bookmarkStart w:id="21" w:name="_Toc103878674"/>
      <w:r>
        <w:rPr>
          <w:rFonts w:ascii="Times New Roman" w:hAnsi="Times New Roman" w:eastAsia="宋体"/>
          <w:sz w:val="28"/>
          <w:szCs w:val="28"/>
        </w:rPr>
        <w:t>A、商务需求</w:t>
      </w:r>
      <w:bookmarkEnd w:id="18"/>
      <w:bookmarkEnd w:id="19"/>
      <w:bookmarkEnd w:id="20"/>
      <w:bookmarkEnd w:id="21"/>
    </w:p>
    <w:bookmarkEnd w:id="12"/>
    <w:bookmarkEnd w:id="13"/>
    <w:bookmarkEnd w:id="14"/>
    <w:bookmarkEnd w:id="15"/>
    <w:bookmarkEnd w:id="16"/>
    <w:bookmarkEnd w:id="17"/>
    <w:tbl>
      <w:tblPr>
        <w:tblStyle w:val="4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38"/>
        <w:gridCol w:w="73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22" w:hRule="atLeast"/>
          <w:jc w:val="center"/>
        </w:trPr>
        <w:tc>
          <w:tcPr>
            <w:tcW w:w="1738" w:type="dxa"/>
            <w:vAlign w:val="center"/>
          </w:tcPr>
          <w:p>
            <w:pPr>
              <w:spacing w:line="400" w:lineRule="exact"/>
              <w:jc w:val="center"/>
              <w:rPr>
                <w:bCs/>
              </w:rPr>
            </w:pPr>
            <w:bookmarkStart w:id="22" w:name="_Toc460416593"/>
            <w:bookmarkStart w:id="23" w:name="_Toc460416338"/>
            <w:bookmarkStart w:id="24" w:name="_Toc460416642"/>
            <w:r>
              <w:rPr>
                <w:bCs/>
              </w:rPr>
              <w:t>服务期限</w:t>
            </w:r>
          </w:p>
          <w:p>
            <w:pPr>
              <w:spacing w:line="400" w:lineRule="exact"/>
              <w:jc w:val="center"/>
              <w:rPr>
                <w:bCs/>
              </w:rPr>
            </w:pPr>
            <w:r>
              <w:rPr>
                <w:rFonts w:hint="eastAsia"/>
                <w:bCs/>
              </w:rPr>
              <w:t>服务</w:t>
            </w:r>
            <w:r>
              <w:rPr>
                <w:bCs/>
              </w:rPr>
              <w:t>地点</w:t>
            </w:r>
          </w:p>
        </w:tc>
        <w:tc>
          <w:tcPr>
            <w:tcW w:w="7334" w:type="dxa"/>
            <w:vAlign w:val="center"/>
          </w:tcPr>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服务期限：标项1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标项</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，本次招标有效期为三年；合同一年一签，自合同签订生效日起一年；本合同结束后，采购单位可根据该年度合同履约情况及资金审批情况决定是否续签下一个年度，续签最多二次。</w:t>
            </w:r>
          </w:p>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服务</w:t>
            </w:r>
            <w:r>
              <w:rPr>
                <w:rFonts w:hint="eastAsia" w:ascii="Times New Roman" w:hAnsi="Times New Roman" w:eastAsia="宋体" w:cs="Times New Roman"/>
                <w:szCs w:val="21"/>
              </w:rPr>
              <w:t>地点：</w:t>
            </w:r>
            <w:r>
              <w:rPr>
                <w:rFonts w:hint="eastAsia" w:ascii="Times New Roman" w:hAnsi="Times New Roman" w:eastAsia="宋体" w:cs="Times New Roman"/>
                <w:szCs w:val="21"/>
                <w:lang w:val="en-US" w:eastAsia="zh-CN"/>
              </w:rPr>
              <w:t>采购人指定地点</w:t>
            </w:r>
            <w:r>
              <w:rPr>
                <w:rFonts w:hint="eastAsia" w:ascii="Times New Roman" w:hAnsi="Times New Roman" w:eastAsia="宋体"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9" w:hRule="atLeast"/>
          <w:jc w:val="center"/>
        </w:trPr>
        <w:tc>
          <w:tcPr>
            <w:tcW w:w="1738" w:type="dxa"/>
            <w:vAlign w:val="center"/>
          </w:tcPr>
          <w:p>
            <w:pPr>
              <w:spacing w:line="400" w:lineRule="exact"/>
              <w:jc w:val="center"/>
              <w:rPr>
                <w:szCs w:val="21"/>
              </w:rPr>
            </w:pPr>
            <w:r>
              <w:rPr>
                <w:bCs/>
              </w:rPr>
              <w:t>付款方式</w:t>
            </w:r>
          </w:p>
        </w:tc>
        <w:tc>
          <w:tcPr>
            <w:tcW w:w="7334" w:type="dxa"/>
            <w:vAlign w:val="center"/>
          </w:tcPr>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合同签订后支付</w:t>
            </w:r>
            <w:r>
              <w:rPr>
                <w:rFonts w:hint="eastAsia" w:cs="Times New Roman"/>
                <w:szCs w:val="21"/>
                <w:lang w:val="en-US" w:eastAsia="zh-CN"/>
              </w:rPr>
              <w:t>至该年度合同总金额的</w:t>
            </w:r>
            <w:r>
              <w:rPr>
                <w:rFonts w:hint="eastAsia" w:ascii="Times New Roman" w:hAnsi="Times New Roman" w:eastAsia="宋体" w:cs="Times New Roman"/>
                <w:szCs w:val="21"/>
              </w:rPr>
              <w:t>85%，剩余部分于次年</w:t>
            </w:r>
            <w:r>
              <w:rPr>
                <w:rFonts w:hint="eastAsia" w:cs="Times New Roman"/>
                <w:szCs w:val="21"/>
                <w:lang w:val="en-US" w:eastAsia="zh-CN"/>
              </w:rPr>
              <w:t>第</w:t>
            </w:r>
            <w:r>
              <w:rPr>
                <w:rFonts w:hint="eastAsia" w:ascii="Times New Roman" w:hAnsi="Times New Roman" w:eastAsia="宋体" w:cs="Times New Roman"/>
                <w:szCs w:val="21"/>
              </w:rPr>
              <w:t>一季度结束前</w:t>
            </w:r>
            <w:r>
              <w:rPr>
                <w:rFonts w:hint="eastAsia" w:cs="Times New Roman"/>
                <w:szCs w:val="21"/>
                <w:lang w:val="en-US" w:eastAsia="zh-CN"/>
              </w:rPr>
              <w:t>进行</w:t>
            </w:r>
            <w:r>
              <w:rPr>
                <w:rFonts w:hint="eastAsia" w:ascii="Times New Roman" w:hAnsi="Times New Roman" w:eastAsia="宋体" w:cs="Times New Roman"/>
                <w:szCs w:val="21"/>
              </w:rPr>
              <w:t>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07" w:hRule="atLeast"/>
          <w:jc w:val="center"/>
        </w:trPr>
        <w:tc>
          <w:tcPr>
            <w:tcW w:w="1738" w:type="dxa"/>
            <w:vAlign w:val="center"/>
          </w:tcPr>
          <w:p>
            <w:pPr>
              <w:spacing w:line="400" w:lineRule="exact"/>
              <w:jc w:val="center"/>
              <w:rPr>
                <w:szCs w:val="21"/>
              </w:rPr>
            </w:pPr>
            <w:r>
              <w:rPr>
                <w:szCs w:val="21"/>
              </w:rPr>
              <w:t>履约保证金</w:t>
            </w:r>
          </w:p>
        </w:tc>
        <w:tc>
          <w:tcPr>
            <w:tcW w:w="7334" w:type="dxa"/>
            <w:vAlign w:val="center"/>
          </w:tcPr>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1.履约保证金金额：合同总金额的1%。</w:t>
            </w:r>
          </w:p>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2.履约保证金形式：支票、银行转账、银行保函或保险保函等非现金方式。</w:t>
            </w:r>
          </w:p>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3.履约保证金递交时间：合同签订后10个工作日内。</w:t>
            </w:r>
          </w:p>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4.履约保证金退还时间：当年度合同履行完毕后(除违反招标文件中规定的投标人应尽的义务造成履约保证金被罚没的情况外 )一个月内无息退还。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1" w:hRule="atLeast"/>
          <w:jc w:val="center"/>
        </w:trPr>
        <w:tc>
          <w:tcPr>
            <w:tcW w:w="1738" w:type="dxa"/>
            <w:vAlign w:val="center"/>
          </w:tcPr>
          <w:p>
            <w:pPr>
              <w:spacing w:line="400" w:lineRule="exact"/>
              <w:jc w:val="center"/>
              <w:rPr>
                <w:szCs w:val="21"/>
              </w:rPr>
            </w:pPr>
            <w:r>
              <w:rPr>
                <w:szCs w:val="21"/>
              </w:rPr>
              <w:t>验收标准</w:t>
            </w:r>
          </w:p>
        </w:tc>
        <w:tc>
          <w:tcPr>
            <w:tcW w:w="7334" w:type="dxa"/>
            <w:vAlign w:val="center"/>
          </w:tcPr>
          <w:p>
            <w:pPr>
              <w:spacing w:line="400" w:lineRule="exact"/>
              <w:rPr>
                <w:szCs w:val="21"/>
              </w:rPr>
            </w:pPr>
            <w:r>
              <w:rPr>
                <w:rFonts w:hint="eastAsia"/>
                <w:szCs w:val="21"/>
              </w:rPr>
              <w:t>按照中标人提供的投标文件及中标人和采购人签订的政府采购合同为标准进行验收。</w:t>
            </w:r>
          </w:p>
          <w:p>
            <w:pPr>
              <w:spacing w:line="400" w:lineRule="exact"/>
              <w:rPr>
                <w:szCs w:val="21"/>
              </w:rPr>
            </w:pPr>
            <w:r>
              <w:rPr>
                <w:rFonts w:hint="eastAsia"/>
                <w:szCs w:val="21"/>
              </w:rPr>
              <w:t>具体要求详见招标文件</w:t>
            </w:r>
            <w:r>
              <w:rPr>
                <w:rFonts w:hint="eastAsia"/>
                <w:szCs w:val="21"/>
                <w:lang w:eastAsia="zh-CN"/>
              </w:rPr>
              <w:t>采购需求</w:t>
            </w:r>
            <w:r>
              <w:rPr>
                <w:rFonts w:hint="eastAsia"/>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738" w:type="dxa"/>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其他要求</w:t>
            </w:r>
          </w:p>
        </w:tc>
        <w:tc>
          <w:tcPr>
            <w:tcW w:w="7334" w:type="dxa"/>
            <w:vAlign w:val="center"/>
          </w:tcPr>
          <w:p>
            <w:pPr>
              <w:spacing w:line="400" w:lineRule="exact"/>
              <w:jc w:val="left"/>
              <w:rPr>
                <w:rFonts w:ascii="Times New Roman" w:hAnsi="Times New Roman" w:eastAsia="宋体" w:cs="Times New Roman"/>
                <w:szCs w:val="21"/>
              </w:rPr>
            </w:pPr>
            <w:r>
              <w:rPr>
                <w:rFonts w:ascii="Times New Roman" w:hAnsi="Times New Roman" w:eastAsia="宋体" w:cs="Times New Roman"/>
                <w:szCs w:val="21"/>
              </w:rPr>
              <w:t>详见第五章</w:t>
            </w:r>
            <w:r>
              <w:rPr>
                <w:rFonts w:hint="eastAsia" w:cs="Times New Roman"/>
                <w:szCs w:val="21"/>
                <w:lang w:val="en-US" w:eastAsia="zh-CN"/>
              </w:rPr>
              <w:t xml:space="preserve"> </w:t>
            </w:r>
            <w:r>
              <w:rPr>
                <w:szCs w:val="21"/>
              </w:rPr>
              <w:t>采购合同主要条款</w:t>
            </w:r>
          </w:p>
        </w:tc>
      </w:tr>
    </w:tbl>
    <w:p>
      <w:pPr>
        <w:rPr>
          <w:kern w:val="44"/>
        </w:rPr>
      </w:pPr>
    </w:p>
    <w:bookmarkEnd w:id="22"/>
    <w:bookmarkEnd w:id="23"/>
    <w:bookmarkEnd w:id="24"/>
    <w:p>
      <w:pPr>
        <w:pStyle w:val="4"/>
        <w:numPr>
          <w:ilvl w:val="0"/>
          <w:numId w:val="0"/>
        </w:numPr>
        <w:tabs>
          <w:tab w:val="clear" w:pos="576"/>
          <w:tab w:val="clear" w:pos="1569"/>
        </w:tabs>
        <w:snapToGrid w:val="0"/>
        <w:spacing w:before="0" w:after="0" w:line="360" w:lineRule="auto"/>
        <w:jc w:val="center"/>
        <w:rPr>
          <w:rFonts w:ascii="Times New Roman" w:hAnsi="Times New Roman" w:eastAsia="宋体"/>
          <w:sz w:val="28"/>
          <w:szCs w:val="28"/>
        </w:rPr>
      </w:pPr>
      <w:r>
        <w:rPr>
          <w:rFonts w:ascii="Times New Roman" w:hAnsi="Times New Roman" w:eastAsia="宋体"/>
          <w:b w:val="0"/>
          <w:szCs w:val="21"/>
        </w:rPr>
        <w:br w:type="page"/>
      </w:r>
      <w:bookmarkStart w:id="25" w:name="_Toc50367730"/>
      <w:bookmarkStart w:id="26" w:name="_Toc103878675"/>
      <w:bookmarkStart w:id="27" w:name="_Toc460857894"/>
      <w:bookmarkStart w:id="28" w:name="_Toc5825"/>
      <w:bookmarkStart w:id="29" w:name="_Toc1362"/>
      <w:r>
        <w:rPr>
          <w:rFonts w:ascii="Times New Roman" w:hAnsi="Times New Roman" w:eastAsia="宋体"/>
          <w:sz w:val="28"/>
          <w:szCs w:val="28"/>
        </w:rPr>
        <w:t>B、</w:t>
      </w:r>
      <w:r>
        <w:rPr>
          <w:rFonts w:hint="eastAsia" w:ascii="Times New Roman" w:hAnsi="Times New Roman" w:eastAsia="宋体"/>
          <w:sz w:val="28"/>
          <w:szCs w:val="28"/>
          <w:lang w:val="en-US" w:eastAsia="zh-CN"/>
        </w:rPr>
        <w:t>采购</w:t>
      </w:r>
      <w:r>
        <w:rPr>
          <w:rFonts w:ascii="Times New Roman" w:hAnsi="Times New Roman" w:eastAsia="宋体"/>
          <w:sz w:val="28"/>
          <w:szCs w:val="28"/>
        </w:rPr>
        <w:t>需求</w:t>
      </w:r>
      <w:bookmarkEnd w:id="25"/>
      <w:bookmarkEnd w:id="26"/>
      <w:bookmarkEnd w:id="27"/>
      <w:bookmarkEnd w:id="28"/>
      <w:bookmarkEnd w:id="29"/>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一、项目概况:</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1、本次采购内容为船用燃油（国Ⅵ标准0号柴油）采购，投标人必须对本项目所要求的所有采购服务内容进行报价。</w:t>
      </w:r>
    </w:p>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2、投标报价是指</w:t>
      </w:r>
      <w:r>
        <w:rPr>
          <w:rFonts w:hint="eastAsia" w:ascii="宋体" w:hAnsi="宋体" w:cs="宋体"/>
          <w:color w:val="auto"/>
          <w:szCs w:val="21"/>
          <w:highlight w:val="none"/>
          <w:lang w:eastAsia="zh-CN"/>
        </w:rPr>
        <w:t>考虑优惠</w:t>
      </w:r>
      <w:r>
        <w:rPr>
          <w:rFonts w:hint="eastAsia" w:ascii="宋体" w:hAnsi="宋体" w:cs="宋体"/>
          <w:color w:val="auto"/>
          <w:szCs w:val="21"/>
          <w:highlight w:val="none"/>
        </w:rPr>
        <w:t>后供应商送货到指定地点最终价，即货物（0号柴油）的供货、税金、运输、保险、装卸、验收（含第三方验收）、技术服务、售后服务、</w:t>
      </w:r>
      <w:r>
        <w:rPr>
          <w:rFonts w:hint="eastAsia" w:ascii="宋体" w:hAnsi="宋体" w:cs="宋体"/>
          <w:color w:val="auto"/>
          <w:szCs w:val="21"/>
          <w:highlight w:val="none"/>
          <w:lang w:val="en-US" w:eastAsia="zh-CN"/>
        </w:rPr>
        <w:t>中标服务</w:t>
      </w:r>
      <w:r>
        <w:rPr>
          <w:rFonts w:hint="eastAsia" w:ascii="宋体" w:hAnsi="宋体" w:cs="宋体"/>
          <w:color w:val="auto"/>
          <w:szCs w:val="21"/>
          <w:highlight w:val="none"/>
        </w:rPr>
        <w:t>费等全部费用。</w:t>
      </w: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二、采购内容:</w:t>
      </w:r>
    </w:p>
    <w:tbl>
      <w:tblPr>
        <w:tblStyle w:val="48"/>
        <w:tblW w:w="4741" w:type="pct"/>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06"/>
        <w:gridCol w:w="2354"/>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44" w:type="pct"/>
            <w:noWrap/>
            <w:vAlign w:val="center"/>
          </w:tcPr>
          <w:p>
            <w:pPr>
              <w:jc w:val="center"/>
              <w:rPr>
                <w:rFonts w:hint="eastAsia"/>
                <w:b/>
                <w:bCs/>
              </w:rPr>
            </w:pPr>
            <w:r>
              <w:rPr>
                <w:rFonts w:hint="eastAsia"/>
                <w:b/>
                <w:bCs/>
              </w:rPr>
              <w:t>标项号</w:t>
            </w:r>
          </w:p>
        </w:tc>
        <w:tc>
          <w:tcPr>
            <w:tcW w:w="1612" w:type="pct"/>
            <w:noWrap/>
            <w:vAlign w:val="center"/>
          </w:tcPr>
          <w:p>
            <w:pPr>
              <w:jc w:val="center"/>
              <w:rPr>
                <w:rFonts w:hint="eastAsia"/>
                <w:b/>
                <w:bCs/>
              </w:rPr>
            </w:pPr>
            <w:r>
              <w:rPr>
                <w:rFonts w:hint="eastAsia"/>
                <w:b/>
                <w:bCs/>
              </w:rPr>
              <w:t>标项名称</w:t>
            </w:r>
          </w:p>
        </w:tc>
        <w:tc>
          <w:tcPr>
            <w:tcW w:w="1352" w:type="pct"/>
            <w:noWrap/>
            <w:vAlign w:val="center"/>
          </w:tcPr>
          <w:p>
            <w:pPr>
              <w:jc w:val="center"/>
              <w:rPr>
                <w:rFonts w:hint="default"/>
                <w:b/>
                <w:bCs/>
                <w:lang w:val="en-US" w:eastAsia="zh-CN"/>
              </w:rPr>
            </w:pPr>
            <w:r>
              <w:rPr>
                <w:rFonts w:hint="eastAsia"/>
                <w:b/>
                <w:bCs/>
                <w:lang w:val="en-US" w:eastAsia="zh-CN"/>
              </w:rPr>
              <w:t>预算金额/最高限价</w:t>
            </w:r>
          </w:p>
        </w:tc>
        <w:tc>
          <w:tcPr>
            <w:tcW w:w="1489" w:type="pct"/>
            <w:noWrap/>
            <w:vAlign w:val="center"/>
          </w:tcPr>
          <w:p>
            <w:pPr>
              <w:jc w:val="center"/>
              <w:rPr>
                <w:rFonts w:hint="eastAsia"/>
                <w:b/>
                <w:bCs/>
              </w:rPr>
            </w:pPr>
            <w:r>
              <w:rPr>
                <w:rFonts w:hint="eastAsia"/>
                <w:b/>
                <w:bCs/>
              </w:rPr>
              <w:t>供油地点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44" w:type="pct"/>
            <w:noWrap/>
            <w:vAlign w:val="center"/>
          </w:tcPr>
          <w:p>
            <w:pPr>
              <w:jc w:val="center"/>
              <w:rPr>
                <w:rFonts w:hint="eastAsia"/>
              </w:rPr>
            </w:pPr>
            <w:r>
              <w:rPr>
                <w:rFonts w:hint="eastAsia"/>
              </w:rPr>
              <w:t>1</w:t>
            </w:r>
          </w:p>
        </w:tc>
        <w:tc>
          <w:tcPr>
            <w:tcW w:w="1612" w:type="pct"/>
            <w:noWrap/>
            <w:vAlign w:val="center"/>
          </w:tcPr>
          <w:p>
            <w:pPr>
              <w:jc w:val="center"/>
              <w:rPr>
                <w:rFonts w:hint="eastAsia"/>
              </w:rPr>
            </w:pPr>
            <w:r>
              <w:rPr>
                <w:rFonts w:hint="eastAsia"/>
              </w:rPr>
              <w:t>海上固定加油站供油方式的柴油采购</w:t>
            </w:r>
          </w:p>
        </w:tc>
        <w:tc>
          <w:tcPr>
            <w:tcW w:w="1352" w:type="pct"/>
            <w:noWrap/>
            <w:vAlign w:val="center"/>
          </w:tcPr>
          <w:p>
            <w:pPr>
              <w:jc w:val="center"/>
              <w:rPr>
                <w:rFonts w:hint="eastAsia"/>
                <w:lang w:val="en-US" w:eastAsia="zh-CN"/>
              </w:rPr>
            </w:pPr>
            <w:r>
              <w:rPr>
                <w:rFonts w:hint="eastAsia"/>
                <w:lang w:val="en-US" w:eastAsia="zh-CN"/>
              </w:rPr>
              <w:t>人民币</w:t>
            </w:r>
            <w:r>
              <w:rPr>
                <w:rFonts w:hint="eastAsia"/>
              </w:rPr>
              <w:t>4000000</w:t>
            </w:r>
            <w:r>
              <w:rPr>
                <w:rFonts w:hint="eastAsia"/>
                <w:lang w:val="en-US" w:eastAsia="zh-CN"/>
              </w:rPr>
              <w:t>元</w:t>
            </w:r>
          </w:p>
        </w:tc>
        <w:tc>
          <w:tcPr>
            <w:tcW w:w="1489" w:type="pct"/>
            <w:noWrap/>
            <w:vAlign w:val="center"/>
          </w:tcPr>
          <w:p>
            <w:pPr>
              <w:jc w:val="center"/>
              <w:rPr>
                <w:rFonts w:hint="eastAsia"/>
              </w:rPr>
            </w:pPr>
            <w:r>
              <w:rPr>
                <w:rFonts w:hint="eastAsia"/>
              </w:rPr>
              <w:t>至少有象山石浦、宁波港海上固定加油站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44" w:type="pct"/>
            <w:noWrap/>
            <w:vAlign w:val="center"/>
          </w:tcPr>
          <w:p>
            <w:pPr>
              <w:jc w:val="center"/>
              <w:rPr>
                <w:rFonts w:hint="eastAsia"/>
              </w:rPr>
            </w:pPr>
            <w:r>
              <w:rPr>
                <w:rFonts w:hint="eastAsia"/>
              </w:rPr>
              <w:t>2</w:t>
            </w:r>
          </w:p>
        </w:tc>
        <w:tc>
          <w:tcPr>
            <w:tcW w:w="1612" w:type="pct"/>
            <w:noWrap/>
            <w:vAlign w:val="center"/>
          </w:tcPr>
          <w:p>
            <w:pPr>
              <w:jc w:val="center"/>
              <w:rPr>
                <w:rFonts w:hint="eastAsia"/>
              </w:rPr>
            </w:pPr>
            <w:r>
              <w:rPr>
                <w:rFonts w:hint="eastAsia"/>
              </w:rPr>
              <w:t>油罐车供油方式的柴油采购</w:t>
            </w:r>
          </w:p>
        </w:tc>
        <w:tc>
          <w:tcPr>
            <w:tcW w:w="1352" w:type="pct"/>
            <w:noWrap/>
            <w:vAlign w:val="center"/>
          </w:tcPr>
          <w:p>
            <w:pPr>
              <w:jc w:val="center"/>
              <w:rPr>
                <w:rFonts w:hint="default"/>
                <w:lang w:val="en-US" w:eastAsia="zh-CN"/>
              </w:rPr>
            </w:pPr>
            <w:r>
              <w:rPr>
                <w:rFonts w:hint="eastAsia"/>
                <w:lang w:val="en-US" w:eastAsia="zh-CN"/>
              </w:rPr>
              <w:t>人民币893000元</w:t>
            </w:r>
          </w:p>
        </w:tc>
        <w:tc>
          <w:tcPr>
            <w:tcW w:w="1489" w:type="pct"/>
            <w:noWrap/>
            <w:vAlign w:val="center"/>
          </w:tcPr>
          <w:p>
            <w:pPr>
              <w:jc w:val="center"/>
              <w:rPr>
                <w:rFonts w:hint="default"/>
                <w:lang w:val="en-US" w:eastAsia="zh-CN"/>
              </w:rPr>
            </w:pPr>
            <w:r>
              <w:rPr>
                <w:rFonts w:hint="eastAsia"/>
              </w:rPr>
              <w:t>象山港维权执法基地码头</w:t>
            </w:r>
            <w:r>
              <w:rPr>
                <w:rFonts w:hint="eastAsia"/>
                <w:lang w:val="en-US" w:eastAsia="zh-CN"/>
              </w:rPr>
              <w:t>或采购人要求的指定地点</w:t>
            </w:r>
          </w:p>
        </w:tc>
      </w:tr>
    </w:tbl>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szCs w:val="21"/>
          <w:highlight w:val="green"/>
          <w:lang w:val="en-US" w:eastAsia="zh-CN"/>
        </w:rPr>
      </w:pPr>
      <w:r>
        <w:rPr>
          <w:rFonts w:hint="eastAsia" w:ascii="宋体" w:hAnsi="宋体" w:cs="宋体"/>
          <w:color w:val="auto"/>
          <w:szCs w:val="21"/>
          <w:highlight w:val="none"/>
        </w:rPr>
        <w:t>注：1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本项目为一次性采购，分批次</w:t>
      </w:r>
      <w:r>
        <w:rPr>
          <w:rFonts w:hint="eastAsia" w:ascii="宋体" w:hAnsi="宋体" w:cs="宋体"/>
          <w:color w:val="auto"/>
          <w:szCs w:val="21"/>
          <w:highlight w:val="none"/>
          <w:lang w:val="en-US" w:eastAsia="zh-CN"/>
        </w:rPr>
        <w:t>进行</w:t>
      </w:r>
      <w:r>
        <w:rPr>
          <w:rFonts w:hint="eastAsia" w:ascii="宋体" w:hAnsi="宋体" w:cs="宋体"/>
          <w:color w:val="auto"/>
          <w:szCs w:val="21"/>
          <w:highlight w:val="none"/>
        </w:rPr>
        <w:t>供货</w:t>
      </w:r>
      <w:r>
        <w:rPr>
          <w:rFonts w:hint="eastAsia" w:ascii="宋体" w:hAnsi="宋体" w:cs="宋体"/>
          <w:color w:val="auto"/>
          <w:szCs w:val="21"/>
          <w:highlight w:val="none"/>
          <w:lang w:val="en-US" w:eastAsia="zh-CN"/>
        </w:rPr>
        <w:t>和结算</w:t>
      </w:r>
      <w:r>
        <w:rPr>
          <w:rFonts w:hint="eastAsia" w:ascii="宋体" w:hAnsi="宋体" w:cs="宋体"/>
          <w:color w:val="auto"/>
          <w:szCs w:val="21"/>
          <w:highlight w:val="none"/>
          <w:lang w:eastAsia="zh-CN"/>
        </w:rPr>
        <w:t>。</w:t>
      </w:r>
      <w:r>
        <w:rPr>
          <w:rFonts w:hint="eastAsia" w:ascii="宋体" w:hAnsi="宋体" w:cs="宋体"/>
          <w:b w:val="0"/>
          <w:bCs/>
          <w:color w:val="auto"/>
          <w:kern w:val="2"/>
          <w:sz w:val="21"/>
          <w:szCs w:val="21"/>
          <w:lang w:val="en-US" w:eastAsia="zh-CN" w:bidi="ar-SA"/>
        </w:rPr>
        <w:t>中标供应商在接到采购人通知后2小时内完成备货，每次结算单价价格以浙江省发展和改革委员会网站（http://fzggw.zj.gov.cn//）发布的最近一期浙江省成品油价格调整公告中《浙江省汽、柴油最高批发、零售价格表》（按照最新期价格表执行）中的0号柴油（国Ⅵ）零售价格作为基准×中标折扣率。该年度分批次供货费用总和不能超过该标项最高限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Cs w:val="21"/>
          <w:highlight w:val="none"/>
          <w:lang w:val="en-US" w:eastAsia="zh-CN"/>
        </w:rPr>
      </w:pPr>
      <w:r>
        <w:rPr>
          <w:rFonts w:hint="eastAsia" w:ascii="宋体" w:hAnsi="宋体" w:cs="宋体"/>
          <w:b w:val="0"/>
          <w:bCs/>
          <w:color w:val="auto"/>
          <w:szCs w:val="21"/>
          <w:highlight w:val="none"/>
          <w:u w:val="none"/>
          <w:shd w:val="clear" w:color="auto" w:fill="FFFFFF"/>
          <w:lang w:val="en-US" w:eastAsia="zh-CN"/>
        </w:rPr>
        <w:t>2.</w:t>
      </w:r>
      <w:r>
        <w:rPr>
          <w:rFonts w:hint="eastAsia" w:ascii="宋体" w:hAnsi="宋体" w:cs="宋体"/>
          <w:b w:val="0"/>
          <w:bCs/>
          <w:color w:val="auto"/>
          <w:szCs w:val="21"/>
          <w:highlight w:val="none"/>
          <w:u w:val="none"/>
          <w:shd w:val="clear" w:color="auto" w:fill="FFFFFF"/>
        </w:rPr>
        <w:t>油量数量确认：双方现场人员根据流量计读数确认加油量，并互相在对方油料记录簿签字确认，根据流量计数</w:t>
      </w:r>
      <w:r>
        <w:rPr>
          <w:rFonts w:hint="eastAsia" w:ascii="宋体" w:hAnsi="宋体" w:cs="宋体"/>
          <w:b w:val="0"/>
          <w:bCs/>
          <w:color w:val="auto"/>
          <w:szCs w:val="21"/>
          <w:highlight w:val="none"/>
          <w:u w:val="none"/>
          <w:shd w:val="clear" w:color="auto" w:fill="FFFFFF"/>
          <w:lang w:val="en-US" w:eastAsia="zh-CN"/>
        </w:rPr>
        <w:t>按实</w:t>
      </w:r>
      <w:r>
        <w:rPr>
          <w:rFonts w:hint="eastAsia" w:ascii="宋体" w:hAnsi="宋体" w:cs="宋体"/>
          <w:b w:val="0"/>
          <w:bCs/>
          <w:color w:val="auto"/>
          <w:szCs w:val="21"/>
          <w:highlight w:val="none"/>
          <w:u w:val="none"/>
          <w:shd w:val="clear" w:color="auto" w:fill="FFFFFF"/>
        </w:rPr>
        <w:t>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b w:val="0"/>
          <w:bCs/>
          <w:color w:val="auto"/>
          <w:kern w:val="2"/>
          <w:sz w:val="21"/>
          <w:szCs w:val="21"/>
          <w:lang w:val="en-US" w:eastAsia="zh-CN" w:bidi="ar-SA"/>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质量验收按照国家现行最新的柴油产品标准执行，柴油为国Ⅵ标准的0号柴油，如国家已现行最新标准，则按照国家现行最新柴油产品标准执行。中标人需向采购人提供该批次油品《质量合格证》或《质量检验报告》，双方按现行柴油产品标准规定的方法进行检验，取样方法按照标准执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color w:val="auto"/>
          <w:szCs w:val="21"/>
          <w:highlight w:val="none"/>
          <w:shd w:val="clear" w:color="auto" w:fill="FFFFFF"/>
        </w:rPr>
      </w:pPr>
      <w:r>
        <w:rPr>
          <w:rFonts w:hint="eastAsia"/>
          <w:b/>
          <w:szCs w:val="21"/>
          <w:lang w:eastAsia="zh-CN"/>
        </w:rPr>
        <w:t>▲</w:t>
      </w:r>
      <w:r>
        <w:rPr>
          <w:rFonts w:hint="eastAsia" w:ascii="宋体" w:hAnsi="宋体" w:cs="宋体"/>
          <w:b/>
          <w:color w:val="auto"/>
          <w:szCs w:val="21"/>
          <w:highlight w:val="none"/>
          <w:shd w:val="clear" w:color="auto" w:fill="FFFFFF"/>
        </w:rPr>
        <w:t>三、供货要求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Cs w:val="21"/>
          <w:highlight w:val="none"/>
          <w:u w:val="none"/>
          <w:shd w:val="clear" w:color="auto" w:fill="FFFFFF"/>
        </w:rPr>
      </w:pPr>
      <w:r>
        <w:rPr>
          <w:rFonts w:hint="eastAsia" w:ascii="宋体" w:hAnsi="宋体" w:cs="宋体"/>
          <w:b w:val="0"/>
          <w:bCs w:val="0"/>
          <w:color w:val="auto"/>
          <w:szCs w:val="21"/>
          <w:highlight w:val="none"/>
          <w:u w:val="none"/>
          <w:shd w:val="clear" w:color="auto" w:fill="FFFFFF"/>
        </w:rPr>
        <w:t>标项1：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Cs w:val="21"/>
          <w:highlight w:val="none"/>
          <w:u w:val="none"/>
          <w:shd w:val="clear" w:color="auto" w:fill="FFFFFF"/>
        </w:rPr>
      </w:pPr>
      <w:r>
        <w:rPr>
          <w:rFonts w:hint="eastAsia" w:ascii="宋体" w:hAnsi="宋体" w:cs="宋体"/>
          <w:b w:val="0"/>
          <w:bCs w:val="0"/>
          <w:color w:val="auto"/>
          <w:szCs w:val="21"/>
          <w:highlight w:val="none"/>
          <w:u w:val="none"/>
          <w:shd w:val="clear" w:color="auto" w:fill="FFFFFF"/>
        </w:rPr>
        <w:t>1.供应商须具有海上固定加油站：具备600吨级及以上执法船靠泊条件。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Cs w:val="21"/>
          <w:highlight w:val="none"/>
          <w:u w:val="none"/>
          <w:shd w:val="clear" w:color="auto" w:fill="FFFFFF"/>
        </w:rPr>
      </w:pPr>
      <w:r>
        <w:rPr>
          <w:rFonts w:hint="eastAsia" w:ascii="宋体" w:hAnsi="宋体" w:cs="宋体"/>
          <w:b w:val="0"/>
          <w:bCs w:val="0"/>
          <w:color w:val="auto"/>
          <w:szCs w:val="21"/>
          <w:highlight w:val="none"/>
          <w:u w:val="none"/>
          <w:shd w:val="clear" w:color="auto" w:fill="FFFFFF"/>
        </w:rPr>
        <w:t>2.中标人需配置必要的项目服务团队及设施设备。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Cs w:val="21"/>
          <w:highlight w:val="none"/>
          <w:u w:val="none"/>
          <w:shd w:val="clear" w:color="auto" w:fill="FFFFFF"/>
        </w:rPr>
      </w:pPr>
      <w:r>
        <w:rPr>
          <w:rFonts w:hint="eastAsia" w:ascii="宋体" w:hAnsi="宋体" w:cs="宋体"/>
          <w:b w:val="0"/>
          <w:bCs w:val="0"/>
          <w:color w:val="auto"/>
          <w:szCs w:val="21"/>
          <w:highlight w:val="none"/>
          <w:u w:val="none"/>
          <w:shd w:val="clear" w:color="auto" w:fill="FFFFFF"/>
        </w:rPr>
        <w:t>3.售后服务：中标供应商的配送运输人员应具有优良的服务态度和安全操作证书，具有完善的登记管理制度。如在使用过程中发生质量问题，中标供应商在接到</w:t>
      </w:r>
      <w:r>
        <w:rPr>
          <w:rFonts w:hint="eastAsia" w:ascii="宋体" w:hAnsi="宋体" w:cs="宋体"/>
          <w:b w:val="0"/>
          <w:bCs w:val="0"/>
          <w:color w:val="auto"/>
          <w:szCs w:val="21"/>
          <w:highlight w:val="none"/>
          <w:u w:val="none"/>
          <w:shd w:val="clear" w:color="auto" w:fill="FFFFFF"/>
          <w:lang w:val="en-US" w:eastAsia="zh-CN"/>
        </w:rPr>
        <w:t>采购人</w:t>
      </w:r>
      <w:r>
        <w:rPr>
          <w:rFonts w:hint="eastAsia" w:ascii="宋体" w:hAnsi="宋体" w:cs="宋体"/>
          <w:b w:val="0"/>
          <w:bCs w:val="0"/>
          <w:color w:val="auto"/>
          <w:szCs w:val="21"/>
          <w:highlight w:val="none"/>
          <w:u w:val="none"/>
          <w:shd w:val="clear" w:color="auto" w:fill="FFFFFF"/>
        </w:rPr>
        <w:t>通知后应在2小时内作出响应，4小时内到达现场，不超过1个工作日内解决故障。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Cs w:val="21"/>
          <w:highlight w:val="none"/>
          <w:u w:val="none"/>
          <w:shd w:val="clear" w:color="auto" w:fill="FFFFFF"/>
        </w:rPr>
      </w:pPr>
      <w:r>
        <w:rPr>
          <w:rFonts w:hint="eastAsia" w:ascii="宋体" w:hAnsi="宋体" w:cs="宋体"/>
          <w:b w:val="0"/>
          <w:bCs w:val="0"/>
          <w:color w:val="auto"/>
          <w:szCs w:val="21"/>
          <w:highlight w:val="none"/>
          <w:u w:val="none"/>
          <w:shd w:val="clear" w:color="auto" w:fill="FFFFFF"/>
        </w:rPr>
        <w:t>4.油品来源：中石化、中石油所属炼油厂产品（若代理商为非中石化、中石油直属销售公司，需在投标文件中提供销售其产品的相关证明，每批送货时也须提供）。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Cs w:val="21"/>
          <w:highlight w:val="none"/>
          <w:u w:val="none"/>
          <w:shd w:val="clear" w:color="auto" w:fill="FFFFFF"/>
        </w:rPr>
      </w:pPr>
      <w:r>
        <w:rPr>
          <w:rFonts w:hint="eastAsia" w:ascii="宋体" w:hAnsi="宋体" w:cs="宋体"/>
          <w:b w:val="0"/>
          <w:bCs w:val="0"/>
          <w:color w:val="auto"/>
          <w:szCs w:val="21"/>
          <w:highlight w:val="none"/>
          <w:u w:val="none"/>
          <w:shd w:val="clear" w:color="auto" w:fill="FFFFFF"/>
        </w:rPr>
        <w:t>标项2：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Cs w:val="21"/>
          <w:highlight w:val="none"/>
          <w:u w:val="none"/>
          <w:shd w:val="clear" w:color="auto" w:fill="FFFFFF"/>
        </w:rPr>
      </w:pPr>
      <w:r>
        <w:rPr>
          <w:rFonts w:hint="eastAsia" w:ascii="宋体" w:hAnsi="宋体" w:cs="宋体"/>
          <w:b w:val="0"/>
          <w:bCs w:val="0"/>
          <w:color w:val="auto"/>
          <w:szCs w:val="21"/>
          <w:highlight w:val="none"/>
          <w:u w:val="none"/>
          <w:shd w:val="clear" w:color="auto" w:fill="FFFFFF"/>
        </w:rPr>
        <w:t>1.配送车辆：供应商须具备足够供油能力的柴油油罐车，且具备有效的《道路运输许可证》。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Cs w:val="21"/>
          <w:highlight w:val="none"/>
          <w:u w:val="none"/>
          <w:shd w:val="clear" w:color="auto" w:fill="FFFFFF"/>
        </w:rPr>
      </w:pPr>
      <w:r>
        <w:rPr>
          <w:rFonts w:hint="eastAsia" w:ascii="宋体" w:hAnsi="宋体" w:cs="宋体"/>
          <w:b w:val="0"/>
          <w:bCs w:val="0"/>
          <w:color w:val="auto"/>
          <w:szCs w:val="21"/>
          <w:highlight w:val="none"/>
          <w:u w:val="none"/>
          <w:shd w:val="clear" w:color="auto" w:fill="FFFFFF"/>
        </w:rPr>
        <w:t>2.中标人需配置必要的项目服务团队及设施设备。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Cs w:val="21"/>
          <w:highlight w:val="none"/>
          <w:u w:val="none"/>
          <w:shd w:val="clear" w:color="auto" w:fill="FFFFFF"/>
        </w:rPr>
      </w:pPr>
      <w:r>
        <w:rPr>
          <w:rFonts w:hint="eastAsia" w:ascii="宋体" w:hAnsi="宋体" w:cs="宋体"/>
          <w:b w:val="0"/>
          <w:bCs w:val="0"/>
          <w:color w:val="auto"/>
          <w:szCs w:val="21"/>
          <w:highlight w:val="none"/>
          <w:u w:val="none"/>
          <w:shd w:val="clear" w:color="auto" w:fill="FFFFFF"/>
        </w:rPr>
        <w:t>3.售后服务：中标供应商的配送运输人员应具有优良的服务态度和操作证书，具有完善的登记管理制度。如在使用过程中发生质量问题，中标供应商在接到</w:t>
      </w:r>
      <w:r>
        <w:rPr>
          <w:rFonts w:hint="eastAsia" w:ascii="宋体" w:hAnsi="宋体" w:cs="宋体"/>
          <w:b w:val="0"/>
          <w:bCs w:val="0"/>
          <w:color w:val="auto"/>
          <w:szCs w:val="21"/>
          <w:highlight w:val="none"/>
          <w:u w:val="none"/>
          <w:shd w:val="clear" w:color="auto" w:fill="FFFFFF"/>
          <w:lang w:val="en-US" w:eastAsia="zh-CN"/>
        </w:rPr>
        <w:t>采购人</w:t>
      </w:r>
      <w:r>
        <w:rPr>
          <w:rFonts w:hint="eastAsia" w:ascii="宋体" w:hAnsi="宋体" w:cs="宋体"/>
          <w:b w:val="0"/>
          <w:bCs w:val="0"/>
          <w:color w:val="auto"/>
          <w:szCs w:val="21"/>
          <w:highlight w:val="none"/>
          <w:u w:val="none"/>
          <w:shd w:val="clear" w:color="auto" w:fill="FFFFFF"/>
        </w:rPr>
        <w:t>通知后应在2小时内作出响应，4小时内到达现场，不超过1个工作日内解决故障。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Cs w:val="21"/>
          <w:highlight w:val="none"/>
          <w:u w:val="none"/>
          <w:shd w:val="clear" w:color="auto" w:fill="FFFFFF"/>
        </w:rPr>
      </w:pPr>
      <w:r>
        <w:rPr>
          <w:rFonts w:hint="eastAsia" w:ascii="宋体" w:hAnsi="宋体" w:cs="宋体"/>
          <w:b w:val="0"/>
          <w:bCs w:val="0"/>
          <w:color w:val="auto"/>
          <w:szCs w:val="21"/>
          <w:highlight w:val="none"/>
          <w:u w:val="none"/>
          <w:shd w:val="clear" w:color="auto" w:fill="FFFFFF"/>
        </w:rPr>
        <w:t>4.油品来源：中石化、中石油所属炼油厂产品（若代理商为非中石化、中石油直属销售公司，需在投标文件中提供销售其产品的相关证明，每批送货时也须提供）。</w:t>
      </w:r>
    </w:p>
    <w:p>
      <w:pPr>
        <w:pStyle w:val="2"/>
      </w:pPr>
    </w:p>
    <w:p>
      <w:pPr>
        <w:widowControl/>
        <w:spacing w:before="156" w:after="156" w:line="360" w:lineRule="auto"/>
        <w:ind w:firstLine="420"/>
        <w:jc w:val="left"/>
        <w:rPr>
          <w:szCs w:val="21"/>
        </w:rPr>
      </w:pPr>
    </w:p>
    <w:p>
      <w:pPr>
        <w:widowControl/>
        <w:numPr>
          <w:ilvl w:val="0"/>
          <w:numId w:val="13"/>
        </w:numPr>
        <w:spacing w:before="156" w:after="156" w:line="360" w:lineRule="auto"/>
        <w:ind w:firstLine="420"/>
        <w:jc w:val="left"/>
        <w:rPr>
          <w:szCs w:val="21"/>
        </w:rPr>
      </w:pPr>
      <w:r>
        <w:rPr>
          <w:szCs w:val="21"/>
        </w:rPr>
        <w:br w:type="page"/>
      </w:r>
    </w:p>
    <w:p>
      <w:pPr>
        <w:pStyle w:val="3"/>
        <w:spacing w:before="0" w:after="0" w:line="360" w:lineRule="auto"/>
        <w:jc w:val="center"/>
        <w:rPr>
          <w:sz w:val="30"/>
          <w:szCs w:val="30"/>
        </w:rPr>
      </w:pPr>
      <w:bookmarkStart w:id="30" w:name="_bookmark12"/>
      <w:bookmarkEnd w:id="30"/>
      <w:bookmarkStart w:id="31" w:name="_Toc103878791"/>
      <w:bookmarkStart w:id="32" w:name="_Toc26648"/>
      <w:bookmarkStart w:id="33" w:name="_Toc5864"/>
      <w:r>
        <w:rPr>
          <w:sz w:val="30"/>
          <w:szCs w:val="30"/>
        </w:rPr>
        <w:t>第三章  投标人须知</w:t>
      </w:r>
      <w:bookmarkEnd w:id="31"/>
      <w:bookmarkEnd w:id="32"/>
      <w:bookmarkEnd w:id="33"/>
    </w:p>
    <w:tbl>
      <w:tblPr>
        <w:tblStyle w:val="48"/>
        <w:tblW w:w="0" w:type="auto"/>
        <w:tblInd w:w="16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2"/>
        <w:gridCol w:w="77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9" w:hRule="atLeast"/>
          <w:tblHeader/>
        </w:trPr>
        <w:tc>
          <w:tcPr>
            <w:tcW w:w="1102" w:type="dxa"/>
            <w:vAlign w:val="center"/>
          </w:tcPr>
          <w:p>
            <w:pPr>
              <w:keepNext w:val="0"/>
              <w:keepLines w:val="0"/>
              <w:pageBreakBefore w:val="0"/>
              <w:widowControl w:val="0"/>
              <w:kinsoku/>
              <w:wordWrap/>
              <w:overflowPunct/>
              <w:topLinePunct w:val="0"/>
              <w:bidi w:val="0"/>
              <w:adjustRightInd/>
              <w:snapToGrid w:val="0"/>
              <w:spacing w:line="360" w:lineRule="exact"/>
              <w:jc w:val="center"/>
              <w:rPr>
                <w:b/>
                <w:szCs w:val="21"/>
              </w:rPr>
            </w:pPr>
            <w:bookmarkStart w:id="34" w:name="_Toc460416594"/>
            <w:bookmarkStart w:id="35" w:name="_Toc460857895"/>
            <w:r>
              <w:rPr>
                <w:b/>
                <w:szCs w:val="21"/>
              </w:rPr>
              <w:t>序号</w:t>
            </w:r>
          </w:p>
        </w:tc>
        <w:tc>
          <w:tcPr>
            <w:tcW w:w="7754" w:type="dxa"/>
            <w:vAlign w:val="center"/>
          </w:tcPr>
          <w:p>
            <w:pPr>
              <w:keepNext w:val="0"/>
              <w:keepLines w:val="0"/>
              <w:pageBreakBefore w:val="0"/>
              <w:widowControl w:val="0"/>
              <w:kinsoku/>
              <w:wordWrap/>
              <w:overflowPunct/>
              <w:topLinePunct w:val="0"/>
              <w:bidi w:val="0"/>
              <w:adjustRightInd/>
              <w:snapToGrid w:val="0"/>
              <w:spacing w:line="360" w:lineRule="exact"/>
              <w:jc w:val="center"/>
              <w:rPr>
                <w:b/>
                <w:szCs w:val="21"/>
              </w:rPr>
            </w:pPr>
            <w:r>
              <w:rPr>
                <w:b/>
                <w:szCs w:val="21"/>
              </w:rPr>
              <w:t>内容、要求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1102" w:type="dxa"/>
            <w:vAlign w:val="center"/>
          </w:tcPr>
          <w:p>
            <w:pPr>
              <w:keepNext w:val="0"/>
              <w:keepLines w:val="0"/>
              <w:pageBreakBefore w:val="0"/>
              <w:widowControl w:val="0"/>
              <w:kinsoku/>
              <w:wordWrap/>
              <w:overflowPunct/>
              <w:topLinePunct w:val="0"/>
              <w:bidi w:val="0"/>
              <w:adjustRightInd/>
              <w:spacing w:line="360" w:lineRule="exact"/>
              <w:jc w:val="center"/>
              <w:rPr>
                <w:szCs w:val="21"/>
              </w:rPr>
            </w:pPr>
            <w:r>
              <w:rPr>
                <w:szCs w:val="21"/>
              </w:rPr>
              <w:t>1</w:t>
            </w:r>
          </w:p>
        </w:tc>
        <w:tc>
          <w:tcPr>
            <w:tcW w:w="7754" w:type="dxa"/>
            <w:vAlign w:val="center"/>
          </w:tcPr>
          <w:p>
            <w:pPr>
              <w:keepNext w:val="0"/>
              <w:keepLines w:val="0"/>
              <w:pageBreakBefore w:val="0"/>
              <w:widowControl w:val="0"/>
              <w:kinsoku/>
              <w:wordWrap/>
              <w:overflowPunct/>
              <w:topLinePunct w:val="0"/>
              <w:bidi w:val="0"/>
              <w:adjustRightInd/>
              <w:spacing w:line="360" w:lineRule="exact"/>
              <w:rPr>
                <w:rFonts w:hint="eastAsia" w:eastAsia="宋体"/>
                <w:szCs w:val="21"/>
                <w:lang w:eastAsia="zh-CN"/>
              </w:rPr>
            </w:pPr>
            <w:r>
              <w:rPr>
                <w:szCs w:val="21"/>
              </w:rPr>
              <w:t>项目名称：</w:t>
            </w:r>
            <w:r>
              <w:rPr>
                <w:rFonts w:hint="eastAsia"/>
                <w:kern w:val="0"/>
                <w:szCs w:val="21"/>
                <w:lang w:eastAsia="zh-CN"/>
              </w:rPr>
              <w:t>宁波市海洋与渔业执法队执法船艇2024年柴油采购项目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63" w:hRule="atLeast"/>
        </w:trPr>
        <w:tc>
          <w:tcPr>
            <w:tcW w:w="1102"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eastAsia" w:eastAsia="宋体"/>
                <w:szCs w:val="21"/>
                <w:lang w:eastAsia="zh-CN"/>
              </w:rPr>
            </w:pPr>
            <w:r>
              <w:rPr>
                <w:rFonts w:hint="eastAsia"/>
                <w:szCs w:val="21"/>
                <w:lang w:val="en-US" w:eastAsia="zh-CN"/>
              </w:rPr>
              <w:t>2</w:t>
            </w:r>
          </w:p>
        </w:tc>
        <w:tc>
          <w:tcPr>
            <w:tcW w:w="7754" w:type="dxa"/>
            <w:vAlign w:val="center"/>
          </w:tcPr>
          <w:p>
            <w:pPr>
              <w:keepNext w:val="0"/>
              <w:keepLines w:val="0"/>
              <w:pageBreakBefore w:val="0"/>
              <w:widowControl w:val="0"/>
              <w:kinsoku/>
              <w:wordWrap/>
              <w:overflowPunct/>
              <w:topLinePunct w:val="0"/>
              <w:bidi w:val="0"/>
              <w:adjustRightInd/>
              <w:spacing w:line="360" w:lineRule="exact"/>
              <w:rPr>
                <w:rFonts w:hint="eastAsia" w:cs="Times New Roman"/>
                <w:szCs w:val="21"/>
                <w:lang w:val="en-US" w:eastAsia="zh-CN"/>
              </w:rPr>
            </w:pPr>
            <w:r>
              <w:rPr>
                <w:rFonts w:hint="eastAsia" w:cs="Times New Roman"/>
                <w:spacing w:val="-6"/>
                <w:sz w:val="21"/>
                <w:szCs w:val="21"/>
                <w:lang w:val="en-US" w:eastAsia="zh-CN"/>
              </w:rPr>
              <w:t>2.1</w:t>
            </w:r>
            <w:r>
              <w:rPr>
                <w:rFonts w:ascii="Times New Roman" w:hAnsi="Times New Roman" w:eastAsia="宋体" w:cs="Times New Roman"/>
                <w:spacing w:val="-6"/>
                <w:sz w:val="21"/>
                <w:szCs w:val="21"/>
              </w:rPr>
              <w:t>本项目</w:t>
            </w:r>
            <w:r>
              <w:rPr>
                <w:rFonts w:hint="eastAsia" w:ascii="Times New Roman" w:hAnsi="Times New Roman" w:eastAsia="宋体" w:cs="Times New Roman"/>
                <w:spacing w:val="-6"/>
                <w:sz w:val="21"/>
                <w:szCs w:val="21"/>
              </w:rPr>
              <w:t>标项1</w:t>
            </w:r>
            <w:r>
              <w:rPr>
                <w:rFonts w:ascii="Times New Roman" w:hAnsi="Times New Roman" w:eastAsia="宋体" w:cs="Times New Roman"/>
                <w:spacing w:val="-6"/>
                <w:sz w:val="21"/>
                <w:szCs w:val="21"/>
              </w:rPr>
              <w:t>采购预算/最高限价</w:t>
            </w:r>
            <w:r>
              <w:rPr>
                <w:rFonts w:hint="eastAsia" w:ascii="Times New Roman" w:hAnsi="Times New Roman" w:eastAsia="宋体" w:cs="Times New Roman"/>
                <w:spacing w:val="-6"/>
                <w:sz w:val="21"/>
                <w:szCs w:val="21"/>
              </w:rPr>
              <w:t>：</w:t>
            </w:r>
            <w:r>
              <w:rPr>
                <w:rFonts w:hint="eastAsia" w:ascii="Times New Roman" w:hAnsi="Times New Roman" w:eastAsia="宋体" w:cs="Times New Roman"/>
                <w:spacing w:val="-6"/>
                <w:sz w:val="21"/>
                <w:szCs w:val="21"/>
                <w:lang w:val="en-US" w:eastAsia="zh-CN"/>
              </w:rPr>
              <w:t>人民币</w:t>
            </w:r>
            <w:r>
              <w:rPr>
                <w:rFonts w:hint="eastAsia" w:ascii="Times New Roman" w:hAnsi="Times New Roman" w:eastAsia="宋体" w:cs="Times New Roman"/>
                <w:spacing w:val="-6"/>
                <w:sz w:val="21"/>
                <w:szCs w:val="21"/>
              </w:rPr>
              <w:t>4000000元</w:t>
            </w:r>
            <w:r>
              <w:rPr>
                <w:rFonts w:hint="eastAsia" w:ascii="Times New Roman" w:hAnsi="Times New Roman" w:eastAsia="宋体" w:cs="Times New Roman"/>
                <w:spacing w:val="-6"/>
                <w:sz w:val="21"/>
                <w:szCs w:val="21"/>
                <w:lang w:eastAsia="zh-CN"/>
              </w:rPr>
              <w:t>，</w:t>
            </w:r>
            <w:r>
              <w:rPr>
                <w:rFonts w:hint="eastAsia" w:ascii="Times New Roman" w:hAnsi="Times New Roman" w:eastAsia="宋体" w:cs="Times New Roman"/>
                <w:spacing w:val="-6"/>
                <w:sz w:val="21"/>
                <w:szCs w:val="21"/>
              </w:rPr>
              <w:t>标项2</w:t>
            </w:r>
            <w:r>
              <w:rPr>
                <w:rFonts w:ascii="Times New Roman" w:hAnsi="Times New Roman" w:eastAsia="宋体" w:cs="Times New Roman"/>
                <w:spacing w:val="-6"/>
                <w:sz w:val="21"/>
                <w:szCs w:val="21"/>
              </w:rPr>
              <w:t>采购预算/最高限价</w:t>
            </w:r>
            <w:r>
              <w:rPr>
                <w:rFonts w:hint="eastAsia" w:ascii="Times New Roman" w:hAnsi="Times New Roman" w:eastAsia="宋体" w:cs="Times New Roman"/>
                <w:spacing w:val="-6"/>
                <w:sz w:val="21"/>
                <w:szCs w:val="21"/>
              </w:rPr>
              <w:t>：</w:t>
            </w:r>
            <w:r>
              <w:rPr>
                <w:rFonts w:hint="eastAsia" w:ascii="Times New Roman" w:hAnsi="Times New Roman" w:eastAsia="宋体" w:cs="Times New Roman"/>
                <w:spacing w:val="-6"/>
                <w:sz w:val="21"/>
                <w:szCs w:val="21"/>
                <w:lang w:val="en-US" w:eastAsia="zh-CN"/>
              </w:rPr>
              <w:t>人民币</w:t>
            </w:r>
            <w:r>
              <w:rPr>
                <w:rFonts w:hint="eastAsia" w:ascii="Times New Roman" w:hAnsi="Times New Roman" w:eastAsia="宋体" w:cs="Times New Roman"/>
                <w:spacing w:val="-6"/>
                <w:sz w:val="21"/>
                <w:szCs w:val="21"/>
              </w:rPr>
              <w:t>893000元。</w:t>
            </w:r>
          </w:p>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hint="eastAsia" w:cs="Times New Roman"/>
                <w:szCs w:val="21"/>
                <w:lang w:val="en-US" w:eastAsia="zh-CN"/>
              </w:rPr>
              <w:t>2.2</w:t>
            </w:r>
            <w:r>
              <w:rPr>
                <w:rFonts w:ascii="Times New Roman" w:hAnsi="Times New Roman" w:eastAsia="宋体" w:cs="Times New Roman"/>
                <w:szCs w:val="21"/>
              </w:rPr>
              <w:t>投标报价及费用：</w:t>
            </w:r>
          </w:p>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ascii="Times New Roman" w:hAnsi="Times New Roman" w:eastAsia="宋体" w:cs="Times New Roman"/>
                <w:szCs w:val="21"/>
              </w:rPr>
              <w:t>投标报价</w:t>
            </w:r>
            <w:r>
              <w:rPr>
                <w:rFonts w:hint="eastAsia" w:cs="Times New Roman"/>
                <w:szCs w:val="21"/>
                <w:lang w:eastAsia="zh-CN"/>
              </w:rPr>
              <w:t>（</w:t>
            </w:r>
            <w:r>
              <w:rPr>
                <w:rFonts w:hint="eastAsia" w:cs="Times New Roman"/>
                <w:szCs w:val="21"/>
                <w:lang w:val="en-US" w:eastAsia="zh-CN"/>
              </w:rPr>
              <w:t>投标折扣率</w:t>
            </w:r>
            <w:r>
              <w:rPr>
                <w:rFonts w:hint="eastAsia" w:cs="Times New Roman"/>
                <w:szCs w:val="21"/>
                <w:lang w:eastAsia="zh-CN"/>
              </w:rPr>
              <w:t>）</w:t>
            </w:r>
            <w:r>
              <w:rPr>
                <w:rFonts w:ascii="Times New Roman" w:hAnsi="Times New Roman" w:eastAsia="宋体" w:cs="Times New Roman"/>
                <w:szCs w:val="21"/>
              </w:rPr>
              <w:t>：</w:t>
            </w:r>
            <w:r>
              <w:rPr>
                <w:rFonts w:hint="eastAsia" w:ascii="Times New Roman" w:hAnsi="Times New Roman" w:eastAsia="宋体" w:cs="Times New Roman"/>
                <w:szCs w:val="21"/>
              </w:rPr>
              <w:t>投标单位须报完成招标内容及要求所提供的服务过程中涉及的所有费用。包括但不限于以下内容：投标报价是指</w:t>
            </w:r>
            <w:r>
              <w:rPr>
                <w:rFonts w:hint="eastAsia" w:cs="Times New Roman"/>
                <w:szCs w:val="21"/>
                <w:lang w:eastAsia="zh-CN"/>
              </w:rPr>
              <w:t>考虑优惠</w:t>
            </w:r>
            <w:r>
              <w:rPr>
                <w:rFonts w:hint="eastAsia" w:ascii="Times New Roman" w:hAnsi="Times New Roman" w:eastAsia="宋体" w:cs="Times New Roman"/>
                <w:szCs w:val="21"/>
              </w:rPr>
              <w:t>后供应商送货到指定地点最终价，即货物（0号柴油）的供货、税金、运输、保险、装卸、验收（含第三方验收）、技术服务、售后服务、中标服务费等全部费用。</w:t>
            </w:r>
          </w:p>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ascii="Times New Roman" w:hAnsi="Times New Roman" w:eastAsia="宋体" w:cs="Times New Roman"/>
                <w:szCs w:val="21"/>
              </w:rPr>
              <w:t>不论投标结果如何，投标单位均应自行承担所有与投标有关的全部费用。</w:t>
            </w:r>
          </w:p>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hint="eastAsia" w:cs="Times New Roman"/>
                <w:szCs w:val="21"/>
                <w:lang w:val="en-US" w:eastAsia="zh-CN"/>
              </w:rPr>
              <w:t>2.3</w:t>
            </w:r>
            <w:r>
              <w:rPr>
                <w:rFonts w:ascii="Times New Roman" w:hAnsi="Times New Roman" w:eastAsia="宋体" w:cs="Times New Roman"/>
                <w:szCs w:val="21"/>
              </w:rPr>
              <w:t>招标代理服务费的收取标准：</w:t>
            </w:r>
          </w:p>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ascii="Times New Roman" w:hAnsi="Times New Roman" w:eastAsia="宋体" w:cs="Times New Roman"/>
                <w:szCs w:val="21"/>
              </w:rPr>
              <w:t>本招标公司参照国家发改委发改办价格[2003]857号通知和国家计委计价格[2002]1980号文件的规定的</w:t>
            </w:r>
            <w:r>
              <w:rPr>
                <w:rFonts w:hint="eastAsia" w:ascii="Times New Roman" w:hAnsi="Times New Roman" w:eastAsia="宋体" w:cs="Times New Roman"/>
                <w:szCs w:val="21"/>
                <w:lang w:val="en-US" w:eastAsia="zh-CN"/>
              </w:rPr>
              <w:t>货物</w:t>
            </w:r>
            <w:r>
              <w:rPr>
                <w:rFonts w:ascii="Times New Roman" w:hAnsi="Times New Roman" w:eastAsia="宋体" w:cs="Times New Roman"/>
                <w:szCs w:val="21"/>
              </w:rPr>
              <w:t>招标费率标准</w:t>
            </w:r>
            <w:r>
              <w:rPr>
                <w:rFonts w:hint="eastAsia" w:cs="Times New Roman"/>
                <w:szCs w:val="21"/>
                <w:lang w:val="en-US" w:eastAsia="zh-CN"/>
              </w:rPr>
              <w:t>以中标金额为基准</w:t>
            </w:r>
            <w:r>
              <w:rPr>
                <w:rFonts w:hint="eastAsia" w:ascii="Times New Roman" w:hAnsi="Times New Roman" w:eastAsia="宋体" w:cs="Times New Roman"/>
                <w:szCs w:val="21"/>
              </w:rPr>
              <w:t>向各标项中标人收取中标服务费</w:t>
            </w:r>
            <w:r>
              <w:rPr>
                <w:rFonts w:ascii="Times New Roman" w:hAnsi="Times New Roman" w:eastAsia="宋体" w:cs="Times New Roman"/>
                <w:szCs w:val="21"/>
              </w:rPr>
              <w:t>。</w:t>
            </w:r>
          </w:p>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ascii="Times New Roman" w:hAnsi="Times New Roman" w:eastAsia="宋体" w:cs="Times New Roman"/>
                <w:szCs w:val="21"/>
              </w:rPr>
              <w:t>中标人在领取中标通知书时即向本招标代理机构以现金、电汇方式支付服务费。</w:t>
            </w:r>
          </w:p>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ascii="Times New Roman" w:hAnsi="Times New Roman" w:eastAsia="宋体" w:cs="Times New Roman"/>
                <w:szCs w:val="21"/>
              </w:rPr>
              <w:t>服务费汇入账户：</w:t>
            </w:r>
          </w:p>
          <w:p>
            <w:pPr>
              <w:keepNext w:val="0"/>
              <w:keepLines w:val="0"/>
              <w:pageBreakBefore w:val="0"/>
              <w:widowControl w:val="0"/>
              <w:kinsoku/>
              <w:wordWrap/>
              <w:overflowPunct/>
              <w:topLinePunct w:val="0"/>
              <w:bidi w:val="0"/>
              <w:adjustRightInd/>
              <w:spacing w:line="360" w:lineRule="exact"/>
              <w:rPr>
                <w:rFonts w:hint="eastAsia" w:ascii="Times New Roman" w:hAnsi="Times New Roman" w:eastAsia="宋体" w:cs="Times New Roman"/>
                <w:szCs w:val="21"/>
              </w:rPr>
            </w:pPr>
            <w:r>
              <w:rPr>
                <w:rFonts w:hint="eastAsia" w:ascii="Times New Roman" w:hAnsi="Times New Roman" w:eastAsia="宋体" w:cs="Times New Roman"/>
                <w:szCs w:val="21"/>
              </w:rPr>
              <w:t>账户名称：宁波华欣建设项目管理有限公司</w:t>
            </w:r>
          </w:p>
          <w:p>
            <w:pPr>
              <w:keepNext w:val="0"/>
              <w:keepLines w:val="0"/>
              <w:pageBreakBefore w:val="0"/>
              <w:widowControl w:val="0"/>
              <w:kinsoku/>
              <w:wordWrap/>
              <w:overflowPunct/>
              <w:topLinePunct w:val="0"/>
              <w:bidi w:val="0"/>
              <w:adjustRightInd/>
              <w:spacing w:line="360" w:lineRule="exact"/>
              <w:rPr>
                <w:rFonts w:hint="eastAsia" w:ascii="Times New Roman" w:hAnsi="Times New Roman" w:eastAsia="宋体" w:cs="Times New Roman"/>
                <w:szCs w:val="21"/>
              </w:rPr>
            </w:pPr>
            <w:r>
              <w:rPr>
                <w:rFonts w:hint="eastAsia" w:ascii="Times New Roman" w:hAnsi="Times New Roman" w:eastAsia="宋体" w:cs="Times New Roman"/>
                <w:szCs w:val="21"/>
              </w:rPr>
              <w:t>开户银行：宁波银行股份有限公司慈城支行</w:t>
            </w:r>
          </w:p>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hint="eastAsia" w:ascii="Times New Roman" w:hAnsi="Times New Roman" w:eastAsia="宋体" w:cs="Times New Roman"/>
                <w:szCs w:val="21"/>
              </w:rPr>
              <w:t>账号：40070122000123279</w:t>
            </w:r>
          </w:p>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ascii="Times New Roman" w:hAnsi="Times New Roman" w:eastAsia="宋体" w:cs="Times New Roman"/>
                <w:szCs w:val="21"/>
              </w:rPr>
              <w:t>中标人如未按上述规定办理，本招标代理机构有权拒绝其领取中标通知书。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102"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eastAsia" w:eastAsia="宋体"/>
                <w:szCs w:val="21"/>
                <w:lang w:eastAsia="zh-CN"/>
              </w:rPr>
            </w:pPr>
            <w:r>
              <w:rPr>
                <w:rFonts w:hint="eastAsia"/>
                <w:szCs w:val="21"/>
                <w:lang w:val="en-US" w:eastAsia="zh-CN"/>
              </w:rPr>
              <w:t>3</w:t>
            </w:r>
          </w:p>
        </w:tc>
        <w:tc>
          <w:tcPr>
            <w:tcW w:w="7754" w:type="dxa"/>
            <w:vAlign w:val="center"/>
          </w:tcPr>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ascii="Times New Roman" w:hAnsi="Times New Roman" w:eastAsia="宋体" w:cs="Times New Roman"/>
                <w:szCs w:val="21"/>
              </w:rPr>
              <w:t>本项目实行网上投标，投标单位应准备以下投标文件：</w:t>
            </w:r>
          </w:p>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ascii="Times New Roman" w:hAnsi="Times New Roman" w:eastAsia="宋体" w:cs="Times New Roman"/>
                <w:szCs w:val="21"/>
              </w:rPr>
              <w:t>（1）上传到政府采购云平台的电子投标文件（含</w:t>
            </w:r>
            <w:r>
              <w:rPr>
                <w:rFonts w:hint="eastAsia" w:cs="Times New Roman"/>
                <w:szCs w:val="21"/>
                <w:lang w:eastAsia="zh-CN"/>
              </w:rPr>
              <w:t>资格文件</w:t>
            </w:r>
            <w:r>
              <w:rPr>
                <w:rFonts w:ascii="Times New Roman" w:hAnsi="Times New Roman" w:eastAsia="宋体" w:cs="Times New Roman"/>
                <w:szCs w:val="21"/>
              </w:rPr>
              <w:t>、商务技术文件、报价文件）1份。</w:t>
            </w:r>
          </w:p>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ascii="Times New Roman" w:hAnsi="Times New Roman" w:eastAsia="宋体" w:cs="Times New Roman"/>
                <w:szCs w:val="21"/>
              </w:rPr>
              <w:t>（2）以U盘存储的电子备份投标文件（含</w:t>
            </w:r>
            <w:r>
              <w:rPr>
                <w:rFonts w:hint="eastAsia" w:ascii="Times New Roman" w:hAnsi="Times New Roman" w:eastAsia="宋体" w:cs="Times New Roman"/>
                <w:szCs w:val="21"/>
                <w:lang w:eastAsia="zh-CN"/>
              </w:rPr>
              <w:t>资格文件</w:t>
            </w:r>
            <w:r>
              <w:rPr>
                <w:rFonts w:ascii="Times New Roman" w:hAnsi="Times New Roman" w:eastAsia="宋体" w:cs="Times New Roman"/>
                <w:szCs w:val="21"/>
              </w:rPr>
              <w:t>、商务技术文件、报价文件）1份。</w:t>
            </w:r>
            <w:r>
              <w:rPr>
                <w:rFonts w:hint="eastAsia" w:ascii="Times New Roman" w:hAnsi="Times New Roman" w:eastAsia="宋体" w:cs="Times New Roman"/>
                <w:szCs w:val="21"/>
              </w:rPr>
              <w:t>（自愿提供，用于异常情况处理）</w:t>
            </w:r>
          </w:p>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ascii="Times New Roman" w:hAnsi="Times New Roman" w:eastAsia="宋体" w:cs="Times New Roman"/>
                <w:szCs w:val="21"/>
              </w:rPr>
              <w:t>注：</w:t>
            </w:r>
            <w:r>
              <w:rPr>
                <w:rFonts w:hint="eastAsia" w:ascii="Times New Roman" w:hAnsi="Times New Roman" w:eastAsia="宋体" w:cs="Times New Roman"/>
                <w:szCs w:val="21"/>
                <w:lang w:val="en-US" w:eastAsia="zh-CN"/>
              </w:rPr>
              <w:t>若</w:t>
            </w:r>
            <w:r>
              <w:rPr>
                <w:rFonts w:hint="eastAsia" w:ascii="Times New Roman" w:hAnsi="Times New Roman" w:eastAsia="宋体" w:cs="Times New Roman"/>
                <w:szCs w:val="21"/>
              </w:rPr>
              <w:t>投标供应商</w:t>
            </w:r>
            <w:r>
              <w:rPr>
                <w:rFonts w:hint="eastAsia" w:ascii="Times New Roman" w:hAnsi="Times New Roman" w:eastAsia="宋体" w:cs="Times New Roman"/>
                <w:szCs w:val="21"/>
                <w:lang w:val="en-US" w:eastAsia="zh-CN"/>
              </w:rPr>
              <w:t>提供</w:t>
            </w:r>
            <w:r>
              <w:rPr>
                <w:rFonts w:ascii="Times New Roman" w:hAnsi="Times New Roman" w:eastAsia="宋体" w:cs="Times New Roman"/>
                <w:szCs w:val="21"/>
              </w:rPr>
              <w:t>以U盘存储的电子备份投标文件</w:t>
            </w:r>
            <w:r>
              <w:rPr>
                <w:rFonts w:hint="eastAsia" w:ascii="Times New Roman" w:hAnsi="Times New Roman" w:eastAsia="宋体" w:cs="Times New Roman"/>
                <w:szCs w:val="21"/>
                <w:lang w:eastAsia="zh-CN"/>
              </w:rPr>
              <w:t>，</w:t>
            </w:r>
            <w:r>
              <w:rPr>
                <w:rFonts w:ascii="Times New Roman" w:hAnsi="Times New Roman" w:eastAsia="宋体" w:cs="Times New Roman"/>
                <w:szCs w:val="21"/>
              </w:rPr>
              <w:t>应于投标截止时间前将以U盘存储的电子备份投标文件密封，采用</w:t>
            </w:r>
            <w:r>
              <w:rPr>
                <w:rFonts w:hint="eastAsia" w:ascii="Times New Roman" w:hAnsi="Times New Roman" w:eastAsia="宋体" w:cs="Times New Roman"/>
                <w:szCs w:val="21"/>
                <w:lang w:val="en-US" w:eastAsia="zh-CN"/>
              </w:rPr>
              <w:t>开标</w:t>
            </w:r>
            <w:r>
              <w:rPr>
                <w:rFonts w:ascii="Times New Roman" w:hAnsi="Times New Roman" w:eastAsia="宋体" w:cs="Times New Roman"/>
                <w:szCs w:val="21"/>
              </w:rPr>
              <w:t>现场递交或邮寄送达方式递交。</w:t>
            </w:r>
          </w:p>
          <w:p>
            <w:pPr>
              <w:keepNext w:val="0"/>
              <w:keepLines w:val="0"/>
              <w:pageBreakBefore w:val="0"/>
              <w:widowControl w:val="0"/>
              <w:kinsoku/>
              <w:wordWrap/>
              <w:overflowPunct/>
              <w:topLinePunct w:val="0"/>
              <w:bidi w:val="0"/>
              <w:adjustRightInd/>
              <w:spacing w:line="360" w:lineRule="exact"/>
              <w:rPr>
                <w:rFonts w:hint="eastAsia" w:cs="Times New Roman"/>
                <w:szCs w:val="21"/>
                <w:lang w:val="en-US" w:eastAsia="zh-CN"/>
              </w:rPr>
            </w:pPr>
            <w:r>
              <w:rPr>
                <w:rFonts w:hint="eastAsia" w:ascii="Times New Roman" w:hAnsi="Times New Roman" w:eastAsia="宋体" w:cs="Times New Roman"/>
                <w:szCs w:val="21"/>
                <w:lang w:val="en-US" w:eastAsia="zh-CN"/>
              </w:rPr>
              <w:t>开标</w:t>
            </w:r>
            <w:r>
              <w:rPr>
                <w:rFonts w:ascii="Times New Roman" w:hAnsi="Times New Roman" w:eastAsia="宋体" w:cs="Times New Roman"/>
                <w:szCs w:val="21"/>
              </w:rPr>
              <w:t>现场递交</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在投标截止时间前将</w:t>
            </w:r>
            <w:r>
              <w:rPr>
                <w:rFonts w:ascii="Times New Roman" w:hAnsi="Times New Roman" w:eastAsia="宋体" w:cs="Times New Roman"/>
                <w:szCs w:val="21"/>
              </w:rPr>
              <w:t>电子</w:t>
            </w:r>
            <w:r>
              <w:rPr>
                <w:rFonts w:hint="eastAsia" w:ascii="Times New Roman" w:hAnsi="Times New Roman" w:eastAsia="宋体" w:cs="Times New Roman"/>
                <w:szCs w:val="21"/>
                <w:lang w:val="en-US" w:eastAsia="zh-CN"/>
              </w:rPr>
              <w:t>备份投标文件送至</w:t>
            </w:r>
            <w:r>
              <w:rPr>
                <w:rFonts w:hint="eastAsia" w:ascii="Times New Roman" w:hAnsi="Times New Roman" w:eastAsia="宋体" w:cs="Times New Roman"/>
                <w:szCs w:val="21"/>
              </w:rPr>
              <w:t>宁波华欣建设项目管理有限公司</w:t>
            </w:r>
            <w:r>
              <w:rPr>
                <w:rFonts w:hint="eastAsia" w:ascii="Times New Roman" w:hAnsi="Times New Roman" w:eastAsia="宋体" w:cs="Times New Roman"/>
                <w:szCs w:val="21"/>
                <w:lang w:val="en-US" w:eastAsia="zh-CN"/>
              </w:rPr>
              <w:t>开标室（</w:t>
            </w:r>
            <w:r>
              <w:rPr>
                <w:rFonts w:hint="eastAsia" w:ascii="Times New Roman" w:hAnsi="Times New Roman" w:eastAsia="宋体" w:cs="Times New Roman"/>
                <w:szCs w:val="21"/>
              </w:rPr>
              <w:t>宁波市江北区长兴路715号恒凯大厦6</w:t>
            </w:r>
            <w:r>
              <w:rPr>
                <w:rFonts w:hint="eastAsia" w:cs="Times New Roman"/>
                <w:szCs w:val="21"/>
                <w:lang w:val="en-US" w:eastAsia="zh-CN"/>
              </w:rPr>
              <w:t>03室</w:t>
            </w:r>
            <w:r>
              <w:rPr>
                <w:rFonts w:hint="eastAsia" w:ascii="Times New Roman" w:hAnsi="Times New Roman" w:eastAsia="宋体" w:cs="Times New Roman"/>
                <w:szCs w:val="21"/>
                <w:lang w:val="en-US" w:eastAsia="zh-CN"/>
              </w:rPr>
              <w:t xml:space="preserve">）。   </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spacing w:line="360" w:lineRule="exact"/>
              <w:rPr>
                <w:rFonts w:hint="eastAsia" w:cs="Times New Roman"/>
                <w:szCs w:val="21"/>
                <w:lang w:eastAsia="zh-CN"/>
              </w:rPr>
            </w:pPr>
            <w:r>
              <w:rPr>
                <w:rFonts w:ascii="Times New Roman" w:hAnsi="Times New Roman" w:eastAsia="宋体" w:cs="Times New Roman"/>
                <w:szCs w:val="21"/>
              </w:rPr>
              <w:t>邮寄送达方式</w:t>
            </w:r>
            <w:r>
              <w:rPr>
                <w:rFonts w:hint="eastAsia" w:cs="Times New Roman"/>
                <w:szCs w:val="21"/>
                <w:lang w:eastAsia="zh-CN"/>
              </w:rPr>
              <w:t>：</w:t>
            </w:r>
          </w:p>
          <w:p>
            <w:pPr>
              <w:keepNext w:val="0"/>
              <w:keepLines w:val="0"/>
              <w:pageBreakBefore w:val="0"/>
              <w:widowControl w:val="0"/>
              <w:kinsoku/>
              <w:wordWrap/>
              <w:overflowPunct/>
              <w:topLinePunct w:val="0"/>
              <w:bidi w:val="0"/>
              <w:adjustRightInd/>
              <w:spacing w:line="360" w:lineRule="exact"/>
              <w:rPr>
                <w:rFonts w:hint="eastAsia" w:cs="Times New Roman"/>
                <w:szCs w:val="21"/>
                <w:lang w:eastAsia="zh-CN"/>
              </w:rPr>
            </w:pPr>
            <w:r>
              <w:rPr>
                <w:rFonts w:hint="eastAsia" w:cs="Times New Roman"/>
                <w:szCs w:val="21"/>
                <w:lang w:eastAsia="zh-CN"/>
              </w:rPr>
              <w:t>供应商应在开标前一日1</w:t>
            </w:r>
            <w:r>
              <w:rPr>
                <w:rFonts w:hint="eastAsia" w:cs="Times New Roman"/>
                <w:szCs w:val="21"/>
                <w:lang w:val="en-US" w:eastAsia="zh-CN"/>
              </w:rPr>
              <w:t>6</w:t>
            </w:r>
            <w:r>
              <w:rPr>
                <w:rFonts w:hint="eastAsia" w:cs="Times New Roman"/>
                <w:szCs w:val="21"/>
                <w:lang w:eastAsia="zh-CN"/>
              </w:rPr>
              <w:t>：00（含）前将</w:t>
            </w:r>
            <w:r>
              <w:rPr>
                <w:rFonts w:ascii="Times New Roman" w:hAnsi="Times New Roman" w:eastAsia="宋体" w:cs="Times New Roman"/>
                <w:szCs w:val="21"/>
              </w:rPr>
              <w:t>以U盘存储的电子备份投标文件</w:t>
            </w:r>
            <w:r>
              <w:rPr>
                <w:rFonts w:hint="eastAsia" w:cs="Times New Roman"/>
                <w:szCs w:val="21"/>
                <w:lang w:eastAsia="zh-CN"/>
              </w:rPr>
              <w:t>邮寄至规定地点，邮寄地址为：</w:t>
            </w:r>
            <w:r>
              <w:rPr>
                <w:rFonts w:hint="eastAsia" w:ascii="Times New Roman" w:hAnsi="Times New Roman" w:eastAsia="宋体" w:cs="Times New Roman"/>
                <w:szCs w:val="21"/>
              </w:rPr>
              <w:t>宁波市江北区长兴路715号恒凯大厦6</w:t>
            </w:r>
            <w:r>
              <w:rPr>
                <w:rFonts w:hint="eastAsia" w:cs="Times New Roman"/>
                <w:szCs w:val="21"/>
                <w:lang w:val="en-US" w:eastAsia="zh-CN"/>
              </w:rPr>
              <w:t>03室</w:t>
            </w:r>
            <w:r>
              <w:rPr>
                <w:rFonts w:hint="eastAsia" w:ascii="Times New Roman" w:hAnsi="Times New Roman" w:eastAsia="宋体" w:cs="Times New Roman"/>
                <w:szCs w:val="21"/>
              </w:rPr>
              <w:t>宁波华欣建设项目管理有限公司</w:t>
            </w:r>
            <w:r>
              <w:rPr>
                <w:rFonts w:hint="eastAsia" w:cs="Times New Roman"/>
                <w:szCs w:val="21"/>
                <w:lang w:eastAsia="zh-CN"/>
              </w:rPr>
              <w:t>，收件人：</w:t>
            </w:r>
            <w:r>
              <w:rPr>
                <w:rFonts w:hint="eastAsia" w:cs="Times New Roman"/>
                <w:szCs w:val="21"/>
                <w:lang w:val="en-US" w:eastAsia="zh-CN"/>
              </w:rPr>
              <w:t>陈佳妮</w:t>
            </w:r>
            <w:r>
              <w:rPr>
                <w:rFonts w:hint="eastAsia" w:cs="Times New Roman"/>
                <w:szCs w:val="21"/>
                <w:lang w:eastAsia="zh-CN"/>
              </w:rPr>
              <w:t>，联系方式：</w:t>
            </w:r>
            <w:r>
              <w:rPr>
                <w:rFonts w:ascii="Times New Roman" w:hAnsi="Times New Roman" w:eastAsia="宋体" w:cs="Times New Roman"/>
                <w:szCs w:val="21"/>
              </w:rPr>
              <w:t>0574-</w:t>
            </w:r>
            <w:r>
              <w:rPr>
                <w:rFonts w:hint="eastAsia" w:cs="Times New Roman"/>
                <w:szCs w:val="21"/>
                <w:lang w:val="en-US" w:eastAsia="zh-CN"/>
              </w:rPr>
              <w:t>88228779</w:t>
            </w:r>
            <w:r>
              <w:rPr>
                <w:rFonts w:hint="eastAsia" w:cs="Times New Roman"/>
                <w:szCs w:val="21"/>
                <w:lang w:eastAsia="zh-CN"/>
              </w:rPr>
              <w:t>。由采购代理工作人员进行签收，各供应商自行考虑邮寄在途时间，邮寄过程中无论何种因素导致备份投标文件未按时递交的后果，均由供应商自行负责。</w:t>
            </w:r>
            <w:r>
              <w:rPr>
                <w:rFonts w:ascii="Times New Roman" w:hAnsi="Times New Roman" w:eastAsia="宋体" w:cs="Times New Roman"/>
                <w:szCs w:val="21"/>
              </w:rPr>
              <w:t>电子备份</w:t>
            </w:r>
            <w:r>
              <w:rPr>
                <w:rFonts w:hint="eastAsia" w:cs="Times New Roman"/>
                <w:szCs w:val="21"/>
                <w:lang w:eastAsia="zh-CN"/>
              </w:rPr>
              <w:t>投标文件递交时间以采购代理实际收到备份投标文件的时间为准。</w:t>
            </w:r>
          </w:p>
          <w:p>
            <w:pPr>
              <w:keepNext w:val="0"/>
              <w:keepLines w:val="0"/>
              <w:pageBreakBefore w:val="0"/>
              <w:widowControl w:val="0"/>
              <w:kinsoku/>
              <w:wordWrap/>
              <w:overflowPunct/>
              <w:topLinePunct w:val="0"/>
              <w:bidi w:val="0"/>
              <w:adjustRightInd/>
              <w:spacing w:line="360" w:lineRule="exact"/>
              <w:rPr>
                <w:rFonts w:ascii="Times New Roman" w:hAnsi="Times New Roman" w:eastAsia="宋体" w:cs="Times New Roman"/>
                <w:szCs w:val="21"/>
              </w:rPr>
            </w:pPr>
            <w:r>
              <w:rPr>
                <w:rFonts w:ascii="Times New Roman" w:hAnsi="Times New Roman" w:eastAsia="宋体" w:cs="Times New Roman"/>
                <w:szCs w:val="21"/>
              </w:rPr>
              <w:t>（</w:t>
            </w:r>
            <w:r>
              <w:rPr>
                <w:rFonts w:hint="eastAsia" w:cs="Times New Roman"/>
                <w:szCs w:val="21"/>
                <w:lang w:val="en-US" w:eastAsia="zh-CN"/>
              </w:rPr>
              <w:t>3</w:t>
            </w:r>
            <w:r>
              <w:rPr>
                <w:rFonts w:ascii="Times New Roman" w:hAnsi="Times New Roman" w:eastAsia="宋体" w:cs="Times New Roman"/>
                <w:szCs w:val="21"/>
              </w:rPr>
              <w:t>）投标单位按时在线解密投标文件的，以在线解密的投标文件作为评审依据，若投标单位在规定时间内无法解密或解密失败，则以备份电子投标文件作为评审依据（若备份电子投标文件与政采云平台上传的投标文件被识别为不一致，仍以备份电子投标文件作为评审依据）。无论是否启用备份电子投标文件，均不退还投标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1102"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eastAsia" w:eastAsia="宋体"/>
                <w:szCs w:val="21"/>
                <w:lang w:eastAsia="zh-CN"/>
              </w:rPr>
            </w:pPr>
            <w:r>
              <w:rPr>
                <w:rFonts w:hint="eastAsia"/>
                <w:szCs w:val="21"/>
                <w:lang w:val="en-US" w:eastAsia="zh-CN"/>
              </w:rPr>
              <w:t>4</w:t>
            </w:r>
          </w:p>
        </w:tc>
        <w:tc>
          <w:tcPr>
            <w:tcW w:w="7754" w:type="dxa"/>
            <w:vAlign w:val="center"/>
          </w:tcPr>
          <w:p>
            <w:pPr>
              <w:keepNext w:val="0"/>
              <w:keepLines w:val="0"/>
              <w:pageBreakBefore w:val="0"/>
              <w:widowControl w:val="0"/>
              <w:kinsoku/>
              <w:wordWrap/>
              <w:overflowPunct/>
              <w:topLinePunct w:val="0"/>
              <w:bidi w:val="0"/>
              <w:adjustRightInd/>
              <w:spacing w:line="360" w:lineRule="exact"/>
              <w:rPr>
                <w:szCs w:val="21"/>
              </w:rPr>
            </w:pPr>
            <w:r>
              <w:rPr>
                <w:szCs w:val="21"/>
              </w:rPr>
              <w:t>投标截止时间及地点：详见《公开招标采购公告》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1102"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eastAsia" w:eastAsia="宋体"/>
                <w:szCs w:val="21"/>
                <w:lang w:eastAsia="zh-CN"/>
              </w:rPr>
            </w:pPr>
            <w:r>
              <w:rPr>
                <w:rFonts w:hint="eastAsia"/>
                <w:szCs w:val="21"/>
                <w:lang w:val="en-US" w:eastAsia="zh-CN"/>
              </w:rPr>
              <w:t>5</w:t>
            </w:r>
          </w:p>
        </w:tc>
        <w:tc>
          <w:tcPr>
            <w:tcW w:w="7754" w:type="dxa"/>
            <w:vAlign w:val="center"/>
          </w:tcPr>
          <w:p>
            <w:pPr>
              <w:keepNext w:val="0"/>
              <w:keepLines w:val="0"/>
              <w:pageBreakBefore w:val="0"/>
              <w:widowControl w:val="0"/>
              <w:kinsoku/>
              <w:wordWrap/>
              <w:overflowPunct/>
              <w:topLinePunct w:val="0"/>
              <w:bidi w:val="0"/>
              <w:adjustRightInd/>
              <w:spacing w:line="360" w:lineRule="exact"/>
              <w:rPr>
                <w:szCs w:val="21"/>
              </w:rPr>
            </w:pPr>
            <w:r>
              <w:rPr>
                <w:szCs w:val="21"/>
              </w:rPr>
              <w:t>开标时间及地点：详见《公开招标采购公告》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1102"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eastAsia" w:eastAsia="宋体"/>
                <w:szCs w:val="21"/>
                <w:lang w:eastAsia="zh-CN"/>
              </w:rPr>
            </w:pPr>
            <w:r>
              <w:rPr>
                <w:rFonts w:hint="eastAsia"/>
                <w:szCs w:val="21"/>
                <w:lang w:val="en-US" w:eastAsia="zh-CN"/>
              </w:rPr>
              <w:t>6</w:t>
            </w:r>
          </w:p>
        </w:tc>
        <w:tc>
          <w:tcPr>
            <w:tcW w:w="7754" w:type="dxa"/>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bottom"/>
              <w:rPr>
                <w:szCs w:val="21"/>
              </w:rPr>
            </w:pPr>
            <w:r>
              <w:rPr>
                <w:szCs w:val="21"/>
              </w:rPr>
              <w:t>评标办法及评分标准：详见第四章 评标办法及评分标准。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5" w:hRule="atLeast"/>
        </w:trPr>
        <w:tc>
          <w:tcPr>
            <w:tcW w:w="1102"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eastAsia" w:eastAsia="宋体"/>
                <w:szCs w:val="21"/>
                <w:lang w:eastAsia="zh-CN"/>
              </w:rPr>
            </w:pPr>
            <w:r>
              <w:rPr>
                <w:rFonts w:hint="eastAsia"/>
                <w:szCs w:val="21"/>
                <w:lang w:val="en-US" w:eastAsia="zh-CN"/>
              </w:rPr>
              <w:t>7</w:t>
            </w:r>
          </w:p>
        </w:tc>
        <w:tc>
          <w:tcPr>
            <w:tcW w:w="7754" w:type="dxa"/>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bottom"/>
              <w:rPr>
                <w:szCs w:val="21"/>
              </w:rPr>
            </w:pPr>
            <w:r>
              <w:rPr>
                <w:szCs w:val="21"/>
              </w:rPr>
              <w:t>评标结果公示：评标结束后，评标结果公示于浙江政府采购网、宁波政府采购网</w:t>
            </w:r>
            <w:r>
              <w:rPr>
                <w:rFonts w:hint="eastAsia"/>
                <w:szCs w:val="21"/>
                <w:lang w:eastAsia="zh-CN"/>
              </w:rPr>
              <w:t>、宁波华欣建设项目管理有限公司</w:t>
            </w:r>
            <w:r>
              <w:rPr>
                <w:szCs w:val="21"/>
              </w:rPr>
              <w:t>网站。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trPr>
        <w:tc>
          <w:tcPr>
            <w:tcW w:w="1102"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eastAsia" w:eastAsia="宋体"/>
                <w:szCs w:val="21"/>
                <w:lang w:eastAsia="zh-CN"/>
              </w:rPr>
            </w:pPr>
            <w:r>
              <w:rPr>
                <w:rFonts w:hint="eastAsia"/>
                <w:szCs w:val="21"/>
                <w:lang w:val="en-US" w:eastAsia="zh-CN"/>
              </w:rPr>
              <w:t>8</w:t>
            </w:r>
          </w:p>
        </w:tc>
        <w:tc>
          <w:tcPr>
            <w:tcW w:w="7754" w:type="dxa"/>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bottom"/>
              <w:rPr>
                <w:szCs w:val="21"/>
              </w:rPr>
            </w:pPr>
            <w:r>
              <w:rPr>
                <w:szCs w:val="21"/>
              </w:rPr>
              <w:t>签订合同时间：中标通知书发出后30日内。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trPr>
        <w:tc>
          <w:tcPr>
            <w:tcW w:w="1102"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eastAsia" w:eastAsia="宋体"/>
                <w:szCs w:val="21"/>
                <w:lang w:eastAsia="zh-CN"/>
              </w:rPr>
            </w:pPr>
            <w:r>
              <w:rPr>
                <w:rFonts w:hint="eastAsia"/>
                <w:szCs w:val="21"/>
                <w:lang w:val="en-US" w:eastAsia="zh-CN"/>
              </w:rPr>
              <w:t>9</w:t>
            </w:r>
          </w:p>
        </w:tc>
        <w:tc>
          <w:tcPr>
            <w:tcW w:w="7754" w:type="dxa"/>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bottom"/>
              <w:rPr>
                <w:szCs w:val="21"/>
              </w:rPr>
            </w:pPr>
            <w:r>
              <w:rPr>
                <w:szCs w:val="21"/>
              </w:rPr>
              <w:t>采购资金来源：预算资金。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trPr>
        <w:tc>
          <w:tcPr>
            <w:tcW w:w="1102"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eastAsia" w:eastAsia="宋体"/>
                <w:szCs w:val="21"/>
                <w:lang w:eastAsia="zh-CN"/>
              </w:rPr>
            </w:pPr>
            <w:r>
              <w:rPr>
                <w:rFonts w:hint="eastAsia"/>
                <w:b/>
                <w:szCs w:val="21"/>
                <w:lang w:eastAsia="zh-CN"/>
              </w:rPr>
              <w:t>▲</w:t>
            </w:r>
            <w:r>
              <w:rPr>
                <w:szCs w:val="21"/>
              </w:rPr>
              <w:t>1</w:t>
            </w:r>
            <w:r>
              <w:rPr>
                <w:rFonts w:hint="eastAsia"/>
                <w:szCs w:val="21"/>
                <w:lang w:val="en-US" w:eastAsia="zh-CN"/>
              </w:rPr>
              <w:t>0</w:t>
            </w:r>
          </w:p>
        </w:tc>
        <w:tc>
          <w:tcPr>
            <w:tcW w:w="7754" w:type="dxa"/>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bottom"/>
              <w:rPr>
                <w:b/>
                <w:szCs w:val="21"/>
              </w:rPr>
            </w:pPr>
            <w:r>
              <w:rPr>
                <w:b/>
                <w:szCs w:val="21"/>
              </w:rPr>
              <w:t>投标文件有效期：90天。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2" w:hRule="atLeast"/>
        </w:trPr>
        <w:tc>
          <w:tcPr>
            <w:tcW w:w="1102"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eastAsia" w:eastAsia="宋体"/>
                <w:b/>
                <w:szCs w:val="21"/>
                <w:lang w:eastAsia="zh-CN"/>
              </w:rPr>
            </w:pPr>
            <w:r>
              <w:rPr>
                <w:rFonts w:hint="eastAsia"/>
                <w:szCs w:val="21"/>
                <w:lang w:eastAsia="zh-CN"/>
              </w:rPr>
              <w:t>▲</w:t>
            </w:r>
            <w:r>
              <w:rPr>
                <w:szCs w:val="21"/>
              </w:rPr>
              <w:t>1</w:t>
            </w:r>
            <w:r>
              <w:rPr>
                <w:rFonts w:hint="eastAsia"/>
                <w:szCs w:val="21"/>
                <w:lang w:val="en-US" w:eastAsia="zh-CN"/>
              </w:rPr>
              <w:t>1</w:t>
            </w:r>
          </w:p>
        </w:tc>
        <w:tc>
          <w:tcPr>
            <w:tcW w:w="7754" w:type="dxa"/>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bottom"/>
              <w:rPr>
                <w:b/>
                <w:szCs w:val="21"/>
              </w:rPr>
            </w:pPr>
            <w:r>
              <w:rPr>
                <w:szCs w:val="21"/>
              </w:rPr>
              <w:t>不同投标单位的文件出自同一终端设备或在相同Internet主机分配地址（相同IP地址）网上报名或上传电子投标文件视为无效投标。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102"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eastAsia" w:eastAsia="宋体"/>
                <w:szCs w:val="21"/>
                <w:lang w:val="en-US" w:eastAsia="zh-CN"/>
              </w:rPr>
            </w:pPr>
            <w:r>
              <w:rPr>
                <w:rFonts w:hint="eastAsia"/>
                <w:szCs w:val="21"/>
              </w:rPr>
              <w:t>1</w:t>
            </w:r>
            <w:r>
              <w:rPr>
                <w:rFonts w:hint="eastAsia"/>
                <w:szCs w:val="21"/>
                <w:lang w:val="en-US" w:eastAsia="zh-CN"/>
              </w:rPr>
              <w:t>2</w:t>
            </w:r>
          </w:p>
        </w:tc>
        <w:tc>
          <w:tcPr>
            <w:tcW w:w="7754" w:type="dxa"/>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bottom"/>
              <w:rPr>
                <w:b/>
                <w:szCs w:val="21"/>
              </w:rPr>
            </w:pPr>
            <w:r>
              <w:rPr>
                <w:b/>
                <w:szCs w:val="21"/>
              </w:rPr>
              <w:t>针对同一采购程序环节的质疑次数：一次性提出。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0" w:hRule="atLeast"/>
        </w:trPr>
        <w:tc>
          <w:tcPr>
            <w:tcW w:w="1102" w:type="dxa"/>
            <w:vAlign w:val="center"/>
          </w:tcPr>
          <w:p>
            <w:pPr>
              <w:keepNext w:val="0"/>
              <w:keepLines w:val="0"/>
              <w:pageBreakBefore w:val="0"/>
              <w:widowControl w:val="0"/>
              <w:kinsoku/>
              <w:wordWrap/>
              <w:overflowPunct/>
              <w:topLinePunct w:val="0"/>
              <w:bidi w:val="0"/>
              <w:adjustRightInd/>
              <w:snapToGrid w:val="0"/>
              <w:spacing w:line="360" w:lineRule="exact"/>
              <w:jc w:val="center"/>
              <w:rPr>
                <w:rFonts w:hint="eastAsia" w:eastAsia="宋体"/>
                <w:szCs w:val="21"/>
                <w:lang w:val="en-US" w:eastAsia="zh-CN"/>
              </w:rPr>
            </w:pPr>
            <w:r>
              <w:rPr>
                <w:szCs w:val="21"/>
              </w:rPr>
              <w:t>1</w:t>
            </w:r>
            <w:r>
              <w:rPr>
                <w:rFonts w:hint="eastAsia"/>
                <w:szCs w:val="21"/>
                <w:lang w:val="en-US" w:eastAsia="zh-CN"/>
              </w:rPr>
              <w:t>3</w:t>
            </w:r>
          </w:p>
        </w:tc>
        <w:tc>
          <w:tcPr>
            <w:tcW w:w="7754" w:type="dxa"/>
            <w:vAlign w:val="center"/>
          </w:tcPr>
          <w:p>
            <w:pPr>
              <w:keepNext w:val="0"/>
              <w:keepLines w:val="0"/>
              <w:pageBreakBefore w:val="0"/>
              <w:widowControl w:val="0"/>
              <w:kinsoku/>
              <w:wordWrap/>
              <w:overflowPunct/>
              <w:topLinePunct w:val="0"/>
              <w:autoSpaceDE w:val="0"/>
              <w:autoSpaceDN w:val="0"/>
              <w:bidi w:val="0"/>
              <w:adjustRightInd/>
              <w:spacing w:line="360" w:lineRule="exact"/>
              <w:textAlignment w:val="bottom"/>
              <w:rPr>
                <w:szCs w:val="21"/>
              </w:rPr>
            </w:pPr>
            <w:r>
              <w:rPr>
                <w:szCs w:val="21"/>
              </w:rPr>
              <w:t>解释：本招标文件的解释权属于</w:t>
            </w:r>
            <w:r>
              <w:rPr>
                <w:rFonts w:hint="eastAsia"/>
                <w:szCs w:val="21"/>
              </w:rPr>
              <w:t>招标代理机构</w:t>
            </w:r>
            <w:r>
              <w:rPr>
                <w:szCs w:val="21"/>
              </w:rPr>
              <w:t>。</w:t>
            </w:r>
          </w:p>
        </w:tc>
      </w:tr>
      <w:bookmarkEnd w:id="34"/>
      <w:bookmarkEnd w:id="35"/>
    </w:tbl>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sz w:val="21"/>
          <w:szCs w:val="21"/>
        </w:rPr>
      </w:pPr>
      <w:bookmarkStart w:id="36" w:name="_Toc460857896"/>
      <w:bookmarkStart w:id="37" w:name="_Toc460416339"/>
      <w:bookmarkStart w:id="38" w:name="_Toc460416595"/>
      <w:bookmarkStart w:id="39" w:name="_Toc460416644"/>
      <w:r>
        <w:rPr>
          <w:sz w:val="21"/>
          <w:szCs w:val="21"/>
        </w:rPr>
        <w:br w:type="page"/>
      </w:r>
      <w:bookmarkEnd w:id="36"/>
      <w:bookmarkEnd w:id="37"/>
      <w:bookmarkEnd w:id="38"/>
      <w:bookmarkEnd w:id="39"/>
      <w:bookmarkStart w:id="40" w:name="_Toc22550"/>
      <w:bookmarkStart w:id="41" w:name="_Toc103878792"/>
      <w:bookmarkStart w:id="42" w:name="_Toc17707910"/>
      <w:bookmarkStart w:id="43" w:name="_Toc460857897"/>
      <w:bookmarkStart w:id="44" w:name="_Toc6724"/>
      <w:r>
        <w:rPr>
          <w:sz w:val="21"/>
          <w:szCs w:val="21"/>
        </w:rPr>
        <w:t>一、总  则</w:t>
      </w:r>
      <w:bookmarkEnd w:id="40"/>
      <w:bookmarkEnd w:id="41"/>
      <w:bookmarkEnd w:id="42"/>
      <w:bookmarkEnd w:id="43"/>
      <w:bookmarkEnd w:id="44"/>
    </w:p>
    <w:p>
      <w:pPr>
        <w:pStyle w:val="5"/>
        <w:numPr>
          <w:ilvl w:val="0"/>
          <w:numId w:val="0"/>
        </w:numPr>
        <w:tabs>
          <w:tab w:val="clear" w:pos="720"/>
        </w:tabs>
        <w:spacing w:before="0" w:after="0" w:line="400" w:lineRule="exact"/>
        <w:rPr>
          <w:kern w:val="2"/>
          <w:sz w:val="21"/>
          <w:szCs w:val="21"/>
        </w:rPr>
      </w:pPr>
      <w:bookmarkStart w:id="45" w:name="_Toc17707911"/>
      <w:bookmarkStart w:id="46" w:name="_Toc460416596"/>
      <w:bookmarkStart w:id="47" w:name="_Toc21354"/>
      <w:bookmarkStart w:id="48" w:name="_Toc22812"/>
      <w:bookmarkStart w:id="49" w:name="_Toc460857898"/>
      <w:bookmarkStart w:id="50" w:name="_Toc460416645"/>
      <w:bookmarkStart w:id="51" w:name="_Toc460416340"/>
      <w:bookmarkStart w:id="52" w:name="_Toc103878793"/>
      <w:r>
        <w:rPr>
          <w:kern w:val="2"/>
          <w:sz w:val="21"/>
          <w:szCs w:val="21"/>
        </w:rPr>
        <w:t>（一）适用范围</w:t>
      </w:r>
      <w:bookmarkEnd w:id="45"/>
      <w:bookmarkEnd w:id="46"/>
      <w:bookmarkEnd w:id="47"/>
      <w:bookmarkEnd w:id="48"/>
      <w:bookmarkEnd w:id="49"/>
      <w:bookmarkEnd w:id="50"/>
      <w:bookmarkEnd w:id="51"/>
      <w:bookmarkEnd w:id="52"/>
    </w:p>
    <w:p>
      <w:pPr>
        <w:snapToGrid w:val="0"/>
        <w:spacing w:line="400" w:lineRule="exact"/>
        <w:ind w:firstLine="420" w:firstLineChars="200"/>
        <w:jc w:val="left"/>
        <w:rPr>
          <w:szCs w:val="21"/>
        </w:rPr>
      </w:pPr>
      <w:r>
        <w:rPr>
          <w:szCs w:val="21"/>
        </w:rPr>
        <w:t>本采购文件适用于本采购项目的招标、投标、评标、定标、验收、合同履约、付款等行为（法律、法规另有规定的，从其规定）。</w:t>
      </w:r>
    </w:p>
    <w:p>
      <w:pPr>
        <w:pStyle w:val="5"/>
        <w:numPr>
          <w:ilvl w:val="0"/>
          <w:numId w:val="0"/>
        </w:numPr>
        <w:tabs>
          <w:tab w:val="clear" w:pos="720"/>
        </w:tabs>
        <w:spacing w:before="0" w:after="0" w:line="400" w:lineRule="exact"/>
        <w:rPr>
          <w:kern w:val="2"/>
          <w:sz w:val="21"/>
          <w:szCs w:val="21"/>
        </w:rPr>
      </w:pPr>
      <w:bookmarkStart w:id="53" w:name="_Toc460416597"/>
      <w:bookmarkStart w:id="54" w:name="_Toc460416341"/>
      <w:bookmarkStart w:id="55" w:name="_Toc103878794"/>
      <w:bookmarkStart w:id="56" w:name="_Toc460857899"/>
      <w:bookmarkStart w:id="57" w:name="_Toc1200"/>
      <w:bookmarkStart w:id="58" w:name="_Toc460416646"/>
      <w:bookmarkStart w:id="59" w:name="_Toc17707912"/>
      <w:bookmarkStart w:id="60" w:name="_Toc706"/>
      <w:r>
        <w:rPr>
          <w:kern w:val="2"/>
          <w:sz w:val="21"/>
          <w:szCs w:val="21"/>
        </w:rPr>
        <w:t>（二）定义</w:t>
      </w:r>
      <w:bookmarkEnd w:id="53"/>
      <w:bookmarkEnd w:id="54"/>
      <w:bookmarkEnd w:id="55"/>
      <w:bookmarkEnd w:id="56"/>
      <w:bookmarkEnd w:id="57"/>
      <w:bookmarkEnd w:id="58"/>
      <w:bookmarkEnd w:id="59"/>
      <w:bookmarkEnd w:id="60"/>
    </w:p>
    <w:p>
      <w:pPr>
        <w:snapToGrid w:val="0"/>
        <w:spacing w:line="400" w:lineRule="exact"/>
        <w:ind w:firstLine="420" w:firstLineChars="200"/>
        <w:jc w:val="left"/>
        <w:rPr>
          <w:szCs w:val="21"/>
        </w:rPr>
      </w:pPr>
      <w:r>
        <w:rPr>
          <w:szCs w:val="21"/>
        </w:rPr>
        <w:t>1.“采购人”系指组织本次招标的采购单位。</w:t>
      </w:r>
    </w:p>
    <w:p>
      <w:pPr>
        <w:snapToGrid w:val="0"/>
        <w:spacing w:line="400" w:lineRule="exact"/>
        <w:ind w:firstLine="420" w:firstLineChars="200"/>
        <w:jc w:val="left"/>
        <w:rPr>
          <w:szCs w:val="21"/>
        </w:rPr>
      </w:pPr>
      <w:r>
        <w:rPr>
          <w:szCs w:val="21"/>
        </w:rPr>
        <w:t>2.“投标人”系指向采购人提交投标文件的单位或个人（“投标单位”）。</w:t>
      </w:r>
    </w:p>
    <w:p>
      <w:pPr>
        <w:snapToGrid w:val="0"/>
        <w:spacing w:line="400" w:lineRule="exact"/>
        <w:ind w:firstLine="420" w:firstLineChars="200"/>
        <w:jc w:val="left"/>
        <w:rPr>
          <w:szCs w:val="21"/>
        </w:rPr>
      </w:pPr>
      <w:r>
        <w:rPr>
          <w:szCs w:val="21"/>
        </w:rPr>
        <w:t>3.“</w:t>
      </w:r>
      <w:r>
        <w:rPr>
          <w:rFonts w:hint="eastAsia"/>
          <w:szCs w:val="21"/>
          <w:lang w:val="en-US" w:eastAsia="zh-CN"/>
        </w:rPr>
        <w:t>货物</w:t>
      </w:r>
      <w:r>
        <w:rPr>
          <w:szCs w:val="21"/>
        </w:rPr>
        <w:t>”系指供方按采购文件规定，须向采购人提供的一切</w:t>
      </w:r>
      <w:r>
        <w:rPr>
          <w:rFonts w:hint="eastAsia"/>
          <w:szCs w:val="21"/>
          <w:lang w:val="en-US" w:eastAsia="zh-CN"/>
        </w:rPr>
        <w:t>产品</w:t>
      </w:r>
      <w:r>
        <w:rPr>
          <w:szCs w:val="21"/>
        </w:rPr>
        <w:t>、保险、税金、工具、手册及其它有关技术资料和材料。</w:t>
      </w:r>
    </w:p>
    <w:p>
      <w:pPr>
        <w:snapToGrid w:val="0"/>
        <w:spacing w:line="400" w:lineRule="exact"/>
        <w:ind w:firstLine="420" w:firstLineChars="200"/>
        <w:jc w:val="left"/>
        <w:rPr>
          <w:szCs w:val="21"/>
        </w:rPr>
      </w:pPr>
      <w:r>
        <w:rPr>
          <w:szCs w:val="21"/>
        </w:rPr>
        <w:t>4.“服务”系指采购文件规定投标人须承担的运输、装卸以及其他类似的义务。</w:t>
      </w:r>
    </w:p>
    <w:p>
      <w:pPr>
        <w:snapToGrid w:val="0"/>
        <w:spacing w:line="400" w:lineRule="exact"/>
        <w:ind w:firstLine="420" w:firstLineChars="200"/>
        <w:jc w:val="left"/>
        <w:rPr>
          <w:szCs w:val="21"/>
        </w:rPr>
      </w:pPr>
      <w:r>
        <w:rPr>
          <w:szCs w:val="21"/>
        </w:rPr>
        <w:t>5.“项目”系指投标人按采购文件规定向采购人提供的产品和服务。</w:t>
      </w:r>
    </w:p>
    <w:p>
      <w:pPr>
        <w:snapToGrid w:val="0"/>
        <w:spacing w:line="400" w:lineRule="exact"/>
        <w:ind w:firstLine="420" w:firstLineChars="200"/>
        <w:jc w:val="left"/>
        <w:rPr>
          <w:szCs w:val="21"/>
        </w:rPr>
      </w:pPr>
      <w:r>
        <w:rPr>
          <w:szCs w:val="21"/>
        </w:rPr>
        <w:t>6.“书面形式”包括信函、传真、电报等。</w:t>
      </w:r>
    </w:p>
    <w:p>
      <w:pPr>
        <w:snapToGrid w:val="0"/>
        <w:spacing w:line="400" w:lineRule="exact"/>
        <w:ind w:firstLine="422" w:firstLineChars="200"/>
        <w:jc w:val="left"/>
        <w:rPr>
          <w:b/>
          <w:szCs w:val="21"/>
        </w:rPr>
      </w:pPr>
      <w:r>
        <w:rPr>
          <w:b/>
          <w:szCs w:val="21"/>
        </w:rPr>
        <w:t>7.“</w:t>
      </w:r>
      <w:r>
        <w:rPr>
          <w:rFonts w:hint="eastAsia"/>
          <w:b/>
          <w:szCs w:val="21"/>
          <w:lang w:val="en-US" w:eastAsia="zh-CN"/>
        </w:rPr>
        <w:t xml:space="preserve"> </w:t>
      </w:r>
      <w:r>
        <w:rPr>
          <w:rFonts w:hint="eastAsia"/>
          <w:b/>
          <w:szCs w:val="21"/>
          <w:lang w:eastAsia="zh-CN"/>
        </w:rPr>
        <w:t>▲</w:t>
      </w:r>
      <w:r>
        <w:rPr>
          <w:rFonts w:hint="eastAsia"/>
          <w:b/>
          <w:szCs w:val="21"/>
          <w:lang w:val="en-US" w:eastAsia="zh-CN"/>
        </w:rPr>
        <w:t xml:space="preserve"> </w:t>
      </w:r>
      <w:r>
        <w:rPr>
          <w:b/>
          <w:szCs w:val="21"/>
        </w:rPr>
        <w:t>”系指实质性要求条款。</w:t>
      </w:r>
    </w:p>
    <w:p>
      <w:pPr>
        <w:pStyle w:val="5"/>
        <w:numPr>
          <w:ilvl w:val="0"/>
          <w:numId w:val="0"/>
        </w:numPr>
        <w:tabs>
          <w:tab w:val="clear" w:pos="720"/>
        </w:tabs>
        <w:spacing w:before="0" w:after="0" w:line="400" w:lineRule="exact"/>
        <w:rPr>
          <w:kern w:val="2"/>
          <w:sz w:val="21"/>
          <w:szCs w:val="21"/>
        </w:rPr>
      </w:pPr>
      <w:bookmarkStart w:id="61" w:name="_Toc20754"/>
      <w:bookmarkStart w:id="62" w:name="_Toc460416598"/>
      <w:bookmarkStart w:id="63" w:name="_Toc460416342"/>
      <w:bookmarkStart w:id="64" w:name="_Toc103878795"/>
      <w:bookmarkStart w:id="65" w:name="_Toc17707913"/>
      <w:bookmarkStart w:id="66" w:name="_Toc460857900"/>
      <w:bookmarkStart w:id="67" w:name="_Toc460416647"/>
      <w:bookmarkStart w:id="68" w:name="_Toc14062"/>
      <w:r>
        <w:rPr>
          <w:kern w:val="2"/>
          <w:sz w:val="21"/>
          <w:szCs w:val="21"/>
        </w:rPr>
        <w:t>（三）采购方式</w:t>
      </w:r>
      <w:bookmarkEnd w:id="61"/>
      <w:bookmarkEnd w:id="62"/>
      <w:bookmarkEnd w:id="63"/>
      <w:bookmarkEnd w:id="64"/>
      <w:bookmarkEnd w:id="65"/>
      <w:bookmarkEnd w:id="66"/>
      <w:bookmarkEnd w:id="67"/>
      <w:bookmarkEnd w:id="68"/>
    </w:p>
    <w:p>
      <w:pPr>
        <w:snapToGrid w:val="0"/>
        <w:spacing w:line="400" w:lineRule="exact"/>
        <w:ind w:firstLine="420" w:firstLineChars="200"/>
        <w:jc w:val="left"/>
        <w:rPr>
          <w:szCs w:val="21"/>
        </w:rPr>
      </w:pPr>
      <w:r>
        <w:rPr>
          <w:szCs w:val="21"/>
        </w:rPr>
        <w:t>本次采购采用公开招标方式进行。</w:t>
      </w:r>
    </w:p>
    <w:p>
      <w:pPr>
        <w:pStyle w:val="5"/>
        <w:numPr>
          <w:ilvl w:val="0"/>
          <w:numId w:val="0"/>
        </w:numPr>
        <w:tabs>
          <w:tab w:val="clear" w:pos="720"/>
        </w:tabs>
        <w:spacing w:before="0" w:after="0" w:line="400" w:lineRule="exact"/>
        <w:rPr>
          <w:kern w:val="2"/>
          <w:sz w:val="21"/>
          <w:szCs w:val="21"/>
        </w:rPr>
      </w:pPr>
      <w:bookmarkStart w:id="69" w:name="_Toc460416599"/>
      <w:bookmarkStart w:id="70" w:name="_Toc460857901"/>
      <w:bookmarkStart w:id="71" w:name="_Toc460416648"/>
      <w:bookmarkStart w:id="72" w:name="_Toc8510"/>
      <w:bookmarkStart w:id="73" w:name="_Toc103878796"/>
      <w:bookmarkStart w:id="74" w:name="_Toc10302"/>
      <w:bookmarkStart w:id="75" w:name="_Toc460416343"/>
      <w:bookmarkStart w:id="76" w:name="_Toc17707914"/>
      <w:r>
        <w:rPr>
          <w:kern w:val="2"/>
          <w:sz w:val="21"/>
          <w:szCs w:val="21"/>
        </w:rPr>
        <w:t>（四）投标委托</w:t>
      </w:r>
      <w:bookmarkEnd w:id="69"/>
      <w:bookmarkEnd w:id="70"/>
      <w:bookmarkEnd w:id="71"/>
      <w:bookmarkEnd w:id="72"/>
      <w:bookmarkEnd w:id="73"/>
      <w:bookmarkEnd w:id="74"/>
      <w:bookmarkEnd w:id="75"/>
      <w:bookmarkEnd w:id="76"/>
    </w:p>
    <w:p>
      <w:pPr>
        <w:pStyle w:val="20"/>
        <w:snapToGrid w:val="0"/>
        <w:spacing w:line="400" w:lineRule="exact"/>
        <w:ind w:firstLine="420" w:firstLineChars="200"/>
        <w:jc w:val="both"/>
        <w:rPr>
          <w:rFonts w:ascii="Times New Roman"/>
          <w:sz w:val="21"/>
          <w:szCs w:val="21"/>
        </w:rPr>
      </w:pPr>
      <w:r>
        <w:rPr>
          <w:rFonts w:ascii="Times New Roman"/>
          <w:spacing w:val="0"/>
          <w:sz w:val="21"/>
          <w:szCs w:val="21"/>
        </w:rPr>
        <w:t>如投标单位派授权代表出席开标会议，授权代表须携带有效身份证件。投标人代表须为投标人的在职员工，如投标人代表不是法定代表人，须有法定代表人出具的授权委托书并在投标文件中提供投标人代表身份证正反面复印件及授权代表开标之日前</w:t>
      </w:r>
      <w:r>
        <w:rPr>
          <w:rFonts w:hint="eastAsia" w:ascii="Times New Roman"/>
          <w:spacing w:val="0"/>
          <w:sz w:val="21"/>
          <w:szCs w:val="21"/>
        </w:rPr>
        <w:t>近三个月任意一个月</w:t>
      </w:r>
      <w:r>
        <w:rPr>
          <w:rFonts w:ascii="Times New Roman"/>
          <w:spacing w:val="0"/>
          <w:sz w:val="21"/>
          <w:szCs w:val="21"/>
        </w:rPr>
        <w:t>缴纳社保的证明材料（投标文件正本用原件，副本可用复印件，格式见第六部分）</w:t>
      </w:r>
      <w:r>
        <w:rPr>
          <w:rFonts w:ascii="Times New Roman"/>
          <w:sz w:val="21"/>
          <w:szCs w:val="21"/>
        </w:rPr>
        <w:t>。</w:t>
      </w:r>
    </w:p>
    <w:p>
      <w:pPr>
        <w:pStyle w:val="5"/>
        <w:numPr>
          <w:ilvl w:val="0"/>
          <w:numId w:val="0"/>
        </w:numPr>
        <w:tabs>
          <w:tab w:val="clear" w:pos="720"/>
        </w:tabs>
        <w:spacing w:before="0" w:after="0" w:line="400" w:lineRule="exact"/>
        <w:rPr>
          <w:kern w:val="2"/>
          <w:sz w:val="21"/>
          <w:szCs w:val="21"/>
        </w:rPr>
      </w:pPr>
      <w:bookmarkStart w:id="77" w:name="_Toc12462"/>
      <w:bookmarkStart w:id="78" w:name="_Toc9607"/>
      <w:bookmarkStart w:id="79" w:name="_Toc460416600"/>
      <w:bookmarkStart w:id="80" w:name="_Toc460416344"/>
      <w:bookmarkStart w:id="81" w:name="_Toc460416649"/>
      <w:bookmarkStart w:id="82" w:name="_Toc460857902"/>
      <w:bookmarkStart w:id="83" w:name="_Toc103878797"/>
      <w:bookmarkStart w:id="84" w:name="_Toc17707915"/>
      <w:r>
        <w:rPr>
          <w:kern w:val="2"/>
          <w:sz w:val="21"/>
          <w:szCs w:val="21"/>
        </w:rPr>
        <w:t>（五）投标费用</w:t>
      </w:r>
      <w:bookmarkEnd w:id="77"/>
      <w:bookmarkEnd w:id="78"/>
      <w:bookmarkEnd w:id="79"/>
      <w:bookmarkEnd w:id="80"/>
      <w:bookmarkEnd w:id="81"/>
      <w:bookmarkEnd w:id="82"/>
      <w:bookmarkEnd w:id="83"/>
      <w:bookmarkEnd w:id="84"/>
    </w:p>
    <w:p>
      <w:pPr>
        <w:snapToGrid w:val="0"/>
        <w:spacing w:line="400" w:lineRule="exact"/>
        <w:ind w:firstLine="420" w:firstLineChars="200"/>
        <w:jc w:val="left"/>
        <w:rPr>
          <w:szCs w:val="21"/>
        </w:rPr>
      </w:pPr>
      <w:r>
        <w:rPr>
          <w:szCs w:val="21"/>
        </w:rPr>
        <w:t>不论投标结果如何，投标人均应自行承担所有与投标有关的全部费用（采购文件有相反规定除外）。</w:t>
      </w:r>
    </w:p>
    <w:p>
      <w:pPr>
        <w:pStyle w:val="5"/>
        <w:numPr>
          <w:ilvl w:val="0"/>
          <w:numId w:val="0"/>
        </w:numPr>
        <w:tabs>
          <w:tab w:val="clear" w:pos="720"/>
        </w:tabs>
        <w:spacing w:before="0" w:after="0" w:line="400" w:lineRule="exact"/>
        <w:rPr>
          <w:kern w:val="2"/>
          <w:sz w:val="21"/>
          <w:szCs w:val="21"/>
        </w:rPr>
      </w:pPr>
      <w:bookmarkStart w:id="85" w:name="_Toc25778"/>
      <w:bookmarkStart w:id="86" w:name="_Toc460857903"/>
      <w:bookmarkStart w:id="87" w:name="_Toc17707916"/>
      <w:bookmarkStart w:id="88" w:name="_Toc2031"/>
      <w:bookmarkStart w:id="89" w:name="_Toc103878798"/>
      <w:r>
        <w:rPr>
          <w:kern w:val="2"/>
          <w:sz w:val="21"/>
          <w:szCs w:val="21"/>
        </w:rPr>
        <w:t>（六）联合体投标</w:t>
      </w:r>
      <w:bookmarkEnd w:id="85"/>
      <w:bookmarkEnd w:id="86"/>
      <w:bookmarkEnd w:id="87"/>
      <w:bookmarkEnd w:id="88"/>
      <w:bookmarkEnd w:id="89"/>
    </w:p>
    <w:p>
      <w:pPr>
        <w:snapToGrid w:val="0"/>
        <w:spacing w:line="400" w:lineRule="exact"/>
        <w:ind w:firstLine="630" w:firstLineChars="300"/>
        <w:jc w:val="left"/>
        <w:rPr>
          <w:szCs w:val="21"/>
        </w:rPr>
      </w:pPr>
      <w:r>
        <w:rPr>
          <w:szCs w:val="21"/>
        </w:rPr>
        <w:t>本项目不接受联合体投标。</w:t>
      </w:r>
    </w:p>
    <w:p>
      <w:pPr>
        <w:pStyle w:val="5"/>
        <w:numPr>
          <w:ilvl w:val="0"/>
          <w:numId w:val="0"/>
        </w:numPr>
        <w:tabs>
          <w:tab w:val="clear" w:pos="720"/>
        </w:tabs>
        <w:spacing w:before="0" w:after="0" w:line="400" w:lineRule="exact"/>
        <w:rPr>
          <w:kern w:val="2"/>
          <w:sz w:val="21"/>
          <w:szCs w:val="21"/>
        </w:rPr>
      </w:pPr>
      <w:bookmarkStart w:id="90" w:name="_Toc103878799"/>
      <w:bookmarkStart w:id="91" w:name="_Toc460857904"/>
      <w:bookmarkStart w:id="92" w:name="_Toc17707917"/>
      <w:bookmarkStart w:id="93" w:name="_Toc15132"/>
      <w:bookmarkStart w:id="94" w:name="_Toc10267"/>
      <w:r>
        <w:rPr>
          <w:kern w:val="2"/>
          <w:sz w:val="21"/>
          <w:szCs w:val="21"/>
        </w:rPr>
        <w:t>（七）转包与分包</w:t>
      </w:r>
      <w:bookmarkEnd w:id="90"/>
      <w:bookmarkEnd w:id="91"/>
      <w:bookmarkEnd w:id="92"/>
      <w:bookmarkEnd w:id="93"/>
      <w:bookmarkEnd w:id="94"/>
    </w:p>
    <w:p>
      <w:pPr>
        <w:snapToGrid w:val="0"/>
        <w:spacing w:line="400" w:lineRule="exact"/>
        <w:ind w:firstLine="420" w:firstLineChars="200"/>
        <w:jc w:val="left"/>
        <w:rPr>
          <w:kern w:val="0"/>
          <w:szCs w:val="21"/>
        </w:rPr>
      </w:pPr>
      <w:r>
        <w:rPr>
          <w:kern w:val="0"/>
          <w:szCs w:val="21"/>
        </w:rPr>
        <w:t>1.本项目不允许转包。</w:t>
      </w:r>
    </w:p>
    <w:p>
      <w:pPr>
        <w:snapToGrid w:val="0"/>
        <w:spacing w:line="400" w:lineRule="exact"/>
        <w:ind w:firstLine="420" w:firstLineChars="200"/>
        <w:jc w:val="left"/>
      </w:pPr>
      <w:r>
        <w:rPr>
          <w:rFonts w:hint="eastAsia"/>
          <w:kern w:val="0"/>
          <w:szCs w:val="21"/>
          <w:lang w:val="en-US" w:eastAsia="zh-CN"/>
        </w:rPr>
        <w:t>2</w:t>
      </w:r>
      <w:r>
        <w:rPr>
          <w:kern w:val="0"/>
          <w:szCs w:val="21"/>
        </w:rPr>
        <w:t>.本项目不允许</w:t>
      </w:r>
      <w:r>
        <w:rPr>
          <w:rFonts w:hint="eastAsia"/>
          <w:kern w:val="0"/>
          <w:szCs w:val="21"/>
          <w:lang w:val="en-US" w:eastAsia="zh-CN"/>
        </w:rPr>
        <w:t>分</w:t>
      </w:r>
      <w:r>
        <w:rPr>
          <w:kern w:val="0"/>
          <w:szCs w:val="21"/>
        </w:rPr>
        <w:t>包。</w:t>
      </w:r>
    </w:p>
    <w:p>
      <w:pPr>
        <w:pStyle w:val="5"/>
        <w:numPr>
          <w:ilvl w:val="0"/>
          <w:numId w:val="0"/>
        </w:numPr>
        <w:tabs>
          <w:tab w:val="clear" w:pos="720"/>
        </w:tabs>
        <w:spacing w:before="0" w:after="0" w:line="400" w:lineRule="exact"/>
        <w:rPr>
          <w:kern w:val="2"/>
          <w:sz w:val="21"/>
          <w:szCs w:val="21"/>
        </w:rPr>
      </w:pPr>
      <w:bookmarkStart w:id="95" w:name="_Toc17707918"/>
      <w:bookmarkStart w:id="96" w:name="_Toc4400"/>
      <w:bookmarkStart w:id="97" w:name="_Toc29144"/>
      <w:bookmarkStart w:id="98" w:name="_Toc460416650"/>
      <w:bookmarkStart w:id="99" w:name="_Toc103878800"/>
      <w:bookmarkStart w:id="100" w:name="_Toc460857905"/>
      <w:bookmarkStart w:id="101" w:name="_Toc460416345"/>
      <w:bookmarkStart w:id="102" w:name="_Toc460416601"/>
      <w:r>
        <w:rPr>
          <w:kern w:val="2"/>
          <w:sz w:val="21"/>
          <w:szCs w:val="21"/>
        </w:rPr>
        <w:t>（八）特别说明</w:t>
      </w:r>
      <w:bookmarkEnd w:id="95"/>
      <w:bookmarkEnd w:id="96"/>
      <w:bookmarkEnd w:id="97"/>
      <w:bookmarkEnd w:id="98"/>
      <w:bookmarkEnd w:id="99"/>
      <w:bookmarkEnd w:id="100"/>
      <w:bookmarkEnd w:id="101"/>
      <w:bookmarkEnd w:id="102"/>
    </w:p>
    <w:p>
      <w:pPr>
        <w:pStyle w:val="25"/>
        <w:snapToGrid w:val="0"/>
        <w:spacing w:beforeLines="0" w:afterLines="0"/>
        <w:ind w:left="2" w:leftChars="1" w:firstLine="422" w:firstLineChars="200"/>
        <w:jc w:val="left"/>
        <w:rPr>
          <w:rFonts w:ascii="Times New Roman"/>
          <w:b/>
          <w:sz w:val="21"/>
          <w:szCs w:val="21"/>
        </w:rPr>
      </w:pPr>
      <w:r>
        <w:rPr>
          <w:rFonts w:hint="eastAsia" w:ascii="Times New Roman"/>
          <w:b/>
          <w:sz w:val="21"/>
          <w:szCs w:val="21"/>
          <w:lang w:eastAsia="zh-CN"/>
        </w:rPr>
        <w:t>▲</w:t>
      </w:r>
      <w:r>
        <w:rPr>
          <w:rFonts w:ascii="Times New Roman"/>
          <w:b/>
          <w:sz w:val="21"/>
          <w:szCs w:val="21"/>
        </w:rPr>
        <w:t>1.投标人应仔细阅读采购文件的所有内容，按照采购文件的要求提交投标文件，并对所提供的全部资料的真实性承担法律责任。</w:t>
      </w:r>
    </w:p>
    <w:p>
      <w:pPr>
        <w:pStyle w:val="25"/>
        <w:snapToGrid w:val="0"/>
        <w:spacing w:beforeLines="0" w:afterLines="0"/>
        <w:ind w:left="2" w:leftChars="1" w:firstLine="422" w:firstLineChars="200"/>
        <w:jc w:val="left"/>
        <w:rPr>
          <w:rFonts w:ascii="Times New Roman"/>
          <w:b/>
          <w:sz w:val="21"/>
          <w:szCs w:val="21"/>
        </w:rPr>
      </w:pPr>
      <w:r>
        <w:rPr>
          <w:rFonts w:hint="eastAsia" w:ascii="Times New Roman"/>
          <w:b/>
          <w:sz w:val="21"/>
          <w:szCs w:val="21"/>
          <w:lang w:eastAsia="zh-CN"/>
        </w:rPr>
        <w:t>▲</w:t>
      </w:r>
      <w:r>
        <w:rPr>
          <w:rFonts w:ascii="Times New Roman"/>
          <w:b/>
          <w:sz w:val="21"/>
          <w:szCs w:val="21"/>
        </w:rPr>
        <w:t>2.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5"/>
        <w:numPr>
          <w:ilvl w:val="0"/>
          <w:numId w:val="0"/>
        </w:numPr>
        <w:tabs>
          <w:tab w:val="clear" w:pos="720"/>
        </w:tabs>
        <w:spacing w:before="0" w:after="0" w:line="400" w:lineRule="exact"/>
        <w:rPr>
          <w:kern w:val="2"/>
          <w:sz w:val="21"/>
          <w:szCs w:val="21"/>
        </w:rPr>
      </w:pPr>
      <w:bookmarkStart w:id="103" w:name="_Toc17707919"/>
      <w:bookmarkStart w:id="104" w:name="_Toc21651"/>
      <w:bookmarkStart w:id="105" w:name="_Toc12525"/>
      <w:bookmarkStart w:id="106" w:name="_Toc103878801"/>
      <w:r>
        <w:rPr>
          <w:kern w:val="2"/>
          <w:sz w:val="21"/>
          <w:szCs w:val="21"/>
        </w:rPr>
        <w:t>（九）关于分公司投标</w:t>
      </w:r>
      <w:bookmarkEnd w:id="103"/>
      <w:bookmarkEnd w:id="104"/>
      <w:bookmarkEnd w:id="105"/>
      <w:bookmarkEnd w:id="106"/>
    </w:p>
    <w:p>
      <w:pPr>
        <w:widowControl/>
        <w:spacing w:line="400" w:lineRule="exact"/>
        <w:ind w:firstLine="420" w:firstLineChars="200"/>
        <w:jc w:val="left"/>
        <w:rPr>
          <w:bCs/>
          <w:szCs w:val="21"/>
          <w:highlight w:val="none"/>
        </w:rPr>
      </w:pPr>
      <w:r>
        <w:rPr>
          <w:bCs/>
          <w:szCs w:val="21"/>
          <w:highlight w:val="none"/>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pStyle w:val="5"/>
        <w:numPr>
          <w:ilvl w:val="0"/>
          <w:numId w:val="0"/>
        </w:numPr>
        <w:tabs>
          <w:tab w:val="clear" w:pos="720"/>
        </w:tabs>
        <w:spacing w:before="0" w:after="0" w:line="400" w:lineRule="exact"/>
        <w:rPr>
          <w:kern w:val="2"/>
          <w:sz w:val="21"/>
          <w:szCs w:val="21"/>
        </w:rPr>
      </w:pPr>
      <w:bookmarkStart w:id="107" w:name="_Toc8703"/>
      <w:bookmarkStart w:id="108" w:name="_Toc103878802"/>
      <w:bookmarkStart w:id="109" w:name="_Toc17707920"/>
      <w:bookmarkStart w:id="110" w:name="_Toc28801"/>
      <w:r>
        <w:rPr>
          <w:kern w:val="2"/>
          <w:sz w:val="21"/>
          <w:szCs w:val="21"/>
        </w:rPr>
        <w:t>（十）关于知识产权</w:t>
      </w:r>
      <w:bookmarkEnd w:id="107"/>
      <w:bookmarkEnd w:id="108"/>
      <w:bookmarkEnd w:id="109"/>
      <w:bookmarkEnd w:id="110"/>
    </w:p>
    <w:p>
      <w:pPr>
        <w:widowControl/>
        <w:snapToGrid w:val="0"/>
        <w:spacing w:line="400" w:lineRule="exact"/>
        <w:ind w:firstLine="420" w:firstLineChars="200"/>
        <w:jc w:val="left"/>
        <w:rPr>
          <w:bCs/>
          <w:szCs w:val="21"/>
        </w:rPr>
      </w:pPr>
      <w:r>
        <w:rPr>
          <w:bCs/>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napToGrid w:val="0"/>
        <w:spacing w:line="400" w:lineRule="exact"/>
        <w:ind w:firstLine="420" w:firstLineChars="200"/>
        <w:jc w:val="left"/>
        <w:rPr>
          <w:bCs/>
          <w:szCs w:val="21"/>
        </w:rPr>
      </w:pPr>
      <w:r>
        <w:rPr>
          <w:bCs/>
          <w:szCs w:val="21"/>
        </w:rPr>
        <w:t>2.投标报价应包含所有应向所有权人支付的专利权、商标权或其它知识产权的一切相关费用。</w:t>
      </w:r>
    </w:p>
    <w:p>
      <w:pPr>
        <w:widowControl/>
        <w:snapToGrid w:val="0"/>
        <w:spacing w:line="400" w:lineRule="exact"/>
        <w:ind w:firstLine="420" w:firstLineChars="200"/>
        <w:jc w:val="left"/>
        <w:rPr>
          <w:bCs/>
          <w:szCs w:val="21"/>
        </w:rPr>
      </w:pPr>
      <w:r>
        <w:rPr>
          <w:bCs/>
          <w:szCs w:val="21"/>
        </w:rPr>
        <w:t>3.系统软件、通用软件必须是具有在中国境内的合法使用权或版权的正版软件，涉及到第三方提出侵权或知识产权的起诉及支付版税等费用由投标人承担所有责任及费用。</w:t>
      </w:r>
    </w:p>
    <w:p>
      <w:pPr>
        <w:pStyle w:val="5"/>
        <w:numPr>
          <w:ilvl w:val="0"/>
          <w:numId w:val="0"/>
        </w:numPr>
        <w:tabs>
          <w:tab w:val="clear" w:pos="720"/>
        </w:tabs>
        <w:spacing w:before="0" w:after="0" w:line="400" w:lineRule="exact"/>
        <w:rPr>
          <w:kern w:val="2"/>
          <w:sz w:val="21"/>
          <w:szCs w:val="21"/>
        </w:rPr>
      </w:pPr>
      <w:bookmarkStart w:id="111" w:name="_Toc103878803"/>
      <w:bookmarkStart w:id="112" w:name="_Toc460416346"/>
      <w:bookmarkStart w:id="113" w:name="_Toc17707921"/>
      <w:bookmarkStart w:id="114" w:name="_Toc460857906"/>
      <w:bookmarkStart w:id="115" w:name="_Toc460416651"/>
      <w:bookmarkStart w:id="116" w:name="_Toc1160"/>
      <w:bookmarkStart w:id="117" w:name="_Toc460416602"/>
      <w:bookmarkStart w:id="118" w:name="_Toc31583"/>
      <w:r>
        <w:rPr>
          <w:kern w:val="2"/>
          <w:sz w:val="21"/>
          <w:szCs w:val="21"/>
        </w:rPr>
        <w:t>（十一）质疑和投诉</w:t>
      </w:r>
      <w:bookmarkEnd w:id="111"/>
      <w:bookmarkEnd w:id="112"/>
      <w:bookmarkEnd w:id="113"/>
      <w:bookmarkEnd w:id="114"/>
      <w:bookmarkEnd w:id="115"/>
      <w:bookmarkEnd w:id="116"/>
      <w:bookmarkEnd w:id="117"/>
      <w:bookmarkEnd w:id="118"/>
    </w:p>
    <w:p>
      <w:pPr>
        <w:pStyle w:val="2"/>
        <w:spacing w:after="0" w:line="400" w:lineRule="exact"/>
        <w:ind w:firstLine="420" w:firstLineChars="200"/>
        <w:rPr>
          <w:sz w:val="21"/>
          <w:szCs w:val="21"/>
        </w:rPr>
      </w:pPr>
      <w:r>
        <w:rPr>
          <w:sz w:val="21"/>
          <w:szCs w:val="21"/>
        </w:rPr>
        <w:t>1.投标单位认为采购文件、采购过程、中标或者成交结果使自己的权益受到损害的，须在应</w:t>
      </w:r>
      <w:r>
        <w:rPr>
          <w:spacing w:val="2"/>
          <w:sz w:val="21"/>
          <w:szCs w:val="21"/>
        </w:rPr>
        <w:t>知其利益受损之日起七个工作日内以书面形式向采购人、采购代理机构提出质疑。投标单位应当在法定质疑期内一次性提出针对同一采购程序环节的质疑。</w:t>
      </w:r>
    </w:p>
    <w:p>
      <w:pPr>
        <w:tabs>
          <w:tab w:val="left" w:pos="518"/>
        </w:tabs>
        <w:adjustRightInd w:val="0"/>
        <w:snapToGrid w:val="0"/>
        <w:spacing w:line="400" w:lineRule="exact"/>
        <w:ind w:firstLine="420" w:firstLineChars="200"/>
        <w:jc w:val="left"/>
        <w:rPr>
          <w:szCs w:val="21"/>
        </w:rPr>
      </w:pPr>
      <w:r>
        <w:rPr>
          <w:szCs w:val="21"/>
        </w:rPr>
        <w:t>2.提出质疑的投标单位应当是参与所质疑项目采购活动的投标单位。未依法获取采</w:t>
      </w:r>
      <w:r>
        <w:rPr>
          <w:spacing w:val="2"/>
          <w:szCs w:val="21"/>
        </w:rPr>
        <w:t>购文件的，不得就采购文件提出质疑；未提交投标文件的投标单位，视为与采购结</w:t>
      </w:r>
      <w:r>
        <w:rPr>
          <w:spacing w:val="-115"/>
          <w:szCs w:val="21"/>
        </w:rPr>
        <w:t xml:space="preserve"> </w:t>
      </w:r>
      <w:r>
        <w:rPr>
          <w:szCs w:val="21"/>
        </w:rPr>
        <w:t>果没有利害关系，不得就采购投标截止时间后的采购过程、采购结果提出质疑。</w:t>
      </w:r>
    </w:p>
    <w:p>
      <w:pPr>
        <w:tabs>
          <w:tab w:val="left" w:pos="518"/>
        </w:tabs>
        <w:adjustRightInd w:val="0"/>
        <w:snapToGrid w:val="0"/>
        <w:spacing w:line="400" w:lineRule="exact"/>
        <w:ind w:firstLine="420" w:firstLineChars="200"/>
        <w:jc w:val="left"/>
        <w:rPr>
          <w:szCs w:val="21"/>
        </w:rPr>
      </w:pPr>
      <w:r>
        <w:rPr>
          <w:szCs w:val="21"/>
        </w:rPr>
        <w:t>3.投标单位提出质疑应当提交质疑函和必要的证明材料，质疑函应当以书面形式（需符合财政部令第94号政府采购质疑和投诉办法要求）</w:t>
      </w:r>
      <w:r>
        <w:rPr>
          <w:spacing w:val="2"/>
          <w:szCs w:val="21"/>
        </w:rPr>
        <w:t>提出</w:t>
      </w:r>
      <w:r>
        <w:rPr>
          <w:szCs w:val="21"/>
        </w:rPr>
        <w:t>。</w:t>
      </w:r>
    </w:p>
    <w:p>
      <w:pPr>
        <w:tabs>
          <w:tab w:val="left" w:pos="518"/>
        </w:tabs>
        <w:adjustRightInd w:val="0"/>
        <w:snapToGrid w:val="0"/>
        <w:spacing w:line="400" w:lineRule="exact"/>
        <w:ind w:firstLine="420" w:firstLineChars="200"/>
        <w:jc w:val="left"/>
        <w:rPr>
          <w:szCs w:val="21"/>
        </w:rPr>
      </w:pPr>
      <w:r>
        <w:rPr>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pPr>
        <w:tabs>
          <w:tab w:val="left" w:pos="518"/>
        </w:tabs>
        <w:adjustRightInd w:val="0"/>
        <w:snapToGrid w:val="0"/>
        <w:spacing w:line="400" w:lineRule="exact"/>
        <w:ind w:firstLine="420" w:firstLineChars="200"/>
        <w:jc w:val="left"/>
        <w:rPr>
          <w:szCs w:val="21"/>
        </w:rPr>
      </w:pPr>
      <w:r>
        <w:rPr>
          <w:szCs w:val="21"/>
        </w:rPr>
        <w:t>5.投标单位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pPr>
        <w:pStyle w:val="4"/>
        <w:numPr>
          <w:ilvl w:val="0"/>
          <w:numId w:val="0"/>
        </w:numPr>
        <w:tabs>
          <w:tab w:val="clear" w:pos="576"/>
          <w:tab w:val="clear" w:pos="1569"/>
        </w:tabs>
        <w:spacing w:before="0" w:after="0" w:line="400" w:lineRule="exact"/>
        <w:jc w:val="left"/>
        <w:rPr>
          <w:rFonts w:ascii="Times New Roman" w:hAnsi="Times New Roman" w:eastAsia="宋体"/>
          <w:sz w:val="21"/>
          <w:szCs w:val="21"/>
        </w:rPr>
      </w:pPr>
      <w:bookmarkStart w:id="119" w:name="_Toc460416652"/>
      <w:bookmarkStart w:id="120" w:name="_Toc460416347"/>
      <w:bookmarkStart w:id="121" w:name="_Toc17707922"/>
      <w:bookmarkStart w:id="122" w:name="_Toc20779"/>
      <w:bookmarkStart w:id="123" w:name="_Toc103878804"/>
      <w:bookmarkStart w:id="124" w:name="_Toc13420"/>
      <w:bookmarkStart w:id="125" w:name="_Toc460857907"/>
      <w:r>
        <w:rPr>
          <w:rFonts w:ascii="Times New Roman" w:hAnsi="Times New Roman" w:eastAsia="宋体"/>
          <w:sz w:val="21"/>
          <w:szCs w:val="21"/>
        </w:rPr>
        <w:t>二、采购文件</w:t>
      </w:r>
      <w:bookmarkEnd w:id="119"/>
      <w:bookmarkEnd w:id="120"/>
      <w:bookmarkEnd w:id="121"/>
      <w:bookmarkEnd w:id="122"/>
      <w:bookmarkEnd w:id="123"/>
      <w:bookmarkEnd w:id="124"/>
      <w:bookmarkEnd w:id="125"/>
    </w:p>
    <w:p>
      <w:pPr>
        <w:pStyle w:val="5"/>
        <w:numPr>
          <w:ilvl w:val="0"/>
          <w:numId w:val="0"/>
        </w:numPr>
        <w:tabs>
          <w:tab w:val="clear" w:pos="720"/>
        </w:tabs>
        <w:spacing w:before="0" w:after="0" w:line="400" w:lineRule="exact"/>
        <w:rPr>
          <w:kern w:val="2"/>
          <w:sz w:val="21"/>
          <w:szCs w:val="21"/>
        </w:rPr>
      </w:pPr>
      <w:bookmarkStart w:id="126" w:name="_Toc103878805"/>
      <w:bookmarkStart w:id="127" w:name="_Toc13037"/>
      <w:bookmarkStart w:id="128" w:name="_Toc13957"/>
      <w:bookmarkStart w:id="129" w:name="_Toc460857908"/>
      <w:bookmarkStart w:id="130" w:name="_Toc17707923"/>
      <w:r>
        <w:rPr>
          <w:kern w:val="2"/>
          <w:sz w:val="21"/>
          <w:szCs w:val="21"/>
        </w:rPr>
        <w:t>（一）采购文件的构成。</w:t>
      </w:r>
      <w:bookmarkEnd w:id="126"/>
      <w:bookmarkEnd w:id="127"/>
      <w:bookmarkEnd w:id="128"/>
    </w:p>
    <w:p>
      <w:pPr>
        <w:spacing w:line="400" w:lineRule="exact"/>
        <w:ind w:firstLine="422" w:firstLineChars="201"/>
        <w:rPr>
          <w:szCs w:val="21"/>
        </w:rPr>
      </w:pPr>
      <w:r>
        <w:rPr>
          <w:szCs w:val="21"/>
        </w:rPr>
        <w:t>本采购文件由以下部份组成：</w:t>
      </w:r>
      <w:bookmarkEnd w:id="129"/>
      <w:bookmarkEnd w:id="130"/>
    </w:p>
    <w:p>
      <w:pPr>
        <w:snapToGrid w:val="0"/>
        <w:spacing w:line="400" w:lineRule="exact"/>
        <w:ind w:firstLine="420" w:firstLineChars="200"/>
        <w:jc w:val="left"/>
        <w:rPr>
          <w:szCs w:val="21"/>
        </w:rPr>
      </w:pPr>
      <w:r>
        <w:rPr>
          <w:szCs w:val="21"/>
        </w:rPr>
        <w:t>1.公开招标采购公告</w:t>
      </w:r>
    </w:p>
    <w:p>
      <w:pPr>
        <w:snapToGrid w:val="0"/>
        <w:spacing w:line="400" w:lineRule="exact"/>
        <w:ind w:firstLine="420" w:firstLineChars="200"/>
        <w:jc w:val="left"/>
        <w:rPr>
          <w:szCs w:val="21"/>
        </w:rPr>
      </w:pPr>
      <w:r>
        <w:rPr>
          <w:szCs w:val="21"/>
        </w:rPr>
        <w:t>2.采购需求</w:t>
      </w:r>
    </w:p>
    <w:p>
      <w:pPr>
        <w:snapToGrid w:val="0"/>
        <w:spacing w:line="400" w:lineRule="exact"/>
        <w:ind w:firstLine="420" w:firstLineChars="200"/>
        <w:jc w:val="left"/>
        <w:rPr>
          <w:szCs w:val="21"/>
        </w:rPr>
      </w:pPr>
      <w:r>
        <w:rPr>
          <w:szCs w:val="21"/>
        </w:rPr>
        <w:t>3.投标人须知</w:t>
      </w:r>
    </w:p>
    <w:p>
      <w:pPr>
        <w:snapToGrid w:val="0"/>
        <w:spacing w:line="400" w:lineRule="exact"/>
        <w:ind w:firstLine="420" w:firstLineChars="200"/>
        <w:jc w:val="left"/>
        <w:rPr>
          <w:szCs w:val="21"/>
        </w:rPr>
      </w:pPr>
      <w:r>
        <w:rPr>
          <w:szCs w:val="21"/>
        </w:rPr>
        <w:t>4.评标办法及评分标准</w:t>
      </w:r>
    </w:p>
    <w:p>
      <w:pPr>
        <w:snapToGrid w:val="0"/>
        <w:spacing w:line="400" w:lineRule="exact"/>
        <w:ind w:firstLine="420" w:firstLineChars="200"/>
        <w:jc w:val="left"/>
        <w:rPr>
          <w:szCs w:val="21"/>
        </w:rPr>
      </w:pPr>
      <w:r>
        <w:rPr>
          <w:szCs w:val="21"/>
        </w:rPr>
        <w:t>5.采购合同主要条款</w:t>
      </w:r>
    </w:p>
    <w:p>
      <w:pPr>
        <w:snapToGrid w:val="0"/>
        <w:spacing w:line="400" w:lineRule="exact"/>
        <w:ind w:firstLine="420" w:firstLineChars="200"/>
        <w:jc w:val="left"/>
        <w:rPr>
          <w:szCs w:val="21"/>
        </w:rPr>
      </w:pPr>
      <w:r>
        <w:rPr>
          <w:szCs w:val="21"/>
        </w:rPr>
        <w:t>6.投标文件格式</w:t>
      </w:r>
    </w:p>
    <w:p>
      <w:pPr>
        <w:snapToGrid w:val="0"/>
        <w:spacing w:line="400" w:lineRule="exact"/>
        <w:ind w:firstLine="420" w:firstLineChars="200"/>
        <w:jc w:val="left"/>
        <w:rPr>
          <w:szCs w:val="21"/>
        </w:rPr>
      </w:pPr>
      <w:r>
        <w:rPr>
          <w:szCs w:val="21"/>
        </w:rPr>
        <w:t>7.本项目采购文件的澄清、答复、修改、补充的内容</w:t>
      </w:r>
    </w:p>
    <w:p>
      <w:pPr>
        <w:pStyle w:val="5"/>
        <w:numPr>
          <w:ilvl w:val="0"/>
          <w:numId w:val="0"/>
        </w:numPr>
        <w:tabs>
          <w:tab w:val="clear" w:pos="720"/>
        </w:tabs>
        <w:spacing w:before="0" w:after="0" w:line="400" w:lineRule="exact"/>
        <w:rPr>
          <w:kern w:val="2"/>
          <w:sz w:val="21"/>
          <w:szCs w:val="21"/>
        </w:rPr>
      </w:pPr>
      <w:bookmarkStart w:id="131" w:name="_Toc103878806"/>
      <w:bookmarkStart w:id="132" w:name="_Toc17707924"/>
      <w:bookmarkStart w:id="133" w:name="_Toc2402"/>
      <w:bookmarkStart w:id="134" w:name="_Toc460857909"/>
      <w:bookmarkStart w:id="135" w:name="_Toc14816"/>
      <w:r>
        <w:rPr>
          <w:kern w:val="2"/>
          <w:sz w:val="21"/>
          <w:szCs w:val="21"/>
        </w:rPr>
        <w:t>（二）投标人的风险</w:t>
      </w:r>
      <w:bookmarkEnd w:id="131"/>
      <w:bookmarkEnd w:id="132"/>
      <w:bookmarkEnd w:id="133"/>
      <w:bookmarkEnd w:id="134"/>
      <w:bookmarkEnd w:id="135"/>
    </w:p>
    <w:p>
      <w:pPr>
        <w:pStyle w:val="39"/>
        <w:numPr>
          <w:ilvl w:val="0"/>
          <w:numId w:val="0"/>
        </w:numPr>
        <w:spacing w:line="400" w:lineRule="exact"/>
        <w:ind w:firstLine="420" w:firstLineChars="200"/>
        <w:rPr>
          <w:rFonts w:ascii="Times New Roman" w:eastAsia="宋体"/>
          <w:color w:val="auto"/>
          <w:sz w:val="21"/>
          <w:szCs w:val="21"/>
        </w:rPr>
      </w:pPr>
      <w:r>
        <w:rPr>
          <w:rFonts w:ascii="Times New Roman" w:eastAsia="宋体"/>
          <w:color w:val="auto"/>
          <w:sz w:val="21"/>
          <w:szCs w:val="21"/>
        </w:rPr>
        <w:t>投标人没有按照采购文件要求提供全部资料，或者投标人没有对采购文件在各方面作出实质性响应是投标人的风险，并可能导致其投标被拒绝。</w:t>
      </w:r>
    </w:p>
    <w:p>
      <w:pPr>
        <w:pStyle w:val="39"/>
        <w:numPr>
          <w:ilvl w:val="0"/>
          <w:numId w:val="0"/>
        </w:numPr>
        <w:spacing w:line="400" w:lineRule="exact"/>
        <w:ind w:firstLine="420" w:firstLineChars="200"/>
        <w:rPr>
          <w:rFonts w:ascii="Times New Roman" w:eastAsia="宋体"/>
          <w:color w:val="auto"/>
          <w:sz w:val="21"/>
          <w:szCs w:val="21"/>
        </w:rPr>
      </w:pPr>
      <w:r>
        <w:rPr>
          <w:rFonts w:ascii="Times New Roman" w:eastAsia="宋体"/>
          <w:color w:val="auto"/>
          <w:sz w:val="21"/>
          <w:szCs w:val="21"/>
        </w:rPr>
        <w:t>招标文件明确要求在投标文件中附（提交）证明材料而投标人未在投标文件中提供的不被认定为作出响应。提供的合同等证明材料应当是完整无删减、遮挡（盖）的原始文件的复印件，否则因提供的证明材料缺少评审所需的关键或必要的信息导致不予认可的风险和责任由投标人承担。</w:t>
      </w:r>
    </w:p>
    <w:p>
      <w:pPr>
        <w:pStyle w:val="5"/>
        <w:numPr>
          <w:ilvl w:val="0"/>
          <w:numId w:val="0"/>
        </w:numPr>
        <w:tabs>
          <w:tab w:val="clear" w:pos="720"/>
        </w:tabs>
        <w:spacing w:before="0" w:after="0" w:line="400" w:lineRule="exact"/>
        <w:rPr>
          <w:kern w:val="2"/>
          <w:sz w:val="21"/>
          <w:szCs w:val="21"/>
        </w:rPr>
      </w:pPr>
      <w:bookmarkStart w:id="136" w:name="_Toc17707925"/>
      <w:bookmarkStart w:id="137" w:name="_Toc103878807"/>
      <w:bookmarkStart w:id="138" w:name="_Toc460857910"/>
      <w:bookmarkStart w:id="139" w:name="_Toc5641"/>
      <w:bookmarkStart w:id="140" w:name="_Toc25415"/>
      <w:r>
        <w:rPr>
          <w:kern w:val="2"/>
          <w:sz w:val="21"/>
          <w:szCs w:val="21"/>
        </w:rPr>
        <w:t>（三）采购文件的澄清与修改</w:t>
      </w:r>
      <w:bookmarkEnd w:id="136"/>
      <w:bookmarkEnd w:id="137"/>
      <w:bookmarkEnd w:id="138"/>
      <w:bookmarkEnd w:id="139"/>
      <w:bookmarkEnd w:id="140"/>
      <w:r>
        <w:rPr>
          <w:kern w:val="2"/>
          <w:sz w:val="21"/>
          <w:szCs w:val="21"/>
        </w:rPr>
        <w:t xml:space="preserve"> </w:t>
      </w:r>
    </w:p>
    <w:p>
      <w:pPr>
        <w:pStyle w:val="2"/>
        <w:tabs>
          <w:tab w:val="left" w:pos="948"/>
        </w:tabs>
        <w:spacing w:after="0" w:line="400" w:lineRule="exact"/>
        <w:ind w:firstLine="420" w:firstLineChars="200"/>
        <w:rPr>
          <w:sz w:val="21"/>
          <w:szCs w:val="21"/>
        </w:rPr>
      </w:pPr>
      <w:bookmarkStart w:id="141" w:name="_Toc460857912"/>
      <w:bookmarkStart w:id="142" w:name="_Toc460416653"/>
      <w:bookmarkStart w:id="143" w:name="_Toc460416348"/>
      <w:r>
        <w:rPr>
          <w:sz w:val="21"/>
          <w:szCs w:val="21"/>
        </w:rPr>
        <w:t>1.采购人可主动地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15日前发出；不足15日的，顺延提交投标文件截止时间。</w:t>
      </w:r>
    </w:p>
    <w:p>
      <w:pPr>
        <w:pStyle w:val="2"/>
        <w:tabs>
          <w:tab w:val="left" w:pos="948"/>
        </w:tabs>
        <w:spacing w:after="0" w:line="400" w:lineRule="exact"/>
        <w:ind w:firstLine="420" w:firstLineChars="200"/>
        <w:rPr>
          <w:sz w:val="21"/>
          <w:szCs w:val="21"/>
        </w:rPr>
      </w:pPr>
      <w:r>
        <w:rPr>
          <w:sz w:val="21"/>
          <w:szCs w:val="21"/>
        </w:rPr>
        <w:t>2.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pPr>
        <w:pStyle w:val="2"/>
        <w:tabs>
          <w:tab w:val="left" w:pos="948"/>
        </w:tabs>
        <w:spacing w:after="0" w:line="400" w:lineRule="exact"/>
        <w:ind w:firstLine="420" w:firstLineChars="200"/>
        <w:rPr>
          <w:sz w:val="21"/>
          <w:szCs w:val="21"/>
        </w:rPr>
      </w:pPr>
      <w:r>
        <w:rPr>
          <w:sz w:val="21"/>
          <w:szCs w:val="21"/>
        </w:rPr>
        <w:t>因潜在投标人原因或通讯线路故障导致通知逾期送达或无法送达，采购代理机构不因此承担任何责任，有关的招标采购活动可以继续有效进行。</w:t>
      </w:r>
    </w:p>
    <w:p>
      <w:pPr>
        <w:pStyle w:val="2"/>
        <w:tabs>
          <w:tab w:val="left" w:pos="948"/>
        </w:tabs>
        <w:spacing w:after="0" w:line="400" w:lineRule="exact"/>
        <w:ind w:firstLine="420" w:firstLineChars="200"/>
        <w:rPr>
          <w:sz w:val="21"/>
          <w:szCs w:val="21"/>
        </w:rPr>
      </w:pPr>
      <w:r>
        <w:rPr>
          <w:sz w:val="21"/>
          <w:szCs w:val="21"/>
        </w:rPr>
        <w:t>3.如更正公告有重新发布电子采购文件的，投标人应下载最新发布的电子采购文件制作投标文件。</w:t>
      </w:r>
    </w:p>
    <w:p>
      <w:pPr>
        <w:pStyle w:val="2"/>
        <w:tabs>
          <w:tab w:val="left" w:pos="948"/>
        </w:tabs>
        <w:spacing w:after="0" w:line="400" w:lineRule="exact"/>
        <w:ind w:firstLine="420" w:firstLineChars="200"/>
        <w:rPr>
          <w:sz w:val="21"/>
          <w:szCs w:val="21"/>
        </w:rPr>
      </w:pPr>
      <w:r>
        <w:rPr>
          <w:sz w:val="21"/>
          <w:szCs w:val="21"/>
        </w:rPr>
        <w:t>4.投标人在规定的时间内未对采购文件提出疑问、质疑或要求澄清的，将视其为无异议。对采购文件中描述有歧义或前后不一致的地方，评标委员会有权进行评判，但对同一条款的评判应适用于每个投标人。</w:t>
      </w:r>
    </w:p>
    <w:p>
      <w:pPr>
        <w:pStyle w:val="4"/>
        <w:numPr>
          <w:ilvl w:val="0"/>
          <w:numId w:val="0"/>
        </w:numPr>
        <w:tabs>
          <w:tab w:val="clear" w:pos="576"/>
          <w:tab w:val="clear" w:pos="1569"/>
        </w:tabs>
        <w:spacing w:before="0" w:after="0" w:line="400" w:lineRule="exact"/>
        <w:jc w:val="left"/>
        <w:rPr>
          <w:rFonts w:ascii="Times New Roman" w:hAnsi="Times New Roman" w:eastAsia="宋体"/>
          <w:sz w:val="21"/>
          <w:szCs w:val="21"/>
        </w:rPr>
      </w:pPr>
      <w:bookmarkStart w:id="144" w:name="_Toc1357"/>
      <w:bookmarkStart w:id="145" w:name="_Toc17707926"/>
      <w:bookmarkStart w:id="146" w:name="_Toc103878808"/>
      <w:bookmarkStart w:id="147" w:name="_Toc3195"/>
      <w:r>
        <w:rPr>
          <w:rFonts w:ascii="Times New Roman" w:hAnsi="Times New Roman" w:eastAsia="宋体"/>
          <w:sz w:val="21"/>
          <w:szCs w:val="21"/>
        </w:rPr>
        <w:t>三、投标文件的编制</w:t>
      </w:r>
      <w:bookmarkEnd w:id="141"/>
      <w:bookmarkEnd w:id="142"/>
      <w:bookmarkEnd w:id="143"/>
      <w:bookmarkEnd w:id="144"/>
      <w:bookmarkEnd w:id="145"/>
      <w:bookmarkEnd w:id="146"/>
      <w:bookmarkEnd w:id="147"/>
    </w:p>
    <w:p>
      <w:pPr>
        <w:pStyle w:val="5"/>
        <w:numPr>
          <w:ilvl w:val="0"/>
          <w:numId w:val="0"/>
        </w:numPr>
        <w:tabs>
          <w:tab w:val="clear" w:pos="720"/>
        </w:tabs>
        <w:spacing w:before="0" w:after="0" w:line="400" w:lineRule="exact"/>
        <w:rPr>
          <w:kern w:val="2"/>
          <w:sz w:val="21"/>
          <w:szCs w:val="21"/>
        </w:rPr>
      </w:pPr>
      <w:bookmarkStart w:id="148" w:name="_Toc103878809"/>
      <w:bookmarkStart w:id="149" w:name="_Toc460416349"/>
      <w:bookmarkStart w:id="150" w:name="_Toc460857913"/>
      <w:bookmarkStart w:id="151" w:name="_Toc17707927"/>
      <w:bookmarkStart w:id="152" w:name="_Toc16420"/>
      <w:bookmarkStart w:id="153" w:name="_Toc18675"/>
      <w:bookmarkStart w:id="154" w:name="_Toc460416654"/>
      <w:r>
        <w:rPr>
          <w:kern w:val="2"/>
          <w:sz w:val="21"/>
          <w:szCs w:val="21"/>
        </w:rPr>
        <w:t>（一）投标文件的组成</w:t>
      </w:r>
      <w:bookmarkEnd w:id="148"/>
      <w:bookmarkEnd w:id="149"/>
      <w:bookmarkEnd w:id="150"/>
      <w:bookmarkEnd w:id="151"/>
      <w:bookmarkEnd w:id="152"/>
      <w:bookmarkEnd w:id="153"/>
      <w:bookmarkEnd w:id="154"/>
    </w:p>
    <w:p>
      <w:pPr>
        <w:snapToGrid w:val="0"/>
        <w:spacing w:line="400" w:lineRule="exact"/>
        <w:ind w:firstLine="420" w:firstLineChars="200"/>
        <w:jc w:val="left"/>
        <w:rPr>
          <w:szCs w:val="21"/>
        </w:rPr>
      </w:pPr>
      <w:r>
        <w:rPr>
          <w:szCs w:val="21"/>
        </w:rPr>
        <w:t>投标文件由</w:t>
      </w:r>
      <w:r>
        <w:rPr>
          <w:rFonts w:hint="eastAsia"/>
          <w:szCs w:val="21"/>
          <w:lang w:eastAsia="zh-CN"/>
        </w:rPr>
        <w:t>资格文件</w:t>
      </w:r>
      <w:r>
        <w:rPr>
          <w:szCs w:val="21"/>
        </w:rPr>
        <w:t>、商务技术文件和报价文件三部分组成。</w:t>
      </w:r>
    </w:p>
    <w:p>
      <w:pPr>
        <w:snapToGrid w:val="0"/>
        <w:spacing w:line="400" w:lineRule="exact"/>
        <w:ind w:firstLine="413" w:firstLineChars="196"/>
        <w:jc w:val="left"/>
        <w:rPr>
          <w:b/>
          <w:szCs w:val="21"/>
        </w:rPr>
      </w:pPr>
      <w:r>
        <w:rPr>
          <w:b/>
          <w:szCs w:val="21"/>
        </w:rPr>
        <w:t>1．</w:t>
      </w:r>
      <w:r>
        <w:rPr>
          <w:rFonts w:hint="eastAsia"/>
          <w:b/>
          <w:szCs w:val="21"/>
          <w:lang w:eastAsia="zh-CN"/>
        </w:rPr>
        <w:t>资格文件</w:t>
      </w:r>
      <w:r>
        <w:rPr>
          <w:b/>
          <w:szCs w:val="21"/>
        </w:rPr>
        <w:t>包括以下内容：</w:t>
      </w:r>
    </w:p>
    <w:p>
      <w:pPr>
        <w:snapToGrid w:val="0"/>
        <w:spacing w:line="400" w:lineRule="exact"/>
        <w:ind w:firstLine="420" w:firstLineChars="200"/>
        <w:jc w:val="left"/>
        <w:rPr>
          <w:szCs w:val="21"/>
        </w:rPr>
      </w:pPr>
      <w:r>
        <w:rPr>
          <w:szCs w:val="21"/>
        </w:rPr>
        <w:t>（1）有效的企业法人营业执照（或事业法人登记证）、其他组织（个体工商户）的营业执照或者民办非企业单位登记证书复印件（复印件加盖公章）；</w:t>
      </w:r>
    </w:p>
    <w:p>
      <w:pPr>
        <w:snapToGrid w:val="0"/>
        <w:spacing w:line="400" w:lineRule="exact"/>
        <w:ind w:firstLine="420" w:firstLineChars="200"/>
        <w:jc w:val="left"/>
        <w:rPr>
          <w:szCs w:val="21"/>
        </w:rPr>
      </w:pPr>
      <w:r>
        <w:rPr>
          <w:szCs w:val="21"/>
        </w:rPr>
        <w:t>（</w:t>
      </w:r>
      <w:r>
        <w:rPr>
          <w:rFonts w:hint="eastAsia"/>
          <w:szCs w:val="21"/>
          <w:lang w:val="en-US" w:eastAsia="zh-CN"/>
        </w:rPr>
        <w:t>2</w:t>
      </w:r>
      <w:r>
        <w:rPr>
          <w:szCs w:val="21"/>
        </w:rPr>
        <w:t>）投标人资格声明函（格式见附件)；</w:t>
      </w:r>
    </w:p>
    <w:p>
      <w:pPr>
        <w:snapToGrid w:val="0"/>
        <w:spacing w:line="400" w:lineRule="exact"/>
        <w:ind w:firstLine="420" w:firstLineChars="200"/>
        <w:jc w:val="left"/>
        <w:rPr>
          <w:szCs w:val="21"/>
        </w:rPr>
      </w:pPr>
      <w:r>
        <w:rPr>
          <w:szCs w:val="21"/>
        </w:rPr>
        <w:t>（</w:t>
      </w:r>
      <w:r>
        <w:rPr>
          <w:rFonts w:hint="eastAsia"/>
          <w:szCs w:val="21"/>
          <w:lang w:val="en-US" w:eastAsia="zh-CN"/>
        </w:rPr>
        <w:t>3</w:t>
      </w:r>
      <w:r>
        <w:rPr>
          <w:szCs w:val="21"/>
        </w:rPr>
        <w:t>）</w:t>
      </w:r>
      <w:r>
        <w:rPr>
          <w:rFonts w:hint="eastAsia"/>
          <w:szCs w:val="21"/>
          <w:lang w:val="en-US" w:eastAsia="zh-CN"/>
        </w:rPr>
        <w:t>满足</w:t>
      </w:r>
      <w:r>
        <w:rPr>
          <w:szCs w:val="21"/>
        </w:rPr>
        <w:t>本项目特定资格要求的证明材料；</w:t>
      </w:r>
    </w:p>
    <w:p>
      <w:pPr>
        <w:spacing w:line="400" w:lineRule="exact"/>
        <w:ind w:firstLine="422" w:firstLineChars="200"/>
        <w:rPr>
          <w:b/>
          <w:szCs w:val="21"/>
        </w:rPr>
      </w:pPr>
      <w:r>
        <w:rPr>
          <w:b/>
          <w:szCs w:val="21"/>
        </w:rPr>
        <w:t>2.商务技术文件包括以下内容：</w:t>
      </w:r>
    </w:p>
    <w:p>
      <w:pPr>
        <w:tabs>
          <w:tab w:val="left" w:pos="518"/>
        </w:tabs>
        <w:adjustRightInd w:val="0"/>
        <w:snapToGrid w:val="0"/>
        <w:spacing w:line="400" w:lineRule="exact"/>
        <w:ind w:firstLine="420" w:firstLineChars="200"/>
        <w:jc w:val="left"/>
        <w:rPr>
          <w:szCs w:val="21"/>
        </w:rPr>
      </w:pPr>
      <w:r>
        <w:rPr>
          <w:szCs w:val="21"/>
        </w:rPr>
        <w:t>（1）投标人基本情况说明（格式见附件)</w:t>
      </w:r>
    </w:p>
    <w:p>
      <w:pPr>
        <w:tabs>
          <w:tab w:val="left" w:pos="518"/>
        </w:tabs>
        <w:adjustRightInd w:val="0"/>
        <w:snapToGrid w:val="0"/>
        <w:spacing w:line="400" w:lineRule="exact"/>
        <w:ind w:firstLine="420" w:firstLineChars="200"/>
        <w:jc w:val="left"/>
        <w:rPr>
          <w:szCs w:val="21"/>
        </w:rPr>
      </w:pPr>
      <w:r>
        <w:rPr>
          <w:szCs w:val="21"/>
        </w:rPr>
        <w:t>（2）法定代表人身份证明或法定代表人</w:t>
      </w:r>
      <w:r>
        <w:rPr>
          <w:rFonts w:hint="eastAsia"/>
          <w:szCs w:val="21"/>
          <w:lang w:val="en-US" w:eastAsia="zh-CN"/>
        </w:rPr>
        <w:t>授权委托书</w:t>
      </w:r>
      <w:r>
        <w:rPr>
          <w:szCs w:val="21"/>
        </w:rPr>
        <w:t>【投标人的代表若为非法定代表人的，必须提交法定代表人</w:t>
      </w:r>
      <w:r>
        <w:rPr>
          <w:rFonts w:hint="eastAsia"/>
          <w:szCs w:val="21"/>
          <w:lang w:val="en-US" w:eastAsia="zh-CN"/>
        </w:rPr>
        <w:t>授权委托书</w:t>
      </w:r>
      <w:r>
        <w:rPr>
          <w:szCs w:val="21"/>
        </w:rPr>
        <w:t>及</w:t>
      </w:r>
      <w:r>
        <w:rPr>
          <w:bCs/>
          <w:szCs w:val="21"/>
        </w:rPr>
        <w:t>授权代表开标之日前</w:t>
      </w:r>
      <w:r>
        <w:rPr>
          <w:rFonts w:hint="eastAsia"/>
          <w:bCs/>
          <w:szCs w:val="21"/>
        </w:rPr>
        <w:t>近三个月任意一个月</w:t>
      </w:r>
      <w:r>
        <w:rPr>
          <w:bCs/>
          <w:szCs w:val="21"/>
        </w:rPr>
        <w:t>投标人所缴纳社保的证明材料（均加盖公章）</w:t>
      </w:r>
      <w:r>
        <w:rPr>
          <w:szCs w:val="21"/>
        </w:rPr>
        <w:t>，格式见附件】；</w:t>
      </w:r>
    </w:p>
    <w:p>
      <w:pPr>
        <w:tabs>
          <w:tab w:val="left" w:pos="518"/>
        </w:tabs>
        <w:adjustRightInd w:val="0"/>
        <w:snapToGrid w:val="0"/>
        <w:spacing w:line="400" w:lineRule="exact"/>
        <w:ind w:firstLine="420" w:firstLineChars="200"/>
        <w:jc w:val="left"/>
        <w:rPr>
          <w:szCs w:val="21"/>
        </w:rPr>
      </w:pPr>
      <w:r>
        <w:rPr>
          <w:szCs w:val="21"/>
        </w:rPr>
        <w:t>（3）技术条款偏离表（格式见附件）；</w:t>
      </w:r>
    </w:p>
    <w:p>
      <w:pPr>
        <w:tabs>
          <w:tab w:val="left" w:pos="1030"/>
        </w:tabs>
        <w:snapToGrid w:val="0"/>
        <w:spacing w:line="400" w:lineRule="exact"/>
        <w:ind w:firstLine="420" w:firstLineChars="200"/>
        <w:jc w:val="left"/>
        <w:rPr>
          <w:szCs w:val="21"/>
        </w:rPr>
      </w:pPr>
      <w:r>
        <w:rPr>
          <w:szCs w:val="21"/>
        </w:rPr>
        <w:t>（</w:t>
      </w:r>
      <w:r>
        <w:rPr>
          <w:rFonts w:hint="eastAsia"/>
          <w:szCs w:val="21"/>
          <w:lang w:val="en-US" w:eastAsia="zh-CN"/>
        </w:rPr>
        <w:t>4</w:t>
      </w:r>
      <w:r>
        <w:rPr>
          <w:szCs w:val="21"/>
        </w:rPr>
        <w:t>）商务条款偏离表（格式见附件）；</w:t>
      </w:r>
    </w:p>
    <w:p>
      <w:pPr>
        <w:tabs>
          <w:tab w:val="left" w:pos="1030"/>
        </w:tabs>
        <w:snapToGrid w:val="0"/>
        <w:spacing w:line="400" w:lineRule="exact"/>
        <w:ind w:firstLine="420" w:firstLineChars="200"/>
        <w:jc w:val="left"/>
        <w:rPr>
          <w:szCs w:val="21"/>
        </w:rPr>
      </w:pPr>
      <w:r>
        <w:rPr>
          <w:szCs w:val="21"/>
        </w:rPr>
        <w:t>（</w:t>
      </w:r>
      <w:r>
        <w:rPr>
          <w:rFonts w:hint="eastAsia"/>
          <w:szCs w:val="21"/>
          <w:lang w:val="en-US" w:eastAsia="zh-CN"/>
        </w:rPr>
        <w:t>5</w:t>
      </w:r>
      <w:r>
        <w:rPr>
          <w:szCs w:val="21"/>
        </w:rPr>
        <w:t>）同类项目业绩（格式见附件）；</w:t>
      </w:r>
    </w:p>
    <w:p>
      <w:pPr>
        <w:tabs>
          <w:tab w:val="left" w:pos="1030"/>
        </w:tabs>
        <w:snapToGrid w:val="0"/>
        <w:spacing w:line="400" w:lineRule="exact"/>
        <w:ind w:firstLine="420" w:firstLineChars="200"/>
        <w:jc w:val="left"/>
        <w:rPr>
          <w:szCs w:val="21"/>
        </w:rPr>
      </w:pPr>
      <w:r>
        <w:rPr>
          <w:szCs w:val="21"/>
        </w:rPr>
        <w:t>（</w:t>
      </w:r>
      <w:r>
        <w:rPr>
          <w:rFonts w:hint="eastAsia"/>
          <w:szCs w:val="21"/>
          <w:lang w:val="en-US" w:eastAsia="zh-CN"/>
        </w:rPr>
        <w:t>6</w:t>
      </w:r>
      <w:r>
        <w:rPr>
          <w:szCs w:val="21"/>
        </w:rPr>
        <w:t>）评分标准和采购文件需要提供的内容和证明材料（具体详见评分标准）；</w:t>
      </w:r>
    </w:p>
    <w:p>
      <w:pPr>
        <w:tabs>
          <w:tab w:val="left" w:pos="1030"/>
        </w:tabs>
        <w:snapToGrid w:val="0"/>
        <w:spacing w:line="400" w:lineRule="exact"/>
        <w:ind w:firstLine="420" w:firstLineChars="200"/>
        <w:jc w:val="left"/>
        <w:rPr>
          <w:szCs w:val="21"/>
        </w:rPr>
      </w:pPr>
      <w:r>
        <w:rPr>
          <w:szCs w:val="21"/>
        </w:rPr>
        <w:t>（</w:t>
      </w:r>
      <w:r>
        <w:rPr>
          <w:rFonts w:hint="eastAsia"/>
          <w:szCs w:val="21"/>
          <w:lang w:val="en-US" w:eastAsia="zh-CN"/>
        </w:rPr>
        <w:t>7</w:t>
      </w:r>
      <w:r>
        <w:rPr>
          <w:szCs w:val="21"/>
        </w:rPr>
        <w:t>）投标人认为有必要提交的其他商务技术说明文件和资料。</w:t>
      </w:r>
    </w:p>
    <w:p>
      <w:pPr>
        <w:snapToGrid w:val="0"/>
        <w:spacing w:line="400" w:lineRule="exact"/>
        <w:ind w:left="413"/>
        <w:jc w:val="left"/>
        <w:rPr>
          <w:b/>
          <w:szCs w:val="21"/>
        </w:rPr>
      </w:pPr>
      <w:r>
        <w:rPr>
          <w:b/>
          <w:szCs w:val="21"/>
        </w:rPr>
        <w:t>3.报价文件包括以下内容：</w:t>
      </w:r>
    </w:p>
    <w:p>
      <w:pPr>
        <w:snapToGrid w:val="0"/>
        <w:spacing w:line="400" w:lineRule="exact"/>
        <w:ind w:firstLine="420" w:firstLineChars="200"/>
        <w:jc w:val="left"/>
        <w:rPr>
          <w:szCs w:val="21"/>
        </w:rPr>
      </w:pPr>
      <w:r>
        <w:rPr>
          <w:szCs w:val="21"/>
        </w:rPr>
        <w:t>（1）投标函(格式见附件)；</w:t>
      </w:r>
    </w:p>
    <w:p>
      <w:pPr>
        <w:snapToGrid w:val="0"/>
        <w:spacing w:line="400" w:lineRule="exact"/>
        <w:ind w:firstLine="420" w:firstLineChars="200"/>
        <w:jc w:val="left"/>
        <w:rPr>
          <w:szCs w:val="21"/>
          <w:highlight w:val="none"/>
        </w:rPr>
      </w:pPr>
      <w:r>
        <w:rPr>
          <w:szCs w:val="21"/>
          <w:highlight w:val="none"/>
        </w:rPr>
        <w:t>（2）开标一览表(格式见附件)；</w:t>
      </w:r>
    </w:p>
    <w:p>
      <w:pPr>
        <w:snapToGrid w:val="0"/>
        <w:spacing w:line="400" w:lineRule="exact"/>
        <w:ind w:firstLine="420" w:firstLineChars="200"/>
        <w:jc w:val="left"/>
        <w:rPr>
          <w:szCs w:val="21"/>
        </w:rPr>
      </w:pPr>
      <w:r>
        <w:rPr>
          <w:rFonts w:hint="eastAsia"/>
          <w:szCs w:val="21"/>
        </w:rPr>
        <w:t>（</w:t>
      </w:r>
      <w:r>
        <w:rPr>
          <w:rFonts w:hint="eastAsia"/>
          <w:szCs w:val="21"/>
          <w:lang w:val="en-US" w:eastAsia="zh-CN"/>
        </w:rPr>
        <w:t>3</w:t>
      </w:r>
      <w:r>
        <w:rPr>
          <w:rFonts w:hint="eastAsia"/>
          <w:szCs w:val="21"/>
        </w:rPr>
        <w:t>）中小企业声明函或</w:t>
      </w:r>
      <w:r>
        <w:rPr>
          <w:rFonts w:hint="eastAsia"/>
        </w:rPr>
        <w:t>残疾人福利性单位声明函（如满足要求则提供，格式见附件）或监狱</w:t>
      </w:r>
      <w:r>
        <w:rPr>
          <w:rFonts w:hint="eastAsia"/>
          <w:szCs w:val="21"/>
        </w:rPr>
        <w:t>企业证明材料；</w:t>
      </w:r>
    </w:p>
    <w:p>
      <w:pPr>
        <w:snapToGrid w:val="0"/>
        <w:spacing w:line="400" w:lineRule="exact"/>
        <w:ind w:firstLine="420" w:firstLineChars="200"/>
        <w:jc w:val="left"/>
        <w:rPr>
          <w:szCs w:val="21"/>
        </w:rPr>
      </w:pPr>
      <w:r>
        <w:rPr>
          <w:szCs w:val="21"/>
        </w:rPr>
        <w:t>（</w:t>
      </w:r>
      <w:r>
        <w:rPr>
          <w:rFonts w:hint="eastAsia"/>
          <w:szCs w:val="21"/>
          <w:lang w:val="en-US" w:eastAsia="zh-CN"/>
        </w:rPr>
        <w:t>4</w:t>
      </w:r>
      <w:r>
        <w:rPr>
          <w:szCs w:val="21"/>
        </w:rPr>
        <w:t>）投标人针对报价需要说明的其他文件和说明</w:t>
      </w:r>
      <w:r>
        <w:rPr>
          <w:rFonts w:hint="eastAsia"/>
          <w:szCs w:val="21"/>
          <w:lang w:eastAsia="zh-CN"/>
        </w:rPr>
        <w:t>（</w:t>
      </w:r>
      <w:r>
        <w:rPr>
          <w:rFonts w:hint="eastAsia"/>
          <w:szCs w:val="21"/>
          <w:lang w:val="en-US" w:eastAsia="zh-CN"/>
        </w:rPr>
        <w:t>如有</w:t>
      </w:r>
      <w:r>
        <w:rPr>
          <w:rFonts w:hint="eastAsia"/>
          <w:szCs w:val="21"/>
          <w:lang w:eastAsia="zh-CN"/>
        </w:rPr>
        <w:t>）</w:t>
      </w:r>
      <w:r>
        <w:rPr>
          <w:szCs w:val="21"/>
        </w:rPr>
        <w:t>。</w:t>
      </w:r>
    </w:p>
    <w:p>
      <w:pPr>
        <w:snapToGrid w:val="0"/>
        <w:spacing w:line="400" w:lineRule="exact"/>
        <w:ind w:firstLine="420" w:firstLineChars="200"/>
        <w:jc w:val="left"/>
        <w:rPr>
          <w:szCs w:val="21"/>
        </w:rPr>
      </w:pPr>
      <w:r>
        <w:rPr>
          <w:szCs w:val="21"/>
        </w:rPr>
        <w:t>4.上述组成投标文件的各项资料中本招标文件的有规定格式的，应统一按本招标文件的规定格式填写。未有规定格式的资料，投标人应自行编制，但至少要包含以上要求的内容。</w:t>
      </w:r>
    </w:p>
    <w:p>
      <w:pPr>
        <w:snapToGrid w:val="0"/>
        <w:spacing w:line="400" w:lineRule="exact"/>
        <w:ind w:firstLine="420" w:firstLineChars="200"/>
        <w:jc w:val="left"/>
        <w:rPr>
          <w:szCs w:val="21"/>
        </w:rPr>
      </w:pPr>
      <w:r>
        <w:rPr>
          <w:szCs w:val="21"/>
        </w:rPr>
        <w:t>5.投标文件在提供对投标产品技术条款响应表的应答时，对招标文件有技术数值要求的参数，应以投标货物的具体技术数值据实应答；对于招标文件无数值要求的参数的应答，应作出明确、直接、无导致两种理解可能的应答。</w:t>
      </w:r>
    </w:p>
    <w:p>
      <w:pPr>
        <w:pStyle w:val="5"/>
        <w:numPr>
          <w:ilvl w:val="0"/>
          <w:numId w:val="0"/>
        </w:numPr>
        <w:tabs>
          <w:tab w:val="clear" w:pos="720"/>
        </w:tabs>
        <w:spacing w:before="0" w:after="0" w:line="400" w:lineRule="exact"/>
        <w:rPr>
          <w:kern w:val="2"/>
          <w:sz w:val="21"/>
          <w:szCs w:val="21"/>
        </w:rPr>
      </w:pPr>
      <w:bookmarkStart w:id="155" w:name="_Toc460416655"/>
      <w:bookmarkStart w:id="156" w:name="_Toc13212"/>
      <w:bookmarkStart w:id="157" w:name="_Toc460416350"/>
      <w:bookmarkStart w:id="158" w:name="_Toc17707928"/>
      <w:bookmarkStart w:id="159" w:name="_Toc103878810"/>
      <w:bookmarkStart w:id="160" w:name="_Toc23439"/>
      <w:bookmarkStart w:id="161" w:name="_Toc460857914"/>
      <w:r>
        <w:rPr>
          <w:kern w:val="2"/>
          <w:sz w:val="21"/>
          <w:szCs w:val="21"/>
        </w:rPr>
        <w:t>（二）投标文件的语言及计量</w:t>
      </w:r>
      <w:bookmarkEnd w:id="155"/>
      <w:bookmarkEnd w:id="156"/>
      <w:bookmarkEnd w:id="157"/>
      <w:bookmarkEnd w:id="158"/>
      <w:bookmarkEnd w:id="159"/>
      <w:bookmarkEnd w:id="160"/>
      <w:bookmarkEnd w:id="161"/>
    </w:p>
    <w:p>
      <w:pPr>
        <w:snapToGrid w:val="0"/>
        <w:spacing w:line="400" w:lineRule="exact"/>
        <w:ind w:firstLine="422" w:firstLineChars="200"/>
        <w:jc w:val="left"/>
        <w:rPr>
          <w:b/>
          <w:szCs w:val="21"/>
        </w:rPr>
      </w:pPr>
      <w:r>
        <w:rPr>
          <w:rFonts w:hint="eastAsia"/>
          <w:b/>
          <w:szCs w:val="21"/>
          <w:lang w:eastAsia="zh-CN"/>
        </w:rPr>
        <w:t>▲</w:t>
      </w:r>
      <w:r>
        <w:rPr>
          <w:b/>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400" w:lineRule="exact"/>
        <w:ind w:firstLine="422" w:firstLineChars="200"/>
        <w:jc w:val="left"/>
        <w:rPr>
          <w:b/>
          <w:szCs w:val="21"/>
        </w:rPr>
      </w:pPr>
      <w:r>
        <w:rPr>
          <w:rFonts w:hint="eastAsia"/>
          <w:b/>
          <w:szCs w:val="21"/>
          <w:lang w:eastAsia="zh-CN"/>
        </w:rPr>
        <w:t>▲</w:t>
      </w:r>
      <w:r>
        <w:rPr>
          <w:b/>
          <w:szCs w:val="21"/>
        </w:rPr>
        <w:t>2.投标计量单位，采购文件已有明确规定的，使用采购文件规定的计量单位；采购文件没有规定的，应采用中华人民共和国法定计量单位（货币单位：人民币元），否则视同未响应。</w:t>
      </w:r>
    </w:p>
    <w:p>
      <w:pPr>
        <w:pStyle w:val="5"/>
        <w:numPr>
          <w:ilvl w:val="0"/>
          <w:numId w:val="0"/>
        </w:numPr>
        <w:tabs>
          <w:tab w:val="clear" w:pos="720"/>
        </w:tabs>
        <w:spacing w:before="0" w:after="0" w:line="400" w:lineRule="exact"/>
        <w:rPr>
          <w:kern w:val="2"/>
          <w:sz w:val="21"/>
          <w:szCs w:val="21"/>
        </w:rPr>
      </w:pPr>
      <w:bookmarkStart w:id="162" w:name="_Toc17707929"/>
      <w:bookmarkStart w:id="163" w:name="_Toc460857915"/>
      <w:bookmarkStart w:id="164" w:name="_Toc460416656"/>
      <w:bookmarkStart w:id="165" w:name="_Toc103878811"/>
      <w:bookmarkStart w:id="166" w:name="_Toc22922"/>
      <w:bookmarkStart w:id="167" w:name="_Toc21763"/>
      <w:bookmarkStart w:id="168" w:name="_Toc460416351"/>
      <w:r>
        <w:rPr>
          <w:kern w:val="2"/>
          <w:sz w:val="21"/>
          <w:szCs w:val="21"/>
        </w:rPr>
        <w:t>（三）投标报价</w:t>
      </w:r>
      <w:bookmarkEnd w:id="162"/>
      <w:bookmarkEnd w:id="163"/>
      <w:bookmarkEnd w:id="164"/>
      <w:bookmarkEnd w:id="165"/>
      <w:bookmarkEnd w:id="166"/>
      <w:bookmarkEnd w:id="167"/>
      <w:bookmarkEnd w:id="168"/>
    </w:p>
    <w:p>
      <w:pPr>
        <w:pStyle w:val="25"/>
        <w:snapToGrid w:val="0"/>
        <w:spacing w:beforeLines="0" w:afterLines="0"/>
        <w:ind w:firstLine="420" w:firstLineChars="200"/>
        <w:jc w:val="left"/>
        <w:rPr>
          <w:rFonts w:ascii="Times New Roman"/>
          <w:sz w:val="21"/>
          <w:szCs w:val="21"/>
        </w:rPr>
      </w:pPr>
      <w:r>
        <w:rPr>
          <w:rFonts w:ascii="Times New Roman"/>
          <w:sz w:val="21"/>
          <w:szCs w:val="21"/>
        </w:rPr>
        <w:t>1.投标报价应按采购文件中相关附表格式填写。</w:t>
      </w:r>
    </w:p>
    <w:p>
      <w:pPr>
        <w:tabs>
          <w:tab w:val="left" w:pos="525"/>
        </w:tabs>
        <w:snapToGrid w:val="0"/>
        <w:spacing w:line="400" w:lineRule="exact"/>
        <w:ind w:firstLine="422" w:firstLineChars="200"/>
        <w:jc w:val="left"/>
        <w:rPr>
          <w:b/>
          <w:szCs w:val="21"/>
        </w:rPr>
      </w:pPr>
      <w:r>
        <w:rPr>
          <w:rFonts w:hint="eastAsia"/>
          <w:b/>
          <w:szCs w:val="21"/>
          <w:lang w:eastAsia="zh-CN"/>
        </w:rPr>
        <w:t>▲</w:t>
      </w:r>
      <w:r>
        <w:rPr>
          <w:b/>
          <w:szCs w:val="21"/>
        </w:rPr>
        <w:t>2.投标文件只允许有一个报价，有选择的或有条件的报价将不予接受。</w:t>
      </w:r>
    </w:p>
    <w:p>
      <w:pPr>
        <w:pStyle w:val="5"/>
        <w:numPr>
          <w:ilvl w:val="0"/>
          <w:numId w:val="0"/>
        </w:numPr>
        <w:tabs>
          <w:tab w:val="clear" w:pos="720"/>
        </w:tabs>
        <w:spacing w:before="0" w:after="0" w:line="400" w:lineRule="exact"/>
        <w:rPr>
          <w:kern w:val="2"/>
          <w:sz w:val="21"/>
          <w:szCs w:val="21"/>
        </w:rPr>
      </w:pPr>
      <w:bookmarkStart w:id="169" w:name="_Toc21649"/>
      <w:bookmarkStart w:id="170" w:name="_Toc103878812"/>
      <w:bookmarkStart w:id="171" w:name="_Toc1567"/>
      <w:bookmarkStart w:id="172" w:name="_Toc17707930"/>
      <w:bookmarkStart w:id="173" w:name="_Toc460857916"/>
      <w:r>
        <w:rPr>
          <w:kern w:val="2"/>
          <w:sz w:val="21"/>
          <w:szCs w:val="21"/>
        </w:rPr>
        <w:t>（四）投标文件的有效期</w:t>
      </w:r>
      <w:bookmarkEnd w:id="169"/>
      <w:bookmarkEnd w:id="170"/>
      <w:bookmarkEnd w:id="171"/>
      <w:bookmarkEnd w:id="172"/>
      <w:bookmarkEnd w:id="173"/>
    </w:p>
    <w:p>
      <w:pPr>
        <w:pStyle w:val="14"/>
        <w:widowControl w:val="0"/>
        <w:tabs>
          <w:tab w:val="clear" w:pos="454"/>
        </w:tabs>
        <w:snapToGrid w:val="0"/>
        <w:spacing w:afterLines="0" w:line="400" w:lineRule="exact"/>
        <w:ind w:left="0" w:firstLine="422" w:firstLineChars="200"/>
        <w:rPr>
          <w:b/>
          <w:sz w:val="21"/>
          <w:szCs w:val="21"/>
        </w:rPr>
      </w:pPr>
      <w:r>
        <w:rPr>
          <w:rFonts w:hint="eastAsia"/>
          <w:b/>
          <w:sz w:val="21"/>
          <w:szCs w:val="21"/>
          <w:lang w:eastAsia="zh-CN"/>
        </w:rPr>
        <w:t>▲</w:t>
      </w:r>
      <w:r>
        <w:rPr>
          <w:b/>
          <w:sz w:val="21"/>
          <w:szCs w:val="21"/>
        </w:rPr>
        <w:t>1.自投标截止日起</w:t>
      </w:r>
      <w:r>
        <w:rPr>
          <w:b/>
          <w:sz w:val="21"/>
          <w:szCs w:val="21"/>
          <w:u w:val="single"/>
        </w:rPr>
        <w:t xml:space="preserve"> 90 </w:t>
      </w:r>
      <w:r>
        <w:rPr>
          <w:b/>
          <w:sz w:val="21"/>
          <w:szCs w:val="21"/>
        </w:rPr>
        <w:t>天投标文件应保持有效。有效期不足的投标文件将被拒绝。</w:t>
      </w:r>
    </w:p>
    <w:p>
      <w:pPr>
        <w:pStyle w:val="14"/>
        <w:widowControl w:val="0"/>
        <w:tabs>
          <w:tab w:val="clear" w:pos="454"/>
        </w:tabs>
        <w:snapToGrid w:val="0"/>
        <w:spacing w:afterLines="0" w:line="400" w:lineRule="exact"/>
        <w:ind w:left="0" w:firstLine="420" w:firstLineChars="200"/>
        <w:rPr>
          <w:sz w:val="21"/>
          <w:szCs w:val="21"/>
        </w:rPr>
      </w:pPr>
      <w:r>
        <w:rPr>
          <w:sz w:val="21"/>
          <w:szCs w:val="21"/>
        </w:rPr>
        <w:t>2.在特殊情况下，采购人可与投标人协商延长投标书的有效期，这种要求和答复均以书面形式进行。</w:t>
      </w:r>
    </w:p>
    <w:p>
      <w:pPr>
        <w:pStyle w:val="14"/>
        <w:widowControl w:val="0"/>
        <w:tabs>
          <w:tab w:val="clear" w:pos="454"/>
        </w:tabs>
        <w:snapToGrid w:val="0"/>
        <w:spacing w:afterLines="0" w:line="400" w:lineRule="exact"/>
        <w:ind w:left="0" w:firstLine="420" w:firstLineChars="200"/>
        <w:rPr>
          <w:sz w:val="21"/>
          <w:szCs w:val="21"/>
        </w:rPr>
      </w:pPr>
      <w:bookmarkStart w:id="174" w:name="_Toc460416352"/>
      <w:bookmarkStart w:id="175" w:name="_Toc460416657"/>
      <w:r>
        <w:rPr>
          <w:sz w:val="21"/>
          <w:szCs w:val="21"/>
        </w:rPr>
        <w:t>3.投标人可拒绝接受延期要求。同意延长有效期的投标人，不能修改投标文件。</w:t>
      </w:r>
      <w:bookmarkEnd w:id="174"/>
      <w:bookmarkEnd w:id="175"/>
      <w:r>
        <w:rPr>
          <w:sz w:val="21"/>
          <w:szCs w:val="21"/>
        </w:rPr>
        <w:t xml:space="preserve"> </w:t>
      </w:r>
    </w:p>
    <w:p>
      <w:pPr>
        <w:pStyle w:val="14"/>
        <w:widowControl w:val="0"/>
        <w:tabs>
          <w:tab w:val="clear" w:pos="454"/>
        </w:tabs>
        <w:snapToGrid w:val="0"/>
        <w:spacing w:afterLines="0" w:line="400" w:lineRule="exact"/>
        <w:ind w:left="0" w:firstLine="420" w:firstLineChars="200"/>
        <w:rPr>
          <w:sz w:val="21"/>
          <w:szCs w:val="21"/>
        </w:rPr>
      </w:pPr>
      <w:bookmarkStart w:id="176" w:name="_Toc460416658"/>
      <w:bookmarkStart w:id="177" w:name="_Toc460416353"/>
      <w:r>
        <w:rPr>
          <w:sz w:val="21"/>
          <w:szCs w:val="21"/>
        </w:rPr>
        <w:t>4.中标人的投标文件自开标之日起至合同履行完毕止均应保持有效。</w:t>
      </w:r>
      <w:bookmarkEnd w:id="176"/>
      <w:bookmarkEnd w:id="177"/>
    </w:p>
    <w:p>
      <w:pPr>
        <w:pStyle w:val="5"/>
        <w:numPr>
          <w:ilvl w:val="0"/>
          <w:numId w:val="0"/>
        </w:numPr>
        <w:tabs>
          <w:tab w:val="clear" w:pos="720"/>
        </w:tabs>
        <w:spacing w:before="0" w:after="0" w:line="400" w:lineRule="exact"/>
        <w:rPr>
          <w:kern w:val="2"/>
          <w:sz w:val="21"/>
          <w:szCs w:val="21"/>
        </w:rPr>
      </w:pPr>
      <w:bookmarkStart w:id="178" w:name="_Toc17707932"/>
      <w:bookmarkStart w:id="179" w:name="_Toc460416660"/>
      <w:bookmarkStart w:id="180" w:name="_Toc460857918"/>
      <w:bookmarkStart w:id="181" w:name="_Toc460416355"/>
      <w:bookmarkStart w:id="182" w:name="_Toc103878813"/>
      <w:bookmarkStart w:id="183" w:name="_Toc4998"/>
      <w:bookmarkStart w:id="184" w:name="_Toc18054"/>
      <w:r>
        <w:rPr>
          <w:kern w:val="2"/>
          <w:sz w:val="21"/>
          <w:szCs w:val="21"/>
        </w:rPr>
        <w:t>（五）投标文件的盖章、签署、份数</w:t>
      </w:r>
      <w:bookmarkEnd w:id="178"/>
      <w:bookmarkEnd w:id="179"/>
      <w:bookmarkEnd w:id="180"/>
      <w:bookmarkEnd w:id="181"/>
      <w:r>
        <w:rPr>
          <w:kern w:val="2"/>
          <w:sz w:val="21"/>
          <w:szCs w:val="21"/>
        </w:rPr>
        <w:t>、要求及效力</w:t>
      </w:r>
      <w:bookmarkEnd w:id="182"/>
      <w:bookmarkEnd w:id="183"/>
      <w:bookmarkEnd w:id="184"/>
    </w:p>
    <w:p>
      <w:pPr>
        <w:spacing w:before="120" w:beforeLines="50" w:line="360" w:lineRule="auto"/>
        <w:ind w:firstLine="525" w:firstLineChars="250"/>
        <w:rPr>
          <w:kern w:val="0"/>
          <w:szCs w:val="21"/>
        </w:rPr>
      </w:pPr>
      <w:r>
        <w:rPr>
          <w:kern w:val="0"/>
          <w:szCs w:val="21"/>
        </w:rPr>
        <w:t>1、投标单位应按本采购文件规定的格式和顺序编制投标文件，投标文件要求有目录并标注页码，投标文件内容不完整、编排混乱导致投标文件被误读、漏读或者查找不到相关内容的，是投标单位的责任。</w:t>
      </w:r>
    </w:p>
    <w:p>
      <w:pPr>
        <w:spacing w:line="360" w:lineRule="auto"/>
        <w:ind w:firstLine="525" w:firstLineChars="250"/>
        <w:rPr>
          <w:kern w:val="0"/>
          <w:szCs w:val="21"/>
        </w:rPr>
      </w:pPr>
      <w:r>
        <w:rPr>
          <w:kern w:val="0"/>
          <w:szCs w:val="21"/>
        </w:rPr>
        <w:t>2、投标文件的盖章、签署：</w:t>
      </w:r>
    </w:p>
    <w:p>
      <w:pPr>
        <w:spacing w:line="360" w:lineRule="auto"/>
        <w:ind w:firstLine="525" w:firstLineChars="250"/>
        <w:rPr>
          <w:szCs w:val="21"/>
        </w:rPr>
      </w:pPr>
      <w:r>
        <w:rPr>
          <w:kern w:val="0"/>
          <w:szCs w:val="21"/>
        </w:rPr>
        <w:t>（1）</w:t>
      </w:r>
      <w:r>
        <w:rPr>
          <w:szCs w:val="21"/>
        </w:rPr>
        <w:t>投标文件中涉及到加盖公章或签字的，加盖投标单位公章部分均采用CA签章，签字部分采用由法定代表人或授权代表签字后扫描上传（或电子CA签章）。</w:t>
      </w:r>
    </w:p>
    <w:p>
      <w:pPr>
        <w:spacing w:line="360" w:lineRule="auto"/>
        <w:ind w:firstLine="525" w:firstLineChars="250"/>
        <w:rPr>
          <w:kern w:val="0"/>
          <w:szCs w:val="21"/>
        </w:rPr>
      </w:pPr>
      <w:r>
        <w:rPr>
          <w:kern w:val="0"/>
          <w:szCs w:val="21"/>
        </w:rPr>
        <w:t>3、投标文件的份数：</w:t>
      </w:r>
    </w:p>
    <w:p>
      <w:pPr>
        <w:spacing w:line="360" w:lineRule="auto"/>
        <w:ind w:firstLine="525" w:firstLineChars="250"/>
        <w:rPr>
          <w:kern w:val="0"/>
          <w:szCs w:val="21"/>
        </w:rPr>
      </w:pPr>
      <w:r>
        <w:rPr>
          <w:kern w:val="0"/>
          <w:szCs w:val="21"/>
        </w:rPr>
        <w:t>（1）上传到政府采购云平台的电子投标文件（含</w:t>
      </w:r>
      <w:r>
        <w:rPr>
          <w:rFonts w:hint="eastAsia"/>
          <w:kern w:val="0"/>
          <w:szCs w:val="21"/>
          <w:lang w:eastAsia="zh-CN"/>
        </w:rPr>
        <w:t>资格文件</w:t>
      </w:r>
      <w:r>
        <w:rPr>
          <w:kern w:val="0"/>
          <w:szCs w:val="21"/>
        </w:rPr>
        <w:t>、商务技术文件、报价文件）1份。</w:t>
      </w:r>
    </w:p>
    <w:p>
      <w:pPr>
        <w:spacing w:line="360" w:lineRule="auto"/>
        <w:ind w:firstLine="525" w:firstLineChars="250"/>
        <w:rPr>
          <w:kern w:val="0"/>
          <w:szCs w:val="21"/>
        </w:rPr>
      </w:pPr>
      <w:r>
        <w:rPr>
          <w:kern w:val="0"/>
          <w:szCs w:val="21"/>
        </w:rPr>
        <w:t>（2）以U盘存储的电子备份投标文件（含</w:t>
      </w:r>
      <w:r>
        <w:rPr>
          <w:rFonts w:hint="eastAsia"/>
          <w:kern w:val="0"/>
          <w:szCs w:val="21"/>
          <w:lang w:eastAsia="zh-CN"/>
        </w:rPr>
        <w:t>资格文件</w:t>
      </w:r>
      <w:r>
        <w:rPr>
          <w:kern w:val="0"/>
          <w:szCs w:val="21"/>
        </w:rPr>
        <w:t>、商务技术文件、报价文件）1份。</w:t>
      </w:r>
      <w:r>
        <w:rPr>
          <w:rFonts w:hint="eastAsia" w:ascii="宋体" w:hAnsi="宋体" w:cs="宋体"/>
          <w:szCs w:val="21"/>
        </w:rPr>
        <w:t>（自愿提供，用于异常情况处理）</w:t>
      </w:r>
    </w:p>
    <w:p>
      <w:pPr>
        <w:spacing w:line="360" w:lineRule="auto"/>
        <w:ind w:firstLine="525" w:firstLineChars="250"/>
        <w:rPr>
          <w:kern w:val="0"/>
          <w:szCs w:val="21"/>
        </w:rPr>
      </w:pPr>
      <w:r>
        <w:rPr>
          <w:kern w:val="0"/>
          <w:szCs w:val="21"/>
        </w:rPr>
        <w:t>4、电子投标文件：</w:t>
      </w:r>
    </w:p>
    <w:p>
      <w:pPr>
        <w:spacing w:line="360" w:lineRule="auto"/>
        <w:ind w:firstLine="525" w:firstLineChars="250"/>
        <w:rPr>
          <w:kern w:val="0"/>
          <w:szCs w:val="21"/>
        </w:rPr>
      </w:pPr>
      <w:r>
        <w:rPr>
          <w:kern w:val="0"/>
          <w:szCs w:val="21"/>
        </w:rPr>
        <w:t>4.1投标单位应根据</w:t>
      </w:r>
      <w:r>
        <w:rPr>
          <w:bCs/>
          <w:szCs w:val="21"/>
        </w:rPr>
        <w:t>“政采云供应商项目采购-电子招投标操作指南”</w:t>
      </w:r>
      <w:r>
        <w:rPr>
          <w:kern w:val="0"/>
          <w:szCs w:val="21"/>
        </w:rPr>
        <w:t>及本采购文件规定的格式和顺序编制电子投标文件并进行关联定位。</w:t>
      </w:r>
    </w:p>
    <w:p>
      <w:pPr>
        <w:spacing w:line="360" w:lineRule="auto"/>
        <w:ind w:firstLine="525" w:firstLineChars="250"/>
        <w:rPr>
          <w:kern w:val="0"/>
          <w:szCs w:val="21"/>
        </w:rPr>
      </w:pPr>
      <w:r>
        <w:rPr>
          <w:kern w:val="0"/>
          <w:szCs w:val="21"/>
        </w:rPr>
        <w:t>4.2投标文件不得涂改，若有修改错漏处，须加盖单位公章或者法定代表人或授权委托人签名或盖章。投标文件因字迹潦草或表达不清所引起的后果由投标单位负责。</w:t>
      </w:r>
    </w:p>
    <w:p>
      <w:pPr>
        <w:spacing w:line="360" w:lineRule="auto"/>
        <w:ind w:firstLine="525" w:firstLineChars="250"/>
        <w:rPr>
          <w:kern w:val="0"/>
          <w:szCs w:val="21"/>
        </w:rPr>
      </w:pPr>
      <w:r>
        <w:rPr>
          <w:kern w:val="0"/>
          <w:szCs w:val="21"/>
        </w:rPr>
        <w:t>4.3投标文件须由投标单位在规定位置盖章并由法定代表人或法定代表人的授权委托人签署，投标单位应写全称。</w:t>
      </w:r>
    </w:p>
    <w:p>
      <w:pPr>
        <w:spacing w:line="360" w:lineRule="auto"/>
        <w:ind w:firstLine="525" w:firstLineChars="250"/>
        <w:rPr>
          <w:kern w:val="0"/>
          <w:szCs w:val="21"/>
        </w:rPr>
      </w:pPr>
      <w:r>
        <w:rPr>
          <w:kern w:val="0"/>
          <w:szCs w:val="21"/>
        </w:rPr>
        <w:t>5、投标文件的效力：</w:t>
      </w:r>
    </w:p>
    <w:p>
      <w:pPr>
        <w:spacing w:line="360" w:lineRule="auto"/>
        <w:ind w:firstLine="525" w:firstLineChars="250"/>
        <w:rPr>
          <w:kern w:val="0"/>
          <w:szCs w:val="21"/>
        </w:rPr>
      </w:pPr>
      <w:r>
        <w:rPr>
          <w:kern w:val="0"/>
          <w:szCs w:val="21"/>
        </w:rPr>
        <w:t>投标文件的启用，按先后顺位分别为“电子加密投标文件”→“电子备份投标文件”。在下一顺位的投标文件启用时，前一顺位的投标文件自动失效。</w:t>
      </w:r>
    </w:p>
    <w:p>
      <w:pPr>
        <w:pStyle w:val="5"/>
        <w:numPr>
          <w:ilvl w:val="0"/>
          <w:numId w:val="0"/>
        </w:numPr>
        <w:tabs>
          <w:tab w:val="clear" w:pos="720"/>
        </w:tabs>
        <w:spacing w:before="0" w:after="0" w:line="400" w:lineRule="exact"/>
        <w:rPr>
          <w:kern w:val="2"/>
          <w:sz w:val="21"/>
          <w:szCs w:val="21"/>
        </w:rPr>
      </w:pPr>
      <w:bookmarkStart w:id="185" w:name="_Toc17707933"/>
      <w:bookmarkStart w:id="186" w:name="_Toc103878814"/>
      <w:bookmarkStart w:id="187" w:name="_Toc22968"/>
      <w:bookmarkStart w:id="188" w:name="_Toc460857919"/>
      <w:bookmarkStart w:id="189" w:name="_Toc3851"/>
      <w:r>
        <w:rPr>
          <w:kern w:val="2"/>
          <w:sz w:val="21"/>
          <w:szCs w:val="21"/>
        </w:rPr>
        <w:t>（六）投标文件的包装、递交、修改和撤回</w:t>
      </w:r>
      <w:bookmarkEnd w:id="185"/>
      <w:bookmarkEnd w:id="186"/>
      <w:bookmarkEnd w:id="187"/>
      <w:bookmarkEnd w:id="188"/>
      <w:bookmarkEnd w:id="189"/>
    </w:p>
    <w:p>
      <w:pPr>
        <w:snapToGrid w:val="0"/>
        <w:spacing w:before="120" w:beforeLines="50" w:line="360" w:lineRule="auto"/>
        <w:ind w:firstLine="420"/>
        <w:jc w:val="left"/>
        <w:rPr>
          <w:kern w:val="0"/>
          <w:szCs w:val="21"/>
        </w:rPr>
      </w:pPr>
      <w:r>
        <w:rPr>
          <w:kern w:val="0"/>
          <w:szCs w:val="21"/>
        </w:rPr>
        <w:t>1、以U盘存储的电子备份投标文件用封袋密封后递交。 (封面注明“电子备份投标文件”及项目编号、项目名称、项目</w:t>
      </w:r>
      <w:r>
        <w:rPr>
          <w:rFonts w:hint="eastAsia"/>
          <w:kern w:val="0"/>
          <w:szCs w:val="21"/>
          <w:lang w:val="en-US" w:eastAsia="zh-CN"/>
        </w:rPr>
        <w:t>标项</w:t>
      </w:r>
      <w:r>
        <w:rPr>
          <w:kern w:val="0"/>
          <w:szCs w:val="21"/>
        </w:rPr>
        <w:t>、投标人名称，并加盖投标人公章)</w:t>
      </w:r>
    </w:p>
    <w:p>
      <w:pPr>
        <w:snapToGrid w:val="0"/>
        <w:spacing w:line="360" w:lineRule="auto"/>
        <w:ind w:firstLine="420"/>
        <w:jc w:val="left"/>
        <w:rPr>
          <w:kern w:val="0"/>
          <w:szCs w:val="21"/>
        </w:rPr>
      </w:pPr>
      <w:r>
        <w:rPr>
          <w:rFonts w:hint="eastAsia"/>
          <w:kern w:val="0"/>
          <w:szCs w:val="21"/>
        </w:rPr>
        <w:t>2</w:t>
      </w:r>
      <w:r>
        <w:rPr>
          <w:kern w:val="0"/>
          <w:szCs w:val="21"/>
        </w:rPr>
        <w:t>、未按规定密封或标记的投标文件将被拒绝，由此造成投标文件被误投或提前拆封的风险由投标单位承担。</w:t>
      </w:r>
    </w:p>
    <w:p>
      <w:pPr>
        <w:snapToGrid w:val="0"/>
        <w:spacing w:line="360" w:lineRule="auto"/>
        <w:ind w:firstLine="420"/>
        <w:jc w:val="left"/>
        <w:rPr>
          <w:kern w:val="0"/>
          <w:szCs w:val="21"/>
        </w:rPr>
      </w:pPr>
      <w:r>
        <w:rPr>
          <w:rFonts w:hint="eastAsia"/>
          <w:kern w:val="0"/>
          <w:szCs w:val="21"/>
        </w:rPr>
        <w:t>3</w:t>
      </w:r>
      <w:r>
        <w:rPr>
          <w:kern w:val="0"/>
          <w:szCs w:val="21"/>
        </w:rPr>
        <w:t>、投标单位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投标截止时间后传输递交的投标、投标文件，将被拒收。</w:t>
      </w:r>
    </w:p>
    <w:p>
      <w:pPr>
        <w:snapToGrid w:val="0"/>
        <w:spacing w:line="360" w:lineRule="auto"/>
        <w:ind w:firstLine="420"/>
        <w:jc w:val="left"/>
        <w:rPr>
          <w:kern w:val="0"/>
          <w:szCs w:val="21"/>
        </w:rPr>
      </w:pPr>
      <w:r>
        <w:rPr>
          <w:rFonts w:hint="eastAsia"/>
          <w:kern w:val="0"/>
          <w:szCs w:val="21"/>
        </w:rPr>
        <w:t>4</w:t>
      </w:r>
      <w:r>
        <w:rPr>
          <w:kern w:val="0"/>
          <w:szCs w:val="21"/>
        </w:rPr>
        <w:t>、投标单位在投标截止时间之前，可以对已提交的电子备份投标文件进行修改或撤回，并书面通知招标采购单位；投标截止时间后，投标单位不得撤回、修改投标文件。修改后重新递交的电子备份投标文件应当按本采购文件的要求签署、盖章和密封。</w:t>
      </w:r>
    </w:p>
    <w:p>
      <w:pPr>
        <w:pStyle w:val="5"/>
        <w:numPr>
          <w:ilvl w:val="0"/>
          <w:numId w:val="0"/>
        </w:numPr>
        <w:tabs>
          <w:tab w:val="clear" w:pos="720"/>
        </w:tabs>
        <w:spacing w:before="0" w:after="0" w:line="400" w:lineRule="exact"/>
        <w:rPr>
          <w:kern w:val="2"/>
          <w:sz w:val="21"/>
          <w:szCs w:val="21"/>
        </w:rPr>
      </w:pPr>
      <w:bookmarkStart w:id="190" w:name="_Toc460416356"/>
      <w:bookmarkStart w:id="191" w:name="_Toc460857920"/>
      <w:bookmarkStart w:id="192" w:name="_Toc17707934"/>
      <w:bookmarkStart w:id="193" w:name="_Toc18813"/>
      <w:bookmarkStart w:id="194" w:name="_Toc1126"/>
      <w:bookmarkStart w:id="195" w:name="_Toc103878815"/>
      <w:bookmarkStart w:id="196" w:name="_Toc460416661"/>
      <w:r>
        <w:rPr>
          <w:kern w:val="2"/>
          <w:sz w:val="21"/>
          <w:szCs w:val="21"/>
        </w:rPr>
        <w:t>（七）投标无效的情形</w:t>
      </w:r>
      <w:bookmarkEnd w:id="190"/>
      <w:bookmarkEnd w:id="191"/>
      <w:bookmarkEnd w:id="192"/>
      <w:bookmarkEnd w:id="193"/>
      <w:bookmarkEnd w:id="194"/>
      <w:bookmarkEnd w:id="195"/>
      <w:bookmarkEnd w:id="196"/>
    </w:p>
    <w:p>
      <w:pPr>
        <w:snapToGrid w:val="0"/>
        <w:spacing w:line="400" w:lineRule="exact"/>
        <w:ind w:firstLine="420" w:firstLineChars="200"/>
        <w:rPr>
          <w:bCs/>
          <w:szCs w:val="21"/>
        </w:rPr>
      </w:pPr>
      <w:r>
        <w:rPr>
          <w:bCs/>
          <w:szCs w:val="21"/>
        </w:rPr>
        <w:t>实质上没有响应采购文件要求的投标将被视为无效投标。投标人不得通过修正或撤消不合要求的偏离或保留从而使其投标成为实质上响应的投标。投标无效情形详见第四章《评标办法及评分标准》。</w:t>
      </w:r>
    </w:p>
    <w:p>
      <w:pPr>
        <w:pStyle w:val="5"/>
        <w:numPr>
          <w:ilvl w:val="0"/>
          <w:numId w:val="0"/>
        </w:numPr>
        <w:tabs>
          <w:tab w:val="clear" w:pos="720"/>
        </w:tabs>
        <w:spacing w:before="0" w:after="0" w:line="400" w:lineRule="exact"/>
        <w:rPr>
          <w:kern w:val="2"/>
          <w:sz w:val="21"/>
          <w:szCs w:val="21"/>
        </w:rPr>
      </w:pPr>
      <w:bookmarkStart w:id="197" w:name="_Toc2711"/>
      <w:bookmarkStart w:id="198" w:name="_Toc17707935"/>
      <w:bookmarkStart w:id="199" w:name="_Toc14657"/>
      <w:bookmarkStart w:id="200" w:name="_Toc460416357"/>
      <w:bookmarkStart w:id="201" w:name="_Toc460416662"/>
      <w:bookmarkStart w:id="202" w:name="_Toc460857921"/>
      <w:bookmarkStart w:id="203" w:name="_Toc103878816"/>
      <w:r>
        <w:rPr>
          <w:kern w:val="2"/>
          <w:sz w:val="21"/>
          <w:szCs w:val="21"/>
        </w:rPr>
        <w:t>四、开标</w:t>
      </w:r>
      <w:bookmarkEnd w:id="197"/>
      <w:bookmarkEnd w:id="198"/>
      <w:bookmarkEnd w:id="199"/>
      <w:bookmarkEnd w:id="200"/>
      <w:bookmarkEnd w:id="201"/>
      <w:bookmarkEnd w:id="202"/>
      <w:bookmarkEnd w:id="203"/>
    </w:p>
    <w:p>
      <w:pPr>
        <w:spacing w:line="400" w:lineRule="exact"/>
        <w:ind w:firstLine="420" w:firstLineChars="200"/>
        <w:jc w:val="left"/>
        <w:rPr>
          <w:bCs/>
          <w:szCs w:val="21"/>
        </w:rPr>
      </w:pPr>
      <w:bookmarkStart w:id="204" w:name="_Toc460857924"/>
      <w:bookmarkStart w:id="205" w:name="_Toc460416358"/>
      <w:bookmarkStart w:id="206" w:name="_Toc460416663"/>
      <w:r>
        <w:rPr>
          <w:bCs/>
          <w:szCs w:val="21"/>
        </w:rPr>
        <w:t>1、电子招投标开标程序：</w:t>
      </w:r>
    </w:p>
    <w:p>
      <w:pPr>
        <w:spacing w:line="400" w:lineRule="exact"/>
        <w:ind w:firstLine="420" w:firstLineChars="200"/>
        <w:jc w:val="left"/>
        <w:rPr>
          <w:rFonts w:hint="eastAsia"/>
          <w:bCs/>
          <w:szCs w:val="21"/>
        </w:rPr>
      </w:pPr>
      <w:r>
        <w:rPr>
          <w:rFonts w:hint="eastAsia"/>
          <w:bCs/>
          <w:szCs w:val="21"/>
        </w:rPr>
        <w:t>第一阶段:</w:t>
      </w:r>
    </w:p>
    <w:p>
      <w:pPr>
        <w:spacing w:line="400" w:lineRule="exact"/>
        <w:ind w:firstLine="420" w:firstLineChars="200"/>
        <w:jc w:val="left"/>
        <w:rPr>
          <w:rFonts w:hint="eastAsia"/>
          <w:bCs/>
          <w:szCs w:val="21"/>
        </w:rPr>
      </w:pPr>
      <w:r>
        <w:rPr>
          <w:bCs/>
          <w:szCs w:val="21"/>
        </w:rPr>
        <w:t>（1）</w:t>
      </w:r>
      <w:r>
        <w:rPr>
          <w:rFonts w:hint="eastAsia"/>
          <w:bCs/>
          <w:szCs w:val="21"/>
        </w:rPr>
        <w:t>投标截止时间后，供应商登录政府采购云平台，用“项目采购-开标评标”功能对电子投标文件进行在线解密，在线解密电子投标文件时间为开标时间后30分钟内。</w:t>
      </w:r>
    </w:p>
    <w:p>
      <w:pPr>
        <w:spacing w:line="400" w:lineRule="exact"/>
        <w:ind w:firstLine="420" w:firstLineChars="200"/>
        <w:jc w:val="left"/>
        <w:rPr>
          <w:rFonts w:hint="eastAsia"/>
          <w:bCs/>
          <w:szCs w:val="21"/>
        </w:rPr>
      </w:pPr>
      <w:r>
        <w:rPr>
          <w:bCs/>
          <w:szCs w:val="21"/>
        </w:rPr>
        <w:t>（</w:t>
      </w:r>
      <w:r>
        <w:rPr>
          <w:rFonts w:hint="eastAsia"/>
          <w:bCs/>
          <w:szCs w:val="21"/>
          <w:lang w:val="en-US" w:eastAsia="zh-CN"/>
        </w:rPr>
        <w:t>2</w:t>
      </w:r>
      <w:r>
        <w:rPr>
          <w:bCs/>
          <w:szCs w:val="21"/>
        </w:rPr>
        <w:t>）</w:t>
      </w:r>
      <w:r>
        <w:rPr>
          <w:rFonts w:hint="eastAsia"/>
          <w:bCs/>
          <w:szCs w:val="21"/>
        </w:rPr>
        <w:t>在政府采购云平台开启已解密供应商的“投标文件”﹔</w:t>
      </w:r>
    </w:p>
    <w:p>
      <w:pPr>
        <w:spacing w:line="400" w:lineRule="exact"/>
        <w:ind w:firstLine="420" w:firstLineChars="200"/>
        <w:jc w:val="left"/>
        <w:rPr>
          <w:rFonts w:hint="eastAsia"/>
          <w:bCs/>
          <w:szCs w:val="21"/>
        </w:rPr>
      </w:pPr>
      <w:r>
        <w:rPr>
          <w:rFonts w:hint="eastAsia"/>
          <w:bCs/>
          <w:szCs w:val="21"/>
        </w:rPr>
        <w:t>第二阶段:</w:t>
      </w:r>
    </w:p>
    <w:p>
      <w:pPr>
        <w:spacing w:line="400" w:lineRule="exact"/>
        <w:ind w:firstLine="420" w:firstLineChars="200"/>
        <w:jc w:val="left"/>
        <w:rPr>
          <w:rFonts w:hint="eastAsia"/>
          <w:bCs/>
          <w:szCs w:val="21"/>
        </w:rPr>
      </w:pPr>
      <w:r>
        <w:rPr>
          <w:bCs/>
          <w:szCs w:val="21"/>
        </w:rPr>
        <w:t>（1）</w:t>
      </w:r>
      <w:r>
        <w:rPr>
          <w:rFonts w:hint="eastAsia"/>
          <w:bCs/>
          <w:szCs w:val="21"/>
        </w:rPr>
        <w:t>在政府采购云平台宣告第一阶段评审无效供应商名单及理由;</w:t>
      </w:r>
    </w:p>
    <w:p>
      <w:pPr>
        <w:spacing w:line="400" w:lineRule="exact"/>
        <w:ind w:firstLine="420" w:firstLineChars="200"/>
        <w:jc w:val="left"/>
        <w:rPr>
          <w:rFonts w:hint="eastAsia"/>
          <w:bCs/>
          <w:szCs w:val="21"/>
        </w:rPr>
      </w:pPr>
      <w:r>
        <w:rPr>
          <w:bCs/>
          <w:szCs w:val="21"/>
        </w:rPr>
        <w:t>（</w:t>
      </w:r>
      <w:r>
        <w:rPr>
          <w:rFonts w:hint="eastAsia"/>
          <w:bCs/>
          <w:szCs w:val="21"/>
          <w:lang w:val="en-US" w:eastAsia="zh-CN"/>
        </w:rPr>
        <w:t>2</w:t>
      </w:r>
      <w:r>
        <w:rPr>
          <w:bCs/>
          <w:szCs w:val="21"/>
        </w:rPr>
        <w:t>）</w:t>
      </w:r>
      <w:r>
        <w:rPr>
          <w:rFonts w:hint="eastAsia"/>
          <w:bCs/>
          <w:szCs w:val="21"/>
        </w:rPr>
        <w:t>公布经第一阶段评审符合采购文件要求的供应商的商务技术分和</w:t>
      </w:r>
      <w:r>
        <w:rPr>
          <w:rFonts w:hint="eastAsia"/>
          <w:bCs/>
          <w:szCs w:val="21"/>
          <w:lang w:val="en-US" w:eastAsia="zh-CN"/>
        </w:rPr>
        <w:t>价格</w:t>
      </w:r>
      <w:r>
        <w:rPr>
          <w:rFonts w:hint="eastAsia"/>
          <w:bCs/>
          <w:szCs w:val="21"/>
        </w:rPr>
        <w:t>分情况;</w:t>
      </w:r>
    </w:p>
    <w:p>
      <w:pPr>
        <w:spacing w:line="400" w:lineRule="exact"/>
        <w:ind w:firstLine="420" w:firstLineChars="200"/>
        <w:jc w:val="left"/>
        <w:rPr>
          <w:bCs/>
          <w:szCs w:val="21"/>
        </w:rPr>
      </w:pPr>
      <w:r>
        <w:rPr>
          <w:bCs/>
          <w:szCs w:val="21"/>
        </w:rPr>
        <w:t>（</w:t>
      </w:r>
      <w:r>
        <w:rPr>
          <w:rFonts w:hint="eastAsia"/>
          <w:bCs/>
          <w:szCs w:val="21"/>
          <w:lang w:val="en-US" w:eastAsia="zh-CN"/>
        </w:rPr>
        <w:t>3</w:t>
      </w:r>
      <w:r>
        <w:rPr>
          <w:bCs/>
          <w:szCs w:val="21"/>
        </w:rPr>
        <w:t>）</w:t>
      </w:r>
      <w:r>
        <w:rPr>
          <w:rFonts w:hint="eastAsia"/>
          <w:bCs/>
          <w:szCs w:val="21"/>
        </w:rPr>
        <w:t>在政府采购云平台公布评审结果。</w:t>
      </w:r>
    </w:p>
    <w:p>
      <w:pPr>
        <w:spacing w:line="400" w:lineRule="exact"/>
        <w:ind w:firstLine="420" w:firstLineChars="200"/>
        <w:jc w:val="left"/>
        <w:rPr>
          <w:bCs/>
          <w:szCs w:val="21"/>
        </w:rPr>
      </w:pPr>
      <w:r>
        <w:rPr>
          <w:bCs/>
          <w:szCs w:val="21"/>
        </w:rPr>
        <w:t>（</w:t>
      </w:r>
      <w:r>
        <w:rPr>
          <w:rFonts w:hint="eastAsia"/>
          <w:bCs/>
          <w:szCs w:val="21"/>
          <w:lang w:val="en-US" w:eastAsia="zh-CN"/>
        </w:rPr>
        <w:t>4</w:t>
      </w:r>
      <w:r>
        <w:rPr>
          <w:bCs/>
          <w:szCs w:val="21"/>
        </w:rPr>
        <w:t>）</w:t>
      </w:r>
      <w:r>
        <w:rPr>
          <w:rFonts w:hint="eastAsia"/>
          <w:bCs/>
          <w:szCs w:val="21"/>
        </w:rPr>
        <w:t>开标会议结束。</w:t>
      </w:r>
    </w:p>
    <w:p>
      <w:pPr>
        <w:spacing w:line="400" w:lineRule="exact"/>
        <w:ind w:firstLine="420" w:firstLineChars="200"/>
        <w:jc w:val="left"/>
        <w:rPr>
          <w:bCs/>
          <w:szCs w:val="21"/>
        </w:rPr>
      </w:pPr>
      <w:r>
        <w:rPr>
          <w:bCs/>
          <w:szCs w:val="21"/>
        </w:rPr>
        <w:t>2、特别说明：政府采购云平台如对电子化开标及评审程序有调整的，按调整后的程序操作。</w:t>
      </w:r>
    </w:p>
    <w:p>
      <w:pPr>
        <w:spacing w:line="400" w:lineRule="exact"/>
        <w:ind w:firstLine="420" w:firstLineChars="200"/>
        <w:jc w:val="left"/>
        <w:rPr>
          <w:bCs/>
          <w:szCs w:val="21"/>
        </w:rPr>
      </w:pPr>
      <w:r>
        <w:rPr>
          <w:bCs/>
          <w:szCs w:val="21"/>
        </w:rPr>
        <w:t>本项目原则上采用政采云电子招投标开标程序，但有以下情形之一的，按以下情况处理：</w:t>
      </w:r>
    </w:p>
    <w:p>
      <w:pPr>
        <w:spacing w:line="400" w:lineRule="exact"/>
        <w:ind w:firstLine="420" w:firstLineChars="200"/>
        <w:jc w:val="left"/>
        <w:rPr>
          <w:bCs/>
          <w:szCs w:val="21"/>
        </w:rPr>
      </w:pPr>
      <w:r>
        <w:rPr>
          <w:bCs/>
          <w:szCs w:val="21"/>
        </w:rPr>
        <w:t>（1）若有投标单位在规定时间内“电子加密投标文件”无法解密或解密失败，代理机构将开启该投标单位递交的以U盘存储的电子备份投标文件，上传至政采云平台项目采购模块，上传成功后，以“电子备份投标文件”参与评标，“电子加密投标文件”自动失效；在“政府采购云平台”正常运行情况下，“电子备份投标文件”无法上传至“政府采购云平台”的，视为投标文件撤回。如投标单位未按规定递交“电子备份投标文件”的，视为投标文件撤回。</w:t>
      </w:r>
    </w:p>
    <w:p>
      <w:pPr>
        <w:spacing w:line="400" w:lineRule="exact"/>
        <w:ind w:firstLine="420" w:firstLineChars="200"/>
        <w:jc w:val="left"/>
        <w:rPr>
          <w:bCs/>
          <w:szCs w:val="21"/>
        </w:rPr>
      </w:pPr>
      <w:r>
        <w:rPr>
          <w:bCs/>
          <w:szCs w:val="21"/>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bCs/>
          <w:szCs w:val="21"/>
        </w:rPr>
      </w:pPr>
      <w:r>
        <w:rPr>
          <w:bCs/>
          <w:szCs w:val="21"/>
        </w:rPr>
        <w:t xml:space="preserve">2.1电子交易平台发生故障而无法登录访问的； </w:t>
      </w:r>
    </w:p>
    <w:p>
      <w:pPr>
        <w:spacing w:line="400" w:lineRule="exact"/>
        <w:ind w:firstLine="420" w:firstLineChars="200"/>
        <w:jc w:val="left"/>
        <w:rPr>
          <w:bCs/>
          <w:szCs w:val="21"/>
        </w:rPr>
      </w:pPr>
      <w:r>
        <w:rPr>
          <w:bCs/>
          <w:szCs w:val="21"/>
        </w:rPr>
        <w:t>2.2电子交易平台应用或数据库出现错误，不能进行正常操作的；</w:t>
      </w:r>
    </w:p>
    <w:p>
      <w:pPr>
        <w:spacing w:line="400" w:lineRule="exact"/>
        <w:ind w:firstLine="420" w:firstLineChars="200"/>
        <w:jc w:val="left"/>
        <w:rPr>
          <w:bCs/>
          <w:szCs w:val="21"/>
        </w:rPr>
      </w:pPr>
      <w:r>
        <w:rPr>
          <w:bCs/>
          <w:szCs w:val="21"/>
        </w:rPr>
        <w:t>2.3电子交易平台发现严重安全漏洞，有潜在泄密危险的；</w:t>
      </w:r>
    </w:p>
    <w:p>
      <w:pPr>
        <w:spacing w:line="400" w:lineRule="exact"/>
        <w:ind w:firstLine="420" w:firstLineChars="200"/>
        <w:jc w:val="left"/>
        <w:rPr>
          <w:bCs/>
          <w:szCs w:val="21"/>
        </w:rPr>
      </w:pPr>
      <w:r>
        <w:rPr>
          <w:bCs/>
          <w:szCs w:val="21"/>
        </w:rPr>
        <w:t xml:space="preserve">2.4病毒发作导致不能进行正常操作的； </w:t>
      </w:r>
    </w:p>
    <w:p>
      <w:pPr>
        <w:spacing w:line="400" w:lineRule="exact"/>
        <w:ind w:firstLine="420" w:firstLineChars="200"/>
        <w:jc w:val="left"/>
        <w:rPr>
          <w:bCs/>
          <w:szCs w:val="21"/>
        </w:rPr>
      </w:pPr>
      <w:r>
        <w:rPr>
          <w:bCs/>
          <w:szCs w:val="21"/>
        </w:rPr>
        <w:t>2.5其他无法保证电子交易的公平、公正和安全的情况。</w:t>
      </w:r>
    </w:p>
    <w:p>
      <w:pPr>
        <w:spacing w:line="400" w:lineRule="exact"/>
        <w:ind w:firstLine="420" w:firstLineChars="200"/>
        <w:jc w:val="left"/>
        <w:rPr>
          <w:szCs w:val="21"/>
        </w:rPr>
      </w:pPr>
      <w:r>
        <w:rPr>
          <w:bCs/>
          <w:szCs w:val="21"/>
        </w:rPr>
        <w:t>出现前款规定情形，不影响采购公平、公正性的，采购人（或代理机构）可以待上述情形消除后继续组织电子交易活动。</w:t>
      </w:r>
    </w:p>
    <w:p>
      <w:pPr>
        <w:pStyle w:val="4"/>
        <w:numPr>
          <w:ilvl w:val="0"/>
          <w:numId w:val="0"/>
        </w:numPr>
        <w:tabs>
          <w:tab w:val="clear" w:pos="576"/>
          <w:tab w:val="clear" w:pos="1569"/>
        </w:tabs>
        <w:spacing w:before="0" w:after="0" w:line="400" w:lineRule="exact"/>
        <w:jc w:val="left"/>
        <w:rPr>
          <w:rFonts w:ascii="Times New Roman" w:hAnsi="Times New Roman" w:eastAsia="宋体"/>
          <w:sz w:val="21"/>
          <w:szCs w:val="21"/>
        </w:rPr>
      </w:pPr>
      <w:bookmarkStart w:id="207" w:name="_Toc12460"/>
      <w:bookmarkStart w:id="208" w:name="_Toc13806"/>
      <w:bookmarkStart w:id="209" w:name="_Toc17707938"/>
      <w:bookmarkStart w:id="210" w:name="_Toc103878817"/>
      <w:r>
        <w:rPr>
          <w:rFonts w:ascii="Times New Roman" w:hAnsi="Times New Roman" w:eastAsia="宋体"/>
          <w:sz w:val="21"/>
          <w:szCs w:val="21"/>
        </w:rPr>
        <w:t>五、评标</w:t>
      </w:r>
      <w:bookmarkEnd w:id="204"/>
      <w:bookmarkEnd w:id="205"/>
      <w:bookmarkEnd w:id="206"/>
      <w:bookmarkEnd w:id="207"/>
      <w:bookmarkEnd w:id="208"/>
      <w:bookmarkEnd w:id="209"/>
      <w:bookmarkEnd w:id="210"/>
    </w:p>
    <w:p>
      <w:pPr>
        <w:pStyle w:val="5"/>
        <w:numPr>
          <w:ilvl w:val="0"/>
          <w:numId w:val="0"/>
        </w:numPr>
        <w:tabs>
          <w:tab w:val="clear" w:pos="720"/>
        </w:tabs>
        <w:spacing w:before="0" w:after="0" w:line="400" w:lineRule="exact"/>
        <w:rPr>
          <w:kern w:val="2"/>
          <w:sz w:val="21"/>
          <w:szCs w:val="21"/>
        </w:rPr>
      </w:pPr>
      <w:bookmarkStart w:id="211" w:name="_Toc91"/>
      <w:bookmarkStart w:id="212" w:name="_Toc460857925"/>
      <w:bookmarkStart w:id="213" w:name="_Toc17707939"/>
      <w:bookmarkStart w:id="214" w:name="_Toc4660"/>
      <w:bookmarkStart w:id="215" w:name="_Toc103878818"/>
      <w:r>
        <w:rPr>
          <w:kern w:val="2"/>
          <w:sz w:val="21"/>
          <w:szCs w:val="21"/>
        </w:rPr>
        <w:t>（一）组建评标委员会</w:t>
      </w:r>
      <w:bookmarkEnd w:id="211"/>
      <w:bookmarkEnd w:id="212"/>
      <w:bookmarkEnd w:id="213"/>
      <w:bookmarkEnd w:id="214"/>
      <w:bookmarkEnd w:id="215"/>
    </w:p>
    <w:p>
      <w:pPr>
        <w:pStyle w:val="25"/>
        <w:snapToGrid w:val="0"/>
        <w:spacing w:beforeLines="0" w:afterLines="0"/>
        <w:ind w:firstLine="420" w:firstLineChars="200"/>
        <w:jc w:val="left"/>
        <w:rPr>
          <w:rFonts w:ascii="Times New Roman"/>
          <w:sz w:val="21"/>
          <w:szCs w:val="21"/>
        </w:rPr>
      </w:pPr>
      <w:r>
        <w:rPr>
          <w:rFonts w:ascii="Times New Roman"/>
          <w:sz w:val="21"/>
          <w:szCs w:val="21"/>
        </w:rPr>
        <w:t>本项目评标委员会由采购人代表和评审专家组成或全部由评审专家组成，评审专家从专家库随机抽取。</w:t>
      </w:r>
    </w:p>
    <w:p>
      <w:pPr>
        <w:pStyle w:val="5"/>
        <w:numPr>
          <w:ilvl w:val="0"/>
          <w:numId w:val="0"/>
        </w:numPr>
        <w:tabs>
          <w:tab w:val="clear" w:pos="720"/>
        </w:tabs>
        <w:spacing w:before="0" w:after="0" w:line="400" w:lineRule="exact"/>
        <w:rPr>
          <w:kern w:val="2"/>
          <w:sz w:val="21"/>
          <w:szCs w:val="21"/>
        </w:rPr>
      </w:pPr>
      <w:bookmarkStart w:id="216" w:name="_Toc633"/>
      <w:bookmarkStart w:id="217" w:name="_Toc103878819"/>
      <w:bookmarkStart w:id="218" w:name="_Toc26922"/>
      <w:bookmarkStart w:id="219" w:name="_Toc460857927"/>
      <w:bookmarkStart w:id="220" w:name="_Toc17707941"/>
      <w:r>
        <w:rPr>
          <w:kern w:val="2"/>
          <w:sz w:val="21"/>
          <w:szCs w:val="21"/>
        </w:rPr>
        <w:t>（二）评标方法</w:t>
      </w:r>
      <w:bookmarkEnd w:id="216"/>
      <w:bookmarkEnd w:id="217"/>
      <w:bookmarkEnd w:id="218"/>
    </w:p>
    <w:p>
      <w:pPr>
        <w:pStyle w:val="25"/>
        <w:snapToGrid w:val="0"/>
        <w:spacing w:beforeLines="0" w:afterLines="0"/>
        <w:ind w:firstLine="420" w:firstLineChars="200"/>
        <w:jc w:val="left"/>
        <w:rPr>
          <w:rFonts w:ascii="Times New Roman"/>
          <w:sz w:val="21"/>
          <w:szCs w:val="21"/>
        </w:rPr>
      </w:pPr>
      <w:r>
        <w:rPr>
          <w:rFonts w:ascii="Times New Roman"/>
          <w:sz w:val="21"/>
          <w:szCs w:val="21"/>
        </w:rPr>
        <w:t>评标方法见第四章。</w:t>
      </w:r>
    </w:p>
    <w:p>
      <w:pPr>
        <w:pStyle w:val="5"/>
        <w:numPr>
          <w:ilvl w:val="0"/>
          <w:numId w:val="0"/>
        </w:numPr>
        <w:tabs>
          <w:tab w:val="clear" w:pos="720"/>
        </w:tabs>
        <w:spacing w:before="0" w:after="0" w:line="400" w:lineRule="exact"/>
        <w:rPr>
          <w:kern w:val="2"/>
          <w:sz w:val="21"/>
          <w:szCs w:val="21"/>
        </w:rPr>
      </w:pPr>
      <w:bookmarkStart w:id="221" w:name="_Toc103878820"/>
      <w:bookmarkStart w:id="222" w:name="_Toc31278"/>
      <w:bookmarkStart w:id="223" w:name="_Toc642"/>
      <w:r>
        <w:rPr>
          <w:kern w:val="2"/>
          <w:sz w:val="21"/>
          <w:szCs w:val="21"/>
        </w:rPr>
        <w:t>（三）评标程序</w:t>
      </w:r>
      <w:bookmarkEnd w:id="219"/>
      <w:bookmarkEnd w:id="220"/>
      <w:bookmarkEnd w:id="221"/>
      <w:bookmarkEnd w:id="222"/>
      <w:bookmarkEnd w:id="223"/>
    </w:p>
    <w:p>
      <w:pPr>
        <w:pStyle w:val="25"/>
        <w:snapToGrid w:val="0"/>
        <w:spacing w:beforeLines="0" w:afterLines="0"/>
        <w:ind w:firstLine="420" w:firstLineChars="200"/>
        <w:jc w:val="left"/>
        <w:rPr>
          <w:rFonts w:ascii="Times New Roman"/>
          <w:sz w:val="21"/>
          <w:szCs w:val="21"/>
        </w:rPr>
      </w:pPr>
      <w:r>
        <w:rPr>
          <w:rFonts w:ascii="Times New Roman"/>
          <w:sz w:val="21"/>
          <w:szCs w:val="21"/>
        </w:rPr>
        <w:t>评标程序见第四章</w:t>
      </w:r>
    </w:p>
    <w:p>
      <w:pPr>
        <w:pStyle w:val="5"/>
        <w:numPr>
          <w:ilvl w:val="0"/>
          <w:numId w:val="0"/>
        </w:numPr>
        <w:tabs>
          <w:tab w:val="clear" w:pos="720"/>
        </w:tabs>
        <w:spacing w:before="0" w:after="0" w:line="400" w:lineRule="exact"/>
        <w:rPr>
          <w:kern w:val="2"/>
          <w:sz w:val="21"/>
          <w:szCs w:val="21"/>
        </w:rPr>
      </w:pPr>
      <w:bookmarkStart w:id="224" w:name="_Toc8588"/>
      <w:bookmarkStart w:id="225" w:name="_Toc103878821"/>
      <w:bookmarkStart w:id="226" w:name="_Toc14784"/>
      <w:r>
        <w:rPr>
          <w:kern w:val="2"/>
          <w:sz w:val="21"/>
          <w:szCs w:val="21"/>
        </w:rPr>
        <w:t>（四）评标过程保密</w:t>
      </w:r>
      <w:bookmarkEnd w:id="224"/>
      <w:bookmarkEnd w:id="225"/>
      <w:bookmarkEnd w:id="226"/>
    </w:p>
    <w:p>
      <w:pPr>
        <w:pStyle w:val="25"/>
        <w:snapToGrid w:val="0"/>
        <w:spacing w:beforeLines="0" w:afterLines="0"/>
        <w:ind w:firstLine="420" w:firstLineChars="200"/>
        <w:jc w:val="left"/>
        <w:rPr>
          <w:rFonts w:ascii="Times New Roman"/>
          <w:sz w:val="21"/>
          <w:szCs w:val="21"/>
        </w:rPr>
      </w:pPr>
      <w:r>
        <w:rPr>
          <w:rFonts w:ascii="Times New Roman"/>
          <w:sz w:val="21"/>
          <w:szCs w:val="21"/>
        </w:rPr>
        <w:t>中标结果公示发布之前，评标委员会名单应该保密。评标委员会成员、采购人和采购代理机构的有关参与人员应该对评标过程保密，不得向投标人或其他无关的人员透露。</w:t>
      </w:r>
    </w:p>
    <w:p>
      <w:pPr>
        <w:pStyle w:val="4"/>
        <w:numPr>
          <w:ilvl w:val="0"/>
          <w:numId w:val="0"/>
        </w:numPr>
        <w:tabs>
          <w:tab w:val="clear" w:pos="576"/>
          <w:tab w:val="clear" w:pos="1569"/>
        </w:tabs>
        <w:spacing w:before="0" w:after="0" w:line="400" w:lineRule="exact"/>
        <w:jc w:val="left"/>
        <w:rPr>
          <w:rFonts w:ascii="Times New Roman" w:hAnsi="Times New Roman" w:eastAsia="宋体"/>
          <w:sz w:val="21"/>
          <w:szCs w:val="21"/>
        </w:rPr>
      </w:pPr>
      <w:bookmarkStart w:id="227" w:name="_Toc25694"/>
      <w:bookmarkStart w:id="228" w:name="_Toc17707945"/>
      <w:bookmarkStart w:id="229" w:name="_Toc29163"/>
      <w:bookmarkStart w:id="230" w:name="_Toc460857932"/>
      <w:bookmarkStart w:id="231" w:name="_Toc103878822"/>
      <w:r>
        <w:rPr>
          <w:rFonts w:ascii="Times New Roman" w:hAnsi="Times New Roman" w:eastAsia="宋体"/>
          <w:sz w:val="21"/>
          <w:szCs w:val="21"/>
        </w:rPr>
        <w:t>六、定标</w:t>
      </w:r>
      <w:bookmarkEnd w:id="227"/>
      <w:bookmarkEnd w:id="228"/>
      <w:bookmarkEnd w:id="229"/>
      <w:bookmarkEnd w:id="230"/>
      <w:bookmarkEnd w:id="231"/>
    </w:p>
    <w:p>
      <w:pPr>
        <w:pStyle w:val="5"/>
        <w:numPr>
          <w:ilvl w:val="0"/>
          <w:numId w:val="0"/>
        </w:numPr>
        <w:tabs>
          <w:tab w:val="clear" w:pos="720"/>
        </w:tabs>
        <w:spacing w:before="0" w:after="0" w:line="400" w:lineRule="exact"/>
        <w:rPr>
          <w:kern w:val="2"/>
          <w:sz w:val="21"/>
          <w:szCs w:val="21"/>
        </w:rPr>
      </w:pPr>
      <w:bookmarkStart w:id="232" w:name="_Toc103878823"/>
      <w:bookmarkStart w:id="233" w:name="_Toc6020"/>
      <w:bookmarkStart w:id="234" w:name="_Toc17707946"/>
      <w:bookmarkStart w:id="235" w:name="_Toc460857933"/>
      <w:bookmarkStart w:id="236" w:name="_Toc9463"/>
      <w:r>
        <w:rPr>
          <w:kern w:val="2"/>
          <w:sz w:val="21"/>
          <w:szCs w:val="21"/>
        </w:rPr>
        <w:t>（一）确定中标人</w:t>
      </w:r>
      <w:bookmarkEnd w:id="232"/>
      <w:bookmarkEnd w:id="233"/>
      <w:bookmarkEnd w:id="234"/>
      <w:bookmarkEnd w:id="235"/>
      <w:bookmarkEnd w:id="236"/>
    </w:p>
    <w:p>
      <w:pPr>
        <w:pStyle w:val="25"/>
        <w:widowControl/>
        <w:spacing w:beforeLines="0" w:afterLines="0"/>
        <w:ind w:firstLine="420" w:firstLineChars="200"/>
        <w:jc w:val="left"/>
        <w:rPr>
          <w:rFonts w:ascii="Times New Roman"/>
          <w:sz w:val="21"/>
          <w:szCs w:val="21"/>
        </w:rPr>
      </w:pPr>
      <w:r>
        <w:rPr>
          <w:rFonts w:ascii="Times New Roman"/>
          <w:sz w:val="21"/>
          <w:szCs w:val="21"/>
        </w:rPr>
        <w:t>1.本项目由评标委员会推荐中标候选人，采购人不得在评标委员会推荐的中标候选人以外确定中标候选人。</w:t>
      </w:r>
    </w:p>
    <w:p>
      <w:pPr>
        <w:pStyle w:val="25"/>
        <w:widowControl/>
        <w:spacing w:beforeLines="0" w:afterLines="0"/>
        <w:ind w:firstLine="420" w:firstLineChars="200"/>
        <w:jc w:val="left"/>
        <w:rPr>
          <w:rFonts w:ascii="Times New Roman"/>
          <w:sz w:val="21"/>
          <w:szCs w:val="21"/>
        </w:rPr>
      </w:pPr>
      <w:r>
        <w:rPr>
          <w:rFonts w:ascii="Times New Roman"/>
          <w:sz w:val="21"/>
          <w:szCs w:val="21"/>
        </w:rPr>
        <w:t>2.采购代理机构在评标结束后2个工作日内将评标报告交采购人确认，采购人在收到评标报告之日起5个工作日内在评标报告确定的</w:t>
      </w:r>
      <w:r>
        <w:rPr>
          <w:rFonts w:hint="eastAsia" w:ascii="Times New Roman"/>
          <w:sz w:val="21"/>
          <w:szCs w:val="21"/>
          <w:lang w:val="en-US" w:eastAsia="zh-CN"/>
        </w:rPr>
        <w:t>各标项</w:t>
      </w:r>
      <w:r>
        <w:rPr>
          <w:rFonts w:ascii="Times New Roman"/>
          <w:sz w:val="21"/>
          <w:szCs w:val="21"/>
        </w:rPr>
        <w:t>中标候选人中按顺序确定</w:t>
      </w:r>
      <w:r>
        <w:rPr>
          <w:rFonts w:hint="eastAsia" w:ascii="Times New Roman"/>
          <w:sz w:val="21"/>
          <w:szCs w:val="21"/>
          <w:lang w:val="en-US" w:eastAsia="zh-CN"/>
        </w:rPr>
        <w:t>各标项</w:t>
      </w:r>
      <w:r>
        <w:rPr>
          <w:rFonts w:ascii="Times New Roman"/>
          <w:sz w:val="21"/>
          <w:szCs w:val="21"/>
        </w:rPr>
        <w:t>中标人，采购人在收到评标报告之日起5个工作日内未按评标报告推荐的中标候选人排序确定中标人，又不能说明合法理由的，视同按评标报告推荐的顺序确定排名第一的中标候选人为中标人。</w:t>
      </w:r>
    </w:p>
    <w:p>
      <w:pPr>
        <w:pStyle w:val="25"/>
        <w:widowControl/>
        <w:spacing w:beforeLines="0" w:afterLines="0"/>
        <w:ind w:firstLine="420" w:firstLineChars="200"/>
        <w:jc w:val="left"/>
        <w:rPr>
          <w:rFonts w:ascii="Times New Roman"/>
          <w:sz w:val="21"/>
          <w:szCs w:val="21"/>
        </w:rPr>
      </w:pPr>
      <w:r>
        <w:rPr>
          <w:rFonts w:ascii="Times New Roman"/>
          <w:sz w:val="21"/>
          <w:szCs w:val="21"/>
        </w:rPr>
        <w:t>3.采购代理机构自中标人确定之日起2个工作日内，在发布招标公告的网站上对中标结果进行公示，中标结果公告期限为1个工作日。</w:t>
      </w:r>
    </w:p>
    <w:p>
      <w:pPr>
        <w:pStyle w:val="25"/>
        <w:widowControl/>
        <w:spacing w:beforeLines="0" w:afterLines="0"/>
        <w:ind w:firstLine="420" w:firstLineChars="200"/>
        <w:jc w:val="left"/>
        <w:rPr>
          <w:rFonts w:ascii="Times New Roman"/>
          <w:sz w:val="21"/>
          <w:szCs w:val="21"/>
        </w:rPr>
      </w:pPr>
      <w:r>
        <w:rPr>
          <w:rFonts w:ascii="Times New Roman"/>
          <w:sz w:val="21"/>
          <w:szCs w:val="21"/>
        </w:rPr>
        <w:t>4.凡发现中标人有下列行为之一的，将移交政府采购监督管理部门依法处理：</w:t>
      </w:r>
    </w:p>
    <w:p>
      <w:pPr>
        <w:numPr>
          <w:ilvl w:val="0"/>
          <w:numId w:val="14"/>
        </w:numPr>
        <w:spacing w:line="400" w:lineRule="exact"/>
        <w:rPr>
          <w:szCs w:val="21"/>
        </w:rPr>
      </w:pPr>
      <w:r>
        <w:rPr>
          <w:szCs w:val="21"/>
        </w:rPr>
        <w:t>提供虚假材料谋取中标的；</w:t>
      </w:r>
    </w:p>
    <w:p>
      <w:pPr>
        <w:numPr>
          <w:ilvl w:val="0"/>
          <w:numId w:val="14"/>
        </w:numPr>
        <w:spacing w:line="400" w:lineRule="exact"/>
        <w:rPr>
          <w:szCs w:val="21"/>
        </w:rPr>
      </w:pPr>
      <w:r>
        <w:rPr>
          <w:szCs w:val="21"/>
        </w:rPr>
        <w:t>采取不正当手段诋毁、排挤其他投标人的；</w:t>
      </w:r>
    </w:p>
    <w:p>
      <w:pPr>
        <w:numPr>
          <w:ilvl w:val="0"/>
          <w:numId w:val="14"/>
        </w:numPr>
        <w:spacing w:line="400" w:lineRule="exact"/>
        <w:rPr>
          <w:szCs w:val="21"/>
        </w:rPr>
      </w:pPr>
      <w:r>
        <w:rPr>
          <w:szCs w:val="21"/>
        </w:rPr>
        <w:t>与采购人、其他投标人或者采购代理机构工作人员恶意串通的；</w:t>
      </w:r>
    </w:p>
    <w:p>
      <w:pPr>
        <w:numPr>
          <w:ilvl w:val="0"/>
          <w:numId w:val="14"/>
        </w:numPr>
        <w:spacing w:line="400" w:lineRule="exact"/>
        <w:rPr>
          <w:szCs w:val="21"/>
        </w:rPr>
      </w:pPr>
      <w:r>
        <w:rPr>
          <w:szCs w:val="21"/>
        </w:rPr>
        <w:t>向采购人或采购代理机构人员行贿或者提供其他不正当利益的；</w:t>
      </w:r>
    </w:p>
    <w:p>
      <w:pPr>
        <w:numPr>
          <w:ilvl w:val="0"/>
          <w:numId w:val="14"/>
        </w:numPr>
        <w:spacing w:line="400" w:lineRule="exact"/>
        <w:rPr>
          <w:szCs w:val="21"/>
        </w:rPr>
      </w:pPr>
      <w:r>
        <w:rPr>
          <w:szCs w:val="21"/>
        </w:rPr>
        <w:t>拒绝有关部门监督检查或者提供虚假情况的；</w:t>
      </w:r>
    </w:p>
    <w:p>
      <w:pPr>
        <w:numPr>
          <w:ilvl w:val="0"/>
          <w:numId w:val="14"/>
        </w:numPr>
        <w:spacing w:line="400" w:lineRule="exact"/>
        <w:rPr>
          <w:szCs w:val="21"/>
        </w:rPr>
      </w:pPr>
      <w:r>
        <w:rPr>
          <w:szCs w:val="21"/>
        </w:rPr>
        <w:t>有法律、法规规定的其他损害采购人利益和社会公共利益情形的。</w:t>
      </w:r>
    </w:p>
    <w:p>
      <w:pPr>
        <w:pStyle w:val="4"/>
        <w:numPr>
          <w:ilvl w:val="0"/>
          <w:numId w:val="0"/>
        </w:numPr>
        <w:tabs>
          <w:tab w:val="clear" w:pos="576"/>
          <w:tab w:val="clear" w:pos="1569"/>
        </w:tabs>
        <w:spacing w:before="0" w:after="0" w:line="400" w:lineRule="exact"/>
        <w:jc w:val="left"/>
        <w:rPr>
          <w:rFonts w:ascii="Times New Roman" w:hAnsi="Times New Roman" w:eastAsia="宋体"/>
          <w:sz w:val="21"/>
          <w:szCs w:val="21"/>
        </w:rPr>
      </w:pPr>
      <w:bookmarkStart w:id="237" w:name="_Toc27778"/>
      <w:bookmarkStart w:id="238" w:name="_Toc103878824"/>
      <w:bookmarkStart w:id="239" w:name="_Toc17673"/>
      <w:bookmarkStart w:id="240" w:name="_Toc17707947"/>
      <w:r>
        <w:rPr>
          <w:rFonts w:ascii="Times New Roman" w:hAnsi="Times New Roman" w:eastAsia="宋体"/>
          <w:sz w:val="21"/>
          <w:szCs w:val="21"/>
        </w:rPr>
        <w:t>七、评标过程的监控</w:t>
      </w:r>
      <w:bookmarkEnd w:id="237"/>
      <w:bookmarkEnd w:id="238"/>
      <w:bookmarkEnd w:id="239"/>
      <w:bookmarkEnd w:id="240"/>
    </w:p>
    <w:p>
      <w:pPr>
        <w:snapToGrid w:val="0"/>
        <w:spacing w:line="400" w:lineRule="exact"/>
        <w:ind w:firstLine="420" w:firstLineChars="200"/>
        <w:jc w:val="left"/>
        <w:rPr>
          <w:szCs w:val="21"/>
        </w:rPr>
      </w:pPr>
      <w:r>
        <w:rPr>
          <w:bCs/>
          <w:szCs w:val="21"/>
        </w:rPr>
        <w:t>本项目评标过程实行全程录音、录像监控，投标人在评标过程中所进行的试图影响评标结果的不公正活动，可能导致其投标被拒绝。</w:t>
      </w:r>
    </w:p>
    <w:p>
      <w:pPr>
        <w:pStyle w:val="4"/>
        <w:numPr>
          <w:ilvl w:val="0"/>
          <w:numId w:val="0"/>
        </w:numPr>
        <w:tabs>
          <w:tab w:val="clear" w:pos="576"/>
          <w:tab w:val="clear" w:pos="1569"/>
        </w:tabs>
        <w:spacing w:before="0" w:after="0" w:line="400" w:lineRule="exact"/>
        <w:jc w:val="left"/>
        <w:rPr>
          <w:rFonts w:ascii="Times New Roman" w:hAnsi="Times New Roman" w:eastAsia="宋体"/>
          <w:sz w:val="21"/>
          <w:szCs w:val="21"/>
        </w:rPr>
      </w:pPr>
      <w:bookmarkStart w:id="241" w:name="_Toc460857934"/>
      <w:bookmarkStart w:id="242" w:name="_Toc103878825"/>
      <w:bookmarkStart w:id="243" w:name="_Toc22988"/>
      <w:bookmarkStart w:id="244" w:name="_Toc460416359"/>
      <w:bookmarkStart w:id="245" w:name="_Toc31295"/>
      <w:bookmarkStart w:id="246" w:name="_Toc460416664"/>
      <w:bookmarkStart w:id="247" w:name="_Toc17707948"/>
      <w:r>
        <w:rPr>
          <w:rFonts w:ascii="Times New Roman" w:hAnsi="Times New Roman" w:eastAsia="宋体"/>
          <w:sz w:val="21"/>
          <w:szCs w:val="21"/>
        </w:rPr>
        <w:t>八、合同授予</w:t>
      </w:r>
      <w:bookmarkEnd w:id="241"/>
      <w:bookmarkEnd w:id="242"/>
      <w:bookmarkEnd w:id="243"/>
      <w:bookmarkEnd w:id="244"/>
      <w:bookmarkEnd w:id="245"/>
      <w:bookmarkEnd w:id="246"/>
      <w:bookmarkEnd w:id="247"/>
    </w:p>
    <w:p>
      <w:pPr>
        <w:pStyle w:val="5"/>
        <w:numPr>
          <w:ilvl w:val="0"/>
          <w:numId w:val="0"/>
        </w:numPr>
        <w:tabs>
          <w:tab w:val="clear" w:pos="720"/>
        </w:tabs>
        <w:spacing w:before="0" w:after="0" w:line="400" w:lineRule="exact"/>
        <w:rPr>
          <w:kern w:val="2"/>
          <w:sz w:val="21"/>
          <w:szCs w:val="21"/>
        </w:rPr>
      </w:pPr>
      <w:bookmarkStart w:id="248" w:name="_Toc103878826"/>
      <w:bookmarkStart w:id="249" w:name="_Toc5950"/>
      <w:bookmarkStart w:id="250" w:name="_Toc26205"/>
      <w:bookmarkStart w:id="251" w:name="_Toc17707951"/>
      <w:bookmarkStart w:id="252" w:name="_Toc460857937"/>
      <w:r>
        <w:rPr>
          <w:kern w:val="2"/>
          <w:sz w:val="21"/>
          <w:szCs w:val="21"/>
        </w:rPr>
        <w:t>（一）签订合同</w:t>
      </w:r>
      <w:bookmarkEnd w:id="248"/>
      <w:bookmarkEnd w:id="249"/>
      <w:bookmarkEnd w:id="250"/>
    </w:p>
    <w:p>
      <w:pPr>
        <w:snapToGrid w:val="0"/>
        <w:spacing w:line="400" w:lineRule="exact"/>
        <w:ind w:firstLine="420" w:firstLineChars="200"/>
        <w:rPr>
          <w:szCs w:val="21"/>
        </w:rPr>
      </w:pPr>
      <w:r>
        <w:rPr>
          <w:szCs w:val="21"/>
        </w:rPr>
        <w:t>1.采购人应当自中标通知书发出之日起30日内，按照采购文件和中标人投标文件的规定，与中标人签订书面合同。所签订的合同不得对采购文件确定的事项和中标人投标文件作实质性修改。</w:t>
      </w:r>
    </w:p>
    <w:p>
      <w:pPr>
        <w:snapToGrid w:val="0"/>
        <w:spacing w:line="400" w:lineRule="exact"/>
        <w:ind w:firstLine="420" w:firstLineChars="200"/>
        <w:rPr>
          <w:szCs w:val="21"/>
        </w:rPr>
      </w:pPr>
      <w:r>
        <w:rPr>
          <w:szCs w:val="21"/>
        </w:rPr>
        <w:t>采购人不得向中标人提出任何不合理的要求作为签订合同的条件。</w:t>
      </w:r>
    </w:p>
    <w:p>
      <w:pPr>
        <w:pStyle w:val="25"/>
        <w:snapToGrid w:val="0"/>
        <w:spacing w:beforeLines="0" w:afterLines="0"/>
        <w:ind w:firstLine="411" w:firstLineChars="196"/>
        <w:rPr>
          <w:rFonts w:ascii="Times New Roman"/>
          <w:kern w:val="2"/>
          <w:sz w:val="21"/>
          <w:szCs w:val="21"/>
        </w:rPr>
      </w:pPr>
      <w:r>
        <w:rPr>
          <w:rFonts w:ascii="Times New Roman"/>
          <w:kern w:val="2"/>
          <w:sz w:val="21"/>
          <w:szCs w:val="21"/>
        </w:rPr>
        <w:t>2.采购人在签订合同时，在合同金额变更范围内，如需审批的办理相关审批手续。有权变更采购项目的数量和服务内容，但不能对单价或其他条款和条件作任何改变。</w:t>
      </w:r>
    </w:p>
    <w:p>
      <w:pPr>
        <w:pStyle w:val="25"/>
        <w:snapToGrid w:val="0"/>
        <w:spacing w:beforeLines="0" w:afterLines="0"/>
        <w:ind w:firstLine="411" w:firstLineChars="196"/>
        <w:rPr>
          <w:rFonts w:ascii="Times New Roman"/>
          <w:kern w:val="2"/>
          <w:sz w:val="21"/>
          <w:szCs w:val="21"/>
        </w:rPr>
      </w:pPr>
      <w:r>
        <w:rPr>
          <w:rFonts w:ascii="Times New Roman"/>
          <w:kern w:val="2"/>
          <w:sz w:val="21"/>
          <w:szCs w:val="21"/>
        </w:rPr>
        <w:t>3.采购文件、中标（成交）服务单位的投标文件及评标过程中有关的澄清文件均应作为合同签订的附件。</w:t>
      </w:r>
    </w:p>
    <w:p>
      <w:pPr>
        <w:pStyle w:val="25"/>
        <w:snapToGrid w:val="0"/>
        <w:spacing w:beforeLines="0" w:afterLines="0"/>
        <w:ind w:firstLine="411" w:firstLineChars="196"/>
        <w:rPr>
          <w:rFonts w:ascii="Times New Roman"/>
          <w:kern w:val="2"/>
          <w:sz w:val="21"/>
          <w:szCs w:val="21"/>
        </w:rPr>
      </w:pPr>
      <w:r>
        <w:rPr>
          <w:rFonts w:ascii="Times New Roman"/>
          <w:kern w:val="2"/>
          <w:sz w:val="21"/>
          <w:szCs w:val="21"/>
        </w:rPr>
        <w:t>4.中标（成交）服务单位拒绝与采购人签订合同的，采购人应重新招标。</w:t>
      </w:r>
    </w:p>
    <w:p>
      <w:pPr>
        <w:snapToGrid w:val="0"/>
        <w:spacing w:line="400" w:lineRule="exact"/>
        <w:ind w:firstLine="420" w:firstLineChars="200"/>
        <w:jc w:val="left"/>
        <w:rPr>
          <w:szCs w:val="21"/>
        </w:rPr>
      </w:pPr>
      <w:r>
        <w:rPr>
          <w:szCs w:val="21"/>
        </w:rPr>
        <w:t>5.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pStyle w:val="5"/>
        <w:numPr>
          <w:ilvl w:val="0"/>
          <w:numId w:val="0"/>
        </w:numPr>
        <w:tabs>
          <w:tab w:val="clear" w:pos="720"/>
        </w:tabs>
        <w:spacing w:before="0" w:after="0" w:line="400" w:lineRule="exact"/>
        <w:rPr>
          <w:kern w:val="2"/>
          <w:sz w:val="21"/>
          <w:szCs w:val="21"/>
        </w:rPr>
      </w:pPr>
      <w:bookmarkStart w:id="253" w:name="_Toc103878827"/>
      <w:bookmarkStart w:id="254" w:name="_Toc26764"/>
      <w:bookmarkStart w:id="255" w:name="_Toc8904"/>
      <w:bookmarkStart w:id="256" w:name="_Toc17707950"/>
      <w:bookmarkStart w:id="257" w:name="_Toc460857936"/>
      <w:r>
        <w:rPr>
          <w:kern w:val="2"/>
          <w:sz w:val="21"/>
          <w:szCs w:val="21"/>
        </w:rPr>
        <w:t>（二）履约保证金</w:t>
      </w:r>
      <w:bookmarkEnd w:id="253"/>
      <w:bookmarkEnd w:id="254"/>
      <w:bookmarkEnd w:id="255"/>
      <w:bookmarkEnd w:id="256"/>
      <w:bookmarkEnd w:id="257"/>
    </w:p>
    <w:p>
      <w:pPr>
        <w:pStyle w:val="25"/>
        <w:snapToGrid w:val="0"/>
        <w:spacing w:beforeLines="0" w:afterLines="0"/>
        <w:ind w:firstLine="420" w:firstLineChars="200"/>
        <w:jc w:val="left"/>
        <w:rPr>
          <w:rFonts w:ascii="Times New Roman"/>
          <w:sz w:val="21"/>
          <w:szCs w:val="21"/>
        </w:rPr>
      </w:pPr>
      <w:r>
        <w:rPr>
          <w:rFonts w:ascii="Times New Roman"/>
          <w:sz w:val="21"/>
          <w:szCs w:val="21"/>
        </w:rPr>
        <w:t>1.签订合同时，中标人应按采购文件确定的履约保证金的金额，向采购人交纳履约保证金。</w:t>
      </w:r>
    </w:p>
    <w:p>
      <w:pPr>
        <w:pStyle w:val="25"/>
        <w:snapToGrid w:val="0"/>
        <w:spacing w:beforeLines="0" w:afterLines="0"/>
        <w:ind w:firstLine="420" w:firstLineChars="200"/>
        <w:jc w:val="left"/>
        <w:rPr>
          <w:rFonts w:ascii="Times New Roman"/>
          <w:sz w:val="21"/>
          <w:szCs w:val="21"/>
        </w:rPr>
      </w:pPr>
      <w:r>
        <w:rPr>
          <w:rFonts w:ascii="Times New Roman"/>
          <w:sz w:val="21"/>
          <w:szCs w:val="21"/>
        </w:rPr>
        <w:t>2.签订合同后，如中标人不按双方合同约定履约，则没收其全部履约保证金，履约保证金不足以赔偿损失的，按实际损失赔偿。</w:t>
      </w:r>
    </w:p>
    <w:p>
      <w:pPr>
        <w:pStyle w:val="25"/>
        <w:snapToGrid w:val="0"/>
        <w:spacing w:beforeLines="0" w:afterLines="0"/>
        <w:ind w:firstLine="420" w:firstLineChars="200"/>
        <w:jc w:val="left"/>
        <w:rPr>
          <w:rFonts w:hint="eastAsia" w:ascii="Times New Roman" w:eastAsia="宋体"/>
          <w:sz w:val="21"/>
          <w:szCs w:val="21"/>
          <w:lang w:eastAsia="zh-CN"/>
        </w:rPr>
      </w:pPr>
      <w:r>
        <w:rPr>
          <w:rFonts w:ascii="Times New Roman"/>
          <w:sz w:val="21"/>
          <w:szCs w:val="21"/>
        </w:rPr>
        <w:t>3.合同履行完毕后，采购人全额退还中标人的履约保证金</w:t>
      </w:r>
      <w:r>
        <w:rPr>
          <w:rFonts w:hint="eastAsia" w:ascii="Times New Roman"/>
          <w:sz w:val="21"/>
          <w:szCs w:val="21"/>
          <w:lang w:eastAsia="zh-CN"/>
        </w:rPr>
        <w:t>。</w:t>
      </w:r>
    </w:p>
    <w:p>
      <w:pPr>
        <w:pStyle w:val="4"/>
        <w:numPr>
          <w:ilvl w:val="0"/>
          <w:numId w:val="0"/>
        </w:numPr>
        <w:tabs>
          <w:tab w:val="clear" w:pos="576"/>
          <w:tab w:val="clear" w:pos="1569"/>
        </w:tabs>
        <w:spacing w:before="0" w:after="0" w:line="400" w:lineRule="exact"/>
        <w:jc w:val="left"/>
        <w:rPr>
          <w:rFonts w:ascii="Times New Roman" w:hAnsi="Times New Roman" w:eastAsia="宋体"/>
          <w:sz w:val="21"/>
          <w:szCs w:val="21"/>
        </w:rPr>
      </w:pPr>
      <w:bookmarkStart w:id="258" w:name="_Toc16701"/>
      <w:bookmarkStart w:id="259" w:name="_Toc103878828"/>
      <w:bookmarkStart w:id="260" w:name="_Toc26850"/>
      <w:r>
        <w:rPr>
          <w:rFonts w:ascii="Times New Roman" w:hAnsi="Times New Roman" w:eastAsia="宋体"/>
          <w:sz w:val="21"/>
          <w:szCs w:val="21"/>
        </w:rPr>
        <w:t>九、特别说明</w:t>
      </w:r>
      <w:bookmarkEnd w:id="251"/>
      <w:bookmarkEnd w:id="252"/>
      <w:bookmarkEnd w:id="258"/>
      <w:bookmarkEnd w:id="259"/>
      <w:bookmarkEnd w:id="260"/>
    </w:p>
    <w:p>
      <w:pPr>
        <w:spacing w:line="400" w:lineRule="exact"/>
        <w:ind w:firstLine="420" w:firstLineChars="200"/>
        <w:rPr>
          <w:szCs w:val="21"/>
        </w:rPr>
      </w:pPr>
      <w:r>
        <w:rPr>
          <w:szCs w:val="21"/>
        </w:rPr>
        <w:t>1.提供相同品牌产品且通过资格审查、符合性审查的不同投标人参加同一合同项下投标的，按一家投标人计算。</w:t>
      </w:r>
    </w:p>
    <w:p>
      <w:pPr>
        <w:spacing w:line="400" w:lineRule="exact"/>
        <w:ind w:firstLine="525" w:firstLineChars="250"/>
        <w:rPr>
          <w:szCs w:val="21"/>
        </w:rPr>
      </w:pPr>
      <w:r>
        <w:rPr>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400" w:lineRule="exact"/>
        <w:ind w:firstLine="525" w:firstLineChars="250"/>
        <w:rPr>
          <w:szCs w:val="21"/>
        </w:rPr>
      </w:pPr>
      <w:r>
        <w:rPr>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400" w:lineRule="exact"/>
        <w:ind w:firstLine="315" w:firstLineChars="150"/>
        <w:rPr>
          <w:szCs w:val="21"/>
        </w:rPr>
      </w:pPr>
      <w:r>
        <w:rPr>
          <w:szCs w:val="21"/>
        </w:rPr>
        <w:t>非单一产品采购项目，投标人使用相同制造产品（相同制造产品是指采购文件中指定的“核心产品”）作为其项目的一部分，按一家投标人认定。</w:t>
      </w:r>
    </w:p>
    <w:p>
      <w:pPr>
        <w:spacing w:line="400" w:lineRule="exact"/>
        <w:ind w:firstLine="420" w:firstLineChars="200"/>
        <w:rPr>
          <w:szCs w:val="21"/>
        </w:rPr>
      </w:pPr>
      <w:r>
        <w:rPr>
          <w:szCs w:val="21"/>
        </w:rPr>
        <w:t>2.政府采购活动中有关中小企业的相关规定（采购进口产品的项目不适用）</w:t>
      </w:r>
    </w:p>
    <w:p>
      <w:pPr>
        <w:tabs>
          <w:tab w:val="left" w:pos="518"/>
        </w:tabs>
        <w:adjustRightInd w:val="0"/>
        <w:snapToGrid w:val="0"/>
        <w:spacing w:line="400" w:lineRule="exact"/>
        <w:ind w:firstLine="420" w:firstLineChars="200"/>
        <w:rPr>
          <w:szCs w:val="21"/>
        </w:rPr>
      </w:pPr>
      <w:r>
        <w:rPr>
          <w:szCs w:val="21"/>
        </w:rPr>
        <w:t>2.1</w:t>
      </w:r>
      <w:r>
        <w:rPr>
          <w:b/>
          <w:szCs w:val="21"/>
        </w:rPr>
        <w:t>本项目</w:t>
      </w:r>
      <w:r>
        <w:rPr>
          <w:b/>
          <w:szCs w:val="21"/>
          <w:u w:val="single"/>
        </w:rPr>
        <w:t xml:space="preserve">  </w:t>
      </w:r>
      <w:r>
        <w:rPr>
          <w:rFonts w:hint="eastAsia"/>
          <w:b/>
          <w:szCs w:val="21"/>
          <w:u w:val="single"/>
        </w:rPr>
        <w:t>非</w:t>
      </w:r>
      <w:r>
        <w:rPr>
          <w:b/>
          <w:szCs w:val="21"/>
          <w:u w:val="single"/>
        </w:rPr>
        <w:t xml:space="preserve">  </w:t>
      </w:r>
      <w:r>
        <w:rPr>
          <w:b/>
          <w:szCs w:val="21"/>
        </w:rPr>
        <w:t>专门面向中小企业采购</w:t>
      </w:r>
      <w:r>
        <w:rPr>
          <w:szCs w:val="21"/>
        </w:rPr>
        <w:t>。</w:t>
      </w:r>
    </w:p>
    <w:p>
      <w:pPr>
        <w:tabs>
          <w:tab w:val="left" w:pos="518"/>
        </w:tabs>
        <w:adjustRightInd w:val="0"/>
        <w:snapToGrid w:val="0"/>
        <w:spacing w:line="400" w:lineRule="exact"/>
        <w:ind w:firstLine="420" w:firstLineChars="200"/>
        <w:rPr>
          <w:szCs w:val="21"/>
        </w:rPr>
      </w:pPr>
      <w:r>
        <w:rPr>
          <w:szCs w:val="21"/>
        </w:rPr>
        <w:t>2.2本项目对应的中小企业划分标准所属行业：</w:t>
      </w:r>
      <w:r>
        <w:rPr>
          <w:rFonts w:hint="eastAsia"/>
          <w:szCs w:val="21"/>
          <w:u w:val="single"/>
          <w:lang w:val="en-US" w:eastAsia="zh-CN"/>
        </w:rPr>
        <w:t xml:space="preserve"> </w:t>
      </w:r>
      <w:r>
        <w:rPr>
          <w:rFonts w:hint="eastAsia"/>
          <w:szCs w:val="21"/>
          <w:u w:val="single"/>
          <w:lang w:eastAsia="zh-CN"/>
        </w:rPr>
        <w:t>工业</w:t>
      </w:r>
      <w:r>
        <w:rPr>
          <w:rFonts w:hint="eastAsia"/>
          <w:szCs w:val="21"/>
          <w:u w:val="single"/>
          <w:lang w:val="en-US" w:eastAsia="zh-CN"/>
        </w:rPr>
        <w:t xml:space="preserve"> </w:t>
      </w:r>
      <w:r>
        <w:rPr>
          <w:szCs w:val="21"/>
        </w:rPr>
        <w:t>。</w:t>
      </w:r>
    </w:p>
    <w:p>
      <w:pPr>
        <w:tabs>
          <w:tab w:val="left" w:pos="518"/>
        </w:tabs>
        <w:adjustRightInd w:val="0"/>
        <w:snapToGrid w:val="0"/>
        <w:spacing w:line="400" w:lineRule="exact"/>
        <w:ind w:firstLine="420" w:firstLineChars="200"/>
        <w:rPr>
          <w:szCs w:val="21"/>
        </w:rPr>
      </w:pPr>
      <w:r>
        <w:rPr>
          <w:szCs w:val="21"/>
        </w:rPr>
        <w:t>2.3中小企业是指中华人民共和国境内依法设立，依据国务院批准的中小企业划分标准确定的小型企业和微型企业，但与大企业的负责人为同一人，或者与大企业存在直接控股、管理关系的除外。</w:t>
      </w:r>
    </w:p>
    <w:p>
      <w:pPr>
        <w:tabs>
          <w:tab w:val="left" w:pos="518"/>
        </w:tabs>
        <w:adjustRightInd w:val="0"/>
        <w:snapToGrid w:val="0"/>
        <w:spacing w:line="400" w:lineRule="exact"/>
        <w:ind w:firstLine="420" w:firstLineChars="200"/>
        <w:rPr>
          <w:szCs w:val="21"/>
        </w:rPr>
      </w:pPr>
      <w:r>
        <w:rPr>
          <w:szCs w:val="21"/>
        </w:rPr>
        <w:t>符合中小企业划分标准的个体工商户，在政府采购活动中视同中小企业。</w:t>
      </w:r>
    </w:p>
    <w:p>
      <w:pPr>
        <w:tabs>
          <w:tab w:val="left" w:pos="518"/>
        </w:tabs>
        <w:adjustRightInd w:val="0"/>
        <w:snapToGrid w:val="0"/>
        <w:spacing w:line="400" w:lineRule="exact"/>
        <w:ind w:firstLine="420" w:firstLineChars="200"/>
        <w:rPr>
          <w:szCs w:val="21"/>
        </w:rPr>
      </w:pPr>
      <w:r>
        <w:rPr>
          <w:szCs w:val="21"/>
        </w:rPr>
        <w:t>国务院批准的中小企业划分标准：具体见工信部联企业[2011]300号。</w:t>
      </w:r>
    </w:p>
    <w:p>
      <w:pPr>
        <w:tabs>
          <w:tab w:val="left" w:pos="518"/>
        </w:tabs>
        <w:adjustRightInd w:val="0"/>
        <w:snapToGrid w:val="0"/>
        <w:spacing w:line="400" w:lineRule="exact"/>
        <w:ind w:firstLine="420" w:firstLineChars="200"/>
        <w:rPr>
          <w:szCs w:val="21"/>
        </w:rPr>
      </w:pPr>
      <w:r>
        <w:rPr>
          <w:szCs w:val="21"/>
        </w:rPr>
        <w:t>2.4在政府采购活动中，投标单位提供的货物、工程或者服务符合下列情形的，可享受小型、微型企业（以下简称小微企业）的价格扣除：</w:t>
      </w:r>
    </w:p>
    <w:p>
      <w:pPr>
        <w:tabs>
          <w:tab w:val="left" w:pos="518"/>
        </w:tabs>
        <w:adjustRightInd w:val="0"/>
        <w:snapToGrid w:val="0"/>
        <w:spacing w:line="400" w:lineRule="exact"/>
        <w:ind w:firstLine="420" w:firstLineChars="200"/>
        <w:rPr>
          <w:szCs w:val="21"/>
        </w:rPr>
      </w:pPr>
      <w:r>
        <w:rPr>
          <w:szCs w:val="21"/>
        </w:rPr>
        <w:t>（1）在货物采购项目中，货物由小微企业制造，即货物由小微企业生产且使用该小微企业商号或者注册商标；</w:t>
      </w:r>
    </w:p>
    <w:p>
      <w:pPr>
        <w:tabs>
          <w:tab w:val="left" w:pos="518"/>
        </w:tabs>
        <w:adjustRightInd w:val="0"/>
        <w:snapToGrid w:val="0"/>
        <w:spacing w:line="400" w:lineRule="exact"/>
        <w:ind w:firstLine="420" w:firstLineChars="200"/>
        <w:rPr>
          <w:szCs w:val="21"/>
        </w:rPr>
      </w:pPr>
      <w:r>
        <w:rPr>
          <w:szCs w:val="21"/>
        </w:rPr>
        <w:t>（2）在工程采购项目中，工程由小微企业承建，即工程施工单位为小微企业；</w:t>
      </w:r>
    </w:p>
    <w:p>
      <w:pPr>
        <w:tabs>
          <w:tab w:val="left" w:pos="518"/>
        </w:tabs>
        <w:adjustRightInd w:val="0"/>
        <w:snapToGrid w:val="0"/>
        <w:spacing w:line="400" w:lineRule="exact"/>
        <w:ind w:firstLine="420" w:firstLineChars="200"/>
        <w:rPr>
          <w:szCs w:val="21"/>
        </w:rPr>
      </w:pPr>
      <w:r>
        <w:rPr>
          <w:szCs w:val="21"/>
        </w:rPr>
        <w:t>（3）在服务采购项目中，服务由小微企业承接，即提供服务的人员为小微企业依照《中华人民共和国劳动合同法》订立劳动合同的从业人员。</w:t>
      </w:r>
    </w:p>
    <w:p>
      <w:pPr>
        <w:tabs>
          <w:tab w:val="left" w:pos="518"/>
        </w:tabs>
        <w:adjustRightInd w:val="0"/>
        <w:snapToGrid w:val="0"/>
        <w:spacing w:line="400" w:lineRule="exact"/>
        <w:ind w:firstLine="420" w:firstLineChars="200"/>
        <w:rPr>
          <w:szCs w:val="21"/>
        </w:rPr>
      </w:pPr>
      <w:r>
        <w:rPr>
          <w:szCs w:val="21"/>
        </w:rPr>
        <w:t>以联合体形式参加政府采购活动，联合体各方均为小微企业的，联合体视同小微企业。</w:t>
      </w:r>
    </w:p>
    <w:p>
      <w:pPr>
        <w:tabs>
          <w:tab w:val="left" w:pos="518"/>
        </w:tabs>
        <w:adjustRightInd w:val="0"/>
        <w:snapToGrid w:val="0"/>
        <w:spacing w:line="400" w:lineRule="exact"/>
        <w:ind w:firstLine="420" w:firstLineChars="200"/>
        <w:rPr>
          <w:szCs w:val="21"/>
        </w:rPr>
      </w:pPr>
      <w:r>
        <w:rPr>
          <w:szCs w:val="21"/>
        </w:rPr>
        <w:t>2.5在货物采购项目中，投标单位提供的货物既有中小企业制造货物，也有大型企业制造货物的，不享受的小微企业价格扣除。</w:t>
      </w:r>
    </w:p>
    <w:p>
      <w:pPr>
        <w:tabs>
          <w:tab w:val="left" w:pos="518"/>
        </w:tabs>
        <w:adjustRightInd w:val="0"/>
        <w:snapToGrid w:val="0"/>
        <w:spacing w:line="400" w:lineRule="exact"/>
        <w:ind w:firstLine="420" w:firstLineChars="200"/>
        <w:rPr>
          <w:szCs w:val="21"/>
        </w:rPr>
      </w:pPr>
      <w:r>
        <w:rPr>
          <w:szCs w:val="21"/>
        </w:rPr>
        <w:t>2.</w:t>
      </w:r>
      <w:r>
        <w:rPr>
          <w:rFonts w:hint="eastAsia"/>
          <w:szCs w:val="21"/>
        </w:rPr>
        <w:t>6</w:t>
      </w:r>
      <w:r>
        <w:rPr>
          <w:szCs w:val="21"/>
        </w:rPr>
        <w:t>采购活动过程中，对投标单位的“中小企业”资格认定，以投标单位提交的《中小企业声明函》为准，投标单位必须实事求是地提交声明函，如有虚假，将依法承担法律责任。如果在采购活动过程中相关采购当事人对投标单位“中小企业”资格有异议的，由货物制造商或者工程、服务单位注册登记所在地的县级以上人民政府中小企业主管部门负责认定。</w:t>
      </w:r>
    </w:p>
    <w:p>
      <w:pPr>
        <w:tabs>
          <w:tab w:val="left" w:pos="518"/>
        </w:tabs>
        <w:adjustRightInd w:val="0"/>
        <w:snapToGrid w:val="0"/>
        <w:spacing w:line="400" w:lineRule="exact"/>
        <w:ind w:firstLine="420" w:firstLineChars="200"/>
        <w:rPr>
          <w:szCs w:val="21"/>
        </w:rPr>
      </w:pPr>
      <w:r>
        <w:rPr>
          <w:szCs w:val="21"/>
        </w:rPr>
        <w:t>投标单位提供声明函内容不实的，属于提供虚假材料谋取中标、成交，依照《中华人民共和国政府采购法》等国家有关规定追究相应责任。</w:t>
      </w:r>
    </w:p>
    <w:p>
      <w:pPr>
        <w:tabs>
          <w:tab w:val="left" w:pos="518"/>
        </w:tabs>
        <w:adjustRightInd w:val="0"/>
        <w:snapToGrid w:val="0"/>
        <w:spacing w:line="400" w:lineRule="exact"/>
        <w:ind w:firstLine="420" w:firstLineChars="200"/>
        <w:rPr>
          <w:szCs w:val="21"/>
        </w:rPr>
      </w:pPr>
      <w:r>
        <w:rPr>
          <w:szCs w:val="21"/>
        </w:rPr>
        <w:t>适用招标投标法的政府采购工程建设项目，投标人提供声明函内容不实的，属于弄虚作假骗取中标，依照《中华人民共和国招标投标法》等国家有关规定追究相应责任。</w:t>
      </w:r>
    </w:p>
    <w:p>
      <w:pPr>
        <w:tabs>
          <w:tab w:val="left" w:pos="518"/>
        </w:tabs>
        <w:adjustRightInd w:val="0"/>
        <w:snapToGrid w:val="0"/>
        <w:spacing w:line="400" w:lineRule="exact"/>
        <w:ind w:firstLine="420" w:firstLineChars="200"/>
        <w:rPr>
          <w:szCs w:val="21"/>
        </w:rPr>
      </w:pPr>
      <w:r>
        <w:rPr>
          <w:szCs w:val="21"/>
        </w:rPr>
        <w:t>2.</w:t>
      </w:r>
      <w:r>
        <w:rPr>
          <w:rFonts w:hint="eastAsia"/>
          <w:szCs w:val="21"/>
        </w:rPr>
        <w:t>7</w:t>
      </w:r>
      <w:r>
        <w:rPr>
          <w:szCs w:val="21"/>
        </w:rPr>
        <w:t>按规定享受扶持政策获得政府采购合同的，小微企业不得将合同分包给大中型企业，中型企业不得将合同分包给大型企业。</w:t>
      </w:r>
    </w:p>
    <w:p>
      <w:pPr>
        <w:spacing w:line="400" w:lineRule="exact"/>
        <w:ind w:firstLine="420" w:firstLineChars="200"/>
        <w:rPr>
          <w:szCs w:val="21"/>
        </w:rPr>
      </w:pPr>
      <w:r>
        <w:rPr>
          <w:szCs w:val="21"/>
        </w:rPr>
        <w:t>3.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szCs w:val="21"/>
        </w:rPr>
      </w:pPr>
      <w:r>
        <w:rPr>
          <w:szCs w:val="21"/>
        </w:rPr>
        <w:t>4.根据《关于促进残疾人就业政府采购政策的通知》（财库[2017]141号）规定，在政府采购活动中，残疾人福利性单位视同小型、微型企业。残疾人福利性单位参加政府采购活动时，提供《残疾人福利性单位声明函》。</w:t>
      </w:r>
    </w:p>
    <w:p>
      <w:pPr>
        <w:spacing w:line="400" w:lineRule="exact"/>
        <w:ind w:firstLine="422" w:firstLineChars="200"/>
        <w:rPr>
          <w:b/>
          <w:bCs/>
          <w:szCs w:val="21"/>
        </w:rPr>
      </w:pPr>
      <w:r>
        <w:rPr>
          <w:rFonts w:hint="eastAsia"/>
          <w:b/>
          <w:bCs/>
          <w:szCs w:val="21"/>
          <w:lang w:eastAsia="zh-CN"/>
        </w:rPr>
        <w:t>▲</w:t>
      </w:r>
      <w:r>
        <w:rPr>
          <w:b/>
          <w:bCs/>
          <w:szCs w:val="21"/>
        </w:rPr>
        <w:t>5</w:t>
      </w:r>
      <w:r>
        <w:rPr>
          <w:b/>
          <w:szCs w:val="21"/>
        </w:rPr>
        <w:t>.</w:t>
      </w:r>
      <w:r>
        <w:rPr>
          <w:b/>
          <w:bCs/>
          <w:szCs w:val="21"/>
        </w:rPr>
        <w:t>投标人应仔细阅读采购文件的所有内容，按照采购文件的要求提交投标文件，并对所提供的全部资料的真实性承担法律责任。</w:t>
      </w:r>
    </w:p>
    <w:p>
      <w:pPr>
        <w:spacing w:line="400" w:lineRule="exact"/>
        <w:ind w:firstLine="422" w:firstLineChars="200"/>
        <w:rPr>
          <w:b/>
          <w:szCs w:val="21"/>
        </w:rPr>
      </w:pPr>
      <w:r>
        <w:rPr>
          <w:rFonts w:hint="eastAsia"/>
          <w:b/>
          <w:bCs/>
          <w:szCs w:val="21"/>
          <w:lang w:eastAsia="zh-CN"/>
        </w:rPr>
        <w:t>▲</w:t>
      </w:r>
      <w:r>
        <w:rPr>
          <w:b/>
          <w:bCs/>
          <w:szCs w:val="21"/>
        </w:rPr>
        <w:t>6.投标人在投标活动中提供任何虚假材料，其投标无效。</w:t>
      </w:r>
      <w:r>
        <w:rPr>
          <w:b/>
          <w:szCs w:val="21"/>
        </w:rPr>
        <w:br w:type="page"/>
      </w:r>
    </w:p>
    <w:p>
      <w:pPr>
        <w:pStyle w:val="3"/>
        <w:spacing w:before="0" w:after="0" w:line="360" w:lineRule="auto"/>
        <w:jc w:val="center"/>
        <w:rPr>
          <w:b w:val="0"/>
          <w:bCs w:val="0"/>
          <w:sz w:val="28"/>
          <w:szCs w:val="28"/>
        </w:rPr>
      </w:pPr>
      <w:bookmarkStart w:id="261" w:name="_Toc32630"/>
      <w:bookmarkStart w:id="262" w:name="_Toc17707952"/>
      <w:bookmarkStart w:id="263" w:name="_Toc21520"/>
      <w:bookmarkStart w:id="264" w:name="_Toc103878829"/>
      <w:r>
        <w:rPr>
          <w:sz w:val="30"/>
        </w:rPr>
        <w:t xml:space="preserve">第四章  </w:t>
      </w:r>
      <w:bookmarkStart w:id="265" w:name="_Hlk22492252"/>
      <w:r>
        <w:rPr>
          <w:sz w:val="30"/>
        </w:rPr>
        <w:t>评标办法及评分标准</w:t>
      </w:r>
      <w:bookmarkEnd w:id="261"/>
      <w:bookmarkEnd w:id="262"/>
      <w:bookmarkEnd w:id="263"/>
      <w:bookmarkEnd w:id="264"/>
      <w:bookmarkEnd w:id="265"/>
    </w:p>
    <w:p>
      <w:pPr>
        <w:pStyle w:val="28"/>
        <w:widowControl/>
        <w:snapToGrid/>
        <w:spacing w:line="360" w:lineRule="auto"/>
        <w:ind w:firstLine="422" w:firstLineChars="200"/>
        <w:jc w:val="left"/>
        <w:rPr>
          <w:rFonts w:ascii="Times New Roman" w:hAnsi="Times New Roman"/>
          <w:color w:val="auto"/>
          <w:sz w:val="21"/>
          <w:szCs w:val="21"/>
        </w:rPr>
      </w:pPr>
      <w:bookmarkStart w:id="266" w:name="_Toc317685600"/>
      <w:bookmarkStart w:id="267" w:name="_Toc495957613"/>
      <w:bookmarkStart w:id="268" w:name="_Toc493058315"/>
      <w:bookmarkStart w:id="269" w:name="_Toc481567075"/>
      <w:bookmarkStart w:id="270" w:name="_Toc103878830"/>
      <w:bookmarkStart w:id="271" w:name="_Toc17707953"/>
      <w:bookmarkStart w:id="272" w:name="_Toc51446753"/>
      <w:r>
        <w:rPr>
          <w:rFonts w:ascii="Times New Roman" w:hAnsi="Times New Roman"/>
          <w:color w:val="auto"/>
          <w:sz w:val="21"/>
          <w:szCs w:val="21"/>
        </w:rPr>
        <w:t>本办法严格遵照《中华人民共和国政府采购法》、《中华人民共和国政府采购法实施条例》、《政府采购货物和服务招标投标管理办法》，结合项目所在地政府有关政府采购规定和项目的实际情况制定。</w:t>
      </w:r>
    </w:p>
    <w:p>
      <w:pPr>
        <w:pStyle w:val="28"/>
        <w:widowControl/>
        <w:snapToGrid/>
        <w:spacing w:line="360" w:lineRule="auto"/>
        <w:ind w:firstLine="422" w:firstLineChars="200"/>
        <w:jc w:val="left"/>
        <w:rPr>
          <w:rFonts w:ascii="Times New Roman" w:hAnsi="Times New Roman"/>
          <w:color w:val="auto"/>
          <w:sz w:val="21"/>
          <w:szCs w:val="21"/>
        </w:rPr>
      </w:pPr>
      <w:r>
        <w:rPr>
          <w:rFonts w:hint="eastAsia" w:ascii="Times New Roman" w:hAnsi="Times New Roman"/>
          <w:color w:val="auto"/>
          <w:sz w:val="21"/>
          <w:szCs w:val="21"/>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w:t>
      </w:r>
      <w:r>
        <w:rPr>
          <w:rFonts w:hint="eastAsia" w:ascii="Times New Roman" w:hAnsi="Times New Roman"/>
          <w:color w:val="auto"/>
          <w:sz w:val="21"/>
          <w:szCs w:val="21"/>
          <w:lang w:val="en-US" w:eastAsia="zh-CN"/>
        </w:rPr>
        <w:t>或</w:t>
      </w:r>
      <w:r>
        <w:rPr>
          <w:rFonts w:hint="eastAsia" w:ascii="Times New Roman" w:hAnsi="Times New Roman"/>
          <w:color w:val="auto"/>
          <w:sz w:val="21"/>
          <w:szCs w:val="21"/>
        </w:rPr>
        <w:t>《残疾人福利性单位声明函》或省级以上监狱管理局、戒毒管理局（含新疆生产建设兵团）出具的属于监狱企业的证明文件的投标人，对其投标报价给予 10 %的扣除。</w:t>
      </w:r>
    </w:p>
    <w:bookmarkEnd w:id="266"/>
    <w:p>
      <w:pPr>
        <w:pStyle w:val="36"/>
        <w:spacing w:before="120" w:beforeLines="50" w:after="120" w:afterLines="50" w:line="360" w:lineRule="auto"/>
        <w:ind w:firstLine="413" w:firstLineChars="196"/>
        <w:jc w:val="left"/>
        <w:rPr>
          <w:rFonts w:ascii="Times New Roman" w:hAnsi="Times New Roman"/>
          <w:sz w:val="21"/>
          <w:szCs w:val="21"/>
        </w:rPr>
      </w:pPr>
      <w:bookmarkStart w:id="273" w:name="_Toc4082"/>
      <w:bookmarkStart w:id="274" w:name="_Toc12355"/>
      <w:r>
        <w:rPr>
          <w:rFonts w:ascii="Times New Roman" w:hAnsi="Times New Roman"/>
          <w:sz w:val="21"/>
          <w:szCs w:val="21"/>
        </w:rPr>
        <w:t>一、</w:t>
      </w:r>
      <w:bookmarkEnd w:id="267"/>
      <w:bookmarkEnd w:id="268"/>
      <w:bookmarkEnd w:id="269"/>
      <w:r>
        <w:rPr>
          <w:rFonts w:ascii="Times New Roman" w:hAnsi="Times New Roman"/>
          <w:sz w:val="21"/>
          <w:szCs w:val="21"/>
        </w:rPr>
        <w:t>总则</w:t>
      </w:r>
      <w:bookmarkEnd w:id="270"/>
      <w:bookmarkEnd w:id="271"/>
      <w:bookmarkEnd w:id="272"/>
      <w:bookmarkEnd w:id="273"/>
      <w:bookmarkEnd w:id="274"/>
    </w:p>
    <w:p>
      <w:pPr>
        <w:spacing w:line="360" w:lineRule="auto"/>
        <w:ind w:firstLine="396" w:firstLineChars="200"/>
        <w:rPr>
          <w:szCs w:val="21"/>
        </w:rPr>
      </w:pPr>
      <w:bookmarkStart w:id="275" w:name="_Toc495957614"/>
      <w:bookmarkStart w:id="276" w:name="_Toc493058316"/>
      <w:bookmarkStart w:id="277" w:name="_Toc249866769"/>
      <w:bookmarkStart w:id="278" w:name="_Toc259108326"/>
      <w:r>
        <w:rPr>
          <w:spacing w:val="-6"/>
          <w:sz w:val="21"/>
          <w:szCs w:val="21"/>
        </w:rPr>
        <w:t>招标活动遵循公平、公正、科学、择优的原则依法进行，招标活动及当事人接受依法实施的监督。</w:t>
      </w:r>
    </w:p>
    <w:p>
      <w:pPr>
        <w:pStyle w:val="36"/>
        <w:spacing w:before="120" w:beforeLines="50" w:after="120" w:afterLines="50" w:line="360" w:lineRule="auto"/>
        <w:ind w:firstLine="413" w:firstLineChars="196"/>
        <w:jc w:val="left"/>
        <w:rPr>
          <w:rFonts w:ascii="Times New Roman" w:hAnsi="Times New Roman"/>
          <w:sz w:val="21"/>
          <w:szCs w:val="21"/>
        </w:rPr>
      </w:pPr>
      <w:bookmarkStart w:id="279" w:name="_Toc17707954"/>
      <w:bookmarkStart w:id="280" w:name="_Toc22443"/>
      <w:bookmarkStart w:id="281" w:name="_Toc103878831"/>
      <w:bookmarkStart w:id="282" w:name="_Toc29360"/>
      <w:bookmarkStart w:id="283" w:name="_Toc51446755"/>
      <w:r>
        <w:rPr>
          <w:rFonts w:ascii="Times New Roman" w:hAnsi="Times New Roman"/>
          <w:sz w:val="21"/>
          <w:szCs w:val="21"/>
        </w:rPr>
        <w:t>二、评标委员会</w:t>
      </w:r>
      <w:bookmarkEnd w:id="275"/>
      <w:bookmarkEnd w:id="276"/>
      <w:bookmarkEnd w:id="279"/>
      <w:bookmarkEnd w:id="280"/>
      <w:bookmarkEnd w:id="281"/>
      <w:bookmarkEnd w:id="282"/>
      <w:bookmarkEnd w:id="283"/>
    </w:p>
    <w:p>
      <w:pPr>
        <w:spacing w:line="360" w:lineRule="auto"/>
        <w:ind w:firstLine="315" w:firstLineChars="150"/>
        <w:rPr>
          <w:i/>
          <w:iCs/>
          <w:szCs w:val="21"/>
        </w:rPr>
      </w:pPr>
      <w:r>
        <w:rPr>
          <w:szCs w:val="21"/>
        </w:rPr>
        <w:t>（一）本次招标依法组建评标委员会。评标委员会由招标人代表和评审专家组成或全部由评审专家组成，评审专家从专家库随机抽取。</w:t>
      </w:r>
    </w:p>
    <w:p>
      <w:pPr>
        <w:spacing w:line="360" w:lineRule="auto"/>
        <w:ind w:firstLine="315" w:firstLineChars="150"/>
        <w:rPr>
          <w:szCs w:val="21"/>
        </w:rPr>
      </w:pPr>
      <w:r>
        <w:rPr>
          <w:szCs w:val="21"/>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315" w:firstLineChars="150"/>
        <w:rPr>
          <w:szCs w:val="21"/>
        </w:rPr>
      </w:pPr>
      <w:r>
        <w:rPr>
          <w:szCs w:val="21"/>
        </w:rPr>
        <w:t>（三）评审专家有下列情形之一的，受到邀请应主动提出回避，采购当事人也可以要求该评审专家回避：</w:t>
      </w:r>
    </w:p>
    <w:p>
      <w:pPr>
        <w:spacing w:line="360" w:lineRule="auto"/>
        <w:ind w:firstLine="420" w:firstLineChars="200"/>
        <w:rPr>
          <w:szCs w:val="21"/>
        </w:rPr>
      </w:pPr>
      <w:r>
        <w:rPr>
          <w:szCs w:val="21"/>
        </w:rPr>
        <w:t>1、参加采购活动前三年内，与投标单位存在劳动关系，或者担任过投标单位的董事、监事，或者是投标单位的控股股东或实际控制人；</w:t>
      </w:r>
    </w:p>
    <w:p>
      <w:pPr>
        <w:spacing w:line="360" w:lineRule="auto"/>
        <w:ind w:firstLine="420" w:firstLineChars="200"/>
        <w:rPr>
          <w:szCs w:val="21"/>
        </w:rPr>
      </w:pPr>
      <w:r>
        <w:rPr>
          <w:szCs w:val="21"/>
        </w:rPr>
        <w:t>2、与投标单位的法定代表人或者负责人有夫妻、直系血亲、三代以内旁系血亲或者近姻亲关系；</w:t>
      </w:r>
    </w:p>
    <w:p>
      <w:pPr>
        <w:spacing w:line="360" w:lineRule="auto"/>
        <w:ind w:firstLine="420" w:firstLineChars="200"/>
        <w:rPr>
          <w:szCs w:val="21"/>
        </w:rPr>
      </w:pPr>
      <w:r>
        <w:rPr>
          <w:szCs w:val="21"/>
        </w:rPr>
        <w:t>3、曾经参加过本项目的进口产品论证工作；</w:t>
      </w:r>
    </w:p>
    <w:p>
      <w:pPr>
        <w:spacing w:line="360" w:lineRule="auto"/>
        <w:ind w:firstLine="420" w:firstLineChars="200"/>
        <w:rPr>
          <w:szCs w:val="21"/>
        </w:rPr>
      </w:pPr>
      <w:r>
        <w:rPr>
          <w:szCs w:val="21"/>
        </w:rPr>
        <w:t>4、与投标单位有其他可能影响政府采购活动公平、公正进行的关系。</w:t>
      </w:r>
    </w:p>
    <w:p>
      <w:pPr>
        <w:spacing w:line="360" w:lineRule="auto"/>
        <w:ind w:firstLine="315" w:firstLineChars="150"/>
        <w:rPr>
          <w:szCs w:val="21"/>
        </w:rPr>
      </w:pPr>
      <w:r>
        <w:rPr>
          <w:szCs w:val="21"/>
        </w:rPr>
        <w:t>（四）评标委员会判断投标文件的有效性、合格性和投标情况，仅依据投标人所递交一切文件的真实表述，不受与本项目无直接关联的外部信息、传言而影响自身的专业判断。</w:t>
      </w:r>
    </w:p>
    <w:p>
      <w:pPr>
        <w:spacing w:line="360" w:lineRule="auto"/>
        <w:ind w:firstLine="315" w:firstLineChars="150"/>
        <w:rPr>
          <w:szCs w:val="21"/>
        </w:rPr>
      </w:pPr>
      <w:r>
        <w:rPr>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36"/>
        <w:spacing w:before="120" w:beforeLines="50" w:after="120" w:afterLines="50" w:line="360" w:lineRule="auto"/>
        <w:ind w:firstLine="413" w:firstLineChars="196"/>
        <w:jc w:val="left"/>
        <w:rPr>
          <w:rFonts w:ascii="Times New Roman" w:hAnsi="Times New Roman"/>
          <w:sz w:val="21"/>
          <w:szCs w:val="21"/>
        </w:rPr>
      </w:pPr>
      <w:bookmarkStart w:id="284" w:name="_Toc493058317"/>
      <w:bookmarkStart w:id="285" w:name="_Toc495957615"/>
      <w:bookmarkStart w:id="286" w:name="_Toc481567076"/>
      <w:bookmarkStart w:id="287" w:name="_Toc17685"/>
      <w:bookmarkStart w:id="288" w:name="_Toc103878832"/>
      <w:bookmarkStart w:id="289" w:name="_Toc21921"/>
      <w:bookmarkStart w:id="290" w:name="_Toc51446757"/>
      <w:bookmarkStart w:id="291" w:name="_Toc17707956"/>
      <w:r>
        <w:rPr>
          <w:rFonts w:ascii="Times New Roman" w:hAnsi="Times New Roman"/>
          <w:sz w:val="21"/>
          <w:szCs w:val="21"/>
        </w:rPr>
        <w:t>三、评标方法</w:t>
      </w:r>
      <w:bookmarkEnd w:id="284"/>
      <w:bookmarkEnd w:id="285"/>
      <w:bookmarkEnd w:id="286"/>
      <w:bookmarkEnd w:id="287"/>
      <w:bookmarkEnd w:id="288"/>
      <w:bookmarkEnd w:id="289"/>
      <w:bookmarkEnd w:id="290"/>
      <w:bookmarkEnd w:id="291"/>
    </w:p>
    <w:p>
      <w:pPr>
        <w:spacing w:line="360" w:lineRule="auto"/>
        <w:ind w:firstLine="420" w:firstLineChars="200"/>
        <w:rPr>
          <w:szCs w:val="21"/>
        </w:rPr>
      </w:pPr>
      <w:r>
        <w:rPr>
          <w:szCs w:val="21"/>
        </w:rPr>
        <w:t>（一）本次招标项目的评标方法为：综合评分法。</w:t>
      </w:r>
    </w:p>
    <w:p>
      <w:pPr>
        <w:spacing w:line="360" w:lineRule="auto"/>
        <w:ind w:firstLine="420" w:firstLineChars="200"/>
        <w:rPr>
          <w:szCs w:val="21"/>
        </w:rPr>
      </w:pPr>
      <w:r>
        <w:rPr>
          <w:szCs w:val="21"/>
        </w:rPr>
        <w:t>（二）评分权重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3714"/>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vAlign w:val="center"/>
          </w:tcPr>
          <w:p>
            <w:pPr>
              <w:spacing w:before="120" w:beforeLines="50" w:after="120" w:afterLines="50" w:line="360" w:lineRule="auto"/>
              <w:ind w:firstLine="198"/>
              <w:jc w:val="center"/>
              <w:rPr>
                <w:szCs w:val="21"/>
              </w:rPr>
            </w:pPr>
            <w:r>
              <w:rPr>
                <w:szCs w:val="21"/>
              </w:rPr>
              <w:t>评分项目</w:t>
            </w:r>
          </w:p>
        </w:tc>
        <w:tc>
          <w:tcPr>
            <w:tcW w:w="3714" w:type="dxa"/>
            <w:vAlign w:val="center"/>
          </w:tcPr>
          <w:p>
            <w:pPr>
              <w:spacing w:before="120" w:beforeLines="50" w:after="120" w:afterLines="50" w:line="360" w:lineRule="auto"/>
              <w:ind w:firstLine="198"/>
              <w:jc w:val="center"/>
              <w:rPr>
                <w:szCs w:val="21"/>
              </w:rPr>
            </w:pPr>
            <w:r>
              <w:rPr>
                <w:szCs w:val="21"/>
              </w:rPr>
              <w:t>商务技术分（分）</w:t>
            </w:r>
          </w:p>
        </w:tc>
        <w:tc>
          <w:tcPr>
            <w:tcW w:w="2615" w:type="dxa"/>
            <w:vAlign w:val="center"/>
          </w:tcPr>
          <w:p>
            <w:pPr>
              <w:spacing w:before="120" w:beforeLines="50" w:after="120" w:afterLines="50" w:line="360" w:lineRule="auto"/>
              <w:ind w:firstLine="198"/>
              <w:jc w:val="center"/>
              <w:rPr>
                <w:szCs w:val="21"/>
              </w:rPr>
            </w:pPr>
            <w:r>
              <w:rPr>
                <w:szCs w:val="21"/>
              </w:rPr>
              <w:t>价格分（分）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vAlign w:val="center"/>
          </w:tcPr>
          <w:p>
            <w:pPr>
              <w:spacing w:before="120" w:beforeLines="50" w:after="120" w:afterLines="50" w:line="360" w:lineRule="auto"/>
              <w:ind w:firstLine="198"/>
              <w:jc w:val="center"/>
              <w:rPr>
                <w:szCs w:val="21"/>
              </w:rPr>
            </w:pPr>
            <w:r>
              <w:rPr>
                <w:szCs w:val="21"/>
              </w:rPr>
              <w:t>权重</w:t>
            </w:r>
          </w:p>
        </w:tc>
        <w:tc>
          <w:tcPr>
            <w:tcW w:w="3714" w:type="dxa"/>
            <w:vAlign w:val="center"/>
          </w:tcPr>
          <w:p>
            <w:pPr>
              <w:spacing w:before="120" w:beforeLines="50" w:after="120" w:afterLines="50" w:line="360" w:lineRule="auto"/>
              <w:ind w:firstLine="198"/>
              <w:jc w:val="center"/>
              <w:rPr>
                <w:rFonts w:hint="default" w:eastAsia="宋体"/>
                <w:szCs w:val="21"/>
                <w:lang w:val="en-US" w:eastAsia="zh-CN"/>
              </w:rPr>
            </w:pPr>
            <w:r>
              <w:rPr>
                <w:rFonts w:hint="eastAsia"/>
                <w:szCs w:val="21"/>
                <w:lang w:val="en-US" w:eastAsia="zh-CN"/>
              </w:rPr>
              <w:t>70</w:t>
            </w:r>
          </w:p>
        </w:tc>
        <w:tc>
          <w:tcPr>
            <w:tcW w:w="2615" w:type="dxa"/>
            <w:vAlign w:val="center"/>
          </w:tcPr>
          <w:p>
            <w:pPr>
              <w:spacing w:before="120" w:beforeLines="50" w:after="120" w:afterLines="50" w:line="360" w:lineRule="auto"/>
              <w:ind w:firstLine="198"/>
              <w:jc w:val="center"/>
              <w:rPr>
                <w:rFonts w:hint="default" w:eastAsia="宋体"/>
                <w:szCs w:val="21"/>
                <w:lang w:val="en-US" w:eastAsia="zh-CN"/>
              </w:rPr>
            </w:pPr>
            <w:r>
              <w:rPr>
                <w:rFonts w:hint="eastAsia"/>
                <w:szCs w:val="21"/>
                <w:lang w:val="en-US" w:eastAsia="zh-CN"/>
              </w:rPr>
              <w:t>30</w:t>
            </w:r>
          </w:p>
        </w:tc>
      </w:tr>
    </w:tbl>
    <w:p>
      <w:pPr>
        <w:spacing w:line="360" w:lineRule="auto"/>
        <w:ind w:firstLine="420" w:firstLineChars="200"/>
        <w:rPr>
          <w:rFonts w:hint="eastAsia" w:eastAsia="宋体"/>
          <w:szCs w:val="21"/>
          <w:lang w:eastAsia="zh-CN"/>
        </w:rPr>
      </w:pPr>
      <w:r>
        <w:rPr>
          <w:szCs w:val="21"/>
        </w:rPr>
        <w:t>1、价格分采用低价优先法计算，即满足</w:t>
      </w:r>
      <w:r>
        <w:rPr>
          <w:rFonts w:hint="eastAsia"/>
          <w:szCs w:val="21"/>
        </w:rPr>
        <w:t>招标文件要求且各投标人中最低的投标折扣率为评标基准价</w:t>
      </w:r>
      <w:r>
        <w:rPr>
          <w:szCs w:val="21"/>
        </w:rPr>
        <w:t>，其价格分为满分。</w:t>
      </w:r>
      <w:r>
        <w:rPr>
          <w:rFonts w:hint="eastAsia"/>
          <w:szCs w:val="21"/>
          <w:lang w:val="en-US" w:eastAsia="zh-CN"/>
        </w:rPr>
        <w:t>价格分的计算详见</w:t>
      </w:r>
      <w:r>
        <w:rPr>
          <w:rFonts w:hint="eastAsia"/>
          <w:szCs w:val="21"/>
        </w:rPr>
        <w:t>八、评分标准表</w:t>
      </w:r>
      <w:r>
        <w:rPr>
          <w:rFonts w:hint="eastAsia"/>
          <w:szCs w:val="21"/>
          <w:lang w:eastAsia="zh-CN"/>
        </w:rPr>
        <w:t>。</w:t>
      </w:r>
    </w:p>
    <w:p>
      <w:pPr>
        <w:spacing w:line="360" w:lineRule="auto"/>
        <w:ind w:firstLine="420" w:firstLineChars="200"/>
        <w:rPr>
          <w:rFonts w:hint="eastAsia"/>
          <w:szCs w:val="21"/>
        </w:rPr>
      </w:pPr>
      <w:r>
        <w:rPr>
          <w:rFonts w:hint="eastAsia"/>
          <w:szCs w:val="21"/>
        </w:rPr>
        <w:t>2、合格投标人评标综合得分=价格分+商务技术分。</w:t>
      </w:r>
    </w:p>
    <w:p>
      <w:pPr>
        <w:spacing w:line="360" w:lineRule="auto"/>
        <w:ind w:firstLine="420" w:firstLineChars="200"/>
        <w:rPr>
          <w:rFonts w:hint="eastAsia"/>
          <w:szCs w:val="21"/>
        </w:rPr>
      </w:pPr>
      <w:r>
        <w:rPr>
          <w:rFonts w:hint="eastAsia"/>
          <w:szCs w:val="21"/>
        </w:rPr>
        <w:t>3、报价要求：</w:t>
      </w:r>
      <w:r>
        <w:rPr>
          <w:rFonts w:hint="eastAsia"/>
          <w:szCs w:val="21"/>
          <w:lang w:val="en-US" w:eastAsia="zh-CN"/>
        </w:rPr>
        <w:t>详见开标一览表</w:t>
      </w:r>
      <w:r>
        <w:rPr>
          <w:rFonts w:hint="eastAsia"/>
          <w:szCs w:val="21"/>
        </w:rPr>
        <w:t>。</w:t>
      </w:r>
    </w:p>
    <w:p>
      <w:pPr>
        <w:spacing w:line="360" w:lineRule="auto"/>
        <w:ind w:firstLine="420" w:firstLineChars="200"/>
        <w:rPr>
          <w:kern w:val="0"/>
          <w:szCs w:val="21"/>
        </w:rPr>
      </w:pPr>
      <w:r>
        <w:rPr>
          <w:szCs w:val="21"/>
        </w:rPr>
        <w:t>4、</w:t>
      </w:r>
      <w:r>
        <w:rPr>
          <w:kern w:val="0"/>
          <w:szCs w:val="21"/>
        </w:rPr>
        <w:t>采用综合评分法的，评标结果按评审后得分由高到低顺序排列。得分相同的，按</w:t>
      </w:r>
      <w:r>
        <w:rPr>
          <w:rFonts w:hint="eastAsia"/>
          <w:kern w:val="0"/>
          <w:szCs w:val="21"/>
          <w:lang w:val="en-US" w:eastAsia="zh-CN"/>
        </w:rPr>
        <w:t>投标折扣率</w:t>
      </w:r>
      <w:r>
        <w:rPr>
          <w:kern w:val="0"/>
          <w:szCs w:val="21"/>
        </w:rPr>
        <w:t>由低到高顺序排列。得分且</w:t>
      </w:r>
      <w:r>
        <w:rPr>
          <w:rFonts w:hint="eastAsia"/>
          <w:kern w:val="0"/>
          <w:szCs w:val="21"/>
          <w:lang w:val="en-US" w:eastAsia="zh-CN"/>
        </w:rPr>
        <w:t>投标折扣率</w:t>
      </w:r>
      <w:r>
        <w:rPr>
          <w:kern w:val="0"/>
          <w:szCs w:val="21"/>
        </w:rPr>
        <w:t>相同的由</w:t>
      </w:r>
      <w:r>
        <w:rPr>
          <w:rFonts w:hint="eastAsia"/>
          <w:kern w:val="0"/>
          <w:szCs w:val="21"/>
          <w:lang w:val="en-US" w:eastAsia="zh-CN"/>
        </w:rPr>
        <w:t>招标人</w:t>
      </w:r>
      <w:r>
        <w:rPr>
          <w:kern w:val="0"/>
          <w:szCs w:val="21"/>
        </w:rPr>
        <w:t>抽签决定。投标文件满足招标文件全部实质性要求，且按照评审因素的量化指标评审得分最高的投标人为排名第一的中标候选人。</w:t>
      </w:r>
    </w:p>
    <w:p>
      <w:pPr>
        <w:spacing w:line="360" w:lineRule="auto"/>
        <w:ind w:firstLine="315" w:firstLineChars="150"/>
        <w:rPr>
          <w:szCs w:val="21"/>
        </w:rPr>
      </w:pPr>
      <w:r>
        <w:rPr>
          <w:szCs w:val="21"/>
        </w:rPr>
        <w:t>（三）</w:t>
      </w:r>
      <w:bookmarkStart w:id="292" w:name="_Toc481567079"/>
      <w:r>
        <w:rPr>
          <w:szCs w:val="21"/>
        </w:rPr>
        <w:t>投标文件的澄清</w:t>
      </w:r>
      <w:bookmarkEnd w:id="292"/>
    </w:p>
    <w:p>
      <w:pPr>
        <w:widowControl/>
        <w:spacing w:line="360" w:lineRule="auto"/>
        <w:ind w:firstLine="420" w:firstLineChars="200"/>
        <w:jc w:val="left"/>
        <w:rPr>
          <w:kern w:val="0"/>
          <w:szCs w:val="21"/>
        </w:rPr>
      </w:pPr>
      <w:r>
        <w:rPr>
          <w:szCs w:val="21"/>
        </w:rPr>
        <w:t>1、</w:t>
      </w:r>
      <w:r>
        <w:rPr>
          <w:kern w:val="0"/>
          <w:szCs w:val="21"/>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kern w:val="0"/>
          <w:szCs w:val="21"/>
        </w:rPr>
      </w:pPr>
      <w:r>
        <w:rPr>
          <w:szCs w:val="21"/>
        </w:rPr>
        <w:t>2、</w:t>
      </w:r>
      <w:r>
        <w:rPr>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20" w:firstLineChars="200"/>
        <w:rPr>
          <w:szCs w:val="21"/>
        </w:rPr>
      </w:pPr>
      <w:r>
        <w:rPr>
          <w:szCs w:val="21"/>
        </w:rPr>
        <w:t>（四）投标文件错误修正原则</w:t>
      </w:r>
    </w:p>
    <w:p>
      <w:pPr>
        <w:pStyle w:val="222"/>
        <w:widowControl/>
        <w:spacing w:beforeLines="0" w:afterLines="0" w:line="360" w:lineRule="auto"/>
        <w:ind w:left="689" w:leftChars="228" w:hanging="210" w:hangingChars="100"/>
        <w:jc w:val="left"/>
        <w:rPr>
          <w:rFonts w:ascii="Times New Roman" w:hAnsi="Times New Roman"/>
          <w:sz w:val="21"/>
          <w:szCs w:val="21"/>
        </w:rPr>
      </w:pPr>
      <w:r>
        <w:rPr>
          <w:rFonts w:ascii="Times New Roman" w:hAnsi="Times New Roman"/>
          <w:sz w:val="21"/>
          <w:szCs w:val="21"/>
        </w:rPr>
        <w:t>投标文件报价出现前后不一致的，除招标文件另有规定外，按照下列规定修正：</w:t>
      </w:r>
    </w:p>
    <w:p>
      <w:pPr>
        <w:widowControl/>
        <w:numPr>
          <w:ilvl w:val="0"/>
          <w:numId w:val="15"/>
        </w:numPr>
        <w:spacing w:line="360" w:lineRule="auto"/>
        <w:ind w:firstLine="420" w:firstLineChars="200"/>
        <w:jc w:val="left"/>
        <w:rPr>
          <w:szCs w:val="21"/>
        </w:rPr>
      </w:pPr>
      <w:r>
        <w:rPr>
          <w:szCs w:val="21"/>
        </w:rPr>
        <w:t>投标文件中开标一览表（报价表）内容与投标文件中相应内容不一致的，以开标一览表（报价表）为准；</w:t>
      </w:r>
    </w:p>
    <w:p>
      <w:pPr>
        <w:widowControl/>
        <w:numPr>
          <w:ilvl w:val="0"/>
          <w:numId w:val="15"/>
        </w:numPr>
        <w:spacing w:line="360" w:lineRule="auto"/>
        <w:ind w:firstLine="420" w:firstLineChars="200"/>
        <w:jc w:val="left"/>
        <w:rPr>
          <w:szCs w:val="21"/>
        </w:rPr>
      </w:pPr>
      <w:r>
        <w:rPr>
          <w:szCs w:val="21"/>
        </w:rPr>
        <w:t>大写金额和小写金额不一致的，以大写金额为准；</w:t>
      </w:r>
    </w:p>
    <w:p>
      <w:pPr>
        <w:widowControl/>
        <w:numPr>
          <w:ilvl w:val="0"/>
          <w:numId w:val="15"/>
        </w:numPr>
        <w:spacing w:line="360" w:lineRule="auto"/>
        <w:ind w:firstLine="420" w:firstLineChars="200"/>
        <w:jc w:val="left"/>
        <w:rPr>
          <w:szCs w:val="21"/>
        </w:rPr>
      </w:pPr>
      <w:r>
        <w:rPr>
          <w:szCs w:val="21"/>
        </w:rPr>
        <w:t>单价金额小数点或者百分比有明显错位的，以开标一览表的总价为准，并修改单价；</w:t>
      </w:r>
    </w:p>
    <w:p>
      <w:pPr>
        <w:widowControl/>
        <w:numPr>
          <w:ilvl w:val="0"/>
          <w:numId w:val="15"/>
        </w:numPr>
        <w:spacing w:line="360" w:lineRule="auto"/>
        <w:ind w:firstLine="420" w:firstLineChars="200"/>
        <w:jc w:val="both"/>
        <w:rPr>
          <w:szCs w:val="21"/>
        </w:rPr>
      </w:pPr>
      <w:r>
        <w:rPr>
          <w:szCs w:val="21"/>
        </w:rPr>
        <w:t>总价金额与按单价汇总金额不一致的，以单价金额计算结果为准；</w:t>
      </w:r>
    </w:p>
    <w:p>
      <w:pPr>
        <w:widowControl/>
        <w:numPr>
          <w:ilvl w:val="0"/>
          <w:numId w:val="15"/>
        </w:numPr>
        <w:spacing w:line="360" w:lineRule="auto"/>
        <w:ind w:firstLine="420" w:firstLineChars="200"/>
        <w:jc w:val="both"/>
        <w:rPr>
          <w:szCs w:val="21"/>
        </w:rPr>
      </w:pPr>
      <w:r>
        <w:rPr>
          <w:szCs w:val="21"/>
        </w:rPr>
        <w:t>政采云平台填报的开标一览表中的</w:t>
      </w:r>
      <w:r>
        <w:rPr>
          <w:rFonts w:hint="eastAsia"/>
          <w:szCs w:val="21"/>
          <w:lang w:val="en-US" w:eastAsia="zh-CN"/>
        </w:rPr>
        <w:t>折扣率</w:t>
      </w:r>
      <w:r>
        <w:rPr>
          <w:szCs w:val="21"/>
        </w:rPr>
        <w:t>与上传的报价文件中开标一览表的</w:t>
      </w:r>
      <w:r>
        <w:rPr>
          <w:rFonts w:hint="eastAsia"/>
          <w:szCs w:val="21"/>
          <w:lang w:val="en-US" w:eastAsia="zh-CN"/>
        </w:rPr>
        <w:t>折扣率</w:t>
      </w:r>
      <w:r>
        <w:rPr>
          <w:szCs w:val="21"/>
        </w:rPr>
        <w:t>不一致的，以上传的报价文件为准。</w:t>
      </w:r>
    </w:p>
    <w:p>
      <w:pPr>
        <w:pStyle w:val="222"/>
        <w:widowControl/>
        <w:spacing w:beforeLines="0" w:afterLines="0" w:line="360" w:lineRule="auto"/>
        <w:ind w:firstLine="422" w:firstLineChars="200"/>
        <w:jc w:val="left"/>
        <w:rPr>
          <w:rFonts w:ascii="Times New Roman" w:hAnsi="Times New Roman"/>
          <w:sz w:val="21"/>
          <w:szCs w:val="21"/>
        </w:rPr>
      </w:pPr>
      <w:r>
        <w:rPr>
          <w:rFonts w:ascii="Times New Roman" w:hAnsi="Times New Roman"/>
          <w:b/>
          <w:bCs/>
          <w:sz w:val="21"/>
          <w:szCs w:val="21"/>
        </w:rPr>
        <w:t>同时出现两种以上不一致的，按照前款规定的顺序修正。修正后的报价经投标人确认后具有约束力，若投标人不确认的，则其投标无效。</w:t>
      </w:r>
    </w:p>
    <w:p>
      <w:pPr>
        <w:pStyle w:val="36"/>
        <w:spacing w:before="120" w:beforeLines="50" w:after="120" w:afterLines="50" w:line="360" w:lineRule="auto"/>
        <w:ind w:firstLine="413" w:firstLineChars="196"/>
        <w:jc w:val="left"/>
        <w:rPr>
          <w:rFonts w:ascii="Times New Roman" w:hAnsi="Times New Roman"/>
          <w:sz w:val="21"/>
          <w:szCs w:val="21"/>
        </w:rPr>
      </w:pPr>
      <w:bookmarkStart w:id="293" w:name="_Toc481567077"/>
      <w:bookmarkStart w:id="294" w:name="_Toc493058318"/>
      <w:bookmarkStart w:id="295" w:name="_Toc495957616"/>
      <w:bookmarkStart w:id="296" w:name="_Toc103878833"/>
      <w:bookmarkStart w:id="297" w:name="_Toc19204"/>
      <w:bookmarkStart w:id="298" w:name="_Toc29716"/>
      <w:bookmarkStart w:id="299" w:name="_Toc17707957"/>
      <w:bookmarkStart w:id="300" w:name="_Toc51446758"/>
      <w:r>
        <w:rPr>
          <w:rFonts w:ascii="Times New Roman" w:hAnsi="Times New Roman"/>
          <w:sz w:val="21"/>
          <w:szCs w:val="21"/>
        </w:rPr>
        <w:t>四、评标</w:t>
      </w:r>
      <w:bookmarkEnd w:id="277"/>
      <w:bookmarkEnd w:id="278"/>
      <w:bookmarkEnd w:id="293"/>
      <w:bookmarkEnd w:id="294"/>
      <w:bookmarkEnd w:id="295"/>
      <w:r>
        <w:rPr>
          <w:rFonts w:ascii="Times New Roman" w:hAnsi="Times New Roman"/>
          <w:sz w:val="21"/>
          <w:szCs w:val="21"/>
        </w:rPr>
        <w:t>过程</w:t>
      </w:r>
      <w:bookmarkEnd w:id="296"/>
      <w:bookmarkEnd w:id="297"/>
      <w:bookmarkEnd w:id="298"/>
      <w:bookmarkEnd w:id="299"/>
      <w:bookmarkEnd w:id="300"/>
    </w:p>
    <w:p>
      <w:pPr>
        <w:pStyle w:val="28"/>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1.资格审查</w:t>
      </w:r>
    </w:p>
    <w:p>
      <w:pPr>
        <w:pStyle w:val="28"/>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采购代理机构对投标人的资格进行审查。依据法律法规和招标文件的规定，对投标文件中的资格证明进行审查，以确定投标人是否具备投标资格。</w:t>
      </w:r>
    </w:p>
    <w:p>
      <w:pPr>
        <w:pStyle w:val="28"/>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2.符合性审查</w:t>
      </w:r>
    </w:p>
    <w:p>
      <w:pPr>
        <w:spacing w:line="360" w:lineRule="auto"/>
        <w:ind w:firstLine="420" w:firstLineChars="200"/>
        <w:rPr>
          <w:szCs w:val="21"/>
        </w:rPr>
      </w:pPr>
      <w:r>
        <w:rPr>
          <w:szCs w:val="21"/>
        </w:rPr>
        <w:t>依据招标文件的规定，从投标人投标文件的有效性、完整性和对招标文件的响应程度进行审查，以确定是否对招标文件的实质性要求作出响应。</w:t>
      </w:r>
    </w:p>
    <w:p>
      <w:pPr>
        <w:pStyle w:val="28"/>
        <w:spacing w:line="360" w:lineRule="auto"/>
        <w:ind w:left="473" w:firstLine="0" w:firstLineChars="0"/>
        <w:rPr>
          <w:rFonts w:ascii="Times New Roman" w:hAnsi="Times New Roman"/>
          <w:b w:val="0"/>
          <w:bCs w:val="0"/>
          <w:color w:val="auto"/>
          <w:sz w:val="21"/>
          <w:szCs w:val="21"/>
        </w:rPr>
      </w:pPr>
      <w:r>
        <w:rPr>
          <w:rFonts w:ascii="Times New Roman" w:hAnsi="Times New Roman"/>
          <w:b w:val="0"/>
          <w:bCs w:val="0"/>
          <w:color w:val="auto"/>
          <w:sz w:val="21"/>
          <w:szCs w:val="21"/>
        </w:rPr>
        <w:t>3.澄清问题</w:t>
      </w:r>
    </w:p>
    <w:p>
      <w:pPr>
        <w:pStyle w:val="28"/>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对于投标文件中含义不明确、同类问题表述不一致或者有明显文字和计算错误的内容，评标委员会可要求投标人以书面形式作出必要的澄清、说明或者补正。</w:t>
      </w:r>
    </w:p>
    <w:p>
      <w:pPr>
        <w:pStyle w:val="28"/>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投标人的澄清、说明或者补正应当采用书面形式，并加盖公章，或者由法定代表人或其授权代表签字确认，投标人的澄清、说明或者补正不得超出投标文件的范围或者改变投标文件的实质性内容。</w:t>
      </w:r>
    </w:p>
    <w:p>
      <w:pPr>
        <w:pStyle w:val="28"/>
        <w:spacing w:line="360" w:lineRule="auto"/>
        <w:ind w:left="473" w:firstLine="0" w:firstLineChars="0"/>
        <w:rPr>
          <w:rFonts w:ascii="Times New Roman" w:hAnsi="Times New Roman"/>
          <w:b w:val="0"/>
          <w:bCs w:val="0"/>
          <w:color w:val="auto"/>
          <w:sz w:val="21"/>
          <w:szCs w:val="21"/>
        </w:rPr>
      </w:pPr>
      <w:r>
        <w:rPr>
          <w:rFonts w:ascii="Times New Roman" w:hAnsi="Times New Roman"/>
          <w:b w:val="0"/>
          <w:bCs w:val="0"/>
          <w:color w:val="auto"/>
          <w:sz w:val="21"/>
          <w:szCs w:val="21"/>
        </w:rPr>
        <w:t>4.详细评审</w:t>
      </w:r>
    </w:p>
    <w:p>
      <w:pPr>
        <w:pStyle w:val="28"/>
        <w:spacing w:line="360" w:lineRule="auto"/>
        <w:ind w:firstLine="420" w:firstLineChars="200"/>
        <w:rPr>
          <w:rFonts w:ascii="Times New Roman" w:hAnsi="Times New Roman"/>
          <w:b w:val="0"/>
          <w:bCs w:val="0"/>
          <w:color w:val="auto"/>
          <w:sz w:val="21"/>
          <w:szCs w:val="21"/>
        </w:rPr>
      </w:pPr>
      <w:r>
        <w:rPr>
          <w:rFonts w:ascii="Times New Roman" w:hAnsi="Times New Roman"/>
          <w:b w:val="0"/>
          <w:bCs w:val="0"/>
          <w:color w:val="auto"/>
          <w:sz w:val="21"/>
          <w:szCs w:val="21"/>
        </w:rPr>
        <w:t>评标委员会对通过符合性审查的投标文件，依照本办法对技术、商务内容作进一步评审、比较。评标委员会成员经过阅标、审标和询标，对各投标人进行综合打分。</w:t>
      </w:r>
    </w:p>
    <w:p>
      <w:pPr>
        <w:widowControl/>
        <w:spacing w:line="360" w:lineRule="auto"/>
        <w:ind w:firstLine="420" w:firstLineChars="200"/>
        <w:jc w:val="left"/>
        <w:rPr>
          <w:szCs w:val="21"/>
        </w:rPr>
      </w:pPr>
      <w:r>
        <w:rPr>
          <w:szCs w:val="21"/>
        </w:rPr>
        <w:t>评委打分参照本部分附表：评分标准表。商务技术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auto"/>
        <w:ind w:firstLine="420" w:firstLineChars="200"/>
        <w:jc w:val="left"/>
        <w:rPr>
          <w:szCs w:val="21"/>
        </w:rPr>
      </w:pPr>
      <w:r>
        <w:rPr>
          <w:szCs w:val="21"/>
        </w:rPr>
        <w:t>注：评标委员会认为投标文件无效的，应组织相关投标人代表进行陈述、澄清或申辩。</w:t>
      </w:r>
    </w:p>
    <w:p>
      <w:pPr>
        <w:widowControl/>
        <w:spacing w:line="360" w:lineRule="auto"/>
        <w:ind w:firstLine="422" w:firstLineChars="200"/>
        <w:jc w:val="left"/>
        <w:rPr>
          <w:b/>
          <w:bCs/>
          <w:szCs w:val="21"/>
        </w:rPr>
      </w:pPr>
      <w:r>
        <w:rPr>
          <w:b/>
          <w:bCs/>
          <w:szCs w:val="21"/>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widowControl/>
        <w:spacing w:line="360" w:lineRule="auto"/>
        <w:ind w:firstLine="420" w:firstLineChars="200"/>
        <w:jc w:val="left"/>
        <w:rPr>
          <w:szCs w:val="21"/>
        </w:rPr>
      </w:pPr>
      <w:r>
        <w:rPr>
          <w:szCs w:val="21"/>
        </w:rPr>
        <w:t>采购代理机构可协助评标委员会主任评委对打分结果进行校对、核对并汇总统计；对明显畸高、畸低的评分（评标委员会成员个人主观打分偏离所有评审小组成员主观打分平均值30%以上的），评标委员会主任评委应提醒相关评标委员会成员进行复核或书面说明理由，评标委员会成员拒绝说明的，由现场监督员据实记录；评标委员会成员的评审、修改记录应保留原件，随项目其他资料一并存档。</w:t>
      </w:r>
    </w:p>
    <w:p>
      <w:pPr>
        <w:widowControl/>
        <w:spacing w:line="360" w:lineRule="auto"/>
        <w:ind w:firstLine="420" w:firstLineChars="200"/>
        <w:jc w:val="left"/>
        <w:rPr>
          <w:szCs w:val="21"/>
        </w:rPr>
      </w:pPr>
      <w:r>
        <w:rPr>
          <w:rFonts w:hint="eastAsia"/>
          <w:szCs w:val="21"/>
          <w:lang w:val="en-US" w:eastAsia="zh-CN"/>
        </w:rPr>
        <w:t>5.</w:t>
      </w:r>
      <w:r>
        <w:rPr>
          <w:szCs w:val="21"/>
        </w:rPr>
        <w:t>中标原则</w:t>
      </w:r>
    </w:p>
    <w:p>
      <w:pPr>
        <w:widowControl/>
        <w:spacing w:line="360" w:lineRule="auto"/>
        <w:ind w:firstLine="420" w:firstLineChars="200"/>
        <w:jc w:val="left"/>
        <w:rPr>
          <w:szCs w:val="21"/>
          <w:highlight w:val="green"/>
        </w:rPr>
      </w:pPr>
      <w:r>
        <w:rPr>
          <w:rFonts w:hint="eastAsia"/>
          <w:szCs w:val="21"/>
        </w:rPr>
        <w:t>按评审后得分由高到低顺序排列。得分相同的，按投标折扣率由低到高顺序排列。得分且投标折扣率相同的由招标人抽签决定。投标文件满足招标文件全部实质性要求，且按照评审因素的量化指标评审得分最高的投标人为排名第一的中标候选人。评标过程中出现本招标文件未尽事宜，则由评标委员会讨论决定。</w:t>
      </w:r>
    </w:p>
    <w:p>
      <w:pPr>
        <w:widowControl/>
        <w:spacing w:line="360" w:lineRule="auto"/>
        <w:ind w:firstLine="420" w:firstLineChars="200"/>
        <w:jc w:val="left"/>
        <w:rPr>
          <w:szCs w:val="21"/>
        </w:rPr>
      </w:pPr>
      <w:r>
        <w:rPr>
          <w:szCs w:val="21"/>
        </w:rPr>
        <w:t>6.中标结果</w:t>
      </w:r>
    </w:p>
    <w:p>
      <w:pPr>
        <w:spacing w:line="360" w:lineRule="auto"/>
        <w:ind w:firstLine="420" w:firstLineChars="200"/>
        <w:rPr>
          <w:szCs w:val="21"/>
        </w:rPr>
      </w:pPr>
      <w:r>
        <w:rPr>
          <w:szCs w:val="21"/>
        </w:rPr>
        <w:t>采购代理机构将中标结果在政府采购指定媒体上公示，并中标人发出中标通知书。</w:t>
      </w:r>
    </w:p>
    <w:p>
      <w:pPr>
        <w:rPr>
          <w:rFonts w:ascii="Times New Roman" w:hAnsi="Times New Roman"/>
          <w:sz w:val="21"/>
          <w:szCs w:val="21"/>
        </w:rPr>
      </w:pPr>
      <w:bookmarkStart w:id="301" w:name="_Toc17707958"/>
      <w:bookmarkStart w:id="302" w:name="_Toc103878834"/>
      <w:bookmarkStart w:id="303" w:name="_Toc51446759"/>
      <w:r>
        <w:rPr>
          <w:rFonts w:ascii="Times New Roman" w:hAnsi="Times New Roman"/>
          <w:sz w:val="21"/>
          <w:szCs w:val="21"/>
        </w:rPr>
        <w:br w:type="page"/>
      </w:r>
    </w:p>
    <w:p>
      <w:pPr>
        <w:pStyle w:val="36"/>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ind w:firstLine="413" w:firstLineChars="196"/>
        <w:jc w:val="left"/>
        <w:textAlignment w:val="auto"/>
        <w:rPr>
          <w:rFonts w:ascii="Times New Roman" w:hAnsi="Times New Roman" w:eastAsia="宋体" w:cs="Times New Roman"/>
          <w:sz w:val="21"/>
          <w:szCs w:val="21"/>
        </w:rPr>
      </w:pPr>
      <w:bookmarkStart w:id="304" w:name="_Toc15072"/>
      <w:bookmarkStart w:id="305" w:name="_Toc12567"/>
      <w:r>
        <w:rPr>
          <w:rFonts w:ascii="Times New Roman" w:hAnsi="Times New Roman" w:eastAsia="宋体" w:cs="Times New Roman"/>
          <w:sz w:val="21"/>
          <w:szCs w:val="21"/>
        </w:rPr>
        <w:t>五、资格条件审查</w:t>
      </w:r>
      <w:bookmarkEnd w:id="301"/>
      <w:bookmarkEnd w:id="302"/>
      <w:bookmarkEnd w:id="303"/>
      <w:bookmarkEnd w:id="304"/>
      <w:bookmarkEnd w:id="305"/>
    </w:p>
    <w:p>
      <w:pPr>
        <w:spacing w:line="360" w:lineRule="auto"/>
        <w:ind w:firstLine="522" w:firstLineChars="249"/>
        <w:rPr>
          <w:szCs w:val="21"/>
        </w:rPr>
      </w:pPr>
      <w:r>
        <w:rPr>
          <w:szCs w:val="21"/>
        </w:rPr>
        <w:t>由招标人或代理机构对投标人的资格进行审查。</w:t>
      </w:r>
    </w:p>
    <w:tbl>
      <w:tblPr>
        <w:tblStyle w:val="48"/>
        <w:tblW w:w="8547"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szCs w:val="21"/>
              </w:rPr>
            </w:pPr>
            <w:r>
              <w:rPr>
                <w:b/>
                <w:bCs/>
                <w:szCs w:val="21"/>
              </w:rPr>
              <w:t>审查类别</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szCs w:val="21"/>
              </w:rPr>
            </w:pPr>
            <w:r>
              <w:rPr>
                <w:b/>
                <w:bCs/>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1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Cs w:val="21"/>
              </w:rPr>
            </w:pPr>
            <w:r>
              <w:rPr>
                <w:szCs w:val="21"/>
              </w:rPr>
              <w:t>资格条件审查</w:t>
            </w: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Cs w:val="21"/>
              </w:rPr>
            </w:pPr>
            <w:r>
              <w:rPr>
                <w:szCs w:val="21"/>
              </w:rPr>
              <w:t>（</w:t>
            </w:r>
            <w:r>
              <w:rPr>
                <w:rFonts w:hint="eastAsia"/>
                <w:szCs w:val="21"/>
                <w:lang w:val="en-US" w:eastAsia="zh-CN"/>
              </w:rPr>
              <w:t>一</w:t>
            </w:r>
            <w:r>
              <w:rPr>
                <w:szCs w:val="21"/>
              </w:rPr>
              <w:t>）</w:t>
            </w:r>
            <w:r>
              <w:rPr>
                <w:rFonts w:hint="eastAsia"/>
                <w:szCs w:val="21"/>
              </w:rPr>
              <w:t>满足《中华人民共和国政府采购法》第二十二条规定；未被“信用中国”（www.creditchina.gov.cn)、中国政府采购网（www.ccgp.gov.cn）列入失信被执行人、重大税收违法失信主体、政府采购严重违法失信行为记录名单。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Cs w:val="21"/>
                <w:lang w:eastAsia="zh-CN"/>
              </w:rPr>
            </w:pPr>
            <w:r>
              <w:rPr>
                <w:szCs w:val="21"/>
              </w:rPr>
              <w:t>（以采购代理机构于投标截止日当天在“信用中国”网站（www.creditchina.gov.cn）及中国政府采购网查询结果为准，</w:t>
            </w:r>
            <w:r>
              <w:rPr>
                <w:rFonts w:hint="eastAsia"/>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2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Cs w:val="21"/>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Cs w:val="21"/>
              </w:rPr>
            </w:pPr>
            <w:r>
              <w:rPr>
                <w:szCs w:val="21"/>
              </w:rPr>
              <w:t>（二）单位负责人为同一人或者存在直接控股、管理关系的不同投标人，不得参加同一合同项下的政府采购活动。除单一来源采购项目外，为采购项目提供整体设计、规范编制或者项目管理、监理、检测等服务的投标单位，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Cs w:val="21"/>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w:t>
            </w:r>
            <w:r>
              <w:rPr>
                <w:rFonts w:hint="eastAsia"/>
                <w:szCs w:val="21"/>
                <w:lang w:val="en-US" w:eastAsia="zh-CN"/>
              </w:rPr>
              <w:t>三</w:t>
            </w:r>
            <w:r>
              <w:rPr>
                <w:szCs w:val="21"/>
              </w:rPr>
              <w:t>）落实政府采购政策需满足的资格要求</w:t>
            </w:r>
            <w:r>
              <w:rPr>
                <w:rFonts w:hint="eastAsia"/>
                <w:szCs w:val="21"/>
                <w:lang w:eastAsia="zh-CN"/>
              </w:rPr>
              <w:t>（</w:t>
            </w:r>
            <w:r>
              <w:rPr>
                <w:rFonts w:hint="eastAsia"/>
                <w:szCs w:val="21"/>
                <w:lang w:val="en-US" w:eastAsia="zh-CN"/>
              </w:rPr>
              <w:t>如有</w:t>
            </w:r>
            <w:r>
              <w:rPr>
                <w:rFonts w:hint="eastAsia"/>
                <w:szCs w:val="21"/>
                <w:lang w:eastAsia="zh-CN"/>
              </w:rPr>
              <w:t>）</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Cs w:val="21"/>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Cs w:val="21"/>
              </w:rPr>
            </w:pPr>
            <w:r>
              <w:rPr>
                <w:szCs w:val="21"/>
              </w:rPr>
              <w:t>（</w:t>
            </w:r>
            <w:r>
              <w:rPr>
                <w:rFonts w:hint="eastAsia"/>
                <w:szCs w:val="21"/>
                <w:lang w:val="en-US" w:eastAsia="zh-CN"/>
              </w:rPr>
              <w:t>四</w:t>
            </w:r>
            <w:r>
              <w:rPr>
                <w:szCs w:val="21"/>
              </w:rPr>
              <w:t>）特定的资格条件</w:t>
            </w:r>
            <w:r>
              <w:rPr>
                <w:rFonts w:hint="eastAsia"/>
                <w:szCs w:val="21"/>
                <w:lang w:eastAsia="zh-CN"/>
              </w:rPr>
              <w:t>（</w:t>
            </w:r>
            <w:r>
              <w:rPr>
                <w:rFonts w:hint="eastAsia"/>
                <w:szCs w:val="21"/>
                <w:lang w:val="en-US" w:eastAsia="zh-CN"/>
              </w:rPr>
              <w:t>如有</w:t>
            </w:r>
            <w:r>
              <w:rPr>
                <w:rFonts w:hint="eastAsia"/>
                <w:szCs w:val="21"/>
                <w:lang w:eastAsia="zh-CN"/>
              </w:rPr>
              <w:t>）</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Cs w:val="21"/>
              </w:rPr>
            </w:pPr>
          </w:p>
        </w:tc>
        <w:tc>
          <w:tcPr>
            <w:tcW w:w="73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Cs w:val="21"/>
              </w:rPr>
            </w:pPr>
            <w:r>
              <w:rPr>
                <w:szCs w:val="21"/>
              </w:rPr>
              <w:t>（</w:t>
            </w:r>
            <w:r>
              <w:rPr>
                <w:rFonts w:hint="eastAsia"/>
                <w:szCs w:val="21"/>
                <w:lang w:val="en-US" w:eastAsia="zh-CN"/>
              </w:rPr>
              <w:t>五</w:t>
            </w:r>
            <w:r>
              <w:rPr>
                <w:szCs w:val="21"/>
              </w:rPr>
              <w:t>）本项目不接受联合体投标。</w:t>
            </w:r>
          </w:p>
        </w:tc>
      </w:tr>
    </w:tbl>
    <w:p>
      <w:bookmarkStart w:id="306" w:name="_Toc103878835"/>
      <w:bookmarkStart w:id="307" w:name="_Toc17707959"/>
      <w:bookmarkStart w:id="308" w:name="_Toc51446760"/>
    </w:p>
    <w:p>
      <w:pPr>
        <w:pStyle w:val="36"/>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ind w:firstLine="413" w:firstLineChars="196"/>
        <w:jc w:val="left"/>
        <w:textAlignment w:val="auto"/>
        <w:rPr>
          <w:rFonts w:ascii="Times New Roman" w:hAnsi="Times New Roman"/>
          <w:sz w:val="21"/>
          <w:szCs w:val="21"/>
        </w:rPr>
      </w:pPr>
      <w:bookmarkStart w:id="309" w:name="_Toc25028"/>
      <w:bookmarkStart w:id="310" w:name="_Toc9827"/>
      <w:r>
        <w:rPr>
          <w:rFonts w:ascii="Times New Roman" w:hAnsi="Times New Roman"/>
          <w:sz w:val="21"/>
          <w:szCs w:val="21"/>
        </w:rPr>
        <w:t>六、符合性审查</w:t>
      </w:r>
      <w:bookmarkEnd w:id="306"/>
      <w:bookmarkEnd w:id="307"/>
      <w:bookmarkEnd w:id="308"/>
      <w:bookmarkEnd w:id="309"/>
      <w:bookmarkEnd w:id="310"/>
    </w:p>
    <w:p>
      <w:pPr>
        <w:spacing w:line="360" w:lineRule="auto"/>
        <w:ind w:firstLine="420" w:firstLineChars="200"/>
        <w:rPr>
          <w:szCs w:val="21"/>
        </w:rPr>
      </w:pPr>
      <w:r>
        <w:rPr>
          <w:kern w:val="0"/>
          <w:szCs w:val="21"/>
        </w:rPr>
        <w:t>评标委员会应当对符合资格的投标人的投标文件进行符合性审查，以确定其是否满足招标文件的实质性要求。</w:t>
      </w:r>
    </w:p>
    <w:tbl>
      <w:tblPr>
        <w:tblStyle w:val="48"/>
        <w:tblW w:w="8700" w:type="dxa"/>
        <w:tblInd w:w="56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84"/>
        <w:gridCol w:w="74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szCs w:val="21"/>
              </w:rPr>
            </w:pPr>
            <w:r>
              <w:rPr>
                <w:rFonts w:ascii="Times New Roman" w:hAnsi="Times New Roman" w:eastAsia="宋体" w:cs="Times New Roman"/>
                <w:b/>
                <w:bCs/>
                <w:szCs w:val="21"/>
              </w:rPr>
              <w:t>审查类别</w:t>
            </w:r>
          </w:p>
        </w:tc>
        <w:tc>
          <w:tcPr>
            <w:tcW w:w="74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szCs w:val="21"/>
              </w:rPr>
            </w:pPr>
            <w:r>
              <w:rPr>
                <w:rFonts w:ascii="Times New Roman" w:hAnsi="Times New Roman" w:eastAsia="宋体" w:cs="Times New Roman"/>
                <w:b/>
                <w:bCs/>
                <w:szCs w:val="21"/>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8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Cs w:val="21"/>
              </w:rPr>
            </w:pPr>
            <w:r>
              <w:rPr>
                <w:szCs w:val="21"/>
              </w:rPr>
              <w:t>符合性审查</w:t>
            </w:r>
          </w:p>
        </w:tc>
        <w:tc>
          <w:tcPr>
            <w:tcW w:w="741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按招标文件要求签署、签章。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84"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c>
          <w:tcPr>
            <w:tcW w:w="741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投标有效期满足招标文件要求。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84"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c>
          <w:tcPr>
            <w:tcW w:w="741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符合招标文件要求的，未发生与招标文件中标注“</w:t>
            </w:r>
            <w:r>
              <w:rPr>
                <w:rFonts w:hint="eastAsia"/>
                <w:szCs w:val="21"/>
                <w:lang w:val="en-US" w:eastAsia="zh-CN"/>
              </w:rPr>
              <w:t xml:space="preserve"> </w:t>
            </w:r>
            <w:r>
              <w:rPr>
                <w:rFonts w:hint="eastAsia"/>
                <w:szCs w:val="21"/>
                <w:lang w:eastAsia="zh-CN"/>
              </w:rPr>
              <w:t>▲</w:t>
            </w:r>
            <w:r>
              <w:rPr>
                <w:rFonts w:hint="eastAsia"/>
                <w:szCs w:val="21"/>
                <w:lang w:val="en-US" w:eastAsia="zh-CN"/>
              </w:rPr>
              <w:t xml:space="preserve"> </w:t>
            </w:r>
            <w:r>
              <w:rPr>
                <w:szCs w:val="21"/>
              </w:rPr>
              <w:t>”的条款实质性偏离的。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84"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c>
          <w:tcPr>
            <w:tcW w:w="741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不含有采购人不能接受的附加条件。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84"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c>
          <w:tcPr>
            <w:tcW w:w="741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委托人提供法定代表人授权委托书或填写项目齐全。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84"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c>
          <w:tcPr>
            <w:tcW w:w="741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投标文件格式规范、提供资料齐全或者未提供虚假内容。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84"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c>
          <w:tcPr>
            <w:tcW w:w="741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投标文件的实质性内容使用中文表述、表述明确、前后不矛盾或者使用计量单位符合招标文件要求的（经评标委员会认定并允许其当场更正的笔误除外）。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84"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c>
          <w:tcPr>
            <w:tcW w:w="741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投标文件的关键内容字迹清晰、易辨认的，或者投标文件中经修正的内容字迹易辩认或者修改处按规定签署、盖章。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84"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c>
          <w:tcPr>
            <w:tcW w:w="741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未发现法律、法规和招标文件规定的其他无效情形。</w:t>
            </w:r>
          </w:p>
        </w:tc>
      </w:tr>
    </w:tbl>
    <w:p>
      <w:pPr>
        <w:pStyle w:val="36"/>
        <w:spacing w:before="120" w:beforeLines="50" w:after="120" w:afterLines="50" w:line="360" w:lineRule="auto"/>
        <w:ind w:firstLine="413" w:firstLineChars="196"/>
        <w:jc w:val="left"/>
        <w:rPr>
          <w:rFonts w:hint="default" w:ascii="Times New Roman" w:hAnsi="Times New Roman" w:eastAsia="宋体"/>
          <w:sz w:val="21"/>
          <w:szCs w:val="21"/>
          <w:lang w:val="en-US" w:eastAsia="zh-CN"/>
        </w:rPr>
      </w:pPr>
      <w:bookmarkStart w:id="311" w:name="_Toc103878836"/>
      <w:bookmarkStart w:id="312" w:name="_Toc249866767"/>
      <w:bookmarkStart w:id="313" w:name="_Toc17707960"/>
      <w:bookmarkStart w:id="314" w:name="_Toc51446761"/>
      <w:bookmarkStart w:id="315" w:name="_Toc259108323"/>
      <w:bookmarkStart w:id="316" w:name="_Toc22370"/>
      <w:bookmarkStart w:id="317" w:name="_Toc8499"/>
      <w:r>
        <w:rPr>
          <w:rFonts w:ascii="Times New Roman" w:hAnsi="Times New Roman"/>
          <w:sz w:val="21"/>
          <w:szCs w:val="21"/>
        </w:rPr>
        <w:t>七、投标无效的情形</w:t>
      </w:r>
      <w:bookmarkEnd w:id="311"/>
      <w:bookmarkEnd w:id="312"/>
      <w:bookmarkEnd w:id="313"/>
      <w:bookmarkEnd w:id="314"/>
      <w:bookmarkEnd w:id="315"/>
      <w:r>
        <w:rPr>
          <w:rFonts w:hint="eastAsia" w:ascii="Times New Roman" w:hAnsi="Times New Roman"/>
          <w:sz w:val="21"/>
          <w:szCs w:val="21"/>
          <w:lang w:eastAsia="zh-CN"/>
        </w:rPr>
        <w:t>、</w:t>
      </w:r>
      <w:r>
        <w:rPr>
          <w:rFonts w:hint="eastAsia" w:ascii="Times New Roman" w:hAnsi="Times New Roman"/>
          <w:sz w:val="21"/>
          <w:szCs w:val="21"/>
          <w:lang w:val="en-US" w:eastAsia="zh-CN"/>
        </w:rPr>
        <w:t>废标的情形</w:t>
      </w:r>
      <w:bookmarkEnd w:id="316"/>
      <w:bookmarkEnd w:id="317"/>
    </w:p>
    <w:p>
      <w:pPr>
        <w:spacing w:line="360" w:lineRule="auto"/>
        <w:ind w:firstLine="422" w:firstLineChars="200"/>
        <w:rPr>
          <w:rFonts w:hint="eastAsia" w:eastAsia="宋体"/>
          <w:b/>
          <w:szCs w:val="21"/>
          <w:lang w:eastAsia="zh-CN"/>
        </w:rPr>
      </w:pPr>
      <w:r>
        <w:rPr>
          <w:rFonts w:hint="eastAsia"/>
          <w:b/>
          <w:szCs w:val="21"/>
        </w:rPr>
        <w:t>投标无效的情形</w:t>
      </w:r>
      <w:r>
        <w:rPr>
          <w:rFonts w:hint="eastAsia"/>
          <w:b/>
          <w:szCs w:val="21"/>
          <w:lang w:eastAsia="zh-CN"/>
        </w:rPr>
        <w:t>：</w:t>
      </w:r>
    </w:p>
    <w:p>
      <w:pPr>
        <w:spacing w:line="360" w:lineRule="auto"/>
        <w:ind w:firstLine="422" w:firstLineChars="200"/>
        <w:rPr>
          <w:b/>
          <w:szCs w:val="21"/>
        </w:rPr>
      </w:pPr>
      <w:r>
        <w:rPr>
          <w:b/>
          <w:szCs w:val="21"/>
        </w:rPr>
        <w:t>没有响应招标文件实质性要求的投标将被视为无效投标。投标人不得通过修正或撤消不合要求的偏离或保留从而使其投标成为实质上响应的投标。</w:t>
      </w:r>
    </w:p>
    <w:p>
      <w:pPr>
        <w:pStyle w:val="20"/>
        <w:widowControl/>
        <w:spacing w:line="360" w:lineRule="auto"/>
        <w:ind w:firstLine="398" w:firstLineChars="196"/>
        <w:jc w:val="left"/>
        <w:rPr>
          <w:rFonts w:ascii="Times New Roman"/>
          <w:b/>
          <w:bCs/>
          <w:sz w:val="21"/>
          <w:szCs w:val="21"/>
        </w:rPr>
      </w:pPr>
      <w:r>
        <w:rPr>
          <w:rFonts w:ascii="Times New Roman"/>
          <w:b/>
          <w:bCs/>
          <w:sz w:val="21"/>
          <w:szCs w:val="21"/>
        </w:rPr>
        <w:t>1.在资格审查时，不具备招标文件中规定的资格要求的，或者</w:t>
      </w:r>
      <w:r>
        <w:rPr>
          <w:rFonts w:hint="eastAsia" w:ascii="Times New Roman"/>
          <w:b/>
          <w:bCs/>
          <w:sz w:val="21"/>
          <w:szCs w:val="21"/>
          <w:lang w:eastAsia="zh-CN"/>
        </w:rPr>
        <w:t>资格文件</w:t>
      </w:r>
      <w:r>
        <w:rPr>
          <w:rFonts w:ascii="Times New Roman"/>
          <w:b/>
          <w:bCs/>
          <w:sz w:val="21"/>
          <w:szCs w:val="21"/>
        </w:rPr>
        <w:t>不全的，投标文件将被视为无效；</w:t>
      </w:r>
    </w:p>
    <w:p>
      <w:pPr>
        <w:pStyle w:val="20"/>
        <w:widowControl/>
        <w:spacing w:line="360" w:lineRule="auto"/>
        <w:ind w:firstLine="398" w:firstLineChars="196"/>
        <w:jc w:val="left"/>
        <w:rPr>
          <w:rFonts w:ascii="Times New Roman"/>
          <w:b/>
          <w:bCs/>
          <w:sz w:val="21"/>
          <w:szCs w:val="21"/>
        </w:rPr>
      </w:pPr>
      <w:r>
        <w:rPr>
          <w:rFonts w:ascii="Times New Roman"/>
          <w:b/>
          <w:bCs/>
          <w:sz w:val="21"/>
          <w:szCs w:val="21"/>
        </w:rPr>
        <w:t>2.在符合性审查时，如发现下列情形之一的，投标文件将被视为无效：</w:t>
      </w:r>
    </w:p>
    <w:p>
      <w:pPr>
        <w:pStyle w:val="20"/>
        <w:widowControl/>
        <w:numPr>
          <w:ilvl w:val="0"/>
          <w:numId w:val="16"/>
        </w:numPr>
        <w:spacing w:line="360" w:lineRule="auto"/>
        <w:jc w:val="left"/>
        <w:rPr>
          <w:rFonts w:ascii="Times New Roman"/>
          <w:b/>
          <w:bCs/>
          <w:sz w:val="21"/>
          <w:szCs w:val="21"/>
        </w:rPr>
      </w:pPr>
      <w:r>
        <w:rPr>
          <w:rFonts w:ascii="Times New Roman"/>
          <w:b/>
          <w:bCs/>
          <w:sz w:val="21"/>
          <w:szCs w:val="21"/>
        </w:rPr>
        <w:t>投标文件未按招标文件要求签署、签章的；</w:t>
      </w:r>
    </w:p>
    <w:p>
      <w:pPr>
        <w:pStyle w:val="20"/>
        <w:widowControl/>
        <w:numPr>
          <w:ilvl w:val="0"/>
          <w:numId w:val="16"/>
        </w:numPr>
        <w:spacing w:line="360" w:lineRule="auto"/>
        <w:jc w:val="left"/>
        <w:rPr>
          <w:rFonts w:ascii="Times New Roman"/>
          <w:b/>
          <w:bCs/>
          <w:sz w:val="21"/>
          <w:szCs w:val="21"/>
        </w:rPr>
      </w:pPr>
      <w:r>
        <w:rPr>
          <w:rFonts w:ascii="Times New Roman"/>
          <w:b/>
          <w:bCs/>
          <w:sz w:val="21"/>
          <w:szCs w:val="21"/>
        </w:rPr>
        <w:t>投标有效期不满足招标文件要求的；</w:t>
      </w:r>
    </w:p>
    <w:p>
      <w:pPr>
        <w:pStyle w:val="20"/>
        <w:widowControl/>
        <w:numPr>
          <w:ilvl w:val="0"/>
          <w:numId w:val="16"/>
        </w:numPr>
        <w:spacing w:line="360" w:lineRule="auto"/>
        <w:jc w:val="left"/>
        <w:rPr>
          <w:rFonts w:ascii="Times New Roman"/>
          <w:b/>
          <w:bCs/>
          <w:sz w:val="21"/>
          <w:szCs w:val="21"/>
        </w:rPr>
      </w:pPr>
      <w:r>
        <w:rPr>
          <w:rFonts w:ascii="Times New Roman"/>
          <w:b/>
          <w:bCs/>
          <w:snapToGrid w:val="0"/>
          <w:sz w:val="21"/>
          <w:szCs w:val="21"/>
        </w:rPr>
        <w:t>明显不符合招标文件要求的，或者与</w:t>
      </w:r>
      <w:r>
        <w:rPr>
          <w:rFonts w:ascii="Times New Roman"/>
          <w:b/>
          <w:bCs/>
          <w:sz w:val="21"/>
          <w:szCs w:val="21"/>
        </w:rPr>
        <w:t>招标文件中标注“</w:t>
      </w:r>
      <w:r>
        <w:rPr>
          <w:rFonts w:hint="eastAsia" w:ascii="Times New Roman"/>
          <w:b/>
          <w:bCs/>
          <w:sz w:val="21"/>
          <w:szCs w:val="21"/>
          <w:lang w:eastAsia="zh-CN"/>
        </w:rPr>
        <w:t>▲</w:t>
      </w:r>
      <w:r>
        <w:rPr>
          <w:rFonts w:ascii="Times New Roman"/>
          <w:b/>
          <w:bCs/>
          <w:sz w:val="21"/>
          <w:szCs w:val="21"/>
        </w:rPr>
        <w:t>”的条款发生实质性负偏离的；</w:t>
      </w:r>
    </w:p>
    <w:p>
      <w:pPr>
        <w:pStyle w:val="20"/>
        <w:widowControl/>
        <w:numPr>
          <w:ilvl w:val="0"/>
          <w:numId w:val="16"/>
        </w:numPr>
        <w:spacing w:line="360" w:lineRule="auto"/>
        <w:jc w:val="left"/>
        <w:rPr>
          <w:rFonts w:ascii="Times New Roman"/>
          <w:b/>
          <w:bCs/>
          <w:sz w:val="21"/>
          <w:szCs w:val="21"/>
        </w:rPr>
      </w:pPr>
      <w:r>
        <w:rPr>
          <w:rFonts w:ascii="Times New Roman"/>
          <w:b/>
          <w:bCs/>
          <w:sz w:val="21"/>
          <w:szCs w:val="21"/>
        </w:rPr>
        <w:t>投标文件中含有采购人不能接受的附加条件的；</w:t>
      </w:r>
    </w:p>
    <w:p>
      <w:pPr>
        <w:pStyle w:val="20"/>
        <w:widowControl/>
        <w:numPr>
          <w:ilvl w:val="0"/>
          <w:numId w:val="16"/>
        </w:numPr>
        <w:spacing w:line="360" w:lineRule="auto"/>
        <w:jc w:val="left"/>
        <w:rPr>
          <w:rFonts w:ascii="Times New Roman"/>
          <w:b/>
          <w:bCs/>
          <w:sz w:val="21"/>
          <w:szCs w:val="21"/>
        </w:rPr>
      </w:pPr>
      <w:r>
        <w:rPr>
          <w:rFonts w:ascii="Times New Roman"/>
          <w:b/>
          <w:bCs/>
          <w:sz w:val="21"/>
          <w:szCs w:val="21"/>
        </w:rPr>
        <w:t>委托人未提供法定代表人授权委托书或填写项目不齐全的；</w:t>
      </w:r>
    </w:p>
    <w:p>
      <w:pPr>
        <w:pStyle w:val="20"/>
        <w:widowControl/>
        <w:numPr>
          <w:ilvl w:val="0"/>
          <w:numId w:val="16"/>
        </w:numPr>
        <w:spacing w:line="360" w:lineRule="auto"/>
        <w:jc w:val="left"/>
        <w:rPr>
          <w:rFonts w:ascii="Times New Roman"/>
          <w:b/>
          <w:bCs/>
          <w:sz w:val="21"/>
          <w:szCs w:val="21"/>
        </w:rPr>
      </w:pPr>
      <w:r>
        <w:rPr>
          <w:rFonts w:ascii="Times New Roman"/>
          <w:b/>
          <w:bCs/>
          <w:sz w:val="21"/>
          <w:szCs w:val="21"/>
        </w:rPr>
        <w:t>投标文件格式不规范、提供资料不齐全或者内容虚假的；</w:t>
      </w:r>
    </w:p>
    <w:p>
      <w:pPr>
        <w:pStyle w:val="20"/>
        <w:widowControl/>
        <w:numPr>
          <w:ilvl w:val="0"/>
          <w:numId w:val="16"/>
        </w:numPr>
        <w:spacing w:line="360" w:lineRule="auto"/>
        <w:jc w:val="left"/>
        <w:rPr>
          <w:rFonts w:ascii="Times New Roman"/>
          <w:b/>
          <w:bCs/>
          <w:sz w:val="21"/>
          <w:szCs w:val="21"/>
        </w:rPr>
      </w:pPr>
      <w:r>
        <w:rPr>
          <w:rFonts w:ascii="Times New Roman"/>
          <w:b/>
          <w:bCs/>
          <w:sz w:val="21"/>
          <w:szCs w:val="21"/>
        </w:rPr>
        <w:t>投标文件的实质性内容未使用中文表述、表述不明确、前后矛盾或者使用计量单位不符合招标文件要求的（经评标委员会认定并允许其当场更正的笔误除外）；</w:t>
      </w:r>
    </w:p>
    <w:p>
      <w:pPr>
        <w:pStyle w:val="20"/>
        <w:widowControl/>
        <w:numPr>
          <w:ilvl w:val="0"/>
          <w:numId w:val="16"/>
        </w:numPr>
        <w:spacing w:line="360" w:lineRule="auto"/>
        <w:jc w:val="left"/>
        <w:rPr>
          <w:rFonts w:ascii="Times New Roman"/>
          <w:b/>
          <w:bCs/>
          <w:sz w:val="21"/>
          <w:szCs w:val="21"/>
        </w:rPr>
      </w:pPr>
      <w:r>
        <w:rPr>
          <w:rFonts w:ascii="Times New Roman"/>
          <w:b/>
          <w:bCs/>
          <w:sz w:val="21"/>
          <w:szCs w:val="21"/>
        </w:rPr>
        <w:t>投标文件的关键内容字迹模糊、无法辨认的，或者投标文件中经修正的内容字迹模糊难以辩认或者修改处未按规定签署、盖章的；</w:t>
      </w:r>
    </w:p>
    <w:p>
      <w:pPr>
        <w:pStyle w:val="20"/>
        <w:widowControl/>
        <w:numPr>
          <w:ilvl w:val="0"/>
          <w:numId w:val="16"/>
        </w:numPr>
        <w:spacing w:line="360" w:lineRule="auto"/>
        <w:jc w:val="left"/>
        <w:rPr>
          <w:rFonts w:ascii="Times New Roman"/>
          <w:b/>
          <w:bCs/>
          <w:sz w:val="21"/>
          <w:szCs w:val="21"/>
        </w:rPr>
      </w:pPr>
      <w:r>
        <w:rPr>
          <w:rFonts w:ascii="Times New Roman"/>
          <w:b/>
          <w:bCs/>
          <w:sz w:val="21"/>
          <w:szCs w:val="21"/>
        </w:rPr>
        <w:t>法律、法规和招标文件规定的其他无效情形；</w:t>
      </w:r>
    </w:p>
    <w:p>
      <w:pPr>
        <w:pStyle w:val="20"/>
        <w:widowControl/>
        <w:spacing w:line="360" w:lineRule="auto"/>
        <w:ind w:firstLine="398" w:firstLineChars="196"/>
        <w:jc w:val="left"/>
        <w:rPr>
          <w:rFonts w:ascii="Times New Roman"/>
          <w:b/>
          <w:bCs/>
          <w:sz w:val="21"/>
          <w:szCs w:val="21"/>
        </w:rPr>
      </w:pPr>
      <w:r>
        <w:rPr>
          <w:rFonts w:ascii="Times New Roman"/>
          <w:b/>
          <w:bCs/>
          <w:sz w:val="21"/>
          <w:szCs w:val="21"/>
        </w:rPr>
        <w:t>3.在技术商务评审时，如发现下列情形之一的，投标文件将被视为无效：</w:t>
      </w:r>
    </w:p>
    <w:p>
      <w:pPr>
        <w:pStyle w:val="20"/>
        <w:widowControl/>
        <w:numPr>
          <w:ilvl w:val="0"/>
          <w:numId w:val="17"/>
        </w:numPr>
        <w:spacing w:line="360" w:lineRule="auto"/>
        <w:jc w:val="left"/>
        <w:rPr>
          <w:rFonts w:ascii="Times New Roman"/>
          <w:b/>
          <w:bCs/>
          <w:sz w:val="21"/>
          <w:szCs w:val="21"/>
        </w:rPr>
      </w:pPr>
      <w:r>
        <w:rPr>
          <w:rFonts w:ascii="Times New Roman"/>
          <w:b/>
          <w:bCs/>
          <w:sz w:val="21"/>
          <w:szCs w:val="21"/>
        </w:rPr>
        <w:t>未提供或未如实提供投标</w:t>
      </w:r>
      <w:r>
        <w:rPr>
          <w:rFonts w:hint="eastAsia" w:ascii="Times New Roman"/>
          <w:b/>
          <w:bCs/>
          <w:sz w:val="21"/>
          <w:szCs w:val="21"/>
          <w:lang w:eastAsia="zh-CN"/>
        </w:rPr>
        <w:t>采购需求</w:t>
      </w:r>
      <w:r>
        <w:rPr>
          <w:rFonts w:ascii="Times New Roman"/>
          <w:b/>
          <w:bCs/>
          <w:sz w:val="21"/>
          <w:szCs w:val="21"/>
        </w:rPr>
        <w:t>，或者投标文件标明的响应或偏离与事实不符或虚假投标的；</w:t>
      </w:r>
    </w:p>
    <w:p>
      <w:pPr>
        <w:pStyle w:val="20"/>
        <w:widowControl/>
        <w:numPr>
          <w:ilvl w:val="0"/>
          <w:numId w:val="17"/>
        </w:numPr>
        <w:spacing w:line="360" w:lineRule="auto"/>
        <w:jc w:val="left"/>
        <w:rPr>
          <w:rFonts w:ascii="Times New Roman"/>
          <w:b/>
          <w:bCs/>
          <w:sz w:val="21"/>
          <w:szCs w:val="21"/>
        </w:rPr>
      </w:pPr>
      <w:r>
        <w:rPr>
          <w:rFonts w:ascii="Times New Roman"/>
          <w:b/>
          <w:bCs/>
          <w:sz w:val="21"/>
          <w:szCs w:val="21"/>
        </w:rPr>
        <w:t>投标技术方案不明确，存在一个或一个以上备选（替代）投标方案的；</w:t>
      </w:r>
    </w:p>
    <w:p>
      <w:pPr>
        <w:pStyle w:val="20"/>
        <w:widowControl/>
        <w:spacing w:line="360" w:lineRule="auto"/>
        <w:ind w:firstLine="398" w:firstLineChars="196"/>
        <w:jc w:val="left"/>
        <w:rPr>
          <w:rFonts w:ascii="Times New Roman"/>
          <w:b/>
          <w:bCs/>
          <w:sz w:val="21"/>
          <w:szCs w:val="21"/>
        </w:rPr>
      </w:pPr>
      <w:r>
        <w:rPr>
          <w:rFonts w:ascii="Times New Roman"/>
          <w:b/>
          <w:bCs/>
          <w:sz w:val="21"/>
          <w:szCs w:val="21"/>
        </w:rPr>
        <w:t>4.在报价评审时，如发现下列情形之一的，投标文件将被视为无效：</w:t>
      </w:r>
    </w:p>
    <w:p>
      <w:pPr>
        <w:pStyle w:val="20"/>
        <w:widowControl/>
        <w:numPr>
          <w:ilvl w:val="0"/>
          <w:numId w:val="18"/>
        </w:numPr>
        <w:spacing w:line="360" w:lineRule="auto"/>
        <w:jc w:val="left"/>
        <w:rPr>
          <w:rFonts w:ascii="Times New Roman"/>
          <w:b/>
          <w:bCs/>
          <w:sz w:val="21"/>
          <w:szCs w:val="21"/>
        </w:rPr>
      </w:pPr>
      <w:r>
        <w:rPr>
          <w:rFonts w:ascii="Times New Roman"/>
          <w:b/>
          <w:bCs/>
          <w:sz w:val="21"/>
          <w:szCs w:val="21"/>
        </w:rPr>
        <w:t>报价超过招标文件中规定的预算金额或者最高限价的；</w:t>
      </w:r>
    </w:p>
    <w:p>
      <w:pPr>
        <w:pStyle w:val="20"/>
        <w:widowControl/>
        <w:numPr>
          <w:ilvl w:val="0"/>
          <w:numId w:val="18"/>
        </w:numPr>
        <w:spacing w:line="360" w:lineRule="auto"/>
        <w:jc w:val="left"/>
        <w:rPr>
          <w:rFonts w:ascii="Times New Roman"/>
          <w:b/>
          <w:bCs/>
          <w:sz w:val="21"/>
          <w:szCs w:val="21"/>
        </w:rPr>
      </w:pPr>
      <w:r>
        <w:rPr>
          <w:rFonts w:ascii="Times New Roman"/>
          <w:b/>
          <w:bCs/>
          <w:sz w:val="21"/>
          <w:szCs w:val="21"/>
        </w:rPr>
        <w:t>未采用招标文件要求的报价形式报价的；</w:t>
      </w:r>
    </w:p>
    <w:p>
      <w:pPr>
        <w:pStyle w:val="20"/>
        <w:widowControl/>
        <w:numPr>
          <w:ilvl w:val="0"/>
          <w:numId w:val="18"/>
        </w:numPr>
        <w:spacing w:line="360" w:lineRule="auto"/>
        <w:jc w:val="left"/>
        <w:rPr>
          <w:rFonts w:ascii="Times New Roman"/>
          <w:b/>
          <w:bCs/>
          <w:sz w:val="21"/>
          <w:szCs w:val="21"/>
        </w:rPr>
      </w:pPr>
      <w:r>
        <w:rPr>
          <w:rFonts w:ascii="Times New Roman"/>
          <w:b/>
          <w:bCs/>
          <w:sz w:val="21"/>
          <w:szCs w:val="21"/>
        </w:rPr>
        <w:t>投标报价具有选择性；</w:t>
      </w:r>
    </w:p>
    <w:p>
      <w:pPr>
        <w:pStyle w:val="20"/>
        <w:widowControl/>
        <w:numPr>
          <w:ilvl w:val="0"/>
          <w:numId w:val="18"/>
        </w:numPr>
        <w:spacing w:line="360" w:lineRule="auto"/>
        <w:jc w:val="left"/>
        <w:rPr>
          <w:rFonts w:ascii="Times New Roman"/>
          <w:b/>
          <w:bCs/>
          <w:sz w:val="21"/>
          <w:szCs w:val="21"/>
        </w:rPr>
      </w:pPr>
      <w:r>
        <w:rPr>
          <w:rFonts w:ascii="Times New Roman"/>
          <w:b/>
          <w:bCs/>
          <w:sz w:val="21"/>
          <w:szCs w:val="21"/>
        </w:rPr>
        <w:t>评标委员会一致认为报价不合理的（不平衡报价）；</w:t>
      </w:r>
    </w:p>
    <w:p>
      <w:pPr>
        <w:pStyle w:val="20"/>
        <w:widowControl/>
        <w:numPr>
          <w:ilvl w:val="0"/>
          <w:numId w:val="18"/>
        </w:numPr>
        <w:spacing w:line="360" w:lineRule="auto"/>
        <w:jc w:val="left"/>
        <w:rPr>
          <w:rFonts w:ascii="Times New Roman"/>
          <w:b/>
          <w:sz w:val="21"/>
          <w:szCs w:val="21"/>
        </w:rPr>
      </w:pPr>
      <w:r>
        <w:rPr>
          <w:rFonts w:ascii="Times New Roman"/>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pPr>
        <w:pStyle w:val="20"/>
        <w:widowControl/>
        <w:numPr>
          <w:ilvl w:val="0"/>
          <w:numId w:val="18"/>
        </w:numPr>
        <w:spacing w:line="360" w:lineRule="auto"/>
        <w:jc w:val="left"/>
        <w:rPr>
          <w:rFonts w:ascii="Times New Roman"/>
          <w:b/>
          <w:sz w:val="21"/>
          <w:szCs w:val="21"/>
        </w:rPr>
      </w:pPr>
      <w:r>
        <w:rPr>
          <w:rFonts w:ascii="Times New Roman"/>
          <w:b/>
          <w:sz w:val="21"/>
          <w:szCs w:val="21"/>
        </w:rPr>
        <w:t>招标文件规定的其他无效情形；</w:t>
      </w:r>
    </w:p>
    <w:p>
      <w:pPr>
        <w:spacing w:line="360" w:lineRule="auto"/>
        <w:ind w:firstLine="422" w:firstLineChars="200"/>
        <w:rPr>
          <w:b/>
          <w:szCs w:val="21"/>
          <w:shd w:val="clear" w:color="auto" w:fill="auto"/>
        </w:rPr>
      </w:pPr>
      <w:r>
        <w:rPr>
          <w:b/>
          <w:szCs w:val="21"/>
          <w:shd w:val="clear" w:color="auto" w:fill="auto"/>
        </w:rPr>
        <w:t>5.被拒绝的投标文件为无效。</w:t>
      </w:r>
    </w:p>
    <w:p>
      <w:pPr>
        <w:spacing w:line="360" w:lineRule="auto"/>
        <w:ind w:firstLine="422" w:firstLineChars="200"/>
        <w:rPr>
          <w:b/>
          <w:szCs w:val="21"/>
          <w:shd w:val="clear" w:color="auto" w:fill="auto"/>
        </w:rPr>
      </w:pPr>
      <w:r>
        <w:rPr>
          <w:b/>
          <w:szCs w:val="21"/>
          <w:shd w:val="clear" w:color="auto" w:fill="auto"/>
        </w:rPr>
        <w:t>6.不同投标人的投标文件出自同一终端设备或在相同Internet主机分配地址（相同IP地址）网上报名投标或上传投标文件。</w:t>
      </w:r>
    </w:p>
    <w:p>
      <w:pPr>
        <w:spacing w:line="360" w:lineRule="auto"/>
        <w:ind w:firstLine="422" w:firstLineChars="200"/>
        <w:rPr>
          <w:rFonts w:hint="eastAsia"/>
          <w:b/>
          <w:szCs w:val="21"/>
        </w:rPr>
      </w:pPr>
      <w:r>
        <w:rPr>
          <w:rFonts w:hint="eastAsia" w:ascii="Times New Roman" w:hAnsi="Times New Roman" w:eastAsia="宋体" w:cs="Times New Roman"/>
          <w:b/>
          <w:szCs w:val="21"/>
          <w:lang w:val="en-US" w:eastAsia="zh-CN"/>
        </w:rPr>
        <w:t>废标的情形：</w:t>
      </w:r>
    </w:p>
    <w:p>
      <w:pPr>
        <w:spacing w:line="360" w:lineRule="auto"/>
        <w:ind w:firstLine="422" w:firstLineChars="200"/>
        <w:rPr>
          <w:rFonts w:hint="eastAsia"/>
          <w:b/>
          <w:szCs w:val="21"/>
        </w:rPr>
      </w:pPr>
      <w:r>
        <w:rPr>
          <w:rFonts w:hint="eastAsia"/>
          <w:b/>
          <w:szCs w:val="21"/>
        </w:rPr>
        <w:t>根据《中华人民共和国政府采购法》第三十六条之规定，在采购中，出现下列情形之一的，应予废标：</w:t>
      </w:r>
    </w:p>
    <w:p>
      <w:pPr>
        <w:spacing w:line="360" w:lineRule="auto"/>
        <w:ind w:firstLine="422" w:firstLineChars="200"/>
        <w:rPr>
          <w:rFonts w:hint="eastAsia"/>
          <w:b/>
          <w:szCs w:val="21"/>
        </w:rPr>
      </w:pPr>
      <w:r>
        <w:rPr>
          <w:rFonts w:hint="eastAsia"/>
          <w:b/>
          <w:szCs w:val="21"/>
        </w:rPr>
        <w:t>1</w:t>
      </w:r>
      <w:r>
        <w:rPr>
          <w:rFonts w:hint="eastAsia"/>
          <w:b/>
          <w:szCs w:val="21"/>
          <w:lang w:val="en-US" w:eastAsia="zh-CN"/>
        </w:rPr>
        <w:t>.</w:t>
      </w:r>
      <w:r>
        <w:rPr>
          <w:rFonts w:hint="eastAsia"/>
          <w:b/>
          <w:szCs w:val="21"/>
        </w:rPr>
        <w:t>符合专业条件的供应商或者对招标文件作实质响应的供应商不足3家的；</w:t>
      </w:r>
    </w:p>
    <w:p>
      <w:pPr>
        <w:spacing w:line="360" w:lineRule="auto"/>
        <w:ind w:firstLine="422" w:firstLineChars="200"/>
        <w:rPr>
          <w:rFonts w:hint="eastAsia"/>
          <w:b/>
          <w:szCs w:val="21"/>
        </w:rPr>
      </w:pPr>
      <w:r>
        <w:rPr>
          <w:rFonts w:hint="eastAsia"/>
          <w:b/>
          <w:szCs w:val="21"/>
        </w:rPr>
        <w:t>2</w:t>
      </w:r>
      <w:r>
        <w:rPr>
          <w:rFonts w:hint="eastAsia"/>
          <w:b/>
          <w:szCs w:val="21"/>
          <w:lang w:val="en-US" w:eastAsia="zh-CN"/>
        </w:rPr>
        <w:t>.</w:t>
      </w:r>
      <w:r>
        <w:rPr>
          <w:rFonts w:hint="eastAsia"/>
          <w:b/>
          <w:szCs w:val="21"/>
        </w:rPr>
        <w:t>出现影响采购公正的违法、违规行为的；</w:t>
      </w:r>
    </w:p>
    <w:p>
      <w:pPr>
        <w:spacing w:line="360" w:lineRule="auto"/>
        <w:ind w:firstLine="422" w:firstLineChars="200"/>
        <w:rPr>
          <w:rFonts w:hint="eastAsia"/>
          <w:b/>
          <w:szCs w:val="21"/>
        </w:rPr>
      </w:pPr>
      <w:r>
        <w:rPr>
          <w:rFonts w:hint="eastAsia"/>
          <w:b/>
          <w:szCs w:val="21"/>
        </w:rPr>
        <w:t>3</w:t>
      </w:r>
      <w:r>
        <w:rPr>
          <w:rFonts w:hint="eastAsia"/>
          <w:b/>
          <w:szCs w:val="21"/>
          <w:lang w:val="en-US" w:eastAsia="zh-CN"/>
        </w:rPr>
        <w:t>.</w:t>
      </w:r>
      <w:r>
        <w:rPr>
          <w:rFonts w:hint="eastAsia"/>
          <w:b/>
          <w:szCs w:val="21"/>
        </w:rPr>
        <w:t>投标人的报价</w:t>
      </w:r>
      <w:r>
        <w:rPr>
          <w:rFonts w:hint="eastAsia"/>
          <w:b/>
          <w:szCs w:val="21"/>
          <w:lang w:val="en-US" w:eastAsia="zh-CN"/>
        </w:rPr>
        <w:t>不符合招标文件的规定</w:t>
      </w:r>
      <w:r>
        <w:rPr>
          <w:rFonts w:hint="eastAsia"/>
          <w:b/>
          <w:szCs w:val="21"/>
        </w:rPr>
        <w:t>；</w:t>
      </w:r>
    </w:p>
    <w:p>
      <w:pPr>
        <w:spacing w:line="360" w:lineRule="auto"/>
        <w:ind w:firstLine="422" w:firstLineChars="200"/>
        <w:rPr>
          <w:rFonts w:hint="eastAsia"/>
          <w:b/>
          <w:szCs w:val="21"/>
        </w:rPr>
      </w:pPr>
      <w:r>
        <w:rPr>
          <w:rFonts w:hint="eastAsia"/>
          <w:b/>
          <w:szCs w:val="21"/>
        </w:rPr>
        <w:t>4</w:t>
      </w:r>
      <w:r>
        <w:rPr>
          <w:rFonts w:hint="eastAsia"/>
          <w:b/>
          <w:szCs w:val="21"/>
          <w:lang w:val="en-US" w:eastAsia="zh-CN"/>
        </w:rPr>
        <w:t>.</w:t>
      </w:r>
      <w:r>
        <w:rPr>
          <w:rFonts w:hint="eastAsia"/>
          <w:b/>
          <w:szCs w:val="21"/>
        </w:rPr>
        <w:t>因重大变故，采购任务取消的。</w:t>
      </w:r>
    </w:p>
    <w:p>
      <w:pPr>
        <w:spacing w:line="360" w:lineRule="auto"/>
        <w:ind w:firstLine="422" w:firstLineChars="200"/>
        <w:rPr>
          <w:rFonts w:hint="eastAsia" w:ascii="Times New Roman" w:hAnsi="Times New Roman" w:eastAsia="宋体" w:cs="Times New Roman"/>
          <w:b/>
          <w:szCs w:val="21"/>
        </w:rPr>
      </w:pPr>
      <w:r>
        <w:rPr>
          <w:rFonts w:hint="eastAsia" w:ascii="Times New Roman" w:hAnsi="Times New Roman" w:eastAsia="宋体" w:cs="Times New Roman"/>
          <w:b/>
          <w:szCs w:val="21"/>
        </w:rPr>
        <w:t>废标后，采购代理机构应当将废标理由通知所有投标人。</w:t>
      </w:r>
    </w:p>
    <w:p>
      <w:pPr>
        <w:rPr>
          <w:b/>
          <w:szCs w:val="21"/>
        </w:rPr>
      </w:pPr>
      <w:r>
        <w:rPr>
          <w:b/>
          <w:szCs w:val="21"/>
        </w:rPr>
        <w:br w:type="page"/>
      </w:r>
    </w:p>
    <w:p>
      <w:pPr>
        <w:widowControl/>
        <w:numPr>
          <w:ilvl w:val="0"/>
          <w:numId w:val="19"/>
        </w:numPr>
        <w:jc w:val="center"/>
        <w:outlineLvl w:val="1"/>
        <w:rPr>
          <w:rFonts w:hint="eastAsia"/>
        </w:rPr>
      </w:pPr>
      <w:bookmarkStart w:id="318" w:name="_Toc16792"/>
      <w:bookmarkStart w:id="319" w:name="_Toc3741"/>
      <w:bookmarkStart w:id="320" w:name="_Toc103878837"/>
      <w:bookmarkStart w:id="321" w:name="_Toc17707961"/>
      <w:r>
        <w:rPr>
          <w:szCs w:val="21"/>
        </w:rPr>
        <w:t>评分标准表</w:t>
      </w:r>
      <w:bookmarkEnd w:id="318"/>
      <w:bookmarkEnd w:id="319"/>
      <w:bookmarkEnd w:id="320"/>
      <w:bookmarkEnd w:id="321"/>
    </w:p>
    <w:p>
      <w:pPr>
        <w:pStyle w:val="2"/>
        <w:rPr>
          <w:rFonts w:hint="eastAsia"/>
        </w:rPr>
      </w:pPr>
    </w:p>
    <w:p>
      <w:pPr>
        <w:pStyle w:val="2"/>
        <w:rPr>
          <w:rFonts w:hint="default" w:asciiTheme="minorEastAsia" w:hAnsiTheme="minorEastAsia" w:eastAsiaTheme="minorEastAsia" w:cstheme="minorEastAsia"/>
          <w:b/>
          <w:bCs/>
          <w:sz w:val="22"/>
          <w:szCs w:val="21"/>
          <w:lang w:val="en-US" w:eastAsia="zh-CN"/>
        </w:rPr>
      </w:pPr>
      <w:r>
        <w:rPr>
          <w:rFonts w:hint="eastAsia" w:asciiTheme="minorEastAsia" w:hAnsiTheme="minorEastAsia" w:eastAsiaTheme="minorEastAsia" w:cstheme="minorEastAsia"/>
          <w:b/>
          <w:bCs/>
          <w:sz w:val="22"/>
          <w:szCs w:val="21"/>
        </w:rPr>
        <w:t>适用于标项1</w:t>
      </w:r>
    </w:p>
    <w:tbl>
      <w:tblPr>
        <w:tblStyle w:val="48"/>
        <w:tblW w:w="8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7182"/>
        <w:gridCol w:w="9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882" w:type="dxa"/>
            <w:vAlign w:val="center"/>
          </w:tcPr>
          <w:p>
            <w:pPr>
              <w:keepNext w:val="0"/>
              <w:keepLines w:val="0"/>
              <w:pageBreakBefore w:val="0"/>
              <w:kinsoku/>
              <w:wordWrap/>
              <w:overflowPunct/>
              <w:topLinePunct w:val="0"/>
              <w:autoSpaceDE w:val="0"/>
              <w:autoSpaceDN w:val="0"/>
              <w:bidi w:val="0"/>
              <w:adjustRightInd/>
              <w:spacing w:line="360" w:lineRule="exact"/>
              <w:contextualSpacing/>
              <w:jc w:val="center"/>
              <w:textAlignment w:val="auto"/>
              <w:rPr>
                <w:szCs w:val="21"/>
              </w:rPr>
            </w:pPr>
            <w:r>
              <w:rPr>
                <w:szCs w:val="21"/>
              </w:rPr>
              <w:t>分值</w:t>
            </w:r>
          </w:p>
        </w:tc>
        <w:tc>
          <w:tcPr>
            <w:tcW w:w="7182" w:type="dxa"/>
            <w:vAlign w:val="center"/>
          </w:tcPr>
          <w:p>
            <w:pPr>
              <w:keepNext w:val="0"/>
              <w:keepLines w:val="0"/>
              <w:pageBreakBefore w:val="0"/>
              <w:kinsoku/>
              <w:wordWrap/>
              <w:overflowPunct/>
              <w:topLinePunct w:val="0"/>
              <w:autoSpaceDE w:val="0"/>
              <w:autoSpaceDN w:val="0"/>
              <w:bidi w:val="0"/>
              <w:adjustRightInd/>
              <w:spacing w:line="360" w:lineRule="exact"/>
              <w:contextualSpacing/>
              <w:jc w:val="center"/>
              <w:textAlignment w:val="auto"/>
              <w:rPr>
                <w:rFonts w:ascii="Times New Roman" w:hAnsi="Times New Roman" w:cs="Times New Roman"/>
                <w:szCs w:val="21"/>
              </w:rPr>
            </w:pPr>
            <w:r>
              <w:rPr>
                <w:rFonts w:ascii="Times New Roman" w:hAnsi="Times New Roman" w:cs="Times New Roman"/>
                <w:szCs w:val="21"/>
              </w:rPr>
              <w:t>评分标准</w:t>
            </w:r>
          </w:p>
        </w:tc>
        <w:tc>
          <w:tcPr>
            <w:tcW w:w="935" w:type="dxa"/>
            <w:vAlign w:val="center"/>
          </w:tcPr>
          <w:p>
            <w:pPr>
              <w:keepNext w:val="0"/>
              <w:keepLines w:val="0"/>
              <w:pageBreakBefore w:val="0"/>
              <w:kinsoku/>
              <w:wordWrap/>
              <w:overflowPunct/>
              <w:topLinePunct w:val="0"/>
              <w:autoSpaceDE w:val="0"/>
              <w:autoSpaceDN w:val="0"/>
              <w:bidi w:val="0"/>
              <w:adjustRightInd/>
              <w:spacing w:line="360" w:lineRule="exact"/>
              <w:contextualSpacing/>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82" w:type="dxa"/>
            <w:vMerge w:val="restart"/>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r>
              <w:rPr>
                <w:szCs w:val="21"/>
              </w:rPr>
              <w:t>商务技术分（</w:t>
            </w:r>
            <w:r>
              <w:rPr>
                <w:rFonts w:hint="eastAsia"/>
                <w:szCs w:val="21"/>
                <w:lang w:val="en-US" w:eastAsia="zh-CN"/>
              </w:rPr>
              <w:t>70</w:t>
            </w:r>
            <w:r>
              <w:rPr>
                <w:szCs w:val="21"/>
              </w:rPr>
              <w:t>分）</w:t>
            </w:r>
          </w:p>
        </w:tc>
        <w:tc>
          <w:tcPr>
            <w:tcW w:w="7182" w:type="dxa"/>
            <w:vAlign w:val="center"/>
          </w:tcPr>
          <w:p>
            <w:pPr>
              <w:keepNext w:val="0"/>
              <w:keepLines w:val="0"/>
              <w:pageBreakBefore w:val="0"/>
              <w:widowControl/>
              <w:kinsoku/>
              <w:wordWrap/>
              <w:overflowPunct/>
              <w:topLinePunct w:val="0"/>
              <w:bidi w:val="0"/>
              <w:adjustRightInd/>
              <w:spacing w:line="360" w:lineRule="exact"/>
              <w:textAlignment w:val="auto"/>
              <w:rPr>
                <w:b/>
                <w:kern w:val="0"/>
                <w:szCs w:val="21"/>
              </w:rPr>
            </w:pPr>
            <w:r>
              <w:rPr>
                <w:b/>
                <w:kern w:val="0"/>
                <w:szCs w:val="21"/>
              </w:rPr>
              <w:t>1</w:t>
            </w:r>
            <w:r>
              <w:rPr>
                <w:rFonts w:hint="eastAsia"/>
                <w:b/>
                <w:kern w:val="0"/>
                <w:szCs w:val="21"/>
                <w:lang w:val="en-US" w:eastAsia="zh-CN"/>
              </w:rPr>
              <w:t>.</w:t>
            </w:r>
            <w:r>
              <w:rPr>
                <w:rFonts w:hint="eastAsia"/>
                <w:b/>
                <w:kern w:val="0"/>
                <w:szCs w:val="21"/>
              </w:rPr>
              <w:t>具体实施方案</w:t>
            </w:r>
            <w:r>
              <w:rPr>
                <w:b/>
                <w:kern w:val="0"/>
                <w:szCs w:val="21"/>
              </w:rPr>
              <w:t>（</w:t>
            </w:r>
            <w:r>
              <w:rPr>
                <w:rFonts w:hint="eastAsia"/>
                <w:b/>
                <w:kern w:val="0"/>
                <w:szCs w:val="21"/>
                <w:lang w:val="en-US" w:eastAsia="zh-CN"/>
              </w:rPr>
              <w:t>28</w:t>
            </w:r>
            <w:r>
              <w:rPr>
                <w:b/>
                <w:kern w:val="0"/>
                <w:szCs w:val="21"/>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color w:val="auto"/>
                <w:highlight w:val="none"/>
                <w:lang w:val="en-US" w:eastAsia="zh-CN"/>
              </w:rPr>
              <w:t>1.1接</w:t>
            </w:r>
            <w:r>
              <w:rPr>
                <w:rFonts w:hint="eastAsia" w:ascii="Times New Roman" w:hAnsi="Times New Roman" w:cs="Times New Roman"/>
                <w:color w:val="auto"/>
                <w:highlight w:val="none"/>
                <w:lang w:val="en-US" w:eastAsia="zh-CN"/>
              </w:rPr>
              <w:t>到采购人单次加油通知后制定的加油计划（6分）：</w:t>
            </w:r>
          </w:p>
          <w:p>
            <w:pPr>
              <w:keepNext w:val="0"/>
              <w:keepLines w:val="0"/>
              <w:pageBreakBefore w:val="0"/>
              <w:kinsoku/>
              <w:wordWrap/>
              <w:overflowPunct/>
              <w:topLinePunct w:val="0"/>
              <w:bidi w:val="0"/>
              <w:adjustRightInd/>
              <w:snapToGrid w:val="0"/>
              <w:spacing w:line="360" w:lineRule="exact"/>
              <w:jc w:val="left"/>
              <w:textAlignment w:val="auto"/>
              <w:rPr>
                <w:rFonts w:hint="eastAsia" w:ascii="宋体" w:hAnsi="宋体" w:cs="宋体"/>
                <w:color w:val="auto"/>
                <w:lang w:eastAsia="zh-CN"/>
              </w:rPr>
            </w:pPr>
            <w:r>
              <w:rPr>
                <w:rFonts w:hint="eastAsia" w:ascii="Times New Roman" w:hAnsi="Times New Roman" w:cs="Times New Roman"/>
                <w:color w:val="auto"/>
                <w:highlight w:val="none"/>
                <w:lang w:val="en-US" w:eastAsia="zh-CN"/>
              </w:rPr>
              <w:t>加油计划切合实际需求、流程安排合理，可行性高得6分；加油计划基本满足项目需求的、部分细节有待补充得4分；加油计划</w:t>
            </w:r>
            <w:r>
              <w:rPr>
                <w:rFonts w:hint="eastAsia" w:ascii="宋体" w:hAnsi="宋体" w:cs="宋体"/>
                <w:color w:val="auto"/>
              </w:rPr>
              <w:t>内容笼统</w:t>
            </w:r>
            <w:r>
              <w:rPr>
                <w:rFonts w:hint="eastAsia" w:ascii="宋体" w:hAnsi="宋体" w:cs="宋体"/>
                <w:color w:val="auto"/>
                <w:lang w:eastAsia="zh-CN"/>
              </w:rPr>
              <w:t>，</w:t>
            </w:r>
            <w:r>
              <w:rPr>
                <w:rFonts w:hint="eastAsia" w:ascii="宋体" w:hAnsi="宋体" w:cs="宋体"/>
                <w:color w:val="auto"/>
              </w:rPr>
              <w:t>细节不完善</w:t>
            </w:r>
            <w:r>
              <w:rPr>
                <w:rFonts w:hint="eastAsia" w:ascii="宋体" w:hAnsi="宋体" w:cs="宋体"/>
                <w:color w:val="auto"/>
                <w:lang w:eastAsia="zh-CN"/>
              </w:rPr>
              <w:t>、</w:t>
            </w:r>
            <w:r>
              <w:rPr>
                <w:rFonts w:hint="eastAsia" w:ascii="宋体" w:hAnsi="宋体" w:cs="宋体"/>
                <w:color w:val="auto"/>
              </w:rPr>
              <w:t>有缺漏的得</w:t>
            </w:r>
            <w:r>
              <w:rPr>
                <w:rFonts w:hint="eastAsia" w:ascii="宋体" w:hAnsi="宋体" w:cs="宋体"/>
                <w:color w:val="auto"/>
                <w:lang w:val="en-US" w:eastAsia="zh-CN"/>
              </w:rPr>
              <w:t>2</w:t>
            </w:r>
            <w:r>
              <w:rPr>
                <w:rFonts w:hint="eastAsia" w:ascii="宋体" w:hAnsi="宋体" w:cs="宋体"/>
                <w:color w:val="auto"/>
              </w:rPr>
              <w:t>分</w:t>
            </w:r>
            <w:r>
              <w:rPr>
                <w:rFonts w:hint="eastAsia" w:ascii="宋体" w:hAnsi="宋体" w:cs="宋体"/>
                <w:color w:val="auto"/>
                <w:lang w:eastAsia="zh-CN"/>
              </w:rPr>
              <w:t>。</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1.2加油操作方案（6分）：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方案包括加油前、中、后的操作方案，内容详细具体，各项操作内容均有明确阐述，逻辑清晰，整体方案切实可行的得6分；内容比较详细，基本涵盖各项工作要求，与项目实际情况相吻合，方案整体合理可行的得4分；工作方案内容简单笼统，存在较多的不足之处或与项目实际情况存在较多偏离的得2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1.3防止漏油、溢油措施（6分）：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措施完备且规范，项目针对性强，切实可行的得6分；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措施比较完善且规范，措施符合项目实施需要，合理可行的得4分；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措施内容简略，操作简单，措施控制的有效性不足的得2分；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1.4项目服务团队（</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技术人员实际操作经验丰富、技术人员专业性强，满足项目需求的得</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分，技术人员经验较为欠缺，能基本满足项目采购需求得</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分；技术人员配置不齐，经验不足得</w:t>
            </w: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1.5拟投入设施设备（</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br w:type="textWrapping"/>
            </w:r>
            <w:r>
              <w:rPr>
                <w:rFonts w:hint="eastAsia" w:ascii="Times New Roman" w:hAnsi="Times New Roman" w:cs="Times New Roman"/>
                <w:color w:val="auto"/>
                <w:highlight w:val="none"/>
                <w:lang w:val="en-US" w:eastAsia="zh-CN"/>
              </w:rPr>
              <w:t>设施设备配置全面合理，覆盖加油全流程，能确保安全、高效、准确供油的得</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分；设施设备配置较为合理，基本能满足项目需求的得</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分；设施设备配置简单，未能覆盖加油全流程的得</w:t>
            </w: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pPr>
            <w:r>
              <w:rPr>
                <w:rFonts w:hint="eastAsia" w:ascii="Times New Roman" w:hAnsi="Times New Roman" w:cs="Times New Roman"/>
                <w:b w:val="0"/>
                <w:bCs w:val="0"/>
                <w:color w:val="auto"/>
                <w:highlight w:val="none"/>
                <w:lang w:val="en-US" w:eastAsia="zh-CN"/>
              </w:rPr>
              <w:t>注：以上评分项供应商若未提供相应内容不得分。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28</w:t>
            </w:r>
            <w:r>
              <w:rPr>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b/>
                <w:bCs w:val="0"/>
              </w:rPr>
            </w:pPr>
            <w:r>
              <w:rPr>
                <w:b/>
                <w:bCs w:val="0"/>
              </w:rPr>
              <w:t>2</w:t>
            </w:r>
            <w:r>
              <w:rPr>
                <w:rFonts w:hint="eastAsia"/>
                <w:b/>
                <w:bCs w:val="0"/>
                <w:lang w:val="en-US" w:eastAsia="zh-CN"/>
              </w:rPr>
              <w:t>.</w:t>
            </w:r>
            <w:r>
              <w:rPr>
                <w:rFonts w:hint="eastAsia" w:ascii="Calibri" w:hAnsi="Calibri" w:cs="Calibri"/>
                <w:b/>
                <w:bCs w:val="0"/>
                <w:color w:val="auto"/>
                <w:kern w:val="2"/>
                <w:sz w:val="21"/>
                <w:szCs w:val="24"/>
                <w:highlight w:val="none"/>
                <w:lang w:val="en-US" w:eastAsia="zh-CN" w:bidi="ar-SA"/>
              </w:rPr>
              <w:t>产品来源、运输、贮存环节的质量保障措施</w:t>
            </w:r>
            <w:r>
              <w:rPr>
                <w:rFonts w:hint="eastAsia" w:ascii="Times New Roman" w:hAnsi="Times New Roman" w:cs="Times New Roman"/>
                <w:b/>
                <w:bCs w:val="0"/>
                <w:color w:val="auto"/>
                <w:highlight w:val="none"/>
                <w:lang w:val="en-US" w:eastAsia="zh-CN"/>
              </w:rPr>
              <w:t>（</w:t>
            </w:r>
            <w:r>
              <w:rPr>
                <w:rFonts w:hint="eastAsia" w:cs="Times New Roman"/>
                <w:b/>
                <w:bCs w:val="0"/>
                <w:color w:val="auto"/>
                <w:highlight w:val="none"/>
                <w:lang w:val="en-US" w:eastAsia="zh-CN"/>
              </w:rPr>
              <w:t>12</w:t>
            </w:r>
            <w:r>
              <w:rPr>
                <w:rFonts w:hint="eastAsia" w:ascii="Times New Roman" w:hAnsi="Times New Roman" w:cs="Times New Roman"/>
                <w:b/>
                <w:bCs w:val="0"/>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color w:val="auto"/>
                <w:highlight w:val="none"/>
                <w:lang w:val="en-US" w:eastAsia="zh-CN"/>
              </w:rPr>
            </w:pPr>
            <w:r>
              <w:rPr>
                <w:rFonts w:hint="eastAsia"/>
                <w:color w:val="auto"/>
                <w:highlight w:val="none"/>
                <w:lang w:val="en-US" w:eastAsia="zh-CN"/>
              </w:rPr>
              <w:t>2.1产品来源</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color w:val="auto"/>
                <w:highlight w:val="none"/>
                <w:lang w:val="en-US" w:eastAsia="zh-CN"/>
              </w:rPr>
            </w:pPr>
            <w:r>
              <w:rPr>
                <w:rFonts w:hint="eastAsia"/>
                <w:color w:val="auto"/>
                <w:highlight w:val="none"/>
                <w:lang w:val="en-US" w:eastAsia="zh-CN"/>
              </w:rPr>
              <w:t>产品来源清晰，进货验收程序全面、合理，满足采购需求的得4分；产品来源不清晰，相应证明材料不齐全或进货验收程序笼统的得2分。</w:t>
            </w:r>
          </w:p>
          <w:p>
            <w:pPr>
              <w:keepNext w:val="0"/>
              <w:keepLines w:val="0"/>
              <w:pageBreakBefore w:val="0"/>
              <w:kinsoku/>
              <w:wordWrap/>
              <w:overflowPunct/>
              <w:topLinePunct w:val="0"/>
              <w:bidi w:val="0"/>
              <w:adjustRightInd/>
              <w:snapToGrid w:val="0"/>
              <w:spacing w:line="360" w:lineRule="exact"/>
              <w:jc w:val="left"/>
              <w:textAlignment w:val="auto"/>
              <w:rPr>
                <w:rFonts w:hint="eastAsia"/>
                <w:color w:val="auto"/>
                <w:highlight w:val="none"/>
                <w:lang w:val="en-US" w:eastAsia="zh-CN"/>
              </w:rPr>
            </w:pPr>
            <w:r>
              <w:rPr>
                <w:rFonts w:hint="eastAsia"/>
                <w:color w:val="auto"/>
                <w:highlight w:val="none"/>
                <w:lang w:val="en-US" w:eastAsia="zh-CN"/>
              </w:rPr>
              <w:t>2.2运输方式</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default"/>
                <w:color w:val="auto"/>
                <w:highlight w:val="none"/>
                <w:lang w:val="en-US" w:eastAsia="zh-CN"/>
              </w:rPr>
            </w:pPr>
            <w:r>
              <w:rPr>
                <w:rFonts w:hint="eastAsia"/>
                <w:color w:val="auto"/>
                <w:highlight w:val="none"/>
                <w:lang w:val="en-US" w:eastAsia="zh-CN"/>
              </w:rPr>
              <w:t>运输方式合理，运输车辆及驾驶员手续齐全，运输质量及安全措施全面、详细的得4分；成品油运输方式不合理或未提供运输车辆及驾驶员手续证明材料或运输质量及安全措施全面笼统、单一的得2分。</w:t>
            </w:r>
          </w:p>
          <w:p>
            <w:pPr>
              <w:keepNext w:val="0"/>
              <w:keepLines w:val="0"/>
              <w:pageBreakBefore w:val="0"/>
              <w:kinsoku/>
              <w:wordWrap/>
              <w:overflowPunct/>
              <w:topLinePunct w:val="0"/>
              <w:bidi w:val="0"/>
              <w:adjustRightInd/>
              <w:snapToGrid w:val="0"/>
              <w:spacing w:line="360" w:lineRule="exact"/>
              <w:jc w:val="left"/>
              <w:textAlignment w:val="auto"/>
              <w:rPr>
                <w:rFonts w:hint="eastAsia"/>
                <w:color w:val="auto"/>
                <w:highlight w:val="none"/>
                <w:lang w:val="en-US" w:eastAsia="zh-CN"/>
              </w:rPr>
            </w:pPr>
            <w:r>
              <w:rPr>
                <w:rFonts w:hint="eastAsia"/>
                <w:color w:val="auto"/>
                <w:highlight w:val="none"/>
                <w:lang w:val="en-US" w:eastAsia="zh-CN"/>
              </w:rPr>
              <w:t>2.3产品贮存质量保障措施</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ascii="Calibri" w:hAnsi="Calibri" w:cs="Calibri"/>
                <w:color w:val="auto"/>
                <w:highlight w:val="none"/>
                <w:lang w:val="en-US" w:eastAsia="zh-CN"/>
              </w:rPr>
            </w:pPr>
            <w:r>
              <w:rPr>
                <w:rFonts w:hint="eastAsia"/>
                <w:color w:val="auto"/>
                <w:highlight w:val="none"/>
                <w:lang w:val="en-US" w:eastAsia="zh-CN"/>
              </w:rPr>
              <w:t>产品贮存质量保障措施（包括防止杂物混入、混油、变质等）全面详细合理的得4分；贮存质量保障措施笼统、单一的得2</w:t>
            </w:r>
            <w:r>
              <w:rPr>
                <w:rFonts w:hint="eastAsia" w:ascii="Calibri" w:hAnsi="Calibri" w:cs="Calibri"/>
                <w:color w:val="auto"/>
                <w:highlight w:val="none"/>
                <w:lang w:val="en-US" w:eastAsia="zh-CN"/>
              </w:rPr>
              <w:t>分。</w:t>
            </w:r>
          </w:p>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pPr>
            <w:r>
              <w:rPr>
                <w:rFonts w:hint="eastAsia" w:ascii="Times New Roman" w:hAnsi="Times New Roman" w:cs="Times New Roman"/>
                <w:color w:val="auto"/>
                <w:highlight w:val="none"/>
                <w:lang w:val="en-US" w:eastAsia="zh-CN"/>
              </w:rPr>
              <w:t>注：以上评分项供应商若未提供相应内容不得分。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12</w:t>
            </w:r>
            <w:r>
              <w:rPr>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rFonts w:hint="eastAsia" w:ascii="Times New Roman" w:hAnsi="Times New Roman" w:cs="Times New Roman"/>
                <w:b/>
                <w:bCs w:val="0"/>
              </w:rPr>
            </w:pPr>
            <w:r>
              <w:rPr>
                <w:rFonts w:hint="eastAsia" w:ascii="Times New Roman" w:hAnsi="Times New Roman" w:cs="Times New Roman"/>
                <w:b/>
                <w:bCs w:val="0"/>
              </w:rPr>
              <w:t>3</w:t>
            </w:r>
            <w:r>
              <w:rPr>
                <w:rFonts w:hint="eastAsia" w:ascii="Times New Roman" w:hAnsi="Times New Roman" w:cs="Times New Roman"/>
                <w:b/>
                <w:bCs w:val="0"/>
                <w:lang w:val="en-US" w:eastAsia="zh-CN"/>
              </w:rPr>
              <w:t>.应急供应方案</w:t>
            </w:r>
            <w:r>
              <w:rPr>
                <w:rFonts w:hint="eastAsia" w:ascii="Times New Roman" w:hAnsi="Times New Roman" w:cs="Times New Roman"/>
                <w:b/>
                <w:bCs w:val="0"/>
              </w:rPr>
              <w:t>（</w:t>
            </w:r>
            <w:r>
              <w:rPr>
                <w:rFonts w:hint="eastAsia" w:cs="Times New Roman"/>
                <w:b/>
                <w:bCs w:val="0"/>
                <w:lang w:val="en-US" w:eastAsia="zh-CN"/>
              </w:rPr>
              <w:t>5</w:t>
            </w:r>
            <w:r>
              <w:rPr>
                <w:rFonts w:hint="eastAsia" w:ascii="Times New Roman" w:hAnsi="Times New Roman" w:cs="Times New Roman"/>
                <w:b/>
                <w:bCs w:val="0"/>
              </w:rPr>
              <w:t>分）</w:t>
            </w:r>
            <w:r>
              <w:rPr>
                <w:rFonts w:hint="eastAsia" w:ascii="Times New Roman" w:hAnsi="Times New Roman" w:cs="Times New Roman"/>
                <w:b/>
                <w:bCs w:val="0"/>
                <w:color w:val="auto"/>
                <w:highlight w:val="none"/>
                <w:lang w:val="en-US" w:eastAsia="zh-CN"/>
              </w:rPr>
              <w:t>：</w:t>
            </w:r>
          </w:p>
          <w:p>
            <w:pPr>
              <w:keepNext w:val="0"/>
              <w:keepLines w:val="0"/>
              <w:pageBreakBefore w:val="0"/>
              <w:widowControl/>
              <w:kinsoku/>
              <w:wordWrap/>
              <w:overflowPunct/>
              <w:topLinePunct w:val="0"/>
              <w:bidi w:val="0"/>
              <w:adjustRightInd/>
              <w:spacing w:line="360" w:lineRule="exact"/>
              <w:textAlignment w:val="auto"/>
              <w:rPr>
                <w:rFonts w:hint="eastAsia"/>
                <w:lang w:eastAsia="zh-CN"/>
              </w:rPr>
            </w:pPr>
            <w:r>
              <w:rPr>
                <w:rFonts w:hint="eastAsia"/>
                <w:color w:val="auto"/>
                <w:highlight w:val="none"/>
                <w:lang w:val="en-US" w:eastAsia="zh-CN"/>
              </w:rPr>
              <w:t>应急供应方案</w:t>
            </w:r>
            <w:r>
              <w:rPr>
                <w:rFonts w:hint="eastAsia" w:ascii="宋体" w:hAnsi="宋体" w:cs="宋体"/>
                <w:color w:val="auto"/>
                <w:kern w:val="0"/>
                <w:szCs w:val="21"/>
              </w:rPr>
              <w:t>切合实际需求、供</w:t>
            </w:r>
            <w:r>
              <w:rPr>
                <w:rFonts w:hint="eastAsia" w:ascii="宋体" w:hAnsi="宋体" w:cs="宋体"/>
                <w:color w:val="auto"/>
                <w:kern w:val="0"/>
                <w:szCs w:val="21"/>
                <w:lang w:val="en-US" w:eastAsia="zh-CN"/>
              </w:rPr>
              <w:t>应</w:t>
            </w:r>
            <w:r>
              <w:rPr>
                <w:rFonts w:hint="eastAsia" w:ascii="宋体" w:hAnsi="宋体" w:cs="宋体"/>
                <w:color w:val="auto"/>
                <w:kern w:val="0"/>
                <w:szCs w:val="21"/>
              </w:rPr>
              <w:t>保障流程设计合理，能确保供</w:t>
            </w:r>
            <w:r>
              <w:rPr>
                <w:rFonts w:hint="eastAsia" w:ascii="宋体" w:hAnsi="宋体" w:cs="宋体"/>
                <w:color w:val="auto"/>
                <w:kern w:val="0"/>
                <w:szCs w:val="21"/>
                <w:lang w:val="en-US" w:eastAsia="zh-CN"/>
              </w:rPr>
              <w:t>应</w:t>
            </w:r>
            <w:r>
              <w:rPr>
                <w:rFonts w:hint="eastAsia" w:ascii="宋体" w:hAnsi="宋体" w:cs="宋体"/>
                <w:color w:val="auto"/>
                <w:kern w:val="0"/>
                <w:szCs w:val="21"/>
              </w:rPr>
              <w:t>的得</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r>
              <w:rPr>
                <w:rFonts w:hint="eastAsia"/>
                <w:color w:val="auto"/>
                <w:highlight w:val="none"/>
                <w:lang w:val="en-US" w:eastAsia="zh-CN"/>
              </w:rPr>
              <w:t>方案</w:t>
            </w:r>
            <w:r>
              <w:rPr>
                <w:rFonts w:hint="eastAsia" w:ascii="宋体" w:hAnsi="宋体" w:cs="宋体"/>
                <w:color w:val="auto"/>
                <w:kern w:val="0"/>
                <w:szCs w:val="21"/>
              </w:rPr>
              <w:t>满足招标文件要求、供</w:t>
            </w:r>
            <w:r>
              <w:rPr>
                <w:rFonts w:hint="eastAsia" w:ascii="宋体" w:hAnsi="宋体" w:cs="宋体"/>
                <w:color w:val="auto"/>
                <w:kern w:val="0"/>
                <w:szCs w:val="21"/>
                <w:lang w:val="en-US" w:eastAsia="zh-CN"/>
              </w:rPr>
              <w:t>应</w:t>
            </w:r>
            <w:r>
              <w:rPr>
                <w:rFonts w:hint="eastAsia" w:ascii="宋体" w:hAnsi="宋体" w:cs="宋体"/>
                <w:color w:val="auto"/>
                <w:kern w:val="0"/>
                <w:szCs w:val="21"/>
              </w:rPr>
              <w:t>方式有缺漏、部分细节有待补充</w:t>
            </w:r>
            <w:r>
              <w:rPr>
                <w:rFonts w:hint="eastAsia" w:ascii="宋体" w:hAnsi="宋体" w:cs="宋体"/>
                <w:color w:val="auto"/>
                <w:kern w:val="0"/>
                <w:szCs w:val="21"/>
                <w:lang w:eastAsia="zh-CN"/>
              </w:rPr>
              <w:t>，</w:t>
            </w:r>
            <w:r>
              <w:rPr>
                <w:rFonts w:hint="eastAsia" w:ascii="宋体" w:hAnsi="宋体" w:cs="宋体"/>
                <w:color w:val="auto"/>
                <w:kern w:val="0"/>
                <w:szCs w:val="21"/>
              </w:rPr>
              <w:t>基本能确保供</w:t>
            </w:r>
            <w:r>
              <w:rPr>
                <w:rFonts w:hint="eastAsia" w:ascii="宋体" w:hAnsi="宋体" w:cs="宋体"/>
                <w:color w:val="auto"/>
                <w:kern w:val="0"/>
                <w:szCs w:val="21"/>
                <w:lang w:val="en-US" w:eastAsia="zh-CN"/>
              </w:rPr>
              <w:t>应</w:t>
            </w:r>
            <w:r>
              <w:rPr>
                <w:rFonts w:hint="eastAsia" w:ascii="宋体" w:hAnsi="宋体" w:cs="宋体"/>
                <w:color w:val="auto"/>
                <w:kern w:val="0"/>
                <w:szCs w:val="21"/>
              </w:rPr>
              <w:t>的得</w:t>
            </w:r>
            <w:r>
              <w:rPr>
                <w:rFonts w:hint="eastAsia" w:ascii="宋体" w:hAnsi="宋体" w:cs="宋体"/>
                <w:color w:val="auto"/>
                <w:kern w:val="0"/>
                <w:szCs w:val="21"/>
                <w:lang w:val="en-US" w:eastAsia="zh-CN"/>
              </w:rPr>
              <w:t>2.5</w:t>
            </w:r>
            <w:r>
              <w:rPr>
                <w:rFonts w:hint="eastAsia" w:ascii="宋体" w:hAnsi="宋体" w:cs="宋体"/>
                <w:color w:val="auto"/>
                <w:kern w:val="0"/>
                <w:szCs w:val="21"/>
              </w:rPr>
              <w:t>分；方案基本满足招标文件要求，但实际操作存在供</w:t>
            </w:r>
            <w:r>
              <w:rPr>
                <w:rFonts w:hint="eastAsia" w:ascii="宋体" w:hAnsi="宋体" w:cs="宋体"/>
                <w:color w:val="auto"/>
                <w:kern w:val="0"/>
                <w:szCs w:val="21"/>
                <w:lang w:val="en-US" w:eastAsia="zh-CN"/>
              </w:rPr>
              <w:t>应</w:t>
            </w:r>
            <w:r>
              <w:rPr>
                <w:rFonts w:hint="eastAsia" w:ascii="宋体" w:hAnsi="宋体" w:cs="宋体"/>
                <w:color w:val="auto"/>
                <w:kern w:val="0"/>
                <w:szCs w:val="21"/>
              </w:rPr>
              <w:t>风险的得</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r>
              <w:rPr>
                <w:rFonts w:hint="eastAsia" w:ascii="宋体" w:hAnsi="宋体" w:cs="宋体"/>
                <w:color w:val="auto"/>
                <w:kern w:val="0"/>
                <w:szCs w:val="21"/>
                <w:lang w:eastAsia="zh-CN"/>
              </w:rPr>
              <w:t>。</w:t>
            </w:r>
            <w:r>
              <w:rPr>
                <w:rFonts w:hint="eastAsia" w:ascii="Times New Roman" w:hAnsi="Times New Roman" w:cs="Times New Roman"/>
                <w:b w:val="0"/>
                <w:bCs w:val="0"/>
                <w:color w:val="auto"/>
                <w:highlight w:val="none"/>
                <w:lang w:val="en-US" w:eastAsia="zh-CN"/>
              </w:rPr>
              <w:t>注：以上评分项供应商若未提供相应内容不得分。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5</w:t>
            </w:r>
            <w:r>
              <w:rPr>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9"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rFonts w:ascii="Times New Roman" w:hAnsi="Times New Roman" w:cs="Times New Roman"/>
                <w:b/>
                <w:bCs w:val="0"/>
              </w:rPr>
            </w:pPr>
            <w:r>
              <w:rPr>
                <w:rFonts w:hint="eastAsia" w:ascii="Times New Roman" w:hAnsi="Times New Roman" w:cs="Times New Roman"/>
                <w:b/>
                <w:bCs w:val="0"/>
              </w:rPr>
              <w:t>4</w:t>
            </w:r>
            <w:r>
              <w:rPr>
                <w:rFonts w:hint="eastAsia" w:ascii="Times New Roman" w:hAnsi="Times New Roman" w:cs="Times New Roman"/>
                <w:b/>
                <w:bCs w:val="0"/>
                <w:lang w:val="en-US" w:eastAsia="zh-CN"/>
              </w:rPr>
              <w:t>.安全措施</w:t>
            </w:r>
            <w:r>
              <w:rPr>
                <w:rFonts w:ascii="Times New Roman" w:hAnsi="Times New Roman" w:cs="Times New Roman"/>
                <w:b/>
                <w:bCs w:val="0"/>
              </w:rPr>
              <w:t>（</w:t>
            </w:r>
            <w:r>
              <w:rPr>
                <w:rFonts w:hint="eastAsia" w:cs="Times New Roman"/>
                <w:b/>
                <w:bCs w:val="0"/>
                <w:lang w:val="en-US" w:eastAsia="zh-CN"/>
              </w:rPr>
              <w:t>6</w:t>
            </w:r>
            <w:r>
              <w:rPr>
                <w:rFonts w:ascii="Times New Roman" w:hAnsi="Times New Roman" w:cs="Times New Roman"/>
                <w:b/>
                <w:bCs w:val="0"/>
              </w:rPr>
              <w:t>分）</w:t>
            </w:r>
            <w:r>
              <w:rPr>
                <w:rFonts w:hint="eastAsia" w:ascii="Times New Roman" w:hAnsi="Times New Roman" w:cs="Times New Roman"/>
                <w:b/>
                <w:bCs w:val="0"/>
                <w:color w:val="auto"/>
                <w:highlight w:val="none"/>
                <w:lang w:val="en-US" w:eastAsia="zh-CN"/>
              </w:rPr>
              <w:t>：</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color w:val="auto"/>
                <w:highlight w:val="none"/>
                <w:lang w:val="en-US" w:eastAsia="zh-CN"/>
              </w:rPr>
              <w:t>4.1安全管理制度</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制度全面、合理，安全管理人员及设施设备配备齐全的得</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分；未落实安全管理制度或安全管理人员及设施设备配备不合理的得</w:t>
            </w: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4.2安全事故应急预案（</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color w:val="auto"/>
                <w:highlight w:val="none"/>
                <w:lang w:val="en-US" w:eastAsia="zh-CN"/>
              </w:rPr>
            </w:pPr>
            <w:r>
              <w:rPr>
                <w:rFonts w:hint="eastAsia"/>
                <w:color w:val="auto"/>
                <w:highlight w:val="none"/>
                <w:lang w:val="en-US" w:eastAsia="zh-CN"/>
              </w:rPr>
              <w:t>安全事故考虑全面涉及服务全过程、多方面，方案内容详实，应急措施操作性强，有应急演练经历的得3分；安全事故应急预案笼统、单一、缺乏操作性，或没有应急演练经历的得1分。</w:t>
            </w:r>
          </w:p>
          <w:p>
            <w:pPr>
              <w:keepNext w:val="0"/>
              <w:keepLines w:val="0"/>
              <w:pageBreakBefore w:val="0"/>
              <w:widowControl/>
              <w:kinsoku/>
              <w:wordWrap/>
              <w:overflowPunct/>
              <w:topLinePunct w:val="0"/>
              <w:bidi w:val="0"/>
              <w:adjustRightInd/>
              <w:spacing w:line="360" w:lineRule="exact"/>
              <w:textAlignment w:val="auto"/>
              <w:rPr>
                <w:b/>
              </w:rPr>
            </w:pPr>
            <w:r>
              <w:rPr>
                <w:rFonts w:hint="eastAsia" w:ascii="Times New Roman" w:hAnsi="Times New Roman" w:cs="Times New Roman"/>
                <w:color w:val="auto"/>
                <w:highlight w:val="none"/>
                <w:lang w:val="en-US" w:eastAsia="zh-CN"/>
              </w:rPr>
              <w:t>注：以上评分项供应商若未提供相应内容不得分。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6</w:t>
            </w:r>
            <w:r>
              <w:rPr>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19"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5.售后服务（</w:t>
            </w:r>
            <w:r>
              <w:rPr>
                <w:rFonts w:hint="eastAsia" w:cs="Times New Roman"/>
                <w:b/>
                <w:bCs w:val="0"/>
                <w:lang w:val="en-US" w:eastAsia="zh-CN"/>
              </w:rPr>
              <w:t>6</w:t>
            </w:r>
            <w:r>
              <w:rPr>
                <w:rFonts w:hint="eastAsia" w:ascii="Times New Roman" w:hAnsi="Times New Roman" w:cs="Times New Roman"/>
                <w:b/>
                <w:bCs w:val="0"/>
                <w:lang w:val="en-US" w:eastAsia="zh-CN"/>
              </w:rPr>
              <w:t>分）</w:t>
            </w:r>
            <w:r>
              <w:rPr>
                <w:rFonts w:hint="eastAsia" w:ascii="Times New Roman" w:hAnsi="Times New Roman" w:cs="Times New Roman"/>
                <w:b/>
                <w:bCs w:val="0"/>
                <w:color w:val="auto"/>
                <w:highlight w:val="none"/>
                <w:lang w:val="en-US" w:eastAsia="zh-CN"/>
              </w:rPr>
              <w:t>：</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售后服务考虑全面，响应迅速、后备力量强大，安全及质量服务目标承诺合理可行，遇到问题的整改处理措施合理可行、响应及时的得</w:t>
            </w:r>
            <w:r>
              <w:rPr>
                <w:rFonts w:hint="eastAsia" w:cs="Times New Roman"/>
                <w:color w:val="auto"/>
                <w:highlight w:val="none"/>
                <w:lang w:val="en-US" w:eastAsia="zh-CN"/>
              </w:rPr>
              <w:t>6</w:t>
            </w:r>
            <w:r>
              <w:rPr>
                <w:rFonts w:hint="eastAsia" w:ascii="Times New Roman" w:hAnsi="Times New Roman" w:cs="Times New Roman"/>
                <w:color w:val="auto"/>
                <w:highlight w:val="none"/>
                <w:lang w:val="en-US" w:eastAsia="zh-CN"/>
              </w:rPr>
              <w:t>分；售后服务内容基本完整但有细节部分欠缺，响应及时性较差，措施保障能基本满足项目采购需求得</w:t>
            </w: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分；方案不完整，安全及质量服务目标承诺不切实际，遇到问题的整改处理措施笼统、单一的，措施保障有欠缺得</w:t>
            </w: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注：以上评分项供应商若未提供相应内容不得分。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6</w:t>
            </w:r>
            <w:r>
              <w:rPr>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3"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6.</w:t>
            </w:r>
            <w:r>
              <w:rPr>
                <w:rFonts w:hint="default" w:ascii="Times New Roman" w:hAnsi="Times New Roman" w:cs="Times New Roman"/>
                <w:b/>
                <w:bCs w:val="0"/>
                <w:lang w:val="en-US" w:eastAsia="zh-CN"/>
              </w:rPr>
              <w:t>海上加油站</w:t>
            </w:r>
            <w:r>
              <w:rPr>
                <w:rFonts w:hint="eastAsia" w:ascii="Times New Roman" w:hAnsi="Times New Roman" w:cs="Times New Roman"/>
                <w:b/>
                <w:bCs w:val="0"/>
                <w:lang w:val="en-US" w:eastAsia="zh-CN"/>
              </w:rPr>
              <w:t>（6分）：</w:t>
            </w:r>
          </w:p>
          <w:p>
            <w:pPr>
              <w:keepNext w:val="0"/>
              <w:keepLines w:val="0"/>
              <w:pageBreakBefore w:val="0"/>
              <w:kinsoku/>
              <w:wordWrap/>
              <w:overflowPunct/>
              <w:topLinePunct w:val="0"/>
              <w:bidi w:val="0"/>
              <w:adjustRightInd/>
              <w:spacing w:line="360" w:lineRule="exact"/>
              <w:contextualSpacing/>
              <w:jc w:val="left"/>
              <w:textAlignment w:val="auto"/>
              <w:rPr>
                <w:rFonts w:hint="eastAsia"/>
                <w:szCs w:val="21"/>
                <w:lang w:val="en-US" w:eastAsia="zh-CN"/>
              </w:rPr>
            </w:pPr>
            <w:r>
              <w:rPr>
                <w:rFonts w:hint="eastAsia"/>
                <w:szCs w:val="21"/>
                <w:lang w:val="en-US" w:eastAsia="zh-CN"/>
              </w:rPr>
              <w:t>投标人在象山石浦、宁波港区域有海上固定加油站且具备600吨级及以上执法船靠泊条件的，具有1个不得分，具有2个得2分，具有3个得4分，具有4个得6分，本项最高得6分。</w:t>
            </w:r>
          </w:p>
          <w:p>
            <w:pPr>
              <w:keepNext w:val="0"/>
              <w:keepLines w:val="0"/>
              <w:pageBreakBefore w:val="0"/>
              <w:kinsoku/>
              <w:wordWrap/>
              <w:overflowPunct/>
              <w:topLinePunct w:val="0"/>
              <w:bidi w:val="0"/>
              <w:adjustRightInd/>
              <w:spacing w:line="360" w:lineRule="exact"/>
              <w:contextualSpacing/>
              <w:jc w:val="left"/>
              <w:textAlignment w:val="auto"/>
              <w:rPr>
                <w:rFonts w:hint="eastAsia"/>
                <w:szCs w:val="21"/>
                <w:lang w:val="en-US" w:eastAsia="zh-CN"/>
              </w:rPr>
            </w:pPr>
            <w:r>
              <w:rPr>
                <w:rFonts w:hint="eastAsia"/>
                <w:szCs w:val="21"/>
                <w:lang w:val="en-US" w:eastAsia="zh-CN"/>
              </w:rPr>
              <w:t>注：投标文件中提供相应证明材料并加盖公章，未提供或不符合或不能体现的均不得分。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rFonts w:hint="eastAsia"/>
                <w:szCs w:val="21"/>
                <w:lang w:val="en-US" w:eastAsia="zh-CN"/>
              </w:rPr>
            </w:pPr>
            <w:r>
              <w:rPr>
                <w:rFonts w:hint="eastAsia"/>
                <w:szCs w:val="21"/>
                <w:lang w:val="en-US" w:eastAsia="zh-CN"/>
              </w:rPr>
              <w:t>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rFonts w:hint="eastAsia" w:ascii="Times New Roman" w:hAnsi="Times New Roman" w:cs="Times New Roman"/>
                <w:b/>
                <w:bCs w:val="0"/>
                <w:lang w:val="en-US" w:eastAsia="zh-CN"/>
              </w:rPr>
            </w:pPr>
            <w:r>
              <w:rPr>
                <w:rFonts w:hint="eastAsia" w:cs="Times New Roman"/>
                <w:b/>
                <w:bCs w:val="0"/>
                <w:lang w:val="en-US" w:eastAsia="zh-CN"/>
              </w:rPr>
              <w:t>7</w:t>
            </w:r>
            <w:r>
              <w:rPr>
                <w:rFonts w:hint="eastAsia" w:ascii="Times New Roman" w:hAnsi="Times New Roman" w:cs="Times New Roman"/>
                <w:b/>
                <w:bCs w:val="0"/>
                <w:lang w:val="en-US" w:eastAsia="zh-CN"/>
              </w:rPr>
              <w:t>.体系认证（3分）</w:t>
            </w:r>
            <w:r>
              <w:rPr>
                <w:rFonts w:hint="eastAsia" w:ascii="Times New Roman" w:hAnsi="Times New Roman" w:cs="Times New Roman"/>
                <w:b/>
                <w:bCs w:val="0"/>
                <w:color w:val="auto"/>
                <w:highlight w:val="none"/>
                <w:lang w:val="en-US" w:eastAsia="zh-CN"/>
              </w:rPr>
              <w:t>：</w:t>
            </w:r>
          </w:p>
          <w:p>
            <w:pPr>
              <w:keepNext w:val="0"/>
              <w:keepLines w:val="0"/>
              <w:pageBreakBefore w:val="0"/>
              <w:widowControl/>
              <w:kinsoku/>
              <w:wordWrap/>
              <w:overflowPunct/>
              <w:topLinePunct w:val="0"/>
              <w:bidi w:val="0"/>
              <w:adjustRightInd/>
              <w:spacing w:line="360" w:lineRule="exact"/>
              <w:textAlignment w:val="auto"/>
              <w:rPr>
                <w:rFonts w:hint="eastAsia" w:ascii="Calibri" w:hAnsi="Calibri" w:cs="Calibri"/>
                <w:color w:val="auto"/>
                <w:highlight w:val="none"/>
                <w:lang w:val="en-US" w:eastAsia="zh-CN"/>
              </w:rPr>
            </w:pPr>
            <w:r>
              <w:rPr>
                <w:rFonts w:hint="eastAsia" w:ascii="Calibri" w:hAnsi="Calibri" w:cs="Calibri"/>
                <w:color w:val="auto"/>
                <w:highlight w:val="none"/>
                <w:lang w:val="en-US" w:eastAsia="zh-CN"/>
              </w:rPr>
              <w:t>投标人或所投产品制造商具有有效的质量管理体系认证的得1分。</w:t>
            </w:r>
          </w:p>
          <w:p>
            <w:pPr>
              <w:keepNext w:val="0"/>
              <w:keepLines w:val="0"/>
              <w:pageBreakBefore w:val="0"/>
              <w:widowControl/>
              <w:kinsoku/>
              <w:wordWrap/>
              <w:overflowPunct/>
              <w:topLinePunct w:val="0"/>
              <w:bidi w:val="0"/>
              <w:adjustRightInd/>
              <w:spacing w:line="360" w:lineRule="exact"/>
              <w:textAlignment w:val="auto"/>
              <w:rPr>
                <w:rFonts w:hint="eastAsia" w:ascii="Calibri" w:hAnsi="Calibri" w:cs="Calibri"/>
                <w:color w:val="auto"/>
                <w:highlight w:val="none"/>
                <w:lang w:val="en-US" w:eastAsia="zh-CN"/>
              </w:rPr>
            </w:pPr>
            <w:r>
              <w:rPr>
                <w:rFonts w:hint="eastAsia" w:ascii="Calibri" w:hAnsi="Calibri" w:cs="Calibri"/>
                <w:color w:val="auto"/>
                <w:highlight w:val="none"/>
                <w:lang w:val="en-US" w:eastAsia="zh-CN"/>
              </w:rPr>
              <w:t>投标人或所投产品制造商具有有效的环境管理体系认证的得1分。</w:t>
            </w:r>
          </w:p>
          <w:p>
            <w:pPr>
              <w:keepNext w:val="0"/>
              <w:keepLines w:val="0"/>
              <w:pageBreakBefore w:val="0"/>
              <w:widowControl/>
              <w:kinsoku/>
              <w:wordWrap/>
              <w:overflowPunct/>
              <w:topLinePunct w:val="0"/>
              <w:bidi w:val="0"/>
              <w:adjustRightInd/>
              <w:spacing w:line="360" w:lineRule="exact"/>
              <w:textAlignment w:val="auto"/>
              <w:rPr>
                <w:rFonts w:hint="eastAsia" w:ascii="Calibri" w:hAnsi="Calibri" w:cs="Calibri"/>
                <w:color w:val="auto"/>
                <w:spacing w:val="-11"/>
                <w:sz w:val="21"/>
                <w:highlight w:val="none"/>
                <w:lang w:val="en-US" w:eastAsia="zh-CN"/>
              </w:rPr>
            </w:pPr>
            <w:r>
              <w:rPr>
                <w:rFonts w:hint="eastAsia" w:ascii="Calibri" w:hAnsi="Calibri" w:cs="Calibri"/>
                <w:color w:val="auto"/>
                <w:spacing w:val="-11"/>
                <w:sz w:val="21"/>
                <w:highlight w:val="none"/>
                <w:lang w:val="en-US" w:eastAsia="zh-CN"/>
              </w:rPr>
              <w:t>投标人或所投产品制造商具有有效的职业健康与安全管理体系认证的得1分。</w:t>
            </w:r>
          </w:p>
          <w:p>
            <w:pPr>
              <w:keepNext w:val="0"/>
              <w:keepLines w:val="0"/>
              <w:pageBreakBefore w:val="0"/>
              <w:widowControl/>
              <w:kinsoku/>
              <w:wordWrap/>
              <w:overflowPunct/>
              <w:topLinePunct w:val="0"/>
              <w:bidi w:val="0"/>
              <w:adjustRightInd/>
              <w:spacing w:line="360" w:lineRule="exact"/>
              <w:textAlignment w:val="auto"/>
              <w:rPr>
                <w:rFonts w:hint="eastAsia" w:ascii="Calibri" w:hAnsi="Calibri" w:cs="Calibri"/>
                <w:color w:val="auto"/>
                <w:highlight w:val="none"/>
                <w:lang w:val="en-US" w:eastAsia="zh-CN"/>
              </w:rPr>
            </w:pPr>
            <w:r>
              <w:rPr>
                <w:rFonts w:hint="eastAsia" w:ascii="Calibri" w:hAnsi="Calibri" w:cs="Calibri"/>
                <w:color w:val="auto"/>
                <w:highlight w:val="none"/>
                <w:lang w:val="en-US" w:eastAsia="zh-CN"/>
              </w:rPr>
              <w:t>注：提供有效期内的认证证书复印件加盖公章，未提供或不符合不得分。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3</w:t>
            </w:r>
            <w:r>
              <w:rPr>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rFonts w:hint="eastAsia" w:ascii="Times New Roman" w:hAnsi="Times New Roman" w:cs="Times New Roman"/>
                <w:b/>
                <w:bCs w:val="0"/>
                <w:lang w:val="en-US" w:eastAsia="zh-CN"/>
              </w:rPr>
            </w:pPr>
            <w:r>
              <w:rPr>
                <w:rFonts w:hint="eastAsia" w:cs="Times New Roman"/>
                <w:b/>
                <w:bCs w:val="0"/>
                <w:lang w:val="en-US" w:eastAsia="zh-CN"/>
              </w:rPr>
              <w:t>8</w:t>
            </w:r>
            <w:r>
              <w:rPr>
                <w:rFonts w:hint="eastAsia" w:ascii="Times New Roman" w:hAnsi="Times New Roman" w:cs="Times New Roman"/>
                <w:b/>
                <w:bCs w:val="0"/>
                <w:lang w:val="en-US" w:eastAsia="zh-CN"/>
              </w:rPr>
              <w:t>.同类业绩（3分）</w:t>
            </w:r>
            <w:r>
              <w:rPr>
                <w:rFonts w:hint="eastAsia" w:ascii="Times New Roman" w:hAnsi="Times New Roman" w:cs="Times New Roman"/>
                <w:b/>
                <w:bCs w:val="0"/>
                <w:color w:val="auto"/>
                <w:highlight w:val="none"/>
                <w:lang w:val="en-US" w:eastAsia="zh-CN"/>
              </w:rPr>
              <w:t>：</w:t>
            </w:r>
          </w:p>
          <w:p>
            <w:pPr>
              <w:keepNext w:val="0"/>
              <w:keepLines w:val="0"/>
              <w:pageBreakBefore w:val="0"/>
              <w:kinsoku/>
              <w:wordWrap/>
              <w:overflowPunct/>
              <w:topLinePunct w:val="0"/>
              <w:bidi w:val="0"/>
              <w:adjustRightInd/>
              <w:spacing w:line="360" w:lineRule="exact"/>
              <w:textAlignment w:val="auto"/>
              <w:rPr>
                <w:rFonts w:hint="eastAsia" w:ascii="Times New Roman" w:hAnsi="Times New Roman" w:cs="Times New Roman"/>
              </w:rPr>
            </w:pPr>
            <w:r>
              <w:rPr>
                <w:rFonts w:hint="eastAsia" w:ascii="Times New Roman" w:hAnsi="Times New Roman" w:cs="Times New Roman"/>
              </w:rPr>
              <w:t>根据投标人提供的202</w:t>
            </w:r>
            <w:r>
              <w:rPr>
                <w:rFonts w:hint="eastAsia" w:ascii="Times New Roman" w:hAnsi="Times New Roman" w:cs="Times New Roman"/>
                <w:lang w:val="en-US" w:eastAsia="zh-CN"/>
              </w:rPr>
              <w:t>1</w:t>
            </w:r>
            <w:r>
              <w:rPr>
                <w:rFonts w:hint="eastAsia" w:ascii="Times New Roman" w:hAnsi="Times New Roman" w:cs="Times New Roman"/>
              </w:rPr>
              <w:t>年</w:t>
            </w:r>
            <w:r>
              <w:rPr>
                <w:rFonts w:hint="eastAsia" w:cs="Times New Roman"/>
                <w:lang w:val="en-US" w:eastAsia="zh-CN"/>
              </w:rPr>
              <w:t>2</w:t>
            </w:r>
            <w:r>
              <w:rPr>
                <w:rFonts w:hint="eastAsia" w:ascii="Times New Roman" w:hAnsi="Times New Roman" w:cs="Times New Roman"/>
              </w:rPr>
              <w:t>月1日至今（以合同签订时间为准）</w:t>
            </w:r>
            <w:r>
              <w:rPr>
                <w:rFonts w:hint="eastAsia" w:ascii="Times New Roman" w:hAnsi="Times New Roman" w:cs="Times New Roman"/>
                <w:lang w:val="en-US" w:eastAsia="zh-CN"/>
              </w:rPr>
              <w:t>同类</w:t>
            </w:r>
            <w:r>
              <w:rPr>
                <w:rFonts w:hint="eastAsia" w:ascii="Times New Roman" w:hAnsi="Times New Roman" w:cs="Times New Roman"/>
              </w:rPr>
              <w:t>业绩，每</w:t>
            </w:r>
            <w:r>
              <w:rPr>
                <w:rFonts w:hint="eastAsia" w:ascii="Times New Roman" w:hAnsi="Times New Roman" w:cs="Times New Roman"/>
                <w:lang w:val="en-US" w:eastAsia="zh-CN"/>
              </w:rPr>
              <w:t>具有1个</w:t>
            </w:r>
            <w:r>
              <w:rPr>
                <w:rFonts w:hint="eastAsia" w:ascii="Times New Roman" w:hAnsi="Times New Roman" w:cs="Times New Roman"/>
              </w:rPr>
              <w:t>业绩合同得1分，</w:t>
            </w:r>
            <w:r>
              <w:rPr>
                <w:rFonts w:hint="eastAsia" w:ascii="Times New Roman" w:hAnsi="Times New Roman" w:cs="Times New Roman"/>
                <w:lang w:val="en-US" w:eastAsia="zh-CN"/>
              </w:rPr>
              <w:t>本项</w:t>
            </w:r>
            <w:r>
              <w:rPr>
                <w:rFonts w:hint="eastAsia" w:ascii="Times New Roman" w:hAnsi="Times New Roman" w:cs="Times New Roman"/>
              </w:rPr>
              <w:t>最高得3分。</w:t>
            </w:r>
          </w:p>
          <w:p>
            <w:pPr>
              <w:keepNext w:val="0"/>
              <w:keepLines w:val="0"/>
              <w:pageBreakBefore w:val="0"/>
              <w:kinsoku/>
              <w:wordWrap/>
              <w:overflowPunct/>
              <w:topLinePunct w:val="0"/>
              <w:bidi w:val="0"/>
              <w:adjustRightInd/>
              <w:spacing w:line="360" w:lineRule="exact"/>
              <w:textAlignment w:val="auto"/>
              <w:rPr>
                <w:rFonts w:hint="eastAsia" w:ascii="Times New Roman" w:hAnsi="Times New Roman" w:cs="Times New Roman"/>
              </w:rPr>
            </w:pPr>
            <w:r>
              <w:rPr>
                <w:rFonts w:hint="eastAsia" w:cs="Times New Roman"/>
                <w:lang w:val="en-US" w:eastAsia="zh-CN"/>
              </w:rPr>
              <w:t>注：</w:t>
            </w:r>
            <w:r>
              <w:rPr>
                <w:rFonts w:hint="eastAsia" w:ascii="Times New Roman" w:hAnsi="Times New Roman" w:cs="Times New Roman"/>
              </w:rPr>
              <w:t>根据投标文件中提供的业绩合同进行评分，未提供或</w:t>
            </w:r>
            <w:r>
              <w:rPr>
                <w:rFonts w:hint="eastAsia" w:cs="Times New Roman"/>
                <w:lang w:val="en-US" w:eastAsia="zh-CN"/>
              </w:rPr>
              <w:t>提供页数、材料不全</w:t>
            </w:r>
            <w:r>
              <w:rPr>
                <w:rFonts w:hint="eastAsia" w:ascii="Times New Roman" w:hAnsi="Times New Roman" w:cs="Times New Roman"/>
              </w:rPr>
              <w:t>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3</w:t>
            </w:r>
            <w:r>
              <w:rPr>
                <w:szCs w:val="21"/>
              </w:rPr>
              <w:t>分</w:t>
            </w:r>
          </w:p>
        </w:tc>
      </w:tr>
    </w:tbl>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r>
        <w:rPr>
          <w:szCs w:val="21"/>
        </w:rPr>
        <w:br w:type="page"/>
      </w:r>
    </w:p>
    <w:tbl>
      <w:tblPr>
        <w:tblStyle w:val="48"/>
        <w:tblW w:w="8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7182"/>
        <w:gridCol w:w="9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82" w:type="dxa"/>
            <w:textDirection w:val="tbRlV"/>
            <w:vAlign w:val="center"/>
          </w:tcPr>
          <w:p>
            <w:pPr>
              <w:pStyle w:val="3"/>
            </w:pPr>
          </w:p>
        </w:tc>
        <w:tc>
          <w:tcPr>
            <w:tcW w:w="7182" w:type="dxa"/>
            <w:vAlign w:val="center"/>
          </w:tcPr>
          <w:p>
            <w:pPr>
              <w:keepNext w:val="0"/>
              <w:keepLines w:val="0"/>
              <w:pageBreakBefore w:val="0"/>
              <w:kinsoku/>
              <w:wordWrap/>
              <w:overflowPunct/>
              <w:topLinePunct w:val="0"/>
              <w:bidi w:val="0"/>
              <w:adjustRightInd/>
              <w:spacing w:line="360" w:lineRule="exact"/>
              <w:textAlignment w:val="auto"/>
              <w:rPr>
                <w:rFonts w:ascii="宋体" w:hAnsi="宋体"/>
                <w:b/>
                <w:color w:val="auto"/>
                <w:szCs w:val="21"/>
              </w:rPr>
            </w:pPr>
            <w:r>
              <w:rPr>
                <w:rFonts w:hint="eastAsia"/>
                <w:b/>
                <w:lang w:val="en-US" w:eastAsia="zh-CN"/>
              </w:rPr>
              <w:t>9.</w:t>
            </w:r>
            <w:r>
              <w:rPr>
                <w:rFonts w:hint="eastAsia" w:ascii="宋体" w:hAnsi="宋体"/>
                <w:b/>
                <w:color w:val="auto"/>
                <w:szCs w:val="21"/>
              </w:rPr>
              <w:t>政策性因素加分（1分）</w:t>
            </w:r>
            <w:r>
              <w:rPr>
                <w:rFonts w:hint="eastAsia" w:ascii="Times New Roman" w:hAnsi="Times New Roman" w:cs="Times New Roman"/>
                <w:b/>
                <w:bCs w:val="0"/>
                <w:color w:val="auto"/>
                <w:highlight w:val="none"/>
                <w:lang w:val="en-US" w:eastAsia="zh-CN"/>
              </w:rPr>
              <w:t>：</w:t>
            </w:r>
          </w:p>
          <w:p>
            <w:pPr>
              <w:keepNext w:val="0"/>
              <w:keepLines w:val="0"/>
              <w:pageBreakBefore w:val="0"/>
              <w:kinsoku/>
              <w:wordWrap/>
              <w:overflowPunct/>
              <w:topLinePunct w:val="0"/>
              <w:bidi w:val="0"/>
              <w:adjustRightInd/>
              <w:spacing w:line="360" w:lineRule="exact"/>
              <w:textAlignment w:val="auto"/>
              <w:rPr>
                <w:rFonts w:hint="eastAsia" w:ascii="宋体" w:hAnsi="宋体" w:cs="Times New Roman"/>
                <w:color w:val="auto"/>
                <w:szCs w:val="21"/>
              </w:rPr>
            </w:pPr>
            <w:r>
              <w:rPr>
                <w:rFonts w:hint="eastAsia" w:ascii="宋体" w:hAnsi="宋体" w:cs="Times New Roman"/>
                <w:color w:val="auto"/>
                <w:szCs w:val="21"/>
              </w:rPr>
              <w:t>投标产品为节能产品，提供有效期内节能产品认证证书的加0.5分；</w:t>
            </w:r>
          </w:p>
          <w:p>
            <w:pPr>
              <w:keepNext w:val="0"/>
              <w:keepLines w:val="0"/>
              <w:pageBreakBefore w:val="0"/>
              <w:kinsoku/>
              <w:wordWrap/>
              <w:overflowPunct/>
              <w:topLinePunct w:val="0"/>
              <w:bidi w:val="0"/>
              <w:adjustRightInd/>
              <w:spacing w:line="360" w:lineRule="exact"/>
              <w:textAlignment w:val="auto"/>
              <w:rPr>
                <w:rFonts w:hint="eastAsia" w:ascii="宋体" w:hAnsi="宋体" w:cs="Times New Roman"/>
                <w:color w:val="auto"/>
                <w:szCs w:val="21"/>
                <w:lang w:eastAsia="zh-CN"/>
              </w:rPr>
            </w:pPr>
            <w:r>
              <w:rPr>
                <w:rFonts w:hint="eastAsia" w:ascii="宋体" w:hAnsi="宋体" w:cs="Times New Roman"/>
                <w:color w:val="auto"/>
                <w:szCs w:val="21"/>
              </w:rPr>
              <w:t>投标产品为环境标志产品，提供有效期内环境标志产品认证证书的加0.5分。</w:t>
            </w:r>
          </w:p>
          <w:p>
            <w:pPr>
              <w:keepNext w:val="0"/>
              <w:keepLines w:val="0"/>
              <w:pageBreakBefore w:val="0"/>
              <w:kinsoku/>
              <w:wordWrap/>
              <w:overflowPunct/>
              <w:topLinePunct w:val="0"/>
              <w:bidi w:val="0"/>
              <w:adjustRightInd/>
              <w:spacing w:line="360" w:lineRule="exact"/>
              <w:textAlignment w:val="auto"/>
            </w:pPr>
            <w:r>
              <w:rPr>
                <w:rFonts w:hint="eastAsia" w:ascii="宋体" w:hAnsi="宋体" w:cs="Times New Roman"/>
                <w:color w:val="auto"/>
                <w:szCs w:val="21"/>
                <w:lang w:eastAsia="zh-CN"/>
              </w:rPr>
              <w:t>（</w:t>
            </w:r>
            <w:r>
              <w:rPr>
                <w:rFonts w:hint="eastAsia" w:ascii="宋体" w:hAnsi="宋体" w:cs="Times New Roman"/>
                <w:color w:val="auto"/>
                <w:szCs w:val="21"/>
                <w:lang w:val="en-US" w:eastAsia="zh-CN"/>
              </w:rPr>
              <w:t>注：</w:t>
            </w:r>
            <w:r>
              <w:rPr>
                <w:rFonts w:hint="eastAsia" w:ascii="宋体" w:hAnsi="宋体" w:cs="Times New Roman"/>
                <w:color w:val="auto"/>
                <w:szCs w:val="21"/>
              </w:rPr>
              <w:t>投标产品如属于节能产品、环境标志产品的，投标人须提供由国家确定的认证机构出具的、处于有效期之内的节能产品、环境标志产品认证证书，未按要求提供认证证书或认证证书与中国政府采购网（</w:t>
            </w:r>
            <w:r>
              <w:rPr>
                <w:rFonts w:hint="eastAsia" w:ascii="宋体" w:hAnsi="宋体" w:cs="Times New Roman"/>
                <w:color w:val="auto"/>
                <w:szCs w:val="21"/>
              </w:rPr>
              <w:fldChar w:fldCharType="begin"/>
            </w:r>
            <w:r>
              <w:rPr>
                <w:rFonts w:hint="eastAsia" w:ascii="宋体" w:hAnsi="宋体" w:cs="Times New Roman"/>
                <w:color w:val="auto"/>
                <w:szCs w:val="21"/>
              </w:rPr>
              <w:instrText xml:space="preserve"> HYPERLINK "http://www.ccgp.gov.cn/" </w:instrText>
            </w:r>
            <w:r>
              <w:rPr>
                <w:rFonts w:hint="eastAsia" w:ascii="宋体" w:hAnsi="宋体" w:cs="Times New Roman"/>
                <w:color w:val="auto"/>
                <w:szCs w:val="21"/>
              </w:rPr>
              <w:fldChar w:fldCharType="separate"/>
            </w:r>
            <w:r>
              <w:rPr>
                <w:rFonts w:hint="eastAsia" w:ascii="宋体" w:hAnsi="宋体" w:cs="Times New Roman"/>
                <w:color w:val="auto"/>
                <w:szCs w:val="21"/>
              </w:rPr>
              <w:t>www.ccgp.gov.cn</w:t>
            </w:r>
            <w:r>
              <w:rPr>
                <w:rFonts w:hint="eastAsia" w:ascii="宋体" w:hAnsi="宋体" w:cs="Times New Roman"/>
                <w:color w:val="auto"/>
                <w:szCs w:val="21"/>
              </w:rPr>
              <w:fldChar w:fldCharType="end"/>
            </w:r>
            <w:r>
              <w:rPr>
                <w:rFonts w:hint="eastAsia" w:ascii="宋体" w:hAnsi="宋体" w:cs="Times New Roman"/>
                <w:color w:val="auto"/>
                <w:szCs w:val="21"/>
              </w:rPr>
              <w:t>）节能产品、环境标志产品查询结果不相符的评标委员会将不予认可，不得享受技术加分。由多个产品集成的项目（标项），必须所有产品符合上述要求才能享受技术加分</w:t>
            </w:r>
            <w:r>
              <w:rPr>
                <w:rFonts w:hint="eastAsia" w:ascii="宋体" w:hAnsi="宋体" w:cs="Times New Roman"/>
                <w:color w:val="auto"/>
                <w:szCs w:val="21"/>
                <w:lang w:eastAsia="zh-CN"/>
              </w:rPr>
              <w:t>）</w:t>
            </w:r>
            <w:r>
              <w:rPr>
                <w:rFonts w:hint="eastAsia" w:ascii="宋体" w:hAnsi="宋体" w:cs="Times New Roman"/>
                <w:color w:val="auto"/>
                <w:szCs w:val="21"/>
              </w:rPr>
              <w:t>。</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rFonts w:ascii="Times New Roman" w:hAnsi="Times New Roman" w:cs="Times New Roman"/>
                <w:szCs w:val="21"/>
              </w:rPr>
            </w:pPr>
            <w:r>
              <w:rPr>
                <w:rFonts w:hint="eastAsia" w:ascii="Times New Roman" w:hAnsi="Times New Roman" w:cs="Times New Roman"/>
                <w:szCs w:val="21"/>
                <w:lang w:val="en-US" w:eastAsia="zh-CN"/>
              </w:rPr>
              <w:t>1</w:t>
            </w:r>
            <w:r>
              <w:rPr>
                <w:rFonts w:ascii="Times New Roman" w:hAnsi="Times New Roman" w:cs="Times New Roman"/>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33" w:hRule="atLeast"/>
          <w:jc w:val="center"/>
        </w:trPr>
        <w:tc>
          <w:tcPr>
            <w:tcW w:w="882" w:type="dxa"/>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r>
              <w:rPr>
                <w:szCs w:val="21"/>
              </w:rPr>
              <w:t>价格分（</w:t>
            </w:r>
            <w:r>
              <w:rPr>
                <w:rFonts w:hint="eastAsia"/>
                <w:szCs w:val="21"/>
                <w:lang w:val="en-US" w:eastAsia="zh-CN"/>
              </w:rPr>
              <w:t>30</w:t>
            </w:r>
            <w:r>
              <w:rPr>
                <w:szCs w:val="21"/>
              </w:rPr>
              <w:t>分）</w:t>
            </w:r>
          </w:p>
        </w:tc>
        <w:tc>
          <w:tcPr>
            <w:tcW w:w="7182" w:type="dxa"/>
            <w:vAlign w:val="center"/>
          </w:tcPr>
          <w:p>
            <w:pPr>
              <w:keepNext w:val="0"/>
              <w:keepLines w:val="0"/>
              <w:pageBreakBefore w:val="0"/>
              <w:widowControl/>
              <w:kinsoku/>
              <w:wordWrap/>
              <w:overflowPunct/>
              <w:topLinePunct w:val="0"/>
              <w:bidi w:val="0"/>
              <w:adjustRightInd/>
              <w:spacing w:line="360" w:lineRule="exact"/>
              <w:textAlignment w:val="auto"/>
              <w:rPr>
                <w:b/>
                <w:szCs w:val="21"/>
              </w:rPr>
            </w:pPr>
            <w:r>
              <w:rPr>
                <w:b/>
                <w:szCs w:val="21"/>
              </w:rPr>
              <w:t>价格分（</w:t>
            </w:r>
            <w:r>
              <w:rPr>
                <w:rFonts w:hint="eastAsia"/>
                <w:b/>
                <w:szCs w:val="21"/>
                <w:lang w:val="en-US" w:eastAsia="zh-CN"/>
              </w:rPr>
              <w:t>30</w:t>
            </w:r>
            <w:r>
              <w:rPr>
                <w:b/>
                <w:szCs w:val="21"/>
              </w:rPr>
              <w:t>分）</w:t>
            </w:r>
          </w:p>
          <w:p>
            <w:pPr>
              <w:keepNext w:val="0"/>
              <w:keepLines w:val="0"/>
              <w:pageBreakBefore w:val="0"/>
              <w:kinsoku/>
              <w:wordWrap/>
              <w:overflowPunct/>
              <w:topLinePunct w:val="0"/>
              <w:bidi w:val="0"/>
              <w:adjustRightInd/>
              <w:spacing w:line="360" w:lineRule="exact"/>
              <w:textAlignment w:val="auto"/>
            </w:pPr>
            <w:r>
              <w:rPr>
                <w:rFonts w:hint="eastAsia"/>
              </w:rPr>
              <w:t>参与评审的价格=评标价-小微企业价格扣除优惠值10%</w:t>
            </w:r>
          </w:p>
          <w:p>
            <w:pPr>
              <w:keepNext w:val="0"/>
              <w:keepLines w:val="0"/>
              <w:pageBreakBefore w:val="0"/>
              <w:kinsoku/>
              <w:wordWrap/>
              <w:overflowPunct/>
              <w:topLinePunct w:val="0"/>
              <w:bidi w:val="0"/>
              <w:adjustRightInd/>
              <w:spacing w:line="360" w:lineRule="exact"/>
              <w:textAlignment w:val="auto"/>
              <w:rPr>
                <w:rFonts w:hint="default" w:eastAsia="宋体"/>
                <w:lang w:val="en-US" w:eastAsia="zh-CN"/>
              </w:rPr>
            </w:pPr>
            <w:r>
              <w:rPr>
                <w:rFonts w:hint="eastAsia"/>
              </w:rPr>
              <w:t>评标基准价=满足招</w:t>
            </w:r>
            <w:r>
              <w:rPr>
                <w:rFonts w:hint="eastAsia" w:ascii="Times New Roman" w:hAnsi="Times New Roman" w:eastAsia="宋体" w:cs="Times New Roman"/>
              </w:rPr>
              <w:t>标文件要求且“参与评审的价格”中</w:t>
            </w:r>
            <w:r>
              <w:rPr>
                <w:rFonts w:hint="eastAsia" w:ascii="Times New Roman" w:hAnsi="Times New Roman" w:eastAsia="宋体" w:cs="Times New Roman"/>
                <w:lang w:val="en-US" w:eastAsia="zh-CN"/>
              </w:rPr>
              <w:t>最低折扣率（即优惠程度最大）</w:t>
            </w:r>
            <w:r>
              <w:rPr>
                <w:rFonts w:hint="eastAsia" w:ascii="Times New Roman" w:hAnsi="Times New Roman" w:eastAsia="宋体" w:cs="Times New Roman"/>
              </w:rPr>
              <w:t>为评标基准价</w:t>
            </w:r>
            <w:r>
              <w:rPr>
                <w:rFonts w:hint="eastAsia" w:cs="Times New Roman"/>
                <w:lang w:eastAsia="zh-CN"/>
              </w:rPr>
              <w:t>。</w:t>
            </w:r>
            <w:r>
              <w:rPr>
                <w:rFonts w:hint="eastAsia" w:ascii="Times New Roman" w:hAnsi="Times New Roman" w:eastAsia="宋体" w:cs="Times New Roman"/>
                <w:lang w:val="en-US" w:eastAsia="zh-CN"/>
              </w:rPr>
              <w:t xml:space="preserve">  </w:t>
            </w:r>
          </w:p>
          <w:p>
            <w:pPr>
              <w:keepNext w:val="0"/>
              <w:keepLines w:val="0"/>
              <w:pageBreakBefore w:val="0"/>
              <w:kinsoku/>
              <w:wordWrap/>
              <w:overflowPunct/>
              <w:topLinePunct w:val="0"/>
              <w:bidi w:val="0"/>
              <w:adjustRightInd/>
              <w:spacing w:line="360" w:lineRule="exact"/>
              <w:textAlignment w:val="auto"/>
            </w:pPr>
            <w:r>
              <w:rPr>
                <w:rFonts w:hint="eastAsia"/>
              </w:rPr>
              <w:t>基准价得分为满分</w:t>
            </w:r>
            <w:r>
              <w:rPr>
                <w:rFonts w:hint="eastAsia"/>
                <w:lang w:val="en-US" w:eastAsia="zh-CN"/>
              </w:rPr>
              <w:t>30</w:t>
            </w:r>
            <w:r>
              <w:rPr>
                <w:rFonts w:hint="eastAsia"/>
              </w:rPr>
              <w:t>分，其他投标单位报价得分计算公式如下：</w:t>
            </w:r>
          </w:p>
          <w:p>
            <w:pPr>
              <w:keepNext w:val="0"/>
              <w:keepLines w:val="0"/>
              <w:pageBreakBefore w:val="0"/>
              <w:kinsoku/>
              <w:wordWrap/>
              <w:overflowPunct/>
              <w:topLinePunct w:val="0"/>
              <w:bidi w:val="0"/>
              <w:adjustRightInd/>
              <w:spacing w:line="360" w:lineRule="exact"/>
              <w:textAlignment w:val="auto"/>
            </w:pPr>
            <w:r>
              <w:rPr>
                <w:rFonts w:hint="eastAsia"/>
              </w:rPr>
              <w:t>其他投标单位报价得分=（评标基准价/参与评审的价格）×</w:t>
            </w:r>
            <w:r>
              <w:rPr>
                <w:rFonts w:hint="eastAsia"/>
                <w:lang w:val="en-US" w:eastAsia="zh-CN"/>
              </w:rPr>
              <w:t>30</w:t>
            </w:r>
            <w:r>
              <w:rPr>
                <w:rFonts w:hint="eastAsia"/>
              </w:rPr>
              <w:t>%×100</w:t>
            </w:r>
          </w:p>
          <w:p>
            <w:pPr>
              <w:keepNext w:val="0"/>
              <w:keepLines w:val="0"/>
              <w:pageBreakBefore w:val="0"/>
              <w:kinsoku/>
              <w:wordWrap/>
              <w:overflowPunct/>
              <w:topLinePunct w:val="0"/>
              <w:bidi w:val="0"/>
              <w:adjustRightInd/>
              <w:spacing w:line="360" w:lineRule="exact"/>
              <w:textAlignment w:val="auto"/>
              <w:rPr>
                <w:b/>
                <w:szCs w:val="21"/>
              </w:rPr>
            </w:pPr>
            <w:r>
              <w:rPr>
                <w:rFonts w:hint="eastAsia"/>
              </w:rPr>
              <w:t>（</w:t>
            </w:r>
            <w:r>
              <w:rPr>
                <w:rFonts w:hint="eastAsia"/>
                <w:lang w:val="en-US" w:eastAsia="zh-CN"/>
              </w:rPr>
              <w:t>价格分</w:t>
            </w:r>
            <w:r>
              <w:rPr>
                <w:rFonts w:hint="eastAsia"/>
              </w:rPr>
              <w:t>以四舍五入方法整合到小数点后两位）</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rFonts w:ascii="Times New Roman" w:hAnsi="Times New Roman" w:cs="Times New Roman"/>
                <w:szCs w:val="21"/>
              </w:rPr>
            </w:pPr>
            <w:r>
              <w:rPr>
                <w:rFonts w:hint="eastAsia" w:ascii="Times New Roman" w:hAnsi="Times New Roman" w:cs="Times New Roman"/>
                <w:szCs w:val="21"/>
                <w:lang w:val="en-US" w:eastAsia="zh-CN"/>
              </w:rPr>
              <w:t>30</w:t>
            </w:r>
            <w:r>
              <w:rPr>
                <w:rFonts w:ascii="Times New Roman" w:hAnsi="Times New Roman" w:cs="Times New Roman"/>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2" w:hRule="atLeast"/>
          <w:jc w:val="center"/>
        </w:trPr>
        <w:tc>
          <w:tcPr>
            <w:tcW w:w="8064" w:type="dxa"/>
            <w:gridSpan w:val="2"/>
            <w:vAlign w:val="center"/>
          </w:tcPr>
          <w:p>
            <w:pPr>
              <w:keepNext w:val="0"/>
              <w:keepLines w:val="0"/>
              <w:pageBreakBefore w:val="0"/>
              <w:widowControl/>
              <w:kinsoku/>
              <w:wordWrap/>
              <w:overflowPunct/>
              <w:topLinePunct w:val="0"/>
              <w:bidi w:val="0"/>
              <w:adjustRightInd/>
              <w:spacing w:line="360" w:lineRule="exact"/>
              <w:jc w:val="center"/>
              <w:textAlignment w:val="auto"/>
              <w:rPr>
                <w:szCs w:val="21"/>
              </w:rPr>
            </w:pPr>
            <w:r>
              <w:rPr>
                <w:szCs w:val="21"/>
              </w:rPr>
              <w:t>综合评分得分（满分100分）</w:t>
            </w:r>
          </w:p>
        </w:tc>
        <w:tc>
          <w:tcPr>
            <w:tcW w:w="935" w:type="dxa"/>
            <w:vAlign w:val="center"/>
          </w:tcPr>
          <w:p>
            <w:pPr>
              <w:keepNext w:val="0"/>
              <w:keepLines w:val="0"/>
              <w:pageBreakBefore w:val="0"/>
              <w:widowControl/>
              <w:kinsoku/>
              <w:wordWrap/>
              <w:overflowPunct/>
              <w:topLinePunct w:val="0"/>
              <w:bidi w:val="0"/>
              <w:adjustRightInd/>
              <w:spacing w:line="360" w:lineRule="exact"/>
              <w:contextualSpacing/>
              <w:jc w:val="center"/>
              <w:textAlignment w:val="auto"/>
              <w:rPr>
                <w:szCs w:val="21"/>
              </w:rPr>
            </w:pPr>
          </w:p>
        </w:tc>
      </w:tr>
    </w:tbl>
    <w:p/>
    <w:p>
      <w:pPr>
        <w:keepNext w:val="0"/>
        <w:keepLines w:val="0"/>
        <w:pageBreakBefore w:val="0"/>
        <w:kinsoku/>
        <w:wordWrap/>
        <w:overflowPunct/>
        <w:topLinePunct w:val="0"/>
        <w:bidi w:val="0"/>
        <w:adjustRightInd/>
        <w:spacing w:line="360" w:lineRule="exact"/>
        <w:textAlignment w:val="auto"/>
        <w:rPr>
          <w:rFonts w:hint="eastAsia" w:ascii="Times New Roman" w:hAnsi="Times New Roman" w:cs="Times New Roman"/>
          <w:b/>
          <w:bCs/>
          <w:sz w:val="22"/>
          <w:szCs w:val="28"/>
        </w:rPr>
      </w:pPr>
      <w:r>
        <w:rPr>
          <w:rFonts w:hint="eastAsia" w:ascii="Times New Roman" w:hAnsi="Times New Roman" w:cs="Times New Roman"/>
          <w:b/>
          <w:bCs/>
          <w:sz w:val="22"/>
          <w:szCs w:val="28"/>
          <w:lang w:val="en-US" w:eastAsia="zh-CN"/>
        </w:rPr>
        <w:t>注：1.评分项要求提供的</w:t>
      </w:r>
      <w:r>
        <w:rPr>
          <w:rFonts w:hint="eastAsia" w:ascii="Times New Roman" w:hAnsi="Times New Roman" w:cs="Times New Roman"/>
          <w:b/>
          <w:bCs/>
          <w:sz w:val="22"/>
          <w:szCs w:val="28"/>
        </w:rPr>
        <w:t>证明材料（证书、合同等）应</w:t>
      </w:r>
      <w:r>
        <w:rPr>
          <w:rFonts w:hint="eastAsia" w:ascii="Times New Roman" w:hAnsi="Times New Roman" w:cs="Times New Roman"/>
          <w:b/>
          <w:bCs/>
          <w:sz w:val="22"/>
          <w:szCs w:val="28"/>
          <w:lang w:val="en-US" w:eastAsia="zh-CN"/>
        </w:rPr>
        <w:t>完整且</w:t>
      </w:r>
      <w:r>
        <w:rPr>
          <w:rFonts w:hint="eastAsia" w:ascii="Times New Roman" w:hAnsi="Times New Roman" w:cs="Times New Roman"/>
          <w:b/>
          <w:bCs/>
          <w:sz w:val="22"/>
          <w:szCs w:val="28"/>
        </w:rPr>
        <w:t>清晰可辨，如</w:t>
      </w:r>
      <w:r>
        <w:rPr>
          <w:rFonts w:hint="eastAsia" w:ascii="Times New Roman" w:hAnsi="Times New Roman" w:cs="Times New Roman"/>
          <w:b/>
          <w:bCs/>
          <w:sz w:val="22"/>
          <w:szCs w:val="28"/>
          <w:lang w:val="en-US" w:eastAsia="zh-CN"/>
        </w:rPr>
        <w:t>不完整或</w:t>
      </w:r>
      <w:r>
        <w:rPr>
          <w:rFonts w:hint="eastAsia" w:ascii="Times New Roman" w:hAnsi="Times New Roman" w:cs="Times New Roman"/>
          <w:b/>
          <w:bCs/>
          <w:sz w:val="22"/>
          <w:szCs w:val="28"/>
        </w:rPr>
        <w:t>无法辨识，将不予给分。</w:t>
      </w:r>
    </w:p>
    <w:p>
      <w:r>
        <w:t xml:space="preserve"> </w:t>
      </w:r>
    </w:p>
    <w:p/>
    <w:p>
      <w:r>
        <w:t>评委签字：                                                     日期：   年   月   日</w:t>
      </w:r>
    </w:p>
    <w:p>
      <w:pPr>
        <w:rPr>
          <w:b w:val="0"/>
          <w:sz w:val="24"/>
          <w:szCs w:val="21"/>
        </w:rPr>
      </w:pPr>
      <w:r>
        <w:rPr>
          <w:b w:val="0"/>
          <w:sz w:val="24"/>
          <w:szCs w:val="21"/>
        </w:rPr>
        <w:br w:type="page"/>
      </w:r>
    </w:p>
    <w:p>
      <w:pPr>
        <w:pStyle w:val="2"/>
        <w:rPr>
          <w:rFonts w:hint="default" w:asciiTheme="minorEastAsia" w:hAnsiTheme="minorEastAsia" w:eastAsiaTheme="minorEastAsia" w:cstheme="minorEastAsia"/>
          <w:b/>
          <w:bCs/>
          <w:sz w:val="22"/>
          <w:szCs w:val="21"/>
          <w:lang w:val="en-US" w:eastAsia="zh-CN"/>
        </w:rPr>
      </w:pPr>
      <w:r>
        <w:rPr>
          <w:rFonts w:hint="eastAsia" w:asciiTheme="minorEastAsia" w:hAnsiTheme="minorEastAsia" w:eastAsiaTheme="minorEastAsia" w:cstheme="minorEastAsia"/>
          <w:b/>
          <w:bCs/>
          <w:sz w:val="22"/>
          <w:szCs w:val="21"/>
        </w:rPr>
        <w:t>适用于</w:t>
      </w:r>
      <w:r>
        <w:rPr>
          <w:rFonts w:hint="eastAsia" w:asciiTheme="minorEastAsia" w:hAnsiTheme="minorEastAsia" w:eastAsiaTheme="minorEastAsia" w:cstheme="minorEastAsia"/>
          <w:b/>
          <w:bCs/>
          <w:sz w:val="22"/>
          <w:szCs w:val="21"/>
          <w:lang w:val="en-US" w:eastAsia="zh-CN"/>
        </w:rPr>
        <w:t>标项2</w:t>
      </w:r>
    </w:p>
    <w:tbl>
      <w:tblPr>
        <w:tblStyle w:val="48"/>
        <w:tblW w:w="8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7182"/>
        <w:gridCol w:w="9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882" w:type="dxa"/>
            <w:vAlign w:val="center"/>
          </w:tcPr>
          <w:p>
            <w:pPr>
              <w:keepNext w:val="0"/>
              <w:keepLines w:val="0"/>
              <w:pageBreakBefore w:val="0"/>
              <w:kinsoku/>
              <w:wordWrap/>
              <w:overflowPunct/>
              <w:topLinePunct w:val="0"/>
              <w:autoSpaceDE w:val="0"/>
              <w:autoSpaceDN w:val="0"/>
              <w:bidi w:val="0"/>
              <w:adjustRightInd/>
              <w:spacing w:line="360" w:lineRule="exact"/>
              <w:contextualSpacing/>
              <w:jc w:val="center"/>
              <w:textAlignment w:val="auto"/>
              <w:rPr>
                <w:szCs w:val="21"/>
              </w:rPr>
            </w:pPr>
            <w:r>
              <w:rPr>
                <w:szCs w:val="21"/>
              </w:rPr>
              <w:t>分值</w:t>
            </w:r>
          </w:p>
        </w:tc>
        <w:tc>
          <w:tcPr>
            <w:tcW w:w="7182" w:type="dxa"/>
            <w:vAlign w:val="center"/>
          </w:tcPr>
          <w:p>
            <w:pPr>
              <w:keepNext w:val="0"/>
              <w:keepLines w:val="0"/>
              <w:pageBreakBefore w:val="0"/>
              <w:kinsoku/>
              <w:wordWrap/>
              <w:overflowPunct/>
              <w:topLinePunct w:val="0"/>
              <w:autoSpaceDE w:val="0"/>
              <w:autoSpaceDN w:val="0"/>
              <w:bidi w:val="0"/>
              <w:adjustRightInd/>
              <w:spacing w:line="360" w:lineRule="exact"/>
              <w:contextualSpacing/>
              <w:jc w:val="center"/>
              <w:textAlignment w:val="auto"/>
              <w:rPr>
                <w:rFonts w:ascii="Times New Roman" w:hAnsi="Times New Roman" w:cs="Times New Roman"/>
                <w:szCs w:val="21"/>
              </w:rPr>
            </w:pPr>
            <w:r>
              <w:rPr>
                <w:rFonts w:ascii="Times New Roman" w:hAnsi="Times New Roman" w:cs="Times New Roman"/>
                <w:szCs w:val="21"/>
              </w:rPr>
              <w:t>评分标准</w:t>
            </w:r>
          </w:p>
        </w:tc>
        <w:tc>
          <w:tcPr>
            <w:tcW w:w="935" w:type="dxa"/>
            <w:vAlign w:val="center"/>
          </w:tcPr>
          <w:p>
            <w:pPr>
              <w:keepNext w:val="0"/>
              <w:keepLines w:val="0"/>
              <w:pageBreakBefore w:val="0"/>
              <w:kinsoku/>
              <w:wordWrap/>
              <w:overflowPunct/>
              <w:topLinePunct w:val="0"/>
              <w:autoSpaceDE w:val="0"/>
              <w:autoSpaceDN w:val="0"/>
              <w:bidi w:val="0"/>
              <w:adjustRightInd/>
              <w:spacing w:line="360" w:lineRule="exact"/>
              <w:contextualSpacing/>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82" w:type="dxa"/>
            <w:vMerge w:val="restart"/>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r>
              <w:rPr>
                <w:szCs w:val="21"/>
              </w:rPr>
              <w:t>商务技术分（</w:t>
            </w:r>
            <w:r>
              <w:rPr>
                <w:rFonts w:hint="eastAsia"/>
                <w:szCs w:val="21"/>
                <w:lang w:val="en-US" w:eastAsia="zh-CN"/>
              </w:rPr>
              <w:t>70</w:t>
            </w:r>
            <w:r>
              <w:rPr>
                <w:szCs w:val="21"/>
              </w:rPr>
              <w:t>分）</w:t>
            </w:r>
          </w:p>
        </w:tc>
        <w:tc>
          <w:tcPr>
            <w:tcW w:w="7182" w:type="dxa"/>
            <w:vAlign w:val="center"/>
          </w:tcPr>
          <w:p>
            <w:pPr>
              <w:keepNext w:val="0"/>
              <w:keepLines w:val="0"/>
              <w:pageBreakBefore w:val="0"/>
              <w:widowControl/>
              <w:kinsoku/>
              <w:wordWrap/>
              <w:overflowPunct/>
              <w:topLinePunct w:val="0"/>
              <w:bidi w:val="0"/>
              <w:adjustRightInd/>
              <w:spacing w:line="360" w:lineRule="exact"/>
              <w:textAlignment w:val="auto"/>
              <w:rPr>
                <w:b/>
                <w:kern w:val="0"/>
                <w:szCs w:val="21"/>
              </w:rPr>
            </w:pPr>
            <w:r>
              <w:rPr>
                <w:b/>
                <w:kern w:val="0"/>
                <w:szCs w:val="21"/>
              </w:rPr>
              <w:t>1</w:t>
            </w:r>
            <w:r>
              <w:rPr>
                <w:rFonts w:hint="eastAsia"/>
                <w:b/>
                <w:kern w:val="0"/>
                <w:szCs w:val="21"/>
                <w:lang w:val="en-US" w:eastAsia="zh-CN"/>
              </w:rPr>
              <w:t>.</w:t>
            </w:r>
            <w:r>
              <w:rPr>
                <w:rFonts w:hint="eastAsia"/>
                <w:b/>
                <w:kern w:val="0"/>
                <w:szCs w:val="21"/>
              </w:rPr>
              <w:t>具体实施方案</w:t>
            </w:r>
            <w:r>
              <w:rPr>
                <w:b/>
                <w:kern w:val="0"/>
                <w:szCs w:val="21"/>
              </w:rPr>
              <w:t>（</w:t>
            </w:r>
            <w:r>
              <w:rPr>
                <w:rFonts w:hint="eastAsia"/>
                <w:b/>
                <w:kern w:val="0"/>
                <w:szCs w:val="21"/>
                <w:lang w:val="en-US" w:eastAsia="zh-CN"/>
              </w:rPr>
              <w:t>28</w:t>
            </w:r>
            <w:r>
              <w:rPr>
                <w:b/>
                <w:kern w:val="0"/>
                <w:szCs w:val="21"/>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color w:val="auto"/>
                <w:highlight w:val="none"/>
                <w:lang w:val="en-US" w:eastAsia="zh-CN"/>
              </w:rPr>
              <w:t>1.1接</w:t>
            </w:r>
            <w:r>
              <w:rPr>
                <w:rFonts w:hint="eastAsia" w:ascii="Times New Roman" w:hAnsi="Times New Roman" w:cs="Times New Roman"/>
                <w:color w:val="auto"/>
                <w:highlight w:val="none"/>
                <w:lang w:val="en-US" w:eastAsia="zh-CN"/>
              </w:rPr>
              <w:t>到采购人单次加油通知后制定的加油计划（6分）：</w:t>
            </w:r>
          </w:p>
          <w:p>
            <w:pPr>
              <w:keepNext w:val="0"/>
              <w:keepLines w:val="0"/>
              <w:pageBreakBefore w:val="0"/>
              <w:kinsoku/>
              <w:wordWrap/>
              <w:overflowPunct/>
              <w:topLinePunct w:val="0"/>
              <w:bidi w:val="0"/>
              <w:adjustRightInd/>
              <w:snapToGrid w:val="0"/>
              <w:spacing w:line="360" w:lineRule="exact"/>
              <w:jc w:val="left"/>
              <w:textAlignment w:val="auto"/>
              <w:rPr>
                <w:rFonts w:hint="eastAsia" w:ascii="宋体" w:hAnsi="宋体" w:cs="宋体"/>
                <w:color w:val="auto"/>
                <w:lang w:eastAsia="zh-CN"/>
              </w:rPr>
            </w:pPr>
            <w:r>
              <w:rPr>
                <w:rFonts w:hint="eastAsia" w:ascii="Times New Roman" w:hAnsi="Times New Roman" w:cs="Times New Roman"/>
                <w:color w:val="auto"/>
                <w:highlight w:val="none"/>
                <w:lang w:val="en-US" w:eastAsia="zh-CN"/>
              </w:rPr>
              <w:t>加油计划切合实际需求、流程安排合理，可行性高得6分；加油计划基本满足项目需求的、部分细节有待补充得4分；加油计划</w:t>
            </w:r>
            <w:r>
              <w:rPr>
                <w:rFonts w:hint="eastAsia" w:ascii="宋体" w:hAnsi="宋体" w:cs="宋体"/>
                <w:color w:val="auto"/>
              </w:rPr>
              <w:t>内容笼统</w:t>
            </w:r>
            <w:r>
              <w:rPr>
                <w:rFonts w:hint="eastAsia" w:ascii="宋体" w:hAnsi="宋体" w:cs="宋体"/>
                <w:color w:val="auto"/>
                <w:lang w:eastAsia="zh-CN"/>
              </w:rPr>
              <w:t>，</w:t>
            </w:r>
            <w:r>
              <w:rPr>
                <w:rFonts w:hint="eastAsia" w:ascii="宋体" w:hAnsi="宋体" w:cs="宋体"/>
                <w:color w:val="auto"/>
              </w:rPr>
              <w:t>细节不完善</w:t>
            </w:r>
            <w:r>
              <w:rPr>
                <w:rFonts w:hint="eastAsia" w:ascii="宋体" w:hAnsi="宋体" w:cs="宋体"/>
                <w:color w:val="auto"/>
                <w:lang w:eastAsia="zh-CN"/>
              </w:rPr>
              <w:t>、</w:t>
            </w:r>
            <w:r>
              <w:rPr>
                <w:rFonts w:hint="eastAsia" w:ascii="宋体" w:hAnsi="宋体" w:cs="宋体"/>
                <w:color w:val="auto"/>
              </w:rPr>
              <w:t>有缺漏的得</w:t>
            </w:r>
            <w:r>
              <w:rPr>
                <w:rFonts w:hint="eastAsia" w:ascii="宋体" w:hAnsi="宋体" w:cs="宋体"/>
                <w:color w:val="auto"/>
                <w:lang w:val="en-US" w:eastAsia="zh-CN"/>
              </w:rPr>
              <w:t>2</w:t>
            </w:r>
            <w:r>
              <w:rPr>
                <w:rFonts w:hint="eastAsia" w:ascii="宋体" w:hAnsi="宋体" w:cs="宋体"/>
                <w:color w:val="auto"/>
              </w:rPr>
              <w:t>分</w:t>
            </w:r>
            <w:r>
              <w:rPr>
                <w:rFonts w:hint="eastAsia" w:ascii="宋体" w:hAnsi="宋体" w:cs="宋体"/>
                <w:color w:val="auto"/>
                <w:lang w:eastAsia="zh-CN"/>
              </w:rPr>
              <w:t>。</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1.2加油操作方案（6分）：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方案包括加油前、中、后的操作方案，内容详细具体，各项操作内容均有明确阐述，逻辑清晰，整体方案切实可行的得6分；内容比较详细，基本涵盖各项工作要求，与项目实际情况相吻合，方案整体合理可行的得4分；工作方案内容简单笼统，存在较多的不足之处或与项目实际情况存在较多偏离的得2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1.3防止漏油、溢油措施（6分）：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措施完备且规范，项目针对性强，切实可行的得6分；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措施比较完善且规范，措施符合项目实施需要，合理可行的得4分；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措施内容简略，操作简单，措施控制的有效性不足的得2分；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1.4项目服务团队（</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技术人员实际操作经验丰富、技术人员专业性强，满足项目需求的得</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分，技术人员经验较为欠缺，能基本满足项目采购需求得</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分；技术人员配置不齐，经验不足得</w:t>
            </w: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1.5拟投入设施设备（</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br w:type="textWrapping"/>
            </w:r>
            <w:r>
              <w:rPr>
                <w:rFonts w:hint="eastAsia" w:ascii="Times New Roman" w:hAnsi="Times New Roman" w:cs="Times New Roman"/>
                <w:color w:val="auto"/>
                <w:highlight w:val="none"/>
                <w:lang w:val="en-US" w:eastAsia="zh-CN"/>
              </w:rPr>
              <w:t>设施设备配置全面合理，覆盖加油全流程，能确保安全、高效、准确供油的得</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分；设施设备配置较为合理，基本能满足项目需求的得</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分；设施设备配置简单，未能覆盖加油全流程的得</w:t>
            </w: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pPr>
            <w:r>
              <w:rPr>
                <w:rFonts w:hint="eastAsia" w:ascii="Times New Roman" w:hAnsi="Times New Roman" w:cs="Times New Roman"/>
                <w:color w:val="auto"/>
                <w:highlight w:val="none"/>
                <w:lang w:val="en-US" w:eastAsia="zh-CN"/>
              </w:rPr>
              <w:t>注：以上评分项供应商若未提供相应内容不得分。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28</w:t>
            </w:r>
            <w:r>
              <w:rPr>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b/>
                <w:bCs w:val="0"/>
              </w:rPr>
            </w:pPr>
            <w:r>
              <w:rPr>
                <w:b/>
                <w:bCs w:val="0"/>
              </w:rPr>
              <w:t>2</w:t>
            </w:r>
            <w:r>
              <w:rPr>
                <w:rFonts w:hint="eastAsia"/>
                <w:b/>
                <w:bCs w:val="0"/>
                <w:lang w:val="en-US" w:eastAsia="zh-CN"/>
              </w:rPr>
              <w:t>.</w:t>
            </w:r>
            <w:r>
              <w:rPr>
                <w:rFonts w:hint="eastAsia" w:ascii="Calibri" w:hAnsi="Calibri" w:cs="Calibri"/>
                <w:b/>
                <w:bCs w:val="0"/>
                <w:color w:val="auto"/>
                <w:kern w:val="2"/>
                <w:sz w:val="21"/>
                <w:szCs w:val="24"/>
                <w:highlight w:val="none"/>
                <w:lang w:val="en-US" w:eastAsia="zh-CN" w:bidi="ar-SA"/>
              </w:rPr>
              <w:t>产品来源、运输、贮存环节的质量保障措施</w:t>
            </w:r>
            <w:r>
              <w:rPr>
                <w:rFonts w:hint="eastAsia" w:ascii="Times New Roman" w:hAnsi="Times New Roman" w:cs="Times New Roman"/>
                <w:b/>
                <w:bCs w:val="0"/>
                <w:color w:val="auto"/>
                <w:highlight w:val="none"/>
                <w:lang w:val="en-US" w:eastAsia="zh-CN"/>
              </w:rPr>
              <w:t>（</w:t>
            </w:r>
            <w:r>
              <w:rPr>
                <w:rFonts w:hint="eastAsia" w:cs="Times New Roman"/>
                <w:b/>
                <w:bCs w:val="0"/>
                <w:color w:val="auto"/>
                <w:highlight w:val="none"/>
                <w:lang w:val="en-US" w:eastAsia="zh-CN"/>
              </w:rPr>
              <w:t>12</w:t>
            </w:r>
            <w:r>
              <w:rPr>
                <w:rFonts w:hint="eastAsia" w:ascii="Times New Roman" w:hAnsi="Times New Roman" w:cs="Times New Roman"/>
                <w:b/>
                <w:bCs w:val="0"/>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color w:val="auto"/>
                <w:highlight w:val="none"/>
                <w:lang w:val="en-US" w:eastAsia="zh-CN"/>
              </w:rPr>
            </w:pPr>
            <w:r>
              <w:rPr>
                <w:rFonts w:hint="eastAsia"/>
                <w:color w:val="auto"/>
                <w:highlight w:val="none"/>
                <w:lang w:val="en-US" w:eastAsia="zh-CN"/>
              </w:rPr>
              <w:t>2.1产品来源</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color w:val="auto"/>
                <w:highlight w:val="none"/>
                <w:lang w:val="en-US" w:eastAsia="zh-CN"/>
              </w:rPr>
            </w:pPr>
            <w:r>
              <w:rPr>
                <w:rFonts w:hint="eastAsia"/>
                <w:color w:val="auto"/>
                <w:highlight w:val="none"/>
                <w:lang w:val="en-US" w:eastAsia="zh-CN"/>
              </w:rPr>
              <w:t>产品来源清晰，进货验收程序全面、合理，满足采购需求的得4分；产品来源不清晰，相应证明材料不齐全或进货验收程序笼统的得2分。</w:t>
            </w:r>
          </w:p>
          <w:p>
            <w:pPr>
              <w:keepNext w:val="0"/>
              <w:keepLines w:val="0"/>
              <w:pageBreakBefore w:val="0"/>
              <w:kinsoku/>
              <w:wordWrap/>
              <w:overflowPunct/>
              <w:topLinePunct w:val="0"/>
              <w:bidi w:val="0"/>
              <w:adjustRightInd/>
              <w:snapToGrid w:val="0"/>
              <w:spacing w:line="360" w:lineRule="exact"/>
              <w:jc w:val="left"/>
              <w:textAlignment w:val="auto"/>
              <w:rPr>
                <w:rFonts w:hint="eastAsia"/>
                <w:color w:val="auto"/>
                <w:highlight w:val="none"/>
                <w:lang w:val="en-US" w:eastAsia="zh-CN"/>
              </w:rPr>
            </w:pPr>
            <w:r>
              <w:rPr>
                <w:rFonts w:hint="eastAsia"/>
                <w:color w:val="auto"/>
                <w:highlight w:val="none"/>
                <w:lang w:val="en-US" w:eastAsia="zh-CN"/>
              </w:rPr>
              <w:t>2.2运输方式</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default"/>
                <w:color w:val="auto"/>
                <w:highlight w:val="none"/>
                <w:lang w:val="en-US" w:eastAsia="zh-CN"/>
              </w:rPr>
            </w:pPr>
            <w:r>
              <w:rPr>
                <w:rFonts w:hint="eastAsia"/>
                <w:color w:val="auto"/>
                <w:highlight w:val="none"/>
                <w:lang w:val="en-US" w:eastAsia="zh-CN"/>
              </w:rPr>
              <w:t>运输方式合理，运输车辆及驾驶员手续齐全，运输质量及安全措施全面、详细的得4分；成品油运输方式不合理或未提供运输车辆及驾驶员手续证明材料或运输质量及安全措施全面笼统、单一的得2分。</w:t>
            </w:r>
          </w:p>
          <w:p>
            <w:pPr>
              <w:keepNext w:val="0"/>
              <w:keepLines w:val="0"/>
              <w:pageBreakBefore w:val="0"/>
              <w:kinsoku/>
              <w:wordWrap/>
              <w:overflowPunct/>
              <w:topLinePunct w:val="0"/>
              <w:bidi w:val="0"/>
              <w:adjustRightInd/>
              <w:snapToGrid w:val="0"/>
              <w:spacing w:line="360" w:lineRule="exact"/>
              <w:jc w:val="left"/>
              <w:textAlignment w:val="auto"/>
              <w:rPr>
                <w:rFonts w:hint="eastAsia"/>
                <w:color w:val="auto"/>
                <w:highlight w:val="none"/>
                <w:lang w:val="en-US" w:eastAsia="zh-CN"/>
              </w:rPr>
            </w:pPr>
            <w:r>
              <w:rPr>
                <w:rFonts w:hint="eastAsia"/>
                <w:color w:val="auto"/>
                <w:highlight w:val="none"/>
                <w:lang w:val="en-US" w:eastAsia="zh-CN"/>
              </w:rPr>
              <w:t>2.3产品贮存质量保障措施</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ascii="Calibri" w:hAnsi="Calibri" w:cs="Calibri"/>
                <w:color w:val="auto"/>
                <w:highlight w:val="none"/>
                <w:lang w:val="en-US" w:eastAsia="zh-CN"/>
              </w:rPr>
            </w:pPr>
            <w:r>
              <w:rPr>
                <w:rFonts w:hint="eastAsia"/>
                <w:color w:val="auto"/>
                <w:highlight w:val="none"/>
                <w:lang w:val="en-US" w:eastAsia="zh-CN"/>
              </w:rPr>
              <w:t>产品贮存质量保障措施（包括防止杂物混入、混油、变质等）全面详细合理的得4分；贮存质量保障措施笼统、单一的得2</w:t>
            </w:r>
            <w:r>
              <w:rPr>
                <w:rFonts w:hint="eastAsia" w:ascii="Calibri" w:hAnsi="Calibri" w:cs="Calibri"/>
                <w:color w:val="auto"/>
                <w:highlight w:val="none"/>
                <w:lang w:val="en-US" w:eastAsia="zh-CN"/>
              </w:rPr>
              <w:t>分。</w:t>
            </w:r>
          </w:p>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pPr>
            <w:r>
              <w:rPr>
                <w:rFonts w:hint="eastAsia" w:ascii="Times New Roman" w:hAnsi="Times New Roman" w:cs="Times New Roman"/>
                <w:color w:val="auto"/>
                <w:highlight w:val="none"/>
                <w:lang w:val="en-US" w:eastAsia="zh-CN"/>
              </w:rPr>
              <w:t>注：以上评分项供应商若未提供相应内容不得分。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12</w:t>
            </w:r>
            <w:r>
              <w:rPr>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rFonts w:hint="eastAsia" w:ascii="Times New Roman" w:hAnsi="Times New Roman" w:cs="Times New Roman"/>
                <w:b/>
                <w:bCs w:val="0"/>
              </w:rPr>
            </w:pPr>
            <w:r>
              <w:rPr>
                <w:rFonts w:hint="eastAsia" w:ascii="Times New Roman" w:hAnsi="Times New Roman" w:cs="Times New Roman"/>
                <w:b/>
                <w:bCs w:val="0"/>
              </w:rPr>
              <w:t>3</w:t>
            </w:r>
            <w:r>
              <w:rPr>
                <w:rFonts w:hint="eastAsia" w:ascii="Times New Roman" w:hAnsi="Times New Roman" w:cs="Times New Roman"/>
                <w:b/>
                <w:bCs w:val="0"/>
                <w:lang w:val="en-US" w:eastAsia="zh-CN"/>
              </w:rPr>
              <w:t>.应急供应方案</w:t>
            </w:r>
            <w:r>
              <w:rPr>
                <w:rFonts w:hint="eastAsia" w:ascii="Times New Roman" w:hAnsi="Times New Roman" w:cs="Times New Roman"/>
                <w:b/>
                <w:bCs w:val="0"/>
              </w:rPr>
              <w:t>（</w:t>
            </w:r>
            <w:r>
              <w:rPr>
                <w:rFonts w:hint="eastAsia" w:cs="Times New Roman"/>
                <w:b/>
                <w:bCs w:val="0"/>
                <w:lang w:val="en-US" w:eastAsia="zh-CN"/>
              </w:rPr>
              <w:t>5</w:t>
            </w:r>
            <w:r>
              <w:rPr>
                <w:rFonts w:hint="eastAsia" w:ascii="Times New Roman" w:hAnsi="Times New Roman" w:cs="Times New Roman"/>
                <w:b/>
                <w:bCs w:val="0"/>
              </w:rPr>
              <w:t>分）</w:t>
            </w:r>
            <w:r>
              <w:rPr>
                <w:rFonts w:hint="eastAsia" w:ascii="Times New Roman" w:hAnsi="Times New Roman" w:cs="Times New Roman"/>
                <w:b/>
                <w:bCs w:val="0"/>
                <w:color w:val="auto"/>
                <w:highlight w:val="none"/>
                <w:lang w:val="en-US" w:eastAsia="zh-CN"/>
              </w:rPr>
              <w:t>：</w:t>
            </w:r>
          </w:p>
          <w:p>
            <w:pPr>
              <w:keepNext w:val="0"/>
              <w:keepLines w:val="0"/>
              <w:pageBreakBefore w:val="0"/>
              <w:widowControl/>
              <w:kinsoku/>
              <w:wordWrap/>
              <w:overflowPunct/>
              <w:topLinePunct w:val="0"/>
              <w:bidi w:val="0"/>
              <w:adjustRightInd/>
              <w:spacing w:line="360" w:lineRule="exact"/>
              <w:textAlignment w:val="auto"/>
              <w:rPr>
                <w:rFonts w:hint="eastAsia" w:ascii="宋体" w:hAnsi="宋体" w:cs="宋体"/>
                <w:color w:val="auto"/>
                <w:kern w:val="0"/>
                <w:szCs w:val="21"/>
                <w:lang w:eastAsia="zh-CN"/>
              </w:rPr>
            </w:pPr>
            <w:r>
              <w:rPr>
                <w:rFonts w:hint="eastAsia"/>
                <w:color w:val="auto"/>
                <w:highlight w:val="none"/>
                <w:lang w:val="en-US" w:eastAsia="zh-CN"/>
              </w:rPr>
              <w:t>应急供应方案</w:t>
            </w:r>
            <w:r>
              <w:rPr>
                <w:rFonts w:hint="eastAsia" w:ascii="宋体" w:hAnsi="宋体" w:cs="宋体"/>
                <w:color w:val="auto"/>
                <w:kern w:val="0"/>
                <w:szCs w:val="21"/>
              </w:rPr>
              <w:t>切合实际需求、供</w:t>
            </w:r>
            <w:r>
              <w:rPr>
                <w:rFonts w:hint="eastAsia" w:ascii="宋体" w:hAnsi="宋体" w:cs="宋体"/>
                <w:color w:val="auto"/>
                <w:kern w:val="0"/>
                <w:szCs w:val="21"/>
                <w:lang w:val="en-US" w:eastAsia="zh-CN"/>
              </w:rPr>
              <w:t>应</w:t>
            </w:r>
            <w:r>
              <w:rPr>
                <w:rFonts w:hint="eastAsia" w:ascii="宋体" w:hAnsi="宋体" w:cs="宋体"/>
                <w:color w:val="auto"/>
                <w:kern w:val="0"/>
                <w:szCs w:val="21"/>
              </w:rPr>
              <w:t>保障流程设计合理，能确保供</w:t>
            </w:r>
            <w:r>
              <w:rPr>
                <w:rFonts w:hint="eastAsia" w:ascii="宋体" w:hAnsi="宋体" w:cs="宋体"/>
                <w:color w:val="auto"/>
                <w:kern w:val="0"/>
                <w:szCs w:val="21"/>
                <w:lang w:val="en-US" w:eastAsia="zh-CN"/>
              </w:rPr>
              <w:t>应</w:t>
            </w:r>
            <w:r>
              <w:rPr>
                <w:rFonts w:hint="eastAsia" w:ascii="宋体" w:hAnsi="宋体" w:cs="宋体"/>
                <w:color w:val="auto"/>
                <w:kern w:val="0"/>
                <w:szCs w:val="21"/>
              </w:rPr>
              <w:t>的得</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r>
              <w:rPr>
                <w:rFonts w:hint="eastAsia"/>
                <w:color w:val="auto"/>
                <w:highlight w:val="none"/>
                <w:lang w:val="en-US" w:eastAsia="zh-CN"/>
              </w:rPr>
              <w:t>方案</w:t>
            </w:r>
            <w:r>
              <w:rPr>
                <w:rFonts w:hint="eastAsia" w:ascii="宋体" w:hAnsi="宋体" w:cs="宋体"/>
                <w:color w:val="auto"/>
                <w:kern w:val="0"/>
                <w:szCs w:val="21"/>
              </w:rPr>
              <w:t>满足招标文件要求、供</w:t>
            </w:r>
            <w:r>
              <w:rPr>
                <w:rFonts w:hint="eastAsia" w:ascii="宋体" w:hAnsi="宋体" w:cs="宋体"/>
                <w:color w:val="auto"/>
                <w:kern w:val="0"/>
                <w:szCs w:val="21"/>
                <w:lang w:val="en-US" w:eastAsia="zh-CN"/>
              </w:rPr>
              <w:t>应</w:t>
            </w:r>
            <w:r>
              <w:rPr>
                <w:rFonts w:hint="eastAsia" w:ascii="宋体" w:hAnsi="宋体" w:cs="宋体"/>
                <w:color w:val="auto"/>
                <w:kern w:val="0"/>
                <w:szCs w:val="21"/>
              </w:rPr>
              <w:t>方式有缺漏、部分细节有待补充</w:t>
            </w:r>
            <w:r>
              <w:rPr>
                <w:rFonts w:hint="eastAsia" w:ascii="宋体" w:hAnsi="宋体" w:cs="宋体"/>
                <w:color w:val="auto"/>
                <w:kern w:val="0"/>
                <w:szCs w:val="21"/>
                <w:lang w:eastAsia="zh-CN"/>
              </w:rPr>
              <w:t>，</w:t>
            </w:r>
            <w:r>
              <w:rPr>
                <w:rFonts w:hint="eastAsia" w:ascii="宋体" w:hAnsi="宋体" w:cs="宋体"/>
                <w:color w:val="auto"/>
                <w:kern w:val="0"/>
                <w:szCs w:val="21"/>
              </w:rPr>
              <w:t>基本能确保供</w:t>
            </w:r>
            <w:r>
              <w:rPr>
                <w:rFonts w:hint="eastAsia" w:ascii="宋体" w:hAnsi="宋体" w:cs="宋体"/>
                <w:color w:val="auto"/>
                <w:kern w:val="0"/>
                <w:szCs w:val="21"/>
                <w:lang w:val="en-US" w:eastAsia="zh-CN"/>
              </w:rPr>
              <w:t>应</w:t>
            </w:r>
            <w:r>
              <w:rPr>
                <w:rFonts w:hint="eastAsia" w:ascii="宋体" w:hAnsi="宋体" w:cs="宋体"/>
                <w:color w:val="auto"/>
                <w:kern w:val="0"/>
                <w:szCs w:val="21"/>
              </w:rPr>
              <w:t>的得</w:t>
            </w:r>
            <w:r>
              <w:rPr>
                <w:rFonts w:hint="eastAsia" w:ascii="宋体" w:hAnsi="宋体" w:cs="宋体"/>
                <w:color w:val="auto"/>
                <w:kern w:val="0"/>
                <w:szCs w:val="21"/>
                <w:lang w:val="en-US" w:eastAsia="zh-CN"/>
              </w:rPr>
              <w:t>2.5</w:t>
            </w:r>
            <w:r>
              <w:rPr>
                <w:rFonts w:hint="eastAsia" w:ascii="宋体" w:hAnsi="宋体" w:cs="宋体"/>
                <w:color w:val="auto"/>
                <w:kern w:val="0"/>
                <w:szCs w:val="21"/>
              </w:rPr>
              <w:t>分；方案基本满足招标文件要求，但实际操作存在供</w:t>
            </w:r>
            <w:r>
              <w:rPr>
                <w:rFonts w:hint="eastAsia" w:ascii="宋体" w:hAnsi="宋体" w:cs="宋体"/>
                <w:color w:val="auto"/>
                <w:kern w:val="0"/>
                <w:szCs w:val="21"/>
                <w:lang w:val="en-US" w:eastAsia="zh-CN"/>
              </w:rPr>
              <w:t>应</w:t>
            </w:r>
            <w:r>
              <w:rPr>
                <w:rFonts w:hint="eastAsia" w:ascii="宋体" w:hAnsi="宋体" w:cs="宋体"/>
                <w:color w:val="auto"/>
                <w:kern w:val="0"/>
                <w:szCs w:val="21"/>
              </w:rPr>
              <w:t>风险的得</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r>
              <w:rPr>
                <w:rFonts w:hint="eastAsia" w:ascii="宋体" w:hAnsi="宋体" w:cs="宋体"/>
                <w:color w:val="auto"/>
                <w:kern w:val="0"/>
                <w:szCs w:val="21"/>
                <w:lang w:eastAsia="zh-CN"/>
              </w:rPr>
              <w:t>。</w:t>
            </w:r>
          </w:p>
          <w:p>
            <w:pPr>
              <w:rPr>
                <w:rFonts w:hint="eastAsia"/>
                <w:lang w:eastAsia="zh-CN"/>
              </w:rPr>
            </w:pPr>
            <w:r>
              <w:rPr>
                <w:rFonts w:hint="eastAsia" w:ascii="Times New Roman" w:hAnsi="Times New Roman" w:cs="Times New Roman"/>
                <w:color w:val="auto"/>
                <w:highlight w:val="none"/>
                <w:lang w:val="en-US" w:eastAsia="zh-CN"/>
              </w:rPr>
              <w:t>注：以上评分项供应商若未提供相应内容不得分。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5</w:t>
            </w:r>
            <w:r>
              <w:rPr>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rFonts w:ascii="Times New Roman" w:hAnsi="Times New Roman" w:cs="Times New Roman"/>
                <w:b/>
                <w:bCs w:val="0"/>
              </w:rPr>
            </w:pPr>
            <w:r>
              <w:rPr>
                <w:rFonts w:hint="eastAsia" w:ascii="Times New Roman" w:hAnsi="Times New Roman" w:cs="Times New Roman"/>
                <w:b/>
                <w:bCs w:val="0"/>
              </w:rPr>
              <w:t>4</w:t>
            </w:r>
            <w:r>
              <w:rPr>
                <w:rFonts w:hint="eastAsia" w:ascii="Times New Roman" w:hAnsi="Times New Roman" w:cs="Times New Roman"/>
                <w:b/>
                <w:bCs w:val="0"/>
                <w:lang w:val="en-US" w:eastAsia="zh-CN"/>
              </w:rPr>
              <w:t>.安全措施</w:t>
            </w:r>
            <w:r>
              <w:rPr>
                <w:rFonts w:ascii="Times New Roman" w:hAnsi="Times New Roman" w:cs="Times New Roman"/>
                <w:b/>
                <w:bCs w:val="0"/>
              </w:rPr>
              <w:t>（</w:t>
            </w:r>
            <w:r>
              <w:rPr>
                <w:rFonts w:hint="eastAsia" w:cs="Times New Roman"/>
                <w:b/>
                <w:bCs w:val="0"/>
                <w:lang w:val="en-US" w:eastAsia="zh-CN"/>
              </w:rPr>
              <w:t>6</w:t>
            </w:r>
            <w:r>
              <w:rPr>
                <w:rFonts w:ascii="Times New Roman" w:hAnsi="Times New Roman" w:cs="Times New Roman"/>
                <w:b/>
                <w:bCs w:val="0"/>
              </w:rPr>
              <w:t>分）</w:t>
            </w:r>
            <w:r>
              <w:rPr>
                <w:rFonts w:hint="eastAsia" w:ascii="Times New Roman" w:hAnsi="Times New Roman" w:cs="Times New Roman"/>
                <w:b/>
                <w:bCs w:val="0"/>
                <w:color w:val="auto"/>
                <w:highlight w:val="none"/>
                <w:lang w:val="en-US" w:eastAsia="zh-CN"/>
              </w:rPr>
              <w:t>：</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color w:val="auto"/>
                <w:highlight w:val="none"/>
                <w:lang w:val="en-US" w:eastAsia="zh-CN"/>
              </w:rPr>
              <w:t>4.1安全管理制度</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制度全面、合理，安全管理人员及设施设备配备齐全的得</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分；未落实安全管理制度或安全管理人员及设施设备配备不合理的得</w:t>
            </w: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4.2安全事故应急预案（</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color w:val="auto"/>
                <w:highlight w:val="none"/>
                <w:lang w:val="en-US" w:eastAsia="zh-CN"/>
              </w:rPr>
            </w:pPr>
            <w:r>
              <w:rPr>
                <w:rFonts w:hint="eastAsia"/>
                <w:color w:val="auto"/>
                <w:highlight w:val="none"/>
                <w:lang w:val="en-US" w:eastAsia="zh-CN"/>
              </w:rPr>
              <w:t>安全事故考虑全面涉及服务全过程、多方面，方案内容详实，应急措施操作性强，有应急演练经历的得3分；安全事故应急预案笼统、单一、缺乏操作性，或没有应急演练经历的得1分。</w:t>
            </w:r>
          </w:p>
          <w:p>
            <w:pPr>
              <w:keepNext w:val="0"/>
              <w:keepLines w:val="0"/>
              <w:pageBreakBefore w:val="0"/>
              <w:widowControl/>
              <w:kinsoku/>
              <w:wordWrap/>
              <w:overflowPunct/>
              <w:topLinePunct w:val="0"/>
              <w:bidi w:val="0"/>
              <w:adjustRightInd/>
              <w:spacing w:line="360" w:lineRule="exact"/>
              <w:textAlignment w:val="auto"/>
              <w:rPr>
                <w:b/>
              </w:rPr>
            </w:pPr>
            <w:r>
              <w:rPr>
                <w:rFonts w:hint="eastAsia" w:ascii="Times New Roman" w:hAnsi="Times New Roman" w:cs="Times New Roman"/>
                <w:color w:val="auto"/>
                <w:highlight w:val="none"/>
                <w:lang w:val="en-US" w:eastAsia="zh-CN"/>
              </w:rPr>
              <w:t>注：以上评分项供应商若未提供相应内容不得分。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6</w:t>
            </w:r>
            <w:r>
              <w:rPr>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6"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5.售后服务（</w:t>
            </w:r>
            <w:r>
              <w:rPr>
                <w:rFonts w:hint="eastAsia" w:cs="Times New Roman"/>
                <w:b/>
                <w:bCs w:val="0"/>
                <w:lang w:val="en-US" w:eastAsia="zh-CN"/>
              </w:rPr>
              <w:t>6</w:t>
            </w:r>
            <w:r>
              <w:rPr>
                <w:rFonts w:hint="eastAsia" w:ascii="Times New Roman" w:hAnsi="Times New Roman" w:cs="Times New Roman"/>
                <w:b/>
                <w:bCs w:val="0"/>
                <w:lang w:val="en-US" w:eastAsia="zh-CN"/>
              </w:rPr>
              <w:t>分）</w:t>
            </w:r>
            <w:r>
              <w:rPr>
                <w:rFonts w:hint="eastAsia" w:ascii="Times New Roman" w:hAnsi="Times New Roman" w:cs="Times New Roman"/>
                <w:b/>
                <w:bCs w:val="0"/>
                <w:color w:val="auto"/>
                <w:highlight w:val="none"/>
                <w:lang w:val="en-US" w:eastAsia="zh-CN"/>
              </w:rPr>
              <w:t>：</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售后服务考虑全面，响应迅速、后备力量强大，安全及质量服务目标承诺合理可行，遇到问题的整改处理措施合理可行、响应及时的得</w:t>
            </w:r>
            <w:r>
              <w:rPr>
                <w:rFonts w:hint="eastAsia" w:cs="Times New Roman"/>
                <w:color w:val="auto"/>
                <w:highlight w:val="none"/>
                <w:lang w:val="en-US" w:eastAsia="zh-CN"/>
              </w:rPr>
              <w:t>6</w:t>
            </w:r>
            <w:r>
              <w:rPr>
                <w:rFonts w:hint="eastAsia" w:ascii="Times New Roman" w:hAnsi="Times New Roman" w:cs="Times New Roman"/>
                <w:color w:val="auto"/>
                <w:highlight w:val="none"/>
                <w:lang w:val="en-US" w:eastAsia="zh-CN"/>
              </w:rPr>
              <w:t>分；售后服务内容基本完整但有细节部分欠缺，响应及时性较差，措施保障能基本满足项目采购需求得</w:t>
            </w: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分；方案不完整，安全及质量服务目标承诺不切实际，遇到问题的整改处理措施笼统、单一的，措施保障有欠缺得</w:t>
            </w: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注：以上评分项供应商若未提供相应内容不得分。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6</w:t>
            </w:r>
            <w:r>
              <w:rPr>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7"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rFonts w:hint="eastAsia" w:ascii="Times New Roman" w:hAnsi="Times New Roman" w:cs="Times New Roman"/>
                <w:b/>
                <w:bCs w:val="0"/>
                <w:highlight w:val="none"/>
                <w:lang w:val="en-US" w:eastAsia="zh-CN"/>
              </w:rPr>
            </w:pPr>
            <w:r>
              <w:rPr>
                <w:rFonts w:hint="eastAsia" w:ascii="Times New Roman" w:hAnsi="Times New Roman" w:cs="Times New Roman"/>
                <w:b/>
                <w:bCs w:val="0"/>
                <w:highlight w:val="none"/>
                <w:lang w:val="en-US" w:eastAsia="zh-CN"/>
              </w:rPr>
              <w:t>6.加油油罐车（柴油）（6分）：</w:t>
            </w:r>
          </w:p>
          <w:p>
            <w:pPr>
              <w:keepNext w:val="0"/>
              <w:keepLines w:val="0"/>
              <w:pageBreakBefore w:val="0"/>
              <w:kinsoku/>
              <w:wordWrap/>
              <w:overflowPunct/>
              <w:topLinePunct w:val="0"/>
              <w:bidi w:val="0"/>
              <w:adjustRightInd/>
              <w:snapToGrid w:val="0"/>
              <w:spacing w:line="360" w:lineRule="exact"/>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投标人提供</w:t>
            </w: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辆加油油罐车（柴油）</w:t>
            </w:r>
            <w:r>
              <w:rPr>
                <w:rFonts w:hint="eastAsia" w:cs="Times New Roman"/>
                <w:color w:val="auto"/>
                <w:highlight w:val="none"/>
                <w:lang w:val="en-US" w:eastAsia="zh-CN"/>
              </w:rPr>
              <w:t>的不得分，</w:t>
            </w:r>
            <w:r>
              <w:rPr>
                <w:rFonts w:hint="eastAsia" w:ascii="Times New Roman" w:hAnsi="Times New Roman" w:cs="Times New Roman"/>
                <w:color w:val="auto"/>
                <w:highlight w:val="none"/>
                <w:lang w:val="en-US" w:eastAsia="zh-CN"/>
              </w:rPr>
              <w:t>提供</w:t>
            </w: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辆</w:t>
            </w:r>
            <w:r>
              <w:rPr>
                <w:rFonts w:hint="eastAsia" w:cs="Times New Roman"/>
                <w:color w:val="auto"/>
                <w:highlight w:val="none"/>
                <w:lang w:val="en-US" w:eastAsia="zh-CN"/>
              </w:rPr>
              <w:t>得2分，</w:t>
            </w:r>
            <w:r>
              <w:rPr>
                <w:rFonts w:hint="eastAsia" w:ascii="Times New Roman" w:hAnsi="Times New Roman" w:cs="Times New Roman"/>
                <w:color w:val="auto"/>
                <w:highlight w:val="none"/>
                <w:lang w:val="en-US" w:eastAsia="zh-CN"/>
              </w:rPr>
              <w:t>提供</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辆</w:t>
            </w:r>
            <w:r>
              <w:rPr>
                <w:rFonts w:hint="eastAsia" w:cs="Times New Roman"/>
                <w:color w:val="auto"/>
                <w:highlight w:val="none"/>
                <w:lang w:val="en-US" w:eastAsia="zh-CN"/>
              </w:rPr>
              <w:t>得4分，</w:t>
            </w:r>
            <w:r>
              <w:rPr>
                <w:rFonts w:hint="eastAsia" w:ascii="Times New Roman" w:hAnsi="Times New Roman" w:cs="Times New Roman"/>
                <w:color w:val="auto"/>
                <w:highlight w:val="none"/>
                <w:lang w:val="en-US" w:eastAsia="zh-CN"/>
              </w:rPr>
              <w:t>提供</w:t>
            </w: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辆</w:t>
            </w:r>
            <w:r>
              <w:rPr>
                <w:rFonts w:hint="eastAsia" w:cs="Times New Roman"/>
                <w:color w:val="auto"/>
                <w:highlight w:val="none"/>
                <w:lang w:val="en-US" w:eastAsia="zh-CN"/>
              </w:rPr>
              <w:t>得6分，本项最高得6分。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注：投标文件中提供危险货物运输车辆营运证复印件加盖公章，未提供或不符合的不得分。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rFonts w:hint="eastAsia"/>
                <w:szCs w:val="21"/>
                <w:highlight w:val="none"/>
                <w:lang w:val="en-US" w:eastAsia="zh-CN"/>
              </w:rPr>
            </w:pPr>
            <w:r>
              <w:rPr>
                <w:rFonts w:hint="eastAsia" w:cs="Times New Roman"/>
                <w:color w:val="auto"/>
                <w:highlight w:val="none"/>
                <w:lang w:val="en-US" w:eastAsia="zh-CN"/>
              </w:rPr>
              <w:t>6</w:t>
            </w:r>
            <w:r>
              <w:rPr>
                <w:rFonts w:hint="eastAsia" w:ascii="Times New Roman" w:hAnsi="Times New Roman" w:cs="Times New Roman"/>
                <w:color w:val="auto"/>
                <w:highlight w:val="none"/>
                <w:lang w:val="en-US"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rFonts w:hint="eastAsia" w:ascii="Times New Roman" w:hAnsi="Times New Roman" w:cs="Times New Roman"/>
                <w:b/>
                <w:bCs w:val="0"/>
                <w:lang w:val="en-US" w:eastAsia="zh-CN"/>
              </w:rPr>
            </w:pPr>
            <w:r>
              <w:rPr>
                <w:rFonts w:hint="eastAsia" w:cs="Times New Roman"/>
                <w:b/>
                <w:bCs w:val="0"/>
                <w:lang w:val="en-US" w:eastAsia="zh-CN"/>
              </w:rPr>
              <w:t>7</w:t>
            </w:r>
            <w:r>
              <w:rPr>
                <w:rFonts w:hint="eastAsia" w:ascii="Times New Roman" w:hAnsi="Times New Roman" w:cs="Times New Roman"/>
                <w:b/>
                <w:bCs w:val="0"/>
                <w:lang w:val="en-US" w:eastAsia="zh-CN"/>
              </w:rPr>
              <w:t>.体系认证（3分）</w:t>
            </w:r>
            <w:r>
              <w:rPr>
                <w:rFonts w:hint="eastAsia" w:ascii="Times New Roman" w:hAnsi="Times New Roman" w:cs="Times New Roman"/>
                <w:b/>
                <w:bCs w:val="0"/>
                <w:color w:val="auto"/>
                <w:highlight w:val="none"/>
                <w:lang w:val="en-US" w:eastAsia="zh-CN"/>
              </w:rPr>
              <w:t>：</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投标人或所投产品制造商具有有效的质量管理体系认证的得1分。</w:t>
            </w:r>
          </w:p>
          <w:p>
            <w:pPr>
              <w:keepNext w:val="0"/>
              <w:keepLines w:val="0"/>
              <w:pageBreakBefore w:val="0"/>
              <w:kinsoku/>
              <w:wordWrap/>
              <w:overflowPunct/>
              <w:topLinePunct w:val="0"/>
              <w:bidi w:val="0"/>
              <w:adjustRightInd/>
              <w:snapToGrid w:val="0"/>
              <w:spacing w:line="360" w:lineRule="exact"/>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投标人或所投产品制造商具有有效的环境管理体系认证的得1分。</w:t>
            </w:r>
          </w:p>
          <w:p>
            <w:pPr>
              <w:keepNext w:val="0"/>
              <w:keepLines w:val="0"/>
              <w:pageBreakBefore w:val="0"/>
              <w:kinsoku/>
              <w:wordWrap/>
              <w:overflowPunct/>
              <w:topLinePunct w:val="0"/>
              <w:bidi w:val="0"/>
              <w:adjustRightInd/>
              <w:snapToGrid w:val="0"/>
              <w:spacing w:line="360" w:lineRule="exact"/>
              <w:jc w:val="both"/>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投标人或所投产品制造商具有有效的职业健康与安全管理体系认证的得</w:t>
            </w: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分。</w:t>
            </w:r>
          </w:p>
          <w:p>
            <w:pPr>
              <w:keepNext w:val="0"/>
              <w:keepLines w:val="0"/>
              <w:pageBreakBefore w:val="0"/>
              <w:kinsoku/>
              <w:wordWrap/>
              <w:overflowPunct/>
              <w:topLinePunct w:val="0"/>
              <w:bidi w:val="0"/>
              <w:adjustRightInd/>
              <w:snapToGrid w:val="0"/>
              <w:spacing w:line="360" w:lineRule="exact"/>
              <w:jc w:val="left"/>
              <w:textAlignment w:val="auto"/>
              <w:rPr>
                <w:rFonts w:hint="eastAsia" w:ascii="Calibri" w:hAnsi="Calibri" w:cs="Calibri"/>
                <w:color w:val="auto"/>
                <w:highlight w:val="none"/>
                <w:lang w:val="en-US" w:eastAsia="zh-CN"/>
              </w:rPr>
            </w:pPr>
            <w:r>
              <w:rPr>
                <w:rFonts w:hint="eastAsia" w:cs="Times New Roman"/>
                <w:color w:val="auto"/>
                <w:highlight w:val="none"/>
                <w:lang w:val="en-US" w:eastAsia="zh-CN"/>
              </w:rPr>
              <w:t>注：提供有效期内的认证证书复印件加盖公章</w:t>
            </w:r>
            <w:r>
              <w:rPr>
                <w:rFonts w:hint="eastAsia" w:ascii="Calibri" w:hAnsi="Calibri" w:cs="Calibri"/>
                <w:color w:val="auto"/>
                <w:highlight w:val="none"/>
                <w:lang w:val="en-US" w:eastAsia="zh-CN"/>
              </w:rPr>
              <w:t>，未提供或不符合不得分。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3</w:t>
            </w:r>
            <w:r>
              <w:rPr>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pStyle w:val="47"/>
              <w:keepNext w:val="0"/>
              <w:keepLines w:val="0"/>
              <w:pageBreakBefore w:val="0"/>
              <w:kinsoku/>
              <w:wordWrap/>
              <w:overflowPunct/>
              <w:topLinePunct w:val="0"/>
              <w:bidi w:val="0"/>
              <w:adjustRightInd/>
              <w:spacing w:after="0" w:line="360" w:lineRule="exact"/>
              <w:ind w:left="0" w:leftChars="0" w:firstLine="0" w:firstLineChars="0"/>
              <w:textAlignment w:val="auto"/>
              <w:rPr>
                <w:rFonts w:hint="eastAsia" w:ascii="Times New Roman" w:hAnsi="Times New Roman" w:cs="Times New Roman"/>
                <w:b/>
                <w:bCs w:val="0"/>
                <w:lang w:val="en-US" w:eastAsia="zh-CN"/>
              </w:rPr>
            </w:pPr>
            <w:r>
              <w:rPr>
                <w:rFonts w:hint="eastAsia" w:cs="Times New Roman"/>
                <w:b/>
                <w:bCs w:val="0"/>
                <w:lang w:val="en-US" w:eastAsia="zh-CN"/>
              </w:rPr>
              <w:t>8</w:t>
            </w:r>
            <w:r>
              <w:rPr>
                <w:rFonts w:hint="eastAsia" w:ascii="Times New Roman" w:hAnsi="Times New Roman" w:cs="Times New Roman"/>
                <w:b/>
                <w:bCs w:val="0"/>
                <w:lang w:val="en-US" w:eastAsia="zh-CN"/>
              </w:rPr>
              <w:t>.同类业绩（3分）</w:t>
            </w:r>
            <w:r>
              <w:rPr>
                <w:rFonts w:hint="eastAsia" w:ascii="Times New Roman" w:hAnsi="Times New Roman" w:cs="Times New Roman"/>
                <w:b/>
                <w:bCs w:val="0"/>
                <w:color w:val="auto"/>
                <w:highlight w:val="none"/>
                <w:lang w:val="en-US" w:eastAsia="zh-CN"/>
              </w:rPr>
              <w:t>：</w:t>
            </w:r>
          </w:p>
          <w:p>
            <w:pPr>
              <w:keepNext w:val="0"/>
              <w:keepLines w:val="0"/>
              <w:pageBreakBefore w:val="0"/>
              <w:kinsoku/>
              <w:wordWrap/>
              <w:overflowPunct/>
              <w:topLinePunct w:val="0"/>
              <w:bidi w:val="0"/>
              <w:adjustRightInd/>
              <w:spacing w:line="360" w:lineRule="exact"/>
              <w:textAlignment w:val="auto"/>
              <w:rPr>
                <w:rFonts w:hint="eastAsia" w:ascii="Times New Roman" w:hAnsi="Times New Roman" w:cs="Times New Roman"/>
              </w:rPr>
            </w:pPr>
            <w:r>
              <w:rPr>
                <w:rFonts w:hint="eastAsia" w:ascii="Times New Roman" w:hAnsi="Times New Roman" w:cs="Times New Roman"/>
              </w:rPr>
              <w:t>根据投标人提供的202</w:t>
            </w:r>
            <w:r>
              <w:rPr>
                <w:rFonts w:hint="eastAsia" w:ascii="Times New Roman" w:hAnsi="Times New Roman" w:cs="Times New Roman"/>
                <w:lang w:val="en-US" w:eastAsia="zh-CN"/>
              </w:rPr>
              <w:t>1</w:t>
            </w:r>
            <w:r>
              <w:rPr>
                <w:rFonts w:hint="eastAsia" w:ascii="Times New Roman" w:hAnsi="Times New Roman" w:cs="Times New Roman"/>
              </w:rPr>
              <w:t>年</w:t>
            </w:r>
            <w:r>
              <w:rPr>
                <w:rFonts w:hint="eastAsia" w:cs="Times New Roman"/>
                <w:lang w:val="en-US" w:eastAsia="zh-CN"/>
              </w:rPr>
              <w:t>2</w:t>
            </w:r>
            <w:r>
              <w:rPr>
                <w:rFonts w:hint="eastAsia" w:ascii="Times New Roman" w:hAnsi="Times New Roman" w:cs="Times New Roman"/>
              </w:rPr>
              <w:t>月1日至今（以合同签订时间为准）</w:t>
            </w:r>
            <w:r>
              <w:rPr>
                <w:rFonts w:hint="eastAsia" w:ascii="Times New Roman" w:hAnsi="Times New Roman" w:cs="Times New Roman"/>
                <w:lang w:val="en-US" w:eastAsia="zh-CN"/>
              </w:rPr>
              <w:t>同类</w:t>
            </w:r>
            <w:r>
              <w:rPr>
                <w:rFonts w:hint="eastAsia" w:ascii="Times New Roman" w:hAnsi="Times New Roman" w:cs="Times New Roman"/>
              </w:rPr>
              <w:t>业绩，每</w:t>
            </w:r>
            <w:r>
              <w:rPr>
                <w:rFonts w:hint="eastAsia" w:cs="Times New Roman"/>
                <w:lang w:val="en-US" w:eastAsia="zh-CN"/>
              </w:rPr>
              <w:t>具有1个</w:t>
            </w:r>
            <w:r>
              <w:rPr>
                <w:rFonts w:hint="eastAsia" w:ascii="Times New Roman" w:hAnsi="Times New Roman" w:cs="Times New Roman"/>
              </w:rPr>
              <w:t>业绩合同得1分，</w:t>
            </w:r>
            <w:r>
              <w:rPr>
                <w:rFonts w:hint="eastAsia" w:ascii="Times New Roman" w:hAnsi="Times New Roman" w:cs="Times New Roman"/>
                <w:color w:val="auto"/>
                <w:highlight w:val="none"/>
                <w:lang w:val="en-US" w:eastAsia="zh-CN"/>
              </w:rPr>
              <w:t>本项</w:t>
            </w:r>
            <w:r>
              <w:rPr>
                <w:rFonts w:hint="eastAsia" w:ascii="Times New Roman" w:hAnsi="Times New Roman" w:cs="Times New Roman"/>
              </w:rPr>
              <w:t>最高得3分。</w:t>
            </w:r>
          </w:p>
          <w:p>
            <w:pPr>
              <w:keepNext w:val="0"/>
              <w:keepLines w:val="0"/>
              <w:pageBreakBefore w:val="0"/>
              <w:kinsoku/>
              <w:wordWrap/>
              <w:overflowPunct/>
              <w:topLinePunct w:val="0"/>
              <w:bidi w:val="0"/>
              <w:adjustRightInd/>
              <w:spacing w:line="360" w:lineRule="exact"/>
              <w:textAlignment w:val="auto"/>
              <w:rPr>
                <w:rFonts w:hint="eastAsia" w:ascii="Times New Roman" w:hAnsi="Times New Roman" w:cs="Times New Roman"/>
              </w:rPr>
            </w:pPr>
            <w:r>
              <w:rPr>
                <w:rFonts w:hint="eastAsia" w:cs="Times New Roman"/>
                <w:lang w:val="en-US" w:eastAsia="zh-CN"/>
              </w:rPr>
              <w:t>注：</w:t>
            </w:r>
            <w:r>
              <w:rPr>
                <w:rFonts w:hint="eastAsia" w:ascii="Times New Roman" w:hAnsi="Times New Roman" w:cs="Times New Roman"/>
              </w:rPr>
              <w:t>根据投标文件中提供的业绩合同进行评分，未提供或</w:t>
            </w:r>
            <w:r>
              <w:rPr>
                <w:rFonts w:hint="eastAsia" w:cs="Times New Roman"/>
                <w:lang w:val="en-US" w:eastAsia="zh-CN"/>
              </w:rPr>
              <w:t>提供页数、材料不全</w:t>
            </w:r>
            <w:r>
              <w:rPr>
                <w:rFonts w:hint="eastAsia" w:ascii="Times New Roman" w:hAnsi="Times New Roman" w:cs="Times New Roman"/>
              </w:rPr>
              <w:t>不得分。</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szCs w:val="21"/>
              </w:rPr>
            </w:pPr>
            <w:r>
              <w:rPr>
                <w:rFonts w:hint="eastAsia"/>
                <w:szCs w:val="21"/>
                <w:lang w:val="en-US" w:eastAsia="zh-CN"/>
              </w:rPr>
              <w:t>3</w:t>
            </w:r>
            <w:r>
              <w:rPr>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82" w:type="dxa"/>
            <w:vMerge w:val="continue"/>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p>
        </w:tc>
        <w:tc>
          <w:tcPr>
            <w:tcW w:w="7182" w:type="dxa"/>
            <w:vAlign w:val="center"/>
          </w:tcPr>
          <w:p>
            <w:pPr>
              <w:keepNext w:val="0"/>
              <w:keepLines w:val="0"/>
              <w:pageBreakBefore w:val="0"/>
              <w:kinsoku/>
              <w:wordWrap/>
              <w:overflowPunct/>
              <w:topLinePunct w:val="0"/>
              <w:bidi w:val="0"/>
              <w:adjustRightInd/>
              <w:spacing w:line="360" w:lineRule="exact"/>
              <w:textAlignment w:val="auto"/>
              <w:rPr>
                <w:rFonts w:ascii="宋体" w:hAnsi="宋体"/>
                <w:b/>
                <w:color w:val="auto"/>
                <w:szCs w:val="21"/>
              </w:rPr>
            </w:pPr>
            <w:r>
              <w:rPr>
                <w:rFonts w:hint="eastAsia"/>
                <w:b/>
                <w:lang w:val="en-US" w:eastAsia="zh-CN"/>
              </w:rPr>
              <w:t>9.</w:t>
            </w:r>
            <w:r>
              <w:rPr>
                <w:rFonts w:hint="eastAsia" w:ascii="宋体" w:hAnsi="宋体"/>
                <w:b/>
                <w:color w:val="auto"/>
                <w:szCs w:val="21"/>
              </w:rPr>
              <w:t>政策性因素加分（1分）</w:t>
            </w:r>
            <w:r>
              <w:rPr>
                <w:rFonts w:hint="eastAsia" w:ascii="Times New Roman" w:hAnsi="Times New Roman" w:cs="Times New Roman"/>
                <w:b/>
                <w:bCs w:val="0"/>
                <w:color w:val="auto"/>
                <w:highlight w:val="none"/>
                <w:lang w:val="en-US" w:eastAsia="zh-CN"/>
              </w:rPr>
              <w:t>：</w:t>
            </w:r>
          </w:p>
          <w:p>
            <w:pPr>
              <w:keepNext w:val="0"/>
              <w:keepLines w:val="0"/>
              <w:pageBreakBefore w:val="0"/>
              <w:kinsoku/>
              <w:wordWrap/>
              <w:overflowPunct/>
              <w:topLinePunct w:val="0"/>
              <w:bidi w:val="0"/>
              <w:adjustRightInd/>
              <w:spacing w:line="360" w:lineRule="exact"/>
              <w:textAlignment w:val="auto"/>
              <w:rPr>
                <w:rFonts w:hint="eastAsia" w:ascii="宋体" w:hAnsi="宋体" w:cs="Times New Roman"/>
                <w:color w:val="auto"/>
                <w:szCs w:val="21"/>
              </w:rPr>
            </w:pPr>
            <w:r>
              <w:rPr>
                <w:rFonts w:hint="eastAsia" w:ascii="宋体" w:hAnsi="宋体" w:cs="Times New Roman"/>
                <w:color w:val="auto"/>
                <w:szCs w:val="21"/>
              </w:rPr>
              <w:t>投标产品为节能产品，提供有效期内节能产品认证证书的加0.5分；</w:t>
            </w:r>
          </w:p>
          <w:p>
            <w:pPr>
              <w:keepNext w:val="0"/>
              <w:keepLines w:val="0"/>
              <w:pageBreakBefore w:val="0"/>
              <w:kinsoku/>
              <w:wordWrap/>
              <w:overflowPunct/>
              <w:topLinePunct w:val="0"/>
              <w:bidi w:val="0"/>
              <w:adjustRightInd/>
              <w:spacing w:line="360" w:lineRule="exact"/>
              <w:textAlignment w:val="auto"/>
              <w:rPr>
                <w:rFonts w:hint="eastAsia" w:ascii="宋体" w:hAnsi="宋体" w:cs="Times New Roman"/>
                <w:color w:val="auto"/>
                <w:szCs w:val="21"/>
                <w:lang w:eastAsia="zh-CN"/>
              </w:rPr>
            </w:pPr>
            <w:r>
              <w:rPr>
                <w:rFonts w:hint="eastAsia" w:ascii="宋体" w:hAnsi="宋体" w:cs="Times New Roman"/>
                <w:color w:val="auto"/>
                <w:szCs w:val="21"/>
              </w:rPr>
              <w:t>投标产品为环境标志产品，提供有效期内环境标志产品认证证书的加0.5分。</w:t>
            </w:r>
          </w:p>
          <w:p>
            <w:pPr>
              <w:keepNext w:val="0"/>
              <w:keepLines w:val="0"/>
              <w:pageBreakBefore w:val="0"/>
              <w:kinsoku/>
              <w:wordWrap/>
              <w:overflowPunct/>
              <w:topLinePunct w:val="0"/>
              <w:bidi w:val="0"/>
              <w:adjustRightInd/>
              <w:spacing w:line="360" w:lineRule="exact"/>
              <w:textAlignment w:val="auto"/>
            </w:pPr>
            <w:r>
              <w:rPr>
                <w:rFonts w:hint="eastAsia" w:ascii="宋体" w:hAnsi="宋体" w:cs="Times New Roman"/>
                <w:color w:val="auto"/>
                <w:szCs w:val="21"/>
                <w:lang w:eastAsia="zh-CN"/>
              </w:rPr>
              <w:t>（</w:t>
            </w:r>
            <w:r>
              <w:rPr>
                <w:rFonts w:hint="eastAsia" w:ascii="宋体" w:hAnsi="宋体" w:cs="Times New Roman"/>
                <w:color w:val="auto"/>
                <w:szCs w:val="21"/>
                <w:lang w:val="en-US" w:eastAsia="zh-CN"/>
              </w:rPr>
              <w:t>注：</w:t>
            </w:r>
            <w:r>
              <w:rPr>
                <w:rFonts w:hint="eastAsia" w:ascii="宋体" w:hAnsi="宋体" w:cs="Times New Roman"/>
                <w:color w:val="auto"/>
                <w:szCs w:val="21"/>
              </w:rPr>
              <w:t>投标产品如属于节能产品、环境标志产品的，投标人须提供由国家确定的认证机构出具的、处于有效期之内的节能产品、环境标志产品认证证书，未按要求提供认证证书或认证证书与中国政府采购网（</w:t>
            </w:r>
            <w:r>
              <w:rPr>
                <w:rFonts w:hint="eastAsia" w:ascii="宋体" w:hAnsi="宋体" w:cs="Times New Roman"/>
                <w:color w:val="auto"/>
                <w:szCs w:val="21"/>
              </w:rPr>
              <w:fldChar w:fldCharType="begin"/>
            </w:r>
            <w:r>
              <w:rPr>
                <w:rFonts w:hint="eastAsia" w:ascii="宋体" w:hAnsi="宋体" w:cs="Times New Roman"/>
                <w:color w:val="auto"/>
                <w:szCs w:val="21"/>
              </w:rPr>
              <w:instrText xml:space="preserve"> HYPERLINK "http://www.ccgp.gov.cn/" </w:instrText>
            </w:r>
            <w:r>
              <w:rPr>
                <w:rFonts w:hint="eastAsia" w:ascii="宋体" w:hAnsi="宋体" w:cs="Times New Roman"/>
                <w:color w:val="auto"/>
                <w:szCs w:val="21"/>
              </w:rPr>
              <w:fldChar w:fldCharType="separate"/>
            </w:r>
            <w:r>
              <w:rPr>
                <w:rFonts w:hint="eastAsia" w:ascii="宋体" w:hAnsi="宋体" w:cs="Times New Roman"/>
                <w:color w:val="auto"/>
                <w:szCs w:val="21"/>
              </w:rPr>
              <w:t>www.ccgp.gov.cn</w:t>
            </w:r>
            <w:r>
              <w:rPr>
                <w:rFonts w:hint="eastAsia" w:ascii="宋体" w:hAnsi="宋体" w:cs="Times New Roman"/>
                <w:color w:val="auto"/>
                <w:szCs w:val="21"/>
              </w:rPr>
              <w:fldChar w:fldCharType="end"/>
            </w:r>
            <w:r>
              <w:rPr>
                <w:rFonts w:hint="eastAsia" w:ascii="宋体" w:hAnsi="宋体" w:cs="Times New Roman"/>
                <w:color w:val="auto"/>
                <w:szCs w:val="21"/>
              </w:rPr>
              <w:t>）节能产品、环境标志产品查询结果不相符的评标委员会将不予认可，不得享受技术加分。由多个产品集成的项目（标项），必须所有产品符合上述要求才能享受技术加分</w:t>
            </w:r>
            <w:r>
              <w:rPr>
                <w:rFonts w:hint="eastAsia" w:ascii="宋体" w:hAnsi="宋体" w:cs="Times New Roman"/>
                <w:color w:val="auto"/>
                <w:szCs w:val="21"/>
                <w:lang w:eastAsia="zh-CN"/>
              </w:rPr>
              <w:t>）</w:t>
            </w:r>
            <w:r>
              <w:rPr>
                <w:rFonts w:hint="eastAsia" w:ascii="宋体" w:hAnsi="宋体" w:cs="Times New Roman"/>
                <w:color w:val="auto"/>
                <w:szCs w:val="21"/>
              </w:rPr>
              <w:t>。</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rFonts w:ascii="Times New Roman" w:hAnsi="Times New Roman" w:cs="Times New Roman"/>
                <w:szCs w:val="21"/>
              </w:rPr>
            </w:pPr>
            <w:r>
              <w:rPr>
                <w:rFonts w:hint="eastAsia" w:ascii="Times New Roman" w:hAnsi="Times New Roman" w:cs="Times New Roman"/>
                <w:szCs w:val="21"/>
                <w:lang w:val="en-US" w:eastAsia="zh-CN"/>
              </w:rPr>
              <w:t>1</w:t>
            </w:r>
            <w:r>
              <w:rPr>
                <w:rFonts w:ascii="Times New Roman" w:hAnsi="Times New Roman" w:cs="Times New Roman"/>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33" w:hRule="atLeast"/>
          <w:jc w:val="center"/>
        </w:trPr>
        <w:tc>
          <w:tcPr>
            <w:tcW w:w="882" w:type="dxa"/>
            <w:textDirection w:val="tbRlV"/>
            <w:vAlign w:val="center"/>
          </w:tcPr>
          <w:p>
            <w:pPr>
              <w:keepNext w:val="0"/>
              <w:keepLines w:val="0"/>
              <w:pageBreakBefore w:val="0"/>
              <w:widowControl/>
              <w:kinsoku/>
              <w:wordWrap/>
              <w:overflowPunct/>
              <w:topLinePunct w:val="0"/>
              <w:bidi w:val="0"/>
              <w:adjustRightInd/>
              <w:spacing w:line="360" w:lineRule="exact"/>
              <w:ind w:left="113" w:right="113"/>
              <w:contextualSpacing/>
              <w:jc w:val="center"/>
              <w:textAlignment w:val="auto"/>
              <w:rPr>
                <w:szCs w:val="21"/>
              </w:rPr>
            </w:pPr>
            <w:r>
              <w:rPr>
                <w:szCs w:val="21"/>
              </w:rPr>
              <w:t>价格分（</w:t>
            </w:r>
            <w:r>
              <w:rPr>
                <w:rFonts w:hint="eastAsia"/>
                <w:szCs w:val="21"/>
                <w:lang w:val="en-US" w:eastAsia="zh-CN"/>
              </w:rPr>
              <w:t>30</w:t>
            </w:r>
            <w:r>
              <w:rPr>
                <w:szCs w:val="21"/>
              </w:rPr>
              <w:t>分）</w:t>
            </w:r>
          </w:p>
        </w:tc>
        <w:tc>
          <w:tcPr>
            <w:tcW w:w="7182" w:type="dxa"/>
            <w:vAlign w:val="center"/>
          </w:tcPr>
          <w:p>
            <w:pPr>
              <w:keepNext w:val="0"/>
              <w:keepLines w:val="0"/>
              <w:pageBreakBefore w:val="0"/>
              <w:widowControl/>
              <w:kinsoku/>
              <w:wordWrap/>
              <w:overflowPunct/>
              <w:topLinePunct w:val="0"/>
              <w:bidi w:val="0"/>
              <w:adjustRightInd/>
              <w:spacing w:line="360" w:lineRule="exact"/>
              <w:textAlignment w:val="auto"/>
              <w:rPr>
                <w:b/>
                <w:szCs w:val="21"/>
              </w:rPr>
            </w:pPr>
            <w:r>
              <w:rPr>
                <w:b/>
                <w:szCs w:val="21"/>
              </w:rPr>
              <w:t>价格分（</w:t>
            </w:r>
            <w:r>
              <w:rPr>
                <w:rFonts w:hint="eastAsia"/>
                <w:b/>
                <w:szCs w:val="21"/>
                <w:lang w:val="en-US" w:eastAsia="zh-CN"/>
              </w:rPr>
              <w:t>30</w:t>
            </w:r>
            <w:r>
              <w:rPr>
                <w:b/>
                <w:szCs w:val="21"/>
              </w:rPr>
              <w:t>分）</w:t>
            </w:r>
          </w:p>
          <w:p>
            <w:pPr>
              <w:keepNext w:val="0"/>
              <w:keepLines w:val="0"/>
              <w:pageBreakBefore w:val="0"/>
              <w:kinsoku/>
              <w:wordWrap/>
              <w:overflowPunct/>
              <w:topLinePunct w:val="0"/>
              <w:bidi w:val="0"/>
              <w:adjustRightInd/>
              <w:spacing w:line="360" w:lineRule="exact"/>
              <w:textAlignment w:val="auto"/>
            </w:pPr>
            <w:r>
              <w:rPr>
                <w:rFonts w:hint="eastAsia"/>
              </w:rPr>
              <w:t>参与评审的价格=评标价-小微企业价格扣除优惠值10%</w:t>
            </w:r>
          </w:p>
          <w:p>
            <w:pPr>
              <w:keepNext w:val="0"/>
              <w:keepLines w:val="0"/>
              <w:pageBreakBefore w:val="0"/>
              <w:kinsoku/>
              <w:wordWrap/>
              <w:overflowPunct/>
              <w:topLinePunct w:val="0"/>
              <w:bidi w:val="0"/>
              <w:adjustRightInd/>
              <w:spacing w:line="360" w:lineRule="exact"/>
              <w:textAlignment w:val="auto"/>
              <w:rPr>
                <w:rFonts w:hint="default" w:eastAsia="宋体"/>
                <w:lang w:val="en-US" w:eastAsia="zh-CN"/>
              </w:rPr>
            </w:pPr>
            <w:r>
              <w:rPr>
                <w:rFonts w:hint="eastAsia"/>
              </w:rPr>
              <w:t>评标基准价=满足招</w:t>
            </w:r>
            <w:r>
              <w:rPr>
                <w:rFonts w:hint="eastAsia" w:ascii="Times New Roman" w:hAnsi="Times New Roman" w:eastAsia="宋体" w:cs="Times New Roman"/>
              </w:rPr>
              <w:t>标文件要求且“参与评审的价格”中</w:t>
            </w:r>
            <w:r>
              <w:rPr>
                <w:rFonts w:hint="eastAsia" w:ascii="Times New Roman" w:hAnsi="Times New Roman" w:eastAsia="宋体" w:cs="Times New Roman"/>
                <w:lang w:val="en-US" w:eastAsia="zh-CN"/>
              </w:rPr>
              <w:t>最低折扣率（即优惠程度最大）</w:t>
            </w:r>
            <w:r>
              <w:rPr>
                <w:rFonts w:hint="eastAsia" w:ascii="Times New Roman" w:hAnsi="Times New Roman" w:eastAsia="宋体" w:cs="Times New Roman"/>
              </w:rPr>
              <w:t>为评标基准价</w:t>
            </w:r>
            <w:r>
              <w:rPr>
                <w:rFonts w:hint="eastAsia" w:cs="Times New Roman"/>
                <w:lang w:eastAsia="zh-CN"/>
              </w:rPr>
              <w:t>。</w:t>
            </w:r>
            <w:r>
              <w:rPr>
                <w:rFonts w:hint="eastAsia" w:ascii="Times New Roman" w:hAnsi="Times New Roman" w:eastAsia="宋体" w:cs="Times New Roman"/>
                <w:lang w:val="en-US" w:eastAsia="zh-CN"/>
              </w:rPr>
              <w:t xml:space="preserve">  </w:t>
            </w:r>
          </w:p>
          <w:p>
            <w:pPr>
              <w:keepNext w:val="0"/>
              <w:keepLines w:val="0"/>
              <w:pageBreakBefore w:val="0"/>
              <w:kinsoku/>
              <w:wordWrap/>
              <w:overflowPunct/>
              <w:topLinePunct w:val="0"/>
              <w:bidi w:val="0"/>
              <w:adjustRightInd/>
              <w:spacing w:line="360" w:lineRule="exact"/>
              <w:textAlignment w:val="auto"/>
            </w:pPr>
            <w:r>
              <w:rPr>
                <w:rFonts w:hint="eastAsia"/>
              </w:rPr>
              <w:t>基准价得分为满分</w:t>
            </w:r>
            <w:r>
              <w:rPr>
                <w:rFonts w:hint="eastAsia"/>
                <w:lang w:val="en-US" w:eastAsia="zh-CN"/>
              </w:rPr>
              <w:t>30</w:t>
            </w:r>
            <w:r>
              <w:rPr>
                <w:rFonts w:hint="eastAsia"/>
              </w:rPr>
              <w:t>分，其他投标单位报价得分计算公式如下：</w:t>
            </w:r>
          </w:p>
          <w:p>
            <w:pPr>
              <w:keepNext w:val="0"/>
              <w:keepLines w:val="0"/>
              <w:pageBreakBefore w:val="0"/>
              <w:kinsoku/>
              <w:wordWrap/>
              <w:overflowPunct/>
              <w:topLinePunct w:val="0"/>
              <w:bidi w:val="0"/>
              <w:adjustRightInd/>
              <w:spacing w:line="360" w:lineRule="exact"/>
              <w:textAlignment w:val="auto"/>
            </w:pPr>
            <w:r>
              <w:rPr>
                <w:rFonts w:hint="eastAsia"/>
              </w:rPr>
              <w:t>其他投标单位报价得分=（评标基准价/参与评审的价格）×</w:t>
            </w:r>
            <w:r>
              <w:rPr>
                <w:rFonts w:hint="eastAsia"/>
                <w:lang w:val="en-US" w:eastAsia="zh-CN"/>
              </w:rPr>
              <w:t>30</w:t>
            </w:r>
            <w:r>
              <w:rPr>
                <w:rFonts w:hint="eastAsia"/>
              </w:rPr>
              <w:t>%×100</w:t>
            </w:r>
          </w:p>
          <w:p>
            <w:pPr>
              <w:keepNext w:val="0"/>
              <w:keepLines w:val="0"/>
              <w:pageBreakBefore w:val="0"/>
              <w:kinsoku/>
              <w:wordWrap/>
              <w:overflowPunct/>
              <w:topLinePunct w:val="0"/>
              <w:bidi w:val="0"/>
              <w:adjustRightInd/>
              <w:spacing w:line="360" w:lineRule="exact"/>
              <w:textAlignment w:val="auto"/>
              <w:rPr>
                <w:b/>
                <w:szCs w:val="21"/>
              </w:rPr>
            </w:pPr>
            <w:r>
              <w:rPr>
                <w:rFonts w:hint="eastAsia"/>
              </w:rPr>
              <w:t>（</w:t>
            </w:r>
            <w:r>
              <w:rPr>
                <w:rFonts w:hint="eastAsia"/>
                <w:lang w:val="en-US" w:eastAsia="zh-CN"/>
              </w:rPr>
              <w:t>价格分</w:t>
            </w:r>
            <w:r>
              <w:rPr>
                <w:rFonts w:hint="eastAsia"/>
              </w:rPr>
              <w:t>以四舍五入方法整合到小数点后两位）</w:t>
            </w:r>
          </w:p>
        </w:tc>
        <w:tc>
          <w:tcPr>
            <w:tcW w:w="935" w:type="dxa"/>
            <w:vAlign w:val="center"/>
          </w:tcPr>
          <w:p>
            <w:pPr>
              <w:keepNext w:val="0"/>
              <w:keepLines w:val="0"/>
              <w:pageBreakBefore w:val="0"/>
              <w:kinsoku/>
              <w:wordWrap/>
              <w:overflowPunct/>
              <w:topLinePunct w:val="0"/>
              <w:bidi w:val="0"/>
              <w:adjustRightInd/>
              <w:spacing w:line="360" w:lineRule="exact"/>
              <w:contextualSpacing/>
              <w:jc w:val="center"/>
              <w:textAlignment w:val="auto"/>
              <w:rPr>
                <w:rFonts w:ascii="Times New Roman" w:hAnsi="Times New Roman" w:cs="Times New Roman"/>
                <w:szCs w:val="21"/>
              </w:rPr>
            </w:pPr>
            <w:r>
              <w:rPr>
                <w:rFonts w:hint="eastAsia" w:ascii="Times New Roman" w:hAnsi="Times New Roman" w:cs="Times New Roman"/>
                <w:szCs w:val="21"/>
                <w:lang w:val="en-US" w:eastAsia="zh-CN"/>
              </w:rPr>
              <w:t>30</w:t>
            </w:r>
            <w:r>
              <w:rPr>
                <w:rFonts w:ascii="Times New Roman" w:hAnsi="Times New Roman" w:cs="Times New Roman"/>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2" w:hRule="atLeast"/>
          <w:jc w:val="center"/>
        </w:trPr>
        <w:tc>
          <w:tcPr>
            <w:tcW w:w="8064" w:type="dxa"/>
            <w:gridSpan w:val="2"/>
            <w:vAlign w:val="center"/>
          </w:tcPr>
          <w:p>
            <w:pPr>
              <w:keepNext w:val="0"/>
              <w:keepLines w:val="0"/>
              <w:pageBreakBefore w:val="0"/>
              <w:widowControl/>
              <w:kinsoku/>
              <w:wordWrap/>
              <w:overflowPunct/>
              <w:topLinePunct w:val="0"/>
              <w:bidi w:val="0"/>
              <w:adjustRightInd/>
              <w:spacing w:line="360" w:lineRule="exact"/>
              <w:jc w:val="center"/>
              <w:textAlignment w:val="auto"/>
              <w:rPr>
                <w:szCs w:val="21"/>
              </w:rPr>
            </w:pPr>
            <w:r>
              <w:rPr>
                <w:szCs w:val="21"/>
              </w:rPr>
              <w:t>综合评分得分（满分100分）</w:t>
            </w:r>
          </w:p>
        </w:tc>
        <w:tc>
          <w:tcPr>
            <w:tcW w:w="935" w:type="dxa"/>
            <w:vAlign w:val="center"/>
          </w:tcPr>
          <w:p>
            <w:pPr>
              <w:keepNext w:val="0"/>
              <w:keepLines w:val="0"/>
              <w:pageBreakBefore w:val="0"/>
              <w:widowControl/>
              <w:kinsoku/>
              <w:wordWrap/>
              <w:overflowPunct/>
              <w:topLinePunct w:val="0"/>
              <w:bidi w:val="0"/>
              <w:adjustRightInd/>
              <w:spacing w:line="360" w:lineRule="exact"/>
              <w:contextualSpacing/>
              <w:jc w:val="center"/>
              <w:textAlignment w:val="auto"/>
              <w:rPr>
                <w:szCs w:val="21"/>
              </w:rPr>
            </w:pPr>
          </w:p>
        </w:tc>
      </w:tr>
    </w:tbl>
    <w:p/>
    <w:p>
      <w:pPr>
        <w:keepNext w:val="0"/>
        <w:keepLines w:val="0"/>
        <w:pageBreakBefore w:val="0"/>
        <w:kinsoku/>
        <w:wordWrap/>
        <w:overflowPunct/>
        <w:topLinePunct w:val="0"/>
        <w:bidi w:val="0"/>
        <w:adjustRightInd/>
        <w:spacing w:line="360" w:lineRule="exact"/>
        <w:textAlignment w:val="auto"/>
        <w:rPr>
          <w:rFonts w:hint="eastAsia" w:ascii="Times New Roman" w:hAnsi="Times New Roman" w:cs="Times New Roman"/>
          <w:b/>
          <w:bCs/>
          <w:sz w:val="22"/>
          <w:szCs w:val="28"/>
        </w:rPr>
      </w:pPr>
      <w:r>
        <w:rPr>
          <w:rFonts w:hint="eastAsia" w:ascii="Times New Roman" w:hAnsi="Times New Roman" w:cs="Times New Roman"/>
          <w:b/>
          <w:bCs/>
          <w:sz w:val="22"/>
          <w:szCs w:val="28"/>
          <w:lang w:val="en-US" w:eastAsia="zh-CN"/>
        </w:rPr>
        <w:t>注：1.评分项要求提供的</w:t>
      </w:r>
      <w:r>
        <w:rPr>
          <w:rFonts w:hint="eastAsia" w:ascii="Times New Roman" w:hAnsi="Times New Roman" w:cs="Times New Roman"/>
          <w:b/>
          <w:bCs/>
          <w:sz w:val="22"/>
          <w:szCs w:val="28"/>
        </w:rPr>
        <w:t>证明材料（证书、合同等）应</w:t>
      </w:r>
      <w:r>
        <w:rPr>
          <w:rFonts w:hint="eastAsia" w:ascii="Times New Roman" w:hAnsi="Times New Roman" w:cs="Times New Roman"/>
          <w:b/>
          <w:bCs/>
          <w:sz w:val="22"/>
          <w:szCs w:val="28"/>
          <w:lang w:val="en-US" w:eastAsia="zh-CN"/>
        </w:rPr>
        <w:t>完整且</w:t>
      </w:r>
      <w:r>
        <w:rPr>
          <w:rFonts w:hint="eastAsia" w:ascii="Times New Roman" w:hAnsi="Times New Roman" w:cs="Times New Roman"/>
          <w:b/>
          <w:bCs/>
          <w:sz w:val="22"/>
          <w:szCs w:val="28"/>
        </w:rPr>
        <w:t>清晰可辨，如</w:t>
      </w:r>
      <w:r>
        <w:rPr>
          <w:rFonts w:hint="eastAsia" w:ascii="Times New Roman" w:hAnsi="Times New Roman" w:cs="Times New Roman"/>
          <w:b/>
          <w:bCs/>
          <w:sz w:val="22"/>
          <w:szCs w:val="28"/>
          <w:lang w:val="en-US" w:eastAsia="zh-CN"/>
        </w:rPr>
        <w:t>不完整或</w:t>
      </w:r>
      <w:r>
        <w:rPr>
          <w:rFonts w:hint="eastAsia" w:ascii="Times New Roman" w:hAnsi="Times New Roman" w:cs="Times New Roman"/>
          <w:b/>
          <w:bCs/>
          <w:sz w:val="22"/>
          <w:szCs w:val="28"/>
        </w:rPr>
        <w:t>无法辨识，将不予给分。</w:t>
      </w:r>
    </w:p>
    <w:p>
      <w:r>
        <w:t xml:space="preserve"> </w:t>
      </w:r>
    </w:p>
    <w:p/>
    <w:p>
      <w:r>
        <w:t>评委签字：                                                     日期：   年   月   日</w:t>
      </w:r>
    </w:p>
    <w:p>
      <w:pPr>
        <w:pStyle w:val="3"/>
        <w:spacing w:before="0" w:after="0" w:line="360" w:lineRule="auto"/>
        <w:jc w:val="center"/>
        <w:rPr>
          <w:sz w:val="30"/>
        </w:rPr>
      </w:pPr>
      <w:r>
        <w:rPr>
          <w:b w:val="0"/>
          <w:sz w:val="24"/>
          <w:szCs w:val="21"/>
        </w:rPr>
        <w:br w:type="page"/>
      </w:r>
      <w:bookmarkStart w:id="322" w:name="_Toc68086648"/>
      <w:bookmarkStart w:id="323" w:name="_Toc23517"/>
      <w:bookmarkStart w:id="324" w:name="_Toc2841"/>
      <w:bookmarkStart w:id="325" w:name="_Toc103878838"/>
      <w:r>
        <w:rPr>
          <w:sz w:val="30"/>
        </w:rPr>
        <w:t>第五章  采购合同主要条款</w:t>
      </w:r>
      <w:bookmarkEnd w:id="322"/>
      <w:bookmarkEnd w:id="323"/>
      <w:bookmarkEnd w:id="324"/>
      <w:bookmarkEnd w:id="325"/>
    </w:p>
    <w:p>
      <w:pPr>
        <w:rPr>
          <w:rFonts w:hint="eastAsia"/>
        </w:rPr>
      </w:pPr>
    </w:p>
    <w:p>
      <w:pPr>
        <w:spacing w:line="360" w:lineRule="exact"/>
        <w:jc w:val="center"/>
        <w:rPr>
          <w:szCs w:val="21"/>
        </w:rPr>
      </w:pPr>
      <w:r>
        <w:rPr>
          <w:rFonts w:hint="eastAsia"/>
          <w:b/>
          <w:sz w:val="32"/>
          <w:szCs w:val="32"/>
        </w:rPr>
        <w:t>政府</w:t>
      </w:r>
      <w:r>
        <w:rPr>
          <w:b/>
          <w:sz w:val="32"/>
          <w:szCs w:val="32"/>
        </w:rPr>
        <w:t>采购合同</w:t>
      </w:r>
    </w:p>
    <w:p>
      <w:pPr>
        <w:spacing w:line="360" w:lineRule="exact"/>
        <w:jc w:val="center"/>
        <w:rPr>
          <w:b/>
          <w:bCs/>
          <w:szCs w:val="21"/>
        </w:rPr>
      </w:pPr>
      <w:r>
        <w:rPr>
          <w:b/>
          <w:bCs/>
          <w:szCs w:val="21"/>
        </w:rPr>
        <w:t>（</w:t>
      </w:r>
      <w:r>
        <w:rPr>
          <w:rFonts w:hint="eastAsia"/>
          <w:b/>
          <w:szCs w:val="21"/>
          <w:lang w:val="en-US" w:eastAsia="zh-CN"/>
        </w:rPr>
        <w:t>该合同仅供参考</w:t>
      </w:r>
      <w:r>
        <w:rPr>
          <w:rFonts w:hint="eastAsia"/>
          <w:b/>
          <w:szCs w:val="21"/>
        </w:rPr>
        <w:t>，采购人和中标人经过协商后签署最终合同）</w:t>
      </w:r>
      <w:r>
        <w:rPr>
          <w:b/>
          <w:bCs/>
          <w:szCs w:val="21"/>
        </w:rPr>
        <w:t>）</w:t>
      </w:r>
    </w:p>
    <w:p>
      <w:pPr>
        <w:spacing w:line="360" w:lineRule="exact"/>
        <w:rPr>
          <w:szCs w:val="21"/>
        </w:rPr>
      </w:pPr>
      <w:r>
        <w:rPr>
          <w:b/>
          <w:bCs/>
          <w:szCs w:val="21"/>
        </w:rPr>
        <w:t xml:space="preserve"> </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   方：（招标人）</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   方：（中标人）</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甲、乙双方根据</w:t>
      </w:r>
      <w:r>
        <w:rPr>
          <w:rFonts w:hint="eastAsia" w:ascii="宋体" w:hAnsi="宋体" w:eastAsia="宋体" w:cs="宋体"/>
          <w:color w:val="auto"/>
          <w:sz w:val="22"/>
          <w:szCs w:val="22"/>
          <w:highlight w:val="none"/>
          <w:u w:val="single"/>
        </w:rPr>
        <w:t>（招标编号、项目名称</w:t>
      </w:r>
      <w:r>
        <w:rPr>
          <w:rFonts w:hint="eastAsia" w:hAnsi="宋体" w:cs="宋体"/>
          <w:color w:val="auto"/>
          <w:sz w:val="22"/>
          <w:szCs w:val="22"/>
          <w:highlight w:val="none"/>
          <w:u w:val="single"/>
          <w:lang w:eastAsia="zh-CN"/>
        </w:rPr>
        <w:t>、</w:t>
      </w:r>
      <w:r>
        <w:rPr>
          <w:rFonts w:hint="eastAsia" w:hAnsi="宋体" w:cs="宋体"/>
          <w:color w:val="auto"/>
          <w:sz w:val="22"/>
          <w:szCs w:val="22"/>
          <w:highlight w:val="none"/>
          <w:u w:val="single"/>
          <w:lang w:val="en-US" w:eastAsia="zh-CN"/>
        </w:rPr>
        <w:t>标项号</w:t>
      </w:r>
      <w:r>
        <w:rPr>
          <w:rFonts w:hint="eastAsia" w:ascii="宋体" w:hAnsi="宋体" w:eastAsia="宋体" w:cs="宋体"/>
          <w:color w:val="auto"/>
          <w:sz w:val="22"/>
          <w:szCs w:val="22"/>
          <w:highlight w:val="none"/>
          <w:u w:val="single"/>
        </w:rPr>
        <w:t>）  公开招标  的</w:t>
      </w:r>
      <w:r>
        <w:rPr>
          <w:rFonts w:hint="eastAsia" w:ascii="宋体" w:hAnsi="宋体" w:eastAsia="宋体" w:cs="宋体"/>
          <w:color w:val="auto"/>
          <w:sz w:val="22"/>
          <w:szCs w:val="22"/>
          <w:highlight w:val="none"/>
        </w:rPr>
        <w:t>结果，签署本合同。</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一、货物内容</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货物名称：</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型号规格：</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技术参数：</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 数量（单位）：</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二、合同金额</w:t>
      </w:r>
      <w:r>
        <w:rPr>
          <w:rFonts w:hint="eastAsia" w:hAnsi="宋体" w:cs="宋体"/>
          <w:b/>
          <w:color w:val="auto"/>
          <w:sz w:val="22"/>
          <w:szCs w:val="22"/>
          <w:highlight w:val="none"/>
          <w:lang w:eastAsia="zh-CN"/>
        </w:rPr>
        <w:t>、</w:t>
      </w:r>
      <w:r>
        <w:rPr>
          <w:rFonts w:hint="eastAsia" w:hAnsi="宋体" w:cs="宋体"/>
          <w:b/>
          <w:color w:val="auto"/>
          <w:sz w:val="22"/>
          <w:szCs w:val="22"/>
          <w:highlight w:val="none"/>
          <w:lang w:val="en-US" w:eastAsia="zh-CN"/>
        </w:rPr>
        <w:t>履约保证金</w:t>
      </w:r>
    </w:p>
    <w:p>
      <w:pPr>
        <w:pStyle w:val="25"/>
        <w:keepNext w:val="0"/>
        <w:keepLines w:val="0"/>
        <w:pageBreakBefore w:val="0"/>
        <w:widowControl/>
        <w:kinsoku/>
        <w:wordWrap/>
        <w:overflowPunct/>
        <w:topLinePunct w:val="0"/>
        <w:autoSpaceDE/>
        <w:autoSpaceDN/>
        <w:bidi w:val="0"/>
        <w:spacing w:line="400" w:lineRule="exact"/>
        <w:ind w:left="359"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2.1 本合同金额为（大写）：__________元（￥_________元）人民币。</w:t>
      </w:r>
    </w:p>
    <w:p>
      <w:pPr>
        <w:ind w:firstLine="440" w:firstLineChars="200"/>
        <w:rPr>
          <w:rFonts w:hint="default" w:eastAsia="宋体"/>
          <w:lang w:val="en-US" w:eastAsia="zh-CN"/>
        </w:rPr>
      </w:pPr>
      <w:r>
        <w:rPr>
          <w:rFonts w:hint="eastAsia" w:ascii="宋体" w:hAnsi="宋体" w:cs="宋体"/>
          <w:color w:val="auto"/>
          <w:sz w:val="22"/>
          <w:szCs w:val="22"/>
          <w:highlight w:val="none"/>
          <w:lang w:val="en-US" w:eastAsia="zh-CN"/>
        </w:rPr>
        <w:t>2.2 履约保证金：</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三、技术资料</w:t>
      </w:r>
    </w:p>
    <w:p>
      <w:pPr>
        <w:pStyle w:val="25"/>
        <w:keepNext w:val="0"/>
        <w:keepLines w:val="0"/>
        <w:pageBreakBefore w:val="0"/>
        <w:widowControl/>
        <w:kinsoku/>
        <w:wordWrap/>
        <w:overflowPunct/>
        <w:topLinePunct w:val="0"/>
        <w:autoSpaceDE/>
        <w:autoSpaceDN/>
        <w:bidi w:val="0"/>
        <w:spacing w:line="400" w:lineRule="exact"/>
        <w:ind w:left="359"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3.1乙方应按招标文件规定的时间向甲方提供使用货物的有关技术资料。</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keepNext w:val="0"/>
        <w:keepLines w:val="0"/>
        <w:pageBreakBefore w:val="0"/>
        <w:widowControl/>
        <w:kinsoku/>
        <w:wordWrap/>
        <w:overflowPunct/>
        <w:topLinePunct w:val="0"/>
        <w:autoSpaceDE/>
        <w:autoSpaceDN/>
        <w:bidi w:val="0"/>
        <w:spacing w:line="400" w:lineRule="exact"/>
        <w:ind w:left="360" w:hanging="378" w:hangingChars="171"/>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四、知识产权</w:t>
      </w:r>
    </w:p>
    <w:p>
      <w:pPr>
        <w:pStyle w:val="25"/>
        <w:keepNext w:val="0"/>
        <w:keepLines w:val="0"/>
        <w:pageBreakBefore w:val="0"/>
        <w:widowControl/>
        <w:kinsoku/>
        <w:wordWrap/>
        <w:overflowPunct/>
        <w:topLinePunct w:val="0"/>
        <w:autoSpaceDE/>
        <w:autoSpaceDN/>
        <w:bidi w:val="0"/>
        <w:spacing w:line="400" w:lineRule="exact"/>
        <w:ind w:left="359" w:hanging="376" w:hangingChars="171"/>
        <w:jc w:val="lef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 xml:space="preserve">    4.1 乙方应保证所提供的货物或其任何一部分均不会侵犯任何第三方的知识产权</w:t>
      </w:r>
      <w:r>
        <w:rPr>
          <w:rFonts w:hint="eastAsia" w:ascii="宋体" w:hAnsi="宋体" w:eastAsia="宋体" w:cs="宋体"/>
          <w:bCs/>
          <w:color w:val="auto"/>
          <w:sz w:val="22"/>
          <w:szCs w:val="22"/>
          <w:highlight w:val="none"/>
        </w:rPr>
        <w:t>。</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rPr>
        <w:t>五、产权担保</w:t>
      </w:r>
    </w:p>
    <w:p>
      <w:pPr>
        <w:pStyle w:val="25"/>
        <w:keepNext w:val="0"/>
        <w:keepLines w:val="0"/>
        <w:pageBreakBefore w:val="0"/>
        <w:widowControl/>
        <w:kinsoku/>
        <w:wordWrap/>
        <w:overflowPunct/>
        <w:topLinePunct w:val="0"/>
        <w:autoSpaceDE/>
        <w:autoSpaceDN/>
        <w:bidi w:val="0"/>
        <w:spacing w:line="400" w:lineRule="exact"/>
        <w:ind w:left="357" w:hanging="374" w:hangingChars="170"/>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5.1 乙方保证所交付的货物的所有权完全属于乙方且无任何抵押、查封等产权瑕疵。</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六、转包或分包</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6.</w:t>
      </w:r>
      <w:r>
        <w:rPr>
          <w:rFonts w:hint="eastAsia" w:ascii="宋体" w:hAnsi="宋体" w:eastAsia="宋体" w:cs="宋体"/>
          <w:color w:val="auto"/>
          <w:kern w:val="0"/>
          <w:sz w:val="22"/>
          <w:szCs w:val="22"/>
          <w:highlight w:val="none"/>
          <w:lang w:val="en-US" w:eastAsia="zh-CN" w:bidi="ar-SA"/>
        </w:rPr>
        <w:t>1.本项目不允许转包。</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6.</w:t>
      </w:r>
      <w:r>
        <w:rPr>
          <w:rFonts w:hint="eastAsia" w:ascii="宋体" w:hAnsi="宋体" w:eastAsia="宋体" w:cs="宋体"/>
          <w:color w:val="auto"/>
          <w:kern w:val="0"/>
          <w:sz w:val="22"/>
          <w:szCs w:val="22"/>
          <w:highlight w:val="none"/>
          <w:lang w:val="en-US" w:eastAsia="zh-CN" w:bidi="ar-SA"/>
        </w:rPr>
        <w:t>2.本项目不允许分包。</w:t>
      </w:r>
    </w:p>
    <w:p>
      <w:pPr>
        <w:keepNext w:val="0"/>
        <w:keepLines w:val="0"/>
        <w:pageBreakBefore w:val="0"/>
        <w:widowControl/>
        <w:kinsoku/>
        <w:wordWrap/>
        <w:overflowPunct/>
        <w:topLinePunct w:val="0"/>
        <w:autoSpaceDE/>
        <w:autoSpaceDN/>
        <w:bidi w:val="0"/>
        <w:spacing w:line="400" w:lineRule="exact"/>
        <w:jc w:val="left"/>
        <w:textAlignment w:val="auto"/>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七</w:t>
      </w:r>
      <w:r>
        <w:rPr>
          <w:rFonts w:hint="eastAsia" w:ascii="宋体" w:hAnsi="宋体" w:eastAsia="宋体" w:cs="宋体"/>
          <w:b/>
          <w:color w:val="auto"/>
          <w:sz w:val="22"/>
          <w:szCs w:val="22"/>
          <w:highlight w:val="none"/>
        </w:rPr>
        <w:t>、服务期限</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服务地点</w:t>
      </w:r>
    </w:p>
    <w:p>
      <w:pPr>
        <w:keepNext w:val="0"/>
        <w:keepLines w:val="0"/>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 xml:space="preserve">.1 </w:t>
      </w:r>
      <w:r>
        <w:rPr>
          <w:rFonts w:hint="eastAsia" w:ascii="宋体" w:hAnsi="宋体" w:eastAsia="宋体" w:cs="宋体"/>
          <w:bCs/>
          <w:color w:val="auto"/>
          <w:sz w:val="22"/>
          <w:szCs w:val="22"/>
          <w:highlight w:val="none"/>
          <w:lang w:val="en-US" w:eastAsia="zh-CN"/>
        </w:rPr>
        <w:t>服务期限：标项1、标项2，本次招标有效期为三年；合同一年一签，自合同签订生效日起一年；本合同结束后，采购单位可根据该年度合同履约情况及资金审批情况决定是否续签下一个年度，续签最多二次。</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rPr>
      </w:pP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.2 服务地点：采购人指定地点。</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auto"/>
          <w:sz w:val="22"/>
          <w:szCs w:val="22"/>
          <w:highlight w:val="none"/>
          <w:lang w:val="en-US" w:eastAsia="zh-CN"/>
        </w:rPr>
      </w:pPr>
      <w:r>
        <w:rPr>
          <w:rFonts w:hint="eastAsia" w:hAnsi="宋体" w:cs="宋体"/>
          <w:b/>
          <w:color w:val="auto"/>
          <w:sz w:val="22"/>
          <w:szCs w:val="22"/>
          <w:highlight w:val="none"/>
          <w:lang w:val="en-US" w:eastAsia="zh-CN"/>
        </w:rPr>
        <w:t>八</w:t>
      </w:r>
      <w:r>
        <w:rPr>
          <w:rFonts w:hint="eastAsia" w:ascii="宋体" w:hAnsi="宋体" w:eastAsia="宋体" w:cs="宋体"/>
          <w:b/>
          <w:color w:val="auto"/>
          <w:sz w:val="22"/>
          <w:szCs w:val="22"/>
          <w:highlight w:val="none"/>
          <w:lang w:val="en-US" w:eastAsia="zh-CN"/>
        </w:rPr>
        <w:t>、付款方式</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8</w:t>
      </w:r>
      <w:r>
        <w:rPr>
          <w:rFonts w:hint="eastAsia" w:ascii="宋体" w:hAnsi="宋体" w:eastAsia="宋体" w:cs="宋体"/>
          <w:color w:val="auto"/>
          <w:kern w:val="2"/>
          <w:sz w:val="22"/>
          <w:szCs w:val="22"/>
          <w:highlight w:val="none"/>
          <w:lang w:val="en-US" w:eastAsia="zh-CN" w:bidi="ar-SA"/>
        </w:rPr>
        <w:t>.1合同签订后支付至该年度合同总金额的85%，剩余部分于次年第一季度结束前进行支付。</w:t>
      </w:r>
    </w:p>
    <w:p>
      <w:pPr>
        <w:pStyle w:val="25"/>
        <w:keepNext w:val="0"/>
        <w:keepLines w:val="0"/>
        <w:pageBreakBefore w:val="0"/>
        <w:widowControl/>
        <w:kinsoku/>
        <w:wordWrap/>
        <w:overflowPunct/>
        <w:topLinePunct w:val="0"/>
        <w:autoSpaceDE/>
        <w:autoSpaceDN/>
        <w:bidi w:val="0"/>
        <w:spacing w:line="400" w:lineRule="exact"/>
        <w:ind w:firstLine="440" w:firstLineChars="200"/>
        <w:jc w:val="both"/>
        <w:textAlignment w:val="auto"/>
        <w:rPr>
          <w:rFonts w:hint="default"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8</w:t>
      </w:r>
      <w:r>
        <w:rPr>
          <w:rFonts w:hint="eastAsia" w:ascii="宋体" w:hAnsi="宋体" w:eastAsia="宋体" w:cs="宋体"/>
          <w:color w:val="auto"/>
          <w:kern w:val="2"/>
          <w:sz w:val="22"/>
          <w:szCs w:val="22"/>
          <w:highlight w:val="none"/>
          <w:lang w:val="en-US" w:eastAsia="zh-CN" w:bidi="ar-SA"/>
        </w:rPr>
        <w:t>.2本项目为一次性采购，分批次进行供货和结算。中标供应商在接到采购人通知后2小时内完成备货，每次结算单价价格以浙江省发展和改革委员会网站（http://fzggw.zj.gov.cn//）发布的最近一期浙江省成品油价格调整公告中《浙江省汽、柴油最高批发、零售价格表》（按照最新期价格表执行）中的0号柴油（国Ⅵ）零售价格作为基准×中标折扣率。该年度分批次供货费用总和不能超过该标项最高限价。</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8</w:t>
      </w:r>
      <w:r>
        <w:rPr>
          <w:rFonts w:hint="eastAsia" w:ascii="宋体" w:hAnsi="宋体" w:eastAsia="宋体" w:cs="宋体"/>
          <w:color w:val="auto"/>
          <w:kern w:val="2"/>
          <w:sz w:val="22"/>
          <w:szCs w:val="22"/>
          <w:highlight w:val="none"/>
          <w:lang w:val="en-US" w:eastAsia="zh-CN" w:bidi="ar-SA"/>
        </w:rPr>
        <w:t>.3油量数量确认：双方现场人员根据流量计读数确认加油量，并互相在对方油料记录簿签字确认，根据流量计数按实结算。</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九</w:t>
      </w:r>
      <w:r>
        <w:rPr>
          <w:rFonts w:hint="eastAsia" w:ascii="宋体" w:hAnsi="宋体" w:eastAsia="宋体" w:cs="宋体"/>
          <w:b/>
          <w:color w:val="auto"/>
          <w:sz w:val="22"/>
          <w:szCs w:val="22"/>
          <w:highlight w:val="none"/>
        </w:rPr>
        <w:t>、税金</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rPr>
        <w:t>.1本合同执行中相关的一切税费均由供方负担。</w:t>
      </w:r>
    </w:p>
    <w:p>
      <w:pPr>
        <w:pStyle w:val="25"/>
        <w:keepNext w:val="0"/>
        <w:keepLines w:val="0"/>
        <w:pageBreakBefore w:val="0"/>
        <w:widowControl/>
        <w:kinsoku/>
        <w:wordWrap/>
        <w:overflowPunct/>
        <w:topLinePunct w:val="0"/>
        <w:autoSpaceDE/>
        <w:autoSpaceDN/>
        <w:bidi w:val="0"/>
        <w:spacing w:line="400" w:lineRule="exact"/>
        <w:ind w:left="360" w:hanging="378"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十、质量保证及售后服务</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0</w:t>
      </w:r>
      <w:r>
        <w:rPr>
          <w:rFonts w:hint="eastAsia" w:ascii="宋体" w:hAnsi="宋体" w:eastAsia="宋体" w:cs="宋体"/>
          <w:color w:val="auto"/>
          <w:sz w:val="22"/>
          <w:szCs w:val="22"/>
          <w:highlight w:val="none"/>
        </w:rPr>
        <w:t>.1 乙方应按招标文件规定的货物性能、技术要求、质量标准向甲方提供未经使用的全新产品。</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0</w:t>
      </w:r>
      <w:r>
        <w:rPr>
          <w:rFonts w:hint="eastAsia" w:ascii="宋体" w:hAnsi="宋体" w:eastAsia="宋体" w:cs="宋体"/>
          <w:color w:val="auto"/>
          <w:sz w:val="22"/>
          <w:szCs w:val="22"/>
          <w:highlight w:val="none"/>
        </w:rPr>
        <w:t>.2 乙方提供的货物</w:t>
      </w:r>
      <w:r>
        <w:rPr>
          <w:rFonts w:hint="eastAsia" w:hAnsi="宋体" w:cs="宋体"/>
          <w:color w:val="auto"/>
          <w:sz w:val="22"/>
          <w:szCs w:val="22"/>
          <w:highlight w:val="none"/>
          <w:lang w:val="en-US" w:eastAsia="zh-CN"/>
        </w:rPr>
        <w:t>,</w:t>
      </w:r>
      <w:r>
        <w:rPr>
          <w:rFonts w:hint="eastAsia" w:ascii="宋体" w:hAnsi="宋体" w:eastAsia="宋体" w:cs="宋体"/>
          <w:color w:val="auto"/>
          <w:sz w:val="22"/>
          <w:szCs w:val="22"/>
          <w:highlight w:val="none"/>
        </w:rPr>
        <w:t>因货物本身的质量问题发生故障，乙方应负责免费更换。对达不到技术要求者，根据实际情况，经双方协商，可按以下办法处理：</w:t>
      </w:r>
    </w:p>
    <w:p>
      <w:pPr>
        <w:pStyle w:val="25"/>
        <w:keepNext w:val="0"/>
        <w:keepLines w:val="0"/>
        <w:pageBreakBefore w:val="0"/>
        <w:widowControl/>
        <w:kinsoku/>
        <w:wordWrap/>
        <w:overflowPunct/>
        <w:topLinePunct w:val="0"/>
        <w:autoSpaceDE/>
        <w:autoSpaceDN/>
        <w:bidi w:val="0"/>
        <w:spacing w:line="400" w:lineRule="exact"/>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更换：由乙方承担所发生的全部费用。</w:t>
      </w:r>
    </w:p>
    <w:p>
      <w:pPr>
        <w:pStyle w:val="25"/>
        <w:keepNext w:val="0"/>
        <w:keepLines w:val="0"/>
        <w:pageBreakBefore w:val="0"/>
        <w:widowControl/>
        <w:kinsoku/>
        <w:wordWrap/>
        <w:overflowPunct/>
        <w:topLinePunct w:val="0"/>
        <w:autoSpaceDE/>
        <w:autoSpaceDN/>
        <w:bidi w:val="0"/>
        <w:spacing w:line="400" w:lineRule="exact"/>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贬值处理：由甲乙双方合议定价。</w:t>
      </w:r>
    </w:p>
    <w:p>
      <w:pPr>
        <w:pStyle w:val="25"/>
        <w:keepNext w:val="0"/>
        <w:keepLines w:val="0"/>
        <w:pageBreakBefore w:val="0"/>
        <w:widowControl/>
        <w:kinsoku/>
        <w:wordWrap/>
        <w:overflowPunct/>
        <w:topLinePunct w:val="0"/>
        <w:autoSpaceDE/>
        <w:autoSpaceDN/>
        <w:bidi w:val="0"/>
        <w:spacing w:line="400" w:lineRule="exact"/>
        <w:ind w:left="420" w:left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退货处理：乙方应退还甲方支付的合同款，同时应承担该货物的直接费用（运输、保险、检验、货款利息及银行手续费等）。</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0</w:t>
      </w:r>
      <w:r>
        <w:rPr>
          <w:rFonts w:hint="eastAsia" w:ascii="宋体" w:hAnsi="宋体" w:eastAsia="宋体" w:cs="宋体"/>
          <w:color w:val="auto"/>
          <w:sz w:val="22"/>
          <w:szCs w:val="22"/>
          <w:highlight w:val="none"/>
        </w:rPr>
        <w:t>.3 如在使用过程中发生质量问题，乙方在接到甲方通知后应在2小时内作出响应，4小时内到达现场，不超过1个工作日内解决故障。</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0</w:t>
      </w:r>
      <w:r>
        <w:rPr>
          <w:rFonts w:hint="eastAsia" w:ascii="宋体" w:hAnsi="宋体" w:eastAsia="宋体" w:cs="宋体"/>
          <w:color w:val="auto"/>
          <w:sz w:val="22"/>
          <w:szCs w:val="22"/>
          <w:highlight w:val="none"/>
        </w:rPr>
        <w:t>.4 乙方应对货物出现的质量及安全问题负责处理解决并承担一切费用。</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w:t>
      </w:r>
      <w:r>
        <w:rPr>
          <w:rFonts w:hint="eastAsia" w:hAnsi="宋体" w:cs="宋体"/>
          <w:b/>
          <w:color w:val="auto"/>
          <w:sz w:val="22"/>
          <w:szCs w:val="22"/>
          <w:highlight w:val="none"/>
          <w:lang w:val="en-US" w:eastAsia="zh-CN"/>
        </w:rPr>
        <w:t>一</w:t>
      </w:r>
      <w:r>
        <w:rPr>
          <w:rFonts w:hint="eastAsia" w:ascii="宋体" w:hAnsi="宋体" w:eastAsia="宋体" w:cs="宋体"/>
          <w:b/>
          <w:color w:val="auto"/>
          <w:sz w:val="22"/>
          <w:szCs w:val="22"/>
          <w:highlight w:val="none"/>
        </w:rPr>
        <w:t>、调试和验收</w:t>
      </w:r>
    </w:p>
    <w:p>
      <w:pPr>
        <w:pStyle w:val="25"/>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1</w:t>
      </w:r>
      <w:r>
        <w:rPr>
          <w:rFonts w:hint="eastAsia" w:ascii="宋体" w:hAnsi="宋体" w:eastAsia="宋体" w:cs="宋体"/>
          <w:color w:val="auto"/>
          <w:sz w:val="22"/>
          <w:szCs w:val="22"/>
          <w:highlight w:val="none"/>
        </w:rPr>
        <w:t>.1 甲方对乙方提交的货物依据招标文件上的技术规格要求和国家有关质量标准进行现场初步验收，外观、说明书符合招标文件技术要求的，给予签收，初步验收不合格的不予签收。</w:t>
      </w:r>
    </w:p>
    <w:p>
      <w:pPr>
        <w:pStyle w:val="25"/>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1</w:t>
      </w:r>
      <w:r>
        <w:rPr>
          <w:rFonts w:hint="eastAsia" w:ascii="宋体" w:hAnsi="宋体" w:eastAsia="宋体" w:cs="宋体"/>
          <w:color w:val="auto"/>
          <w:sz w:val="22"/>
          <w:szCs w:val="22"/>
          <w:highlight w:val="none"/>
        </w:rPr>
        <w:t>.2 乙方交货前应对产品作出全面检查和对验收文件进行整理，并列出清单，作为甲方收货验收和使用的技术条件依据，检验的结果应随货物交甲方。</w:t>
      </w:r>
    </w:p>
    <w:p>
      <w:pPr>
        <w:pStyle w:val="25"/>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1</w:t>
      </w:r>
      <w:r>
        <w:rPr>
          <w:rFonts w:hint="eastAsia" w:ascii="宋体" w:hAnsi="宋体" w:eastAsia="宋体" w:cs="宋体"/>
          <w:color w:val="auto"/>
          <w:sz w:val="22"/>
          <w:szCs w:val="22"/>
          <w:highlight w:val="none"/>
        </w:rPr>
        <w:t>.3 验收时乙方必须在现场，并提供有甲方签字的交接文件。</w:t>
      </w:r>
    </w:p>
    <w:p>
      <w:pPr>
        <w:pStyle w:val="25"/>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1</w:t>
      </w:r>
      <w:r>
        <w:rPr>
          <w:rFonts w:hint="eastAsia" w:ascii="宋体" w:hAnsi="宋体" w:eastAsia="宋体" w:cs="宋体"/>
          <w:color w:val="auto"/>
          <w:sz w:val="22"/>
          <w:szCs w:val="22"/>
          <w:highlight w:val="none"/>
        </w:rPr>
        <w:t>.4乙方提供的货物因货物本身的质量问题未达到约定标准，乙方应负责免费更换。对达不到技术要求者，根据实际情况，经双方协商，可按以下办法处理：</w:t>
      </w:r>
    </w:p>
    <w:p>
      <w:pPr>
        <w:pStyle w:val="25"/>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（1）更换：由乙方承担所发生的全部费用。</w:t>
      </w:r>
    </w:p>
    <w:p>
      <w:pPr>
        <w:pStyle w:val="25"/>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（2）贬值处理：由甲乙双方合议定价。</w:t>
      </w:r>
    </w:p>
    <w:p>
      <w:pPr>
        <w:pStyle w:val="25"/>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（3）退货处理：乙方应退还甲方支付的合同款，同时应承担该货物的直接费用（运输、保险、检验、货款利息及银行手续费等）。</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w:t>
      </w:r>
      <w:r>
        <w:rPr>
          <w:rFonts w:hint="eastAsia" w:hAnsi="宋体" w:cs="宋体"/>
          <w:b/>
          <w:color w:val="auto"/>
          <w:sz w:val="22"/>
          <w:szCs w:val="22"/>
          <w:highlight w:val="none"/>
          <w:lang w:val="en-US" w:eastAsia="zh-CN"/>
        </w:rPr>
        <w:t>二</w:t>
      </w:r>
      <w:r>
        <w:rPr>
          <w:rFonts w:hint="eastAsia" w:ascii="宋体" w:hAnsi="宋体" w:eastAsia="宋体" w:cs="宋体"/>
          <w:b/>
          <w:color w:val="auto"/>
          <w:sz w:val="22"/>
          <w:szCs w:val="22"/>
          <w:highlight w:val="none"/>
        </w:rPr>
        <w:t>、货物包装、发运及运输</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.1 乙方应在货物发运前对其进行满足运输距离、防潮、防震、防锈和防破损装卸等要求包装，以保证货物安全运达甲方指定地点。</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.2 使用说明书、质量检验证明书、随配附件和工具以及清单一并附于货物内。</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.3 乙方在货物发运手续办理完毕后24小时内或货到甲方48小时前通知甲方，以准备接货。</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.4 货物在交付甲方前发生的风险均由乙方负责。</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.5 货物在规定的交付期限内由乙方送达甲方指定的地点视为交付，乙方同时需通知甲方货物已送达。</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w:t>
      </w:r>
      <w:r>
        <w:rPr>
          <w:rFonts w:hint="eastAsia" w:hAnsi="宋体" w:cs="宋体"/>
          <w:b/>
          <w:color w:val="auto"/>
          <w:sz w:val="22"/>
          <w:szCs w:val="22"/>
          <w:highlight w:val="none"/>
          <w:lang w:val="en-US" w:eastAsia="zh-CN"/>
        </w:rPr>
        <w:t>三</w:t>
      </w:r>
      <w:r>
        <w:rPr>
          <w:rFonts w:hint="eastAsia" w:ascii="宋体" w:hAnsi="宋体" w:eastAsia="宋体" w:cs="宋体"/>
          <w:b/>
          <w:color w:val="auto"/>
          <w:sz w:val="22"/>
          <w:szCs w:val="22"/>
          <w:highlight w:val="none"/>
        </w:rPr>
        <w:t>、违约责任</w:t>
      </w:r>
    </w:p>
    <w:p>
      <w:pPr>
        <w:pStyle w:val="25"/>
        <w:keepNext w:val="0"/>
        <w:keepLines w:val="0"/>
        <w:pageBreakBefore w:val="0"/>
        <w:widowControl/>
        <w:kinsoku/>
        <w:wordWrap/>
        <w:overflowPunct/>
        <w:topLinePunct w:val="0"/>
        <w:autoSpaceDE/>
        <w:autoSpaceDN/>
        <w:bidi w:val="0"/>
        <w:spacing w:line="400" w:lineRule="exact"/>
        <w:ind w:left="359"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rPr>
        <w:t>.1 甲方无正当理由拒收货物的，甲方向乙方偿付拒收货款总值的百分之5的违约金。</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rPr>
        <w:t>.2 甲方无故逾期验收和办理货款支付手续的，甲方应按逾期付款总额每日万分之5向乙方支付违约金。</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rPr>
        <w:t xml:space="preserve">.3 乙方逾期交付货物的，乙方应按逾期交货总额每日千分之6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rPr>
        <w:t>.5因乙方原因造成或乙方操作不当造成的安全事故，其责任由乙方负责，造成的损失由乙方承担。</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w:t>
      </w:r>
      <w:r>
        <w:rPr>
          <w:rFonts w:hint="eastAsia" w:hAnsi="宋体" w:cs="宋体"/>
          <w:b/>
          <w:color w:val="auto"/>
          <w:sz w:val="22"/>
          <w:szCs w:val="22"/>
          <w:highlight w:val="none"/>
          <w:lang w:val="en-US" w:eastAsia="zh-CN"/>
        </w:rPr>
        <w:t>四</w:t>
      </w:r>
      <w:r>
        <w:rPr>
          <w:rFonts w:hint="eastAsia" w:ascii="宋体" w:hAnsi="宋体" w:eastAsia="宋体" w:cs="宋体"/>
          <w:b/>
          <w:color w:val="auto"/>
          <w:sz w:val="22"/>
          <w:szCs w:val="22"/>
          <w:highlight w:val="none"/>
        </w:rPr>
        <w:t>、不可抗力事件处理</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4</w:t>
      </w:r>
      <w:r>
        <w:rPr>
          <w:rFonts w:hint="eastAsia" w:ascii="宋体" w:hAnsi="宋体" w:eastAsia="宋体" w:cs="宋体"/>
          <w:color w:val="auto"/>
          <w:sz w:val="22"/>
          <w:szCs w:val="22"/>
          <w:highlight w:val="none"/>
        </w:rPr>
        <w:t>.1 在合同有效期内，任何一方因不可抗力事件导致不能履行合同，则合同履行期可延长，其延长期与不可抗力影响期相同。</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4</w:t>
      </w:r>
      <w:r>
        <w:rPr>
          <w:rFonts w:hint="eastAsia" w:ascii="宋体" w:hAnsi="宋体" w:eastAsia="宋体" w:cs="宋体"/>
          <w:color w:val="auto"/>
          <w:sz w:val="22"/>
          <w:szCs w:val="22"/>
          <w:highlight w:val="none"/>
        </w:rPr>
        <w:t>.2 不可抗力事件发生后，应立即通知对方，并寄送有关权威机构出具的证明。</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4</w:t>
      </w:r>
      <w:r>
        <w:rPr>
          <w:rFonts w:hint="eastAsia" w:ascii="宋体" w:hAnsi="宋体" w:eastAsia="宋体" w:cs="宋体"/>
          <w:color w:val="auto"/>
          <w:sz w:val="22"/>
          <w:szCs w:val="22"/>
          <w:highlight w:val="none"/>
        </w:rPr>
        <w:t>.3 不可抗力事件延续120天以上，双方应通过友好协商，确定是否继续履行合同。</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w:t>
      </w:r>
      <w:r>
        <w:rPr>
          <w:rFonts w:hint="eastAsia" w:hAnsi="宋体" w:cs="宋体"/>
          <w:b/>
          <w:color w:val="auto"/>
          <w:sz w:val="22"/>
          <w:szCs w:val="22"/>
          <w:highlight w:val="none"/>
          <w:lang w:val="en-US" w:eastAsia="zh-CN"/>
        </w:rPr>
        <w:t>五</w:t>
      </w:r>
      <w:r>
        <w:rPr>
          <w:rFonts w:hint="eastAsia" w:ascii="宋体" w:hAnsi="宋体" w:eastAsia="宋体" w:cs="宋体"/>
          <w:b/>
          <w:color w:val="auto"/>
          <w:sz w:val="22"/>
          <w:szCs w:val="22"/>
          <w:highlight w:val="none"/>
        </w:rPr>
        <w:t>、诉讼</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.1 甲乙双方在执行合同中所发生的一切争议，应通过协商解决。如协商不成，可向合同签订地法院起诉，合同签订地在此约定为宁波市</w:t>
      </w:r>
      <w:r>
        <w:rPr>
          <w:rFonts w:hint="eastAsia" w:ascii="宋体" w:hAnsi="宋体" w:eastAsia="宋体" w:cs="宋体"/>
          <w:color w:val="auto"/>
          <w:sz w:val="22"/>
          <w:szCs w:val="22"/>
          <w:highlight w:val="none"/>
          <w:lang w:val="en-US" w:eastAsia="zh-CN"/>
        </w:rPr>
        <w:t>海曙区</w:t>
      </w:r>
      <w:r>
        <w:rPr>
          <w:rFonts w:hint="eastAsia" w:ascii="宋体" w:hAnsi="宋体" w:eastAsia="宋体" w:cs="宋体"/>
          <w:color w:val="auto"/>
          <w:sz w:val="22"/>
          <w:szCs w:val="22"/>
          <w:highlight w:val="none"/>
        </w:rPr>
        <w:t>。</w:t>
      </w:r>
    </w:p>
    <w:p>
      <w:pPr>
        <w:pStyle w:val="25"/>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w:t>
      </w:r>
      <w:r>
        <w:rPr>
          <w:rFonts w:hint="eastAsia" w:hAnsi="宋体" w:cs="宋体"/>
          <w:b/>
          <w:color w:val="auto"/>
          <w:sz w:val="22"/>
          <w:szCs w:val="22"/>
          <w:highlight w:val="none"/>
          <w:lang w:val="en-US" w:eastAsia="zh-CN"/>
        </w:rPr>
        <w:t>六</w:t>
      </w:r>
      <w:r>
        <w:rPr>
          <w:rFonts w:hint="eastAsia" w:ascii="宋体" w:hAnsi="宋体" w:eastAsia="宋体" w:cs="宋体"/>
          <w:b/>
          <w:color w:val="auto"/>
          <w:sz w:val="22"/>
          <w:szCs w:val="22"/>
          <w:highlight w:val="none"/>
        </w:rPr>
        <w:t>、合同生效及其它</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6</w:t>
      </w:r>
      <w:r>
        <w:rPr>
          <w:rFonts w:hint="eastAsia" w:ascii="宋体" w:hAnsi="宋体" w:eastAsia="宋体" w:cs="宋体"/>
          <w:color w:val="auto"/>
          <w:sz w:val="22"/>
          <w:szCs w:val="22"/>
          <w:highlight w:val="none"/>
        </w:rPr>
        <w:t>.1 合同经甲乙双方法定代表人或授权委托代理人签字或盖章并加盖单位公章后生效。</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6</w:t>
      </w:r>
      <w:r>
        <w:rPr>
          <w:rFonts w:hint="eastAsia" w:ascii="宋体" w:hAnsi="宋体" w:eastAsia="宋体" w:cs="宋体"/>
          <w:color w:val="auto"/>
          <w:sz w:val="22"/>
          <w:szCs w:val="22"/>
          <w:highlight w:val="none"/>
        </w:rPr>
        <w:t>.2合同执行中涉及采购资金和采购内容修改或补充的，须经甲方及相关部门审批，并</w:t>
      </w:r>
      <w:r>
        <w:rPr>
          <w:rFonts w:hint="eastAsia" w:ascii="宋体" w:hAnsi="宋体" w:eastAsia="宋体" w:cs="宋体"/>
          <w:color w:val="auto"/>
          <w:sz w:val="22"/>
          <w:szCs w:val="22"/>
          <w:highlight w:val="none"/>
          <w:lang w:eastAsia="zh-CN"/>
        </w:rPr>
        <w:t>签订</w:t>
      </w:r>
      <w:r>
        <w:rPr>
          <w:rFonts w:hint="eastAsia" w:ascii="宋体" w:hAnsi="宋体" w:eastAsia="宋体" w:cs="宋体"/>
          <w:color w:val="auto"/>
          <w:sz w:val="22"/>
          <w:szCs w:val="22"/>
          <w:highlight w:val="none"/>
        </w:rPr>
        <w:t>书面补充协议，方可作为主合同不可分割的一部分。</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6</w:t>
      </w:r>
      <w:r>
        <w:rPr>
          <w:rFonts w:hint="eastAsia" w:ascii="宋体" w:hAnsi="宋体" w:eastAsia="宋体" w:cs="宋体"/>
          <w:color w:val="auto"/>
          <w:sz w:val="22"/>
          <w:szCs w:val="22"/>
          <w:highlight w:val="none"/>
        </w:rPr>
        <w:t>.3本合同未尽事宜，遵照《民法典》有关条文执行。</w:t>
      </w:r>
    </w:p>
    <w:p>
      <w:pPr>
        <w:pStyle w:val="25"/>
        <w:keepNext w:val="0"/>
        <w:keepLines w:val="0"/>
        <w:pageBreakBefore w:val="0"/>
        <w:widowControl/>
        <w:kinsoku/>
        <w:wordWrap/>
        <w:overflowPunct/>
        <w:topLinePunct w:val="0"/>
        <w:autoSpaceDE/>
        <w:autoSpaceDN/>
        <w:bidi w:val="0"/>
        <w:spacing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hAnsi="宋体" w:cs="宋体"/>
          <w:color w:val="auto"/>
          <w:sz w:val="22"/>
          <w:szCs w:val="22"/>
          <w:highlight w:val="none"/>
          <w:lang w:val="en-US" w:eastAsia="zh-CN"/>
        </w:rPr>
        <w:t>6</w:t>
      </w:r>
      <w:r>
        <w:rPr>
          <w:rFonts w:hint="eastAsia" w:ascii="宋体" w:hAnsi="宋体" w:eastAsia="宋体" w:cs="宋体"/>
          <w:color w:val="auto"/>
          <w:sz w:val="22"/>
          <w:szCs w:val="22"/>
          <w:highlight w:val="none"/>
        </w:rPr>
        <w:t>.4 本合同一式肆份，甲乙双方各持贰份，具有同等法律效力。</w:t>
      </w:r>
    </w:p>
    <w:p>
      <w:pPr>
        <w:rPr>
          <w:rFonts w:hint="eastAsia" w:ascii="宋体" w:hAnsi="宋体" w:eastAsia="宋体" w:cs="宋体"/>
          <w:color w:val="auto"/>
          <w:sz w:val="22"/>
          <w:szCs w:val="22"/>
          <w:highlight w:val="none"/>
        </w:rPr>
      </w:pPr>
    </w:p>
    <w:p>
      <w:pPr>
        <w:rPr>
          <w:rFonts w:hint="eastAsia"/>
        </w:rPr>
      </w:pPr>
    </w:p>
    <w:tbl>
      <w:tblPr>
        <w:tblStyle w:val="48"/>
        <w:tblW w:w="0" w:type="auto"/>
        <w:tblInd w:w="0" w:type="dxa"/>
        <w:tblLayout w:type="fixed"/>
        <w:tblCellMar>
          <w:top w:w="0" w:type="dxa"/>
          <w:left w:w="108" w:type="dxa"/>
          <w:bottom w:w="0" w:type="dxa"/>
          <w:right w:w="108" w:type="dxa"/>
        </w:tblCellMar>
      </w:tblPr>
      <w:tblGrid>
        <w:gridCol w:w="4230"/>
        <w:gridCol w:w="4185"/>
      </w:tblGrid>
      <w:tr>
        <w:tblPrEx>
          <w:tblCellMar>
            <w:top w:w="0" w:type="dxa"/>
            <w:left w:w="108" w:type="dxa"/>
            <w:bottom w:w="0" w:type="dxa"/>
            <w:right w:w="108" w:type="dxa"/>
          </w:tblCellMar>
        </w:tblPrEx>
        <w:tc>
          <w:tcPr>
            <w:tcW w:w="4230" w:type="dxa"/>
          </w:tcPr>
          <w:p>
            <w:pPr>
              <w:widowControl/>
              <w:snapToGrid w:val="0"/>
              <w:spacing w:line="400" w:lineRule="exact"/>
              <w:rPr>
                <w:rFonts w:ascii="宋体" w:hAnsi="宋体"/>
                <w:color w:val="auto"/>
                <w:szCs w:val="21"/>
                <w:highlight w:val="none"/>
              </w:rPr>
            </w:pPr>
            <w:r>
              <w:rPr>
                <w:rFonts w:hint="eastAsia" w:ascii="宋体" w:hAnsi="宋体"/>
                <w:color w:val="auto"/>
                <w:szCs w:val="21"/>
                <w:highlight w:val="none"/>
              </w:rPr>
              <w:t xml:space="preserve">甲方：                   </w:t>
            </w:r>
          </w:p>
        </w:tc>
        <w:tc>
          <w:tcPr>
            <w:tcW w:w="4185" w:type="dxa"/>
          </w:tcPr>
          <w:p>
            <w:pPr>
              <w:widowControl/>
              <w:snapToGrid w:val="0"/>
              <w:spacing w:line="400" w:lineRule="exact"/>
              <w:rPr>
                <w:rFonts w:ascii="宋体" w:hAnsi="宋体"/>
                <w:color w:val="auto"/>
                <w:szCs w:val="21"/>
                <w:highlight w:val="none"/>
              </w:rPr>
            </w:pPr>
            <w:r>
              <w:rPr>
                <w:rFonts w:hint="eastAsia" w:ascii="宋体" w:hAnsi="宋体"/>
                <w:color w:val="auto"/>
                <w:szCs w:val="21"/>
                <w:highlight w:val="none"/>
              </w:rPr>
              <w:t>乙方：</w:t>
            </w:r>
          </w:p>
        </w:tc>
      </w:tr>
      <w:tr>
        <w:tblPrEx>
          <w:tblCellMar>
            <w:top w:w="0" w:type="dxa"/>
            <w:left w:w="108" w:type="dxa"/>
            <w:bottom w:w="0" w:type="dxa"/>
            <w:right w:w="108" w:type="dxa"/>
          </w:tblCellMar>
        </w:tblPrEx>
        <w:tc>
          <w:tcPr>
            <w:tcW w:w="4230" w:type="dxa"/>
          </w:tcPr>
          <w:p>
            <w:pPr>
              <w:widowControl/>
              <w:snapToGrid w:val="0"/>
              <w:spacing w:line="400" w:lineRule="exact"/>
              <w:rPr>
                <w:rFonts w:ascii="宋体" w:hAnsi="宋体"/>
                <w:color w:val="auto"/>
                <w:szCs w:val="21"/>
                <w:highlight w:val="none"/>
              </w:rPr>
            </w:pPr>
            <w:r>
              <w:rPr>
                <w:rFonts w:hint="eastAsia" w:ascii="宋体" w:hAnsi="宋体"/>
                <w:color w:val="auto"/>
                <w:szCs w:val="21"/>
                <w:highlight w:val="none"/>
              </w:rPr>
              <w:t>甲方代表人（签字或盖章）：</w:t>
            </w:r>
          </w:p>
        </w:tc>
        <w:tc>
          <w:tcPr>
            <w:tcW w:w="4185" w:type="dxa"/>
          </w:tcPr>
          <w:p>
            <w:pPr>
              <w:widowControl/>
              <w:snapToGrid w:val="0"/>
              <w:spacing w:line="400" w:lineRule="exact"/>
              <w:rPr>
                <w:rFonts w:ascii="宋体" w:hAnsi="宋体"/>
                <w:color w:val="auto"/>
                <w:szCs w:val="21"/>
                <w:highlight w:val="none"/>
              </w:rPr>
            </w:pPr>
            <w:r>
              <w:rPr>
                <w:rFonts w:hint="eastAsia" w:ascii="宋体" w:hAnsi="宋体"/>
                <w:color w:val="auto"/>
                <w:szCs w:val="21"/>
                <w:highlight w:val="none"/>
              </w:rPr>
              <w:t>乙方代表人（签字或盖章）：</w:t>
            </w:r>
          </w:p>
        </w:tc>
      </w:tr>
      <w:tr>
        <w:tblPrEx>
          <w:tblCellMar>
            <w:top w:w="0" w:type="dxa"/>
            <w:left w:w="108" w:type="dxa"/>
            <w:bottom w:w="0" w:type="dxa"/>
            <w:right w:w="108" w:type="dxa"/>
          </w:tblCellMar>
        </w:tblPrEx>
        <w:tc>
          <w:tcPr>
            <w:tcW w:w="4230" w:type="dxa"/>
          </w:tcPr>
          <w:p>
            <w:pPr>
              <w:widowControl/>
              <w:snapToGrid w:val="0"/>
              <w:spacing w:line="400" w:lineRule="exact"/>
              <w:rPr>
                <w:rFonts w:ascii="宋体" w:hAnsi="宋体"/>
                <w:color w:val="auto"/>
                <w:szCs w:val="21"/>
                <w:highlight w:val="none"/>
              </w:rPr>
            </w:pPr>
            <w:r>
              <w:rPr>
                <w:rFonts w:hint="eastAsia" w:ascii="宋体" w:hAnsi="宋体"/>
                <w:color w:val="auto"/>
                <w:szCs w:val="21"/>
                <w:highlight w:val="none"/>
              </w:rPr>
              <w:t xml:space="preserve">开户银行：                    </w:t>
            </w:r>
          </w:p>
          <w:p>
            <w:pPr>
              <w:widowControl/>
              <w:snapToGrid w:val="0"/>
              <w:spacing w:line="400" w:lineRule="exact"/>
              <w:rPr>
                <w:rFonts w:ascii="宋体" w:hAnsi="宋体"/>
                <w:color w:val="auto"/>
                <w:szCs w:val="21"/>
                <w:highlight w:val="none"/>
              </w:rPr>
            </w:pPr>
            <w:r>
              <w:rPr>
                <w:rFonts w:hint="eastAsia" w:ascii="宋体" w:hAnsi="宋体"/>
                <w:color w:val="auto"/>
                <w:szCs w:val="21"/>
                <w:highlight w:val="none"/>
                <w:lang w:eastAsia="zh-CN"/>
              </w:rPr>
              <w:t>银行账号</w:t>
            </w:r>
            <w:r>
              <w:rPr>
                <w:rFonts w:hint="eastAsia" w:ascii="宋体" w:hAnsi="宋体"/>
                <w:color w:val="auto"/>
                <w:szCs w:val="21"/>
                <w:highlight w:val="none"/>
              </w:rPr>
              <w:t>：</w:t>
            </w:r>
          </w:p>
        </w:tc>
        <w:tc>
          <w:tcPr>
            <w:tcW w:w="4185" w:type="dxa"/>
          </w:tcPr>
          <w:p>
            <w:pPr>
              <w:widowControl/>
              <w:snapToGrid w:val="0"/>
              <w:spacing w:line="400" w:lineRule="exact"/>
              <w:rPr>
                <w:rFonts w:ascii="宋体" w:hAnsi="宋体"/>
                <w:color w:val="auto"/>
                <w:szCs w:val="21"/>
                <w:highlight w:val="none"/>
              </w:rPr>
            </w:pPr>
            <w:r>
              <w:rPr>
                <w:rFonts w:hint="eastAsia" w:ascii="宋体" w:hAnsi="宋体"/>
                <w:color w:val="auto"/>
                <w:szCs w:val="21"/>
                <w:highlight w:val="none"/>
              </w:rPr>
              <w:t>开户银行：</w:t>
            </w:r>
          </w:p>
          <w:p>
            <w:pPr>
              <w:widowControl/>
              <w:snapToGrid w:val="0"/>
              <w:spacing w:line="400" w:lineRule="exact"/>
              <w:rPr>
                <w:rFonts w:ascii="宋体" w:hAnsi="宋体"/>
                <w:color w:val="auto"/>
                <w:szCs w:val="21"/>
                <w:highlight w:val="none"/>
              </w:rPr>
            </w:pPr>
            <w:r>
              <w:rPr>
                <w:rFonts w:hint="eastAsia" w:ascii="宋体" w:hAnsi="宋体"/>
                <w:color w:val="auto"/>
                <w:szCs w:val="21"/>
                <w:highlight w:val="none"/>
                <w:lang w:eastAsia="zh-CN"/>
              </w:rPr>
              <w:t>银行账号</w:t>
            </w:r>
            <w:r>
              <w:rPr>
                <w:rFonts w:hint="eastAsia" w:ascii="宋体" w:hAnsi="宋体"/>
                <w:color w:val="auto"/>
                <w:szCs w:val="21"/>
                <w:highlight w:val="none"/>
              </w:rPr>
              <w:t>：</w:t>
            </w:r>
          </w:p>
        </w:tc>
      </w:tr>
      <w:tr>
        <w:tblPrEx>
          <w:tblCellMar>
            <w:top w:w="0" w:type="dxa"/>
            <w:left w:w="108" w:type="dxa"/>
            <w:bottom w:w="0" w:type="dxa"/>
            <w:right w:w="108" w:type="dxa"/>
          </w:tblCellMar>
        </w:tblPrEx>
        <w:tc>
          <w:tcPr>
            <w:tcW w:w="4230" w:type="dxa"/>
          </w:tcPr>
          <w:p>
            <w:pPr>
              <w:widowControl/>
              <w:snapToGrid w:val="0"/>
              <w:spacing w:line="400" w:lineRule="exact"/>
              <w:rPr>
                <w:rFonts w:ascii="宋体" w:hAnsi="宋体"/>
                <w:color w:val="auto"/>
                <w:szCs w:val="21"/>
                <w:highlight w:val="none"/>
              </w:rPr>
            </w:pPr>
            <w:r>
              <w:rPr>
                <w:rFonts w:hint="eastAsia" w:ascii="宋体" w:hAnsi="宋体"/>
                <w:color w:val="auto"/>
                <w:szCs w:val="21"/>
                <w:highlight w:val="none"/>
              </w:rPr>
              <w:t>电话：</w:t>
            </w:r>
          </w:p>
        </w:tc>
        <w:tc>
          <w:tcPr>
            <w:tcW w:w="4185" w:type="dxa"/>
          </w:tcPr>
          <w:p>
            <w:pPr>
              <w:widowControl/>
              <w:snapToGrid w:val="0"/>
              <w:spacing w:line="400" w:lineRule="exact"/>
              <w:rPr>
                <w:rFonts w:ascii="宋体" w:hAnsi="宋体"/>
                <w:color w:val="auto"/>
                <w:szCs w:val="21"/>
                <w:highlight w:val="none"/>
              </w:rPr>
            </w:pPr>
            <w:r>
              <w:rPr>
                <w:rFonts w:hint="eastAsia" w:ascii="宋体" w:hAnsi="宋体"/>
                <w:color w:val="auto"/>
                <w:szCs w:val="21"/>
                <w:highlight w:val="none"/>
              </w:rPr>
              <w:t>电话：</w:t>
            </w:r>
          </w:p>
        </w:tc>
      </w:tr>
      <w:tr>
        <w:tblPrEx>
          <w:tblCellMar>
            <w:top w:w="0" w:type="dxa"/>
            <w:left w:w="108" w:type="dxa"/>
            <w:bottom w:w="0" w:type="dxa"/>
            <w:right w:w="108" w:type="dxa"/>
          </w:tblCellMar>
        </w:tblPrEx>
        <w:tc>
          <w:tcPr>
            <w:tcW w:w="4230" w:type="dxa"/>
          </w:tcPr>
          <w:p>
            <w:pPr>
              <w:widowControl/>
              <w:snapToGrid w:val="0"/>
              <w:spacing w:line="400" w:lineRule="exact"/>
              <w:rPr>
                <w:rFonts w:ascii="宋体" w:hAnsi="宋体"/>
                <w:color w:val="auto"/>
                <w:szCs w:val="21"/>
                <w:highlight w:val="none"/>
              </w:rPr>
            </w:pPr>
            <w:r>
              <w:rPr>
                <w:rFonts w:hint="eastAsia" w:ascii="宋体" w:hAnsi="宋体"/>
                <w:color w:val="auto"/>
                <w:szCs w:val="21"/>
                <w:highlight w:val="none"/>
              </w:rPr>
              <w:t>传真：</w:t>
            </w:r>
          </w:p>
        </w:tc>
        <w:tc>
          <w:tcPr>
            <w:tcW w:w="4185" w:type="dxa"/>
          </w:tcPr>
          <w:p>
            <w:pPr>
              <w:widowControl/>
              <w:snapToGrid w:val="0"/>
              <w:spacing w:line="400" w:lineRule="exact"/>
              <w:rPr>
                <w:rFonts w:ascii="宋体" w:hAnsi="宋体"/>
                <w:color w:val="auto"/>
                <w:szCs w:val="21"/>
                <w:highlight w:val="none"/>
              </w:rPr>
            </w:pPr>
            <w:r>
              <w:rPr>
                <w:rFonts w:hint="eastAsia" w:ascii="宋体" w:hAnsi="宋体"/>
                <w:color w:val="auto"/>
                <w:szCs w:val="21"/>
                <w:highlight w:val="none"/>
              </w:rPr>
              <w:t>传真：</w:t>
            </w:r>
          </w:p>
        </w:tc>
      </w:tr>
    </w:tbl>
    <w:p>
      <w:pPr>
        <w:spacing w:line="400" w:lineRule="exact"/>
        <w:rPr>
          <w:rFonts w:ascii="Arial" w:hAnsi="Arial"/>
          <w:b/>
          <w:color w:val="auto"/>
          <w:sz w:val="28"/>
          <w:szCs w:val="30"/>
          <w:highlight w:val="none"/>
        </w:rPr>
      </w:pPr>
    </w:p>
    <w:p>
      <w:pPr>
        <w:tabs>
          <w:tab w:val="left" w:pos="540"/>
        </w:tabs>
        <w:autoSpaceDE w:val="0"/>
        <w:autoSpaceDN w:val="0"/>
        <w:adjustRightInd w:val="0"/>
        <w:snapToGrid w:val="0"/>
        <w:spacing w:line="300" w:lineRule="auto"/>
        <w:ind w:firstLine="420" w:firstLineChars="200"/>
        <w:jc w:val="center"/>
        <w:textAlignment w:val="baseline"/>
        <w:rPr>
          <w:rFonts w:hint="eastAsia"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 xml:space="preserve"> 签约日期：</w:t>
      </w:r>
    </w:p>
    <w:p>
      <w:pPr>
        <w:rPr>
          <w:rFonts w:hint="eastAsia"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br w:type="page"/>
      </w:r>
    </w:p>
    <w:p>
      <w:pPr>
        <w:pStyle w:val="3"/>
        <w:spacing w:before="0" w:after="0" w:line="360" w:lineRule="auto"/>
        <w:jc w:val="center"/>
        <w:rPr>
          <w:sz w:val="30"/>
        </w:rPr>
      </w:pPr>
      <w:bookmarkStart w:id="326" w:name="_Toc76771840"/>
      <w:bookmarkStart w:id="327" w:name="_Toc10682"/>
      <w:bookmarkStart w:id="328" w:name="_Toc22264"/>
      <w:bookmarkStart w:id="329" w:name="_Toc103878839"/>
      <w:r>
        <w:rPr>
          <w:sz w:val="30"/>
        </w:rPr>
        <w:t>第六章</w:t>
      </w:r>
      <w:r>
        <w:rPr>
          <w:rFonts w:hint="eastAsia"/>
          <w:sz w:val="30"/>
          <w:lang w:val="en-US" w:eastAsia="zh-CN"/>
        </w:rPr>
        <w:t xml:space="preserve">  </w:t>
      </w:r>
      <w:r>
        <w:rPr>
          <w:sz w:val="30"/>
        </w:rPr>
        <w:t>投标文件格式</w:t>
      </w:r>
      <w:bookmarkEnd w:id="326"/>
      <w:bookmarkEnd w:id="327"/>
      <w:bookmarkEnd w:id="328"/>
      <w:bookmarkEnd w:id="329"/>
    </w:p>
    <w:p>
      <w:pPr>
        <w:adjustRightInd w:val="0"/>
        <w:snapToGrid w:val="0"/>
        <w:jc w:val="left"/>
        <w:rPr>
          <w:b/>
        </w:rPr>
      </w:pPr>
    </w:p>
    <w:p>
      <w:pPr>
        <w:jc w:val="left"/>
        <w:rPr>
          <w:rFonts w:ascii="Times New Roman" w:hAnsi="Times New Roman" w:eastAsia="宋体" w:cs="Times New Roman"/>
          <w:b/>
          <w:sz w:val="22"/>
          <w:szCs w:val="28"/>
        </w:rPr>
      </w:pPr>
      <w:bookmarkStart w:id="330" w:name="_Toc16613"/>
      <w:r>
        <w:rPr>
          <w:rFonts w:ascii="Times New Roman" w:hAnsi="Times New Roman" w:eastAsia="宋体" w:cs="Times New Roman"/>
          <w:b/>
          <w:sz w:val="22"/>
          <w:szCs w:val="28"/>
        </w:rPr>
        <w:t>格式一：</w:t>
      </w:r>
      <w:bookmarkEnd w:id="330"/>
      <w:bookmarkStart w:id="331" w:name="_Toc275865606"/>
      <w:bookmarkStart w:id="332" w:name="_Toc460857946"/>
    </w:p>
    <w:p>
      <w:pPr>
        <w:jc w:val="center"/>
        <w:rPr>
          <w:rFonts w:ascii="Times New Roman" w:hAnsi="Times New Roman" w:eastAsia="宋体" w:cs="Times New Roman"/>
          <w:b/>
          <w:sz w:val="22"/>
          <w:szCs w:val="28"/>
        </w:rPr>
      </w:pPr>
    </w:p>
    <w:p>
      <w:pPr>
        <w:jc w:val="center"/>
        <w:rPr>
          <w:rFonts w:ascii="Times New Roman" w:hAnsi="Times New Roman" w:eastAsia="宋体" w:cs="Times New Roman"/>
          <w:b/>
          <w:sz w:val="22"/>
          <w:szCs w:val="28"/>
        </w:rPr>
      </w:pPr>
      <w:r>
        <w:rPr>
          <w:rFonts w:ascii="Times New Roman" w:hAnsi="Times New Roman" w:eastAsia="宋体" w:cs="Times New Roman"/>
          <w:b/>
          <w:sz w:val="22"/>
          <w:szCs w:val="28"/>
        </w:rPr>
        <w:t>投标人资格声明函</w:t>
      </w:r>
      <w:bookmarkEnd w:id="331"/>
    </w:p>
    <w:p>
      <w:pPr>
        <w:rPr>
          <w:b/>
        </w:rPr>
      </w:pPr>
    </w:p>
    <w:p>
      <w:pPr>
        <w:rPr>
          <w:b/>
        </w:rPr>
      </w:pPr>
      <w:r>
        <w:rPr>
          <w:rFonts w:hint="eastAsia"/>
          <w:b/>
          <w:lang w:eastAsia="zh-CN"/>
        </w:rPr>
        <w:t>宁波华欣建设项目管理有限公司</w:t>
      </w:r>
      <w:r>
        <w:rPr>
          <w:b/>
        </w:rPr>
        <w:t>：</w:t>
      </w:r>
    </w:p>
    <w:p>
      <w:pPr>
        <w:snapToGrid w:val="0"/>
        <w:spacing w:before="120" w:beforeLines="50" w:line="360" w:lineRule="auto"/>
        <w:ind w:firstLine="424" w:firstLineChars="202"/>
      </w:pPr>
    </w:p>
    <w:p>
      <w:pPr>
        <w:snapToGrid w:val="0"/>
        <w:spacing w:before="120" w:beforeLines="50" w:line="360" w:lineRule="auto"/>
        <w:ind w:firstLine="424" w:firstLineChars="202"/>
      </w:pPr>
      <w:r>
        <w:t>关于你贵司</w:t>
      </w:r>
      <w:r>
        <w:rPr>
          <w:u w:val="single"/>
        </w:rPr>
        <w:t xml:space="preserve">            </w:t>
      </w:r>
      <w:r>
        <w:t>项目（项目编号：</w:t>
      </w:r>
      <w:r>
        <w:rPr>
          <w:u w:val="single"/>
        </w:rPr>
        <w:t>　　</w:t>
      </w:r>
      <w:r>
        <w:t>）的采购公告，本公司（企业）愿意参加投标，并声明：</w:t>
      </w:r>
    </w:p>
    <w:p>
      <w:pPr>
        <w:snapToGrid w:val="0"/>
        <w:spacing w:line="360" w:lineRule="auto"/>
        <w:ind w:firstLine="424" w:firstLineChars="202"/>
      </w:pPr>
      <w:r>
        <w:t>本公司（企业）具备</w:t>
      </w:r>
      <w:r>
        <w:rPr>
          <w:bCs/>
          <w:szCs w:val="21"/>
        </w:rPr>
        <w:t>《中华人民共和国政府采购法》第二十二条资格条件，</w:t>
      </w:r>
      <w:r>
        <w:t>并已清楚采购文件的要求及有关文件规定。</w:t>
      </w:r>
    </w:p>
    <w:p>
      <w:pPr>
        <w:snapToGrid w:val="0"/>
        <w:spacing w:line="360" w:lineRule="auto"/>
        <w:ind w:firstLine="424" w:firstLineChars="202"/>
      </w:pPr>
      <w: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pPr>
      <w:r>
        <w:t>根据《中华人民共和国政府采购法实施条例》的规定，本公司（企业）如为采购项目提供整体设计、规范编制或者项目管理、监理、检测等服务的投标单位，不得再参加该采购项目的其他采购活动。否则，由此所造成的损失、不良后果及法律责任，一律由我公司（企业）承担。</w:t>
      </w:r>
    </w:p>
    <w:p>
      <w:pPr>
        <w:snapToGrid w:val="0"/>
        <w:spacing w:line="360" w:lineRule="auto"/>
        <w:ind w:firstLine="426" w:firstLineChars="202"/>
      </w:pPr>
      <w:r>
        <w:rPr>
          <w:b/>
        </w:rPr>
        <w:t>本公司（企业）具有履行合同所必需的设备和专业技术能力，且本公司（企业）参加政府采购活动前3年内在经营活动中没有重大违法记录。</w:t>
      </w:r>
      <w:r>
        <w:t>否则，由此所造成的损失、不良后果及法律责任，一律由我公司（企业）承担。</w:t>
      </w:r>
    </w:p>
    <w:p>
      <w:pPr>
        <w:snapToGrid w:val="0"/>
        <w:spacing w:line="360" w:lineRule="auto"/>
        <w:ind w:firstLine="424" w:firstLineChars="202"/>
      </w:pPr>
      <w:r>
        <w:t>本次招标采购活动中，如有违法、违规、弄虚作假行为，所造成的损失、不良后果及法律责任，一律由我公司（企业）承担。</w:t>
      </w:r>
    </w:p>
    <w:p>
      <w:pPr>
        <w:spacing w:line="360" w:lineRule="auto"/>
        <w:ind w:firstLine="420"/>
        <w:rPr>
          <w:b/>
        </w:rPr>
      </w:pPr>
    </w:p>
    <w:p>
      <w:pPr>
        <w:spacing w:line="360" w:lineRule="auto"/>
        <w:ind w:firstLine="420"/>
        <w:rPr>
          <w:b/>
        </w:rPr>
      </w:pPr>
    </w:p>
    <w:p>
      <w:pPr>
        <w:spacing w:line="360" w:lineRule="auto"/>
        <w:ind w:firstLine="420"/>
        <w:rPr>
          <w:b/>
        </w:rPr>
      </w:pPr>
      <w:r>
        <w:rPr>
          <w:b/>
        </w:rPr>
        <w:t>特此声明！</w:t>
      </w:r>
    </w:p>
    <w:p>
      <w:pPr>
        <w:adjustRightInd w:val="0"/>
        <w:snapToGrid w:val="0"/>
        <w:spacing w:line="360" w:lineRule="auto"/>
        <w:ind w:left="425"/>
        <w:rPr>
          <w:spacing w:val="4"/>
        </w:rPr>
      </w:pPr>
    </w:p>
    <w:p>
      <w:pPr>
        <w:adjustRightInd w:val="0"/>
        <w:snapToGrid w:val="0"/>
        <w:spacing w:line="360" w:lineRule="auto"/>
        <w:ind w:left="425"/>
        <w:rPr>
          <w:spacing w:val="4"/>
        </w:rPr>
      </w:pPr>
    </w:p>
    <w:p>
      <w:pPr>
        <w:adjustRightInd w:val="0"/>
        <w:snapToGrid w:val="0"/>
        <w:spacing w:line="360" w:lineRule="auto"/>
        <w:rPr>
          <w:spacing w:val="4"/>
        </w:rPr>
      </w:pPr>
    </w:p>
    <w:p>
      <w:pPr>
        <w:adjustRightInd w:val="0"/>
        <w:snapToGrid w:val="0"/>
        <w:spacing w:line="360" w:lineRule="auto"/>
        <w:ind w:left="425"/>
        <w:rPr>
          <w:spacing w:val="4"/>
        </w:rPr>
      </w:pPr>
    </w:p>
    <w:p>
      <w:pPr>
        <w:widowControl/>
        <w:spacing w:line="360" w:lineRule="auto"/>
        <w:jc w:val="left"/>
        <w:rPr>
          <w:sz w:val="22"/>
          <w:szCs w:val="22"/>
        </w:rPr>
      </w:pPr>
      <w:r>
        <w:rPr>
          <w:sz w:val="22"/>
          <w:szCs w:val="22"/>
        </w:rPr>
        <w:t>投标人（盖章）：</w:t>
      </w:r>
    </w:p>
    <w:p>
      <w:pPr>
        <w:pStyle w:val="20"/>
        <w:snapToGrid w:val="0"/>
        <w:spacing w:line="360" w:lineRule="auto"/>
        <w:ind w:firstLine="0"/>
        <w:rPr>
          <w:rFonts w:ascii="Times New Roman"/>
          <w:spacing w:val="0"/>
          <w:sz w:val="22"/>
          <w:szCs w:val="22"/>
        </w:rPr>
      </w:pPr>
      <w:r>
        <w:rPr>
          <w:rFonts w:ascii="Times New Roman"/>
          <w:spacing w:val="0"/>
          <w:sz w:val="22"/>
          <w:szCs w:val="22"/>
        </w:rPr>
        <w:t>法定代表人或其授权代表（签字或盖章）：</w:t>
      </w:r>
    </w:p>
    <w:p>
      <w:pPr>
        <w:pStyle w:val="20"/>
        <w:widowControl/>
        <w:spacing w:line="360" w:lineRule="auto"/>
        <w:ind w:firstLine="0"/>
        <w:jc w:val="left"/>
        <w:rPr>
          <w:rFonts w:ascii="Times New Roman"/>
          <w:spacing w:val="0"/>
          <w:sz w:val="22"/>
          <w:szCs w:val="22"/>
        </w:rPr>
      </w:pPr>
      <w:r>
        <w:rPr>
          <w:rFonts w:ascii="Times New Roman"/>
          <w:spacing w:val="0"/>
          <w:sz w:val="22"/>
          <w:szCs w:val="22"/>
        </w:rPr>
        <w:t>日期：</w:t>
      </w:r>
    </w:p>
    <w:p>
      <w:pPr>
        <w:spacing w:line="360" w:lineRule="auto"/>
      </w:pPr>
    </w:p>
    <w:p>
      <w:pPr>
        <w:spacing w:line="360" w:lineRule="auto"/>
        <w:jc w:val="left"/>
        <w:rPr>
          <w:rFonts w:hint="eastAsia" w:cs="Times New Roman"/>
          <w:b/>
          <w:sz w:val="22"/>
          <w:szCs w:val="28"/>
          <w:lang w:val="en-US" w:eastAsia="zh-CN"/>
        </w:rPr>
      </w:pPr>
      <w:r>
        <w:br w:type="page"/>
      </w:r>
      <w:bookmarkStart w:id="333" w:name="_Toc103878843"/>
      <w:bookmarkStart w:id="334" w:name="_Toc146297138"/>
      <w:bookmarkStart w:id="335" w:name="_Toc10254"/>
      <w:r>
        <w:rPr>
          <w:rFonts w:ascii="Times New Roman" w:hAnsi="Times New Roman" w:eastAsia="宋体" w:cs="Times New Roman"/>
          <w:b/>
          <w:sz w:val="22"/>
          <w:szCs w:val="28"/>
        </w:rPr>
        <w:t>格式</w:t>
      </w:r>
      <w:bookmarkEnd w:id="333"/>
      <w:bookmarkEnd w:id="334"/>
      <w:bookmarkEnd w:id="335"/>
      <w:r>
        <w:rPr>
          <w:rFonts w:hint="eastAsia" w:cs="Times New Roman"/>
          <w:b/>
          <w:sz w:val="22"/>
          <w:szCs w:val="28"/>
          <w:lang w:val="en-US" w:eastAsia="zh-CN"/>
        </w:rPr>
        <w:t>二</w:t>
      </w:r>
    </w:p>
    <w:p>
      <w:pPr>
        <w:spacing w:line="360" w:lineRule="auto"/>
        <w:jc w:val="left"/>
        <w:rPr>
          <w:rFonts w:hint="eastAsia" w:cs="Times New Roman"/>
          <w:b/>
          <w:sz w:val="22"/>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b/>
          <w:szCs w:val="21"/>
        </w:rPr>
      </w:pPr>
      <w:r>
        <w:rPr>
          <w:b/>
          <w:szCs w:val="21"/>
        </w:rPr>
        <w:t>投标人基本情况说明</w:t>
      </w:r>
    </w:p>
    <w:tbl>
      <w:tblPr>
        <w:tblStyle w:val="48"/>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szCs w:val="21"/>
              </w:rPr>
            </w:pPr>
            <w:r>
              <w:rPr>
                <w:szCs w:val="21"/>
              </w:rPr>
              <w:t>单位名称</w:t>
            </w:r>
          </w:p>
        </w:tc>
        <w:tc>
          <w:tcPr>
            <w:tcW w:w="3675" w:type="dxa"/>
            <w:gridSpan w:val="3"/>
            <w:vAlign w:val="center"/>
          </w:tcPr>
          <w:p>
            <w:pPr>
              <w:spacing w:line="360" w:lineRule="auto"/>
              <w:jc w:val="center"/>
              <w:rPr>
                <w:szCs w:val="21"/>
              </w:rPr>
            </w:pPr>
          </w:p>
        </w:tc>
        <w:tc>
          <w:tcPr>
            <w:tcW w:w="1785" w:type="dxa"/>
            <w:vAlign w:val="center"/>
          </w:tcPr>
          <w:p>
            <w:pPr>
              <w:spacing w:line="360" w:lineRule="auto"/>
              <w:jc w:val="center"/>
              <w:rPr>
                <w:szCs w:val="21"/>
              </w:rPr>
            </w:pPr>
            <w:r>
              <w:rPr>
                <w:szCs w:val="21"/>
              </w:rPr>
              <w:t>组织机构代码</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szCs w:val="21"/>
              </w:rPr>
            </w:pPr>
            <w:r>
              <w:rPr>
                <w:szCs w:val="21"/>
              </w:rPr>
              <w:t>注册地址</w:t>
            </w:r>
          </w:p>
        </w:tc>
        <w:tc>
          <w:tcPr>
            <w:tcW w:w="3675" w:type="dxa"/>
            <w:gridSpan w:val="3"/>
            <w:vAlign w:val="center"/>
          </w:tcPr>
          <w:p>
            <w:pPr>
              <w:spacing w:line="360" w:lineRule="auto"/>
              <w:jc w:val="center"/>
              <w:rPr>
                <w:szCs w:val="21"/>
              </w:rPr>
            </w:pPr>
          </w:p>
        </w:tc>
        <w:tc>
          <w:tcPr>
            <w:tcW w:w="1785" w:type="dxa"/>
            <w:vAlign w:val="center"/>
          </w:tcPr>
          <w:p>
            <w:pPr>
              <w:spacing w:line="360" w:lineRule="auto"/>
              <w:jc w:val="center"/>
              <w:rPr>
                <w:szCs w:val="21"/>
              </w:rPr>
            </w:pPr>
            <w:r>
              <w:rPr>
                <w:szCs w:val="21"/>
              </w:rPr>
              <w:t>注册登记号</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szCs w:val="21"/>
              </w:rPr>
            </w:pPr>
            <w:r>
              <w:rPr>
                <w:szCs w:val="21"/>
              </w:rPr>
              <w:t>经营地址</w:t>
            </w:r>
          </w:p>
        </w:tc>
        <w:tc>
          <w:tcPr>
            <w:tcW w:w="3675" w:type="dxa"/>
            <w:gridSpan w:val="3"/>
            <w:vAlign w:val="center"/>
          </w:tcPr>
          <w:p>
            <w:pPr>
              <w:spacing w:line="360" w:lineRule="auto"/>
              <w:jc w:val="center"/>
              <w:rPr>
                <w:szCs w:val="21"/>
              </w:rPr>
            </w:pPr>
          </w:p>
        </w:tc>
        <w:tc>
          <w:tcPr>
            <w:tcW w:w="1785" w:type="dxa"/>
            <w:vAlign w:val="center"/>
          </w:tcPr>
          <w:p>
            <w:pPr>
              <w:spacing w:line="360" w:lineRule="auto"/>
              <w:jc w:val="center"/>
              <w:rPr>
                <w:spacing w:val="30"/>
                <w:szCs w:val="21"/>
              </w:rPr>
            </w:pPr>
            <w:r>
              <w:rPr>
                <w:szCs w:val="21"/>
              </w:rPr>
              <w:t>税务登记证号</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szCs w:val="21"/>
              </w:rPr>
            </w:pPr>
            <w:r>
              <w:rPr>
                <w:szCs w:val="21"/>
              </w:rPr>
              <w:t>单位性质</w:t>
            </w:r>
          </w:p>
        </w:tc>
        <w:tc>
          <w:tcPr>
            <w:tcW w:w="3675" w:type="dxa"/>
            <w:gridSpan w:val="3"/>
            <w:vAlign w:val="center"/>
          </w:tcPr>
          <w:p>
            <w:pPr>
              <w:pStyle w:val="192"/>
              <w:widowControl w:val="0"/>
              <w:spacing w:before="0" w:beforeAutospacing="0" w:after="0" w:afterAutospacing="0" w:line="360" w:lineRule="auto"/>
              <w:ind w:left="1320" w:firstLine="420"/>
              <w:rPr>
                <w:rFonts w:ascii="Times New Roman" w:hAnsi="Times New Roman" w:eastAsia="宋体"/>
                <w:kern w:val="2"/>
                <w:sz w:val="21"/>
                <w:szCs w:val="21"/>
              </w:rPr>
            </w:pPr>
          </w:p>
        </w:tc>
        <w:tc>
          <w:tcPr>
            <w:tcW w:w="1785" w:type="dxa"/>
            <w:vAlign w:val="center"/>
          </w:tcPr>
          <w:p>
            <w:pPr>
              <w:spacing w:line="360" w:lineRule="auto"/>
              <w:jc w:val="center"/>
              <w:rPr>
                <w:spacing w:val="34"/>
                <w:szCs w:val="21"/>
              </w:rPr>
            </w:pPr>
            <w:r>
              <w:rPr>
                <w:spacing w:val="34"/>
                <w:szCs w:val="21"/>
              </w:rPr>
              <w:t>注册资本</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szCs w:val="21"/>
              </w:rPr>
            </w:pPr>
            <w:r>
              <w:rPr>
                <w:szCs w:val="21"/>
              </w:rPr>
              <w:t>经营范围</w:t>
            </w:r>
          </w:p>
        </w:tc>
        <w:tc>
          <w:tcPr>
            <w:tcW w:w="3675" w:type="dxa"/>
            <w:gridSpan w:val="3"/>
            <w:vAlign w:val="center"/>
          </w:tcPr>
          <w:p>
            <w:pPr>
              <w:spacing w:line="360" w:lineRule="auto"/>
              <w:jc w:val="center"/>
              <w:rPr>
                <w:szCs w:val="21"/>
              </w:rPr>
            </w:pPr>
          </w:p>
        </w:tc>
        <w:tc>
          <w:tcPr>
            <w:tcW w:w="1785" w:type="dxa"/>
            <w:vAlign w:val="center"/>
          </w:tcPr>
          <w:p>
            <w:pPr>
              <w:spacing w:line="360" w:lineRule="auto"/>
              <w:jc w:val="center"/>
              <w:rPr>
                <w:szCs w:val="21"/>
              </w:rPr>
            </w:pPr>
            <w:r>
              <w:rPr>
                <w:szCs w:val="21"/>
              </w:rPr>
              <w:t>营业期限</w:t>
            </w:r>
          </w:p>
        </w:tc>
        <w:tc>
          <w:tcPr>
            <w:tcW w:w="2234" w:type="dxa"/>
            <w:vAlign w:val="center"/>
          </w:tcPr>
          <w:p>
            <w:pPr>
              <w:spacing w:line="360" w:lineRule="auto"/>
              <w:jc w:val="center"/>
              <w:rPr>
                <w:szCs w:val="21"/>
              </w:rPr>
            </w:pPr>
            <w:r>
              <w:rPr>
                <w:szCs w:val="21"/>
              </w:rPr>
              <w:t>年月-  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szCs w:val="21"/>
              </w:rPr>
            </w:pPr>
            <w:r>
              <w:rPr>
                <w:szCs w:val="21"/>
              </w:rPr>
              <w:t>资质情况</w:t>
            </w:r>
          </w:p>
        </w:tc>
        <w:tc>
          <w:tcPr>
            <w:tcW w:w="7694" w:type="dxa"/>
            <w:gridSpan w:val="5"/>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szCs w:val="21"/>
              </w:rPr>
            </w:pPr>
            <w:r>
              <w:rPr>
                <w:szCs w:val="21"/>
              </w:rPr>
              <w:t>员工数量</w:t>
            </w:r>
          </w:p>
        </w:tc>
        <w:tc>
          <w:tcPr>
            <w:tcW w:w="7694" w:type="dxa"/>
            <w:gridSpan w:val="5"/>
            <w:vAlign w:val="center"/>
          </w:tcPr>
          <w:p>
            <w:pPr>
              <w:spacing w:line="360" w:lineRule="auto"/>
              <w:rPr>
                <w:szCs w:val="21"/>
              </w:rPr>
            </w:pPr>
            <w:r>
              <w:rPr>
                <w:szCs w:val="21"/>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szCs w:val="21"/>
              </w:rPr>
            </w:pPr>
            <w:r>
              <w:rPr>
                <w:szCs w:val="21"/>
              </w:rPr>
              <w:t>联系电话</w:t>
            </w:r>
          </w:p>
        </w:tc>
        <w:tc>
          <w:tcPr>
            <w:tcW w:w="3675" w:type="dxa"/>
            <w:gridSpan w:val="3"/>
            <w:vAlign w:val="center"/>
          </w:tcPr>
          <w:p>
            <w:pPr>
              <w:spacing w:line="360" w:lineRule="auto"/>
              <w:jc w:val="center"/>
              <w:rPr>
                <w:szCs w:val="21"/>
              </w:rPr>
            </w:pPr>
          </w:p>
        </w:tc>
        <w:tc>
          <w:tcPr>
            <w:tcW w:w="1785" w:type="dxa"/>
            <w:vAlign w:val="center"/>
          </w:tcPr>
          <w:p>
            <w:pPr>
              <w:spacing w:line="360" w:lineRule="auto"/>
              <w:jc w:val="center"/>
              <w:rPr>
                <w:szCs w:val="21"/>
              </w:rPr>
            </w:pPr>
            <w:r>
              <w:rPr>
                <w:szCs w:val="21"/>
              </w:rPr>
              <w:t>传真</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line="360" w:lineRule="auto"/>
              <w:jc w:val="center"/>
              <w:rPr>
                <w:szCs w:val="21"/>
              </w:rPr>
            </w:pPr>
            <w:r>
              <w:rPr>
                <w:szCs w:val="21"/>
              </w:rPr>
              <w:t>主要业绩</w:t>
            </w:r>
          </w:p>
        </w:tc>
        <w:tc>
          <w:tcPr>
            <w:tcW w:w="7694" w:type="dxa"/>
            <w:gridSpan w:val="5"/>
            <w:vAlign w:val="center"/>
          </w:tcPr>
          <w:p>
            <w:pPr>
              <w:spacing w:line="360" w:lineRule="auto"/>
              <w:rPr>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pPr>
              <w:spacing w:line="360" w:lineRule="auto"/>
              <w:jc w:val="center"/>
              <w:rPr>
                <w:szCs w:val="21"/>
              </w:rPr>
            </w:pPr>
            <w:r>
              <w:rPr>
                <w:szCs w:val="21"/>
              </w:rPr>
              <w:t>法定代表人基本情况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szCs w:val="21"/>
              </w:rPr>
            </w:pPr>
            <w:r>
              <w:rPr>
                <w:szCs w:val="21"/>
              </w:rPr>
              <w:t>姓名</w:t>
            </w:r>
          </w:p>
        </w:tc>
        <w:tc>
          <w:tcPr>
            <w:tcW w:w="3675" w:type="dxa"/>
            <w:gridSpan w:val="3"/>
            <w:vAlign w:val="center"/>
          </w:tcPr>
          <w:p>
            <w:pPr>
              <w:spacing w:line="360" w:lineRule="auto"/>
              <w:jc w:val="center"/>
              <w:rPr>
                <w:szCs w:val="21"/>
              </w:rPr>
            </w:pPr>
          </w:p>
        </w:tc>
        <w:tc>
          <w:tcPr>
            <w:tcW w:w="1785" w:type="dxa"/>
            <w:vAlign w:val="center"/>
          </w:tcPr>
          <w:p>
            <w:pPr>
              <w:spacing w:line="360" w:lineRule="auto"/>
              <w:jc w:val="center"/>
              <w:rPr>
                <w:szCs w:val="21"/>
              </w:rPr>
            </w:pPr>
            <w:r>
              <w:rPr>
                <w:szCs w:val="21"/>
              </w:rPr>
              <w:t>身份证号码</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szCs w:val="21"/>
              </w:rPr>
            </w:pPr>
            <w:r>
              <w:rPr>
                <w:szCs w:val="21"/>
              </w:rPr>
              <w:t>职务</w:t>
            </w:r>
          </w:p>
        </w:tc>
        <w:tc>
          <w:tcPr>
            <w:tcW w:w="1680" w:type="dxa"/>
            <w:vAlign w:val="center"/>
          </w:tcPr>
          <w:p>
            <w:pPr>
              <w:spacing w:line="360" w:lineRule="auto"/>
              <w:jc w:val="center"/>
              <w:rPr>
                <w:szCs w:val="21"/>
              </w:rPr>
            </w:pPr>
          </w:p>
        </w:tc>
        <w:tc>
          <w:tcPr>
            <w:tcW w:w="1050" w:type="dxa"/>
            <w:vAlign w:val="center"/>
          </w:tcPr>
          <w:p>
            <w:pPr>
              <w:spacing w:line="360" w:lineRule="auto"/>
              <w:jc w:val="center"/>
              <w:rPr>
                <w:szCs w:val="21"/>
              </w:rPr>
            </w:pPr>
            <w:r>
              <w:rPr>
                <w:szCs w:val="21"/>
              </w:rPr>
              <w:t>职称</w:t>
            </w:r>
          </w:p>
        </w:tc>
        <w:tc>
          <w:tcPr>
            <w:tcW w:w="945" w:type="dxa"/>
            <w:vAlign w:val="center"/>
          </w:tcPr>
          <w:p>
            <w:pPr>
              <w:spacing w:line="360" w:lineRule="auto"/>
              <w:jc w:val="center"/>
              <w:rPr>
                <w:szCs w:val="21"/>
              </w:rPr>
            </w:pPr>
          </w:p>
        </w:tc>
        <w:tc>
          <w:tcPr>
            <w:tcW w:w="1785" w:type="dxa"/>
            <w:vAlign w:val="center"/>
          </w:tcPr>
          <w:p>
            <w:pPr>
              <w:spacing w:line="360" w:lineRule="auto"/>
              <w:jc w:val="center"/>
              <w:rPr>
                <w:szCs w:val="21"/>
              </w:rPr>
            </w:pPr>
            <w:r>
              <w:rPr>
                <w:szCs w:val="21"/>
              </w:rPr>
              <w:t>学历</w:t>
            </w:r>
          </w:p>
        </w:tc>
        <w:tc>
          <w:tcPr>
            <w:tcW w:w="22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pPr>
              <w:spacing w:line="360" w:lineRule="auto"/>
              <w:rPr>
                <w:szCs w:val="21"/>
              </w:rPr>
            </w:pPr>
            <w:r>
              <w:rPr>
                <w:szCs w:val="21"/>
              </w:rPr>
              <w:t>备注:</w:t>
            </w:r>
          </w:p>
        </w:tc>
      </w:tr>
    </w:tbl>
    <w:p>
      <w:pPr>
        <w:spacing w:line="360" w:lineRule="auto"/>
        <w:rPr>
          <w:b/>
          <w:szCs w:val="21"/>
        </w:rPr>
      </w:pPr>
      <w:r>
        <w:rPr>
          <w:b/>
          <w:szCs w:val="21"/>
        </w:rPr>
        <w:t>兹证明上述声明是真实、正确的，并提供了全部能提供的资料和数据，我们同意遵照贵方要求出示有关证明文件。</w:t>
      </w:r>
    </w:p>
    <w:p>
      <w:pPr>
        <w:spacing w:line="360" w:lineRule="auto"/>
        <w:rPr>
          <w:b/>
        </w:rPr>
      </w:pPr>
    </w:p>
    <w:p>
      <w:pPr>
        <w:spacing w:line="360" w:lineRule="auto"/>
        <w:rPr>
          <w:b/>
        </w:rPr>
      </w:pPr>
    </w:p>
    <w:p/>
    <w:p>
      <w:pPr>
        <w:widowControl/>
        <w:spacing w:line="360" w:lineRule="auto"/>
        <w:jc w:val="left"/>
        <w:rPr>
          <w:szCs w:val="21"/>
        </w:rPr>
      </w:pPr>
      <w:r>
        <w:rPr>
          <w:szCs w:val="21"/>
        </w:rPr>
        <w:t>投标人（盖章）：</w:t>
      </w:r>
    </w:p>
    <w:p>
      <w:pPr>
        <w:pStyle w:val="20"/>
        <w:snapToGrid w:val="0"/>
        <w:spacing w:line="360" w:lineRule="auto"/>
        <w:ind w:firstLine="0"/>
        <w:rPr>
          <w:rFonts w:ascii="Times New Roman"/>
          <w:spacing w:val="0"/>
          <w:sz w:val="21"/>
          <w:szCs w:val="21"/>
        </w:rPr>
      </w:pPr>
      <w:r>
        <w:rPr>
          <w:rFonts w:ascii="Times New Roman"/>
          <w:spacing w:val="0"/>
          <w:sz w:val="21"/>
          <w:szCs w:val="21"/>
        </w:rPr>
        <w:t>法定代表人或其授权代表（签字或盖章）：</w:t>
      </w:r>
    </w:p>
    <w:p>
      <w:pPr>
        <w:pStyle w:val="20"/>
        <w:widowControl/>
        <w:spacing w:line="360" w:lineRule="auto"/>
        <w:ind w:firstLine="0"/>
        <w:jc w:val="left"/>
        <w:rPr>
          <w:rFonts w:ascii="Times New Roman"/>
          <w:spacing w:val="0"/>
          <w:sz w:val="21"/>
          <w:szCs w:val="21"/>
        </w:rPr>
      </w:pPr>
      <w:r>
        <w:rPr>
          <w:rFonts w:ascii="Times New Roman"/>
          <w:spacing w:val="0"/>
          <w:sz w:val="21"/>
          <w:szCs w:val="21"/>
        </w:rPr>
        <w:t>日期：</w:t>
      </w:r>
    </w:p>
    <w:p/>
    <w:p>
      <w:pPr>
        <w:spacing w:line="360" w:lineRule="auto"/>
        <w:ind w:firstLine="103" w:firstLineChars="49"/>
        <w:rPr>
          <w:b/>
          <w:szCs w:val="21"/>
        </w:rPr>
      </w:pPr>
    </w:p>
    <w:p>
      <w:pPr>
        <w:outlineLvl w:val="1"/>
        <w:rPr>
          <w:rFonts w:hint="eastAsia" w:eastAsia="宋体"/>
          <w:b w:val="0"/>
          <w:bCs/>
          <w:lang w:eastAsia="zh-CN"/>
        </w:rPr>
      </w:pPr>
    </w:p>
    <w:p>
      <w:pPr>
        <w:jc w:val="center"/>
      </w:pPr>
    </w:p>
    <w:bookmarkEnd w:id="332"/>
    <w:p>
      <w:pPr>
        <w:jc w:val="center"/>
        <w:rPr>
          <w:b/>
          <w:sz w:val="32"/>
          <w:szCs w:val="32"/>
        </w:rPr>
      </w:pPr>
    </w:p>
    <w:p>
      <w:pPr>
        <w:rPr>
          <w:b/>
          <w:sz w:val="28"/>
          <w:szCs w:val="28"/>
        </w:rPr>
      </w:pPr>
      <w:r>
        <w:rPr>
          <w:b/>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imes New Roman"/>
          <w:b/>
          <w:sz w:val="22"/>
          <w:szCs w:val="28"/>
          <w:lang w:val="en-US" w:eastAsia="zh-CN"/>
        </w:rPr>
      </w:pPr>
      <w:r>
        <w:rPr>
          <w:rFonts w:ascii="Times New Roman" w:hAnsi="Times New Roman" w:eastAsia="宋体" w:cs="Times New Roman"/>
          <w:b/>
          <w:sz w:val="22"/>
          <w:szCs w:val="28"/>
        </w:rPr>
        <w:t>格式</w:t>
      </w:r>
      <w:r>
        <w:rPr>
          <w:rFonts w:hint="eastAsia" w:cs="Times New Roman"/>
          <w:b/>
          <w:sz w:val="22"/>
          <w:szCs w:val="28"/>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szCs w:val="24"/>
        </w:rPr>
      </w:pPr>
      <w:r>
        <w:rPr>
          <w:b/>
          <w:sz w:val="24"/>
          <w:szCs w:val="24"/>
        </w:rPr>
        <w:t>法定代表人身份证明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2"/>
          <w:szCs w:val="22"/>
        </w:rPr>
      </w:pPr>
      <w:r>
        <w:rPr>
          <w:bCs/>
          <w:sz w:val="22"/>
          <w:szCs w:val="22"/>
        </w:rPr>
        <w:t>（法定代表人不来投标的，此表不用）</w:t>
      </w:r>
    </w:p>
    <w:p>
      <w:pPr>
        <w:spacing w:line="480" w:lineRule="auto"/>
        <w:ind w:firstLine="420" w:firstLineChars="200"/>
        <w:rPr>
          <w:szCs w:val="21"/>
        </w:rPr>
      </w:pPr>
    </w:p>
    <w:p>
      <w:pPr>
        <w:spacing w:line="480" w:lineRule="auto"/>
        <w:ind w:firstLine="420" w:firstLineChars="200"/>
        <w:rPr>
          <w:szCs w:val="21"/>
        </w:rPr>
      </w:pPr>
      <w:r>
        <w:rPr>
          <w:szCs w:val="21"/>
        </w:rPr>
        <w:t>投标单位名称：</w:t>
      </w:r>
      <w:r>
        <w:rPr>
          <w:szCs w:val="21"/>
          <w:u w:val="single"/>
        </w:rPr>
        <w:t xml:space="preserve">_                  </w:t>
      </w:r>
    </w:p>
    <w:p>
      <w:pPr>
        <w:spacing w:line="480" w:lineRule="auto"/>
        <w:ind w:firstLine="420" w:firstLineChars="200"/>
        <w:rPr>
          <w:szCs w:val="21"/>
        </w:rPr>
      </w:pPr>
      <w:r>
        <w:rPr>
          <w:szCs w:val="21"/>
        </w:rPr>
        <w:t>单位性质：</w:t>
      </w:r>
      <w:r>
        <w:rPr>
          <w:szCs w:val="21"/>
          <w:u w:val="single"/>
        </w:rPr>
        <w:t xml:space="preserve">_                  </w:t>
      </w:r>
    </w:p>
    <w:p>
      <w:pPr>
        <w:spacing w:line="480" w:lineRule="auto"/>
        <w:ind w:firstLine="420" w:firstLineChars="200"/>
        <w:rPr>
          <w:szCs w:val="21"/>
        </w:rPr>
      </w:pPr>
      <w:r>
        <w:rPr>
          <w:szCs w:val="21"/>
        </w:rPr>
        <w:t>地址：</w:t>
      </w:r>
      <w:r>
        <w:rPr>
          <w:szCs w:val="21"/>
          <w:u w:val="single"/>
        </w:rPr>
        <w:t xml:space="preserve">_                  </w:t>
      </w:r>
    </w:p>
    <w:p>
      <w:pPr>
        <w:spacing w:line="480" w:lineRule="auto"/>
        <w:ind w:firstLine="420" w:firstLineChars="200"/>
        <w:rPr>
          <w:szCs w:val="21"/>
        </w:rPr>
      </w:pPr>
      <w:r>
        <w:rPr>
          <w:szCs w:val="21"/>
        </w:rPr>
        <w:t>成立时间：＿年＿月＿日</w:t>
      </w:r>
    </w:p>
    <w:p>
      <w:pPr>
        <w:spacing w:line="480" w:lineRule="auto"/>
        <w:ind w:firstLine="420" w:firstLineChars="200"/>
        <w:rPr>
          <w:szCs w:val="21"/>
        </w:rPr>
      </w:pPr>
      <w:r>
        <w:rPr>
          <w:szCs w:val="21"/>
        </w:rPr>
        <w:t>经营期限：</w:t>
      </w:r>
      <w:r>
        <w:rPr>
          <w:szCs w:val="21"/>
          <w:u w:val="single"/>
        </w:rPr>
        <w:t xml:space="preserve">_                  </w:t>
      </w:r>
    </w:p>
    <w:p>
      <w:pPr>
        <w:spacing w:line="480" w:lineRule="auto"/>
        <w:ind w:firstLine="420" w:firstLineChars="200"/>
        <w:rPr>
          <w:szCs w:val="21"/>
        </w:rPr>
      </w:pPr>
      <w:r>
        <w:rPr>
          <w:szCs w:val="21"/>
        </w:rPr>
        <w:t>姓名：</w:t>
      </w:r>
      <w:r>
        <w:rPr>
          <w:szCs w:val="21"/>
          <w:u w:val="single"/>
        </w:rPr>
        <w:t xml:space="preserve">_        </w:t>
      </w:r>
      <w:r>
        <w:rPr>
          <w:szCs w:val="21"/>
        </w:rPr>
        <w:t xml:space="preserve">  性别：</w:t>
      </w:r>
      <w:r>
        <w:rPr>
          <w:szCs w:val="21"/>
          <w:u w:val="single"/>
        </w:rPr>
        <w:t xml:space="preserve">_        </w:t>
      </w:r>
      <w:r>
        <w:rPr>
          <w:szCs w:val="21"/>
        </w:rPr>
        <w:t xml:space="preserve">   年龄：</w:t>
      </w:r>
      <w:r>
        <w:rPr>
          <w:szCs w:val="21"/>
          <w:u w:val="single"/>
        </w:rPr>
        <w:t xml:space="preserve">  </w:t>
      </w:r>
      <w:r>
        <w:rPr>
          <w:rFonts w:hint="eastAsia"/>
          <w:szCs w:val="21"/>
          <w:u w:val="single"/>
          <w:lang w:val="en-US" w:eastAsia="zh-CN"/>
        </w:rPr>
        <w:t xml:space="preserve"> </w:t>
      </w:r>
      <w:r>
        <w:rPr>
          <w:szCs w:val="21"/>
          <w:u w:val="single"/>
        </w:rPr>
        <w:t>周岁</w:t>
      </w:r>
      <w:r>
        <w:rPr>
          <w:szCs w:val="21"/>
        </w:rPr>
        <w:t xml:space="preserve">  职务：</w:t>
      </w:r>
      <w:r>
        <w:rPr>
          <w:szCs w:val="21"/>
          <w:u w:val="single"/>
        </w:rPr>
        <w:t xml:space="preserve">_        </w:t>
      </w:r>
    </w:p>
    <w:p>
      <w:pPr>
        <w:spacing w:line="480" w:lineRule="auto"/>
        <w:ind w:firstLine="420" w:firstLineChars="200"/>
        <w:rPr>
          <w:szCs w:val="21"/>
          <w:u w:val="single"/>
        </w:rPr>
      </w:pPr>
      <w:r>
        <w:rPr>
          <w:szCs w:val="21"/>
        </w:rPr>
        <w:t>身份证号码：</w:t>
      </w:r>
      <w:r>
        <w:rPr>
          <w:szCs w:val="21"/>
          <w:u w:val="single"/>
        </w:rPr>
        <w:t xml:space="preserve">_                  </w:t>
      </w:r>
    </w:p>
    <w:p>
      <w:pPr>
        <w:spacing w:line="480" w:lineRule="auto"/>
        <w:ind w:firstLine="420" w:firstLineChars="200"/>
        <w:rPr>
          <w:szCs w:val="21"/>
        </w:rPr>
      </w:pPr>
      <w:r>
        <w:rPr>
          <w:szCs w:val="21"/>
        </w:rPr>
        <w:t>系</w:t>
      </w:r>
      <w:r>
        <w:rPr>
          <w:szCs w:val="21"/>
          <w:u w:val="single"/>
        </w:rPr>
        <w:t xml:space="preserve">  （投标单位名称）  </w:t>
      </w:r>
      <w:r>
        <w:rPr>
          <w:szCs w:val="21"/>
        </w:rPr>
        <w:t>的法定代表人。</w:t>
      </w:r>
    </w:p>
    <w:p>
      <w:pPr>
        <w:spacing w:line="480" w:lineRule="auto"/>
        <w:ind w:firstLine="840" w:firstLineChars="400"/>
        <w:rPr>
          <w:szCs w:val="21"/>
        </w:rPr>
      </w:pPr>
      <w:r>
        <w:rPr>
          <w:szCs w:val="21"/>
        </w:rPr>
        <w:t>特此证明。</w:t>
      </w:r>
    </w:p>
    <w:p>
      <w:pPr>
        <w:spacing w:line="360" w:lineRule="auto"/>
        <w:ind w:firstLine="420" w:firstLineChars="200"/>
        <w:rPr>
          <w:szCs w:val="21"/>
        </w:rPr>
      </w:pPr>
    </w:p>
    <w:p>
      <w:pPr>
        <w:spacing w:line="360" w:lineRule="auto"/>
        <w:ind w:firstLine="420" w:firstLineChars="200"/>
        <w:rPr>
          <w:szCs w:val="21"/>
        </w:rPr>
      </w:pPr>
    </w:p>
    <w:p>
      <w:pPr>
        <w:wordWrap w:val="0"/>
        <w:spacing w:line="360" w:lineRule="auto"/>
        <w:ind w:right="420" w:firstLine="3045" w:firstLineChars="1450"/>
        <w:rPr>
          <w:szCs w:val="21"/>
        </w:rPr>
      </w:pPr>
      <w:r>
        <w:rPr>
          <w:szCs w:val="21"/>
        </w:rPr>
        <w:t>投标单位：（盖单位公章）</w:t>
      </w:r>
    </w:p>
    <w:p>
      <w:pPr>
        <w:spacing w:line="360" w:lineRule="auto"/>
        <w:ind w:firstLine="4515" w:firstLineChars="2150"/>
        <w:rPr>
          <w:szCs w:val="21"/>
          <w:u w:val="single"/>
        </w:rPr>
      </w:pPr>
    </w:p>
    <w:p>
      <w:pPr>
        <w:spacing w:line="360" w:lineRule="auto"/>
        <w:ind w:firstLine="3675" w:firstLineChars="1750"/>
        <w:rPr>
          <w:szCs w:val="21"/>
        </w:rPr>
      </w:pPr>
      <w:r>
        <w:rPr>
          <w:szCs w:val="21"/>
        </w:rPr>
        <w:t>年  月  日</w:t>
      </w:r>
    </w:p>
    <w:p>
      <w:pPr>
        <w:spacing w:line="360" w:lineRule="auto"/>
        <w:rPr>
          <w:sz w:val="24"/>
        </w:rPr>
      </w:pPr>
    </w:p>
    <w:p>
      <w:pPr>
        <w:spacing w:line="360" w:lineRule="auto"/>
        <w:rPr>
          <w:b/>
          <w:szCs w:val="21"/>
        </w:rPr>
      </w:pPr>
    </w:p>
    <w:p>
      <w:pPr>
        <w:spacing w:line="360" w:lineRule="auto"/>
        <w:rPr>
          <w:b/>
          <w:szCs w:val="21"/>
        </w:rPr>
      </w:pPr>
    </w:p>
    <w:p>
      <w:pPr>
        <w:spacing w:line="360" w:lineRule="auto"/>
        <w:ind w:firstLine="413" w:firstLineChars="196"/>
        <w:rPr>
          <w:b/>
          <w:szCs w:val="21"/>
        </w:rPr>
      </w:pPr>
      <w:r>
        <w:rPr>
          <w:b/>
          <w:szCs w:val="21"/>
        </w:rPr>
        <w:t>附法定代表人身份证复印件（正反面）：</w:t>
      </w:r>
    </w:p>
    <w:p/>
    <w:p>
      <w:pPr>
        <w:jc w:val="left"/>
        <w:rPr>
          <w:b/>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imes New Roman"/>
          <w:b/>
          <w:sz w:val="22"/>
          <w:szCs w:val="28"/>
          <w:lang w:val="en-US" w:eastAsia="zh-CN"/>
        </w:rPr>
      </w:pPr>
      <w:r>
        <w:rPr>
          <w:szCs w:val="21"/>
        </w:rPr>
        <w:br w:type="page"/>
      </w:r>
      <w:r>
        <w:rPr>
          <w:rFonts w:ascii="Times New Roman" w:hAnsi="Times New Roman" w:eastAsia="宋体" w:cs="Times New Roman"/>
          <w:b/>
          <w:sz w:val="22"/>
          <w:szCs w:val="28"/>
        </w:rPr>
        <w:t>格式</w:t>
      </w:r>
      <w:r>
        <w:rPr>
          <w:rFonts w:hint="eastAsia" w:cs="Times New Roman"/>
          <w:b/>
          <w:sz w:val="22"/>
          <w:szCs w:val="28"/>
          <w:lang w:val="en-US" w:eastAsia="zh-CN"/>
        </w:rPr>
        <w:t>四</w:t>
      </w:r>
    </w:p>
    <w:p>
      <w:pPr>
        <w:spacing w:line="340" w:lineRule="exact"/>
        <w:jc w:val="center"/>
        <w:rPr>
          <w:b/>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Cs/>
          <w:sz w:val="24"/>
        </w:rPr>
      </w:pPr>
      <w:r>
        <w:rPr>
          <w:b/>
          <w:sz w:val="24"/>
          <w:szCs w:val="24"/>
        </w:rPr>
        <w:t>法定代表人授权委托书</w:t>
      </w:r>
    </w:p>
    <w:p>
      <w:pPr>
        <w:jc w:val="center"/>
        <w:rPr>
          <w:b/>
          <w:sz w:val="28"/>
          <w:szCs w:val="28"/>
        </w:rPr>
      </w:pPr>
      <w:r>
        <w:rPr>
          <w:bCs/>
          <w:sz w:val="22"/>
          <w:szCs w:val="22"/>
        </w:rPr>
        <w:t>（法定代表人来投标的，此表不用）</w:t>
      </w:r>
    </w:p>
    <w:p>
      <w:pPr>
        <w:snapToGrid w:val="0"/>
        <w:spacing w:line="360" w:lineRule="auto"/>
        <w:rPr>
          <w:bCs/>
          <w:sz w:val="24"/>
        </w:rPr>
      </w:pPr>
    </w:p>
    <w:p>
      <w:pPr>
        <w:snapToGrid w:val="0"/>
        <w:spacing w:line="360" w:lineRule="auto"/>
        <w:rPr>
          <w:bCs/>
          <w:szCs w:val="21"/>
        </w:rPr>
      </w:pPr>
    </w:p>
    <w:p>
      <w:pPr>
        <w:snapToGrid w:val="0"/>
        <w:spacing w:line="360" w:lineRule="auto"/>
        <w:rPr>
          <w:szCs w:val="21"/>
        </w:rPr>
      </w:pPr>
      <w:r>
        <w:rPr>
          <w:bCs/>
          <w:szCs w:val="21"/>
        </w:rPr>
        <w:t>致：</w:t>
      </w:r>
      <w:r>
        <w:rPr>
          <w:szCs w:val="21"/>
          <w:u w:val="single"/>
        </w:rPr>
        <w:t>（采购单位名称</w:t>
      </w:r>
      <w:r>
        <w:rPr>
          <w:szCs w:val="21"/>
        </w:rPr>
        <w:t>）</w:t>
      </w:r>
    </w:p>
    <w:p>
      <w:pPr>
        <w:snapToGrid w:val="0"/>
        <w:spacing w:line="360" w:lineRule="auto"/>
        <w:ind w:firstLine="525" w:firstLineChars="250"/>
        <w:rPr>
          <w:szCs w:val="21"/>
          <w:u w:val="single"/>
        </w:rPr>
      </w:pPr>
      <w:r>
        <w:rPr>
          <w:szCs w:val="21"/>
        </w:rPr>
        <w:t>我</w:t>
      </w:r>
      <w:r>
        <w:rPr>
          <w:szCs w:val="21"/>
          <w:u w:val="single"/>
        </w:rPr>
        <w:t>（姓名）</w:t>
      </w:r>
      <w:r>
        <w:rPr>
          <w:szCs w:val="21"/>
        </w:rPr>
        <w:t>系</w:t>
      </w:r>
      <w:r>
        <w:rPr>
          <w:szCs w:val="21"/>
          <w:u w:val="single"/>
        </w:rPr>
        <w:t>（投标单位名称）</w:t>
      </w:r>
      <w:r>
        <w:rPr>
          <w:szCs w:val="21"/>
        </w:rPr>
        <w:t>的法定代表人，现授权委托本单位在职职工</w:t>
      </w:r>
      <w:r>
        <w:rPr>
          <w:szCs w:val="21"/>
          <w:u w:val="single"/>
        </w:rPr>
        <w:t>（姓名）</w:t>
      </w:r>
      <w:r>
        <w:rPr>
          <w:szCs w:val="21"/>
        </w:rPr>
        <w:t>以我方的名义参加</w:t>
      </w:r>
      <w:r>
        <w:rPr>
          <w:szCs w:val="21"/>
          <w:u w:val="single"/>
        </w:rPr>
        <w:t xml:space="preserve">         政府采购</w:t>
      </w:r>
      <w:r>
        <w:rPr>
          <w:szCs w:val="21"/>
        </w:rPr>
        <w:t>项目的投标活动，并代表我方全权办理针对上述项目的投标、开标、评标、签约等具体事务和签署相关文件。</w:t>
      </w:r>
    </w:p>
    <w:p>
      <w:pPr>
        <w:snapToGrid w:val="0"/>
        <w:spacing w:line="360" w:lineRule="auto"/>
        <w:ind w:firstLine="420" w:firstLineChars="200"/>
        <w:rPr>
          <w:szCs w:val="21"/>
          <w:u w:val="single"/>
        </w:rPr>
      </w:pPr>
      <w:r>
        <w:rPr>
          <w:szCs w:val="21"/>
        </w:rPr>
        <w:t>我方对被授权人的签名事项负全部责任。</w:t>
      </w:r>
    </w:p>
    <w:p>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pPr>
        <w:snapToGrid w:val="0"/>
        <w:spacing w:line="360" w:lineRule="auto"/>
        <w:ind w:firstLine="480"/>
        <w:rPr>
          <w:szCs w:val="21"/>
        </w:rPr>
      </w:pPr>
      <w:r>
        <w:rPr>
          <w:szCs w:val="21"/>
        </w:rPr>
        <w:t>被授权人无转委托权，特此委托。</w:t>
      </w:r>
    </w:p>
    <w:p>
      <w:pPr>
        <w:snapToGrid w:val="0"/>
        <w:spacing w:line="360" w:lineRule="auto"/>
        <w:rPr>
          <w:szCs w:val="21"/>
        </w:rPr>
      </w:pPr>
    </w:p>
    <w:p>
      <w:pPr>
        <w:snapToGrid w:val="0"/>
        <w:spacing w:line="360" w:lineRule="auto"/>
        <w:rPr>
          <w:szCs w:val="21"/>
        </w:rPr>
      </w:pPr>
    </w:p>
    <w:p>
      <w:pPr>
        <w:snapToGrid w:val="0"/>
        <w:spacing w:line="360" w:lineRule="auto"/>
        <w:rPr>
          <w:szCs w:val="21"/>
          <w:u w:val="single"/>
        </w:rPr>
      </w:pPr>
      <w:r>
        <w:rPr>
          <w:szCs w:val="21"/>
        </w:rPr>
        <w:t>被授权人签名：</w:t>
      </w:r>
      <w:r>
        <w:rPr>
          <w:szCs w:val="21"/>
          <w:u w:val="single"/>
        </w:rPr>
        <w:t xml:space="preserve">         </w:t>
      </w:r>
      <w:r>
        <w:rPr>
          <w:szCs w:val="21"/>
        </w:rPr>
        <w:t xml:space="preserve">           法定代表人签名</w:t>
      </w:r>
      <w:r>
        <w:rPr>
          <w:rFonts w:hint="eastAsia"/>
          <w:szCs w:val="21"/>
          <w:lang w:val="en-US" w:eastAsia="zh-CN"/>
        </w:rPr>
        <w:t>或盖章</w:t>
      </w:r>
      <w:r>
        <w:rPr>
          <w:szCs w:val="21"/>
        </w:rPr>
        <w:t>：</w:t>
      </w:r>
      <w:r>
        <w:rPr>
          <w:szCs w:val="21"/>
          <w:u w:val="single"/>
        </w:rPr>
        <w:t xml:space="preserve">         </w:t>
      </w:r>
    </w:p>
    <w:p>
      <w:pPr>
        <w:snapToGrid w:val="0"/>
        <w:spacing w:line="360" w:lineRule="auto"/>
        <w:ind w:firstLine="840" w:firstLineChars="400"/>
        <w:rPr>
          <w:szCs w:val="21"/>
        </w:rPr>
      </w:pPr>
      <w:r>
        <w:rPr>
          <w:szCs w:val="21"/>
        </w:rPr>
        <w:t>职务：</w:t>
      </w:r>
      <w:r>
        <w:rPr>
          <w:szCs w:val="21"/>
          <w:u w:val="single"/>
        </w:rPr>
        <w:t xml:space="preserve">         </w:t>
      </w:r>
      <w:r>
        <w:rPr>
          <w:szCs w:val="21"/>
        </w:rPr>
        <w:t xml:space="preserve">           职务：</w:t>
      </w:r>
      <w:r>
        <w:rPr>
          <w:szCs w:val="21"/>
          <w:u w:val="single"/>
        </w:rPr>
        <w:t xml:space="preserve">         </w:t>
      </w:r>
    </w:p>
    <w:p>
      <w:pPr>
        <w:snapToGrid w:val="0"/>
        <w:spacing w:line="360" w:lineRule="auto"/>
        <w:rPr>
          <w:szCs w:val="21"/>
        </w:rPr>
      </w:pPr>
      <w:r>
        <w:rPr>
          <w:szCs w:val="21"/>
        </w:rPr>
        <w:t>被授权人身份证号码：</w:t>
      </w:r>
      <w:r>
        <w:rPr>
          <w:szCs w:val="21"/>
          <w:u w:val="single"/>
        </w:rPr>
        <w:t xml:space="preserve">         </w:t>
      </w:r>
    </w:p>
    <w:p>
      <w:pPr>
        <w:snapToGrid w:val="0"/>
        <w:spacing w:line="360" w:lineRule="auto"/>
        <w:rPr>
          <w:szCs w:val="21"/>
        </w:rPr>
      </w:pPr>
    </w:p>
    <w:p>
      <w:pPr>
        <w:snapToGrid w:val="0"/>
        <w:spacing w:line="360" w:lineRule="auto"/>
        <w:rPr>
          <w:szCs w:val="21"/>
        </w:rPr>
      </w:pPr>
    </w:p>
    <w:p>
      <w:pPr>
        <w:snapToGrid w:val="0"/>
        <w:spacing w:line="360" w:lineRule="auto"/>
        <w:ind w:firstLine="4830" w:firstLineChars="2300"/>
        <w:rPr>
          <w:szCs w:val="21"/>
        </w:rPr>
      </w:pPr>
      <w:r>
        <w:rPr>
          <w:szCs w:val="21"/>
        </w:rPr>
        <w:t>投标单位公章：</w:t>
      </w:r>
    </w:p>
    <w:p>
      <w:pPr>
        <w:snapToGrid w:val="0"/>
        <w:spacing w:line="360" w:lineRule="auto"/>
        <w:ind w:firstLine="4830" w:firstLineChars="2300"/>
        <w:rPr>
          <w:szCs w:val="21"/>
        </w:rPr>
      </w:pPr>
    </w:p>
    <w:p>
      <w:pPr>
        <w:snapToGrid w:val="0"/>
        <w:spacing w:line="360" w:lineRule="auto"/>
        <w:jc w:val="center"/>
        <w:rPr>
          <w:szCs w:val="21"/>
        </w:rPr>
      </w:pPr>
      <w:r>
        <w:rPr>
          <w:szCs w:val="21"/>
        </w:rPr>
        <w:t xml:space="preserve">                年  月   日</w:t>
      </w:r>
    </w:p>
    <w:p>
      <w:pPr>
        <w:spacing w:line="360" w:lineRule="auto"/>
        <w:rPr>
          <w:b/>
          <w:szCs w:val="21"/>
        </w:rPr>
      </w:pPr>
    </w:p>
    <w:p>
      <w:pPr>
        <w:spacing w:line="360" w:lineRule="auto"/>
        <w:rPr>
          <w:b/>
          <w:szCs w:val="21"/>
        </w:rPr>
      </w:pPr>
    </w:p>
    <w:p>
      <w:pPr>
        <w:spacing w:line="360" w:lineRule="auto"/>
        <w:ind w:firstLine="103" w:firstLineChars="49"/>
        <w:rPr>
          <w:b/>
          <w:szCs w:val="21"/>
        </w:rPr>
      </w:pPr>
      <w:r>
        <w:rPr>
          <w:b/>
          <w:szCs w:val="21"/>
        </w:rPr>
        <w:t>附：法定代表人身份证复印件（正反面）、授权代表身份证复印件（正反面）、授权代表开标之日前</w:t>
      </w:r>
      <w:r>
        <w:rPr>
          <w:rFonts w:hint="eastAsia"/>
          <w:b/>
          <w:szCs w:val="21"/>
        </w:rPr>
        <w:t>近三个月任意一个月</w:t>
      </w:r>
      <w:r>
        <w:rPr>
          <w:b/>
          <w:szCs w:val="21"/>
        </w:rPr>
        <w:t>缴纳社保的证明材料，以上三项内容均须加盖公章。</w:t>
      </w:r>
    </w:p>
    <w:p>
      <w:pPr>
        <w:widowControl/>
        <w:jc w:val="left"/>
        <w:rPr>
          <w:b/>
          <w:szCs w:val="21"/>
        </w:rPr>
      </w:pPr>
      <w:r>
        <w:rPr>
          <w:b/>
          <w:szCs w:val="21"/>
        </w:rPr>
        <w:br w:type="page"/>
      </w:r>
      <w:bookmarkStart w:id="336" w:name="_Toc479927873"/>
      <w:bookmarkStart w:id="337" w:name="_Toc488936100"/>
      <w:bookmarkStart w:id="338" w:name="_Toc14746861"/>
      <w:bookmarkStart w:id="339" w:name="_Toc110393361"/>
      <w:bookmarkStart w:id="340" w:name="_Toc483379796"/>
      <w:bookmarkStart w:id="341" w:name="_Toc225223761"/>
    </w:p>
    <w:bookmarkEnd w:id="336"/>
    <w:bookmarkEnd w:id="337"/>
    <w:bookmarkEnd w:id="338"/>
    <w:bookmarkEnd w:id="339"/>
    <w:bookmarkEnd w:id="340"/>
    <w:bookmarkEnd w:id="341"/>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imes New Roman"/>
          <w:b/>
          <w:sz w:val="22"/>
          <w:szCs w:val="28"/>
          <w:lang w:val="en-US" w:eastAsia="zh-CN"/>
        </w:rPr>
      </w:pPr>
      <w:r>
        <w:rPr>
          <w:rFonts w:ascii="Times New Roman" w:hAnsi="Times New Roman" w:eastAsia="宋体" w:cs="Times New Roman"/>
          <w:b/>
          <w:sz w:val="22"/>
          <w:szCs w:val="28"/>
        </w:rPr>
        <w:t>格式</w:t>
      </w:r>
      <w:r>
        <w:rPr>
          <w:rFonts w:hint="eastAsia" w:cs="Times New Roman"/>
          <w:b/>
          <w:sz w:val="22"/>
          <w:szCs w:val="28"/>
          <w:lang w:val="en-US" w:eastAsia="zh-CN"/>
        </w:rPr>
        <w:t>五</w:t>
      </w:r>
    </w:p>
    <w:p>
      <w:pPr>
        <w:snapToGrid w:val="0"/>
        <w:spacing w:line="360" w:lineRule="auto"/>
        <w:jc w:val="center"/>
        <w:rPr>
          <w:b/>
          <w:sz w:val="22"/>
          <w:szCs w:val="20"/>
        </w:rPr>
      </w:pPr>
    </w:p>
    <w:p>
      <w:pPr>
        <w:spacing w:line="360" w:lineRule="auto"/>
        <w:jc w:val="center"/>
      </w:pPr>
      <w:r>
        <w:rPr>
          <w:b/>
          <w:sz w:val="24"/>
          <w:szCs w:val="21"/>
        </w:rPr>
        <w:t>技术条款偏离表</w:t>
      </w:r>
    </w:p>
    <w:p>
      <w:pPr>
        <w:snapToGrid w:val="0"/>
        <w:spacing w:line="360" w:lineRule="auto"/>
        <w:rPr>
          <w:sz w:val="24"/>
          <w:u w:val="single"/>
        </w:rPr>
      </w:pPr>
      <w:r>
        <w:rPr>
          <w:sz w:val="24"/>
        </w:rPr>
        <w:t>项目名称：</w:t>
      </w:r>
      <w:r>
        <w:rPr>
          <w:sz w:val="24"/>
          <w:u w:val="single"/>
        </w:rPr>
        <w:t xml:space="preserve">                </w:t>
      </w:r>
      <w:r>
        <w:rPr>
          <w:sz w:val="24"/>
        </w:rPr>
        <w:t>招标编号：</w:t>
      </w:r>
      <w:r>
        <w:rPr>
          <w:sz w:val="24"/>
          <w:u w:val="single"/>
        </w:rPr>
        <w:t xml:space="preserve">                </w:t>
      </w:r>
      <w:r>
        <w:rPr>
          <w:sz w:val="24"/>
        </w:rPr>
        <w:t xml:space="preserve"> </w:t>
      </w:r>
      <w:r>
        <w:rPr>
          <w:rFonts w:hint="eastAsia"/>
          <w:sz w:val="24"/>
          <w:lang w:eastAsia="zh-CN"/>
        </w:rPr>
        <w:t>标项</w:t>
      </w:r>
      <w:r>
        <w:rPr>
          <w:sz w:val="24"/>
        </w:rPr>
        <w:t>：</w:t>
      </w:r>
      <w:r>
        <w:rPr>
          <w:sz w:val="24"/>
          <w:u w:val="single"/>
        </w:rPr>
        <w:t xml:space="preserve">           </w:t>
      </w:r>
    </w:p>
    <w:tbl>
      <w:tblPr>
        <w:tblStyle w:val="48"/>
        <w:tblW w:w="90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098"/>
        <w:gridCol w:w="2694"/>
        <w:gridCol w:w="23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vAlign w:val="center"/>
          </w:tcPr>
          <w:p>
            <w:pPr>
              <w:pStyle w:val="25"/>
              <w:spacing w:beforeLines="0" w:afterLines="0"/>
              <w:jc w:val="center"/>
              <w:rPr>
                <w:rFonts w:ascii="Times New Roman"/>
                <w:sz w:val="21"/>
                <w:szCs w:val="24"/>
              </w:rPr>
            </w:pPr>
            <w:r>
              <w:rPr>
                <w:rFonts w:ascii="Times New Roman"/>
                <w:sz w:val="21"/>
                <w:szCs w:val="24"/>
              </w:rPr>
              <w:t>序号</w:t>
            </w:r>
          </w:p>
        </w:tc>
        <w:tc>
          <w:tcPr>
            <w:tcW w:w="3098" w:type="dxa"/>
            <w:vAlign w:val="center"/>
          </w:tcPr>
          <w:p>
            <w:pPr>
              <w:pStyle w:val="25"/>
              <w:spacing w:beforeLines="0" w:afterLines="0"/>
              <w:ind w:firstLine="474"/>
              <w:jc w:val="both"/>
              <w:rPr>
                <w:rFonts w:ascii="Times New Roman"/>
                <w:sz w:val="21"/>
                <w:szCs w:val="24"/>
              </w:rPr>
            </w:pPr>
            <w:r>
              <w:rPr>
                <w:rFonts w:ascii="Times New Roman"/>
                <w:sz w:val="21"/>
                <w:szCs w:val="24"/>
              </w:rPr>
              <w:t>招标文件的</w:t>
            </w:r>
            <w:r>
              <w:rPr>
                <w:rFonts w:hint="eastAsia" w:ascii="Times New Roman"/>
                <w:sz w:val="21"/>
                <w:szCs w:val="24"/>
              </w:rPr>
              <w:t>技术</w:t>
            </w:r>
            <w:r>
              <w:rPr>
                <w:rFonts w:ascii="Times New Roman"/>
                <w:sz w:val="21"/>
                <w:szCs w:val="24"/>
              </w:rPr>
              <w:t>条款</w:t>
            </w:r>
          </w:p>
        </w:tc>
        <w:tc>
          <w:tcPr>
            <w:tcW w:w="2694" w:type="dxa"/>
            <w:vAlign w:val="center"/>
          </w:tcPr>
          <w:p>
            <w:pPr>
              <w:pStyle w:val="25"/>
              <w:spacing w:beforeLines="0" w:afterLines="0"/>
              <w:ind w:firstLine="210" w:firstLineChars="100"/>
              <w:jc w:val="both"/>
              <w:rPr>
                <w:rFonts w:ascii="Times New Roman"/>
                <w:sz w:val="21"/>
                <w:szCs w:val="24"/>
              </w:rPr>
            </w:pPr>
            <w:r>
              <w:rPr>
                <w:rFonts w:ascii="Times New Roman"/>
                <w:sz w:val="21"/>
                <w:szCs w:val="24"/>
              </w:rPr>
              <w:t>投标文件的</w:t>
            </w:r>
            <w:r>
              <w:rPr>
                <w:rFonts w:hint="eastAsia" w:ascii="Times New Roman"/>
                <w:sz w:val="21"/>
                <w:szCs w:val="24"/>
              </w:rPr>
              <w:t>技术</w:t>
            </w:r>
            <w:r>
              <w:rPr>
                <w:rFonts w:ascii="Times New Roman"/>
                <w:sz w:val="21"/>
                <w:szCs w:val="24"/>
              </w:rPr>
              <w:t>条款</w:t>
            </w:r>
          </w:p>
        </w:tc>
        <w:tc>
          <w:tcPr>
            <w:tcW w:w="2355" w:type="dxa"/>
            <w:vAlign w:val="center"/>
          </w:tcPr>
          <w:p>
            <w:pPr>
              <w:pStyle w:val="25"/>
              <w:spacing w:beforeLines="0" w:afterLines="0"/>
              <w:jc w:val="center"/>
              <w:rPr>
                <w:rFonts w:ascii="Times New Roman"/>
                <w:sz w:val="21"/>
                <w:szCs w:val="24"/>
              </w:rPr>
            </w:pPr>
            <w:r>
              <w:rPr>
                <w:rFonts w:ascii="Times New Roman"/>
                <w:sz w:val="21"/>
                <w:szCs w:val="24"/>
              </w:rPr>
              <w:t>说明</w:t>
            </w:r>
          </w:p>
          <w:p>
            <w:pPr>
              <w:pStyle w:val="25"/>
              <w:spacing w:beforeLines="0" w:afterLines="0"/>
              <w:jc w:val="center"/>
              <w:rPr>
                <w:rFonts w:ascii="Times New Roman"/>
                <w:sz w:val="21"/>
                <w:szCs w:val="24"/>
              </w:rPr>
            </w:pPr>
            <w:r>
              <w:rPr>
                <w:rFonts w:ascii="Times New Roman"/>
                <w:sz w:val="21"/>
                <w:szCs w:val="24"/>
              </w:rPr>
              <w:t>（填写：正偏离/负偏离/响应）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bl>
    <w:p>
      <w:pPr>
        <w:pStyle w:val="2"/>
      </w:pPr>
    </w:p>
    <w:p>
      <w:pPr>
        <w:widowControl/>
        <w:spacing w:line="360" w:lineRule="auto"/>
        <w:jc w:val="left"/>
        <w:rPr>
          <w:szCs w:val="21"/>
        </w:rPr>
      </w:pPr>
      <w:r>
        <w:rPr>
          <w:szCs w:val="21"/>
        </w:rPr>
        <w:t>投 标 人（盖章）：</w:t>
      </w:r>
    </w:p>
    <w:p>
      <w:pPr>
        <w:pStyle w:val="20"/>
        <w:snapToGrid w:val="0"/>
        <w:spacing w:line="360" w:lineRule="auto"/>
        <w:ind w:firstLine="0"/>
        <w:rPr>
          <w:rFonts w:ascii="Times New Roman"/>
          <w:spacing w:val="0"/>
          <w:sz w:val="21"/>
          <w:szCs w:val="21"/>
        </w:rPr>
      </w:pPr>
      <w:r>
        <w:rPr>
          <w:rFonts w:ascii="Times New Roman"/>
          <w:spacing w:val="0"/>
          <w:sz w:val="21"/>
          <w:szCs w:val="21"/>
        </w:rPr>
        <w:t>法定代表人或其授权代表（签字或盖章）：</w:t>
      </w:r>
    </w:p>
    <w:p>
      <w:pPr>
        <w:snapToGrid w:val="0"/>
        <w:spacing w:before="120" w:beforeLines="50" w:after="120" w:afterLines="50" w:line="360" w:lineRule="auto"/>
        <w:jc w:val="left"/>
        <w:rPr>
          <w:szCs w:val="21"/>
        </w:rPr>
        <w:sectPr>
          <w:footerReference r:id="rId5" w:type="default"/>
          <w:pgSz w:w="11907" w:h="16840"/>
          <w:pgMar w:top="1276" w:right="1474" w:bottom="1242" w:left="1474" w:header="851" w:footer="851" w:gutter="0"/>
          <w:pgNumType w:fmt="decimal" w:start="1"/>
          <w:cols w:space="720" w:num="1"/>
          <w:docGrid w:linePitch="312" w:charSpace="0"/>
        </w:sectPr>
      </w:pPr>
      <w:r>
        <w:rPr>
          <w:szCs w:val="21"/>
        </w:rPr>
        <w:t>日            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imes New Roman"/>
          <w:b/>
          <w:sz w:val="22"/>
          <w:szCs w:val="28"/>
          <w:lang w:val="en-US" w:eastAsia="zh-CN"/>
        </w:rPr>
      </w:pPr>
      <w:r>
        <w:rPr>
          <w:rFonts w:ascii="Times New Roman" w:hAnsi="Times New Roman" w:eastAsia="宋体" w:cs="Times New Roman"/>
          <w:b/>
          <w:sz w:val="22"/>
          <w:szCs w:val="28"/>
        </w:rPr>
        <w:t>格式</w:t>
      </w:r>
      <w:r>
        <w:rPr>
          <w:rFonts w:hint="eastAsia" w:cs="Times New Roman"/>
          <w:b/>
          <w:sz w:val="22"/>
          <w:szCs w:val="28"/>
          <w:lang w:val="en-US" w:eastAsia="zh-CN"/>
        </w:rPr>
        <w:t>六</w:t>
      </w:r>
    </w:p>
    <w:p>
      <w:pPr>
        <w:spacing w:line="360" w:lineRule="auto"/>
        <w:jc w:val="center"/>
        <w:rPr>
          <w:b/>
          <w:sz w:val="24"/>
          <w:szCs w:val="21"/>
        </w:rPr>
      </w:pPr>
      <w:r>
        <w:rPr>
          <w:b/>
          <w:sz w:val="24"/>
          <w:szCs w:val="21"/>
        </w:rPr>
        <w:t>商务条款偏离表</w:t>
      </w:r>
    </w:p>
    <w:p>
      <w:pPr>
        <w:spacing w:line="360" w:lineRule="auto"/>
        <w:ind w:firstLine="3089"/>
        <w:rPr>
          <w:b/>
          <w:sz w:val="24"/>
          <w:szCs w:val="21"/>
        </w:rPr>
      </w:pPr>
    </w:p>
    <w:p>
      <w:pPr>
        <w:spacing w:after="120" w:afterLines="50" w:line="360" w:lineRule="auto"/>
        <w:rPr>
          <w:sz w:val="24"/>
        </w:rPr>
      </w:pPr>
      <w:r>
        <w:rPr>
          <w:sz w:val="24"/>
        </w:rPr>
        <w:t>项目名称：</w:t>
      </w:r>
      <w:r>
        <w:rPr>
          <w:sz w:val="24"/>
          <w:u w:val="single"/>
        </w:rPr>
        <w:t xml:space="preserve">                </w:t>
      </w:r>
      <w:r>
        <w:rPr>
          <w:sz w:val="24"/>
        </w:rPr>
        <w:t>招标编号：</w:t>
      </w:r>
      <w:r>
        <w:rPr>
          <w:sz w:val="24"/>
          <w:u w:val="single"/>
        </w:rPr>
        <w:t xml:space="preserve">                </w:t>
      </w:r>
      <w:r>
        <w:rPr>
          <w:sz w:val="24"/>
        </w:rPr>
        <w:t xml:space="preserve"> </w:t>
      </w:r>
      <w:r>
        <w:rPr>
          <w:rFonts w:hint="eastAsia"/>
          <w:sz w:val="24"/>
          <w:lang w:eastAsia="zh-CN"/>
        </w:rPr>
        <w:t>标项</w:t>
      </w:r>
      <w:r>
        <w:rPr>
          <w:sz w:val="24"/>
        </w:rPr>
        <w:t>：</w:t>
      </w:r>
      <w:r>
        <w:rPr>
          <w:sz w:val="24"/>
          <w:u w:val="single"/>
        </w:rPr>
        <w:t xml:space="preserve">            </w:t>
      </w:r>
    </w:p>
    <w:tbl>
      <w:tblPr>
        <w:tblStyle w:val="48"/>
        <w:tblW w:w="90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098"/>
        <w:gridCol w:w="2694"/>
        <w:gridCol w:w="23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vAlign w:val="center"/>
          </w:tcPr>
          <w:p>
            <w:pPr>
              <w:pStyle w:val="25"/>
              <w:spacing w:beforeLines="0" w:afterLines="0"/>
              <w:jc w:val="center"/>
              <w:rPr>
                <w:rFonts w:ascii="Times New Roman"/>
                <w:sz w:val="21"/>
                <w:szCs w:val="24"/>
              </w:rPr>
            </w:pPr>
            <w:r>
              <w:rPr>
                <w:rFonts w:ascii="Times New Roman"/>
                <w:sz w:val="21"/>
                <w:szCs w:val="24"/>
              </w:rPr>
              <w:t>序号</w:t>
            </w:r>
          </w:p>
        </w:tc>
        <w:tc>
          <w:tcPr>
            <w:tcW w:w="3098" w:type="dxa"/>
            <w:vAlign w:val="center"/>
          </w:tcPr>
          <w:p>
            <w:pPr>
              <w:pStyle w:val="25"/>
              <w:spacing w:beforeLines="0" w:afterLines="0"/>
              <w:ind w:firstLine="474"/>
              <w:jc w:val="both"/>
              <w:rPr>
                <w:rFonts w:ascii="Times New Roman"/>
                <w:sz w:val="21"/>
                <w:szCs w:val="24"/>
              </w:rPr>
            </w:pPr>
            <w:r>
              <w:rPr>
                <w:rFonts w:ascii="Times New Roman"/>
                <w:sz w:val="21"/>
                <w:szCs w:val="24"/>
              </w:rPr>
              <w:t>招标文件的商务条款</w:t>
            </w:r>
          </w:p>
        </w:tc>
        <w:tc>
          <w:tcPr>
            <w:tcW w:w="2694" w:type="dxa"/>
            <w:vAlign w:val="center"/>
          </w:tcPr>
          <w:p>
            <w:pPr>
              <w:pStyle w:val="25"/>
              <w:spacing w:beforeLines="0" w:afterLines="0"/>
              <w:ind w:firstLine="210" w:firstLineChars="100"/>
              <w:jc w:val="both"/>
              <w:rPr>
                <w:rFonts w:ascii="Times New Roman"/>
                <w:sz w:val="21"/>
                <w:szCs w:val="24"/>
              </w:rPr>
            </w:pPr>
            <w:r>
              <w:rPr>
                <w:rFonts w:ascii="Times New Roman"/>
                <w:sz w:val="21"/>
                <w:szCs w:val="24"/>
              </w:rPr>
              <w:t>投标文件的商务条款</w:t>
            </w:r>
          </w:p>
        </w:tc>
        <w:tc>
          <w:tcPr>
            <w:tcW w:w="2355" w:type="dxa"/>
            <w:vAlign w:val="center"/>
          </w:tcPr>
          <w:p>
            <w:pPr>
              <w:pStyle w:val="25"/>
              <w:spacing w:beforeLines="0" w:afterLines="0"/>
              <w:jc w:val="center"/>
              <w:rPr>
                <w:rFonts w:ascii="Times New Roman"/>
                <w:sz w:val="21"/>
                <w:szCs w:val="24"/>
              </w:rPr>
            </w:pPr>
            <w:r>
              <w:rPr>
                <w:rFonts w:ascii="Times New Roman"/>
                <w:sz w:val="21"/>
                <w:szCs w:val="24"/>
              </w:rPr>
              <w:t>说明</w:t>
            </w:r>
          </w:p>
          <w:p>
            <w:pPr>
              <w:pStyle w:val="25"/>
              <w:spacing w:beforeLines="0" w:afterLines="0"/>
              <w:jc w:val="center"/>
              <w:rPr>
                <w:rFonts w:ascii="Times New Roman"/>
                <w:sz w:val="21"/>
                <w:szCs w:val="24"/>
              </w:rPr>
            </w:pPr>
            <w:r>
              <w:rPr>
                <w:rFonts w:ascii="Times New Roman"/>
                <w:sz w:val="21"/>
                <w:szCs w:val="24"/>
              </w:rPr>
              <w:t>（填写：正偏离/负偏离/响应）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vAlign w:val="center"/>
          </w:tcPr>
          <w:p>
            <w:pPr>
              <w:pStyle w:val="25"/>
              <w:snapToGrid w:val="0"/>
              <w:spacing w:before="120" w:beforeLines="0" w:after="120" w:afterLines="0"/>
              <w:ind w:firstLine="542"/>
              <w:rPr>
                <w:rFonts w:ascii="Times New Roman"/>
                <w:u w:val="single"/>
              </w:rPr>
            </w:pPr>
          </w:p>
        </w:tc>
        <w:tc>
          <w:tcPr>
            <w:tcW w:w="3098" w:type="dxa"/>
            <w:vAlign w:val="center"/>
          </w:tcPr>
          <w:p>
            <w:pPr>
              <w:pStyle w:val="25"/>
              <w:snapToGrid w:val="0"/>
              <w:spacing w:before="120" w:beforeLines="0" w:after="120" w:afterLines="0"/>
              <w:ind w:firstLine="542"/>
              <w:rPr>
                <w:rFonts w:ascii="Times New Roman"/>
                <w:u w:val="single"/>
              </w:rPr>
            </w:pPr>
          </w:p>
        </w:tc>
        <w:tc>
          <w:tcPr>
            <w:tcW w:w="2694" w:type="dxa"/>
            <w:vAlign w:val="center"/>
          </w:tcPr>
          <w:p>
            <w:pPr>
              <w:pStyle w:val="25"/>
              <w:snapToGrid w:val="0"/>
              <w:spacing w:before="120" w:beforeLines="0" w:after="120" w:afterLines="0"/>
              <w:ind w:firstLine="542"/>
              <w:rPr>
                <w:rFonts w:ascii="Times New Roman"/>
                <w:u w:val="single"/>
              </w:rPr>
            </w:pPr>
          </w:p>
        </w:tc>
        <w:tc>
          <w:tcPr>
            <w:tcW w:w="2355" w:type="dxa"/>
            <w:vAlign w:val="center"/>
          </w:tcPr>
          <w:p>
            <w:pPr>
              <w:pStyle w:val="25"/>
              <w:snapToGrid w:val="0"/>
              <w:spacing w:before="120" w:beforeLines="0" w:after="120" w:afterLines="0"/>
              <w:ind w:firstLine="542"/>
              <w:rPr>
                <w:rFonts w:ascii="Times New Roman"/>
                <w:u w:val="single"/>
              </w:rPr>
            </w:pPr>
          </w:p>
        </w:tc>
      </w:tr>
    </w:tbl>
    <w:p>
      <w:pPr>
        <w:rPr>
          <w:rFonts w:hint="eastAsia"/>
        </w:rPr>
      </w:pPr>
    </w:p>
    <w:p>
      <w:pPr>
        <w:widowControl/>
        <w:spacing w:line="360" w:lineRule="auto"/>
        <w:jc w:val="left"/>
        <w:rPr>
          <w:sz w:val="24"/>
        </w:rPr>
      </w:pPr>
    </w:p>
    <w:p>
      <w:pPr>
        <w:widowControl/>
        <w:spacing w:line="360" w:lineRule="auto"/>
        <w:jc w:val="left"/>
        <w:rPr>
          <w:szCs w:val="21"/>
        </w:rPr>
      </w:pPr>
      <w:r>
        <w:rPr>
          <w:szCs w:val="21"/>
        </w:rPr>
        <w:t>投 标 人（盖章）：</w:t>
      </w:r>
    </w:p>
    <w:p>
      <w:pPr>
        <w:pStyle w:val="20"/>
        <w:snapToGrid w:val="0"/>
        <w:spacing w:line="360" w:lineRule="auto"/>
        <w:ind w:firstLine="0"/>
        <w:rPr>
          <w:rFonts w:ascii="Times New Roman"/>
          <w:spacing w:val="0"/>
          <w:sz w:val="21"/>
          <w:szCs w:val="21"/>
        </w:rPr>
      </w:pPr>
      <w:r>
        <w:rPr>
          <w:rFonts w:ascii="Times New Roman"/>
          <w:spacing w:val="0"/>
          <w:sz w:val="21"/>
          <w:szCs w:val="21"/>
        </w:rPr>
        <w:t>法定代表人或其授权代表（签字或盖章）：</w:t>
      </w:r>
    </w:p>
    <w:p>
      <w:pPr>
        <w:pStyle w:val="20"/>
        <w:spacing w:line="360" w:lineRule="auto"/>
        <w:ind w:left="420" w:hanging="420" w:hangingChars="200"/>
        <w:rPr>
          <w:rFonts w:ascii="Times New Roman"/>
          <w:sz w:val="21"/>
          <w:szCs w:val="21"/>
        </w:rPr>
      </w:pPr>
      <w:r>
        <w:rPr>
          <w:rFonts w:ascii="Times New Roman"/>
          <w:spacing w:val="0"/>
          <w:sz w:val="21"/>
          <w:szCs w:val="21"/>
        </w:rPr>
        <w:t>日            期：</w:t>
      </w:r>
    </w:p>
    <w:p>
      <w:pPr>
        <w:widowControl/>
        <w:spacing w:line="360" w:lineRule="auto"/>
        <w:jc w:val="left"/>
        <w:rPr>
          <w:sz w:val="24"/>
        </w:rPr>
      </w:pPr>
    </w:p>
    <w:p>
      <w:pPr>
        <w:widowControl/>
        <w:jc w:val="left"/>
        <w:outlineLvl w:val="1"/>
        <w:rPr>
          <w:sz w:val="24"/>
        </w:rPr>
      </w:pPr>
      <w:r>
        <w:rPr>
          <w:sz w:val="24"/>
        </w:rPr>
        <w:br w:type="page"/>
      </w:r>
      <w:bookmarkStart w:id="342" w:name="_Toc146297144"/>
      <w:bookmarkStart w:id="343" w:name="_Toc103878849"/>
      <w:bookmarkStart w:id="344" w:name="_Toc460857953"/>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cs="Times New Roman"/>
          <w:b/>
          <w:sz w:val="22"/>
          <w:szCs w:val="28"/>
          <w:lang w:val="en-US" w:eastAsia="zh-CN"/>
        </w:rPr>
      </w:pPr>
      <w:r>
        <w:rPr>
          <w:rFonts w:ascii="Times New Roman" w:hAnsi="Times New Roman" w:eastAsia="宋体" w:cs="Times New Roman"/>
          <w:b/>
          <w:sz w:val="22"/>
          <w:szCs w:val="28"/>
        </w:rPr>
        <w:t>格式</w:t>
      </w:r>
      <w:r>
        <w:rPr>
          <w:rFonts w:hint="eastAsia" w:cs="Times New Roman"/>
          <w:b/>
          <w:sz w:val="22"/>
          <w:szCs w:val="28"/>
          <w:lang w:val="en-US" w:eastAsia="zh-CN"/>
        </w:rPr>
        <w:t>七</w:t>
      </w:r>
    </w:p>
    <w:p>
      <w:pPr>
        <w:spacing w:before="120" w:after="120"/>
        <w:jc w:val="center"/>
        <w:rPr>
          <w:b/>
          <w:bCs/>
          <w:spacing w:val="20"/>
          <w:sz w:val="24"/>
        </w:rPr>
      </w:pPr>
      <w:r>
        <w:rPr>
          <w:rFonts w:hint="eastAsia"/>
          <w:b/>
          <w:bCs/>
          <w:spacing w:val="20"/>
          <w:sz w:val="24"/>
          <w:lang w:val="en-US" w:eastAsia="zh-CN"/>
        </w:rPr>
        <w:t>同类</w:t>
      </w:r>
      <w:r>
        <w:rPr>
          <w:b/>
          <w:bCs/>
          <w:spacing w:val="20"/>
          <w:sz w:val="24"/>
        </w:rPr>
        <w:t>项目业绩</w:t>
      </w:r>
    </w:p>
    <w:p>
      <w:pPr>
        <w:rPr>
          <w:rFonts w:eastAsia="华文细黑"/>
          <w:sz w:val="28"/>
        </w:rPr>
      </w:pPr>
    </w:p>
    <w:p>
      <w:pPr>
        <w:spacing w:line="360" w:lineRule="auto"/>
        <w:rPr>
          <w:szCs w:val="21"/>
        </w:rPr>
      </w:pPr>
      <w:r>
        <w:rPr>
          <w:szCs w:val="21"/>
        </w:rPr>
        <w:t>项目名称：</w:t>
      </w:r>
      <w:r>
        <w:rPr>
          <w:szCs w:val="21"/>
          <w:u w:val="single"/>
        </w:rPr>
        <w:t xml:space="preserve">              </w:t>
      </w:r>
      <w:r>
        <w:rPr>
          <w:szCs w:val="21"/>
        </w:rPr>
        <w:t xml:space="preserve"> 招标编号：</w:t>
      </w:r>
      <w:r>
        <w:rPr>
          <w:szCs w:val="21"/>
          <w:u w:val="single"/>
        </w:rPr>
        <w:t xml:space="preserve">             </w:t>
      </w:r>
      <w:r>
        <w:rPr>
          <w:szCs w:val="21"/>
        </w:rPr>
        <w:t xml:space="preserve"> </w:t>
      </w:r>
      <w:r>
        <w:rPr>
          <w:rFonts w:hint="eastAsia"/>
          <w:szCs w:val="21"/>
          <w:lang w:eastAsia="zh-CN"/>
        </w:rPr>
        <w:t>标项</w:t>
      </w:r>
      <w:r>
        <w:rPr>
          <w:szCs w:val="21"/>
        </w:rPr>
        <w:t>：</w:t>
      </w:r>
      <w:r>
        <w:rPr>
          <w:szCs w:val="21"/>
          <w:u w:val="single"/>
        </w:rPr>
        <w:t xml:space="preserve">               </w:t>
      </w:r>
    </w:p>
    <w:tbl>
      <w:tblPr>
        <w:tblStyle w:val="48"/>
        <w:tblW w:w="0" w:type="auto"/>
        <w:tblInd w:w="-1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81"/>
        <w:gridCol w:w="178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581" w:type="dxa"/>
            <w:tcBorders>
              <w:top w:val="single" w:color="auto" w:sz="4" w:space="0"/>
              <w:bottom w:val="single" w:color="auto" w:sz="4" w:space="0"/>
            </w:tcBorders>
            <w:tcMar>
              <w:left w:w="0" w:type="dxa"/>
              <w:right w:w="0" w:type="dxa"/>
            </w:tcMar>
            <w:vAlign w:val="center"/>
          </w:tcPr>
          <w:p>
            <w:pPr>
              <w:spacing w:line="0" w:lineRule="atLeast"/>
              <w:ind w:left="-115" w:right="-107"/>
              <w:jc w:val="center"/>
              <w:rPr>
                <w:szCs w:val="21"/>
              </w:rPr>
            </w:pPr>
            <w:r>
              <w:rPr>
                <w:szCs w:val="21"/>
              </w:rPr>
              <w:t>序号</w:t>
            </w:r>
          </w:p>
        </w:tc>
        <w:tc>
          <w:tcPr>
            <w:tcW w:w="1782" w:type="dxa"/>
            <w:tcBorders>
              <w:top w:val="single" w:color="auto" w:sz="4" w:space="0"/>
              <w:bottom w:val="single" w:color="auto" w:sz="4" w:space="0"/>
            </w:tcBorders>
            <w:tcMar>
              <w:left w:w="0" w:type="dxa"/>
              <w:right w:w="0" w:type="dxa"/>
            </w:tcMar>
            <w:vAlign w:val="center"/>
          </w:tcPr>
          <w:p>
            <w:pPr>
              <w:spacing w:line="0" w:lineRule="atLeast"/>
              <w:jc w:val="center"/>
              <w:rPr>
                <w:szCs w:val="21"/>
              </w:rPr>
            </w:pPr>
            <w:r>
              <w:rPr>
                <w:szCs w:val="21"/>
              </w:rPr>
              <w:t>项目名称</w:t>
            </w:r>
          </w:p>
        </w:tc>
        <w:tc>
          <w:tcPr>
            <w:tcW w:w="2028" w:type="dxa"/>
            <w:tcBorders>
              <w:top w:val="single" w:color="auto" w:sz="4" w:space="0"/>
              <w:bottom w:val="single" w:color="auto" w:sz="4" w:space="0"/>
            </w:tcBorders>
            <w:tcMar>
              <w:left w:w="0" w:type="dxa"/>
              <w:right w:w="0" w:type="dxa"/>
            </w:tcMar>
            <w:vAlign w:val="center"/>
          </w:tcPr>
          <w:p>
            <w:pPr>
              <w:spacing w:line="0" w:lineRule="atLeast"/>
              <w:ind w:left="-115" w:right="-107"/>
              <w:jc w:val="center"/>
              <w:rPr>
                <w:szCs w:val="21"/>
              </w:rPr>
            </w:pPr>
            <w:r>
              <w:rPr>
                <w:szCs w:val="21"/>
              </w:rPr>
              <w:t>用户名称</w:t>
            </w:r>
          </w:p>
        </w:tc>
        <w:tc>
          <w:tcPr>
            <w:tcW w:w="1143" w:type="dxa"/>
            <w:tcBorders>
              <w:top w:val="single" w:color="auto" w:sz="4" w:space="0"/>
              <w:bottom w:val="single" w:color="auto" w:sz="4" w:space="0"/>
            </w:tcBorders>
            <w:tcMar>
              <w:left w:w="0" w:type="dxa"/>
              <w:right w:w="0" w:type="dxa"/>
            </w:tcMar>
            <w:vAlign w:val="center"/>
          </w:tcPr>
          <w:p>
            <w:pPr>
              <w:spacing w:line="0" w:lineRule="atLeast"/>
              <w:ind w:left="-115" w:right="-107"/>
              <w:jc w:val="center"/>
              <w:rPr>
                <w:szCs w:val="21"/>
              </w:rPr>
            </w:pPr>
            <w:r>
              <w:rPr>
                <w:szCs w:val="21"/>
              </w:rPr>
              <w:t>合同金额</w:t>
            </w:r>
          </w:p>
        </w:tc>
        <w:tc>
          <w:tcPr>
            <w:tcW w:w="1260" w:type="dxa"/>
            <w:tcBorders>
              <w:top w:val="single" w:color="auto" w:sz="4" w:space="0"/>
              <w:bottom w:val="single" w:color="auto" w:sz="4" w:space="0"/>
            </w:tcBorders>
            <w:tcMar>
              <w:left w:w="0" w:type="dxa"/>
              <w:right w:w="0" w:type="dxa"/>
            </w:tcMar>
            <w:vAlign w:val="center"/>
          </w:tcPr>
          <w:p>
            <w:pPr>
              <w:spacing w:line="0" w:lineRule="atLeast"/>
              <w:ind w:left="-115" w:right="-107"/>
              <w:jc w:val="center"/>
              <w:rPr>
                <w:szCs w:val="21"/>
              </w:rPr>
            </w:pPr>
            <w:r>
              <w:rPr>
                <w:szCs w:val="21"/>
              </w:rPr>
              <w:t>合同签订时间</w:t>
            </w:r>
          </w:p>
        </w:tc>
        <w:tc>
          <w:tcPr>
            <w:tcW w:w="2052" w:type="dxa"/>
            <w:tcBorders>
              <w:top w:val="single" w:color="auto" w:sz="4" w:space="0"/>
              <w:bottom w:val="single" w:color="auto" w:sz="4" w:space="0"/>
            </w:tcBorders>
            <w:tcMar>
              <w:left w:w="0" w:type="dxa"/>
              <w:right w:w="0" w:type="dxa"/>
            </w:tcMar>
            <w:vAlign w:val="center"/>
          </w:tcPr>
          <w:p>
            <w:pPr>
              <w:spacing w:line="0" w:lineRule="atLeast"/>
              <w:ind w:left="-115" w:right="-107"/>
              <w:jc w:val="center"/>
              <w:rPr>
                <w:szCs w:val="21"/>
              </w:rPr>
            </w:pPr>
            <w:r>
              <w:rPr>
                <w:szCs w:val="21"/>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81" w:type="dxa"/>
            <w:tcBorders>
              <w:top w:val="single" w:color="auto" w:sz="4" w:space="0"/>
            </w:tcBorders>
            <w:tcMar>
              <w:left w:w="0" w:type="dxa"/>
              <w:right w:w="0" w:type="dxa"/>
            </w:tcMar>
            <w:vAlign w:val="center"/>
          </w:tcPr>
          <w:p>
            <w:pPr>
              <w:spacing w:line="0" w:lineRule="atLeast"/>
              <w:jc w:val="center"/>
              <w:rPr>
                <w:rFonts w:eastAsia="仿宋_GB2312"/>
                <w:szCs w:val="21"/>
              </w:rPr>
            </w:pPr>
          </w:p>
        </w:tc>
        <w:tc>
          <w:tcPr>
            <w:tcW w:w="1782" w:type="dxa"/>
            <w:tcBorders>
              <w:top w:val="single" w:color="auto" w:sz="4" w:space="0"/>
            </w:tcBorders>
            <w:tcMar>
              <w:left w:w="0" w:type="dxa"/>
              <w:right w:w="0" w:type="dxa"/>
            </w:tcMar>
            <w:vAlign w:val="center"/>
          </w:tcPr>
          <w:p>
            <w:pPr>
              <w:spacing w:line="0" w:lineRule="atLeast"/>
              <w:jc w:val="center"/>
              <w:rPr>
                <w:rFonts w:eastAsia="仿宋_GB2312"/>
                <w:szCs w:val="21"/>
              </w:rPr>
            </w:pPr>
          </w:p>
        </w:tc>
        <w:tc>
          <w:tcPr>
            <w:tcW w:w="2028" w:type="dxa"/>
            <w:tcBorders>
              <w:top w:val="single" w:color="auto" w:sz="4" w:space="0"/>
            </w:tcBorders>
            <w:tcMar>
              <w:left w:w="0" w:type="dxa"/>
              <w:right w:w="0" w:type="dxa"/>
            </w:tcMar>
            <w:vAlign w:val="center"/>
          </w:tcPr>
          <w:p>
            <w:pPr>
              <w:spacing w:line="0" w:lineRule="atLeast"/>
              <w:jc w:val="center"/>
              <w:rPr>
                <w:rFonts w:eastAsia="仿宋_GB2312"/>
                <w:szCs w:val="21"/>
              </w:rPr>
            </w:pPr>
          </w:p>
        </w:tc>
        <w:tc>
          <w:tcPr>
            <w:tcW w:w="1143" w:type="dxa"/>
            <w:tcBorders>
              <w:top w:val="single" w:color="auto" w:sz="4" w:space="0"/>
            </w:tcBorders>
            <w:tcMar>
              <w:left w:w="0" w:type="dxa"/>
              <w:right w:w="0" w:type="dxa"/>
            </w:tcMar>
            <w:vAlign w:val="center"/>
          </w:tcPr>
          <w:p>
            <w:pPr>
              <w:spacing w:line="0" w:lineRule="atLeast"/>
              <w:jc w:val="center"/>
              <w:rPr>
                <w:rFonts w:eastAsia="仿宋_GB2312"/>
                <w:szCs w:val="21"/>
              </w:rPr>
            </w:pPr>
          </w:p>
        </w:tc>
        <w:tc>
          <w:tcPr>
            <w:tcW w:w="1260" w:type="dxa"/>
            <w:tcBorders>
              <w:top w:val="single" w:color="auto" w:sz="4" w:space="0"/>
            </w:tcBorders>
            <w:tcMar>
              <w:left w:w="0" w:type="dxa"/>
              <w:right w:w="0" w:type="dxa"/>
            </w:tcMar>
            <w:vAlign w:val="center"/>
          </w:tcPr>
          <w:p>
            <w:pPr>
              <w:spacing w:line="0" w:lineRule="atLeast"/>
              <w:jc w:val="center"/>
              <w:rPr>
                <w:rFonts w:eastAsia="仿宋_GB2312"/>
                <w:szCs w:val="21"/>
              </w:rPr>
            </w:pPr>
          </w:p>
        </w:tc>
        <w:tc>
          <w:tcPr>
            <w:tcW w:w="2052" w:type="dxa"/>
            <w:tcBorders>
              <w:top w:val="single" w:color="auto" w:sz="4" w:space="0"/>
            </w:tcBorders>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81" w:type="dxa"/>
            <w:tcMar>
              <w:left w:w="0" w:type="dxa"/>
              <w:right w:w="0" w:type="dxa"/>
            </w:tcMar>
            <w:vAlign w:val="center"/>
          </w:tcPr>
          <w:p>
            <w:pPr>
              <w:spacing w:line="0" w:lineRule="atLeast"/>
              <w:jc w:val="center"/>
              <w:rPr>
                <w:rFonts w:eastAsia="仿宋_GB2312"/>
                <w:szCs w:val="21"/>
              </w:rPr>
            </w:pPr>
          </w:p>
        </w:tc>
        <w:tc>
          <w:tcPr>
            <w:tcW w:w="178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81" w:type="dxa"/>
            <w:tcMar>
              <w:left w:w="0" w:type="dxa"/>
              <w:right w:w="0" w:type="dxa"/>
            </w:tcMar>
            <w:vAlign w:val="center"/>
          </w:tcPr>
          <w:p>
            <w:pPr>
              <w:spacing w:line="0" w:lineRule="atLeast"/>
              <w:jc w:val="center"/>
              <w:rPr>
                <w:rFonts w:eastAsia="仿宋_GB2312"/>
                <w:szCs w:val="21"/>
              </w:rPr>
            </w:pPr>
          </w:p>
        </w:tc>
        <w:tc>
          <w:tcPr>
            <w:tcW w:w="178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81" w:type="dxa"/>
            <w:tcMar>
              <w:left w:w="0" w:type="dxa"/>
              <w:right w:w="0" w:type="dxa"/>
            </w:tcMar>
            <w:vAlign w:val="center"/>
          </w:tcPr>
          <w:p>
            <w:pPr>
              <w:spacing w:line="0" w:lineRule="atLeast"/>
              <w:jc w:val="center"/>
              <w:rPr>
                <w:rFonts w:eastAsia="仿宋_GB2312"/>
                <w:szCs w:val="21"/>
              </w:rPr>
            </w:pPr>
          </w:p>
        </w:tc>
        <w:tc>
          <w:tcPr>
            <w:tcW w:w="178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81" w:type="dxa"/>
            <w:tcMar>
              <w:left w:w="0" w:type="dxa"/>
              <w:right w:w="0" w:type="dxa"/>
            </w:tcMar>
            <w:vAlign w:val="center"/>
          </w:tcPr>
          <w:p>
            <w:pPr>
              <w:spacing w:line="0" w:lineRule="atLeast"/>
              <w:jc w:val="center"/>
              <w:rPr>
                <w:rFonts w:eastAsia="仿宋_GB2312"/>
                <w:szCs w:val="21"/>
              </w:rPr>
            </w:pPr>
          </w:p>
        </w:tc>
        <w:tc>
          <w:tcPr>
            <w:tcW w:w="178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81" w:type="dxa"/>
            <w:tcMar>
              <w:left w:w="0" w:type="dxa"/>
              <w:right w:w="0" w:type="dxa"/>
            </w:tcMar>
            <w:vAlign w:val="center"/>
          </w:tcPr>
          <w:p>
            <w:pPr>
              <w:spacing w:line="0" w:lineRule="atLeast"/>
              <w:jc w:val="center"/>
              <w:rPr>
                <w:rFonts w:eastAsia="仿宋_GB2312"/>
                <w:szCs w:val="21"/>
              </w:rPr>
            </w:pPr>
          </w:p>
        </w:tc>
        <w:tc>
          <w:tcPr>
            <w:tcW w:w="178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81" w:type="dxa"/>
            <w:tcMar>
              <w:left w:w="0" w:type="dxa"/>
              <w:right w:w="0" w:type="dxa"/>
            </w:tcMar>
            <w:vAlign w:val="center"/>
          </w:tcPr>
          <w:p>
            <w:pPr>
              <w:spacing w:line="0" w:lineRule="atLeast"/>
              <w:jc w:val="center"/>
              <w:rPr>
                <w:rFonts w:eastAsia="仿宋_GB2312"/>
                <w:szCs w:val="21"/>
              </w:rPr>
            </w:pPr>
          </w:p>
        </w:tc>
        <w:tc>
          <w:tcPr>
            <w:tcW w:w="178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81" w:type="dxa"/>
            <w:tcMar>
              <w:left w:w="0" w:type="dxa"/>
              <w:right w:w="0" w:type="dxa"/>
            </w:tcMar>
            <w:vAlign w:val="center"/>
          </w:tcPr>
          <w:p>
            <w:pPr>
              <w:spacing w:line="0" w:lineRule="atLeast"/>
              <w:jc w:val="center"/>
              <w:rPr>
                <w:rFonts w:eastAsia="仿宋_GB2312"/>
                <w:szCs w:val="21"/>
              </w:rPr>
            </w:pPr>
          </w:p>
        </w:tc>
        <w:tc>
          <w:tcPr>
            <w:tcW w:w="178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81" w:type="dxa"/>
            <w:tcMar>
              <w:left w:w="0" w:type="dxa"/>
              <w:right w:w="0" w:type="dxa"/>
            </w:tcMar>
            <w:vAlign w:val="center"/>
          </w:tcPr>
          <w:p>
            <w:pPr>
              <w:spacing w:line="0" w:lineRule="atLeast"/>
              <w:jc w:val="center"/>
              <w:rPr>
                <w:rFonts w:eastAsia="仿宋_GB2312"/>
                <w:szCs w:val="21"/>
              </w:rPr>
            </w:pPr>
          </w:p>
        </w:tc>
        <w:tc>
          <w:tcPr>
            <w:tcW w:w="178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81" w:type="dxa"/>
            <w:tcMar>
              <w:left w:w="0" w:type="dxa"/>
              <w:right w:w="0" w:type="dxa"/>
            </w:tcMar>
            <w:vAlign w:val="center"/>
          </w:tcPr>
          <w:p>
            <w:pPr>
              <w:spacing w:line="0" w:lineRule="atLeast"/>
              <w:jc w:val="center"/>
              <w:rPr>
                <w:rFonts w:eastAsia="仿宋_GB2312"/>
                <w:szCs w:val="21"/>
              </w:rPr>
            </w:pPr>
          </w:p>
        </w:tc>
        <w:tc>
          <w:tcPr>
            <w:tcW w:w="178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81" w:type="dxa"/>
            <w:tcMar>
              <w:left w:w="0" w:type="dxa"/>
              <w:right w:w="0" w:type="dxa"/>
            </w:tcMar>
            <w:vAlign w:val="center"/>
          </w:tcPr>
          <w:p>
            <w:pPr>
              <w:spacing w:line="0" w:lineRule="atLeast"/>
              <w:jc w:val="center"/>
              <w:rPr>
                <w:rFonts w:eastAsia="仿宋_GB2312"/>
                <w:szCs w:val="21"/>
              </w:rPr>
            </w:pPr>
          </w:p>
        </w:tc>
        <w:tc>
          <w:tcPr>
            <w:tcW w:w="1782" w:type="dxa"/>
            <w:tcMar>
              <w:left w:w="0" w:type="dxa"/>
              <w:right w:w="0" w:type="dxa"/>
            </w:tcMar>
            <w:vAlign w:val="center"/>
          </w:tcPr>
          <w:p>
            <w:pPr>
              <w:spacing w:line="0" w:lineRule="atLeast"/>
              <w:jc w:val="center"/>
              <w:rPr>
                <w:rFonts w:eastAsia="仿宋_GB2312"/>
                <w:szCs w:val="21"/>
              </w:rPr>
            </w:pPr>
          </w:p>
        </w:tc>
        <w:tc>
          <w:tcPr>
            <w:tcW w:w="2028" w:type="dxa"/>
            <w:tcMar>
              <w:left w:w="0" w:type="dxa"/>
              <w:right w:w="0" w:type="dxa"/>
            </w:tcMar>
            <w:vAlign w:val="center"/>
          </w:tcPr>
          <w:p>
            <w:pPr>
              <w:spacing w:line="0" w:lineRule="atLeast"/>
              <w:jc w:val="center"/>
              <w:rPr>
                <w:rFonts w:eastAsia="仿宋_GB2312"/>
                <w:szCs w:val="21"/>
              </w:rPr>
            </w:pPr>
          </w:p>
        </w:tc>
        <w:tc>
          <w:tcPr>
            <w:tcW w:w="1143" w:type="dxa"/>
            <w:tcMar>
              <w:left w:w="0" w:type="dxa"/>
              <w:right w:w="0" w:type="dxa"/>
            </w:tcMar>
            <w:vAlign w:val="center"/>
          </w:tcPr>
          <w:p>
            <w:pPr>
              <w:spacing w:line="0" w:lineRule="atLeast"/>
              <w:jc w:val="center"/>
              <w:rPr>
                <w:rFonts w:eastAsia="仿宋_GB2312"/>
                <w:szCs w:val="21"/>
              </w:rPr>
            </w:pPr>
          </w:p>
        </w:tc>
        <w:tc>
          <w:tcPr>
            <w:tcW w:w="1260" w:type="dxa"/>
            <w:tcMar>
              <w:left w:w="0" w:type="dxa"/>
              <w:right w:w="0" w:type="dxa"/>
            </w:tcMar>
            <w:vAlign w:val="center"/>
          </w:tcPr>
          <w:p>
            <w:pPr>
              <w:spacing w:line="0" w:lineRule="atLeast"/>
              <w:jc w:val="center"/>
              <w:rPr>
                <w:rFonts w:eastAsia="仿宋_GB2312"/>
                <w:szCs w:val="21"/>
              </w:rPr>
            </w:pPr>
          </w:p>
        </w:tc>
        <w:tc>
          <w:tcPr>
            <w:tcW w:w="2052" w:type="dxa"/>
            <w:tcMar>
              <w:left w:w="0" w:type="dxa"/>
              <w:right w:w="0" w:type="dxa"/>
            </w:tcMar>
            <w:vAlign w:val="center"/>
          </w:tcPr>
          <w:p>
            <w:pPr>
              <w:spacing w:line="0" w:lineRule="atLeast"/>
              <w:jc w:val="center"/>
              <w:rPr>
                <w:rFonts w:eastAsia="仿宋_GB2312"/>
                <w:szCs w:val="21"/>
              </w:rPr>
            </w:pPr>
          </w:p>
        </w:tc>
      </w:tr>
    </w:tbl>
    <w:p>
      <w:pPr>
        <w:spacing w:line="0" w:lineRule="atLeast"/>
        <w:rPr>
          <w:rFonts w:eastAsia="仿宋_GB2312"/>
          <w:sz w:val="24"/>
        </w:rPr>
      </w:pPr>
    </w:p>
    <w:p>
      <w:pPr>
        <w:spacing w:line="0" w:lineRule="atLeast"/>
        <w:rPr>
          <w:rFonts w:eastAsia="仿宋_GB2312"/>
          <w:sz w:val="24"/>
        </w:rPr>
      </w:pPr>
    </w:p>
    <w:p>
      <w:pPr>
        <w:widowControl/>
        <w:spacing w:line="360" w:lineRule="auto"/>
        <w:jc w:val="left"/>
        <w:rPr>
          <w:szCs w:val="21"/>
        </w:rPr>
      </w:pPr>
      <w:r>
        <w:rPr>
          <w:szCs w:val="21"/>
        </w:rPr>
        <w:t>投 标 人（盖章）：</w:t>
      </w:r>
    </w:p>
    <w:p>
      <w:pPr>
        <w:pStyle w:val="20"/>
        <w:snapToGrid w:val="0"/>
        <w:spacing w:line="360" w:lineRule="auto"/>
        <w:ind w:firstLine="0"/>
        <w:rPr>
          <w:rFonts w:ascii="Times New Roman"/>
          <w:spacing w:val="0"/>
          <w:sz w:val="21"/>
          <w:szCs w:val="21"/>
        </w:rPr>
      </w:pPr>
      <w:r>
        <w:rPr>
          <w:rFonts w:ascii="Times New Roman"/>
          <w:spacing w:val="0"/>
          <w:sz w:val="21"/>
          <w:szCs w:val="21"/>
        </w:rPr>
        <w:t>法定代表人或其授权代表（签字或盖章）：</w:t>
      </w:r>
    </w:p>
    <w:p>
      <w:pPr>
        <w:snapToGrid w:val="0"/>
        <w:spacing w:before="120" w:beforeLines="50" w:after="120" w:afterLines="50" w:line="360" w:lineRule="auto"/>
        <w:jc w:val="left"/>
        <w:rPr>
          <w:szCs w:val="21"/>
        </w:rPr>
      </w:pPr>
      <w:r>
        <w:rPr>
          <w:szCs w:val="21"/>
        </w:rPr>
        <w:t>日            期：</w:t>
      </w:r>
    </w:p>
    <w:p>
      <w:pPr>
        <w:widowControl/>
        <w:jc w:val="left"/>
        <w:outlineLvl w:val="1"/>
        <w:rPr>
          <w:sz w:val="24"/>
        </w:rPr>
      </w:pPr>
    </w:p>
    <w:p>
      <w:pPr>
        <w:widowControl/>
        <w:jc w:val="left"/>
        <w:outlineLvl w:val="1"/>
        <w:rPr>
          <w:sz w:val="24"/>
        </w:rPr>
      </w:pPr>
    </w:p>
    <w:p>
      <w:pPr>
        <w:widowControl/>
        <w:jc w:val="left"/>
        <w:outlineLvl w:val="1"/>
        <w:rPr>
          <w:sz w:val="24"/>
        </w:rPr>
      </w:pPr>
    </w:p>
    <w:p>
      <w:pPr>
        <w:widowControl/>
        <w:jc w:val="left"/>
        <w:outlineLvl w:val="1"/>
        <w:rPr>
          <w:sz w:val="24"/>
        </w:rPr>
      </w:pPr>
    </w:p>
    <w:p>
      <w:pPr>
        <w:rPr>
          <w:b/>
        </w:rPr>
      </w:pPr>
      <w:r>
        <w:rPr>
          <w:b/>
        </w:rPr>
        <w:br w:type="page"/>
      </w:r>
    </w:p>
    <w:bookmarkEnd w:id="342"/>
    <w:bookmarkEnd w:id="343"/>
    <w:bookmarkEnd w:id="344"/>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imes New Roman"/>
          <w:b/>
          <w:sz w:val="22"/>
          <w:szCs w:val="28"/>
          <w:lang w:val="en-US" w:eastAsia="zh-CN"/>
        </w:rPr>
      </w:pPr>
      <w:r>
        <w:rPr>
          <w:rFonts w:ascii="Times New Roman" w:hAnsi="Times New Roman" w:eastAsia="宋体" w:cs="Times New Roman"/>
          <w:b/>
          <w:sz w:val="22"/>
          <w:szCs w:val="28"/>
        </w:rPr>
        <w:t>格式</w:t>
      </w:r>
      <w:r>
        <w:rPr>
          <w:rFonts w:hint="eastAsia" w:cs="Times New Roman"/>
          <w:b/>
          <w:sz w:val="22"/>
          <w:szCs w:val="28"/>
          <w:lang w:val="en-US" w:eastAsia="zh-CN"/>
        </w:rPr>
        <w:t>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szCs w:val="21"/>
        </w:rPr>
      </w:pPr>
      <w:r>
        <w:rPr>
          <w:b/>
          <w:sz w:val="24"/>
          <w:szCs w:val="21"/>
        </w:rPr>
        <w:t>投标函</w:t>
      </w:r>
    </w:p>
    <w:p>
      <w:pPr>
        <w:widowControl/>
        <w:spacing w:line="400" w:lineRule="exact"/>
        <w:jc w:val="center"/>
        <w:rPr>
          <w:b/>
          <w:sz w:val="24"/>
        </w:rPr>
      </w:pPr>
    </w:p>
    <w:p>
      <w:pPr>
        <w:pStyle w:val="20"/>
        <w:widowControl/>
        <w:spacing w:line="360" w:lineRule="auto"/>
        <w:ind w:firstLine="0"/>
        <w:jc w:val="left"/>
        <w:rPr>
          <w:rFonts w:hint="default" w:ascii="Times New Roman" w:eastAsia="宋体"/>
          <w:sz w:val="21"/>
          <w:szCs w:val="21"/>
          <w:lang w:val="en-US" w:eastAsia="zh-CN"/>
        </w:rPr>
      </w:pPr>
      <w:r>
        <w:rPr>
          <w:rFonts w:ascii="Times New Roman"/>
          <w:sz w:val="21"/>
          <w:szCs w:val="21"/>
        </w:rPr>
        <w:t>致：</w:t>
      </w:r>
      <w:r>
        <w:rPr>
          <w:rFonts w:hint="eastAsia" w:ascii="Times New Roman"/>
          <w:sz w:val="21"/>
          <w:szCs w:val="21"/>
          <w:lang w:val="en-US" w:eastAsia="zh-CN"/>
        </w:rPr>
        <w:t>宁波市海洋与渔业执法队、</w:t>
      </w:r>
      <w:r>
        <w:rPr>
          <w:rFonts w:hint="eastAsia" w:ascii="Times New Roman"/>
          <w:sz w:val="21"/>
          <w:szCs w:val="21"/>
          <w:lang w:eastAsia="zh-CN"/>
        </w:rPr>
        <w:t>宁波华欣建设项目管理有限</w:t>
      </w:r>
      <w:r>
        <w:rPr>
          <w:rFonts w:hint="eastAsia" w:ascii="Times New Roman"/>
          <w:sz w:val="21"/>
          <w:szCs w:val="21"/>
          <w:lang w:val="en-US" w:eastAsia="zh-CN"/>
        </w:rPr>
        <w:t>公司</w:t>
      </w:r>
    </w:p>
    <w:p>
      <w:pPr>
        <w:pStyle w:val="20"/>
        <w:widowControl/>
        <w:spacing w:line="360" w:lineRule="auto"/>
        <w:ind w:firstLine="404" w:firstLineChars="200"/>
        <w:jc w:val="left"/>
        <w:rPr>
          <w:rFonts w:ascii="Times New Roman"/>
          <w:sz w:val="21"/>
          <w:szCs w:val="21"/>
        </w:rPr>
      </w:pPr>
      <w:r>
        <w:rPr>
          <w:rFonts w:ascii="Times New Roman"/>
          <w:sz w:val="21"/>
          <w:szCs w:val="21"/>
          <w:u w:val="single"/>
        </w:rPr>
        <w:t>（投标人全称）</w:t>
      </w:r>
      <w:r>
        <w:rPr>
          <w:rFonts w:ascii="Times New Roman"/>
          <w:sz w:val="21"/>
          <w:szCs w:val="21"/>
        </w:rPr>
        <w:t>授权</w:t>
      </w:r>
      <w:r>
        <w:rPr>
          <w:rFonts w:ascii="Times New Roman"/>
          <w:sz w:val="21"/>
          <w:szCs w:val="21"/>
          <w:u w:val="single"/>
        </w:rPr>
        <w:t>（授权代表姓名、职务）</w:t>
      </w:r>
      <w:r>
        <w:rPr>
          <w:rFonts w:ascii="Times New Roman"/>
          <w:sz w:val="21"/>
          <w:szCs w:val="21"/>
        </w:rPr>
        <w:t>为本公司合法代理人，参加贵方组织的</w:t>
      </w:r>
      <w:r>
        <w:rPr>
          <w:rFonts w:ascii="Times New Roman"/>
          <w:sz w:val="21"/>
          <w:szCs w:val="21"/>
          <w:u w:val="single"/>
        </w:rPr>
        <w:t>（招标编号、项目名称</w:t>
      </w:r>
      <w:r>
        <w:rPr>
          <w:rFonts w:hint="eastAsia" w:ascii="Times New Roman"/>
          <w:sz w:val="21"/>
          <w:szCs w:val="21"/>
          <w:u w:val="single"/>
          <w:lang w:eastAsia="zh-CN"/>
        </w:rPr>
        <w:t>、</w:t>
      </w:r>
      <w:r>
        <w:rPr>
          <w:rFonts w:hint="eastAsia" w:ascii="Times New Roman" w:hAnsi="Times New Roman" w:eastAsia="宋体" w:cs="Times New Roman"/>
          <w:sz w:val="21"/>
          <w:szCs w:val="21"/>
          <w:u w:val="single"/>
          <w:lang w:eastAsia="zh-CN"/>
        </w:rPr>
        <w:t>标项</w:t>
      </w:r>
      <w:r>
        <w:rPr>
          <w:rFonts w:hint="eastAsia" w:ascii="Times New Roman" w:hAnsi="Times New Roman" w:eastAsia="宋体" w:cs="Times New Roman"/>
          <w:sz w:val="21"/>
          <w:szCs w:val="21"/>
          <w:u w:val="single"/>
          <w:lang w:val="en-US" w:eastAsia="zh-CN"/>
        </w:rPr>
        <w:t>号</w:t>
      </w:r>
      <w:r>
        <w:rPr>
          <w:rFonts w:ascii="Times New Roman"/>
          <w:sz w:val="21"/>
          <w:szCs w:val="21"/>
          <w:u w:val="none"/>
        </w:rPr>
        <w:t>）</w:t>
      </w:r>
      <w:r>
        <w:rPr>
          <w:rFonts w:ascii="Times New Roman"/>
          <w:sz w:val="21"/>
          <w:szCs w:val="21"/>
        </w:rPr>
        <w:t>招投标活动，代表本公司（单位）处理招投标活动中的一切事宜，在此：</w:t>
      </w:r>
    </w:p>
    <w:p>
      <w:pPr>
        <w:pStyle w:val="20"/>
        <w:widowControl/>
        <w:spacing w:line="360" w:lineRule="auto"/>
        <w:ind w:firstLine="490" w:firstLineChars="243"/>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1、提供招标文件中“投标须知”规定的全部投标文件：</w:t>
      </w:r>
    </w:p>
    <w:p>
      <w:pPr>
        <w:pStyle w:val="20"/>
        <w:widowControl/>
        <w:spacing w:line="36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（1）上传到政府采购云平台的电子投标文件（含资格文件、商务技术文件、报价文件）1份。</w:t>
      </w:r>
    </w:p>
    <w:p>
      <w:pPr>
        <w:pStyle w:val="20"/>
        <w:widowControl/>
        <w:spacing w:line="360" w:lineRule="auto"/>
        <w:ind w:firstLine="0"/>
        <w:jc w:val="left"/>
        <w:rPr>
          <w:rFonts w:ascii="Times New Roman"/>
          <w:sz w:val="21"/>
          <w:szCs w:val="21"/>
        </w:rPr>
      </w:pPr>
      <w:r>
        <w:rPr>
          <w:rFonts w:ascii="Times New Roman"/>
          <w:sz w:val="21"/>
          <w:szCs w:val="21"/>
        </w:rPr>
        <w:t>2、据此函，签字代表宣布并承诺如下：</w:t>
      </w:r>
    </w:p>
    <w:p>
      <w:pPr>
        <w:pStyle w:val="20"/>
        <w:widowControl/>
        <w:spacing w:line="360" w:lineRule="auto"/>
        <w:ind w:left="715" w:leftChars="100" w:hanging="505" w:hangingChars="250"/>
        <w:jc w:val="left"/>
        <w:rPr>
          <w:rFonts w:ascii="Times New Roman"/>
          <w:sz w:val="21"/>
          <w:szCs w:val="21"/>
        </w:rPr>
      </w:pPr>
      <w:r>
        <w:rPr>
          <w:rFonts w:ascii="Times New Roman"/>
          <w:sz w:val="21"/>
          <w:szCs w:val="21"/>
        </w:rPr>
        <w:t>（</w:t>
      </w:r>
      <w:r>
        <w:rPr>
          <w:rFonts w:hint="eastAsia" w:ascii="Times New Roman"/>
          <w:sz w:val="21"/>
          <w:szCs w:val="21"/>
        </w:rPr>
        <w:t>1</w:t>
      </w:r>
      <w:r>
        <w:rPr>
          <w:rFonts w:ascii="Times New Roman"/>
          <w:sz w:val="21"/>
          <w:szCs w:val="21"/>
        </w:rPr>
        <w:t>）本报价已经包含了所供货物应纳的税金及招标文件规定的报价方式应包含的其它费用。本报价在投标有效期内固定不变，并在合同有效期内不受利率波动的影响。</w:t>
      </w:r>
    </w:p>
    <w:p>
      <w:pPr>
        <w:pStyle w:val="20"/>
        <w:widowControl/>
        <w:spacing w:line="360" w:lineRule="auto"/>
        <w:ind w:firstLine="202" w:firstLineChars="100"/>
        <w:jc w:val="left"/>
        <w:rPr>
          <w:rFonts w:ascii="Times New Roman"/>
          <w:sz w:val="21"/>
          <w:szCs w:val="21"/>
        </w:rPr>
      </w:pPr>
      <w:r>
        <w:rPr>
          <w:rFonts w:ascii="Times New Roman"/>
          <w:sz w:val="21"/>
          <w:szCs w:val="21"/>
        </w:rPr>
        <w:t>（</w:t>
      </w:r>
      <w:r>
        <w:rPr>
          <w:rFonts w:hint="eastAsia" w:ascii="Times New Roman"/>
          <w:sz w:val="21"/>
          <w:szCs w:val="21"/>
        </w:rPr>
        <w:t>2</w:t>
      </w:r>
      <w:r>
        <w:rPr>
          <w:rFonts w:ascii="Times New Roman"/>
          <w:sz w:val="21"/>
          <w:szCs w:val="21"/>
        </w:rPr>
        <w:t>）本投标自开标之日起</w:t>
      </w:r>
      <w:r>
        <w:rPr>
          <w:rFonts w:ascii="Times New Roman"/>
          <w:sz w:val="21"/>
          <w:szCs w:val="21"/>
          <w:u w:val="single"/>
        </w:rPr>
        <w:t xml:space="preserve">    90    </w:t>
      </w:r>
      <w:r>
        <w:rPr>
          <w:rFonts w:ascii="Times New Roman"/>
          <w:sz w:val="21"/>
          <w:szCs w:val="21"/>
        </w:rPr>
        <w:t>天内有效。</w:t>
      </w:r>
    </w:p>
    <w:p>
      <w:pPr>
        <w:pStyle w:val="20"/>
        <w:widowControl/>
        <w:spacing w:line="360" w:lineRule="auto"/>
        <w:ind w:left="715" w:leftChars="100" w:hanging="505" w:hangingChars="250"/>
        <w:jc w:val="left"/>
        <w:rPr>
          <w:rFonts w:ascii="Times New Roman"/>
          <w:sz w:val="21"/>
          <w:szCs w:val="21"/>
        </w:rPr>
      </w:pPr>
      <w:r>
        <w:rPr>
          <w:rFonts w:ascii="Times New Roman"/>
          <w:sz w:val="21"/>
          <w:szCs w:val="21"/>
        </w:rPr>
        <w:t>（</w:t>
      </w:r>
      <w:r>
        <w:rPr>
          <w:rFonts w:hint="eastAsia" w:ascii="Times New Roman"/>
          <w:sz w:val="21"/>
          <w:szCs w:val="21"/>
        </w:rPr>
        <w:t>3</w:t>
      </w:r>
      <w:r>
        <w:rPr>
          <w:rFonts w:ascii="Times New Roman"/>
          <w:sz w:val="21"/>
          <w:szCs w:val="21"/>
        </w:rPr>
        <w:t>）我们已详细审查全部招标文件及有关的澄清/修改文件(若有的话)，我们完全理解并同意放弃对这方面提出任何异议的权利。保证遵守招标文件有关条款规定。</w:t>
      </w:r>
    </w:p>
    <w:p>
      <w:pPr>
        <w:pStyle w:val="20"/>
        <w:widowControl/>
        <w:spacing w:line="360" w:lineRule="auto"/>
        <w:ind w:left="715" w:leftChars="100" w:hanging="505" w:hangingChars="250"/>
        <w:jc w:val="left"/>
        <w:rPr>
          <w:rFonts w:ascii="Times New Roman"/>
          <w:sz w:val="21"/>
          <w:szCs w:val="21"/>
        </w:rPr>
      </w:pPr>
      <w:r>
        <w:rPr>
          <w:rFonts w:ascii="Times New Roman"/>
          <w:sz w:val="21"/>
          <w:szCs w:val="21"/>
        </w:rPr>
        <w:t>（</w:t>
      </w:r>
      <w:r>
        <w:rPr>
          <w:rFonts w:hint="eastAsia" w:ascii="Times New Roman"/>
          <w:sz w:val="21"/>
          <w:szCs w:val="21"/>
        </w:rPr>
        <w:t>4</w:t>
      </w:r>
      <w:r>
        <w:rPr>
          <w:rFonts w:ascii="Times New Roman"/>
          <w:sz w:val="21"/>
          <w:szCs w:val="21"/>
        </w:rPr>
        <w:t>）保证在中标后忠实地执行与招标人所签署的合同，并承担合同规定的责任义务。保证在中标后按照招标文件的规定支付中标服务费。</w:t>
      </w:r>
    </w:p>
    <w:p>
      <w:pPr>
        <w:pStyle w:val="20"/>
        <w:widowControl/>
        <w:spacing w:line="360" w:lineRule="auto"/>
        <w:ind w:firstLine="202" w:firstLineChars="100"/>
        <w:jc w:val="left"/>
        <w:rPr>
          <w:rFonts w:ascii="Times New Roman"/>
          <w:sz w:val="21"/>
          <w:szCs w:val="21"/>
        </w:rPr>
      </w:pPr>
      <w:r>
        <w:rPr>
          <w:rFonts w:ascii="Times New Roman"/>
          <w:sz w:val="21"/>
          <w:szCs w:val="21"/>
        </w:rPr>
        <w:t>（</w:t>
      </w:r>
      <w:r>
        <w:rPr>
          <w:rFonts w:hint="eastAsia" w:ascii="Times New Roman"/>
          <w:sz w:val="21"/>
          <w:szCs w:val="21"/>
        </w:rPr>
        <w:t>5</w:t>
      </w:r>
      <w:r>
        <w:rPr>
          <w:rFonts w:ascii="Times New Roman"/>
          <w:sz w:val="21"/>
          <w:szCs w:val="21"/>
        </w:rPr>
        <w:t>）承诺应贵方要求提供任何与该项目投标有关的数据、情况和技术资料。</w:t>
      </w:r>
    </w:p>
    <w:p>
      <w:pPr>
        <w:pStyle w:val="20"/>
        <w:widowControl/>
        <w:spacing w:line="360" w:lineRule="auto"/>
        <w:ind w:left="614" w:leftChars="100" w:hanging="404" w:hangingChars="200"/>
        <w:jc w:val="left"/>
        <w:rPr>
          <w:rFonts w:ascii="Times New Roman"/>
          <w:sz w:val="21"/>
          <w:szCs w:val="21"/>
        </w:rPr>
      </w:pPr>
      <w:r>
        <w:rPr>
          <w:rFonts w:ascii="Times New Roman"/>
          <w:sz w:val="21"/>
          <w:szCs w:val="21"/>
        </w:rPr>
        <w:t>（</w:t>
      </w:r>
      <w:r>
        <w:rPr>
          <w:rFonts w:hint="eastAsia" w:ascii="Times New Roman"/>
          <w:sz w:val="21"/>
          <w:szCs w:val="21"/>
        </w:rPr>
        <w:t>6</w:t>
      </w:r>
      <w:r>
        <w:rPr>
          <w:rFonts w:ascii="Times New Roman"/>
          <w:sz w:val="21"/>
          <w:szCs w:val="21"/>
        </w:rPr>
        <w:t>）我们承诺，与为招标人采购本次招标的货物进行设计、编制规范和其他文件所委托的咨询公司或其附属机构无任何直接或间接的关联。</w:t>
      </w:r>
    </w:p>
    <w:p>
      <w:pPr>
        <w:pStyle w:val="20"/>
        <w:widowControl/>
        <w:spacing w:line="360" w:lineRule="auto"/>
        <w:ind w:left="303" w:hanging="303" w:hangingChars="150"/>
        <w:jc w:val="left"/>
        <w:rPr>
          <w:rFonts w:ascii="Times New Roman"/>
          <w:sz w:val="21"/>
          <w:szCs w:val="21"/>
        </w:rPr>
      </w:pPr>
      <w:r>
        <w:rPr>
          <w:rFonts w:ascii="Times New Roman"/>
          <w:sz w:val="21"/>
          <w:szCs w:val="21"/>
        </w:rPr>
        <w:t>4、我们郑重声明：</w:t>
      </w:r>
    </w:p>
    <w:p>
      <w:pPr>
        <w:pStyle w:val="20"/>
        <w:widowControl/>
        <w:spacing w:line="360" w:lineRule="auto"/>
        <w:ind w:left="303" w:hanging="303" w:hangingChars="150"/>
        <w:jc w:val="left"/>
        <w:rPr>
          <w:rFonts w:ascii="Times New Roman"/>
          <w:sz w:val="21"/>
          <w:szCs w:val="21"/>
        </w:rPr>
      </w:pPr>
      <w:r>
        <w:rPr>
          <w:rFonts w:ascii="Times New Roman"/>
          <w:sz w:val="21"/>
          <w:szCs w:val="21"/>
        </w:rPr>
        <w:t>我公司符合有关法律法规规定的参加采购活动应当具备的条件：具有健全的财务会计制度、依法缴纳税收和社会保障资金、参加本次采购活动之前的三年内，在经营活动中无重大违法活动。</w:t>
      </w:r>
    </w:p>
    <w:p>
      <w:pPr>
        <w:pStyle w:val="20"/>
        <w:widowControl/>
        <w:spacing w:line="360" w:lineRule="auto"/>
        <w:ind w:firstLine="0"/>
        <w:jc w:val="left"/>
        <w:rPr>
          <w:rFonts w:ascii="Times New Roman"/>
          <w:sz w:val="21"/>
          <w:szCs w:val="21"/>
        </w:rPr>
      </w:pPr>
      <w:r>
        <w:rPr>
          <w:rFonts w:ascii="Times New Roman"/>
          <w:sz w:val="21"/>
          <w:szCs w:val="21"/>
        </w:rPr>
        <w:t>5、与本投标有关的一切往来通讯请寄：</w:t>
      </w:r>
    </w:p>
    <w:p>
      <w:pPr>
        <w:pStyle w:val="20"/>
        <w:widowControl/>
        <w:spacing w:line="360" w:lineRule="auto"/>
        <w:jc w:val="left"/>
        <w:rPr>
          <w:rFonts w:ascii="Times New Roman"/>
          <w:sz w:val="21"/>
          <w:szCs w:val="21"/>
        </w:rPr>
      </w:pPr>
      <w:r>
        <w:rPr>
          <w:rFonts w:ascii="Times New Roman"/>
          <w:sz w:val="21"/>
          <w:szCs w:val="21"/>
        </w:rPr>
        <w:t>地址：</w:t>
      </w:r>
      <w:r>
        <w:rPr>
          <w:rFonts w:ascii="Times New Roman"/>
          <w:szCs w:val="21"/>
          <w:u w:val="single"/>
        </w:rPr>
        <w:t xml:space="preserve">                                          </w:t>
      </w:r>
    </w:p>
    <w:p>
      <w:pPr>
        <w:pStyle w:val="20"/>
        <w:widowControl/>
        <w:spacing w:line="360" w:lineRule="auto"/>
        <w:jc w:val="left"/>
        <w:rPr>
          <w:rFonts w:ascii="Times New Roman"/>
          <w:sz w:val="21"/>
          <w:szCs w:val="21"/>
          <w:u w:val="single"/>
        </w:rPr>
      </w:pPr>
      <w:r>
        <w:rPr>
          <w:rFonts w:ascii="Times New Roman"/>
          <w:sz w:val="21"/>
          <w:szCs w:val="21"/>
        </w:rPr>
        <w:t>邮编：</w:t>
      </w:r>
      <w:r>
        <w:rPr>
          <w:rFonts w:ascii="Times New Roman"/>
          <w:szCs w:val="21"/>
          <w:u w:val="single"/>
        </w:rPr>
        <w:t xml:space="preserve">         </w:t>
      </w:r>
      <w:r>
        <w:rPr>
          <w:rFonts w:ascii="Times New Roman"/>
          <w:sz w:val="21"/>
          <w:szCs w:val="21"/>
        </w:rPr>
        <w:t>电话：</w:t>
      </w:r>
      <w:r>
        <w:rPr>
          <w:rFonts w:ascii="Times New Roman"/>
          <w:szCs w:val="21"/>
          <w:u w:val="single"/>
        </w:rPr>
        <w:t xml:space="preserve">         </w:t>
      </w:r>
      <w:r>
        <w:rPr>
          <w:rFonts w:ascii="Times New Roman"/>
          <w:sz w:val="21"/>
          <w:szCs w:val="21"/>
        </w:rPr>
        <w:t>传真：</w:t>
      </w:r>
      <w:r>
        <w:rPr>
          <w:rFonts w:ascii="Times New Roman"/>
          <w:szCs w:val="21"/>
          <w:u w:val="single"/>
        </w:rPr>
        <w:t xml:space="preserve">         </w:t>
      </w:r>
    </w:p>
    <w:p>
      <w:pPr>
        <w:pStyle w:val="20"/>
        <w:widowControl/>
        <w:spacing w:line="360" w:lineRule="auto"/>
        <w:ind w:firstLine="0"/>
        <w:jc w:val="left"/>
        <w:rPr>
          <w:rFonts w:ascii="Times New Roman"/>
          <w:sz w:val="21"/>
          <w:szCs w:val="21"/>
        </w:rPr>
      </w:pPr>
    </w:p>
    <w:p>
      <w:pPr>
        <w:pStyle w:val="20"/>
        <w:snapToGrid w:val="0"/>
        <w:spacing w:line="360" w:lineRule="auto"/>
        <w:rPr>
          <w:rFonts w:ascii="Times New Roman"/>
          <w:sz w:val="21"/>
          <w:szCs w:val="21"/>
        </w:rPr>
      </w:pPr>
      <w:r>
        <w:rPr>
          <w:rFonts w:ascii="Times New Roman"/>
          <w:sz w:val="21"/>
          <w:szCs w:val="21"/>
        </w:rPr>
        <w:t>投标人（盖章）：</w:t>
      </w:r>
    </w:p>
    <w:p>
      <w:pPr>
        <w:pStyle w:val="20"/>
        <w:snapToGrid w:val="0"/>
        <w:spacing w:line="360" w:lineRule="auto"/>
        <w:rPr>
          <w:rFonts w:ascii="Times New Roman"/>
          <w:sz w:val="21"/>
          <w:szCs w:val="21"/>
        </w:rPr>
      </w:pPr>
      <w:r>
        <w:rPr>
          <w:rFonts w:ascii="Times New Roman"/>
          <w:sz w:val="21"/>
          <w:szCs w:val="21"/>
        </w:rPr>
        <w:t>法定代表人或其授权代表（签字或盖章）：</w:t>
      </w:r>
    </w:p>
    <w:p>
      <w:pPr>
        <w:pStyle w:val="20"/>
        <w:widowControl/>
        <w:spacing w:line="360" w:lineRule="auto"/>
        <w:ind w:firstLine="303" w:firstLineChars="150"/>
        <w:jc w:val="left"/>
        <w:rPr>
          <w:rFonts w:ascii="Times New Roman"/>
          <w:sz w:val="21"/>
          <w:szCs w:val="21"/>
        </w:rPr>
      </w:pPr>
      <w:r>
        <w:rPr>
          <w:rFonts w:ascii="Times New Roman"/>
          <w:sz w:val="21"/>
          <w:szCs w:val="21"/>
        </w:rPr>
        <w:t>日期：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imes New Roman"/>
          <w:b/>
          <w:sz w:val="22"/>
          <w:szCs w:val="28"/>
          <w:lang w:val="en-US" w:eastAsia="zh-CN"/>
        </w:rPr>
      </w:pPr>
      <w:r>
        <w:rPr>
          <w:sz w:val="24"/>
        </w:rPr>
        <w:br w:type="page"/>
      </w:r>
      <w:r>
        <w:rPr>
          <w:rFonts w:ascii="Times New Roman" w:hAnsi="Times New Roman" w:eastAsia="宋体" w:cs="Times New Roman"/>
          <w:b/>
          <w:sz w:val="22"/>
          <w:szCs w:val="28"/>
        </w:rPr>
        <w:t>格式</w:t>
      </w:r>
      <w:r>
        <w:rPr>
          <w:rFonts w:hint="eastAsia" w:cs="Times New Roman"/>
          <w:b/>
          <w:sz w:val="22"/>
          <w:szCs w:val="28"/>
          <w:lang w:val="en-US" w:eastAsia="zh-CN"/>
        </w:rPr>
        <w:t>九</w:t>
      </w:r>
    </w:p>
    <w:p>
      <w:pPr>
        <w:spacing w:line="360" w:lineRule="auto"/>
        <w:jc w:val="center"/>
        <w:rPr>
          <w:b/>
          <w:sz w:val="24"/>
        </w:rPr>
      </w:pPr>
      <w:r>
        <w:rPr>
          <w:b/>
          <w:sz w:val="24"/>
        </w:rPr>
        <w:t>开标一览表</w:t>
      </w:r>
    </w:p>
    <w:p>
      <w:pPr>
        <w:pStyle w:val="2"/>
      </w:pPr>
    </w:p>
    <w:p>
      <w:pPr>
        <w:pStyle w:val="20"/>
        <w:spacing w:line="360" w:lineRule="auto"/>
        <w:ind w:left="-178" w:leftChars="-85" w:firstLine="525" w:firstLineChars="250"/>
        <w:rPr>
          <w:rFonts w:ascii="Times New Roman"/>
          <w:spacing w:val="0"/>
          <w:kern w:val="2"/>
          <w:sz w:val="21"/>
          <w:szCs w:val="21"/>
        </w:rPr>
      </w:pPr>
      <w:r>
        <w:rPr>
          <w:rFonts w:ascii="Times New Roman"/>
          <w:spacing w:val="0"/>
          <w:kern w:val="2"/>
          <w:sz w:val="21"/>
          <w:szCs w:val="21"/>
        </w:rPr>
        <w:t>项目编号：</w:t>
      </w:r>
      <w:r>
        <w:rPr>
          <w:rFonts w:ascii="Times New Roman"/>
          <w:spacing w:val="0"/>
          <w:kern w:val="2"/>
          <w:sz w:val="21"/>
          <w:szCs w:val="21"/>
          <w:u w:val="single"/>
        </w:rPr>
        <w:t xml:space="preserve">                  </w:t>
      </w:r>
      <w:r>
        <w:rPr>
          <w:rFonts w:ascii="Times New Roman"/>
          <w:spacing w:val="0"/>
          <w:kern w:val="2"/>
          <w:sz w:val="21"/>
          <w:szCs w:val="21"/>
        </w:rPr>
        <w:t>项目名称：</w:t>
      </w:r>
      <w:r>
        <w:rPr>
          <w:rFonts w:ascii="Times New Roman"/>
          <w:spacing w:val="0"/>
          <w:kern w:val="2"/>
          <w:sz w:val="21"/>
          <w:szCs w:val="21"/>
          <w:u w:val="single"/>
        </w:rPr>
        <w:t xml:space="preserve">                       </w:t>
      </w:r>
    </w:p>
    <w:p>
      <w:pPr>
        <w:pStyle w:val="20"/>
        <w:spacing w:line="360" w:lineRule="auto"/>
        <w:ind w:left="-178" w:leftChars="-85" w:firstLine="525" w:firstLineChars="250"/>
        <w:rPr>
          <w:rFonts w:ascii="Times New Roman"/>
          <w:spacing w:val="0"/>
          <w:kern w:val="2"/>
          <w:sz w:val="21"/>
          <w:szCs w:val="21"/>
        </w:rPr>
      </w:pPr>
    </w:p>
    <w:tbl>
      <w:tblPr>
        <w:tblStyle w:val="48"/>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0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eastAsia="zh-CN"/>
              </w:rPr>
              <w:t>标项</w:t>
            </w:r>
            <w:r>
              <w:rPr>
                <w:rFonts w:hint="eastAsia"/>
                <w:lang w:val="en-US" w:eastAsia="zh-CN"/>
              </w:rPr>
              <w:t xml:space="preserve">号、 </w:t>
            </w:r>
            <w:r>
              <w:rPr>
                <w:szCs w:val="21"/>
              </w:rPr>
              <w:t>标项名称</w:t>
            </w:r>
          </w:p>
        </w:tc>
        <w:tc>
          <w:tcPr>
            <w:tcW w:w="5852" w:type="dxa"/>
            <w:tcBorders>
              <w:top w:val="single" w:color="auto" w:sz="4" w:space="0"/>
              <w:left w:val="single" w:color="auto" w:sz="4" w:space="0"/>
              <w:right w:val="single" w:color="auto" w:sz="4" w:space="0"/>
            </w:tcBorders>
            <w:vAlign w:val="center"/>
          </w:tcPr>
          <w:p>
            <w:pPr>
              <w:jc w:val="center"/>
            </w:pPr>
            <w: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000" w:type="dxa"/>
            <w:tcBorders>
              <w:top w:val="single" w:color="auto" w:sz="4" w:space="0"/>
              <w:left w:val="single" w:color="auto" w:sz="4" w:space="0"/>
              <w:bottom w:val="single" w:color="auto" w:sz="4" w:space="0"/>
              <w:right w:val="single" w:color="auto" w:sz="4" w:space="0"/>
            </w:tcBorders>
            <w:vAlign w:val="center"/>
          </w:tcPr>
          <w:p>
            <w:pPr>
              <w:jc w:val="center"/>
            </w:pPr>
          </w:p>
        </w:tc>
        <w:tc>
          <w:tcPr>
            <w:tcW w:w="5852" w:type="dxa"/>
            <w:tcBorders>
              <w:left w:val="single" w:color="auto" w:sz="4" w:space="0"/>
              <w:bottom w:val="single" w:color="auto" w:sz="4" w:space="0"/>
              <w:right w:val="single" w:color="auto" w:sz="4" w:space="0"/>
            </w:tcBorders>
            <w:vAlign w:val="center"/>
          </w:tcPr>
          <w:p>
            <w:pPr>
              <w:jc w:val="center"/>
            </w:pPr>
            <w:r>
              <w:rPr>
                <w:rFonts w:hint="eastAsia"/>
              </w:rPr>
              <w:t>投标折扣率：</w:t>
            </w:r>
            <w:r>
              <w:rPr>
                <w:rFonts w:hint="eastAsia"/>
                <w:u w:val="single"/>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3000"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widowControl w:val="0"/>
              <w:kinsoku/>
              <w:wordWrap/>
              <w:overflowPunct/>
              <w:topLinePunct w:val="0"/>
              <w:autoSpaceDE/>
              <w:autoSpaceDN/>
              <w:bidi w:val="0"/>
              <w:adjustRightInd/>
              <w:snapToGrid w:val="0"/>
              <w:spacing w:before="0" w:beforeAutospacing="0" w:after="120" w:afterAutospacing="0" w:line="240" w:lineRule="auto"/>
              <w:ind w:firstLine="403"/>
              <w:jc w:val="center"/>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投标声明</w:t>
            </w:r>
          </w:p>
        </w:tc>
        <w:tc>
          <w:tcPr>
            <w:tcW w:w="5852" w:type="dxa"/>
            <w:tcBorders>
              <w:top w:val="single" w:color="auto" w:sz="4" w:space="0"/>
              <w:left w:val="single" w:color="auto" w:sz="4" w:space="0"/>
              <w:bottom w:val="single" w:color="auto" w:sz="4" w:space="0"/>
              <w:right w:val="single" w:color="auto" w:sz="4" w:space="0"/>
            </w:tcBorders>
            <w:vAlign w:val="center"/>
          </w:tcPr>
          <w:p>
            <w:pPr>
              <w:pStyle w:val="44"/>
              <w:widowControl w:val="0"/>
              <w:spacing w:before="0" w:beforeAutospacing="0" w:after="120" w:afterAutospacing="0" w:line="360" w:lineRule="auto"/>
              <w:ind w:firstLine="404"/>
              <w:rPr>
                <w:rFonts w:ascii="Times New Roman" w:hAnsi="Times New Roman" w:eastAsia="宋体" w:cs="Times New Roman"/>
                <w:kern w:val="2"/>
                <w:sz w:val="21"/>
                <w:szCs w:val="24"/>
                <w:lang w:val="en-US" w:eastAsia="zh-CN" w:bidi="ar-SA"/>
              </w:rPr>
            </w:pP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b/>
          <w:bCs/>
          <w:lang w:val="en-US" w:eastAsia="zh-CN"/>
        </w:rPr>
        <w:t>报价说明：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1.报价含税，有效报价范围：0＜投标折扣率%≤100。若供应商填写的投标折扣率不在该范围内，则其投标无效。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2.投标折扣率应填写具体数值，如“70％”或“80％”。如填写“70％”即为打7折，“80％”即为打8折。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3.满足招标文件要求且各投标人中最低的投标折扣率为评标基准价，基准价得分为满分</w:t>
      </w:r>
      <w:r>
        <w:rPr>
          <w:rFonts w:hint="eastAsia"/>
          <w:lang w:val="en-US" w:eastAsia="zh-CN"/>
        </w:rPr>
        <w:t>30</w:t>
      </w:r>
      <w:r>
        <w:rPr>
          <w:rFonts w:hint="eastAsia"/>
        </w:rPr>
        <w:t>分，如：70%和80%的投标折扣率，70%的作为评标基准价。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4.投标折扣率如有小数点，最多保留两位，如：89.11%。</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5.报价一经涂改，应在涂改处加盖单位公章或者由法定代表人或授权委托人签字或盖章，否则其投标作无效标处理。</w:t>
      </w:r>
    </w:p>
    <w:p>
      <w:pPr>
        <w:spacing w:line="400" w:lineRule="exact"/>
        <w:rPr>
          <w:szCs w:val="21"/>
        </w:rPr>
      </w:pPr>
    </w:p>
    <w:p>
      <w:pPr>
        <w:pStyle w:val="20"/>
        <w:snapToGrid w:val="0"/>
        <w:spacing w:line="360" w:lineRule="auto"/>
        <w:rPr>
          <w:rFonts w:ascii="Times New Roman"/>
          <w:sz w:val="21"/>
          <w:szCs w:val="21"/>
        </w:rPr>
      </w:pPr>
      <w:r>
        <w:rPr>
          <w:rFonts w:ascii="Times New Roman"/>
          <w:sz w:val="21"/>
          <w:szCs w:val="21"/>
        </w:rPr>
        <w:t>投 标 人（盖章）：</w:t>
      </w:r>
    </w:p>
    <w:p>
      <w:pPr>
        <w:pStyle w:val="20"/>
        <w:snapToGrid w:val="0"/>
        <w:spacing w:line="360" w:lineRule="auto"/>
        <w:rPr>
          <w:rFonts w:ascii="Times New Roman"/>
          <w:sz w:val="21"/>
          <w:szCs w:val="21"/>
        </w:rPr>
      </w:pPr>
      <w:r>
        <w:rPr>
          <w:rFonts w:ascii="Times New Roman"/>
          <w:sz w:val="21"/>
          <w:szCs w:val="21"/>
        </w:rPr>
        <w:t>法定代表人或其授权代表（签字或盖章）：</w:t>
      </w:r>
    </w:p>
    <w:p>
      <w:pPr>
        <w:pStyle w:val="20"/>
        <w:snapToGrid w:val="0"/>
        <w:spacing w:line="360" w:lineRule="auto"/>
        <w:rPr>
          <w:rFonts w:ascii="Times New Roman"/>
          <w:sz w:val="21"/>
          <w:szCs w:val="21"/>
        </w:rPr>
      </w:pPr>
      <w:r>
        <w:rPr>
          <w:rFonts w:ascii="Times New Roman"/>
          <w:sz w:val="21"/>
          <w:szCs w:val="21"/>
        </w:rPr>
        <w:t>日            期：</w:t>
      </w:r>
    </w:p>
    <w:p>
      <w:pPr>
        <w:pStyle w:val="20"/>
        <w:widowControl/>
        <w:spacing w:line="360" w:lineRule="auto"/>
        <w:ind w:firstLine="0"/>
        <w:jc w:val="left"/>
        <w:rPr>
          <w:rFonts w:ascii="Times New Roman"/>
          <w:sz w:val="21"/>
          <w:szCs w:val="21"/>
        </w:rPr>
        <w:sectPr>
          <w:headerReference r:id="rId6" w:type="default"/>
          <w:footerReference r:id="rId7" w:type="default"/>
          <w:pgSz w:w="11907" w:h="16840"/>
          <w:pgMar w:top="1276" w:right="1474" w:bottom="1242" w:left="1474" w:header="851" w:footer="851" w:gutter="0"/>
          <w:pgNumType w:fmt="decimal"/>
          <w:cols w:space="720" w:num="1"/>
          <w:titlePg/>
          <w:docGrid w:linePitch="312" w:charSpace="0"/>
        </w:sectPr>
      </w:pPr>
      <w:r>
        <w:rPr>
          <w:szCs w:val="21"/>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cs="Times New Roman"/>
          <w:b/>
          <w:sz w:val="22"/>
          <w:szCs w:val="28"/>
          <w:lang w:val="en-US" w:eastAsia="zh-CN"/>
        </w:rPr>
      </w:pPr>
      <w:r>
        <w:rPr>
          <w:rFonts w:ascii="Times New Roman" w:hAnsi="Times New Roman" w:eastAsia="宋体" w:cs="Times New Roman"/>
          <w:b/>
          <w:sz w:val="22"/>
          <w:szCs w:val="28"/>
        </w:rPr>
        <w:t>格式</w:t>
      </w:r>
      <w:r>
        <w:rPr>
          <w:rFonts w:hint="eastAsia" w:cs="Times New Roman"/>
          <w:b/>
          <w:sz w:val="22"/>
          <w:szCs w:val="28"/>
          <w:lang w:val="en-US" w:eastAsia="zh-CN"/>
        </w:rPr>
        <w:t>十</w:t>
      </w:r>
    </w:p>
    <w:p>
      <w:pPr>
        <w:spacing w:line="460" w:lineRule="atLeast"/>
        <w:jc w:val="center"/>
        <w:rPr>
          <w:rFonts w:hint="eastAsia" w:ascii="宋体" w:hAnsi="宋体" w:eastAsia="宋体" w:cs="宋体"/>
          <w:b w:val="0"/>
          <w:bCs/>
          <w:color w:val="000000"/>
          <w:sz w:val="21"/>
          <w:szCs w:val="21"/>
        </w:rPr>
      </w:pPr>
    </w:p>
    <w:p>
      <w:pPr>
        <w:spacing w:line="460" w:lineRule="atLeast"/>
        <w:jc w:val="center"/>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rPr>
        <w:t>中小企业声明函（货物）</w:t>
      </w:r>
      <w:r>
        <w:rPr>
          <w:rFonts w:hint="eastAsia" w:ascii="宋体" w:hAnsi="宋体" w:eastAsia="宋体" w:cs="宋体"/>
          <w:b/>
          <w:bCs w:val="0"/>
          <w:color w:val="000000"/>
          <w:sz w:val="24"/>
          <w:szCs w:val="24"/>
          <w:lang w:val="en-US" w:eastAsia="zh-CN"/>
        </w:rPr>
        <w:t>-标项</w:t>
      </w:r>
      <w:r>
        <w:rPr>
          <w:rFonts w:hint="eastAsia" w:ascii="宋体" w:hAnsi="宋体" w:cs="宋体"/>
          <w:b/>
          <w:bCs w:val="0"/>
          <w:color w:val="000000"/>
          <w:sz w:val="24"/>
          <w:szCs w:val="24"/>
          <w:lang w:val="en-US" w:eastAsia="zh-CN"/>
        </w:rPr>
        <w:t>1</w:t>
      </w:r>
    </w:p>
    <w:p>
      <w:pPr>
        <w:pStyle w:val="2"/>
        <w:rPr>
          <w:rFonts w:hint="eastAsia"/>
        </w:rPr>
      </w:pPr>
    </w:p>
    <w:p>
      <w:pPr>
        <w:spacing w:line="460" w:lineRule="atLeast"/>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460" w:lineRule="atLeast"/>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u w:val="single"/>
        </w:rPr>
        <w:t>（海上固定加油站供油方式的柴油采购）</w:t>
      </w:r>
      <w:r>
        <w:rPr>
          <w:rFonts w:hint="eastAsia" w:ascii="宋体" w:hAnsi="宋体" w:eastAsia="宋体" w:cs="宋体"/>
          <w:b w:val="0"/>
          <w:bCs/>
          <w:color w:val="000000"/>
          <w:sz w:val="21"/>
          <w:szCs w:val="21"/>
        </w:rPr>
        <w:t xml:space="preserve"> ，属于</w:t>
      </w:r>
      <w:r>
        <w:rPr>
          <w:rFonts w:hint="eastAsia" w:ascii="宋体" w:hAnsi="宋体" w:eastAsia="宋体" w:cs="宋体"/>
          <w:b w:val="0"/>
          <w:bCs/>
          <w:color w:val="000000"/>
          <w:sz w:val="21"/>
          <w:szCs w:val="21"/>
          <w:u w:val="single"/>
        </w:rPr>
        <w:t>（</w:t>
      </w:r>
      <w:r>
        <w:rPr>
          <w:rFonts w:hint="eastAsia" w:ascii="宋体" w:hAnsi="宋体" w:cs="宋体"/>
          <w:b w:val="0"/>
          <w:bCs/>
          <w:color w:val="000000"/>
          <w:sz w:val="21"/>
          <w:szCs w:val="21"/>
          <w:u w:val="single"/>
          <w:lang w:eastAsia="zh-CN"/>
        </w:rPr>
        <w:t>工业</w:t>
      </w:r>
      <w:r>
        <w:rPr>
          <w:rFonts w:hint="eastAsia" w:ascii="宋体" w:hAnsi="宋体" w:eastAsia="宋体" w:cs="宋体"/>
          <w:b w:val="0"/>
          <w:bCs/>
          <w:color w:val="000000"/>
          <w:sz w:val="21"/>
          <w:szCs w:val="21"/>
          <w:u w:val="single"/>
        </w:rPr>
        <w:t>）</w:t>
      </w:r>
      <w:r>
        <w:rPr>
          <w:rFonts w:hint="eastAsia" w:ascii="宋体" w:hAnsi="宋体" w:eastAsia="宋体" w:cs="宋体"/>
          <w:b w:val="0"/>
          <w:bCs/>
          <w:color w:val="000000"/>
          <w:sz w:val="21"/>
          <w:szCs w:val="21"/>
        </w:rPr>
        <w:t>行业；制造商为</w:t>
      </w:r>
      <w:r>
        <w:rPr>
          <w:rFonts w:hint="eastAsia" w:ascii="宋体" w:hAnsi="宋体" w:eastAsia="宋体" w:cs="宋体"/>
          <w:b w:val="0"/>
          <w:bCs/>
          <w:color w:val="000000"/>
          <w:sz w:val="21"/>
          <w:szCs w:val="21"/>
          <w:u w:val="single"/>
        </w:rPr>
        <w:t>（企业名称）</w:t>
      </w:r>
      <w:r>
        <w:rPr>
          <w:rFonts w:hint="eastAsia" w:ascii="宋体" w:hAnsi="宋体" w:eastAsia="宋体" w:cs="宋体"/>
          <w:b w:val="0"/>
          <w:bCs/>
          <w:color w:val="000000"/>
          <w:sz w:val="21"/>
          <w:szCs w:val="21"/>
        </w:rPr>
        <w:t>，从业人员</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人，营业收入为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万元，资产总额为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万元</w:t>
      </w:r>
      <w:r>
        <w:rPr>
          <w:rFonts w:hint="eastAsia" w:ascii="宋体" w:hAnsi="宋体" w:eastAsia="宋体" w:cs="宋体"/>
          <w:b w:val="0"/>
          <w:bCs/>
          <w:color w:val="000000"/>
          <w:sz w:val="21"/>
          <w:szCs w:val="21"/>
          <w:vertAlign w:val="superscript"/>
        </w:rPr>
        <w:t>1</w:t>
      </w:r>
      <w:r>
        <w:rPr>
          <w:rFonts w:hint="eastAsia" w:ascii="宋体" w:hAnsi="宋体" w:eastAsia="宋体" w:cs="宋体"/>
          <w:b w:val="0"/>
          <w:bCs/>
          <w:color w:val="000000"/>
          <w:sz w:val="21"/>
          <w:szCs w:val="21"/>
        </w:rPr>
        <w:t>，属于</w:t>
      </w:r>
      <w:r>
        <w:rPr>
          <w:rFonts w:hint="eastAsia" w:ascii="宋体" w:hAnsi="宋体" w:eastAsia="宋体" w:cs="宋体"/>
          <w:b w:val="0"/>
          <w:bCs/>
          <w:color w:val="000000"/>
          <w:sz w:val="21"/>
          <w:szCs w:val="21"/>
          <w:u w:val="single"/>
        </w:rPr>
        <w:t xml:space="preserve">     （中型企业、小型企业、微型企业）</w:t>
      </w:r>
      <w:r>
        <w:rPr>
          <w:rFonts w:hint="eastAsia" w:ascii="宋体" w:hAnsi="宋体" w:eastAsia="宋体" w:cs="宋体"/>
          <w:b w:val="0"/>
          <w:bCs/>
          <w:color w:val="000000"/>
          <w:sz w:val="21"/>
          <w:szCs w:val="21"/>
        </w:rPr>
        <w:t>；</w:t>
      </w:r>
    </w:p>
    <w:p>
      <w:pPr>
        <w:spacing w:line="460" w:lineRule="atLeast"/>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u w:val="single"/>
        </w:rPr>
        <w:t xml:space="preserve">（标的名称） </w:t>
      </w:r>
      <w:r>
        <w:rPr>
          <w:rFonts w:hint="eastAsia" w:ascii="宋体" w:hAnsi="宋体" w:eastAsia="宋体" w:cs="宋体"/>
          <w:b w:val="0"/>
          <w:bCs/>
          <w:color w:val="000000"/>
          <w:sz w:val="21"/>
          <w:szCs w:val="21"/>
        </w:rPr>
        <w:t>，属于</w:t>
      </w:r>
      <w:r>
        <w:rPr>
          <w:rFonts w:hint="eastAsia" w:ascii="宋体" w:hAnsi="宋体" w:eastAsia="宋体" w:cs="宋体"/>
          <w:b w:val="0"/>
          <w:bCs/>
          <w:color w:val="000000"/>
          <w:sz w:val="21"/>
          <w:szCs w:val="21"/>
          <w:u w:val="single"/>
        </w:rPr>
        <w:t>（采购文件中明确的所属行业）</w:t>
      </w:r>
      <w:r>
        <w:rPr>
          <w:rFonts w:hint="eastAsia" w:ascii="宋体" w:hAnsi="宋体" w:eastAsia="宋体" w:cs="宋体"/>
          <w:b w:val="0"/>
          <w:bCs/>
          <w:color w:val="000000"/>
          <w:sz w:val="21"/>
          <w:szCs w:val="21"/>
        </w:rPr>
        <w:t>行业；制造商为</w:t>
      </w:r>
      <w:r>
        <w:rPr>
          <w:rFonts w:hint="eastAsia" w:ascii="宋体" w:hAnsi="宋体" w:eastAsia="宋体" w:cs="宋体"/>
          <w:b w:val="0"/>
          <w:bCs/>
          <w:color w:val="000000"/>
          <w:sz w:val="21"/>
          <w:szCs w:val="21"/>
          <w:u w:val="single"/>
        </w:rPr>
        <w:t>（企业名称）</w:t>
      </w:r>
      <w:r>
        <w:rPr>
          <w:rFonts w:hint="eastAsia" w:ascii="宋体" w:hAnsi="宋体" w:eastAsia="宋体" w:cs="宋体"/>
          <w:b w:val="0"/>
          <w:bCs/>
          <w:color w:val="000000"/>
          <w:sz w:val="21"/>
          <w:szCs w:val="21"/>
        </w:rPr>
        <w:t>，从业人员</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人，营业收入为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万元，资产总额为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万元，属于</w:t>
      </w:r>
      <w:r>
        <w:rPr>
          <w:rFonts w:hint="eastAsia" w:ascii="宋体" w:hAnsi="宋体" w:eastAsia="宋体" w:cs="宋体"/>
          <w:b w:val="0"/>
          <w:bCs/>
          <w:color w:val="000000"/>
          <w:sz w:val="21"/>
          <w:szCs w:val="21"/>
          <w:u w:val="single"/>
        </w:rPr>
        <w:t xml:space="preserve">     （中型企业、小型企业、微型企业）</w:t>
      </w:r>
      <w:r>
        <w:rPr>
          <w:rFonts w:hint="eastAsia" w:ascii="宋体" w:hAnsi="宋体" w:eastAsia="宋体" w:cs="宋体"/>
          <w:b w:val="0"/>
          <w:bCs/>
          <w:color w:val="000000"/>
          <w:sz w:val="21"/>
          <w:szCs w:val="21"/>
        </w:rPr>
        <w:t>；</w:t>
      </w:r>
    </w:p>
    <w:p>
      <w:pPr>
        <w:spacing w:line="460" w:lineRule="atLeast"/>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p>
      <w:pPr>
        <w:spacing w:line="460" w:lineRule="atLeast"/>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以上企业，不属于大企业的分支机构，不存在控股股东为大企业的情形，也不存在与大企业的负责人为同一人的情形。</w:t>
      </w:r>
    </w:p>
    <w:p>
      <w:pPr>
        <w:spacing w:line="460" w:lineRule="atLeast"/>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本企业对上述声明内容的真实性负责。如有虚假，将依法承担相应责任。</w:t>
      </w:r>
    </w:p>
    <w:p>
      <w:pPr>
        <w:spacing w:line="460" w:lineRule="atLeast"/>
        <w:ind w:firstLine="5040" w:firstLineChars="2400"/>
        <w:rPr>
          <w:rFonts w:hint="eastAsia" w:ascii="宋体" w:hAnsi="宋体" w:eastAsia="宋体" w:cs="宋体"/>
          <w:b w:val="0"/>
          <w:bCs/>
          <w:color w:val="000000"/>
          <w:sz w:val="21"/>
          <w:szCs w:val="21"/>
        </w:rPr>
      </w:pPr>
    </w:p>
    <w:p>
      <w:pPr>
        <w:spacing w:line="460" w:lineRule="atLeast"/>
        <w:ind w:firstLine="5250" w:firstLineChars="25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企业名称（盖章）：</w:t>
      </w:r>
    </w:p>
    <w:p>
      <w:pPr>
        <w:spacing w:line="460" w:lineRule="atLeast"/>
        <w:ind w:firstLine="5250" w:firstLineChars="25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日期：</w:t>
      </w:r>
    </w:p>
    <w:p>
      <w:pPr>
        <w:spacing w:line="460" w:lineRule="atLeast"/>
        <w:rPr>
          <w:rFonts w:hint="eastAsia" w:ascii="宋体" w:hAnsi="宋体" w:eastAsia="宋体" w:cs="宋体"/>
          <w:b w:val="0"/>
          <w:bCs/>
          <w:color w:val="000000"/>
          <w:sz w:val="21"/>
          <w:szCs w:val="21"/>
        </w:rPr>
      </w:pPr>
    </w:p>
    <w:p>
      <w:pPr>
        <w:spacing w:line="460" w:lineRule="atLeast"/>
        <w:rPr>
          <w:rFonts w:hint="eastAsia" w:ascii="宋体" w:hAnsi="宋体" w:eastAsia="宋体" w:cs="宋体"/>
          <w:b w:val="0"/>
          <w:bCs/>
          <w:color w:val="000000"/>
          <w:sz w:val="21"/>
          <w:szCs w:val="21"/>
        </w:rPr>
      </w:pPr>
    </w:p>
    <w:p>
      <w:pPr>
        <w:spacing w:line="460" w:lineRule="atLeas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说明：</w:t>
      </w:r>
    </w:p>
    <w:p>
      <w:pPr>
        <w:spacing w:line="460" w:lineRule="atLeas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1、从业人员、营业收入、资产总额填报上一年度数据，无上一年度数据的新成立企业可不填报。</w:t>
      </w:r>
    </w:p>
    <w:p>
      <w:pPr>
        <w:spacing w:line="460" w:lineRule="atLeas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2、如中标，将在中标（成交）公告中将此中小企业声明函予以公示，接受社会监督。</w:t>
      </w:r>
    </w:p>
    <w:p>
      <w:pPr>
        <w:pStyle w:val="20"/>
        <w:spacing w:line="520" w:lineRule="exact"/>
        <w:jc w:val="center"/>
        <w:rPr>
          <w:rFonts w:ascii="Times New Roman"/>
          <w:b/>
          <w:sz w:val="21"/>
          <w:szCs w:val="21"/>
        </w:rPr>
      </w:pPr>
    </w:p>
    <w:p>
      <w:pPr>
        <w:pStyle w:val="20"/>
        <w:spacing w:line="520" w:lineRule="exact"/>
        <w:jc w:val="center"/>
        <w:rPr>
          <w:rFonts w:ascii="Times New Roman"/>
          <w:b/>
          <w:sz w:val="21"/>
          <w:szCs w:val="21"/>
        </w:rPr>
      </w:pPr>
    </w:p>
    <w:p>
      <w:pPr>
        <w:rPr>
          <w:rFonts w:ascii="Times New Roman"/>
          <w:b/>
          <w:sz w:val="21"/>
          <w:szCs w:val="21"/>
        </w:rPr>
      </w:pPr>
    </w:p>
    <w:p>
      <w:pPr>
        <w:pStyle w:val="2"/>
        <w:rPr>
          <w:rFonts w:ascii="Times New Roman"/>
          <w:b/>
          <w:sz w:val="21"/>
          <w:szCs w:val="21"/>
        </w:rPr>
      </w:pPr>
    </w:p>
    <w:p>
      <w:pPr>
        <w:rPr>
          <w:rFonts w:ascii="Times New Roman"/>
          <w:b/>
          <w:sz w:val="21"/>
          <w:szCs w:val="21"/>
        </w:rPr>
      </w:pPr>
    </w:p>
    <w:p>
      <w:pPr>
        <w:pStyle w:val="2"/>
        <w:rPr>
          <w:rFonts w:ascii="Times New Roman"/>
          <w:b/>
          <w:sz w:val="21"/>
          <w:szCs w:val="21"/>
        </w:rPr>
      </w:pPr>
    </w:p>
    <w:p>
      <w:pPr>
        <w:spacing w:line="460" w:lineRule="atLeast"/>
        <w:jc w:val="center"/>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rPr>
        <w:t>中小企业声明函（货物）</w:t>
      </w:r>
      <w:r>
        <w:rPr>
          <w:rFonts w:hint="eastAsia" w:ascii="宋体" w:hAnsi="宋体" w:eastAsia="宋体" w:cs="宋体"/>
          <w:b/>
          <w:bCs w:val="0"/>
          <w:color w:val="000000"/>
          <w:sz w:val="24"/>
          <w:szCs w:val="24"/>
          <w:lang w:val="en-US" w:eastAsia="zh-CN"/>
        </w:rPr>
        <w:t>-标项</w:t>
      </w:r>
      <w:r>
        <w:rPr>
          <w:rFonts w:hint="eastAsia" w:ascii="宋体" w:hAnsi="宋体" w:cs="宋体"/>
          <w:b/>
          <w:bCs w:val="0"/>
          <w:color w:val="000000"/>
          <w:sz w:val="24"/>
          <w:szCs w:val="24"/>
          <w:lang w:val="en-US" w:eastAsia="zh-CN"/>
        </w:rPr>
        <w:t>2</w:t>
      </w:r>
    </w:p>
    <w:p>
      <w:pPr>
        <w:pStyle w:val="2"/>
        <w:rPr>
          <w:rFonts w:hint="eastAsia"/>
        </w:rPr>
      </w:pPr>
    </w:p>
    <w:p>
      <w:pPr>
        <w:spacing w:line="460" w:lineRule="atLeast"/>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460" w:lineRule="atLeast"/>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u w:val="single"/>
        </w:rPr>
        <w:t>（油罐车供油方式的柴油采购）</w:t>
      </w:r>
      <w:r>
        <w:rPr>
          <w:rFonts w:hint="eastAsia" w:ascii="宋体" w:hAnsi="宋体" w:eastAsia="宋体" w:cs="宋体"/>
          <w:b w:val="0"/>
          <w:bCs/>
          <w:color w:val="000000"/>
          <w:sz w:val="21"/>
          <w:szCs w:val="21"/>
        </w:rPr>
        <w:t xml:space="preserve"> ，属于</w:t>
      </w:r>
      <w:r>
        <w:rPr>
          <w:rFonts w:hint="eastAsia" w:ascii="宋体" w:hAnsi="宋体" w:eastAsia="宋体" w:cs="宋体"/>
          <w:b w:val="0"/>
          <w:bCs/>
          <w:color w:val="000000"/>
          <w:sz w:val="21"/>
          <w:szCs w:val="21"/>
          <w:u w:val="single"/>
        </w:rPr>
        <w:t>（</w:t>
      </w:r>
      <w:r>
        <w:rPr>
          <w:rFonts w:hint="eastAsia" w:ascii="宋体" w:hAnsi="宋体" w:cs="宋体"/>
          <w:b w:val="0"/>
          <w:bCs/>
          <w:color w:val="000000"/>
          <w:sz w:val="21"/>
          <w:szCs w:val="21"/>
          <w:u w:val="single"/>
          <w:lang w:eastAsia="zh-CN"/>
        </w:rPr>
        <w:t>工业</w:t>
      </w:r>
      <w:r>
        <w:rPr>
          <w:rFonts w:hint="eastAsia" w:ascii="宋体" w:hAnsi="宋体" w:eastAsia="宋体" w:cs="宋体"/>
          <w:b w:val="0"/>
          <w:bCs/>
          <w:color w:val="000000"/>
          <w:sz w:val="21"/>
          <w:szCs w:val="21"/>
          <w:u w:val="single"/>
        </w:rPr>
        <w:t>）</w:t>
      </w:r>
      <w:r>
        <w:rPr>
          <w:rFonts w:hint="eastAsia" w:ascii="宋体" w:hAnsi="宋体" w:eastAsia="宋体" w:cs="宋体"/>
          <w:b w:val="0"/>
          <w:bCs/>
          <w:color w:val="000000"/>
          <w:sz w:val="21"/>
          <w:szCs w:val="21"/>
        </w:rPr>
        <w:t>行业；制造商为</w:t>
      </w:r>
      <w:r>
        <w:rPr>
          <w:rFonts w:hint="eastAsia" w:ascii="宋体" w:hAnsi="宋体" w:eastAsia="宋体" w:cs="宋体"/>
          <w:b w:val="0"/>
          <w:bCs/>
          <w:color w:val="000000"/>
          <w:sz w:val="21"/>
          <w:szCs w:val="21"/>
          <w:u w:val="single"/>
        </w:rPr>
        <w:t>（企业名称）</w:t>
      </w:r>
      <w:r>
        <w:rPr>
          <w:rFonts w:hint="eastAsia" w:ascii="宋体" w:hAnsi="宋体" w:eastAsia="宋体" w:cs="宋体"/>
          <w:b w:val="0"/>
          <w:bCs/>
          <w:color w:val="000000"/>
          <w:sz w:val="21"/>
          <w:szCs w:val="21"/>
        </w:rPr>
        <w:t>，从业人员</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人，营业收入为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万元，资产总额为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万元</w:t>
      </w:r>
      <w:r>
        <w:rPr>
          <w:rFonts w:hint="eastAsia" w:ascii="宋体" w:hAnsi="宋体" w:eastAsia="宋体" w:cs="宋体"/>
          <w:b w:val="0"/>
          <w:bCs/>
          <w:color w:val="000000"/>
          <w:sz w:val="21"/>
          <w:szCs w:val="21"/>
          <w:vertAlign w:val="superscript"/>
        </w:rPr>
        <w:t>1</w:t>
      </w:r>
      <w:r>
        <w:rPr>
          <w:rFonts w:hint="eastAsia" w:ascii="宋体" w:hAnsi="宋体" w:eastAsia="宋体" w:cs="宋体"/>
          <w:b w:val="0"/>
          <w:bCs/>
          <w:color w:val="000000"/>
          <w:sz w:val="21"/>
          <w:szCs w:val="21"/>
        </w:rPr>
        <w:t>，属于</w:t>
      </w:r>
      <w:r>
        <w:rPr>
          <w:rFonts w:hint="eastAsia" w:ascii="宋体" w:hAnsi="宋体" w:eastAsia="宋体" w:cs="宋体"/>
          <w:b w:val="0"/>
          <w:bCs/>
          <w:color w:val="000000"/>
          <w:sz w:val="21"/>
          <w:szCs w:val="21"/>
          <w:u w:val="single"/>
        </w:rPr>
        <w:t xml:space="preserve">     （中型企业、小型企业、微型企业）</w:t>
      </w:r>
      <w:r>
        <w:rPr>
          <w:rFonts w:hint="eastAsia" w:ascii="宋体" w:hAnsi="宋体" w:eastAsia="宋体" w:cs="宋体"/>
          <w:b w:val="0"/>
          <w:bCs/>
          <w:color w:val="000000"/>
          <w:sz w:val="21"/>
          <w:szCs w:val="21"/>
        </w:rPr>
        <w:t>；</w:t>
      </w:r>
    </w:p>
    <w:p>
      <w:pPr>
        <w:spacing w:line="460" w:lineRule="atLeast"/>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u w:val="single"/>
        </w:rPr>
        <w:t xml:space="preserve">（标的名称） </w:t>
      </w:r>
      <w:r>
        <w:rPr>
          <w:rFonts w:hint="eastAsia" w:ascii="宋体" w:hAnsi="宋体" w:eastAsia="宋体" w:cs="宋体"/>
          <w:b w:val="0"/>
          <w:bCs/>
          <w:color w:val="000000"/>
          <w:sz w:val="21"/>
          <w:szCs w:val="21"/>
        </w:rPr>
        <w:t>，属于</w:t>
      </w:r>
      <w:r>
        <w:rPr>
          <w:rFonts w:hint="eastAsia" w:ascii="宋体" w:hAnsi="宋体" w:eastAsia="宋体" w:cs="宋体"/>
          <w:b w:val="0"/>
          <w:bCs/>
          <w:color w:val="000000"/>
          <w:sz w:val="21"/>
          <w:szCs w:val="21"/>
          <w:u w:val="single"/>
        </w:rPr>
        <w:t>（采购文件中明确的所属行业）</w:t>
      </w:r>
      <w:r>
        <w:rPr>
          <w:rFonts w:hint="eastAsia" w:ascii="宋体" w:hAnsi="宋体" w:eastAsia="宋体" w:cs="宋体"/>
          <w:b w:val="0"/>
          <w:bCs/>
          <w:color w:val="000000"/>
          <w:sz w:val="21"/>
          <w:szCs w:val="21"/>
        </w:rPr>
        <w:t>行业；制造商为</w:t>
      </w:r>
      <w:r>
        <w:rPr>
          <w:rFonts w:hint="eastAsia" w:ascii="宋体" w:hAnsi="宋体" w:eastAsia="宋体" w:cs="宋体"/>
          <w:b w:val="0"/>
          <w:bCs/>
          <w:color w:val="000000"/>
          <w:sz w:val="21"/>
          <w:szCs w:val="21"/>
          <w:u w:val="single"/>
        </w:rPr>
        <w:t>（企业名称）</w:t>
      </w:r>
      <w:r>
        <w:rPr>
          <w:rFonts w:hint="eastAsia" w:ascii="宋体" w:hAnsi="宋体" w:eastAsia="宋体" w:cs="宋体"/>
          <w:b w:val="0"/>
          <w:bCs/>
          <w:color w:val="000000"/>
          <w:sz w:val="21"/>
          <w:szCs w:val="21"/>
        </w:rPr>
        <w:t>，从业人员</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人，营业收入为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万元，资产总额为</w:t>
      </w:r>
      <w:r>
        <w:rPr>
          <w:rFonts w:hint="eastAsia" w:ascii="宋体" w:hAnsi="宋体" w:eastAsia="宋体" w:cs="宋体"/>
          <w:b w:val="0"/>
          <w:bCs/>
          <w:color w:val="000000"/>
          <w:sz w:val="21"/>
          <w:szCs w:val="21"/>
          <w:u w:val="single"/>
        </w:rPr>
        <w:t xml:space="preserve">       </w:t>
      </w:r>
      <w:r>
        <w:rPr>
          <w:rFonts w:hint="eastAsia" w:ascii="宋体" w:hAnsi="宋体" w:eastAsia="宋体" w:cs="宋体"/>
          <w:b w:val="0"/>
          <w:bCs/>
          <w:color w:val="000000"/>
          <w:sz w:val="21"/>
          <w:szCs w:val="21"/>
        </w:rPr>
        <w:t>万元，属于</w:t>
      </w:r>
      <w:r>
        <w:rPr>
          <w:rFonts w:hint="eastAsia" w:ascii="宋体" w:hAnsi="宋体" w:eastAsia="宋体" w:cs="宋体"/>
          <w:b w:val="0"/>
          <w:bCs/>
          <w:color w:val="000000"/>
          <w:sz w:val="21"/>
          <w:szCs w:val="21"/>
          <w:u w:val="single"/>
        </w:rPr>
        <w:t xml:space="preserve">     （中型企业、小型企业、微型企业）</w:t>
      </w:r>
      <w:r>
        <w:rPr>
          <w:rFonts w:hint="eastAsia" w:ascii="宋体" w:hAnsi="宋体" w:eastAsia="宋体" w:cs="宋体"/>
          <w:b w:val="0"/>
          <w:bCs/>
          <w:color w:val="000000"/>
          <w:sz w:val="21"/>
          <w:szCs w:val="21"/>
        </w:rPr>
        <w:t>；</w:t>
      </w:r>
    </w:p>
    <w:p>
      <w:pPr>
        <w:spacing w:line="460" w:lineRule="atLeast"/>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p>
      <w:pPr>
        <w:spacing w:line="460" w:lineRule="atLeast"/>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以上企业，不属于大企业的分支机构，不存在控股股东为大企业的情形，也不存在与大企业的负责人为同一人的情形。</w:t>
      </w:r>
    </w:p>
    <w:p>
      <w:pPr>
        <w:spacing w:line="460" w:lineRule="atLeast"/>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本企业对上述声明内容的真实性负责。如有虚假，将依法承担相应责任。</w:t>
      </w:r>
    </w:p>
    <w:p>
      <w:pPr>
        <w:spacing w:line="460" w:lineRule="atLeast"/>
        <w:ind w:firstLine="5040" w:firstLineChars="2400"/>
        <w:rPr>
          <w:rFonts w:hint="eastAsia" w:ascii="宋体" w:hAnsi="宋体" w:eastAsia="宋体" w:cs="宋体"/>
          <w:b w:val="0"/>
          <w:bCs/>
          <w:color w:val="000000"/>
          <w:sz w:val="21"/>
          <w:szCs w:val="21"/>
        </w:rPr>
      </w:pPr>
    </w:p>
    <w:p>
      <w:pPr>
        <w:spacing w:line="460" w:lineRule="atLeast"/>
        <w:ind w:firstLine="5250" w:firstLineChars="25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企业名称（盖章）：</w:t>
      </w:r>
    </w:p>
    <w:p>
      <w:pPr>
        <w:spacing w:line="460" w:lineRule="atLeast"/>
        <w:ind w:firstLine="5250" w:firstLineChars="25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日期：</w:t>
      </w:r>
    </w:p>
    <w:p>
      <w:pPr>
        <w:spacing w:line="460" w:lineRule="atLeast"/>
        <w:rPr>
          <w:rFonts w:hint="eastAsia" w:ascii="宋体" w:hAnsi="宋体" w:eastAsia="宋体" w:cs="宋体"/>
          <w:b w:val="0"/>
          <w:bCs/>
          <w:color w:val="000000"/>
          <w:sz w:val="21"/>
          <w:szCs w:val="21"/>
        </w:rPr>
      </w:pPr>
    </w:p>
    <w:p>
      <w:pPr>
        <w:spacing w:line="460" w:lineRule="atLeast"/>
        <w:rPr>
          <w:rFonts w:hint="eastAsia" w:ascii="宋体" w:hAnsi="宋体" w:eastAsia="宋体" w:cs="宋体"/>
          <w:b w:val="0"/>
          <w:bCs/>
          <w:color w:val="000000"/>
          <w:sz w:val="21"/>
          <w:szCs w:val="21"/>
        </w:rPr>
      </w:pPr>
    </w:p>
    <w:p>
      <w:pPr>
        <w:spacing w:line="460" w:lineRule="atLeas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说明：</w:t>
      </w:r>
    </w:p>
    <w:p>
      <w:pPr>
        <w:spacing w:line="460" w:lineRule="atLeas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1、从业人员、营业收入、资产总额填报上一年度数据，无上一年度数据的新成立企业可不填报。</w:t>
      </w:r>
    </w:p>
    <w:p>
      <w:pPr>
        <w:spacing w:line="460" w:lineRule="atLeas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2、如中标，将在中标（成交）公告中将此中小企业声明函予以公示，接受社会监督。</w:t>
      </w:r>
    </w:p>
    <w:p/>
    <w:p>
      <w:pPr>
        <w:pStyle w:val="20"/>
        <w:spacing w:line="520" w:lineRule="exact"/>
        <w:jc w:val="center"/>
        <w:rPr>
          <w:rFonts w:ascii="Times New Roman"/>
          <w:b/>
          <w:sz w:val="21"/>
          <w:szCs w:val="21"/>
        </w:rPr>
      </w:pPr>
    </w:p>
    <w:p>
      <w:pPr>
        <w:snapToGrid w:val="0"/>
        <w:spacing w:line="360" w:lineRule="auto"/>
        <w:jc w:val="left"/>
        <w:rPr>
          <w:spacing w:val="6"/>
          <w:szCs w:val="21"/>
        </w:rPr>
      </w:pPr>
      <w:r>
        <w:rPr>
          <w:spacing w:val="6"/>
          <w:szCs w:val="21"/>
        </w:rPr>
        <w:t xml:space="preserve"> </w:t>
      </w:r>
    </w:p>
    <w:p>
      <w:pPr>
        <w:snapToGrid w:val="0"/>
        <w:spacing w:line="360" w:lineRule="auto"/>
        <w:jc w:val="left"/>
        <w:rPr>
          <w:szCs w:val="21"/>
        </w:rPr>
      </w:pPr>
    </w:p>
    <w:p>
      <w:pPr>
        <w:pStyle w:val="47"/>
        <w:ind w:firstLine="404"/>
      </w:pPr>
    </w:p>
    <w:p>
      <w:pPr>
        <w:rPr>
          <w:rFonts w:ascii="Times New Roman" w:hAnsi="Times New Roman" w:eastAsia="宋体" w:cs="Times New Roman"/>
          <w:b/>
          <w:sz w:val="22"/>
          <w:szCs w:val="28"/>
        </w:rPr>
      </w:pPr>
      <w:bookmarkStart w:id="345" w:name="OLE_LINK14"/>
      <w:bookmarkStart w:id="346" w:name="OLE_LINK13"/>
      <w:r>
        <w:rPr>
          <w:rFonts w:ascii="Times New Roman" w:hAnsi="Times New Roman" w:eastAsia="宋体" w:cs="Times New Roman"/>
          <w:b/>
          <w:sz w:val="22"/>
          <w:szCs w:val="28"/>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imes New Roman"/>
          <w:b/>
          <w:sz w:val="22"/>
          <w:szCs w:val="28"/>
          <w:lang w:val="en-US" w:eastAsia="zh-CN"/>
        </w:rPr>
      </w:pPr>
      <w:r>
        <w:rPr>
          <w:rFonts w:ascii="Times New Roman" w:hAnsi="Times New Roman" w:eastAsia="宋体" w:cs="Times New Roman"/>
          <w:b/>
          <w:sz w:val="22"/>
          <w:szCs w:val="28"/>
        </w:rPr>
        <w:t>格式</w:t>
      </w:r>
      <w:r>
        <w:rPr>
          <w:rFonts w:hint="eastAsia" w:cs="Times New Roman"/>
          <w:b/>
          <w:sz w:val="22"/>
          <w:szCs w:val="28"/>
          <w:lang w:val="en-US" w:eastAsia="zh-CN"/>
        </w:rPr>
        <w:t>十一</w:t>
      </w:r>
    </w:p>
    <w:p>
      <w:pPr>
        <w:pStyle w:val="20"/>
        <w:spacing w:line="520" w:lineRule="exact"/>
        <w:jc w:val="center"/>
        <w:rPr>
          <w:rFonts w:ascii="Times New Roman"/>
          <w:b/>
          <w:sz w:val="21"/>
          <w:szCs w:val="21"/>
        </w:rPr>
      </w:pPr>
    </w:p>
    <w:p>
      <w:pPr>
        <w:pStyle w:val="20"/>
        <w:spacing w:line="520" w:lineRule="exact"/>
        <w:jc w:val="center"/>
        <w:rPr>
          <w:rFonts w:ascii="Times New Roman"/>
          <w:b/>
          <w:sz w:val="21"/>
          <w:szCs w:val="21"/>
        </w:rPr>
      </w:pPr>
      <w:r>
        <w:rPr>
          <w:rFonts w:ascii="Times New Roman"/>
          <w:b/>
          <w:sz w:val="21"/>
          <w:szCs w:val="21"/>
        </w:rPr>
        <w:t>残疾人福利性单位声明函</w:t>
      </w:r>
    </w:p>
    <w:bookmarkEnd w:id="345"/>
    <w:bookmarkEnd w:id="346"/>
    <w:p>
      <w:pPr>
        <w:spacing w:line="588" w:lineRule="exact"/>
        <w:rPr>
          <w:b/>
          <w:spacing w:val="6"/>
          <w:szCs w:val="21"/>
        </w:rPr>
      </w:pPr>
    </w:p>
    <w:p>
      <w:pPr>
        <w:spacing w:line="588" w:lineRule="exact"/>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 141</w:t>
      </w:r>
      <w:r>
        <w:rPr>
          <w:spacing w:val="6"/>
          <w:szCs w:val="21"/>
        </w:rPr>
        <w:t>号）的规定，本单位为符合条件的残疾人福利性单位，且本单位参加</w:t>
      </w:r>
      <w:r>
        <w:rPr>
          <w:spacing w:val="6"/>
          <w:szCs w:val="21"/>
          <w:u w:val="single"/>
        </w:rPr>
        <w:t>______</w:t>
      </w:r>
      <w:r>
        <w:rPr>
          <w:spacing w:val="6"/>
          <w:szCs w:val="21"/>
        </w:rPr>
        <w:t>单位的</w:t>
      </w:r>
      <w:r>
        <w:rPr>
          <w:spacing w:val="6"/>
          <w:szCs w:val="21"/>
          <w:u w:val="single"/>
        </w:rPr>
        <w:t>_____</w:t>
      </w:r>
      <w:r>
        <w:rPr>
          <w:spacing w:val="6"/>
          <w:szCs w:val="21"/>
        </w:rPr>
        <w:t>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spacing w:val="6"/>
          <w:szCs w:val="21"/>
        </w:rPr>
      </w:pPr>
      <w:r>
        <w:rPr>
          <w:spacing w:val="6"/>
          <w:szCs w:val="21"/>
        </w:rPr>
        <w:t>本单位对上述声明的真实性负责。如有虚假，将依法承担相应责任。</w:t>
      </w:r>
    </w:p>
    <w:p>
      <w:pPr>
        <w:spacing w:line="588" w:lineRule="exact"/>
        <w:ind w:firstLine="444" w:firstLineChars="200"/>
        <w:rPr>
          <w:spacing w:val="6"/>
          <w:szCs w:val="21"/>
        </w:rPr>
      </w:pPr>
    </w:p>
    <w:p>
      <w:pPr>
        <w:spacing w:line="588" w:lineRule="exact"/>
        <w:ind w:firstLine="444" w:firstLineChars="200"/>
        <w:rPr>
          <w:spacing w:val="6"/>
          <w:szCs w:val="21"/>
        </w:rPr>
      </w:pPr>
    </w:p>
    <w:p>
      <w:pPr>
        <w:spacing w:line="366" w:lineRule="exact"/>
        <w:ind w:left="4200" w:firstLine="210" w:firstLineChars="100"/>
        <w:rPr>
          <w:szCs w:val="21"/>
        </w:rPr>
      </w:pPr>
      <w:r>
        <w:rPr>
          <w:szCs w:val="21"/>
        </w:rPr>
        <w:t>单位名称（盖章）：</w:t>
      </w:r>
    </w:p>
    <w:p>
      <w:pPr>
        <w:spacing w:line="366" w:lineRule="exact"/>
        <w:ind w:left="4200" w:firstLine="315" w:firstLineChars="150"/>
        <w:rPr>
          <w:szCs w:val="21"/>
        </w:rPr>
        <w:sectPr>
          <w:headerReference r:id="rId8" w:type="default"/>
          <w:footerReference r:id="rId9" w:type="default"/>
          <w:pgSz w:w="11907" w:h="16840"/>
          <w:pgMar w:top="1276" w:right="1474" w:bottom="1242" w:left="1474" w:header="720" w:footer="720" w:gutter="0"/>
          <w:pgNumType w:fmt="decimal"/>
          <w:cols w:space="720" w:num="1"/>
          <w:docGrid w:linePitch="285" w:charSpace="0"/>
        </w:sectPr>
      </w:pPr>
      <w:r>
        <w:rPr>
          <w:szCs w:val="21"/>
        </w:rPr>
        <w:t>日期：</w:t>
      </w:r>
    </w:p>
    <w:p>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pPr>
        <w:pStyle w:val="222"/>
        <w:snapToGrid w:val="0"/>
        <w:spacing w:before="120" w:after="120" w:line="500" w:lineRule="exact"/>
      </w:pPr>
      <w:r>
        <w:rPr>
          <w:rFonts w:ascii="Times New Roman" w:hAnsi="Times New Roman"/>
        </w:rPr>
        <w:drawing>
          <wp:anchor distT="0" distB="0" distL="114300" distR="114300" simplePos="0" relativeHeight="251661312" behindDoc="0" locked="0" layoutInCell="1" allowOverlap="1">
            <wp:simplePos x="0" y="0"/>
            <wp:positionH relativeFrom="column">
              <wp:posOffset>-7620</wp:posOffset>
            </wp:positionH>
            <wp:positionV relativeFrom="paragraph">
              <wp:posOffset>101600</wp:posOffset>
            </wp:positionV>
            <wp:extent cx="9271000" cy="5558790"/>
            <wp:effectExtent l="0" t="0" r="10160" b="381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9274843" cy="5558790"/>
                    </a:xfrm>
                    <a:prstGeom prst="rect">
                      <a:avLst/>
                    </a:prstGeom>
                    <a:noFill/>
                    <a:ln>
                      <a:noFill/>
                    </a:ln>
                  </pic:spPr>
                </pic:pic>
              </a:graphicData>
            </a:graphic>
          </wp:anchor>
        </w:drawing>
      </w:r>
    </w:p>
    <w:sectPr>
      <w:pgSz w:w="16840" w:h="11907" w:orient="landscape"/>
      <w:pgMar w:top="1134" w:right="1276" w:bottom="851" w:left="1242" w:header="720" w:footer="720"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DejaVu Sans">
    <w:altName w:val="Segoe Print"/>
    <w:panose1 w:val="00000000000000000000"/>
    <w:charset w:val="00"/>
    <w:family w:val="roman"/>
    <w:pitch w:val="default"/>
    <w:sig w:usb0="00000000" w:usb1="00000000" w:usb2="0A246029" w:usb3="0400200C" w:csb0="600001FF" w:csb1="DFFF0000"/>
  </w:font>
  <w:font w:name="黑体-简">
    <w:altName w:val="黑体"/>
    <w:panose1 w:val="00000000000000000000"/>
    <w:charset w:val="00"/>
    <w:family w:val="auto"/>
    <w:pitch w:val="default"/>
    <w:sig w:usb0="00000000" w:usb1="00000000" w:usb2="00000010" w:usb3="00000000" w:csb0="003E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ヒラギノ角ゴ Pro W3">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ingFang SC">
    <w:altName w:val="Arial Unicode MS"/>
    <w:panose1 w:val="00000000000000000000"/>
    <w:charset w:val="00"/>
    <w:family w:val="swiss"/>
    <w:pitch w:val="default"/>
    <w:sig w:usb0="00000000" w:usb1="00000000" w:usb2="00000017" w:usb3="00000000" w:csb0="00040001" w:csb1="00000000"/>
  </w:font>
  <w:font w:name="Microsoft Sans Serif">
    <w:panose1 w:val="020B0604020202020204"/>
    <w:charset w:val="00"/>
    <w:family w:val="swiss"/>
    <w:pitch w:val="default"/>
    <w:sig w:usb0="E5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宋体 ( 正文 )">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宋体 ! important">
    <w:altName w:val="宋体"/>
    <w:panose1 w:val="00000000000000000000"/>
    <w:charset w:val="00"/>
    <w:family w:val="auto"/>
    <w:pitch w:val="default"/>
    <w:sig w:usb0="00000000" w:usb1="00000000" w:usb2="00000000" w:usb3="00000000" w:csb0="00040001" w:csb1="00000000"/>
  </w:font>
  <w:font w:name="Helvetica Neue">
    <w:altName w:val="DejaVu Math TeX Gyre"/>
    <w:panose1 w:val="00000000000000000000"/>
    <w:charset w:val="00"/>
    <w:family w:val="auto"/>
    <w:pitch w:val="default"/>
    <w:sig w:usb0="00000000" w:usb1="00000000" w:usb2="00000010" w:usb3="00000000" w:csb0="00000001" w:csb1="00000000"/>
  </w:font>
  <w:font w:name="Microsoft YaHei UI">
    <w:panose1 w:val="020B0503020204020204"/>
    <w:charset w:val="86"/>
    <w:family w:val="swiss"/>
    <w:pitch w:val="default"/>
    <w:sig w:usb0="80000287" w:usb1="2ACF3C50" w:usb2="00000016" w:usb3="00000000" w:csb0="0004001F" w:csb1="00000000"/>
  </w:font>
  <w:font w:name="方正仿宋_GB2312">
    <w:altName w:val="仿宋"/>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1"/>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48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ind w:firstLine="480"/>
                            <w:jc w:val="center"/>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1"/>
                      <w:ind w:firstLine="480"/>
                      <w:jc w:val="center"/>
                    </w:pPr>
                    <w:r>
                      <w:fldChar w:fldCharType="begin"/>
                    </w:r>
                    <w:r>
                      <w:instrText xml:space="preserve"> PAGE   \* MERGEFORMAT </w:instrText>
                    </w:r>
                    <w:r>
                      <w:fldChar w:fldCharType="separate"/>
                    </w:r>
                    <w:r>
                      <w:t>52</w:t>
                    </w:r>
                    <w:r>
                      <w:fldChar w:fldCharType="end"/>
                    </w:r>
                  </w:p>
                </w:txbxContent>
              </v:textbox>
            </v:shape>
          </w:pict>
        </mc:Fallback>
      </mc:AlternateContent>
    </w:r>
  </w:p>
  <w:p>
    <w:pPr>
      <w:pStyle w:val="31"/>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center"/>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1"/>
                      <w:jc w:val="center"/>
                    </w:pPr>
                    <w:r>
                      <w:fldChar w:fldCharType="begin"/>
                    </w:r>
                    <w:r>
                      <w:instrText xml:space="preserve"> PAGE   \* MERGEFORMAT </w:instrText>
                    </w:r>
                    <w:r>
                      <w:fldChar w:fldCharType="separate"/>
                    </w:r>
                    <w:r>
                      <w:t>55</w:t>
                    </w:r>
                    <w:r>
                      <w:fldChar w:fldCharType="end"/>
                    </w:r>
                  </w:p>
                </w:txbxContent>
              </v:textbox>
            </v:shape>
          </w:pict>
        </mc:Fallback>
      </mc:AlternateContent>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1373C"/>
    <w:multiLevelType w:val="singleLevel"/>
    <w:tmpl w:val="E001373C"/>
    <w:lvl w:ilvl="0" w:tentative="0">
      <w:start w:val="8"/>
      <w:numFmt w:val="chineseCounting"/>
      <w:suff w:val="nothing"/>
      <w:lvlText w:val="%1、"/>
      <w:lvlJc w:val="left"/>
      <w:rPr>
        <w:rFonts w:hint="eastAsia"/>
      </w:rPr>
    </w:lvl>
  </w:abstractNum>
  <w:abstractNum w:abstractNumId="1">
    <w:nsid w:val="FFDEE88A"/>
    <w:multiLevelType w:val="singleLevel"/>
    <w:tmpl w:val="FFDEE88A"/>
    <w:lvl w:ilvl="0" w:tentative="0">
      <w:start w:val="3"/>
      <w:numFmt w:val="chineseCounting"/>
      <w:suff w:val="nothing"/>
      <w:lvlText w:val="%1、"/>
      <w:lvlJc w:val="left"/>
      <w:rPr>
        <w:rFonts w:hint="eastAsia"/>
      </w:rPr>
    </w:lvl>
  </w:abstractNum>
  <w:abstractNum w:abstractNumId="2">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3">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4">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5">
    <w:nsid w:val="00000017"/>
    <w:multiLevelType w:val="singleLevel"/>
    <w:tmpl w:val="00000017"/>
    <w:lvl w:ilvl="0" w:tentative="0">
      <w:start w:val="1"/>
      <w:numFmt w:val="decimal"/>
      <w:suff w:val="nothing"/>
      <w:lvlText w:val="%1."/>
      <w:lvlJc w:val="left"/>
    </w:lvl>
  </w:abstractNum>
  <w:abstractNum w:abstractNumId="6">
    <w:nsid w:val="0000002F"/>
    <w:multiLevelType w:val="singleLevel"/>
    <w:tmpl w:val="0000002F"/>
    <w:lvl w:ilvl="0" w:tentative="0">
      <w:start w:val="1"/>
      <w:numFmt w:val="decimal"/>
      <w:suff w:val="nothing"/>
      <w:lvlText w:val="（%1）"/>
      <w:lvlJc w:val="left"/>
      <w:pPr>
        <w:ind w:left="0" w:firstLine="400"/>
      </w:pPr>
      <w:rPr>
        <w:rFonts w:hint="default"/>
      </w:rPr>
    </w:lvl>
  </w:abstractNum>
  <w:abstractNum w:abstractNumId="7">
    <w:nsid w:val="0FFFFF7C"/>
    <w:multiLevelType w:val="singleLevel"/>
    <w:tmpl w:val="0FFFFF7C"/>
    <w:lvl w:ilvl="0" w:tentative="0">
      <w:start w:val="1"/>
      <w:numFmt w:val="decimal"/>
      <w:pStyle w:val="15"/>
      <w:lvlText w:val="%1."/>
      <w:lvlJc w:val="left"/>
      <w:pPr>
        <w:tabs>
          <w:tab w:val="left" w:pos="2040"/>
        </w:tabs>
        <w:ind w:left="2040" w:hanging="360"/>
      </w:pPr>
    </w:lvl>
  </w:abstractNum>
  <w:abstractNum w:abstractNumId="8">
    <w:nsid w:val="0FFFFF7D"/>
    <w:multiLevelType w:val="singleLevel"/>
    <w:tmpl w:val="0FFFFF7D"/>
    <w:lvl w:ilvl="0" w:tentative="0">
      <w:start w:val="1"/>
      <w:numFmt w:val="decimal"/>
      <w:lvlText w:val="%1."/>
      <w:lvlJc w:val="left"/>
      <w:pPr>
        <w:tabs>
          <w:tab w:val="left" w:pos="1620"/>
        </w:tabs>
        <w:ind w:left="1620" w:hanging="360"/>
      </w:pPr>
    </w:lvl>
  </w:abstractNum>
  <w:abstractNum w:abstractNumId="9">
    <w:nsid w:val="0FFFFF7F"/>
    <w:multiLevelType w:val="singleLevel"/>
    <w:tmpl w:val="0FFFFF7F"/>
    <w:lvl w:ilvl="0" w:tentative="0">
      <w:start w:val="1"/>
      <w:numFmt w:val="decimal"/>
      <w:pStyle w:val="338"/>
      <w:lvlText w:val="%1."/>
      <w:lvlJc w:val="left"/>
      <w:pPr>
        <w:tabs>
          <w:tab w:val="left" w:pos="780"/>
        </w:tabs>
        <w:ind w:left="780" w:hanging="360"/>
      </w:pPr>
    </w:lvl>
  </w:abstractNum>
  <w:abstractNum w:abstractNumId="10">
    <w:nsid w:val="0FFFFF80"/>
    <w:multiLevelType w:val="singleLevel"/>
    <w:tmpl w:val="0FFFFF80"/>
    <w:lvl w:ilvl="0" w:tentative="0">
      <w:start w:val="1"/>
      <w:numFmt w:val="bullet"/>
      <w:pStyle w:val="27"/>
      <w:lvlText w:val=""/>
      <w:lvlJc w:val="left"/>
      <w:pPr>
        <w:tabs>
          <w:tab w:val="left" w:pos="2040"/>
        </w:tabs>
        <w:ind w:left="2040" w:hanging="360"/>
      </w:pPr>
      <w:rPr>
        <w:rFonts w:hint="default" w:ascii="Wingdings" w:hAnsi="Wingdings"/>
      </w:rPr>
    </w:lvl>
  </w:abstractNum>
  <w:abstractNum w:abstractNumId="11">
    <w:nsid w:val="0FFFFF81"/>
    <w:multiLevelType w:val="singleLevel"/>
    <w:tmpl w:val="0FFFFF81"/>
    <w:lvl w:ilvl="0" w:tentative="0">
      <w:start w:val="1"/>
      <w:numFmt w:val="bullet"/>
      <w:pStyle w:val="22"/>
      <w:lvlText w:val=""/>
      <w:lvlJc w:val="left"/>
      <w:pPr>
        <w:tabs>
          <w:tab w:val="left" w:pos="1620"/>
        </w:tabs>
        <w:ind w:left="1620" w:hanging="360"/>
      </w:pPr>
      <w:rPr>
        <w:rFonts w:hint="default" w:ascii="Wingdings" w:hAnsi="Wingdings"/>
      </w:rPr>
    </w:lvl>
  </w:abstractNum>
  <w:abstractNum w:abstractNumId="12">
    <w:nsid w:val="0FFFFF83"/>
    <w:multiLevelType w:val="singleLevel"/>
    <w:tmpl w:val="0FFFFF83"/>
    <w:lvl w:ilvl="0" w:tentative="0">
      <w:start w:val="1"/>
      <w:numFmt w:val="bullet"/>
      <w:pStyle w:val="39"/>
      <w:lvlText w:val=""/>
      <w:lvlJc w:val="left"/>
      <w:pPr>
        <w:tabs>
          <w:tab w:val="left" w:pos="780"/>
        </w:tabs>
        <w:ind w:left="780" w:hanging="360"/>
      </w:pPr>
      <w:rPr>
        <w:rFonts w:hint="default" w:ascii="Wingdings" w:hAnsi="Wingdings"/>
      </w:rPr>
    </w:lvl>
  </w:abstractNum>
  <w:abstractNum w:abstractNumId="13">
    <w:nsid w:val="0FFFFF89"/>
    <w:multiLevelType w:val="singleLevel"/>
    <w:tmpl w:val="0FFFFF89"/>
    <w:lvl w:ilvl="0" w:tentative="0">
      <w:start w:val="1"/>
      <w:numFmt w:val="bullet"/>
      <w:pStyle w:val="91"/>
      <w:lvlText w:val=""/>
      <w:lvlJc w:val="left"/>
      <w:pPr>
        <w:tabs>
          <w:tab w:val="left" w:pos="360"/>
        </w:tabs>
        <w:ind w:left="360" w:hanging="360"/>
      </w:pPr>
      <w:rPr>
        <w:rFonts w:hint="default" w:ascii="Wingdings" w:hAnsi="Wingdings"/>
      </w:rPr>
    </w:lvl>
  </w:abstractNum>
  <w:abstractNum w:abstractNumId="14">
    <w:nsid w:val="1223732A"/>
    <w:multiLevelType w:val="multilevel"/>
    <w:tmpl w:val="1223732A"/>
    <w:lvl w:ilvl="0" w:tentative="0">
      <w:start w:val="1"/>
      <w:numFmt w:val="bullet"/>
      <w:pStyle w:val="257"/>
      <w:lvlText w:val=""/>
      <w:lvlJc w:val="left"/>
      <w:pPr>
        <w:tabs>
          <w:tab w:val="left" w:pos="0"/>
        </w:tabs>
        <w:ind w:left="340" w:hanging="340"/>
      </w:pPr>
      <w:rPr>
        <w:rFonts w:hint="default" w:ascii="Wingdings" w:hAnsi="Wingdings"/>
      </w:rPr>
    </w:lvl>
    <w:lvl w:ilvl="1" w:tentative="0">
      <w:start w:val="1"/>
      <w:numFmt w:val="bullet"/>
      <w:lvlText w:val=""/>
      <w:lvlJc w:val="left"/>
      <w:pPr>
        <w:tabs>
          <w:tab w:val="left" w:pos="533"/>
        </w:tabs>
        <w:ind w:left="703" w:hanging="283"/>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4"/>
      <w:suff w:val="nothing"/>
      <w:lvlText w:val="%1.%2　"/>
      <w:lvlJc w:val="left"/>
      <w:pPr>
        <w:ind w:left="2411"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63"/>
      <w:suff w:val="nothing"/>
      <w:lvlText w:val="%1.%2.%3　"/>
      <w:lvlJc w:val="left"/>
      <w:pPr>
        <w:ind w:left="85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27B06E3"/>
    <w:multiLevelType w:val="singleLevel"/>
    <w:tmpl w:val="227B06E3"/>
    <w:lvl w:ilvl="0" w:tentative="0">
      <w:start w:val="3"/>
      <w:numFmt w:val="decimal"/>
      <w:suff w:val="nothing"/>
      <w:lvlText w:val="%1、"/>
      <w:lvlJc w:val="left"/>
    </w:lvl>
  </w:abstractNum>
  <w:abstractNum w:abstractNumId="17">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1569"/>
        </w:tabs>
        <w:ind w:left="1569"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8">
    <w:nsid w:val="4CA75A52"/>
    <w:multiLevelType w:val="multilevel"/>
    <w:tmpl w:val="4CA75A52"/>
    <w:lvl w:ilvl="0" w:tentative="0">
      <w:start w:val="1"/>
      <w:numFmt w:val="decimal"/>
      <w:pStyle w:val="262"/>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17"/>
  </w:num>
  <w:num w:numId="2">
    <w:abstractNumId w:val="7"/>
  </w:num>
  <w:num w:numId="3">
    <w:abstractNumId w:val="11"/>
  </w:num>
  <w:num w:numId="4">
    <w:abstractNumId w:val="10"/>
  </w:num>
  <w:num w:numId="5">
    <w:abstractNumId w:val="12"/>
  </w:num>
  <w:num w:numId="6">
    <w:abstractNumId w:val="8"/>
  </w:num>
  <w:num w:numId="7">
    <w:abstractNumId w:val="13"/>
  </w:num>
  <w:num w:numId="8">
    <w:abstractNumId w:val="14"/>
  </w:num>
  <w:num w:numId="9">
    <w:abstractNumId w:val="18"/>
  </w:num>
  <w:num w:numId="10">
    <w:abstractNumId w:val="9"/>
  </w:num>
  <w:num w:numId="11">
    <w:abstractNumId w:val="15"/>
  </w:num>
  <w:num w:numId="12">
    <w:abstractNumId w:val="1"/>
  </w:num>
  <w:num w:numId="13">
    <w:abstractNumId w:val="16"/>
  </w:num>
  <w:num w:numId="14">
    <w:abstractNumId w:val="3"/>
  </w:num>
  <w:num w:numId="15">
    <w:abstractNumId w:val="5"/>
  </w:num>
  <w:num w:numId="16">
    <w:abstractNumId w:val="2"/>
  </w:num>
  <w:num w:numId="17">
    <w:abstractNumId w:val="6"/>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NDQ1MTM2MmFiOTI4ZGMxZGY5ZWU3ODZkM2VhZmYifQ=="/>
  </w:docVars>
  <w:rsids>
    <w:rsidRoot w:val="001439E3"/>
    <w:rsid w:val="00000488"/>
    <w:rsid w:val="000012AC"/>
    <w:rsid w:val="000018F6"/>
    <w:rsid w:val="00002810"/>
    <w:rsid w:val="00003F1C"/>
    <w:rsid w:val="0000406B"/>
    <w:rsid w:val="00005372"/>
    <w:rsid w:val="00007555"/>
    <w:rsid w:val="00007C20"/>
    <w:rsid w:val="00012349"/>
    <w:rsid w:val="00012AEE"/>
    <w:rsid w:val="00012BF3"/>
    <w:rsid w:val="00012C9F"/>
    <w:rsid w:val="000130D1"/>
    <w:rsid w:val="00013191"/>
    <w:rsid w:val="000149CD"/>
    <w:rsid w:val="000152BD"/>
    <w:rsid w:val="000155EF"/>
    <w:rsid w:val="00016E5B"/>
    <w:rsid w:val="00017ADD"/>
    <w:rsid w:val="0002373B"/>
    <w:rsid w:val="00024329"/>
    <w:rsid w:val="00024A0A"/>
    <w:rsid w:val="000256D8"/>
    <w:rsid w:val="00026B94"/>
    <w:rsid w:val="000271E7"/>
    <w:rsid w:val="00027255"/>
    <w:rsid w:val="000276D0"/>
    <w:rsid w:val="000279D7"/>
    <w:rsid w:val="00027B64"/>
    <w:rsid w:val="00027E1C"/>
    <w:rsid w:val="00030A43"/>
    <w:rsid w:val="00030EBA"/>
    <w:rsid w:val="00031FDB"/>
    <w:rsid w:val="00033B69"/>
    <w:rsid w:val="00033F5E"/>
    <w:rsid w:val="00034A34"/>
    <w:rsid w:val="00035CB0"/>
    <w:rsid w:val="00036B84"/>
    <w:rsid w:val="00041D53"/>
    <w:rsid w:val="00042987"/>
    <w:rsid w:val="0004351F"/>
    <w:rsid w:val="0004418C"/>
    <w:rsid w:val="00045734"/>
    <w:rsid w:val="000460B6"/>
    <w:rsid w:val="00046A9C"/>
    <w:rsid w:val="000479FF"/>
    <w:rsid w:val="00051AE2"/>
    <w:rsid w:val="00051EB6"/>
    <w:rsid w:val="0005301B"/>
    <w:rsid w:val="000540F4"/>
    <w:rsid w:val="0005509D"/>
    <w:rsid w:val="00056633"/>
    <w:rsid w:val="000568C4"/>
    <w:rsid w:val="000572B3"/>
    <w:rsid w:val="000574D3"/>
    <w:rsid w:val="00057A09"/>
    <w:rsid w:val="00060411"/>
    <w:rsid w:val="000607F1"/>
    <w:rsid w:val="0006085B"/>
    <w:rsid w:val="0006185A"/>
    <w:rsid w:val="00061B71"/>
    <w:rsid w:val="00063078"/>
    <w:rsid w:val="000642B1"/>
    <w:rsid w:val="00064475"/>
    <w:rsid w:val="0006493A"/>
    <w:rsid w:val="00065D58"/>
    <w:rsid w:val="00065FC4"/>
    <w:rsid w:val="000660AC"/>
    <w:rsid w:val="00066102"/>
    <w:rsid w:val="00066F14"/>
    <w:rsid w:val="00070038"/>
    <w:rsid w:val="000704DD"/>
    <w:rsid w:val="000709A3"/>
    <w:rsid w:val="0007208D"/>
    <w:rsid w:val="00073814"/>
    <w:rsid w:val="00074067"/>
    <w:rsid w:val="00074B96"/>
    <w:rsid w:val="0007586B"/>
    <w:rsid w:val="0007595C"/>
    <w:rsid w:val="00076503"/>
    <w:rsid w:val="00076D74"/>
    <w:rsid w:val="00076D9F"/>
    <w:rsid w:val="000771F8"/>
    <w:rsid w:val="00077C7F"/>
    <w:rsid w:val="00080C31"/>
    <w:rsid w:val="00081113"/>
    <w:rsid w:val="00081328"/>
    <w:rsid w:val="000815A6"/>
    <w:rsid w:val="00081F25"/>
    <w:rsid w:val="000824AE"/>
    <w:rsid w:val="00082607"/>
    <w:rsid w:val="000839E0"/>
    <w:rsid w:val="00083E1A"/>
    <w:rsid w:val="00084A00"/>
    <w:rsid w:val="00085239"/>
    <w:rsid w:val="00086FBB"/>
    <w:rsid w:val="0008743B"/>
    <w:rsid w:val="000877A9"/>
    <w:rsid w:val="000922D6"/>
    <w:rsid w:val="000927CA"/>
    <w:rsid w:val="00093C6D"/>
    <w:rsid w:val="0009595A"/>
    <w:rsid w:val="0009619A"/>
    <w:rsid w:val="000A0CFD"/>
    <w:rsid w:val="000A0D3B"/>
    <w:rsid w:val="000A253C"/>
    <w:rsid w:val="000A2EC2"/>
    <w:rsid w:val="000A3467"/>
    <w:rsid w:val="000A3965"/>
    <w:rsid w:val="000A3985"/>
    <w:rsid w:val="000A3B0D"/>
    <w:rsid w:val="000A40C6"/>
    <w:rsid w:val="000A4754"/>
    <w:rsid w:val="000A6125"/>
    <w:rsid w:val="000A6CD6"/>
    <w:rsid w:val="000A7433"/>
    <w:rsid w:val="000A74AD"/>
    <w:rsid w:val="000A796B"/>
    <w:rsid w:val="000B0334"/>
    <w:rsid w:val="000B0B05"/>
    <w:rsid w:val="000B0D00"/>
    <w:rsid w:val="000B0DF4"/>
    <w:rsid w:val="000B1AC7"/>
    <w:rsid w:val="000B1CD8"/>
    <w:rsid w:val="000B1DFC"/>
    <w:rsid w:val="000B3BE7"/>
    <w:rsid w:val="000B3D29"/>
    <w:rsid w:val="000B4C1D"/>
    <w:rsid w:val="000B4E42"/>
    <w:rsid w:val="000B5B96"/>
    <w:rsid w:val="000B794A"/>
    <w:rsid w:val="000C091C"/>
    <w:rsid w:val="000C0DBC"/>
    <w:rsid w:val="000C16D5"/>
    <w:rsid w:val="000C5EC0"/>
    <w:rsid w:val="000C6496"/>
    <w:rsid w:val="000C6E1E"/>
    <w:rsid w:val="000C76F6"/>
    <w:rsid w:val="000C7C45"/>
    <w:rsid w:val="000D03D2"/>
    <w:rsid w:val="000D06C1"/>
    <w:rsid w:val="000D06DD"/>
    <w:rsid w:val="000D074E"/>
    <w:rsid w:val="000D1716"/>
    <w:rsid w:val="000D1CA6"/>
    <w:rsid w:val="000D3948"/>
    <w:rsid w:val="000D3E4C"/>
    <w:rsid w:val="000D43DF"/>
    <w:rsid w:val="000D442A"/>
    <w:rsid w:val="000D5A6F"/>
    <w:rsid w:val="000D657B"/>
    <w:rsid w:val="000D7001"/>
    <w:rsid w:val="000E02E9"/>
    <w:rsid w:val="000E1872"/>
    <w:rsid w:val="000E28C4"/>
    <w:rsid w:val="000E339F"/>
    <w:rsid w:val="000E3FF9"/>
    <w:rsid w:val="000E4396"/>
    <w:rsid w:val="000E5057"/>
    <w:rsid w:val="000E6720"/>
    <w:rsid w:val="000F02DE"/>
    <w:rsid w:val="000F1862"/>
    <w:rsid w:val="000F25BB"/>
    <w:rsid w:val="000F2B61"/>
    <w:rsid w:val="000F3A18"/>
    <w:rsid w:val="000F432C"/>
    <w:rsid w:val="000F576E"/>
    <w:rsid w:val="000F664C"/>
    <w:rsid w:val="000F72AD"/>
    <w:rsid w:val="000F79F1"/>
    <w:rsid w:val="001003BD"/>
    <w:rsid w:val="00101555"/>
    <w:rsid w:val="00101E31"/>
    <w:rsid w:val="001026FD"/>
    <w:rsid w:val="00103245"/>
    <w:rsid w:val="0010383D"/>
    <w:rsid w:val="001050E3"/>
    <w:rsid w:val="0010556B"/>
    <w:rsid w:val="0010614C"/>
    <w:rsid w:val="0011033E"/>
    <w:rsid w:val="001128F6"/>
    <w:rsid w:val="00112D3B"/>
    <w:rsid w:val="001138CE"/>
    <w:rsid w:val="0011512C"/>
    <w:rsid w:val="0011515B"/>
    <w:rsid w:val="00115A71"/>
    <w:rsid w:val="001169A0"/>
    <w:rsid w:val="00116D0E"/>
    <w:rsid w:val="001175DB"/>
    <w:rsid w:val="0012083A"/>
    <w:rsid w:val="00120C9D"/>
    <w:rsid w:val="00120FF4"/>
    <w:rsid w:val="00122125"/>
    <w:rsid w:val="00123804"/>
    <w:rsid w:val="00124FE1"/>
    <w:rsid w:val="0012576B"/>
    <w:rsid w:val="00127E5A"/>
    <w:rsid w:val="001301B5"/>
    <w:rsid w:val="0013096D"/>
    <w:rsid w:val="001318FC"/>
    <w:rsid w:val="0013194A"/>
    <w:rsid w:val="0013241C"/>
    <w:rsid w:val="00133B7C"/>
    <w:rsid w:val="00134BBA"/>
    <w:rsid w:val="001355D1"/>
    <w:rsid w:val="00135B17"/>
    <w:rsid w:val="001362B9"/>
    <w:rsid w:val="00137501"/>
    <w:rsid w:val="00137A61"/>
    <w:rsid w:val="0014008A"/>
    <w:rsid w:val="00141B17"/>
    <w:rsid w:val="001434AA"/>
    <w:rsid w:val="001439E3"/>
    <w:rsid w:val="001440ED"/>
    <w:rsid w:val="00144532"/>
    <w:rsid w:val="001447D0"/>
    <w:rsid w:val="00145635"/>
    <w:rsid w:val="0014564E"/>
    <w:rsid w:val="0015027D"/>
    <w:rsid w:val="00150467"/>
    <w:rsid w:val="00151365"/>
    <w:rsid w:val="00151612"/>
    <w:rsid w:val="00152DCB"/>
    <w:rsid w:val="00153EE1"/>
    <w:rsid w:val="001541B4"/>
    <w:rsid w:val="0015432B"/>
    <w:rsid w:val="00157A83"/>
    <w:rsid w:val="00160224"/>
    <w:rsid w:val="001610FE"/>
    <w:rsid w:val="0016304F"/>
    <w:rsid w:val="00165A83"/>
    <w:rsid w:val="00167419"/>
    <w:rsid w:val="00170223"/>
    <w:rsid w:val="0017091E"/>
    <w:rsid w:val="0017239C"/>
    <w:rsid w:val="00172432"/>
    <w:rsid w:val="00172516"/>
    <w:rsid w:val="00172DB4"/>
    <w:rsid w:val="00173BD2"/>
    <w:rsid w:val="00173E58"/>
    <w:rsid w:val="0017411F"/>
    <w:rsid w:val="00174AF7"/>
    <w:rsid w:val="001753FF"/>
    <w:rsid w:val="001760A1"/>
    <w:rsid w:val="00176612"/>
    <w:rsid w:val="00177A7E"/>
    <w:rsid w:val="001808F6"/>
    <w:rsid w:val="00180F4E"/>
    <w:rsid w:val="00180F90"/>
    <w:rsid w:val="00181425"/>
    <w:rsid w:val="00183754"/>
    <w:rsid w:val="00183F54"/>
    <w:rsid w:val="00184457"/>
    <w:rsid w:val="001845F0"/>
    <w:rsid w:val="00184BD1"/>
    <w:rsid w:val="00184D0F"/>
    <w:rsid w:val="00184F9A"/>
    <w:rsid w:val="001862BA"/>
    <w:rsid w:val="0018688D"/>
    <w:rsid w:val="00186F2E"/>
    <w:rsid w:val="00186F4E"/>
    <w:rsid w:val="001874BA"/>
    <w:rsid w:val="001904AB"/>
    <w:rsid w:val="001904B8"/>
    <w:rsid w:val="0019085D"/>
    <w:rsid w:val="0019106F"/>
    <w:rsid w:val="00191882"/>
    <w:rsid w:val="00191903"/>
    <w:rsid w:val="00192192"/>
    <w:rsid w:val="00192BED"/>
    <w:rsid w:val="00193198"/>
    <w:rsid w:val="001945CA"/>
    <w:rsid w:val="00194C05"/>
    <w:rsid w:val="00196A99"/>
    <w:rsid w:val="00197956"/>
    <w:rsid w:val="001A29A1"/>
    <w:rsid w:val="001A3082"/>
    <w:rsid w:val="001A36F1"/>
    <w:rsid w:val="001A4912"/>
    <w:rsid w:val="001A58AC"/>
    <w:rsid w:val="001A765D"/>
    <w:rsid w:val="001A78ED"/>
    <w:rsid w:val="001A7B63"/>
    <w:rsid w:val="001B0023"/>
    <w:rsid w:val="001B00B2"/>
    <w:rsid w:val="001B0220"/>
    <w:rsid w:val="001B0642"/>
    <w:rsid w:val="001B0677"/>
    <w:rsid w:val="001B0C9C"/>
    <w:rsid w:val="001B1368"/>
    <w:rsid w:val="001B1699"/>
    <w:rsid w:val="001B29B2"/>
    <w:rsid w:val="001B5122"/>
    <w:rsid w:val="001B615B"/>
    <w:rsid w:val="001B6A36"/>
    <w:rsid w:val="001B7CC3"/>
    <w:rsid w:val="001C2B34"/>
    <w:rsid w:val="001C2F71"/>
    <w:rsid w:val="001C37E4"/>
    <w:rsid w:val="001C4F95"/>
    <w:rsid w:val="001C5394"/>
    <w:rsid w:val="001C6618"/>
    <w:rsid w:val="001C6911"/>
    <w:rsid w:val="001C6F19"/>
    <w:rsid w:val="001C6F43"/>
    <w:rsid w:val="001D1916"/>
    <w:rsid w:val="001D226F"/>
    <w:rsid w:val="001D34D0"/>
    <w:rsid w:val="001D545A"/>
    <w:rsid w:val="001D601F"/>
    <w:rsid w:val="001D74EE"/>
    <w:rsid w:val="001D764D"/>
    <w:rsid w:val="001E001E"/>
    <w:rsid w:val="001E030C"/>
    <w:rsid w:val="001E0984"/>
    <w:rsid w:val="001E0C69"/>
    <w:rsid w:val="001E0DF6"/>
    <w:rsid w:val="001E2B27"/>
    <w:rsid w:val="001E3212"/>
    <w:rsid w:val="001E5FC5"/>
    <w:rsid w:val="001E6289"/>
    <w:rsid w:val="001E7042"/>
    <w:rsid w:val="001F041C"/>
    <w:rsid w:val="001F062C"/>
    <w:rsid w:val="001F4C7C"/>
    <w:rsid w:val="001F4F06"/>
    <w:rsid w:val="001F60B3"/>
    <w:rsid w:val="001F60F0"/>
    <w:rsid w:val="001F670D"/>
    <w:rsid w:val="001F679D"/>
    <w:rsid w:val="001F78EC"/>
    <w:rsid w:val="001F7A6C"/>
    <w:rsid w:val="001F7CA4"/>
    <w:rsid w:val="00200808"/>
    <w:rsid w:val="0020106F"/>
    <w:rsid w:val="002019C7"/>
    <w:rsid w:val="0020337A"/>
    <w:rsid w:val="002047C5"/>
    <w:rsid w:val="0020528F"/>
    <w:rsid w:val="002063D2"/>
    <w:rsid w:val="002068DF"/>
    <w:rsid w:val="00207898"/>
    <w:rsid w:val="00207960"/>
    <w:rsid w:val="00207983"/>
    <w:rsid w:val="0021092F"/>
    <w:rsid w:val="002111F5"/>
    <w:rsid w:val="00211449"/>
    <w:rsid w:val="0021304A"/>
    <w:rsid w:val="002137C4"/>
    <w:rsid w:val="00214501"/>
    <w:rsid w:val="00214761"/>
    <w:rsid w:val="002150E7"/>
    <w:rsid w:val="002157EB"/>
    <w:rsid w:val="00215D5C"/>
    <w:rsid w:val="00216895"/>
    <w:rsid w:val="002176B1"/>
    <w:rsid w:val="00217978"/>
    <w:rsid w:val="00220740"/>
    <w:rsid w:val="00221AE0"/>
    <w:rsid w:val="00224C68"/>
    <w:rsid w:val="00230C3A"/>
    <w:rsid w:val="00231F34"/>
    <w:rsid w:val="002322C1"/>
    <w:rsid w:val="00232CED"/>
    <w:rsid w:val="002332DA"/>
    <w:rsid w:val="002350BF"/>
    <w:rsid w:val="002363F8"/>
    <w:rsid w:val="00236404"/>
    <w:rsid w:val="0023688D"/>
    <w:rsid w:val="00236BBB"/>
    <w:rsid w:val="0023730C"/>
    <w:rsid w:val="002375DD"/>
    <w:rsid w:val="002405AE"/>
    <w:rsid w:val="00240C66"/>
    <w:rsid w:val="002416A9"/>
    <w:rsid w:val="00241E96"/>
    <w:rsid w:val="00241FB9"/>
    <w:rsid w:val="002514F6"/>
    <w:rsid w:val="00251A5D"/>
    <w:rsid w:val="00251F7E"/>
    <w:rsid w:val="002521D9"/>
    <w:rsid w:val="00252BCD"/>
    <w:rsid w:val="0025587D"/>
    <w:rsid w:val="00256785"/>
    <w:rsid w:val="002567D9"/>
    <w:rsid w:val="00256892"/>
    <w:rsid w:val="002568C3"/>
    <w:rsid w:val="00256D37"/>
    <w:rsid w:val="0025734B"/>
    <w:rsid w:val="00257809"/>
    <w:rsid w:val="002600A6"/>
    <w:rsid w:val="00260985"/>
    <w:rsid w:val="002615CB"/>
    <w:rsid w:val="00262C52"/>
    <w:rsid w:val="00263367"/>
    <w:rsid w:val="00263CD3"/>
    <w:rsid w:val="00264886"/>
    <w:rsid w:val="0026526D"/>
    <w:rsid w:val="002653ED"/>
    <w:rsid w:val="00265D3E"/>
    <w:rsid w:val="00266542"/>
    <w:rsid w:val="002669F4"/>
    <w:rsid w:val="002671AE"/>
    <w:rsid w:val="0026723B"/>
    <w:rsid w:val="00267FF7"/>
    <w:rsid w:val="00272D08"/>
    <w:rsid w:val="00272D84"/>
    <w:rsid w:val="00273C85"/>
    <w:rsid w:val="00273D49"/>
    <w:rsid w:val="00274181"/>
    <w:rsid w:val="00277823"/>
    <w:rsid w:val="0027787E"/>
    <w:rsid w:val="00277932"/>
    <w:rsid w:val="00277D7E"/>
    <w:rsid w:val="002811FC"/>
    <w:rsid w:val="002813CF"/>
    <w:rsid w:val="00281AB0"/>
    <w:rsid w:val="00281E91"/>
    <w:rsid w:val="0028217D"/>
    <w:rsid w:val="002826B2"/>
    <w:rsid w:val="00282ED1"/>
    <w:rsid w:val="00284691"/>
    <w:rsid w:val="00284DDC"/>
    <w:rsid w:val="002851BF"/>
    <w:rsid w:val="00286876"/>
    <w:rsid w:val="00286C72"/>
    <w:rsid w:val="00287F94"/>
    <w:rsid w:val="00290E7A"/>
    <w:rsid w:val="00291263"/>
    <w:rsid w:val="0029146B"/>
    <w:rsid w:val="00292F58"/>
    <w:rsid w:val="00293446"/>
    <w:rsid w:val="00293AD9"/>
    <w:rsid w:val="002945ED"/>
    <w:rsid w:val="00295033"/>
    <w:rsid w:val="00296C48"/>
    <w:rsid w:val="002A3109"/>
    <w:rsid w:val="002A319F"/>
    <w:rsid w:val="002A447D"/>
    <w:rsid w:val="002A57B8"/>
    <w:rsid w:val="002A667D"/>
    <w:rsid w:val="002A7CCC"/>
    <w:rsid w:val="002B1FEF"/>
    <w:rsid w:val="002B235D"/>
    <w:rsid w:val="002B2781"/>
    <w:rsid w:val="002B30AF"/>
    <w:rsid w:val="002B3D12"/>
    <w:rsid w:val="002B3FDA"/>
    <w:rsid w:val="002B42EB"/>
    <w:rsid w:val="002B5119"/>
    <w:rsid w:val="002B6D87"/>
    <w:rsid w:val="002B6DB9"/>
    <w:rsid w:val="002B7CF6"/>
    <w:rsid w:val="002C1F3F"/>
    <w:rsid w:val="002C2250"/>
    <w:rsid w:val="002C23B8"/>
    <w:rsid w:val="002C4449"/>
    <w:rsid w:val="002C5151"/>
    <w:rsid w:val="002C5A5F"/>
    <w:rsid w:val="002D1AA5"/>
    <w:rsid w:val="002D1B63"/>
    <w:rsid w:val="002D2CBB"/>
    <w:rsid w:val="002D38B1"/>
    <w:rsid w:val="002D40E3"/>
    <w:rsid w:val="002D4916"/>
    <w:rsid w:val="002D5699"/>
    <w:rsid w:val="002D5930"/>
    <w:rsid w:val="002D5A98"/>
    <w:rsid w:val="002D7EAE"/>
    <w:rsid w:val="002D7F2F"/>
    <w:rsid w:val="002E0443"/>
    <w:rsid w:val="002E09E6"/>
    <w:rsid w:val="002E0BC4"/>
    <w:rsid w:val="002E0BD5"/>
    <w:rsid w:val="002E0F9B"/>
    <w:rsid w:val="002E1D02"/>
    <w:rsid w:val="002E2759"/>
    <w:rsid w:val="002E2CE2"/>
    <w:rsid w:val="002E2F07"/>
    <w:rsid w:val="002E3E0E"/>
    <w:rsid w:val="002E403B"/>
    <w:rsid w:val="002E45BD"/>
    <w:rsid w:val="002E5827"/>
    <w:rsid w:val="002E620C"/>
    <w:rsid w:val="002E7C7C"/>
    <w:rsid w:val="002F0A83"/>
    <w:rsid w:val="002F2B41"/>
    <w:rsid w:val="002F43EB"/>
    <w:rsid w:val="002F4748"/>
    <w:rsid w:val="002F5505"/>
    <w:rsid w:val="002F60AA"/>
    <w:rsid w:val="002F643A"/>
    <w:rsid w:val="002F6981"/>
    <w:rsid w:val="00301025"/>
    <w:rsid w:val="00301045"/>
    <w:rsid w:val="0030178B"/>
    <w:rsid w:val="003019A0"/>
    <w:rsid w:val="00301B5A"/>
    <w:rsid w:val="00302E1B"/>
    <w:rsid w:val="00302FC7"/>
    <w:rsid w:val="003034B6"/>
    <w:rsid w:val="0030395D"/>
    <w:rsid w:val="00303CF1"/>
    <w:rsid w:val="00303F77"/>
    <w:rsid w:val="0030638A"/>
    <w:rsid w:val="003069DB"/>
    <w:rsid w:val="00306DEF"/>
    <w:rsid w:val="00311469"/>
    <w:rsid w:val="003118A3"/>
    <w:rsid w:val="00312462"/>
    <w:rsid w:val="00313052"/>
    <w:rsid w:val="0031430B"/>
    <w:rsid w:val="003145C9"/>
    <w:rsid w:val="00314951"/>
    <w:rsid w:val="00315463"/>
    <w:rsid w:val="00315D34"/>
    <w:rsid w:val="00316962"/>
    <w:rsid w:val="0031698E"/>
    <w:rsid w:val="00317F88"/>
    <w:rsid w:val="0032127D"/>
    <w:rsid w:val="003221FD"/>
    <w:rsid w:val="003227DE"/>
    <w:rsid w:val="00322E05"/>
    <w:rsid w:val="0032418E"/>
    <w:rsid w:val="00324281"/>
    <w:rsid w:val="0032516D"/>
    <w:rsid w:val="00331114"/>
    <w:rsid w:val="003313A7"/>
    <w:rsid w:val="00331626"/>
    <w:rsid w:val="00331865"/>
    <w:rsid w:val="003334E5"/>
    <w:rsid w:val="003351B7"/>
    <w:rsid w:val="0033529E"/>
    <w:rsid w:val="00336290"/>
    <w:rsid w:val="003364D6"/>
    <w:rsid w:val="003369F1"/>
    <w:rsid w:val="00337179"/>
    <w:rsid w:val="0034060A"/>
    <w:rsid w:val="00341A1E"/>
    <w:rsid w:val="00342744"/>
    <w:rsid w:val="00344665"/>
    <w:rsid w:val="00346331"/>
    <w:rsid w:val="00346625"/>
    <w:rsid w:val="00347025"/>
    <w:rsid w:val="003475CD"/>
    <w:rsid w:val="00347949"/>
    <w:rsid w:val="00347FA7"/>
    <w:rsid w:val="003508EA"/>
    <w:rsid w:val="00350EA5"/>
    <w:rsid w:val="003515CC"/>
    <w:rsid w:val="00351786"/>
    <w:rsid w:val="003523EA"/>
    <w:rsid w:val="00353746"/>
    <w:rsid w:val="0035379B"/>
    <w:rsid w:val="00353CBF"/>
    <w:rsid w:val="00354198"/>
    <w:rsid w:val="00355CE9"/>
    <w:rsid w:val="003560CA"/>
    <w:rsid w:val="00356486"/>
    <w:rsid w:val="003568E2"/>
    <w:rsid w:val="00356A32"/>
    <w:rsid w:val="00357708"/>
    <w:rsid w:val="00357C0B"/>
    <w:rsid w:val="0036045D"/>
    <w:rsid w:val="0036096C"/>
    <w:rsid w:val="0036116F"/>
    <w:rsid w:val="00361D31"/>
    <w:rsid w:val="003620E0"/>
    <w:rsid w:val="00362527"/>
    <w:rsid w:val="003637CC"/>
    <w:rsid w:val="00364D28"/>
    <w:rsid w:val="00364E77"/>
    <w:rsid w:val="00365364"/>
    <w:rsid w:val="00365555"/>
    <w:rsid w:val="00365686"/>
    <w:rsid w:val="0036649D"/>
    <w:rsid w:val="00366A29"/>
    <w:rsid w:val="003674BD"/>
    <w:rsid w:val="00367AE3"/>
    <w:rsid w:val="0037091D"/>
    <w:rsid w:val="003710EC"/>
    <w:rsid w:val="003714DC"/>
    <w:rsid w:val="00371EFD"/>
    <w:rsid w:val="0037261D"/>
    <w:rsid w:val="003728A6"/>
    <w:rsid w:val="00373253"/>
    <w:rsid w:val="003746C1"/>
    <w:rsid w:val="00375368"/>
    <w:rsid w:val="0037580F"/>
    <w:rsid w:val="00375CA8"/>
    <w:rsid w:val="00375E95"/>
    <w:rsid w:val="00375EA2"/>
    <w:rsid w:val="003763EE"/>
    <w:rsid w:val="003775DD"/>
    <w:rsid w:val="00382A84"/>
    <w:rsid w:val="003831EC"/>
    <w:rsid w:val="003838B9"/>
    <w:rsid w:val="0038398E"/>
    <w:rsid w:val="003839E7"/>
    <w:rsid w:val="003841DE"/>
    <w:rsid w:val="00384447"/>
    <w:rsid w:val="003850D5"/>
    <w:rsid w:val="0038574B"/>
    <w:rsid w:val="00385AFE"/>
    <w:rsid w:val="0038610C"/>
    <w:rsid w:val="003869D6"/>
    <w:rsid w:val="00387E06"/>
    <w:rsid w:val="003907D1"/>
    <w:rsid w:val="0039122B"/>
    <w:rsid w:val="00394438"/>
    <w:rsid w:val="00395739"/>
    <w:rsid w:val="00395889"/>
    <w:rsid w:val="00395B29"/>
    <w:rsid w:val="00396ED5"/>
    <w:rsid w:val="003A07FD"/>
    <w:rsid w:val="003A0BC8"/>
    <w:rsid w:val="003A0E4E"/>
    <w:rsid w:val="003A22D9"/>
    <w:rsid w:val="003A2651"/>
    <w:rsid w:val="003A26A7"/>
    <w:rsid w:val="003A26AB"/>
    <w:rsid w:val="003A3B54"/>
    <w:rsid w:val="003A41DA"/>
    <w:rsid w:val="003A50CE"/>
    <w:rsid w:val="003A575D"/>
    <w:rsid w:val="003A5C6A"/>
    <w:rsid w:val="003A6FAF"/>
    <w:rsid w:val="003A753F"/>
    <w:rsid w:val="003B216C"/>
    <w:rsid w:val="003B2FAA"/>
    <w:rsid w:val="003B31CD"/>
    <w:rsid w:val="003B33CF"/>
    <w:rsid w:val="003B3F6B"/>
    <w:rsid w:val="003B492F"/>
    <w:rsid w:val="003B4E05"/>
    <w:rsid w:val="003B4E4B"/>
    <w:rsid w:val="003B52A6"/>
    <w:rsid w:val="003B6691"/>
    <w:rsid w:val="003C03D0"/>
    <w:rsid w:val="003C04DF"/>
    <w:rsid w:val="003C1003"/>
    <w:rsid w:val="003C1E9C"/>
    <w:rsid w:val="003C245B"/>
    <w:rsid w:val="003C2A98"/>
    <w:rsid w:val="003C2F7E"/>
    <w:rsid w:val="003C3863"/>
    <w:rsid w:val="003C4454"/>
    <w:rsid w:val="003C559E"/>
    <w:rsid w:val="003C5622"/>
    <w:rsid w:val="003C56E0"/>
    <w:rsid w:val="003C7E14"/>
    <w:rsid w:val="003D01CC"/>
    <w:rsid w:val="003D12DE"/>
    <w:rsid w:val="003D12F9"/>
    <w:rsid w:val="003D1CFF"/>
    <w:rsid w:val="003D2437"/>
    <w:rsid w:val="003D46D6"/>
    <w:rsid w:val="003D4E20"/>
    <w:rsid w:val="003D5C49"/>
    <w:rsid w:val="003D653A"/>
    <w:rsid w:val="003D7677"/>
    <w:rsid w:val="003E0DF6"/>
    <w:rsid w:val="003E22E6"/>
    <w:rsid w:val="003E2C81"/>
    <w:rsid w:val="003E2FD9"/>
    <w:rsid w:val="003E47DD"/>
    <w:rsid w:val="003E4A37"/>
    <w:rsid w:val="003E593A"/>
    <w:rsid w:val="003E602A"/>
    <w:rsid w:val="003E6A2B"/>
    <w:rsid w:val="003E6E04"/>
    <w:rsid w:val="003E74EF"/>
    <w:rsid w:val="003F16D1"/>
    <w:rsid w:val="003F17D5"/>
    <w:rsid w:val="003F2712"/>
    <w:rsid w:val="003F31A3"/>
    <w:rsid w:val="003F3C22"/>
    <w:rsid w:val="003F3D07"/>
    <w:rsid w:val="003F4550"/>
    <w:rsid w:val="003F49AE"/>
    <w:rsid w:val="003F5748"/>
    <w:rsid w:val="003F7149"/>
    <w:rsid w:val="003F7A3B"/>
    <w:rsid w:val="00400886"/>
    <w:rsid w:val="00401FB6"/>
    <w:rsid w:val="004029FC"/>
    <w:rsid w:val="0040305E"/>
    <w:rsid w:val="00404BFB"/>
    <w:rsid w:val="00404D0F"/>
    <w:rsid w:val="00404E55"/>
    <w:rsid w:val="00404EAB"/>
    <w:rsid w:val="004057D4"/>
    <w:rsid w:val="00405B1A"/>
    <w:rsid w:val="0041008E"/>
    <w:rsid w:val="0041217B"/>
    <w:rsid w:val="0041370D"/>
    <w:rsid w:val="00413EEF"/>
    <w:rsid w:val="00416AED"/>
    <w:rsid w:val="00417D3C"/>
    <w:rsid w:val="00417FFD"/>
    <w:rsid w:val="004200DD"/>
    <w:rsid w:val="0042106E"/>
    <w:rsid w:val="00422982"/>
    <w:rsid w:val="00422B4B"/>
    <w:rsid w:val="00425350"/>
    <w:rsid w:val="004277BF"/>
    <w:rsid w:val="00430E82"/>
    <w:rsid w:val="00431E42"/>
    <w:rsid w:val="00432088"/>
    <w:rsid w:val="004320D8"/>
    <w:rsid w:val="00433C2F"/>
    <w:rsid w:val="00434717"/>
    <w:rsid w:val="00434DB7"/>
    <w:rsid w:val="004356B7"/>
    <w:rsid w:val="004364DD"/>
    <w:rsid w:val="00436E52"/>
    <w:rsid w:val="004371DB"/>
    <w:rsid w:val="004375A6"/>
    <w:rsid w:val="0044041E"/>
    <w:rsid w:val="004416D1"/>
    <w:rsid w:val="00444B07"/>
    <w:rsid w:val="00444F7A"/>
    <w:rsid w:val="00445491"/>
    <w:rsid w:val="00445A51"/>
    <w:rsid w:val="00447304"/>
    <w:rsid w:val="004478D1"/>
    <w:rsid w:val="004515D1"/>
    <w:rsid w:val="004523FD"/>
    <w:rsid w:val="00454093"/>
    <w:rsid w:val="00454654"/>
    <w:rsid w:val="004553FE"/>
    <w:rsid w:val="00456F6A"/>
    <w:rsid w:val="004571A2"/>
    <w:rsid w:val="00457222"/>
    <w:rsid w:val="0045799B"/>
    <w:rsid w:val="00457A40"/>
    <w:rsid w:val="00460546"/>
    <w:rsid w:val="00460859"/>
    <w:rsid w:val="00460911"/>
    <w:rsid w:val="00461416"/>
    <w:rsid w:val="00461678"/>
    <w:rsid w:val="004616EF"/>
    <w:rsid w:val="00461C1B"/>
    <w:rsid w:val="0046219F"/>
    <w:rsid w:val="004622BD"/>
    <w:rsid w:val="00462DBC"/>
    <w:rsid w:val="0046375D"/>
    <w:rsid w:val="00463781"/>
    <w:rsid w:val="00464190"/>
    <w:rsid w:val="0046459B"/>
    <w:rsid w:val="004647F9"/>
    <w:rsid w:val="00467068"/>
    <w:rsid w:val="0047013A"/>
    <w:rsid w:val="00470AF6"/>
    <w:rsid w:val="00470DB8"/>
    <w:rsid w:val="004742BE"/>
    <w:rsid w:val="00475FBD"/>
    <w:rsid w:val="0048019C"/>
    <w:rsid w:val="00481054"/>
    <w:rsid w:val="00481061"/>
    <w:rsid w:val="00481C5B"/>
    <w:rsid w:val="00482763"/>
    <w:rsid w:val="004844B6"/>
    <w:rsid w:val="0048460A"/>
    <w:rsid w:val="00486424"/>
    <w:rsid w:val="004876CA"/>
    <w:rsid w:val="0049163F"/>
    <w:rsid w:val="00491B33"/>
    <w:rsid w:val="00492755"/>
    <w:rsid w:val="00492B48"/>
    <w:rsid w:val="004934EC"/>
    <w:rsid w:val="0049689A"/>
    <w:rsid w:val="00497EBB"/>
    <w:rsid w:val="004A05AE"/>
    <w:rsid w:val="004A0D8E"/>
    <w:rsid w:val="004A175D"/>
    <w:rsid w:val="004A2D61"/>
    <w:rsid w:val="004A346B"/>
    <w:rsid w:val="004A3AF6"/>
    <w:rsid w:val="004A55F9"/>
    <w:rsid w:val="004A5912"/>
    <w:rsid w:val="004A5F61"/>
    <w:rsid w:val="004A7691"/>
    <w:rsid w:val="004A7D75"/>
    <w:rsid w:val="004B0231"/>
    <w:rsid w:val="004B0638"/>
    <w:rsid w:val="004B08F8"/>
    <w:rsid w:val="004B13BB"/>
    <w:rsid w:val="004B1449"/>
    <w:rsid w:val="004B147B"/>
    <w:rsid w:val="004B1AFE"/>
    <w:rsid w:val="004B4C1E"/>
    <w:rsid w:val="004B4E3A"/>
    <w:rsid w:val="004B56BF"/>
    <w:rsid w:val="004B71BF"/>
    <w:rsid w:val="004B71CF"/>
    <w:rsid w:val="004C1BB0"/>
    <w:rsid w:val="004C2180"/>
    <w:rsid w:val="004C2CD3"/>
    <w:rsid w:val="004C4A07"/>
    <w:rsid w:val="004C7406"/>
    <w:rsid w:val="004D0AB1"/>
    <w:rsid w:val="004D1020"/>
    <w:rsid w:val="004D1525"/>
    <w:rsid w:val="004D164A"/>
    <w:rsid w:val="004D168D"/>
    <w:rsid w:val="004D1AE6"/>
    <w:rsid w:val="004D3290"/>
    <w:rsid w:val="004D3D86"/>
    <w:rsid w:val="004D4215"/>
    <w:rsid w:val="004D5010"/>
    <w:rsid w:val="004D5B67"/>
    <w:rsid w:val="004D6457"/>
    <w:rsid w:val="004D67A3"/>
    <w:rsid w:val="004D75DD"/>
    <w:rsid w:val="004D7813"/>
    <w:rsid w:val="004E07D5"/>
    <w:rsid w:val="004E108F"/>
    <w:rsid w:val="004E1DF0"/>
    <w:rsid w:val="004E34D7"/>
    <w:rsid w:val="004E3750"/>
    <w:rsid w:val="004E61B0"/>
    <w:rsid w:val="004E622F"/>
    <w:rsid w:val="004E6271"/>
    <w:rsid w:val="004F0139"/>
    <w:rsid w:val="004F1883"/>
    <w:rsid w:val="004F27BA"/>
    <w:rsid w:val="004F432D"/>
    <w:rsid w:val="004F5A9F"/>
    <w:rsid w:val="004F720B"/>
    <w:rsid w:val="004F7582"/>
    <w:rsid w:val="0050013E"/>
    <w:rsid w:val="005003D8"/>
    <w:rsid w:val="00500570"/>
    <w:rsid w:val="00502C90"/>
    <w:rsid w:val="0050407C"/>
    <w:rsid w:val="005049BE"/>
    <w:rsid w:val="00504D60"/>
    <w:rsid w:val="00505181"/>
    <w:rsid w:val="00505951"/>
    <w:rsid w:val="00505CB7"/>
    <w:rsid w:val="00505DBF"/>
    <w:rsid w:val="0050662C"/>
    <w:rsid w:val="005069CC"/>
    <w:rsid w:val="00507693"/>
    <w:rsid w:val="00507D53"/>
    <w:rsid w:val="00507EFE"/>
    <w:rsid w:val="00510A43"/>
    <w:rsid w:val="00512EDE"/>
    <w:rsid w:val="005136F0"/>
    <w:rsid w:val="0051412D"/>
    <w:rsid w:val="00515B21"/>
    <w:rsid w:val="0051661B"/>
    <w:rsid w:val="00517643"/>
    <w:rsid w:val="0052118F"/>
    <w:rsid w:val="0052196A"/>
    <w:rsid w:val="005221CB"/>
    <w:rsid w:val="00522806"/>
    <w:rsid w:val="00524008"/>
    <w:rsid w:val="00524377"/>
    <w:rsid w:val="00524491"/>
    <w:rsid w:val="005246AE"/>
    <w:rsid w:val="005250BF"/>
    <w:rsid w:val="005261A9"/>
    <w:rsid w:val="00526460"/>
    <w:rsid w:val="00527FC0"/>
    <w:rsid w:val="00530621"/>
    <w:rsid w:val="00530944"/>
    <w:rsid w:val="00530EF8"/>
    <w:rsid w:val="00531C1E"/>
    <w:rsid w:val="00533AF8"/>
    <w:rsid w:val="005340D4"/>
    <w:rsid w:val="005341E7"/>
    <w:rsid w:val="0053511F"/>
    <w:rsid w:val="00535391"/>
    <w:rsid w:val="00535400"/>
    <w:rsid w:val="00535CFD"/>
    <w:rsid w:val="00535FE8"/>
    <w:rsid w:val="00536507"/>
    <w:rsid w:val="00537812"/>
    <w:rsid w:val="00541A3B"/>
    <w:rsid w:val="00541B5B"/>
    <w:rsid w:val="00541FFD"/>
    <w:rsid w:val="005428E0"/>
    <w:rsid w:val="00542973"/>
    <w:rsid w:val="00542E46"/>
    <w:rsid w:val="00542F05"/>
    <w:rsid w:val="005435CB"/>
    <w:rsid w:val="00545A7F"/>
    <w:rsid w:val="00546DAA"/>
    <w:rsid w:val="00547683"/>
    <w:rsid w:val="005509CF"/>
    <w:rsid w:val="0055232E"/>
    <w:rsid w:val="005525A8"/>
    <w:rsid w:val="00553516"/>
    <w:rsid w:val="005539F5"/>
    <w:rsid w:val="005548F7"/>
    <w:rsid w:val="00556417"/>
    <w:rsid w:val="005568C0"/>
    <w:rsid w:val="0055719E"/>
    <w:rsid w:val="0055736F"/>
    <w:rsid w:val="00560A35"/>
    <w:rsid w:val="00561A6F"/>
    <w:rsid w:val="00562BD2"/>
    <w:rsid w:val="00562F32"/>
    <w:rsid w:val="00563846"/>
    <w:rsid w:val="00563AC5"/>
    <w:rsid w:val="00563B21"/>
    <w:rsid w:val="005644FC"/>
    <w:rsid w:val="00564796"/>
    <w:rsid w:val="005650FA"/>
    <w:rsid w:val="00566372"/>
    <w:rsid w:val="00566440"/>
    <w:rsid w:val="00567028"/>
    <w:rsid w:val="00567069"/>
    <w:rsid w:val="00573260"/>
    <w:rsid w:val="005751B3"/>
    <w:rsid w:val="00575488"/>
    <w:rsid w:val="00575571"/>
    <w:rsid w:val="00575A1D"/>
    <w:rsid w:val="00576326"/>
    <w:rsid w:val="00576700"/>
    <w:rsid w:val="00577662"/>
    <w:rsid w:val="0058133D"/>
    <w:rsid w:val="00581E8A"/>
    <w:rsid w:val="00582980"/>
    <w:rsid w:val="005835C7"/>
    <w:rsid w:val="00583BB5"/>
    <w:rsid w:val="00584049"/>
    <w:rsid w:val="0058444F"/>
    <w:rsid w:val="005847EE"/>
    <w:rsid w:val="00584BC6"/>
    <w:rsid w:val="00584C5A"/>
    <w:rsid w:val="005850F1"/>
    <w:rsid w:val="0058533F"/>
    <w:rsid w:val="00585A1B"/>
    <w:rsid w:val="00585BCF"/>
    <w:rsid w:val="00586DDD"/>
    <w:rsid w:val="005870A9"/>
    <w:rsid w:val="0058741A"/>
    <w:rsid w:val="005874D9"/>
    <w:rsid w:val="005876C7"/>
    <w:rsid w:val="0059012B"/>
    <w:rsid w:val="0059167C"/>
    <w:rsid w:val="00591FAD"/>
    <w:rsid w:val="005922FD"/>
    <w:rsid w:val="00592DAE"/>
    <w:rsid w:val="005931A4"/>
    <w:rsid w:val="005931C5"/>
    <w:rsid w:val="00593F4C"/>
    <w:rsid w:val="00594917"/>
    <w:rsid w:val="0059533F"/>
    <w:rsid w:val="005976EE"/>
    <w:rsid w:val="005A0748"/>
    <w:rsid w:val="005A1B05"/>
    <w:rsid w:val="005A1D44"/>
    <w:rsid w:val="005A1EBB"/>
    <w:rsid w:val="005A26D6"/>
    <w:rsid w:val="005A37E9"/>
    <w:rsid w:val="005A6B55"/>
    <w:rsid w:val="005A71D2"/>
    <w:rsid w:val="005A7E37"/>
    <w:rsid w:val="005B1705"/>
    <w:rsid w:val="005B1765"/>
    <w:rsid w:val="005B1EA6"/>
    <w:rsid w:val="005B2556"/>
    <w:rsid w:val="005B3170"/>
    <w:rsid w:val="005B42F4"/>
    <w:rsid w:val="005B46F3"/>
    <w:rsid w:val="005B53EC"/>
    <w:rsid w:val="005C17C7"/>
    <w:rsid w:val="005C1B9D"/>
    <w:rsid w:val="005C250E"/>
    <w:rsid w:val="005C2704"/>
    <w:rsid w:val="005C38F3"/>
    <w:rsid w:val="005C3A50"/>
    <w:rsid w:val="005C3BFE"/>
    <w:rsid w:val="005C41CA"/>
    <w:rsid w:val="005C5AEA"/>
    <w:rsid w:val="005C6947"/>
    <w:rsid w:val="005D02C5"/>
    <w:rsid w:val="005D0634"/>
    <w:rsid w:val="005D0FD0"/>
    <w:rsid w:val="005D1E58"/>
    <w:rsid w:val="005D2C9C"/>
    <w:rsid w:val="005D30B2"/>
    <w:rsid w:val="005D3637"/>
    <w:rsid w:val="005D3E53"/>
    <w:rsid w:val="005D3EF0"/>
    <w:rsid w:val="005D56EC"/>
    <w:rsid w:val="005D6EBA"/>
    <w:rsid w:val="005E0109"/>
    <w:rsid w:val="005E040C"/>
    <w:rsid w:val="005E121D"/>
    <w:rsid w:val="005E15EF"/>
    <w:rsid w:val="005E1C44"/>
    <w:rsid w:val="005E2260"/>
    <w:rsid w:val="005E3B27"/>
    <w:rsid w:val="005E3CCB"/>
    <w:rsid w:val="005E4CB0"/>
    <w:rsid w:val="005E6760"/>
    <w:rsid w:val="005E68F6"/>
    <w:rsid w:val="005E6E1B"/>
    <w:rsid w:val="005E73A0"/>
    <w:rsid w:val="005E76CC"/>
    <w:rsid w:val="005E7F47"/>
    <w:rsid w:val="005F004A"/>
    <w:rsid w:val="005F20A9"/>
    <w:rsid w:val="005F22FD"/>
    <w:rsid w:val="005F48D4"/>
    <w:rsid w:val="005F616E"/>
    <w:rsid w:val="005F757F"/>
    <w:rsid w:val="005F7708"/>
    <w:rsid w:val="006001F5"/>
    <w:rsid w:val="00600424"/>
    <w:rsid w:val="00601478"/>
    <w:rsid w:val="00601653"/>
    <w:rsid w:val="00602332"/>
    <w:rsid w:val="00602E3C"/>
    <w:rsid w:val="006047F1"/>
    <w:rsid w:val="00604C8D"/>
    <w:rsid w:val="00605520"/>
    <w:rsid w:val="00605D81"/>
    <w:rsid w:val="00607495"/>
    <w:rsid w:val="0060789E"/>
    <w:rsid w:val="00607D86"/>
    <w:rsid w:val="00610C06"/>
    <w:rsid w:val="006112B1"/>
    <w:rsid w:val="006141F7"/>
    <w:rsid w:val="00616DDA"/>
    <w:rsid w:val="006176F8"/>
    <w:rsid w:val="00620C07"/>
    <w:rsid w:val="00620EB3"/>
    <w:rsid w:val="006220A2"/>
    <w:rsid w:val="006220E0"/>
    <w:rsid w:val="00622B02"/>
    <w:rsid w:val="006244F1"/>
    <w:rsid w:val="0062459A"/>
    <w:rsid w:val="006255CA"/>
    <w:rsid w:val="00625A78"/>
    <w:rsid w:val="00626050"/>
    <w:rsid w:val="00626114"/>
    <w:rsid w:val="006264CF"/>
    <w:rsid w:val="00627E6A"/>
    <w:rsid w:val="00630084"/>
    <w:rsid w:val="00630D4F"/>
    <w:rsid w:val="00631392"/>
    <w:rsid w:val="0063231F"/>
    <w:rsid w:val="006328C3"/>
    <w:rsid w:val="00632ECF"/>
    <w:rsid w:val="00633358"/>
    <w:rsid w:val="00635055"/>
    <w:rsid w:val="006355CD"/>
    <w:rsid w:val="006359FA"/>
    <w:rsid w:val="0063672E"/>
    <w:rsid w:val="00637EF4"/>
    <w:rsid w:val="00640288"/>
    <w:rsid w:val="0064045B"/>
    <w:rsid w:val="006422D2"/>
    <w:rsid w:val="00642D76"/>
    <w:rsid w:val="006436B3"/>
    <w:rsid w:val="00644001"/>
    <w:rsid w:val="0064725C"/>
    <w:rsid w:val="006473AF"/>
    <w:rsid w:val="0064748E"/>
    <w:rsid w:val="0064769B"/>
    <w:rsid w:val="0065103D"/>
    <w:rsid w:val="006518BE"/>
    <w:rsid w:val="00651EE8"/>
    <w:rsid w:val="006527E9"/>
    <w:rsid w:val="00652894"/>
    <w:rsid w:val="00654FE9"/>
    <w:rsid w:val="006562E3"/>
    <w:rsid w:val="006564E9"/>
    <w:rsid w:val="00661547"/>
    <w:rsid w:val="0066173F"/>
    <w:rsid w:val="00662950"/>
    <w:rsid w:val="006635AF"/>
    <w:rsid w:val="00664854"/>
    <w:rsid w:val="00664BCC"/>
    <w:rsid w:val="00665C18"/>
    <w:rsid w:val="00665DBB"/>
    <w:rsid w:val="00666B97"/>
    <w:rsid w:val="006679FE"/>
    <w:rsid w:val="00667A3D"/>
    <w:rsid w:val="00667E93"/>
    <w:rsid w:val="00667EE7"/>
    <w:rsid w:val="006715ED"/>
    <w:rsid w:val="00671DBB"/>
    <w:rsid w:val="00674757"/>
    <w:rsid w:val="006774D9"/>
    <w:rsid w:val="006834F1"/>
    <w:rsid w:val="00683947"/>
    <w:rsid w:val="00683F0C"/>
    <w:rsid w:val="006844F1"/>
    <w:rsid w:val="00685003"/>
    <w:rsid w:val="00685A1E"/>
    <w:rsid w:val="0068631A"/>
    <w:rsid w:val="00687533"/>
    <w:rsid w:val="0069134D"/>
    <w:rsid w:val="00691DA9"/>
    <w:rsid w:val="00691FCE"/>
    <w:rsid w:val="00692935"/>
    <w:rsid w:val="00693D6A"/>
    <w:rsid w:val="006947B0"/>
    <w:rsid w:val="0069498B"/>
    <w:rsid w:val="00694D5B"/>
    <w:rsid w:val="00694E14"/>
    <w:rsid w:val="0069668B"/>
    <w:rsid w:val="006968F1"/>
    <w:rsid w:val="00697CEC"/>
    <w:rsid w:val="006A0406"/>
    <w:rsid w:val="006A2562"/>
    <w:rsid w:val="006A2C6F"/>
    <w:rsid w:val="006A6430"/>
    <w:rsid w:val="006A6638"/>
    <w:rsid w:val="006A748A"/>
    <w:rsid w:val="006A7CCA"/>
    <w:rsid w:val="006B318A"/>
    <w:rsid w:val="006B3270"/>
    <w:rsid w:val="006B48EF"/>
    <w:rsid w:val="006B6128"/>
    <w:rsid w:val="006B6A1B"/>
    <w:rsid w:val="006B7770"/>
    <w:rsid w:val="006C1020"/>
    <w:rsid w:val="006C1102"/>
    <w:rsid w:val="006C1C9F"/>
    <w:rsid w:val="006C2265"/>
    <w:rsid w:val="006C36AD"/>
    <w:rsid w:val="006C4D69"/>
    <w:rsid w:val="006C6991"/>
    <w:rsid w:val="006C6CD6"/>
    <w:rsid w:val="006C6F66"/>
    <w:rsid w:val="006C7E85"/>
    <w:rsid w:val="006C7F4C"/>
    <w:rsid w:val="006D04BC"/>
    <w:rsid w:val="006D0BD6"/>
    <w:rsid w:val="006D1642"/>
    <w:rsid w:val="006D265B"/>
    <w:rsid w:val="006D28A2"/>
    <w:rsid w:val="006D46DD"/>
    <w:rsid w:val="006D4BEA"/>
    <w:rsid w:val="006D68A7"/>
    <w:rsid w:val="006E0609"/>
    <w:rsid w:val="006E1DFF"/>
    <w:rsid w:val="006E2EEF"/>
    <w:rsid w:val="006E5B89"/>
    <w:rsid w:val="006E5C30"/>
    <w:rsid w:val="006E5DFC"/>
    <w:rsid w:val="006E6218"/>
    <w:rsid w:val="006E6837"/>
    <w:rsid w:val="006E7D2C"/>
    <w:rsid w:val="006E7DD6"/>
    <w:rsid w:val="006F2D1D"/>
    <w:rsid w:val="006F3589"/>
    <w:rsid w:val="006F3A86"/>
    <w:rsid w:val="006F4158"/>
    <w:rsid w:val="006F4499"/>
    <w:rsid w:val="006F4A94"/>
    <w:rsid w:val="006F519E"/>
    <w:rsid w:val="006F5C3B"/>
    <w:rsid w:val="006F64BA"/>
    <w:rsid w:val="006F6D83"/>
    <w:rsid w:val="006F7262"/>
    <w:rsid w:val="006F746E"/>
    <w:rsid w:val="006F7D23"/>
    <w:rsid w:val="006F7D57"/>
    <w:rsid w:val="006F7FA2"/>
    <w:rsid w:val="0070005D"/>
    <w:rsid w:val="00700536"/>
    <w:rsid w:val="0070183B"/>
    <w:rsid w:val="00702510"/>
    <w:rsid w:val="0070349E"/>
    <w:rsid w:val="007037B7"/>
    <w:rsid w:val="00704332"/>
    <w:rsid w:val="00706E2F"/>
    <w:rsid w:val="00706F07"/>
    <w:rsid w:val="00707365"/>
    <w:rsid w:val="0070760B"/>
    <w:rsid w:val="0071025E"/>
    <w:rsid w:val="00710933"/>
    <w:rsid w:val="007117DE"/>
    <w:rsid w:val="00711BF7"/>
    <w:rsid w:val="007127BE"/>
    <w:rsid w:val="00712A88"/>
    <w:rsid w:val="007140FC"/>
    <w:rsid w:val="00715BA8"/>
    <w:rsid w:val="007166FC"/>
    <w:rsid w:val="00717E82"/>
    <w:rsid w:val="0072053A"/>
    <w:rsid w:val="007208F2"/>
    <w:rsid w:val="00720BE6"/>
    <w:rsid w:val="0072231F"/>
    <w:rsid w:val="00722A64"/>
    <w:rsid w:val="007238E6"/>
    <w:rsid w:val="00723D99"/>
    <w:rsid w:val="00725E01"/>
    <w:rsid w:val="00727BBD"/>
    <w:rsid w:val="00727C33"/>
    <w:rsid w:val="00731214"/>
    <w:rsid w:val="007331F9"/>
    <w:rsid w:val="00733566"/>
    <w:rsid w:val="0073364E"/>
    <w:rsid w:val="00733DDC"/>
    <w:rsid w:val="007344A5"/>
    <w:rsid w:val="00735740"/>
    <w:rsid w:val="00735E74"/>
    <w:rsid w:val="00736641"/>
    <w:rsid w:val="0073746A"/>
    <w:rsid w:val="007377CF"/>
    <w:rsid w:val="00741137"/>
    <w:rsid w:val="007416BB"/>
    <w:rsid w:val="0074174D"/>
    <w:rsid w:val="00741941"/>
    <w:rsid w:val="0074229D"/>
    <w:rsid w:val="0074244C"/>
    <w:rsid w:val="00742AEC"/>
    <w:rsid w:val="007433EA"/>
    <w:rsid w:val="00743D46"/>
    <w:rsid w:val="0074420A"/>
    <w:rsid w:val="00745645"/>
    <w:rsid w:val="00746BD2"/>
    <w:rsid w:val="00746E76"/>
    <w:rsid w:val="007509AA"/>
    <w:rsid w:val="00751338"/>
    <w:rsid w:val="00752193"/>
    <w:rsid w:val="00752A4E"/>
    <w:rsid w:val="0075302F"/>
    <w:rsid w:val="0075437F"/>
    <w:rsid w:val="00754792"/>
    <w:rsid w:val="00755870"/>
    <w:rsid w:val="00756827"/>
    <w:rsid w:val="00757304"/>
    <w:rsid w:val="00763805"/>
    <w:rsid w:val="007644D7"/>
    <w:rsid w:val="0076471E"/>
    <w:rsid w:val="00765A9E"/>
    <w:rsid w:val="007668D4"/>
    <w:rsid w:val="00767952"/>
    <w:rsid w:val="0077163C"/>
    <w:rsid w:val="00771B6F"/>
    <w:rsid w:val="00772A35"/>
    <w:rsid w:val="00772A9E"/>
    <w:rsid w:val="00772C46"/>
    <w:rsid w:val="00772CF1"/>
    <w:rsid w:val="00775D20"/>
    <w:rsid w:val="007762CD"/>
    <w:rsid w:val="00781772"/>
    <w:rsid w:val="0078368D"/>
    <w:rsid w:val="0078402E"/>
    <w:rsid w:val="00784C18"/>
    <w:rsid w:val="00784DB9"/>
    <w:rsid w:val="00785832"/>
    <w:rsid w:val="00786107"/>
    <w:rsid w:val="007863BC"/>
    <w:rsid w:val="0078727A"/>
    <w:rsid w:val="0078790B"/>
    <w:rsid w:val="007879B3"/>
    <w:rsid w:val="00791C26"/>
    <w:rsid w:val="007925B5"/>
    <w:rsid w:val="00792F73"/>
    <w:rsid w:val="00792F79"/>
    <w:rsid w:val="007939C5"/>
    <w:rsid w:val="00793C13"/>
    <w:rsid w:val="00793FB2"/>
    <w:rsid w:val="00794204"/>
    <w:rsid w:val="0079543A"/>
    <w:rsid w:val="00795E11"/>
    <w:rsid w:val="00795E1D"/>
    <w:rsid w:val="0079625E"/>
    <w:rsid w:val="00796DA9"/>
    <w:rsid w:val="007A1645"/>
    <w:rsid w:val="007A1D31"/>
    <w:rsid w:val="007A30D8"/>
    <w:rsid w:val="007A31CD"/>
    <w:rsid w:val="007A3A01"/>
    <w:rsid w:val="007A3F36"/>
    <w:rsid w:val="007A5B03"/>
    <w:rsid w:val="007A5BC9"/>
    <w:rsid w:val="007A6354"/>
    <w:rsid w:val="007A76D2"/>
    <w:rsid w:val="007A7D62"/>
    <w:rsid w:val="007B056A"/>
    <w:rsid w:val="007B0770"/>
    <w:rsid w:val="007B0E8A"/>
    <w:rsid w:val="007B1114"/>
    <w:rsid w:val="007B16C7"/>
    <w:rsid w:val="007B1F71"/>
    <w:rsid w:val="007B225E"/>
    <w:rsid w:val="007B2905"/>
    <w:rsid w:val="007B2F4A"/>
    <w:rsid w:val="007B3654"/>
    <w:rsid w:val="007B41BA"/>
    <w:rsid w:val="007B5FEB"/>
    <w:rsid w:val="007B688D"/>
    <w:rsid w:val="007B6C49"/>
    <w:rsid w:val="007B74F8"/>
    <w:rsid w:val="007B7797"/>
    <w:rsid w:val="007C005B"/>
    <w:rsid w:val="007C021D"/>
    <w:rsid w:val="007C027B"/>
    <w:rsid w:val="007C0C02"/>
    <w:rsid w:val="007C1B16"/>
    <w:rsid w:val="007C302B"/>
    <w:rsid w:val="007C410A"/>
    <w:rsid w:val="007C411B"/>
    <w:rsid w:val="007C4BC3"/>
    <w:rsid w:val="007C58BE"/>
    <w:rsid w:val="007C5A9C"/>
    <w:rsid w:val="007C716F"/>
    <w:rsid w:val="007C7553"/>
    <w:rsid w:val="007C7E4D"/>
    <w:rsid w:val="007D138A"/>
    <w:rsid w:val="007D2980"/>
    <w:rsid w:val="007D2A8E"/>
    <w:rsid w:val="007D4940"/>
    <w:rsid w:val="007D50C6"/>
    <w:rsid w:val="007D5262"/>
    <w:rsid w:val="007D611E"/>
    <w:rsid w:val="007D6837"/>
    <w:rsid w:val="007D697E"/>
    <w:rsid w:val="007D708D"/>
    <w:rsid w:val="007D76D7"/>
    <w:rsid w:val="007E2F88"/>
    <w:rsid w:val="007E442D"/>
    <w:rsid w:val="007F0BDD"/>
    <w:rsid w:val="007F0FE8"/>
    <w:rsid w:val="007F1105"/>
    <w:rsid w:val="007F4636"/>
    <w:rsid w:val="007F519A"/>
    <w:rsid w:val="007F53D0"/>
    <w:rsid w:val="007F57E7"/>
    <w:rsid w:val="007F703A"/>
    <w:rsid w:val="008000C2"/>
    <w:rsid w:val="0080086E"/>
    <w:rsid w:val="00800AF8"/>
    <w:rsid w:val="0080193B"/>
    <w:rsid w:val="00801F5C"/>
    <w:rsid w:val="00802742"/>
    <w:rsid w:val="0080314F"/>
    <w:rsid w:val="0080376C"/>
    <w:rsid w:val="00805AED"/>
    <w:rsid w:val="008130CA"/>
    <w:rsid w:val="00813A02"/>
    <w:rsid w:val="00814A7C"/>
    <w:rsid w:val="00815224"/>
    <w:rsid w:val="00816B35"/>
    <w:rsid w:val="00817771"/>
    <w:rsid w:val="0082130A"/>
    <w:rsid w:val="008228D6"/>
    <w:rsid w:val="008239D0"/>
    <w:rsid w:val="00825450"/>
    <w:rsid w:val="00827221"/>
    <w:rsid w:val="00830FAC"/>
    <w:rsid w:val="008314C1"/>
    <w:rsid w:val="00831A3F"/>
    <w:rsid w:val="00835FEB"/>
    <w:rsid w:val="0083615D"/>
    <w:rsid w:val="0083712D"/>
    <w:rsid w:val="0083730D"/>
    <w:rsid w:val="00840242"/>
    <w:rsid w:val="00840392"/>
    <w:rsid w:val="00840907"/>
    <w:rsid w:val="0084093A"/>
    <w:rsid w:val="00840E0C"/>
    <w:rsid w:val="008417B0"/>
    <w:rsid w:val="008419EA"/>
    <w:rsid w:val="008429FA"/>
    <w:rsid w:val="00842AAB"/>
    <w:rsid w:val="00843D20"/>
    <w:rsid w:val="008446CE"/>
    <w:rsid w:val="008447FA"/>
    <w:rsid w:val="008460E0"/>
    <w:rsid w:val="008464D4"/>
    <w:rsid w:val="008467A0"/>
    <w:rsid w:val="0084695E"/>
    <w:rsid w:val="00846C85"/>
    <w:rsid w:val="00846D66"/>
    <w:rsid w:val="008470A4"/>
    <w:rsid w:val="0084740E"/>
    <w:rsid w:val="00847475"/>
    <w:rsid w:val="008505C7"/>
    <w:rsid w:val="00851559"/>
    <w:rsid w:val="00851D49"/>
    <w:rsid w:val="00852044"/>
    <w:rsid w:val="00853259"/>
    <w:rsid w:val="00853432"/>
    <w:rsid w:val="008535FE"/>
    <w:rsid w:val="00853E4F"/>
    <w:rsid w:val="008541CE"/>
    <w:rsid w:val="00854269"/>
    <w:rsid w:val="00856322"/>
    <w:rsid w:val="008606A2"/>
    <w:rsid w:val="0086070F"/>
    <w:rsid w:val="00860B58"/>
    <w:rsid w:val="00860F1A"/>
    <w:rsid w:val="008616A3"/>
    <w:rsid w:val="0086181A"/>
    <w:rsid w:val="00861924"/>
    <w:rsid w:val="00862E26"/>
    <w:rsid w:val="008639B8"/>
    <w:rsid w:val="00863DBE"/>
    <w:rsid w:val="00864751"/>
    <w:rsid w:val="00865129"/>
    <w:rsid w:val="00865AE5"/>
    <w:rsid w:val="008663AF"/>
    <w:rsid w:val="008670BD"/>
    <w:rsid w:val="00867496"/>
    <w:rsid w:val="0086765D"/>
    <w:rsid w:val="00870574"/>
    <w:rsid w:val="00870B08"/>
    <w:rsid w:val="0087115E"/>
    <w:rsid w:val="00872BD5"/>
    <w:rsid w:val="00872D1D"/>
    <w:rsid w:val="00873125"/>
    <w:rsid w:val="0087340E"/>
    <w:rsid w:val="0087344C"/>
    <w:rsid w:val="00874204"/>
    <w:rsid w:val="0087462A"/>
    <w:rsid w:val="00874689"/>
    <w:rsid w:val="00874948"/>
    <w:rsid w:val="00874C06"/>
    <w:rsid w:val="0087584D"/>
    <w:rsid w:val="008772E4"/>
    <w:rsid w:val="00877564"/>
    <w:rsid w:val="00877785"/>
    <w:rsid w:val="008803C7"/>
    <w:rsid w:val="0088074A"/>
    <w:rsid w:val="00880B6E"/>
    <w:rsid w:val="00880ED8"/>
    <w:rsid w:val="00881345"/>
    <w:rsid w:val="008814F4"/>
    <w:rsid w:val="00881A8E"/>
    <w:rsid w:val="00881ECE"/>
    <w:rsid w:val="00882390"/>
    <w:rsid w:val="00883B2F"/>
    <w:rsid w:val="008846F8"/>
    <w:rsid w:val="008852F2"/>
    <w:rsid w:val="008862BC"/>
    <w:rsid w:val="008865CC"/>
    <w:rsid w:val="00890406"/>
    <w:rsid w:val="00890AE3"/>
    <w:rsid w:val="00892B3B"/>
    <w:rsid w:val="00893C3B"/>
    <w:rsid w:val="00893C89"/>
    <w:rsid w:val="00893D34"/>
    <w:rsid w:val="008944DB"/>
    <w:rsid w:val="0089594D"/>
    <w:rsid w:val="00895E3D"/>
    <w:rsid w:val="00895FEA"/>
    <w:rsid w:val="008A0F94"/>
    <w:rsid w:val="008A294B"/>
    <w:rsid w:val="008A3B9D"/>
    <w:rsid w:val="008A5C01"/>
    <w:rsid w:val="008A7641"/>
    <w:rsid w:val="008B145B"/>
    <w:rsid w:val="008B1766"/>
    <w:rsid w:val="008B195B"/>
    <w:rsid w:val="008B23BA"/>
    <w:rsid w:val="008B4BC7"/>
    <w:rsid w:val="008B4D0A"/>
    <w:rsid w:val="008B5457"/>
    <w:rsid w:val="008B55D8"/>
    <w:rsid w:val="008B65D9"/>
    <w:rsid w:val="008B6E55"/>
    <w:rsid w:val="008B7953"/>
    <w:rsid w:val="008C0AAD"/>
    <w:rsid w:val="008C0B44"/>
    <w:rsid w:val="008C28E7"/>
    <w:rsid w:val="008C35F5"/>
    <w:rsid w:val="008C3B72"/>
    <w:rsid w:val="008C3E88"/>
    <w:rsid w:val="008C47E0"/>
    <w:rsid w:val="008C4C58"/>
    <w:rsid w:val="008C567F"/>
    <w:rsid w:val="008C57DE"/>
    <w:rsid w:val="008C65D1"/>
    <w:rsid w:val="008C6ABE"/>
    <w:rsid w:val="008C6F53"/>
    <w:rsid w:val="008C794D"/>
    <w:rsid w:val="008C7E42"/>
    <w:rsid w:val="008D1CF2"/>
    <w:rsid w:val="008D379D"/>
    <w:rsid w:val="008D3A5F"/>
    <w:rsid w:val="008D4631"/>
    <w:rsid w:val="008D4A63"/>
    <w:rsid w:val="008D6A1B"/>
    <w:rsid w:val="008D7636"/>
    <w:rsid w:val="008D77EE"/>
    <w:rsid w:val="008D79EC"/>
    <w:rsid w:val="008E173B"/>
    <w:rsid w:val="008E1C37"/>
    <w:rsid w:val="008E23B8"/>
    <w:rsid w:val="008E2A03"/>
    <w:rsid w:val="008E48C5"/>
    <w:rsid w:val="008E523C"/>
    <w:rsid w:val="008E5E6E"/>
    <w:rsid w:val="008E5F9D"/>
    <w:rsid w:val="008E6776"/>
    <w:rsid w:val="008E6B9A"/>
    <w:rsid w:val="008E7B77"/>
    <w:rsid w:val="008F0308"/>
    <w:rsid w:val="008F052D"/>
    <w:rsid w:val="008F4793"/>
    <w:rsid w:val="008F49D4"/>
    <w:rsid w:val="008F73C1"/>
    <w:rsid w:val="008F7F23"/>
    <w:rsid w:val="009006D0"/>
    <w:rsid w:val="00900875"/>
    <w:rsid w:val="00901550"/>
    <w:rsid w:val="00901BF1"/>
    <w:rsid w:val="00901BFA"/>
    <w:rsid w:val="00901F8C"/>
    <w:rsid w:val="0090332F"/>
    <w:rsid w:val="00903D9C"/>
    <w:rsid w:val="00903E72"/>
    <w:rsid w:val="00907C5C"/>
    <w:rsid w:val="00910699"/>
    <w:rsid w:val="00912A0D"/>
    <w:rsid w:val="00912D98"/>
    <w:rsid w:val="009149AA"/>
    <w:rsid w:val="00916143"/>
    <w:rsid w:val="00917652"/>
    <w:rsid w:val="00917F83"/>
    <w:rsid w:val="00920123"/>
    <w:rsid w:val="00921BEC"/>
    <w:rsid w:val="0092311A"/>
    <w:rsid w:val="00925866"/>
    <w:rsid w:val="009258DB"/>
    <w:rsid w:val="0092772C"/>
    <w:rsid w:val="00927796"/>
    <w:rsid w:val="00931DBE"/>
    <w:rsid w:val="009321E2"/>
    <w:rsid w:val="00932E7C"/>
    <w:rsid w:val="00933001"/>
    <w:rsid w:val="009332BB"/>
    <w:rsid w:val="00935B8D"/>
    <w:rsid w:val="00936135"/>
    <w:rsid w:val="0093617A"/>
    <w:rsid w:val="009366F4"/>
    <w:rsid w:val="00936DDC"/>
    <w:rsid w:val="009371ED"/>
    <w:rsid w:val="00937C77"/>
    <w:rsid w:val="009420F3"/>
    <w:rsid w:val="00942117"/>
    <w:rsid w:val="009436FC"/>
    <w:rsid w:val="0094537A"/>
    <w:rsid w:val="00945845"/>
    <w:rsid w:val="0094591D"/>
    <w:rsid w:val="0094664C"/>
    <w:rsid w:val="0095014F"/>
    <w:rsid w:val="00950E5E"/>
    <w:rsid w:val="00950FD3"/>
    <w:rsid w:val="009522FD"/>
    <w:rsid w:val="00952D31"/>
    <w:rsid w:val="0095447D"/>
    <w:rsid w:val="009544F5"/>
    <w:rsid w:val="00954B0A"/>
    <w:rsid w:val="0095605D"/>
    <w:rsid w:val="00956696"/>
    <w:rsid w:val="00956769"/>
    <w:rsid w:val="00956E98"/>
    <w:rsid w:val="0095732D"/>
    <w:rsid w:val="0096087E"/>
    <w:rsid w:val="0096146C"/>
    <w:rsid w:val="009626AA"/>
    <w:rsid w:val="009628C2"/>
    <w:rsid w:val="00962960"/>
    <w:rsid w:val="0096304C"/>
    <w:rsid w:val="009634FF"/>
    <w:rsid w:val="00963527"/>
    <w:rsid w:val="0096375D"/>
    <w:rsid w:val="00963E5A"/>
    <w:rsid w:val="00964498"/>
    <w:rsid w:val="00964626"/>
    <w:rsid w:val="00964C75"/>
    <w:rsid w:val="00964C9F"/>
    <w:rsid w:val="00965B8C"/>
    <w:rsid w:val="00966F27"/>
    <w:rsid w:val="00970325"/>
    <w:rsid w:val="009704FA"/>
    <w:rsid w:val="009708C6"/>
    <w:rsid w:val="0097099B"/>
    <w:rsid w:val="00970B0C"/>
    <w:rsid w:val="00970FBD"/>
    <w:rsid w:val="00971A3A"/>
    <w:rsid w:val="00971C43"/>
    <w:rsid w:val="00972DEE"/>
    <w:rsid w:val="009746F5"/>
    <w:rsid w:val="009749DE"/>
    <w:rsid w:val="00974A4C"/>
    <w:rsid w:val="00975FAE"/>
    <w:rsid w:val="0097632E"/>
    <w:rsid w:val="00976B05"/>
    <w:rsid w:val="00976D3F"/>
    <w:rsid w:val="00977804"/>
    <w:rsid w:val="00977D20"/>
    <w:rsid w:val="009806D2"/>
    <w:rsid w:val="009815B8"/>
    <w:rsid w:val="009823B5"/>
    <w:rsid w:val="00982D48"/>
    <w:rsid w:val="009830D9"/>
    <w:rsid w:val="00984E6C"/>
    <w:rsid w:val="0098510D"/>
    <w:rsid w:val="0098596C"/>
    <w:rsid w:val="00985CCA"/>
    <w:rsid w:val="00986106"/>
    <w:rsid w:val="009879D8"/>
    <w:rsid w:val="00987EBF"/>
    <w:rsid w:val="00990D66"/>
    <w:rsid w:val="00990DE9"/>
    <w:rsid w:val="00990F42"/>
    <w:rsid w:val="009914ED"/>
    <w:rsid w:val="009915A3"/>
    <w:rsid w:val="00992C68"/>
    <w:rsid w:val="00992CAB"/>
    <w:rsid w:val="00994766"/>
    <w:rsid w:val="0099530A"/>
    <w:rsid w:val="00995CB9"/>
    <w:rsid w:val="00996DFF"/>
    <w:rsid w:val="009975A6"/>
    <w:rsid w:val="009A14A8"/>
    <w:rsid w:val="009A16DB"/>
    <w:rsid w:val="009A1A0F"/>
    <w:rsid w:val="009A2276"/>
    <w:rsid w:val="009A232C"/>
    <w:rsid w:val="009A23FC"/>
    <w:rsid w:val="009A2F48"/>
    <w:rsid w:val="009A3681"/>
    <w:rsid w:val="009A42C4"/>
    <w:rsid w:val="009A447B"/>
    <w:rsid w:val="009A4962"/>
    <w:rsid w:val="009A5713"/>
    <w:rsid w:val="009B0596"/>
    <w:rsid w:val="009B088C"/>
    <w:rsid w:val="009B17C7"/>
    <w:rsid w:val="009B1FCB"/>
    <w:rsid w:val="009B29DF"/>
    <w:rsid w:val="009B2A4A"/>
    <w:rsid w:val="009B309A"/>
    <w:rsid w:val="009B31A9"/>
    <w:rsid w:val="009B4333"/>
    <w:rsid w:val="009B49F1"/>
    <w:rsid w:val="009B59F7"/>
    <w:rsid w:val="009B5E69"/>
    <w:rsid w:val="009B729E"/>
    <w:rsid w:val="009C01AB"/>
    <w:rsid w:val="009C106A"/>
    <w:rsid w:val="009C18CA"/>
    <w:rsid w:val="009C2151"/>
    <w:rsid w:val="009C2986"/>
    <w:rsid w:val="009C36B8"/>
    <w:rsid w:val="009C4533"/>
    <w:rsid w:val="009C4CA6"/>
    <w:rsid w:val="009C5CB6"/>
    <w:rsid w:val="009C5F56"/>
    <w:rsid w:val="009C5F6A"/>
    <w:rsid w:val="009C6C6A"/>
    <w:rsid w:val="009D1567"/>
    <w:rsid w:val="009D2279"/>
    <w:rsid w:val="009D22D0"/>
    <w:rsid w:val="009D23D0"/>
    <w:rsid w:val="009D2A07"/>
    <w:rsid w:val="009D3ADF"/>
    <w:rsid w:val="009D4A69"/>
    <w:rsid w:val="009D739D"/>
    <w:rsid w:val="009D77F1"/>
    <w:rsid w:val="009E25AA"/>
    <w:rsid w:val="009E397C"/>
    <w:rsid w:val="009E438D"/>
    <w:rsid w:val="009E4C92"/>
    <w:rsid w:val="009E5FC7"/>
    <w:rsid w:val="009E606B"/>
    <w:rsid w:val="009E6A2D"/>
    <w:rsid w:val="009E6A4C"/>
    <w:rsid w:val="009E6B07"/>
    <w:rsid w:val="009F01AC"/>
    <w:rsid w:val="009F0DAD"/>
    <w:rsid w:val="009F13DB"/>
    <w:rsid w:val="009F2059"/>
    <w:rsid w:val="009F37F1"/>
    <w:rsid w:val="009F41AF"/>
    <w:rsid w:val="009F6DEB"/>
    <w:rsid w:val="009F7FFB"/>
    <w:rsid w:val="00A0064B"/>
    <w:rsid w:val="00A00BD1"/>
    <w:rsid w:val="00A01320"/>
    <w:rsid w:val="00A037AA"/>
    <w:rsid w:val="00A0479F"/>
    <w:rsid w:val="00A0593B"/>
    <w:rsid w:val="00A05C40"/>
    <w:rsid w:val="00A05EF5"/>
    <w:rsid w:val="00A0606A"/>
    <w:rsid w:val="00A0606B"/>
    <w:rsid w:val="00A073F0"/>
    <w:rsid w:val="00A10848"/>
    <w:rsid w:val="00A11725"/>
    <w:rsid w:val="00A11839"/>
    <w:rsid w:val="00A11EF4"/>
    <w:rsid w:val="00A122AA"/>
    <w:rsid w:val="00A15335"/>
    <w:rsid w:val="00A1625F"/>
    <w:rsid w:val="00A174FB"/>
    <w:rsid w:val="00A178D3"/>
    <w:rsid w:val="00A2025A"/>
    <w:rsid w:val="00A21072"/>
    <w:rsid w:val="00A2140C"/>
    <w:rsid w:val="00A227E7"/>
    <w:rsid w:val="00A24754"/>
    <w:rsid w:val="00A2484F"/>
    <w:rsid w:val="00A25E37"/>
    <w:rsid w:val="00A263A8"/>
    <w:rsid w:val="00A265E1"/>
    <w:rsid w:val="00A310C5"/>
    <w:rsid w:val="00A313C9"/>
    <w:rsid w:val="00A31501"/>
    <w:rsid w:val="00A31A05"/>
    <w:rsid w:val="00A341A3"/>
    <w:rsid w:val="00A3460A"/>
    <w:rsid w:val="00A34611"/>
    <w:rsid w:val="00A3693F"/>
    <w:rsid w:val="00A36ED3"/>
    <w:rsid w:val="00A37835"/>
    <w:rsid w:val="00A40B6B"/>
    <w:rsid w:val="00A416F3"/>
    <w:rsid w:val="00A42630"/>
    <w:rsid w:val="00A42631"/>
    <w:rsid w:val="00A428AC"/>
    <w:rsid w:val="00A43DA3"/>
    <w:rsid w:val="00A43E9F"/>
    <w:rsid w:val="00A43F0C"/>
    <w:rsid w:val="00A44119"/>
    <w:rsid w:val="00A4450E"/>
    <w:rsid w:val="00A44D2E"/>
    <w:rsid w:val="00A4550E"/>
    <w:rsid w:val="00A45D5C"/>
    <w:rsid w:val="00A47C6D"/>
    <w:rsid w:val="00A50770"/>
    <w:rsid w:val="00A51E8A"/>
    <w:rsid w:val="00A5212F"/>
    <w:rsid w:val="00A52982"/>
    <w:rsid w:val="00A53BB8"/>
    <w:rsid w:val="00A53EBB"/>
    <w:rsid w:val="00A54B21"/>
    <w:rsid w:val="00A55189"/>
    <w:rsid w:val="00A55BED"/>
    <w:rsid w:val="00A571E2"/>
    <w:rsid w:val="00A57CA0"/>
    <w:rsid w:val="00A57E34"/>
    <w:rsid w:val="00A60B69"/>
    <w:rsid w:val="00A61302"/>
    <w:rsid w:val="00A61673"/>
    <w:rsid w:val="00A619A3"/>
    <w:rsid w:val="00A61D59"/>
    <w:rsid w:val="00A629A3"/>
    <w:rsid w:val="00A62CAD"/>
    <w:rsid w:val="00A632FB"/>
    <w:rsid w:val="00A64A1D"/>
    <w:rsid w:val="00A651C1"/>
    <w:rsid w:val="00A65954"/>
    <w:rsid w:val="00A70511"/>
    <w:rsid w:val="00A70C36"/>
    <w:rsid w:val="00A71F3C"/>
    <w:rsid w:val="00A72A2B"/>
    <w:rsid w:val="00A741CF"/>
    <w:rsid w:val="00A77589"/>
    <w:rsid w:val="00A801DB"/>
    <w:rsid w:val="00A80472"/>
    <w:rsid w:val="00A8057D"/>
    <w:rsid w:val="00A825BA"/>
    <w:rsid w:val="00A84995"/>
    <w:rsid w:val="00A84EF6"/>
    <w:rsid w:val="00A85E97"/>
    <w:rsid w:val="00A8601C"/>
    <w:rsid w:val="00A8729F"/>
    <w:rsid w:val="00A916B9"/>
    <w:rsid w:val="00A91968"/>
    <w:rsid w:val="00A91B5B"/>
    <w:rsid w:val="00A91BF1"/>
    <w:rsid w:val="00A923F7"/>
    <w:rsid w:val="00A92738"/>
    <w:rsid w:val="00A93291"/>
    <w:rsid w:val="00A935F6"/>
    <w:rsid w:val="00A93B2C"/>
    <w:rsid w:val="00A93BFF"/>
    <w:rsid w:val="00A95012"/>
    <w:rsid w:val="00A95698"/>
    <w:rsid w:val="00A96376"/>
    <w:rsid w:val="00A968E7"/>
    <w:rsid w:val="00AA0FDE"/>
    <w:rsid w:val="00AA1A63"/>
    <w:rsid w:val="00AA2A08"/>
    <w:rsid w:val="00AA4060"/>
    <w:rsid w:val="00AA6633"/>
    <w:rsid w:val="00AB058B"/>
    <w:rsid w:val="00AB1F9A"/>
    <w:rsid w:val="00AB253A"/>
    <w:rsid w:val="00AB275C"/>
    <w:rsid w:val="00AB3795"/>
    <w:rsid w:val="00AB52D9"/>
    <w:rsid w:val="00AB5373"/>
    <w:rsid w:val="00AB53B7"/>
    <w:rsid w:val="00AB6836"/>
    <w:rsid w:val="00AB6CA6"/>
    <w:rsid w:val="00AC01AA"/>
    <w:rsid w:val="00AC1AD5"/>
    <w:rsid w:val="00AC226E"/>
    <w:rsid w:val="00AC3652"/>
    <w:rsid w:val="00AC4139"/>
    <w:rsid w:val="00AC52A1"/>
    <w:rsid w:val="00AC623B"/>
    <w:rsid w:val="00AC6311"/>
    <w:rsid w:val="00AC6A85"/>
    <w:rsid w:val="00AD0066"/>
    <w:rsid w:val="00AD10DB"/>
    <w:rsid w:val="00AD2748"/>
    <w:rsid w:val="00AD2AFD"/>
    <w:rsid w:val="00AD335D"/>
    <w:rsid w:val="00AD40D5"/>
    <w:rsid w:val="00AD4688"/>
    <w:rsid w:val="00AD51B7"/>
    <w:rsid w:val="00AD587E"/>
    <w:rsid w:val="00AE1B09"/>
    <w:rsid w:val="00AE1D2D"/>
    <w:rsid w:val="00AE2679"/>
    <w:rsid w:val="00AE2756"/>
    <w:rsid w:val="00AE2D17"/>
    <w:rsid w:val="00AE3198"/>
    <w:rsid w:val="00AE4B73"/>
    <w:rsid w:val="00AE5BF3"/>
    <w:rsid w:val="00AE630D"/>
    <w:rsid w:val="00AE7904"/>
    <w:rsid w:val="00AF0944"/>
    <w:rsid w:val="00AF1A9C"/>
    <w:rsid w:val="00AF2162"/>
    <w:rsid w:val="00AF2F08"/>
    <w:rsid w:val="00AF31C2"/>
    <w:rsid w:val="00AF40E1"/>
    <w:rsid w:val="00AF4840"/>
    <w:rsid w:val="00AF4854"/>
    <w:rsid w:val="00AF48D6"/>
    <w:rsid w:val="00AF5076"/>
    <w:rsid w:val="00AF791F"/>
    <w:rsid w:val="00B00D8F"/>
    <w:rsid w:val="00B028DE"/>
    <w:rsid w:val="00B036C8"/>
    <w:rsid w:val="00B036EB"/>
    <w:rsid w:val="00B04301"/>
    <w:rsid w:val="00B058EF"/>
    <w:rsid w:val="00B06464"/>
    <w:rsid w:val="00B07C91"/>
    <w:rsid w:val="00B07F41"/>
    <w:rsid w:val="00B11BBC"/>
    <w:rsid w:val="00B11C35"/>
    <w:rsid w:val="00B12565"/>
    <w:rsid w:val="00B12AEC"/>
    <w:rsid w:val="00B12B0D"/>
    <w:rsid w:val="00B12BE9"/>
    <w:rsid w:val="00B142CC"/>
    <w:rsid w:val="00B14795"/>
    <w:rsid w:val="00B14B24"/>
    <w:rsid w:val="00B15690"/>
    <w:rsid w:val="00B15BAB"/>
    <w:rsid w:val="00B1693C"/>
    <w:rsid w:val="00B16AA0"/>
    <w:rsid w:val="00B248DB"/>
    <w:rsid w:val="00B25E2A"/>
    <w:rsid w:val="00B267B7"/>
    <w:rsid w:val="00B270C6"/>
    <w:rsid w:val="00B279D0"/>
    <w:rsid w:val="00B27A10"/>
    <w:rsid w:val="00B31180"/>
    <w:rsid w:val="00B31A46"/>
    <w:rsid w:val="00B3318F"/>
    <w:rsid w:val="00B33490"/>
    <w:rsid w:val="00B334F2"/>
    <w:rsid w:val="00B33D10"/>
    <w:rsid w:val="00B3436A"/>
    <w:rsid w:val="00B34451"/>
    <w:rsid w:val="00B34962"/>
    <w:rsid w:val="00B34E00"/>
    <w:rsid w:val="00B352CA"/>
    <w:rsid w:val="00B3683E"/>
    <w:rsid w:val="00B36A65"/>
    <w:rsid w:val="00B36D51"/>
    <w:rsid w:val="00B40239"/>
    <w:rsid w:val="00B40D48"/>
    <w:rsid w:val="00B41761"/>
    <w:rsid w:val="00B429B5"/>
    <w:rsid w:val="00B42DAA"/>
    <w:rsid w:val="00B43024"/>
    <w:rsid w:val="00B45982"/>
    <w:rsid w:val="00B45AD9"/>
    <w:rsid w:val="00B462C2"/>
    <w:rsid w:val="00B51098"/>
    <w:rsid w:val="00B515E6"/>
    <w:rsid w:val="00B51664"/>
    <w:rsid w:val="00B51AE8"/>
    <w:rsid w:val="00B52547"/>
    <w:rsid w:val="00B52A6B"/>
    <w:rsid w:val="00B54195"/>
    <w:rsid w:val="00B54768"/>
    <w:rsid w:val="00B549EA"/>
    <w:rsid w:val="00B5759C"/>
    <w:rsid w:val="00B578DC"/>
    <w:rsid w:val="00B60B92"/>
    <w:rsid w:val="00B60D1C"/>
    <w:rsid w:val="00B61DD4"/>
    <w:rsid w:val="00B634CA"/>
    <w:rsid w:val="00B6447E"/>
    <w:rsid w:val="00B65E95"/>
    <w:rsid w:val="00B66219"/>
    <w:rsid w:val="00B66E0B"/>
    <w:rsid w:val="00B67453"/>
    <w:rsid w:val="00B67D81"/>
    <w:rsid w:val="00B67E9E"/>
    <w:rsid w:val="00B67EA2"/>
    <w:rsid w:val="00B702B3"/>
    <w:rsid w:val="00B712C3"/>
    <w:rsid w:val="00B722F5"/>
    <w:rsid w:val="00B7271B"/>
    <w:rsid w:val="00B73028"/>
    <w:rsid w:val="00B74D55"/>
    <w:rsid w:val="00B76621"/>
    <w:rsid w:val="00B77541"/>
    <w:rsid w:val="00B775B0"/>
    <w:rsid w:val="00B778E1"/>
    <w:rsid w:val="00B8102E"/>
    <w:rsid w:val="00B817E7"/>
    <w:rsid w:val="00B81D70"/>
    <w:rsid w:val="00B82DD8"/>
    <w:rsid w:val="00B83B05"/>
    <w:rsid w:val="00B83D01"/>
    <w:rsid w:val="00B84BB5"/>
    <w:rsid w:val="00B86244"/>
    <w:rsid w:val="00B9017D"/>
    <w:rsid w:val="00B905DE"/>
    <w:rsid w:val="00B90806"/>
    <w:rsid w:val="00B911C2"/>
    <w:rsid w:val="00B9278B"/>
    <w:rsid w:val="00B93F69"/>
    <w:rsid w:val="00B95289"/>
    <w:rsid w:val="00B95803"/>
    <w:rsid w:val="00B964E9"/>
    <w:rsid w:val="00B96D3A"/>
    <w:rsid w:val="00BA0A83"/>
    <w:rsid w:val="00BA13F0"/>
    <w:rsid w:val="00BA1CAB"/>
    <w:rsid w:val="00BA39E9"/>
    <w:rsid w:val="00BA4A5D"/>
    <w:rsid w:val="00BA74DE"/>
    <w:rsid w:val="00BA77D6"/>
    <w:rsid w:val="00BA7E61"/>
    <w:rsid w:val="00BB00C9"/>
    <w:rsid w:val="00BB1058"/>
    <w:rsid w:val="00BB10E6"/>
    <w:rsid w:val="00BB25BC"/>
    <w:rsid w:val="00BB3B46"/>
    <w:rsid w:val="00BB5639"/>
    <w:rsid w:val="00BB633D"/>
    <w:rsid w:val="00BB7820"/>
    <w:rsid w:val="00BC01E2"/>
    <w:rsid w:val="00BC1435"/>
    <w:rsid w:val="00BC2FE6"/>
    <w:rsid w:val="00BC37AE"/>
    <w:rsid w:val="00BC3E1F"/>
    <w:rsid w:val="00BC3E69"/>
    <w:rsid w:val="00BC4AC1"/>
    <w:rsid w:val="00BC4BD5"/>
    <w:rsid w:val="00BC5118"/>
    <w:rsid w:val="00BC57AD"/>
    <w:rsid w:val="00BC6D8B"/>
    <w:rsid w:val="00BC7657"/>
    <w:rsid w:val="00BD0F57"/>
    <w:rsid w:val="00BD16C4"/>
    <w:rsid w:val="00BD1EED"/>
    <w:rsid w:val="00BD26F8"/>
    <w:rsid w:val="00BD2BCF"/>
    <w:rsid w:val="00BD445A"/>
    <w:rsid w:val="00BD6465"/>
    <w:rsid w:val="00BD66A8"/>
    <w:rsid w:val="00BD6894"/>
    <w:rsid w:val="00BD7BE7"/>
    <w:rsid w:val="00BE0BBA"/>
    <w:rsid w:val="00BE221B"/>
    <w:rsid w:val="00BE2D4F"/>
    <w:rsid w:val="00BE3341"/>
    <w:rsid w:val="00BE37ED"/>
    <w:rsid w:val="00BE3F19"/>
    <w:rsid w:val="00BE57EB"/>
    <w:rsid w:val="00BE59AD"/>
    <w:rsid w:val="00BE5BD3"/>
    <w:rsid w:val="00BE6EBE"/>
    <w:rsid w:val="00BE6F75"/>
    <w:rsid w:val="00BE7196"/>
    <w:rsid w:val="00BE71A4"/>
    <w:rsid w:val="00BE768B"/>
    <w:rsid w:val="00BF0007"/>
    <w:rsid w:val="00BF0018"/>
    <w:rsid w:val="00BF0FCF"/>
    <w:rsid w:val="00BF1774"/>
    <w:rsid w:val="00BF230B"/>
    <w:rsid w:val="00BF27B5"/>
    <w:rsid w:val="00BF2E07"/>
    <w:rsid w:val="00BF3B36"/>
    <w:rsid w:val="00BF4B13"/>
    <w:rsid w:val="00BF64A0"/>
    <w:rsid w:val="00BF6635"/>
    <w:rsid w:val="00BF6B0E"/>
    <w:rsid w:val="00C02FEA"/>
    <w:rsid w:val="00C03957"/>
    <w:rsid w:val="00C048E6"/>
    <w:rsid w:val="00C059A4"/>
    <w:rsid w:val="00C0704E"/>
    <w:rsid w:val="00C070CB"/>
    <w:rsid w:val="00C071DE"/>
    <w:rsid w:val="00C07D06"/>
    <w:rsid w:val="00C10711"/>
    <w:rsid w:val="00C11395"/>
    <w:rsid w:val="00C12562"/>
    <w:rsid w:val="00C12A15"/>
    <w:rsid w:val="00C1440D"/>
    <w:rsid w:val="00C15182"/>
    <w:rsid w:val="00C15A36"/>
    <w:rsid w:val="00C16E9D"/>
    <w:rsid w:val="00C17371"/>
    <w:rsid w:val="00C1756D"/>
    <w:rsid w:val="00C17646"/>
    <w:rsid w:val="00C207F9"/>
    <w:rsid w:val="00C2096F"/>
    <w:rsid w:val="00C20BD4"/>
    <w:rsid w:val="00C21F64"/>
    <w:rsid w:val="00C22570"/>
    <w:rsid w:val="00C22A11"/>
    <w:rsid w:val="00C22C03"/>
    <w:rsid w:val="00C236F3"/>
    <w:rsid w:val="00C23949"/>
    <w:rsid w:val="00C2414F"/>
    <w:rsid w:val="00C255CA"/>
    <w:rsid w:val="00C27290"/>
    <w:rsid w:val="00C3041F"/>
    <w:rsid w:val="00C30C4F"/>
    <w:rsid w:val="00C31372"/>
    <w:rsid w:val="00C316B6"/>
    <w:rsid w:val="00C31B4E"/>
    <w:rsid w:val="00C31D44"/>
    <w:rsid w:val="00C35DE1"/>
    <w:rsid w:val="00C36DE3"/>
    <w:rsid w:val="00C370C4"/>
    <w:rsid w:val="00C3755E"/>
    <w:rsid w:val="00C40E93"/>
    <w:rsid w:val="00C419E7"/>
    <w:rsid w:val="00C42823"/>
    <w:rsid w:val="00C42F02"/>
    <w:rsid w:val="00C4439B"/>
    <w:rsid w:val="00C45BE3"/>
    <w:rsid w:val="00C45C0E"/>
    <w:rsid w:val="00C45F9A"/>
    <w:rsid w:val="00C462B0"/>
    <w:rsid w:val="00C465A9"/>
    <w:rsid w:val="00C465CD"/>
    <w:rsid w:val="00C504ED"/>
    <w:rsid w:val="00C5167C"/>
    <w:rsid w:val="00C51DE6"/>
    <w:rsid w:val="00C52333"/>
    <w:rsid w:val="00C548D1"/>
    <w:rsid w:val="00C57628"/>
    <w:rsid w:val="00C60518"/>
    <w:rsid w:val="00C6127D"/>
    <w:rsid w:val="00C61B14"/>
    <w:rsid w:val="00C62341"/>
    <w:rsid w:val="00C62F6D"/>
    <w:rsid w:val="00C634EC"/>
    <w:rsid w:val="00C63D2C"/>
    <w:rsid w:val="00C64A8B"/>
    <w:rsid w:val="00C64D78"/>
    <w:rsid w:val="00C66878"/>
    <w:rsid w:val="00C669D6"/>
    <w:rsid w:val="00C67260"/>
    <w:rsid w:val="00C70276"/>
    <w:rsid w:val="00C702AE"/>
    <w:rsid w:val="00C704B4"/>
    <w:rsid w:val="00C7075E"/>
    <w:rsid w:val="00C707C7"/>
    <w:rsid w:val="00C70801"/>
    <w:rsid w:val="00C70BFC"/>
    <w:rsid w:val="00C71278"/>
    <w:rsid w:val="00C71397"/>
    <w:rsid w:val="00C71DB3"/>
    <w:rsid w:val="00C74902"/>
    <w:rsid w:val="00C76AEA"/>
    <w:rsid w:val="00C77616"/>
    <w:rsid w:val="00C80407"/>
    <w:rsid w:val="00C805EB"/>
    <w:rsid w:val="00C81C8A"/>
    <w:rsid w:val="00C824A7"/>
    <w:rsid w:val="00C826E1"/>
    <w:rsid w:val="00C8379F"/>
    <w:rsid w:val="00C83997"/>
    <w:rsid w:val="00C840CC"/>
    <w:rsid w:val="00C84167"/>
    <w:rsid w:val="00C84172"/>
    <w:rsid w:val="00C84728"/>
    <w:rsid w:val="00C84875"/>
    <w:rsid w:val="00C856EB"/>
    <w:rsid w:val="00C85D20"/>
    <w:rsid w:val="00C86766"/>
    <w:rsid w:val="00C86951"/>
    <w:rsid w:val="00C875B3"/>
    <w:rsid w:val="00C8789D"/>
    <w:rsid w:val="00C93922"/>
    <w:rsid w:val="00C95872"/>
    <w:rsid w:val="00C96078"/>
    <w:rsid w:val="00C961D3"/>
    <w:rsid w:val="00C96378"/>
    <w:rsid w:val="00C97309"/>
    <w:rsid w:val="00CA12C9"/>
    <w:rsid w:val="00CA1B3B"/>
    <w:rsid w:val="00CA2346"/>
    <w:rsid w:val="00CA278C"/>
    <w:rsid w:val="00CA3413"/>
    <w:rsid w:val="00CA3F2B"/>
    <w:rsid w:val="00CA3FBF"/>
    <w:rsid w:val="00CA4130"/>
    <w:rsid w:val="00CA5D2A"/>
    <w:rsid w:val="00CA64E0"/>
    <w:rsid w:val="00CB002E"/>
    <w:rsid w:val="00CB2334"/>
    <w:rsid w:val="00CB3B81"/>
    <w:rsid w:val="00CB3DBD"/>
    <w:rsid w:val="00CB674C"/>
    <w:rsid w:val="00CC24CB"/>
    <w:rsid w:val="00CC2B1E"/>
    <w:rsid w:val="00CC2E0C"/>
    <w:rsid w:val="00CC3B89"/>
    <w:rsid w:val="00CC40B1"/>
    <w:rsid w:val="00CC47D2"/>
    <w:rsid w:val="00CC488F"/>
    <w:rsid w:val="00CC4FE6"/>
    <w:rsid w:val="00CC5B1F"/>
    <w:rsid w:val="00CC7836"/>
    <w:rsid w:val="00CC7940"/>
    <w:rsid w:val="00CC7C59"/>
    <w:rsid w:val="00CC7D0E"/>
    <w:rsid w:val="00CC7D94"/>
    <w:rsid w:val="00CD0176"/>
    <w:rsid w:val="00CD0976"/>
    <w:rsid w:val="00CD1484"/>
    <w:rsid w:val="00CD1706"/>
    <w:rsid w:val="00CD1CD4"/>
    <w:rsid w:val="00CD32BA"/>
    <w:rsid w:val="00CD3930"/>
    <w:rsid w:val="00CD4D00"/>
    <w:rsid w:val="00CD56CE"/>
    <w:rsid w:val="00CD62DA"/>
    <w:rsid w:val="00CD6B0E"/>
    <w:rsid w:val="00CD6F64"/>
    <w:rsid w:val="00CD7A13"/>
    <w:rsid w:val="00CE1222"/>
    <w:rsid w:val="00CE179E"/>
    <w:rsid w:val="00CE1D73"/>
    <w:rsid w:val="00CE2A21"/>
    <w:rsid w:val="00CE2AC4"/>
    <w:rsid w:val="00CE3690"/>
    <w:rsid w:val="00CE4337"/>
    <w:rsid w:val="00CE6B9E"/>
    <w:rsid w:val="00CE6D42"/>
    <w:rsid w:val="00CE722C"/>
    <w:rsid w:val="00CE7846"/>
    <w:rsid w:val="00CF2054"/>
    <w:rsid w:val="00CF2E3A"/>
    <w:rsid w:val="00CF47A5"/>
    <w:rsid w:val="00CF4E1B"/>
    <w:rsid w:val="00CF5314"/>
    <w:rsid w:val="00CF5486"/>
    <w:rsid w:val="00CF61A0"/>
    <w:rsid w:val="00CF6A69"/>
    <w:rsid w:val="00CF6AF9"/>
    <w:rsid w:val="00CF777D"/>
    <w:rsid w:val="00D01B24"/>
    <w:rsid w:val="00D01F5E"/>
    <w:rsid w:val="00D027F3"/>
    <w:rsid w:val="00D028FF"/>
    <w:rsid w:val="00D02C5C"/>
    <w:rsid w:val="00D02DE1"/>
    <w:rsid w:val="00D03453"/>
    <w:rsid w:val="00D03F24"/>
    <w:rsid w:val="00D053C2"/>
    <w:rsid w:val="00D074CA"/>
    <w:rsid w:val="00D075A3"/>
    <w:rsid w:val="00D0768D"/>
    <w:rsid w:val="00D11DC6"/>
    <w:rsid w:val="00D11FC0"/>
    <w:rsid w:val="00D12D2F"/>
    <w:rsid w:val="00D13031"/>
    <w:rsid w:val="00D13FAE"/>
    <w:rsid w:val="00D1649D"/>
    <w:rsid w:val="00D165B3"/>
    <w:rsid w:val="00D21FBC"/>
    <w:rsid w:val="00D24FDA"/>
    <w:rsid w:val="00D26180"/>
    <w:rsid w:val="00D268D3"/>
    <w:rsid w:val="00D27713"/>
    <w:rsid w:val="00D27EDD"/>
    <w:rsid w:val="00D30304"/>
    <w:rsid w:val="00D313E8"/>
    <w:rsid w:val="00D32874"/>
    <w:rsid w:val="00D332AE"/>
    <w:rsid w:val="00D34069"/>
    <w:rsid w:val="00D343B8"/>
    <w:rsid w:val="00D34DF0"/>
    <w:rsid w:val="00D3599F"/>
    <w:rsid w:val="00D36018"/>
    <w:rsid w:val="00D362DB"/>
    <w:rsid w:val="00D37068"/>
    <w:rsid w:val="00D374BF"/>
    <w:rsid w:val="00D3777E"/>
    <w:rsid w:val="00D40B18"/>
    <w:rsid w:val="00D40D69"/>
    <w:rsid w:val="00D411F2"/>
    <w:rsid w:val="00D41E88"/>
    <w:rsid w:val="00D43473"/>
    <w:rsid w:val="00D434CB"/>
    <w:rsid w:val="00D4381B"/>
    <w:rsid w:val="00D43BCF"/>
    <w:rsid w:val="00D44658"/>
    <w:rsid w:val="00D44D62"/>
    <w:rsid w:val="00D44FEE"/>
    <w:rsid w:val="00D45E79"/>
    <w:rsid w:val="00D47684"/>
    <w:rsid w:val="00D50E09"/>
    <w:rsid w:val="00D5197D"/>
    <w:rsid w:val="00D51C7C"/>
    <w:rsid w:val="00D5274D"/>
    <w:rsid w:val="00D528D7"/>
    <w:rsid w:val="00D547FB"/>
    <w:rsid w:val="00D5684E"/>
    <w:rsid w:val="00D56EBE"/>
    <w:rsid w:val="00D575A2"/>
    <w:rsid w:val="00D57EA6"/>
    <w:rsid w:val="00D609EC"/>
    <w:rsid w:val="00D6129E"/>
    <w:rsid w:val="00D61962"/>
    <w:rsid w:val="00D61A49"/>
    <w:rsid w:val="00D61E42"/>
    <w:rsid w:val="00D61F57"/>
    <w:rsid w:val="00D62AD0"/>
    <w:rsid w:val="00D62E82"/>
    <w:rsid w:val="00D63BB1"/>
    <w:rsid w:val="00D642F7"/>
    <w:rsid w:val="00D659E5"/>
    <w:rsid w:val="00D66146"/>
    <w:rsid w:val="00D66809"/>
    <w:rsid w:val="00D675B5"/>
    <w:rsid w:val="00D67BD1"/>
    <w:rsid w:val="00D703D2"/>
    <w:rsid w:val="00D708EE"/>
    <w:rsid w:val="00D70D50"/>
    <w:rsid w:val="00D71CFD"/>
    <w:rsid w:val="00D73C9A"/>
    <w:rsid w:val="00D74A2C"/>
    <w:rsid w:val="00D74EEA"/>
    <w:rsid w:val="00D75F64"/>
    <w:rsid w:val="00D77029"/>
    <w:rsid w:val="00D770AE"/>
    <w:rsid w:val="00D77F08"/>
    <w:rsid w:val="00D81215"/>
    <w:rsid w:val="00D81E8B"/>
    <w:rsid w:val="00D82166"/>
    <w:rsid w:val="00D83F0A"/>
    <w:rsid w:val="00D83FCC"/>
    <w:rsid w:val="00D84168"/>
    <w:rsid w:val="00D84650"/>
    <w:rsid w:val="00D854E8"/>
    <w:rsid w:val="00D854EA"/>
    <w:rsid w:val="00D86449"/>
    <w:rsid w:val="00D86A07"/>
    <w:rsid w:val="00D86B70"/>
    <w:rsid w:val="00D87229"/>
    <w:rsid w:val="00D873A6"/>
    <w:rsid w:val="00D90B51"/>
    <w:rsid w:val="00D924C5"/>
    <w:rsid w:val="00D92B77"/>
    <w:rsid w:val="00D92FDA"/>
    <w:rsid w:val="00D94128"/>
    <w:rsid w:val="00D9783D"/>
    <w:rsid w:val="00D97B6F"/>
    <w:rsid w:val="00D97C72"/>
    <w:rsid w:val="00D97DB5"/>
    <w:rsid w:val="00DA0F48"/>
    <w:rsid w:val="00DA107F"/>
    <w:rsid w:val="00DA1099"/>
    <w:rsid w:val="00DA18F2"/>
    <w:rsid w:val="00DA1B57"/>
    <w:rsid w:val="00DA2615"/>
    <w:rsid w:val="00DA3EF2"/>
    <w:rsid w:val="00DA4377"/>
    <w:rsid w:val="00DA588F"/>
    <w:rsid w:val="00DA70E5"/>
    <w:rsid w:val="00DB05F8"/>
    <w:rsid w:val="00DB0AF4"/>
    <w:rsid w:val="00DB0FE6"/>
    <w:rsid w:val="00DB18B1"/>
    <w:rsid w:val="00DB233E"/>
    <w:rsid w:val="00DB40A1"/>
    <w:rsid w:val="00DB59DC"/>
    <w:rsid w:val="00DB6CA6"/>
    <w:rsid w:val="00DB7993"/>
    <w:rsid w:val="00DC1639"/>
    <w:rsid w:val="00DC1803"/>
    <w:rsid w:val="00DC2DD3"/>
    <w:rsid w:val="00DC2ED7"/>
    <w:rsid w:val="00DC3538"/>
    <w:rsid w:val="00DC4755"/>
    <w:rsid w:val="00DC5A55"/>
    <w:rsid w:val="00DC5F04"/>
    <w:rsid w:val="00DC71AE"/>
    <w:rsid w:val="00DD1988"/>
    <w:rsid w:val="00DD274B"/>
    <w:rsid w:val="00DD2CB3"/>
    <w:rsid w:val="00DD38DE"/>
    <w:rsid w:val="00DD3BDD"/>
    <w:rsid w:val="00DD444F"/>
    <w:rsid w:val="00DD45F6"/>
    <w:rsid w:val="00DD54A7"/>
    <w:rsid w:val="00DD5631"/>
    <w:rsid w:val="00DD5B33"/>
    <w:rsid w:val="00DD5FC9"/>
    <w:rsid w:val="00DD630B"/>
    <w:rsid w:val="00DD700D"/>
    <w:rsid w:val="00DD7A8C"/>
    <w:rsid w:val="00DE0B00"/>
    <w:rsid w:val="00DE143A"/>
    <w:rsid w:val="00DE17BF"/>
    <w:rsid w:val="00DE1E0A"/>
    <w:rsid w:val="00DE3A27"/>
    <w:rsid w:val="00DE5FAB"/>
    <w:rsid w:val="00DE64D2"/>
    <w:rsid w:val="00DE6A47"/>
    <w:rsid w:val="00DE6C89"/>
    <w:rsid w:val="00DE75E3"/>
    <w:rsid w:val="00DE79E1"/>
    <w:rsid w:val="00DF061F"/>
    <w:rsid w:val="00DF0628"/>
    <w:rsid w:val="00DF11AA"/>
    <w:rsid w:val="00DF1905"/>
    <w:rsid w:val="00DF1961"/>
    <w:rsid w:val="00DF22A7"/>
    <w:rsid w:val="00DF2C1D"/>
    <w:rsid w:val="00DF30F3"/>
    <w:rsid w:val="00DF3B3C"/>
    <w:rsid w:val="00DF3B56"/>
    <w:rsid w:val="00DF3D56"/>
    <w:rsid w:val="00DF46D3"/>
    <w:rsid w:val="00DF528D"/>
    <w:rsid w:val="00DF5344"/>
    <w:rsid w:val="00DF555B"/>
    <w:rsid w:val="00DF60EA"/>
    <w:rsid w:val="00DF6D52"/>
    <w:rsid w:val="00DF6EE2"/>
    <w:rsid w:val="00DF7B7E"/>
    <w:rsid w:val="00DF7C33"/>
    <w:rsid w:val="00E00CA8"/>
    <w:rsid w:val="00E0170B"/>
    <w:rsid w:val="00E018E1"/>
    <w:rsid w:val="00E02A88"/>
    <w:rsid w:val="00E03776"/>
    <w:rsid w:val="00E0467E"/>
    <w:rsid w:val="00E04933"/>
    <w:rsid w:val="00E04ED0"/>
    <w:rsid w:val="00E0583E"/>
    <w:rsid w:val="00E07310"/>
    <w:rsid w:val="00E07613"/>
    <w:rsid w:val="00E07AC9"/>
    <w:rsid w:val="00E07CD6"/>
    <w:rsid w:val="00E11969"/>
    <w:rsid w:val="00E123C5"/>
    <w:rsid w:val="00E12D39"/>
    <w:rsid w:val="00E132D9"/>
    <w:rsid w:val="00E13A63"/>
    <w:rsid w:val="00E13ED5"/>
    <w:rsid w:val="00E1458A"/>
    <w:rsid w:val="00E148A0"/>
    <w:rsid w:val="00E153BA"/>
    <w:rsid w:val="00E15B2F"/>
    <w:rsid w:val="00E15BFE"/>
    <w:rsid w:val="00E16E5C"/>
    <w:rsid w:val="00E1789A"/>
    <w:rsid w:val="00E211A0"/>
    <w:rsid w:val="00E215FF"/>
    <w:rsid w:val="00E21E41"/>
    <w:rsid w:val="00E21FF2"/>
    <w:rsid w:val="00E22931"/>
    <w:rsid w:val="00E22CBE"/>
    <w:rsid w:val="00E24A2E"/>
    <w:rsid w:val="00E24E57"/>
    <w:rsid w:val="00E25EDE"/>
    <w:rsid w:val="00E26D00"/>
    <w:rsid w:val="00E27F14"/>
    <w:rsid w:val="00E30D9A"/>
    <w:rsid w:val="00E3108D"/>
    <w:rsid w:val="00E31152"/>
    <w:rsid w:val="00E319A2"/>
    <w:rsid w:val="00E32138"/>
    <w:rsid w:val="00E32AA3"/>
    <w:rsid w:val="00E330FE"/>
    <w:rsid w:val="00E336DC"/>
    <w:rsid w:val="00E35D5A"/>
    <w:rsid w:val="00E37B4C"/>
    <w:rsid w:val="00E37B95"/>
    <w:rsid w:val="00E402B7"/>
    <w:rsid w:val="00E40732"/>
    <w:rsid w:val="00E4293F"/>
    <w:rsid w:val="00E42E8D"/>
    <w:rsid w:val="00E445F1"/>
    <w:rsid w:val="00E44CF1"/>
    <w:rsid w:val="00E451BC"/>
    <w:rsid w:val="00E45E55"/>
    <w:rsid w:val="00E46953"/>
    <w:rsid w:val="00E46BF9"/>
    <w:rsid w:val="00E479CD"/>
    <w:rsid w:val="00E47A4A"/>
    <w:rsid w:val="00E47DB4"/>
    <w:rsid w:val="00E5043A"/>
    <w:rsid w:val="00E50612"/>
    <w:rsid w:val="00E50937"/>
    <w:rsid w:val="00E5165B"/>
    <w:rsid w:val="00E51C07"/>
    <w:rsid w:val="00E522FE"/>
    <w:rsid w:val="00E5295E"/>
    <w:rsid w:val="00E5395A"/>
    <w:rsid w:val="00E53D2B"/>
    <w:rsid w:val="00E54379"/>
    <w:rsid w:val="00E546D8"/>
    <w:rsid w:val="00E5472D"/>
    <w:rsid w:val="00E54E88"/>
    <w:rsid w:val="00E54FA3"/>
    <w:rsid w:val="00E55560"/>
    <w:rsid w:val="00E560BB"/>
    <w:rsid w:val="00E573FD"/>
    <w:rsid w:val="00E57C45"/>
    <w:rsid w:val="00E602EB"/>
    <w:rsid w:val="00E60BB9"/>
    <w:rsid w:val="00E62C09"/>
    <w:rsid w:val="00E62ED7"/>
    <w:rsid w:val="00E63751"/>
    <w:rsid w:val="00E63CA3"/>
    <w:rsid w:val="00E64088"/>
    <w:rsid w:val="00E64350"/>
    <w:rsid w:val="00E643C1"/>
    <w:rsid w:val="00E64B12"/>
    <w:rsid w:val="00E64B6D"/>
    <w:rsid w:val="00E64D5B"/>
    <w:rsid w:val="00E65380"/>
    <w:rsid w:val="00E657D7"/>
    <w:rsid w:val="00E66138"/>
    <w:rsid w:val="00E6691A"/>
    <w:rsid w:val="00E67178"/>
    <w:rsid w:val="00E70665"/>
    <w:rsid w:val="00E70DBC"/>
    <w:rsid w:val="00E7290C"/>
    <w:rsid w:val="00E743AE"/>
    <w:rsid w:val="00E75635"/>
    <w:rsid w:val="00E76078"/>
    <w:rsid w:val="00E77ABB"/>
    <w:rsid w:val="00E77FA0"/>
    <w:rsid w:val="00E80E34"/>
    <w:rsid w:val="00E8173C"/>
    <w:rsid w:val="00E81B51"/>
    <w:rsid w:val="00E81F45"/>
    <w:rsid w:val="00E82386"/>
    <w:rsid w:val="00E83487"/>
    <w:rsid w:val="00E834E9"/>
    <w:rsid w:val="00E85580"/>
    <w:rsid w:val="00E8602D"/>
    <w:rsid w:val="00E86249"/>
    <w:rsid w:val="00E8633D"/>
    <w:rsid w:val="00E867D1"/>
    <w:rsid w:val="00E8691D"/>
    <w:rsid w:val="00E86CDE"/>
    <w:rsid w:val="00E87B3E"/>
    <w:rsid w:val="00E914C1"/>
    <w:rsid w:val="00E921AB"/>
    <w:rsid w:val="00E925F7"/>
    <w:rsid w:val="00E92783"/>
    <w:rsid w:val="00E927A9"/>
    <w:rsid w:val="00E92BDB"/>
    <w:rsid w:val="00E933C2"/>
    <w:rsid w:val="00E93ECB"/>
    <w:rsid w:val="00E95CAE"/>
    <w:rsid w:val="00E95DA9"/>
    <w:rsid w:val="00E96544"/>
    <w:rsid w:val="00E96CB6"/>
    <w:rsid w:val="00E97297"/>
    <w:rsid w:val="00E97CAB"/>
    <w:rsid w:val="00E97DC4"/>
    <w:rsid w:val="00EA0A73"/>
    <w:rsid w:val="00EA0FCB"/>
    <w:rsid w:val="00EA3F4F"/>
    <w:rsid w:val="00EA54CF"/>
    <w:rsid w:val="00EA6662"/>
    <w:rsid w:val="00EA736B"/>
    <w:rsid w:val="00EA7E52"/>
    <w:rsid w:val="00EB177D"/>
    <w:rsid w:val="00EB25D1"/>
    <w:rsid w:val="00EB2F2B"/>
    <w:rsid w:val="00EB2FA9"/>
    <w:rsid w:val="00EB30BA"/>
    <w:rsid w:val="00EB30F8"/>
    <w:rsid w:val="00EB3689"/>
    <w:rsid w:val="00EB3985"/>
    <w:rsid w:val="00EB3F23"/>
    <w:rsid w:val="00EB61B0"/>
    <w:rsid w:val="00EB6397"/>
    <w:rsid w:val="00EB64D9"/>
    <w:rsid w:val="00EB6943"/>
    <w:rsid w:val="00EB6F49"/>
    <w:rsid w:val="00EC25A2"/>
    <w:rsid w:val="00EC2ABB"/>
    <w:rsid w:val="00EC2B7E"/>
    <w:rsid w:val="00EC37D0"/>
    <w:rsid w:val="00EC3D19"/>
    <w:rsid w:val="00EC4B06"/>
    <w:rsid w:val="00EC5391"/>
    <w:rsid w:val="00EC60DB"/>
    <w:rsid w:val="00EC7248"/>
    <w:rsid w:val="00EC78E5"/>
    <w:rsid w:val="00EC7D2A"/>
    <w:rsid w:val="00EC7EFB"/>
    <w:rsid w:val="00ED0398"/>
    <w:rsid w:val="00ED1B84"/>
    <w:rsid w:val="00ED243F"/>
    <w:rsid w:val="00ED2E86"/>
    <w:rsid w:val="00ED38DB"/>
    <w:rsid w:val="00ED3B18"/>
    <w:rsid w:val="00ED515A"/>
    <w:rsid w:val="00ED7647"/>
    <w:rsid w:val="00EE0ADF"/>
    <w:rsid w:val="00EE2B32"/>
    <w:rsid w:val="00EE31AA"/>
    <w:rsid w:val="00EE342A"/>
    <w:rsid w:val="00EE5510"/>
    <w:rsid w:val="00EE61A3"/>
    <w:rsid w:val="00EE63BD"/>
    <w:rsid w:val="00EE644F"/>
    <w:rsid w:val="00EE6756"/>
    <w:rsid w:val="00EE68BC"/>
    <w:rsid w:val="00EE68C6"/>
    <w:rsid w:val="00EE7E9C"/>
    <w:rsid w:val="00EF2BC6"/>
    <w:rsid w:val="00EF2EC4"/>
    <w:rsid w:val="00EF426A"/>
    <w:rsid w:val="00EF467E"/>
    <w:rsid w:val="00EF4E89"/>
    <w:rsid w:val="00EF547E"/>
    <w:rsid w:val="00EF6DB4"/>
    <w:rsid w:val="00EF78AA"/>
    <w:rsid w:val="00EF7AAB"/>
    <w:rsid w:val="00EF7DB8"/>
    <w:rsid w:val="00F00B51"/>
    <w:rsid w:val="00F03FDF"/>
    <w:rsid w:val="00F03FE9"/>
    <w:rsid w:val="00F041FF"/>
    <w:rsid w:val="00F047B2"/>
    <w:rsid w:val="00F0521D"/>
    <w:rsid w:val="00F06689"/>
    <w:rsid w:val="00F077F1"/>
    <w:rsid w:val="00F0788E"/>
    <w:rsid w:val="00F0793B"/>
    <w:rsid w:val="00F07CF8"/>
    <w:rsid w:val="00F107B4"/>
    <w:rsid w:val="00F10A12"/>
    <w:rsid w:val="00F1218A"/>
    <w:rsid w:val="00F12A59"/>
    <w:rsid w:val="00F12EC6"/>
    <w:rsid w:val="00F14C02"/>
    <w:rsid w:val="00F14E83"/>
    <w:rsid w:val="00F15EB6"/>
    <w:rsid w:val="00F1676C"/>
    <w:rsid w:val="00F16C0C"/>
    <w:rsid w:val="00F21471"/>
    <w:rsid w:val="00F214FF"/>
    <w:rsid w:val="00F21B77"/>
    <w:rsid w:val="00F223DB"/>
    <w:rsid w:val="00F224D3"/>
    <w:rsid w:val="00F22719"/>
    <w:rsid w:val="00F2353D"/>
    <w:rsid w:val="00F23C88"/>
    <w:rsid w:val="00F255D2"/>
    <w:rsid w:val="00F25C90"/>
    <w:rsid w:val="00F26647"/>
    <w:rsid w:val="00F26943"/>
    <w:rsid w:val="00F26A19"/>
    <w:rsid w:val="00F27F3E"/>
    <w:rsid w:val="00F3002C"/>
    <w:rsid w:val="00F303D5"/>
    <w:rsid w:val="00F30B92"/>
    <w:rsid w:val="00F32551"/>
    <w:rsid w:val="00F33938"/>
    <w:rsid w:val="00F33F86"/>
    <w:rsid w:val="00F352B9"/>
    <w:rsid w:val="00F35E90"/>
    <w:rsid w:val="00F3680A"/>
    <w:rsid w:val="00F37BBD"/>
    <w:rsid w:val="00F37C25"/>
    <w:rsid w:val="00F37F2A"/>
    <w:rsid w:val="00F40CB1"/>
    <w:rsid w:val="00F42053"/>
    <w:rsid w:val="00F42624"/>
    <w:rsid w:val="00F42861"/>
    <w:rsid w:val="00F43283"/>
    <w:rsid w:val="00F43C83"/>
    <w:rsid w:val="00F43D29"/>
    <w:rsid w:val="00F4427B"/>
    <w:rsid w:val="00F44D9A"/>
    <w:rsid w:val="00F454AA"/>
    <w:rsid w:val="00F45885"/>
    <w:rsid w:val="00F45890"/>
    <w:rsid w:val="00F47154"/>
    <w:rsid w:val="00F47BD8"/>
    <w:rsid w:val="00F50209"/>
    <w:rsid w:val="00F5085A"/>
    <w:rsid w:val="00F5106E"/>
    <w:rsid w:val="00F51095"/>
    <w:rsid w:val="00F51994"/>
    <w:rsid w:val="00F531D9"/>
    <w:rsid w:val="00F53460"/>
    <w:rsid w:val="00F536F6"/>
    <w:rsid w:val="00F543F0"/>
    <w:rsid w:val="00F54E88"/>
    <w:rsid w:val="00F558DA"/>
    <w:rsid w:val="00F55A30"/>
    <w:rsid w:val="00F56A10"/>
    <w:rsid w:val="00F60394"/>
    <w:rsid w:val="00F60DD0"/>
    <w:rsid w:val="00F613DE"/>
    <w:rsid w:val="00F619E9"/>
    <w:rsid w:val="00F6267F"/>
    <w:rsid w:val="00F6300D"/>
    <w:rsid w:val="00F630BD"/>
    <w:rsid w:val="00F64EFF"/>
    <w:rsid w:val="00F66BE0"/>
    <w:rsid w:val="00F6752D"/>
    <w:rsid w:val="00F710DD"/>
    <w:rsid w:val="00F71B0F"/>
    <w:rsid w:val="00F73199"/>
    <w:rsid w:val="00F73229"/>
    <w:rsid w:val="00F73367"/>
    <w:rsid w:val="00F738B5"/>
    <w:rsid w:val="00F740F2"/>
    <w:rsid w:val="00F745DC"/>
    <w:rsid w:val="00F7480E"/>
    <w:rsid w:val="00F74C34"/>
    <w:rsid w:val="00F763FF"/>
    <w:rsid w:val="00F76699"/>
    <w:rsid w:val="00F76BCA"/>
    <w:rsid w:val="00F7781A"/>
    <w:rsid w:val="00F77B84"/>
    <w:rsid w:val="00F80014"/>
    <w:rsid w:val="00F812FD"/>
    <w:rsid w:val="00F817A9"/>
    <w:rsid w:val="00F8224B"/>
    <w:rsid w:val="00F823FA"/>
    <w:rsid w:val="00F82A01"/>
    <w:rsid w:val="00F82A89"/>
    <w:rsid w:val="00F83012"/>
    <w:rsid w:val="00F83902"/>
    <w:rsid w:val="00F84E26"/>
    <w:rsid w:val="00F85C1A"/>
    <w:rsid w:val="00F86A2C"/>
    <w:rsid w:val="00F87D35"/>
    <w:rsid w:val="00F909B6"/>
    <w:rsid w:val="00F92578"/>
    <w:rsid w:val="00F92E96"/>
    <w:rsid w:val="00F93376"/>
    <w:rsid w:val="00F93D3E"/>
    <w:rsid w:val="00F94E9F"/>
    <w:rsid w:val="00F95972"/>
    <w:rsid w:val="00F95E4E"/>
    <w:rsid w:val="00F96203"/>
    <w:rsid w:val="00F977BD"/>
    <w:rsid w:val="00FA11EB"/>
    <w:rsid w:val="00FA178E"/>
    <w:rsid w:val="00FA1C22"/>
    <w:rsid w:val="00FA2591"/>
    <w:rsid w:val="00FA2B91"/>
    <w:rsid w:val="00FA30A6"/>
    <w:rsid w:val="00FA30DC"/>
    <w:rsid w:val="00FA442C"/>
    <w:rsid w:val="00FA4BC7"/>
    <w:rsid w:val="00FA4D7F"/>
    <w:rsid w:val="00FA6E45"/>
    <w:rsid w:val="00FA79AA"/>
    <w:rsid w:val="00FB0B24"/>
    <w:rsid w:val="00FB0E98"/>
    <w:rsid w:val="00FB20BB"/>
    <w:rsid w:val="00FB2E8B"/>
    <w:rsid w:val="00FB556A"/>
    <w:rsid w:val="00FB5ABC"/>
    <w:rsid w:val="00FB6DA0"/>
    <w:rsid w:val="00FC055B"/>
    <w:rsid w:val="00FC1F5B"/>
    <w:rsid w:val="00FC3EF1"/>
    <w:rsid w:val="00FC4DDE"/>
    <w:rsid w:val="00FC56DB"/>
    <w:rsid w:val="00FC5B1C"/>
    <w:rsid w:val="00FC7B70"/>
    <w:rsid w:val="00FD0317"/>
    <w:rsid w:val="00FD0881"/>
    <w:rsid w:val="00FD1254"/>
    <w:rsid w:val="00FD21CD"/>
    <w:rsid w:val="00FD2372"/>
    <w:rsid w:val="00FD59EA"/>
    <w:rsid w:val="00FD6C1C"/>
    <w:rsid w:val="00FE0014"/>
    <w:rsid w:val="00FE0A8F"/>
    <w:rsid w:val="00FE0EE9"/>
    <w:rsid w:val="00FE141F"/>
    <w:rsid w:val="00FE2A78"/>
    <w:rsid w:val="00FE2AA6"/>
    <w:rsid w:val="00FE2D93"/>
    <w:rsid w:val="00FE3D26"/>
    <w:rsid w:val="00FE4347"/>
    <w:rsid w:val="00FE4D69"/>
    <w:rsid w:val="00FE5C0A"/>
    <w:rsid w:val="00FE5CEA"/>
    <w:rsid w:val="00FF01A4"/>
    <w:rsid w:val="00FF0446"/>
    <w:rsid w:val="00FF0A66"/>
    <w:rsid w:val="00FF194A"/>
    <w:rsid w:val="00FF4D6A"/>
    <w:rsid w:val="00FF5631"/>
    <w:rsid w:val="00FF6566"/>
    <w:rsid w:val="00FF6A8D"/>
    <w:rsid w:val="00FF6F35"/>
    <w:rsid w:val="01093391"/>
    <w:rsid w:val="01211AD4"/>
    <w:rsid w:val="01260E98"/>
    <w:rsid w:val="013A56CD"/>
    <w:rsid w:val="0159301C"/>
    <w:rsid w:val="016043AA"/>
    <w:rsid w:val="0192652E"/>
    <w:rsid w:val="01E31F0A"/>
    <w:rsid w:val="01F3521E"/>
    <w:rsid w:val="023F763D"/>
    <w:rsid w:val="024F2124"/>
    <w:rsid w:val="02870FE9"/>
    <w:rsid w:val="02B80216"/>
    <w:rsid w:val="02BA21E0"/>
    <w:rsid w:val="02BF77F6"/>
    <w:rsid w:val="02E5271F"/>
    <w:rsid w:val="03483348"/>
    <w:rsid w:val="03912F41"/>
    <w:rsid w:val="03A01117"/>
    <w:rsid w:val="03B109E1"/>
    <w:rsid w:val="03DE5A5A"/>
    <w:rsid w:val="04027D4F"/>
    <w:rsid w:val="044D5CE8"/>
    <w:rsid w:val="045301F6"/>
    <w:rsid w:val="04637467"/>
    <w:rsid w:val="046F64E6"/>
    <w:rsid w:val="04754611"/>
    <w:rsid w:val="04802A74"/>
    <w:rsid w:val="04A171B4"/>
    <w:rsid w:val="04C02238"/>
    <w:rsid w:val="04DC01EC"/>
    <w:rsid w:val="053C512E"/>
    <w:rsid w:val="053F69CD"/>
    <w:rsid w:val="054D2E98"/>
    <w:rsid w:val="05587C57"/>
    <w:rsid w:val="0596513B"/>
    <w:rsid w:val="05C801C7"/>
    <w:rsid w:val="05DC0B78"/>
    <w:rsid w:val="05EC445F"/>
    <w:rsid w:val="05ED32BD"/>
    <w:rsid w:val="063500E5"/>
    <w:rsid w:val="064E7864"/>
    <w:rsid w:val="064F2C3F"/>
    <w:rsid w:val="06654211"/>
    <w:rsid w:val="067E456C"/>
    <w:rsid w:val="06A44D39"/>
    <w:rsid w:val="06CB31F5"/>
    <w:rsid w:val="06DF5D71"/>
    <w:rsid w:val="077B5E33"/>
    <w:rsid w:val="078057A6"/>
    <w:rsid w:val="0797489E"/>
    <w:rsid w:val="07D36E3F"/>
    <w:rsid w:val="07F41CF0"/>
    <w:rsid w:val="080F08D8"/>
    <w:rsid w:val="08123F24"/>
    <w:rsid w:val="082A6E89"/>
    <w:rsid w:val="083E4D1A"/>
    <w:rsid w:val="086A5B0F"/>
    <w:rsid w:val="08744BDF"/>
    <w:rsid w:val="0874698D"/>
    <w:rsid w:val="0878022B"/>
    <w:rsid w:val="08BE0C1E"/>
    <w:rsid w:val="08FA3F87"/>
    <w:rsid w:val="09000221"/>
    <w:rsid w:val="09297778"/>
    <w:rsid w:val="098552F6"/>
    <w:rsid w:val="099217C1"/>
    <w:rsid w:val="09A137B2"/>
    <w:rsid w:val="09E813E1"/>
    <w:rsid w:val="0A0830A2"/>
    <w:rsid w:val="0A6208DC"/>
    <w:rsid w:val="0A911A78"/>
    <w:rsid w:val="0AE95411"/>
    <w:rsid w:val="0B1D0254"/>
    <w:rsid w:val="0B24469B"/>
    <w:rsid w:val="0B310936"/>
    <w:rsid w:val="0B4D05D3"/>
    <w:rsid w:val="0B4D3BF1"/>
    <w:rsid w:val="0B582596"/>
    <w:rsid w:val="0B772A1C"/>
    <w:rsid w:val="0B865355"/>
    <w:rsid w:val="0BA70938"/>
    <w:rsid w:val="0BAB4DBC"/>
    <w:rsid w:val="0BBE240E"/>
    <w:rsid w:val="0BE1433A"/>
    <w:rsid w:val="0BF30ADA"/>
    <w:rsid w:val="0C0369A6"/>
    <w:rsid w:val="0C236700"/>
    <w:rsid w:val="0C360B29"/>
    <w:rsid w:val="0C7D0506"/>
    <w:rsid w:val="0CE93FF8"/>
    <w:rsid w:val="0D392D38"/>
    <w:rsid w:val="0D444B80"/>
    <w:rsid w:val="0D643474"/>
    <w:rsid w:val="0D87477D"/>
    <w:rsid w:val="0D98311E"/>
    <w:rsid w:val="0D9D71A2"/>
    <w:rsid w:val="0DC51881"/>
    <w:rsid w:val="0E197DBB"/>
    <w:rsid w:val="0E3746E5"/>
    <w:rsid w:val="0E547045"/>
    <w:rsid w:val="0E7E40C2"/>
    <w:rsid w:val="0E8611C8"/>
    <w:rsid w:val="0E87741A"/>
    <w:rsid w:val="0E8A2C3C"/>
    <w:rsid w:val="0E8D2557"/>
    <w:rsid w:val="0EBD352B"/>
    <w:rsid w:val="0EC3241C"/>
    <w:rsid w:val="0EE859DF"/>
    <w:rsid w:val="0EF319AC"/>
    <w:rsid w:val="0F005F76"/>
    <w:rsid w:val="0F242EBB"/>
    <w:rsid w:val="0F374848"/>
    <w:rsid w:val="0F562285"/>
    <w:rsid w:val="0F846490"/>
    <w:rsid w:val="0F99408F"/>
    <w:rsid w:val="0F9C5147"/>
    <w:rsid w:val="0FA97864"/>
    <w:rsid w:val="10066A65"/>
    <w:rsid w:val="100F5919"/>
    <w:rsid w:val="102313C5"/>
    <w:rsid w:val="105E5BD6"/>
    <w:rsid w:val="10611F76"/>
    <w:rsid w:val="1078173B"/>
    <w:rsid w:val="108904B2"/>
    <w:rsid w:val="10BB784F"/>
    <w:rsid w:val="10C304B2"/>
    <w:rsid w:val="10D426BF"/>
    <w:rsid w:val="10E072B6"/>
    <w:rsid w:val="110C1E59"/>
    <w:rsid w:val="11160F29"/>
    <w:rsid w:val="11592BC4"/>
    <w:rsid w:val="116E2B13"/>
    <w:rsid w:val="119836EC"/>
    <w:rsid w:val="11A622AD"/>
    <w:rsid w:val="11F72F68"/>
    <w:rsid w:val="12266F4A"/>
    <w:rsid w:val="1246139A"/>
    <w:rsid w:val="12AC1AE4"/>
    <w:rsid w:val="12BA7692"/>
    <w:rsid w:val="12CA3D79"/>
    <w:rsid w:val="12DE3E64"/>
    <w:rsid w:val="130C4227"/>
    <w:rsid w:val="13210B00"/>
    <w:rsid w:val="133A279F"/>
    <w:rsid w:val="13D2292A"/>
    <w:rsid w:val="13E470BD"/>
    <w:rsid w:val="140137CB"/>
    <w:rsid w:val="14261483"/>
    <w:rsid w:val="143D67CD"/>
    <w:rsid w:val="145002AE"/>
    <w:rsid w:val="14535FF1"/>
    <w:rsid w:val="14716656"/>
    <w:rsid w:val="14996F59"/>
    <w:rsid w:val="14DC1B42"/>
    <w:rsid w:val="15220E20"/>
    <w:rsid w:val="15323E58"/>
    <w:rsid w:val="15420076"/>
    <w:rsid w:val="156F59E5"/>
    <w:rsid w:val="15A05265"/>
    <w:rsid w:val="15D54F0F"/>
    <w:rsid w:val="16096967"/>
    <w:rsid w:val="16201F02"/>
    <w:rsid w:val="162B2D81"/>
    <w:rsid w:val="16467BBB"/>
    <w:rsid w:val="165E02F5"/>
    <w:rsid w:val="168B1A72"/>
    <w:rsid w:val="16A253D2"/>
    <w:rsid w:val="16B25027"/>
    <w:rsid w:val="16B72867"/>
    <w:rsid w:val="16E42F30"/>
    <w:rsid w:val="17017F86"/>
    <w:rsid w:val="17527883"/>
    <w:rsid w:val="175400B6"/>
    <w:rsid w:val="17575DF8"/>
    <w:rsid w:val="177C13BA"/>
    <w:rsid w:val="17837F2A"/>
    <w:rsid w:val="17892D89"/>
    <w:rsid w:val="179D5D7F"/>
    <w:rsid w:val="182A6BA6"/>
    <w:rsid w:val="18477C1A"/>
    <w:rsid w:val="18622CA6"/>
    <w:rsid w:val="18893D8F"/>
    <w:rsid w:val="188D1AD1"/>
    <w:rsid w:val="19017DC9"/>
    <w:rsid w:val="193E2DCB"/>
    <w:rsid w:val="196A3BC0"/>
    <w:rsid w:val="19831126"/>
    <w:rsid w:val="19874772"/>
    <w:rsid w:val="19BC6C5B"/>
    <w:rsid w:val="19C07C84"/>
    <w:rsid w:val="19DC1BE5"/>
    <w:rsid w:val="19DC4392"/>
    <w:rsid w:val="19DD25E4"/>
    <w:rsid w:val="19DE635C"/>
    <w:rsid w:val="19FE07AD"/>
    <w:rsid w:val="1A442663"/>
    <w:rsid w:val="1A642D06"/>
    <w:rsid w:val="1A6E76E0"/>
    <w:rsid w:val="1A880FE9"/>
    <w:rsid w:val="1A8F0A18"/>
    <w:rsid w:val="1AC87A41"/>
    <w:rsid w:val="1ADD6614"/>
    <w:rsid w:val="1B460869"/>
    <w:rsid w:val="1B8B42C2"/>
    <w:rsid w:val="1BCB46BE"/>
    <w:rsid w:val="1BE57F22"/>
    <w:rsid w:val="1BF65BDF"/>
    <w:rsid w:val="1BF9122C"/>
    <w:rsid w:val="1C597F1C"/>
    <w:rsid w:val="1C632B49"/>
    <w:rsid w:val="1C67088B"/>
    <w:rsid w:val="1C70635D"/>
    <w:rsid w:val="1C921F06"/>
    <w:rsid w:val="1CD35F20"/>
    <w:rsid w:val="1CD852E5"/>
    <w:rsid w:val="1CEB6DC6"/>
    <w:rsid w:val="1CFC1286"/>
    <w:rsid w:val="1D3F35B6"/>
    <w:rsid w:val="1D5756AC"/>
    <w:rsid w:val="1D8A2A83"/>
    <w:rsid w:val="1D9C6F32"/>
    <w:rsid w:val="1DDA5067"/>
    <w:rsid w:val="1DE026A3"/>
    <w:rsid w:val="1DE14A96"/>
    <w:rsid w:val="1E562869"/>
    <w:rsid w:val="1E5D1F46"/>
    <w:rsid w:val="1E71154D"/>
    <w:rsid w:val="1E8A6AB3"/>
    <w:rsid w:val="1EE066D3"/>
    <w:rsid w:val="1EE254F1"/>
    <w:rsid w:val="1EFD5316"/>
    <w:rsid w:val="1F446D63"/>
    <w:rsid w:val="1F744059"/>
    <w:rsid w:val="1F890B18"/>
    <w:rsid w:val="1FB43DE7"/>
    <w:rsid w:val="1FEF4E1F"/>
    <w:rsid w:val="200A6A16"/>
    <w:rsid w:val="200B777F"/>
    <w:rsid w:val="203D202F"/>
    <w:rsid w:val="208C08C0"/>
    <w:rsid w:val="20C444FE"/>
    <w:rsid w:val="20D47DF7"/>
    <w:rsid w:val="20E424AA"/>
    <w:rsid w:val="20E57FD0"/>
    <w:rsid w:val="214C1E4D"/>
    <w:rsid w:val="21521B0A"/>
    <w:rsid w:val="218E68BA"/>
    <w:rsid w:val="21A12149"/>
    <w:rsid w:val="21AF0D0A"/>
    <w:rsid w:val="21D00C81"/>
    <w:rsid w:val="224B7242"/>
    <w:rsid w:val="22511DC1"/>
    <w:rsid w:val="225B679C"/>
    <w:rsid w:val="226B7745"/>
    <w:rsid w:val="229E48DB"/>
    <w:rsid w:val="229E6F47"/>
    <w:rsid w:val="22A54748"/>
    <w:rsid w:val="22B20386"/>
    <w:rsid w:val="22BB36DF"/>
    <w:rsid w:val="22DA1DB7"/>
    <w:rsid w:val="2322550C"/>
    <w:rsid w:val="233D0598"/>
    <w:rsid w:val="23515DF1"/>
    <w:rsid w:val="23D36806"/>
    <w:rsid w:val="240A66CC"/>
    <w:rsid w:val="246D27B7"/>
    <w:rsid w:val="2483647E"/>
    <w:rsid w:val="24A361D8"/>
    <w:rsid w:val="24CD11E7"/>
    <w:rsid w:val="24CF1608"/>
    <w:rsid w:val="2542186B"/>
    <w:rsid w:val="258C1362"/>
    <w:rsid w:val="25A46DCB"/>
    <w:rsid w:val="25BD776E"/>
    <w:rsid w:val="25D22EEF"/>
    <w:rsid w:val="25DF1FAF"/>
    <w:rsid w:val="2648630C"/>
    <w:rsid w:val="2650413E"/>
    <w:rsid w:val="26512EF4"/>
    <w:rsid w:val="26541E80"/>
    <w:rsid w:val="26793695"/>
    <w:rsid w:val="267E0CAB"/>
    <w:rsid w:val="26B34E58"/>
    <w:rsid w:val="26C03072"/>
    <w:rsid w:val="270311B0"/>
    <w:rsid w:val="27182EAE"/>
    <w:rsid w:val="27353D22"/>
    <w:rsid w:val="277F2B0E"/>
    <w:rsid w:val="279D0DF3"/>
    <w:rsid w:val="27B10D21"/>
    <w:rsid w:val="27D52B4D"/>
    <w:rsid w:val="27ED433A"/>
    <w:rsid w:val="27FA0805"/>
    <w:rsid w:val="283E4B96"/>
    <w:rsid w:val="2850494A"/>
    <w:rsid w:val="28520641"/>
    <w:rsid w:val="28770928"/>
    <w:rsid w:val="288F00BC"/>
    <w:rsid w:val="2890116A"/>
    <w:rsid w:val="28D177B8"/>
    <w:rsid w:val="29003BF9"/>
    <w:rsid w:val="29695C42"/>
    <w:rsid w:val="29890093"/>
    <w:rsid w:val="299C5B7D"/>
    <w:rsid w:val="29A445E5"/>
    <w:rsid w:val="29B35110"/>
    <w:rsid w:val="29C235A5"/>
    <w:rsid w:val="29CC2DAF"/>
    <w:rsid w:val="29EE6148"/>
    <w:rsid w:val="2A4027A1"/>
    <w:rsid w:val="2A4346E5"/>
    <w:rsid w:val="2A471751"/>
    <w:rsid w:val="2A823FDD"/>
    <w:rsid w:val="2A930A9D"/>
    <w:rsid w:val="2AA1140C"/>
    <w:rsid w:val="2AB27175"/>
    <w:rsid w:val="2ADE19DB"/>
    <w:rsid w:val="2AE4764B"/>
    <w:rsid w:val="2B520958"/>
    <w:rsid w:val="2B650BA7"/>
    <w:rsid w:val="2B6F32B8"/>
    <w:rsid w:val="2B7A3BC0"/>
    <w:rsid w:val="2B980ED4"/>
    <w:rsid w:val="2BAF1D10"/>
    <w:rsid w:val="2BC5112A"/>
    <w:rsid w:val="2BC96E6C"/>
    <w:rsid w:val="2BDB26FC"/>
    <w:rsid w:val="2BE75544"/>
    <w:rsid w:val="2C2F07D5"/>
    <w:rsid w:val="2C3F712F"/>
    <w:rsid w:val="2C412EA7"/>
    <w:rsid w:val="2C617224"/>
    <w:rsid w:val="2C723060"/>
    <w:rsid w:val="2C842D93"/>
    <w:rsid w:val="2CA90A4C"/>
    <w:rsid w:val="2CC118F2"/>
    <w:rsid w:val="2CED4B62"/>
    <w:rsid w:val="2D080D06"/>
    <w:rsid w:val="2D236108"/>
    <w:rsid w:val="2D8868B3"/>
    <w:rsid w:val="2D9507BA"/>
    <w:rsid w:val="2D984D48"/>
    <w:rsid w:val="2DA336ED"/>
    <w:rsid w:val="2DC31699"/>
    <w:rsid w:val="2E01768D"/>
    <w:rsid w:val="2EED69CE"/>
    <w:rsid w:val="2F1E302B"/>
    <w:rsid w:val="2F5B427F"/>
    <w:rsid w:val="2F5C1DA5"/>
    <w:rsid w:val="2F7E1D1C"/>
    <w:rsid w:val="2F8D01B1"/>
    <w:rsid w:val="2FA31782"/>
    <w:rsid w:val="2FF67B04"/>
    <w:rsid w:val="30380D93"/>
    <w:rsid w:val="30760C45"/>
    <w:rsid w:val="30851129"/>
    <w:rsid w:val="30864188"/>
    <w:rsid w:val="30F5600E"/>
    <w:rsid w:val="31202449"/>
    <w:rsid w:val="31426FD7"/>
    <w:rsid w:val="31921AAF"/>
    <w:rsid w:val="31B61C41"/>
    <w:rsid w:val="31B73EDB"/>
    <w:rsid w:val="31FD161E"/>
    <w:rsid w:val="323460BD"/>
    <w:rsid w:val="323F1386"/>
    <w:rsid w:val="324E00CB"/>
    <w:rsid w:val="32672257"/>
    <w:rsid w:val="32836AB1"/>
    <w:rsid w:val="32A91CDA"/>
    <w:rsid w:val="32E8333F"/>
    <w:rsid w:val="332B21BB"/>
    <w:rsid w:val="33590AD6"/>
    <w:rsid w:val="336254B1"/>
    <w:rsid w:val="337D597A"/>
    <w:rsid w:val="33884F17"/>
    <w:rsid w:val="3392223A"/>
    <w:rsid w:val="33A45AC9"/>
    <w:rsid w:val="33B421B0"/>
    <w:rsid w:val="33EF31E8"/>
    <w:rsid w:val="34034EE6"/>
    <w:rsid w:val="343E1A7A"/>
    <w:rsid w:val="34936269"/>
    <w:rsid w:val="34955FD2"/>
    <w:rsid w:val="34A86AA0"/>
    <w:rsid w:val="34F34F5A"/>
    <w:rsid w:val="35042CC3"/>
    <w:rsid w:val="35C12962"/>
    <w:rsid w:val="35F87038"/>
    <w:rsid w:val="36541A28"/>
    <w:rsid w:val="365E28A7"/>
    <w:rsid w:val="36730100"/>
    <w:rsid w:val="36AE1139"/>
    <w:rsid w:val="36CA3A99"/>
    <w:rsid w:val="36EB413B"/>
    <w:rsid w:val="371F2036"/>
    <w:rsid w:val="373F7FE3"/>
    <w:rsid w:val="376C4B50"/>
    <w:rsid w:val="379C5435"/>
    <w:rsid w:val="37A24C61"/>
    <w:rsid w:val="37AD6FDA"/>
    <w:rsid w:val="37AE6F16"/>
    <w:rsid w:val="37BE9458"/>
    <w:rsid w:val="37C4498C"/>
    <w:rsid w:val="37ED7A3F"/>
    <w:rsid w:val="383733B0"/>
    <w:rsid w:val="383A69FC"/>
    <w:rsid w:val="383E029A"/>
    <w:rsid w:val="387168C2"/>
    <w:rsid w:val="38C34C43"/>
    <w:rsid w:val="38F94393"/>
    <w:rsid w:val="392E6561"/>
    <w:rsid w:val="39763A64"/>
    <w:rsid w:val="39C12F31"/>
    <w:rsid w:val="3A163157"/>
    <w:rsid w:val="3A43428E"/>
    <w:rsid w:val="3A4818A4"/>
    <w:rsid w:val="3A543DA5"/>
    <w:rsid w:val="3AC802EF"/>
    <w:rsid w:val="3AE0388B"/>
    <w:rsid w:val="3AFF3D8E"/>
    <w:rsid w:val="3B1874C8"/>
    <w:rsid w:val="3B2A71FC"/>
    <w:rsid w:val="3B2E7228"/>
    <w:rsid w:val="3B3468A9"/>
    <w:rsid w:val="3B6E0E96"/>
    <w:rsid w:val="3B9C1EA7"/>
    <w:rsid w:val="3BA90120"/>
    <w:rsid w:val="3BADF5DD"/>
    <w:rsid w:val="3BE850ED"/>
    <w:rsid w:val="3BED2703"/>
    <w:rsid w:val="3C073099"/>
    <w:rsid w:val="3C37572C"/>
    <w:rsid w:val="3C4D4F50"/>
    <w:rsid w:val="3C8A1876"/>
    <w:rsid w:val="3C8A7F52"/>
    <w:rsid w:val="3CBD0327"/>
    <w:rsid w:val="3CD236A7"/>
    <w:rsid w:val="3CE5162C"/>
    <w:rsid w:val="3D255ECD"/>
    <w:rsid w:val="3D2F28A7"/>
    <w:rsid w:val="3D475E43"/>
    <w:rsid w:val="3D910D6B"/>
    <w:rsid w:val="3DD11C84"/>
    <w:rsid w:val="3DEA2FF1"/>
    <w:rsid w:val="3DF24001"/>
    <w:rsid w:val="3E10092B"/>
    <w:rsid w:val="3E35213F"/>
    <w:rsid w:val="3E4C4DCF"/>
    <w:rsid w:val="3E570308"/>
    <w:rsid w:val="3E9F78F7"/>
    <w:rsid w:val="3EA352FB"/>
    <w:rsid w:val="3EB07A18"/>
    <w:rsid w:val="3EB3D5A7"/>
    <w:rsid w:val="3F185CE9"/>
    <w:rsid w:val="3F2226C4"/>
    <w:rsid w:val="3F405508"/>
    <w:rsid w:val="3F593C0C"/>
    <w:rsid w:val="3FF027C2"/>
    <w:rsid w:val="40013514"/>
    <w:rsid w:val="40181D19"/>
    <w:rsid w:val="40185875"/>
    <w:rsid w:val="403E177F"/>
    <w:rsid w:val="404B3E9C"/>
    <w:rsid w:val="40503261"/>
    <w:rsid w:val="40B97058"/>
    <w:rsid w:val="40CD48B1"/>
    <w:rsid w:val="40F938F8"/>
    <w:rsid w:val="416845DA"/>
    <w:rsid w:val="416C7430"/>
    <w:rsid w:val="417E7959"/>
    <w:rsid w:val="41BA3087"/>
    <w:rsid w:val="41C9151C"/>
    <w:rsid w:val="41DB4DAC"/>
    <w:rsid w:val="41DF489C"/>
    <w:rsid w:val="41E9213D"/>
    <w:rsid w:val="41EE6634"/>
    <w:rsid w:val="41FB36A0"/>
    <w:rsid w:val="4205007B"/>
    <w:rsid w:val="426E5C20"/>
    <w:rsid w:val="429C278D"/>
    <w:rsid w:val="42C615B8"/>
    <w:rsid w:val="42F02AD9"/>
    <w:rsid w:val="42F779C3"/>
    <w:rsid w:val="42F9147B"/>
    <w:rsid w:val="434C41B3"/>
    <w:rsid w:val="434C53D8"/>
    <w:rsid w:val="434F15AD"/>
    <w:rsid w:val="43627E40"/>
    <w:rsid w:val="43670FED"/>
    <w:rsid w:val="43D30430"/>
    <w:rsid w:val="43E02B4D"/>
    <w:rsid w:val="43EC504E"/>
    <w:rsid w:val="44754318"/>
    <w:rsid w:val="447B4624"/>
    <w:rsid w:val="44BD4C3D"/>
    <w:rsid w:val="44CC0FB9"/>
    <w:rsid w:val="44E87F0C"/>
    <w:rsid w:val="44ED72D0"/>
    <w:rsid w:val="45022447"/>
    <w:rsid w:val="45076ABD"/>
    <w:rsid w:val="45435142"/>
    <w:rsid w:val="454A4722"/>
    <w:rsid w:val="454B3FF6"/>
    <w:rsid w:val="457B0D80"/>
    <w:rsid w:val="45834F8A"/>
    <w:rsid w:val="45967968"/>
    <w:rsid w:val="459736E0"/>
    <w:rsid w:val="45AC0F39"/>
    <w:rsid w:val="45D24718"/>
    <w:rsid w:val="4678706D"/>
    <w:rsid w:val="468679DC"/>
    <w:rsid w:val="469A5235"/>
    <w:rsid w:val="46C422B2"/>
    <w:rsid w:val="46C73B51"/>
    <w:rsid w:val="46CC73B9"/>
    <w:rsid w:val="46ED607D"/>
    <w:rsid w:val="470923BB"/>
    <w:rsid w:val="470D3C59"/>
    <w:rsid w:val="471548BC"/>
    <w:rsid w:val="472B2331"/>
    <w:rsid w:val="473E02B7"/>
    <w:rsid w:val="47487C4A"/>
    <w:rsid w:val="474B4782"/>
    <w:rsid w:val="47777325"/>
    <w:rsid w:val="48111527"/>
    <w:rsid w:val="48164D90"/>
    <w:rsid w:val="4839282C"/>
    <w:rsid w:val="484216E1"/>
    <w:rsid w:val="48587156"/>
    <w:rsid w:val="487F5FB0"/>
    <w:rsid w:val="488321FC"/>
    <w:rsid w:val="48A979B2"/>
    <w:rsid w:val="48C91E02"/>
    <w:rsid w:val="48E409EA"/>
    <w:rsid w:val="49180694"/>
    <w:rsid w:val="49226B2C"/>
    <w:rsid w:val="493F3E51"/>
    <w:rsid w:val="493F3E72"/>
    <w:rsid w:val="49666530"/>
    <w:rsid w:val="49670529"/>
    <w:rsid w:val="49822CF1"/>
    <w:rsid w:val="49995E2C"/>
    <w:rsid w:val="499C3073"/>
    <w:rsid w:val="49EB4F0C"/>
    <w:rsid w:val="49ED7D72"/>
    <w:rsid w:val="4A1B668D"/>
    <w:rsid w:val="4A1F23FE"/>
    <w:rsid w:val="4A6E0EB3"/>
    <w:rsid w:val="4A78588E"/>
    <w:rsid w:val="4A800BE6"/>
    <w:rsid w:val="4AAC19DB"/>
    <w:rsid w:val="4AC05487"/>
    <w:rsid w:val="4AD36F68"/>
    <w:rsid w:val="4AFB201B"/>
    <w:rsid w:val="4B023B91"/>
    <w:rsid w:val="4B72052F"/>
    <w:rsid w:val="4B7A3887"/>
    <w:rsid w:val="4BEA27BB"/>
    <w:rsid w:val="4C131809"/>
    <w:rsid w:val="4C8449BE"/>
    <w:rsid w:val="4C8F3363"/>
    <w:rsid w:val="4CAA72F3"/>
    <w:rsid w:val="4CC748AA"/>
    <w:rsid w:val="4CC9604B"/>
    <w:rsid w:val="4CCF375F"/>
    <w:rsid w:val="4CD82614"/>
    <w:rsid w:val="4D2E66D8"/>
    <w:rsid w:val="4D3D32A3"/>
    <w:rsid w:val="4DCB2178"/>
    <w:rsid w:val="4DDC6134"/>
    <w:rsid w:val="4DF06B51"/>
    <w:rsid w:val="4E0631B0"/>
    <w:rsid w:val="4E1963C9"/>
    <w:rsid w:val="4E2F2453"/>
    <w:rsid w:val="4E577F3A"/>
    <w:rsid w:val="4E610F96"/>
    <w:rsid w:val="4E6F5B07"/>
    <w:rsid w:val="4E704CA0"/>
    <w:rsid w:val="4E7A015F"/>
    <w:rsid w:val="4E7D64B2"/>
    <w:rsid w:val="4E856251"/>
    <w:rsid w:val="4EC72940"/>
    <w:rsid w:val="4F0C0C9A"/>
    <w:rsid w:val="4F1162B1"/>
    <w:rsid w:val="4F310701"/>
    <w:rsid w:val="4F952A3E"/>
    <w:rsid w:val="4FB70C06"/>
    <w:rsid w:val="4FCB2904"/>
    <w:rsid w:val="4FD053A0"/>
    <w:rsid w:val="50615016"/>
    <w:rsid w:val="506A143A"/>
    <w:rsid w:val="50B10DEC"/>
    <w:rsid w:val="50B11AF9"/>
    <w:rsid w:val="50B9275C"/>
    <w:rsid w:val="50DB0924"/>
    <w:rsid w:val="50F97A8C"/>
    <w:rsid w:val="510C31D4"/>
    <w:rsid w:val="512E23AB"/>
    <w:rsid w:val="51516E38"/>
    <w:rsid w:val="518014CC"/>
    <w:rsid w:val="51931C00"/>
    <w:rsid w:val="519B6306"/>
    <w:rsid w:val="52112DDC"/>
    <w:rsid w:val="5268463D"/>
    <w:rsid w:val="526D5DB2"/>
    <w:rsid w:val="52A579AD"/>
    <w:rsid w:val="52B7716F"/>
    <w:rsid w:val="52CB49C9"/>
    <w:rsid w:val="52D63A99"/>
    <w:rsid w:val="52DD4E28"/>
    <w:rsid w:val="52F61A46"/>
    <w:rsid w:val="53195734"/>
    <w:rsid w:val="531D3204"/>
    <w:rsid w:val="5338205E"/>
    <w:rsid w:val="536D782E"/>
    <w:rsid w:val="539179C0"/>
    <w:rsid w:val="53990623"/>
    <w:rsid w:val="53E67D0C"/>
    <w:rsid w:val="543F11CA"/>
    <w:rsid w:val="54ED788B"/>
    <w:rsid w:val="552810DA"/>
    <w:rsid w:val="55344AA7"/>
    <w:rsid w:val="554A1847"/>
    <w:rsid w:val="55805F3E"/>
    <w:rsid w:val="55D65AB3"/>
    <w:rsid w:val="55DD1C8B"/>
    <w:rsid w:val="55E97640"/>
    <w:rsid w:val="55EF09CE"/>
    <w:rsid w:val="562E0B5A"/>
    <w:rsid w:val="564231F4"/>
    <w:rsid w:val="566118CC"/>
    <w:rsid w:val="56856D59"/>
    <w:rsid w:val="57113B96"/>
    <w:rsid w:val="572B1A9C"/>
    <w:rsid w:val="5737087F"/>
    <w:rsid w:val="573F0049"/>
    <w:rsid w:val="5748483A"/>
    <w:rsid w:val="57A72901"/>
    <w:rsid w:val="57C121B3"/>
    <w:rsid w:val="57D63BF4"/>
    <w:rsid w:val="57F8000E"/>
    <w:rsid w:val="583C439E"/>
    <w:rsid w:val="58502E3A"/>
    <w:rsid w:val="5878789F"/>
    <w:rsid w:val="58920462"/>
    <w:rsid w:val="58BC728D"/>
    <w:rsid w:val="58D2260D"/>
    <w:rsid w:val="58EE31BF"/>
    <w:rsid w:val="59075493"/>
    <w:rsid w:val="590824D3"/>
    <w:rsid w:val="59172746"/>
    <w:rsid w:val="593405B4"/>
    <w:rsid w:val="59464DA9"/>
    <w:rsid w:val="59617E35"/>
    <w:rsid w:val="596516D3"/>
    <w:rsid w:val="596A0A97"/>
    <w:rsid w:val="59741D06"/>
    <w:rsid w:val="59867677"/>
    <w:rsid w:val="59B11E80"/>
    <w:rsid w:val="5A166E71"/>
    <w:rsid w:val="5A206522"/>
    <w:rsid w:val="5A2275C4"/>
    <w:rsid w:val="5A6279C1"/>
    <w:rsid w:val="5A643739"/>
    <w:rsid w:val="5AAB580B"/>
    <w:rsid w:val="5ACD5782"/>
    <w:rsid w:val="5AF947C9"/>
    <w:rsid w:val="5B04629A"/>
    <w:rsid w:val="5B0647F0"/>
    <w:rsid w:val="5B092532"/>
    <w:rsid w:val="5B1A361E"/>
    <w:rsid w:val="5B215ACE"/>
    <w:rsid w:val="5B2E628D"/>
    <w:rsid w:val="5B4A6772"/>
    <w:rsid w:val="5B562B4B"/>
    <w:rsid w:val="5B6E3EC8"/>
    <w:rsid w:val="5B791466"/>
    <w:rsid w:val="5BB46942"/>
    <w:rsid w:val="5BD448EE"/>
    <w:rsid w:val="5BFD0497"/>
    <w:rsid w:val="5C50666A"/>
    <w:rsid w:val="5C69772C"/>
    <w:rsid w:val="5C902F0B"/>
    <w:rsid w:val="5CBD5382"/>
    <w:rsid w:val="5CE26FEB"/>
    <w:rsid w:val="5CE35DCD"/>
    <w:rsid w:val="5CEE19DF"/>
    <w:rsid w:val="5D2418A5"/>
    <w:rsid w:val="5D331AE8"/>
    <w:rsid w:val="5D4D2BAA"/>
    <w:rsid w:val="5D4F8363"/>
    <w:rsid w:val="5D752101"/>
    <w:rsid w:val="5D7F3244"/>
    <w:rsid w:val="5D924A61"/>
    <w:rsid w:val="5DF50B4C"/>
    <w:rsid w:val="5E2C0A8E"/>
    <w:rsid w:val="5E897C12"/>
    <w:rsid w:val="5EB01642"/>
    <w:rsid w:val="5EEE3F19"/>
    <w:rsid w:val="5F593A88"/>
    <w:rsid w:val="5FBEDCB6"/>
    <w:rsid w:val="5FDA1514"/>
    <w:rsid w:val="6017749F"/>
    <w:rsid w:val="6031230F"/>
    <w:rsid w:val="604F2F3E"/>
    <w:rsid w:val="60996106"/>
    <w:rsid w:val="60D64C64"/>
    <w:rsid w:val="61045C75"/>
    <w:rsid w:val="610A2B60"/>
    <w:rsid w:val="61243488"/>
    <w:rsid w:val="6142054C"/>
    <w:rsid w:val="614918DA"/>
    <w:rsid w:val="616D0E33"/>
    <w:rsid w:val="61C5357E"/>
    <w:rsid w:val="61E76E94"/>
    <w:rsid w:val="61ED7FCA"/>
    <w:rsid w:val="62361E5F"/>
    <w:rsid w:val="6243457B"/>
    <w:rsid w:val="624D53FA"/>
    <w:rsid w:val="62961FC4"/>
    <w:rsid w:val="62D741DA"/>
    <w:rsid w:val="62E0626E"/>
    <w:rsid w:val="62EE2739"/>
    <w:rsid w:val="635C3B47"/>
    <w:rsid w:val="639A6163"/>
    <w:rsid w:val="63E3168C"/>
    <w:rsid w:val="63FB5C17"/>
    <w:rsid w:val="64346872"/>
    <w:rsid w:val="6454481E"/>
    <w:rsid w:val="64607667"/>
    <w:rsid w:val="64654C7D"/>
    <w:rsid w:val="64740A1C"/>
    <w:rsid w:val="64766584"/>
    <w:rsid w:val="647E5D3F"/>
    <w:rsid w:val="648D5F82"/>
    <w:rsid w:val="64A05CB5"/>
    <w:rsid w:val="64B25724"/>
    <w:rsid w:val="65586590"/>
    <w:rsid w:val="6562740E"/>
    <w:rsid w:val="65757142"/>
    <w:rsid w:val="657C5397"/>
    <w:rsid w:val="6589499B"/>
    <w:rsid w:val="659C46CE"/>
    <w:rsid w:val="65A60FFB"/>
    <w:rsid w:val="65BD4645"/>
    <w:rsid w:val="662446C4"/>
    <w:rsid w:val="662F17B4"/>
    <w:rsid w:val="66521231"/>
    <w:rsid w:val="665C3E5E"/>
    <w:rsid w:val="668F5FE1"/>
    <w:rsid w:val="66BE0674"/>
    <w:rsid w:val="66CC0FE3"/>
    <w:rsid w:val="674072DB"/>
    <w:rsid w:val="67515045"/>
    <w:rsid w:val="676236F6"/>
    <w:rsid w:val="67764525"/>
    <w:rsid w:val="67B376A9"/>
    <w:rsid w:val="67E40775"/>
    <w:rsid w:val="686B244F"/>
    <w:rsid w:val="68A96E47"/>
    <w:rsid w:val="68C1444C"/>
    <w:rsid w:val="68C15F35"/>
    <w:rsid w:val="691722BE"/>
    <w:rsid w:val="69177E66"/>
    <w:rsid w:val="693764BC"/>
    <w:rsid w:val="69401443"/>
    <w:rsid w:val="696F5C56"/>
    <w:rsid w:val="69990F25"/>
    <w:rsid w:val="69A126D9"/>
    <w:rsid w:val="69B875FD"/>
    <w:rsid w:val="69EC374B"/>
    <w:rsid w:val="69F10D61"/>
    <w:rsid w:val="6A170A4F"/>
    <w:rsid w:val="6A1A02B8"/>
    <w:rsid w:val="6A333127"/>
    <w:rsid w:val="6A3C022E"/>
    <w:rsid w:val="6A5D1F52"/>
    <w:rsid w:val="6A7379C8"/>
    <w:rsid w:val="6AA30782"/>
    <w:rsid w:val="6AD03A0F"/>
    <w:rsid w:val="6ADC731B"/>
    <w:rsid w:val="6B1139A5"/>
    <w:rsid w:val="6B145CBF"/>
    <w:rsid w:val="6B4B624F"/>
    <w:rsid w:val="6B52582F"/>
    <w:rsid w:val="6B5C045C"/>
    <w:rsid w:val="6B607F4C"/>
    <w:rsid w:val="6B6537B4"/>
    <w:rsid w:val="6B8974A3"/>
    <w:rsid w:val="6B9B3AF5"/>
    <w:rsid w:val="6BCB7ABB"/>
    <w:rsid w:val="6BDA5F51"/>
    <w:rsid w:val="6BE8747C"/>
    <w:rsid w:val="6BEC7A32"/>
    <w:rsid w:val="6BF608B1"/>
    <w:rsid w:val="6C117498"/>
    <w:rsid w:val="6C335661"/>
    <w:rsid w:val="6C4D6722"/>
    <w:rsid w:val="6CAB7073"/>
    <w:rsid w:val="6CBF6E0D"/>
    <w:rsid w:val="6CC10EBE"/>
    <w:rsid w:val="6CED3A62"/>
    <w:rsid w:val="6CEF0EC0"/>
    <w:rsid w:val="6D0112BB"/>
    <w:rsid w:val="6D2D3661"/>
    <w:rsid w:val="6D490456"/>
    <w:rsid w:val="6DDD45E2"/>
    <w:rsid w:val="6DE5298B"/>
    <w:rsid w:val="6E3336F6"/>
    <w:rsid w:val="6E34121C"/>
    <w:rsid w:val="6E4631FA"/>
    <w:rsid w:val="6E5518BE"/>
    <w:rsid w:val="6E865F1C"/>
    <w:rsid w:val="6EB7D759"/>
    <w:rsid w:val="6EBD0C91"/>
    <w:rsid w:val="6EC425A0"/>
    <w:rsid w:val="6EE90259"/>
    <w:rsid w:val="6F4B2CC1"/>
    <w:rsid w:val="6F5222A2"/>
    <w:rsid w:val="6F60051B"/>
    <w:rsid w:val="6F8F7052"/>
    <w:rsid w:val="6FA26D85"/>
    <w:rsid w:val="6FA42E21"/>
    <w:rsid w:val="6FBD57C0"/>
    <w:rsid w:val="70003AAC"/>
    <w:rsid w:val="7000707A"/>
    <w:rsid w:val="701E6BE6"/>
    <w:rsid w:val="701F51F2"/>
    <w:rsid w:val="705F6A24"/>
    <w:rsid w:val="70A32D14"/>
    <w:rsid w:val="70DF36C1"/>
    <w:rsid w:val="71614A1E"/>
    <w:rsid w:val="71963B91"/>
    <w:rsid w:val="71C54FAD"/>
    <w:rsid w:val="71F21CCD"/>
    <w:rsid w:val="72021D5D"/>
    <w:rsid w:val="722C2936"/>
    <w:rsid w:val="72783DCD"/>
    <w:rsid w:val="72A75378"/>
    <w:rsid w:val="72D25988"/>
    <w:rsid w:val="72EB134C"/>
    <w:rsid w:val="731358A4"/>
    <w:rsid w:val="731C6E4F"/>
    <w:rsid w:val="732B7092"/>
    <w:rsid w:val="736600CA"/>
    <w:rsid w:val="736C2EA3"/>
    <w:rsid w:val="736C3316"/>
    <w:rsid w:val="7434641A"/>
    <w:rsid w:val="74432492"/>
    <w:rsid w:val="74510D7A"/>
    <w:rsid w:val="74681A5C"/>
    <w:rsid w:val="747B1953"/>
    <w:rsid w:val="74911420"/>
    <w:rsid w:val="74A52E74"/>
    <w:rsid w:val="74C368AF"/>
    <w:rsid w:val="74D379E1"/>
    <w:rsid w:val="74DA0D6F"/>
    <w:rsid w:val="74F23754"/>
    <w:rsid w:val="750B717B"/>
    <w:rsid w:val="753B10E2"/>
    <w:rsid w:val="757C1E26"/>
    <w:rsid w:val="75833F52"/>
    <w:rsid w:val="75A60C51"/>
    <w:rsid w:val="75B570E6"/>
    <w:rsid w:val="75B72E5F"/>
    <w:rsid w:val="75F25C45"/>
    <w:rsid w:val="768D3BBF"/>
    <w:rsid w:val="76984A3E"/>
    <w:rsid w:val="76B37ACA"/>
    <w:rsid w:val="76B64EC4"/>
    <w:rsid w:val="76EC23FF"/>
    <w:rsid w:val="76FB321F"/>
    <w:rsid w:val="77297D8C"/>
    <w:rsid w:val="773F135E"/>
    <w:rsid w:val="77770656"/>
    <w:rsid w:val="777F9F48"/>
    <w:rsid w:val="77C47AB5"/>
    <w:rsid w:val="77C91904"/>
    <w:rsid w:val="77D807CB"/>
    <w:rsid w:val="77D861EC"/>
    <w:rsid w:val="78056103"/>
    <w:rsid w:val="785E1CB7"/>
    <w:rsid w:val="7873415D"/>
    <w:rsid w:val="788F00C3"/>
    <w:rsid w:val="7890022D"/>
    <w:rsid w:val="78A0111E"/>
    <w:rsid w:val="78A0407E"/>
    <w:rsid w:val="78B90C9C"/>
    <w:rsid w:val="78D855C6"/>
    <w:rsid w:val="78E026CC"/>
    <w:rsid w:val="78F30652"/>
    <w:rsid w:val="78FB5758"/>
    <w:rsid w:val="7930687E"/>
    <w:rsid w:val="79654980"/>
    <w:rsid w:val="799C2A97"/>
    <w:rsid w:val="79A47B9E"/>
    <w:rsid w:val="79A74F98"/>
    <w:rsid w:val="79AE27CB"/>
    <w:rsid w:val="79BF6786"/>
    <w:rsid w:val="79F857F4"/>
    <w:rsid w:val="79F93A46"/>
    <w:rsid w:val="7A0B5527"/>
    <w:rsid w:val="7AC34054"/>
    <w:rsid w:val="7ACF1F8C"/>
    <w:rsid w:val="7AE30252"/>
    <w:rsid w:val="7B187485"/>
    <w:rsid w:val="7B332F87"/>
    <w:rsid w:val="7B55041F"/>
    <w:rsid w:val="7C1032C9"/>
    <w:rsid w:val="7C460A98"/>
    <w:rsid w:val="7CAB4D9F"/>
    <w:rsid w:val="7CBC51FE"/>
    <w:rsid w:val="7CC83BA3"/>
    <w:rsid w:val="7CCF7C78"/>
    <w:rsid w:val="7CD95454"/>
    <w:rsid w:val="7CDFEF79"/>
    <w:rsid w:val="7CE01DE2"/>
    <w:rsid w:val="7CE107C1"/>
    <w:rsid w:val="7D1D26D3"/>
    <w:rsid w:val="7D2863F0"/>
    <w:rsid w:val="7D5B0573"/>
    <w:rsid w:val="7D5B4A17"/>
    <w:rsid w:val="7D6E02A7"/>
    <w:rsid w:val="7D8F646F"/>
    <w:rsid w:val="7DAC0DCF"/>
    <w:rsid w:val="7DD90B23"/>
    <w:rsid w:val="7DF2712A"/>
    <w:rsid w:val="7E130E4E"/>
    <w:rsid w:val="7E53749D"/>
    <w:rsid w:val="7E7A3A8F"/>
    <w:rsid w:val="7E936BF6"/>
    <w:rsid w:val="7EC7623E"/>
    <w:rsid w:val="7EDE320A"/>
    <w:rsid w:val="7EE46A81"/>
    <w:rsid w:val="7EEF67CB"/>
    <w:rsid w:val="7EF944E8"/>
    <w:rsid w:val="7F0A2955"/>
    <w:rsid w:val="7F1E431F"/>
    <w:rsid w:val="7F264BB1"/>
    <w:rsid w:val="7F587460"/>
    <w:rsid w:val="7F5E434B"/>
    <w:rsid w:val="7F6000C3"/>
    <w:rsid w:val="7F7E49ED"/>
    <w:rsid w:val="7FA716A8"/>
    <w:rsid w:val="7FCF3173"/>
    <w:rsid w:val="7FD70391"/>
    <w:rsid w:val="7FFE219F"/>
    <w:rsid w:val="AEEFF93B"/>
    <w:rsid w:val="AF6F0B67"/>
    <w:rsid w:val="BA7B23C6"/>
    <w:rsid w:val="BD3D4CDC"/>
    <w:rsid w:val="BDABDBC2"/>
    <w:rsid w:val="BDE72652"/>
    <w:rsid w:val="BFF5A9F4"/>
    <w:rsid w:val="C2FF773C"/>
    <w:rsid w:val="DF763202"/>
    <w:rsid w:val="DFB5C16D"/>
    <w:rsid w:val="E5EE3E23"/>
    <w:rsid w:val="E7AE79B1"/>
    <w:rsid w:val="E9ADA26E"/>
    <w:rsid w:val="EDBF6FB7"/>
    <w:rsid w:val="EEDA1D67"/>
    <w:rsid w:val="F6FF90D4"/>
    <w:rsid w:val="F7550B7B"/>
    <w:rsid w:val="F7E1190E"/>
    <w:rsid w:val="FBAD3AD9"/>
    <w:rsid w:val="FFBFA17E"/>
    <w:rsid w:val="FFF7C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62"/>
    <w:autoRedefine/>
    <w:qFormat/>
    <w:uiPriority w:val="9"/>
    <w:pPr>
      <w:keepNext/>
      <w:keepLines/>
      <w:numPr>
        <w:ilvl w:val="1"/>
        <w:numId w:val="1"/>
      </w:numPr>
      <w:tabs>
        <w:tab w:val="left" w:pos="576"/>
      </w:tabs>
      <w:spacing w:before="260" w:after="260" w:line="412" w:lineRule="auto"/>
      <w:outlineLvl w:val="1"/>
    </w:pPr>
    <w:rPr>
      <w:rFonts w:ascii="Arial" w:hAnsi="Arial" w:eastAsia="黑体"/>
      <w:b/>
      <w:bCs/>
      <w:kern w:val="0"/>
      <w:sz w:val="32"/>
      <w:szCs w:val="32"/>
    </w:rPr>
  </w:style>
  <w:style w:type="paragraph" w:styleId="5">
    <w:name w:val="heading 3"/>
    <w:basedOn w:val="1"/>
    <w:next w:val="1"/>
    <w:link w:val="63"/>
    <w:autoRedefine/>
    <w:qFormat/>
    <w:uiPriority w:val="0"/>
    <w:pPr>
      <w:keepNext/>
      <w:keepLines/>
      <w:numPr>
        <w:ilvl w:val="2"/>
        <w:numId w:val="1"/>
      </w:numPr>
      <w:spacing w:before="260" w:after="260" w:line="415" w:lineRule="auto"/>
      <w:outlineLvl w:val="2"/>
    </w:pPr>
    <w:rPr>
      <w:b/>
      <w:bCs/>
      <w:kern w:val="0"/>
      <w:sz w:val="32"/>
      <w:szCs w:val="32"/>
    </w:rPr>
  </w:style>
  <w:style w:type="paragraph" w:styleId="6">
    <w:name w:val="heading 4"/>
    <w:basedOn w:val="1"/>
    <w:next w:val="1"/>
    <w:link w:val="64"/>
    <w:autoRedefine/>
    <w:qFormat/>
    <w:uiPriority w:val="0"/>
    <w:pPr>
      <w:keepNext/>
      <w:keepLines/>
      <w:spacing w:before="280" w:after="290" w:line="372" w:lineRule="auto"/>
      <w:outlineLvl w:val="3"/>
    </w:pPr>
    <w:rPr>
      <w:rFonts w:ascii="Arial" w:hAnsi="Arial" w:eastAsia="黑体"/>
      <w:b/>
      <w:bCs/>
      <w:kern w:val="0"/>
      <w:sz w:val="28"/>
      <w:szCs w:val="28"/>
    </w:rPr>
  </w:style>
  <w:style w:type="paragraph" w:styleId="7">
    <w:name w:val="heading 5"/>
    <w:basedOn w:val="1"/>
    <w:next w:val="1"/>
    <w:link w:val="65"/>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1"/>
    <w:link w:val="66"/>
    <w:autoRedefine/>
    <w:qFormat/>
    <w:uiPriority w:val="0"/>
    <w:pPr>
      <w:keepNext/>
      <w:keepLines/>
      <w:spacing w:before="240" w:after="64" w:line="317" w:lineRule="auto"/>
      <w:outlineLvl w:val="5"/>
    </w:pPr>
    <w:rPr>
      <w:rFonts w:ascii="Arial" w:hAnsi="Arial" w:eastAsia="黑体"/>
      <w:b/>
      <w:sz w:val="24"/>
      <w:szCs w:val="22"/>
    </w:rPr>
  </w:style>
  <w:style w:type="paragraph" w:styleId="9">
    <w:name w:val="heading 7"/>
    <w:basedOn w:val="1"/>
    <w:next w:val="1"/>
    <w:link w:val="67"/>
    <w:autoRedefine/>
    <w:qFormat/>
    <w:uiPriority w:val="9"/>
    <w:pPr>
      <w:keepNext/>
      <w:keepLines/>
      <w:spacing w:line="360" w:lineRule="auto"/>
      <w:ind w:left="1296"/>
      <w:outlineLvl w:val="6"/>
    </w:pPr>
    <w:rPr>
      <w:rFonts w:ascii="宋体" w:hAnsi="宋体"/>
      <w:b/>
      <w:bCs/>
      <w:sz w:val="24"/>
    </w:rPr>
  </w:style>
  <w:style w:type="paragraph" w:styleId="10">
    <w:name w:val="heading 8"/>
    <w:basedOn w:val="1"/>
    <w:next w:val="1"/>
    <w:link w:val="68"/>
    <w:autoRedefine/>
    <w:qFormat/>
    <w:uiPriority w:val="9"/>
    <w:pPr>
      <w:keepNext/>
      <w:keepLines/>
      <w:spacing w:line="360" w:lineRule="auto"/>
      <w:ind w:left="1440"/>
      <w:outlineLvl w:val="7"/>
    </w:pPr>
    <w:rPr>
      <w:rFonts w:ascii="宋体" w:hAnsi="宋体"/>
      <w:b/>
      <w:sz w:val="24"/>
    </w:rPr>
  </w:style>
  <w:style w:type="paragraph" w:styleId="11">
    <w:name w:val="heading 9"/>
    <w:basedOn w:val="1"/>
    <w:next w:val="1"/>
    <w:link w:val="69"/>
    <w:autoRedefine/>
    <w:qFormat/>
    <w:uiPriority w:val="9"/>
    <w:pPr>
      <w:keepNext/>
      <w:keepLines/>
      <w:spacing w:line="360" w:lineRule="auto"/>
      <w:ind w:left="1584"/>
      <w:outlineLvl w:val="8"/>
    </w:pPr>
    <w:rPr>
      <w:rFonts w:ascii="宋体" w:hAnsi="宋体"/>
      <w:b/>
      <w:sz w:val="24"/>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74"/>
    <w:autoRedefine/>
    <w:qFormat/>
    <w:uiPriority w:val="99"/>
    <w:pPr>
      <w:spacing w:after="120"/>
    </w:pPr>
    <w:rPr>
      <w:kern w:val="0"/>
      <w:sz w:val="28"/>
    </w:rPr>
  </w:style>
  <w:style w:type="paragraph" w:styleId="12">
    <w:name w:val="List 3"/>
    <w:basedOn w:val="1"/>
    <w:autoRedefine/>
    <w:unhideWhenUsed/>
    <w:qFormat/>
    <w:uiPriority w:val="99"/>
    <w:pPr>
      <w:ind w:left="100" w:leftChars="400" w:hanging="200" w:hangingChars="200"/>
      <w:contextualSpacing/>
    </w:pPr>
  </w:style>
  <w:style w:type="paragraph" w:styleId="13">
    <w:name w:val="toc 7"/>
    <w:basedOn w:val="1"/>
    <w:next w:val="1"/>
    <w:autoRedefine/>
    <w:unhideWhenUsed/>
    <w:qFormat/>
    <w:uiPriority w:val="39"/>
    <w:pPr>
      <w:ind w:left="2520" w:leftChars="1200"/>
    </w:pPr>
    <w:rPr>
      <w:rFonts w:ascii="Calibri" w:hAnsi="Calibri"/>
      <w:szCs w:val="22"/>
    </w:rPr>
  </w:style>
  <w:style w:type="paragraph" w:styleId="14">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link w:val="70"/>
    <w:autoRedefine/>
    <w:qFormat/>
    <w:uiPriority w:val="0"/>
    <w:pPr>
      <w:numPr>
        <w:ilvl w:val="0"/>
        <w:numId w:val="2"/>
      </w:numPr>
      <w:ind w:left="0" w:firstLine="420"/>
    </w:pPr>
    <w:rPr>
      <w:szCs w:val="20"/>
    </w:rPr>
  </w:style>
  <w:style w:type="paragraph" w:styleId="16">
    <w:name w:val="caption"/>
    <w:basedOn w:val="1"/>
    <w:next w:val="1"/>
    <w:autoRedefine/>
    <w:qFormat/>
    <w:uiPriority w:val="35"/>
    <w:pPr>
      <w:tabs>
        <w:tab w:val="left" w:pos="780"/>
      </w:tabs>
      <w:spacing w:before="152" w:after="160"/>
    </w:pPr>
    <w:rPr>
      <w:rFonts w:ascii="Arial" w:hAnsi="Arial" w:eastAsia="黑体" w:cs="Arial"/>
      <w:sz w:val="20"/>
      <w:szCs w:val="20"/>
    </w:rPr>
  </w:style>
  <w:style w:type="paragraph" w:styleId="17">
    <w:name w:val="Document Map"/>
    <w:basedOn w:val="1"/>
    <w:link w:val="71"/>
    <w:autoRedefine/>
    <w:qFormat/>
    <w:uiPriority w:val="0"/>
    <w:pPr>
      <w:shd w:val="clear" w:color="auto" w:fill="000080"/>
    </w:pPr>
    <w:rPr>
      <w:kern w:val="0"/>
      <w:sz w:val="20"/>
    </w:rPr>
  </w:style>
  <w:style w:type="paragraph" w:styleId="18">
    <w:name w:val="annotation text"/>
    <w:basedOn w:val="1"/>
    <w:link w:val="72"/>
    <w:autoRedefine/>
    <w:qFormat/>
    <w:uiPriority w:val="0"/>
    <w:pPr>
      <w:jc w:val="left"/>
    </w:pPr>
    <w:rPr>
      <w:kern w:val="0"/>
      <w:sz w:val="20"/>
      <w:szCs w:val="20"/>
    </w:rPr>
  </w:style>
  <w:style w:type="paragraph" w:styleId="19">
    <w:name w:val="Body Text 3"/>
    <w:basedOn w:val="1"/>
    <w:link w:val="73"/>
    <w:autoRedefine/>
    <w:qFormat/>
    <w:uiPriority w:val="0"/>
    <w:pPr>
      <w:tabs>
        <w:tab w:val="left" w:pos="1620"/>
      </w:tabs>
      <w:snapToGrid w:val="0"/>
      <w:spacing w:before="50" w:after="50"/>
    </w:pPr>
    <w:rPr>
      <w:rFonts w:eastAsia="仿宋_GB2312"/>
      <w:b/>
      <w:bCs/>
      <w:kern w:val="0"/>
      <w:sz w:val="24"/>
      <w:szCs w:val="20"/>
    </w:rPr>
  </w:style>
  <w:style w:type="paragraph" w:styleId="20">
    <w:name w:val="Body Text Indent"/>
    <w:basedOn w:val="1"/>
    <w:next w:val="1"/>
    <w:link w:val="59"/>
    <w:autoRedefine/>
    <w:qFormat/>
    <w:uiPriority w:val="0"/>
    <w:pPr>
      <w:spacing w:line="200" w:lineRule="exact"/>
      <w:ind w:firstLine="301"/>
    </w:pPr>
    <w:rPr>
      <w:rFonts w:ascii="宋体"/>
      <w:spacing w:val="-4"/>
      <w:kern w:val="0"/>
      <w:sz w:val="18"/>
      <w:szCs w:val="20"/>
    </w:rPr>
  </w:style>
  <w:style w:type="paragraph" w:styleId="21">
    <w:name w:val="List Number 3"/>
    <w:basedOn w:val="1"/>
    <w:autoRedefine/>
    <w:qFormat/>
    <w:uiPriority w:val="0"/>
    <w:pPr>
      <w:tabs>
        <w:tab w:val="left" w:pos="1200"/>
      </w:tabs>
      <w:ind w:left="1200" w:hanging="360"/>
    </w:pPr>
  </w:style>
  <w:style w:type="paragraph" w:styleId="22">
    <w:name w:val="List 2"/>
    <w:basedOn w:val="1"/>
    <w:autoRedefine/>
    <w:qFormat/>
    <w:uiPriority w:val="0"/>
    <w:pPr>
      <w:numPr>
        <w:ilvl w:val="0"/>
        <w:numId w:val="3"/>
      </w:numPr>
      <w:ind w:left="400" w:leftChars="200" w:hanging="200" w:hangingChars="200"/>
    </w:pPr>
    <w:rPr>
      <w:sz w:val="28"/>
    </w:rPr>
  </w:style>
  <w:style w:type="paragraph" w:styleId="23">
    <w:name w:val="toc 5"/>
    <w:basedOn w:val="1"/>
    <w:next w:val="1"/>
    <w:autoRedefine/>
    <w:unhideWhenUsed/>
    <w:qFormat/>
    <w:uiPriority w:val="39"/>
    <w:pPr>
      <w:ind w:left="1680" w:leftChars="800"/>
    </w:pPr>
    <w:rPr>
      <w:rFonts w:ascii="Calibri" w:hAnsi="Calibri"/>
      <w:szCs w:val="22"/>
    </w:rPr>
  </w:style>
  <w:style w:type="paragraph" w:styleId="24">
    <w:name w:val="toc 3"/>
    <w:basedOn w:val="1"/>
    <w:next w:val="1"/>
    <w:autoRedefine/>
    <w:qFormat/>
    <w:uiPriority w:val="39"/>
    <w:pPr>
      <w:ind w:left="400" w:leftChars="400"/>
    </w:pPr>
  </w:style>
  <w:style w:type="paragraph" w:styleId="25">
    <w:name w:val="Plain Text"/>
    <w:basedOn w:val="1"/>
    <w:next w:val="1"/>
    <w:link w:val="75"/>
    <w:autoRedefine/>
    <w:qFormat/>
    <w:uiPriority w:val="0"/>
    <w:pPr>
      <w:spacing w:beforeLines="50" w:afterLines="50" w:line="400" w:lineRule="exact"/>
    </w:pPr>
    <w:rPr>
      <w:rFonts w:ascii="宋体"/>
      <w:kern w:val="0"/>
      <w:sz w:val="24"/>
    </w:rPr>
  </w:style>
  <w:style w:type="paragraph" w:styleId="26">
    <w:name w:val="toc 8"/>
    <w:basedOn w:val="1"/>
    <w:next w:val="1"/>
    <w:autoRedefine/>
    <w:unhideWhenUsed/>
    <w:qFormat/>
    <w:uiPriority w:val="39"/>
    <w:pPr>
      <w:ind w:left="2940" w:leftChars="1400"/>
    </w:pPr>
    <w:rPr>
      <w:rFonts w:ascii="Calibri" w:hAnsi="Calibri"/>
      <w:szCs w:val="22"/>
    </w:rPr>
  </w:style>
  <w:style w:type="paragraph" w:styleId="27">
    <w:name w:val="Date"/>
    <w:basedOn w:val="1"/>
    <w:next w:val="1"/>
    <w:link w:val="76"/>
    <w:autoRedefine/>
    <w:qFormat/>
    <w:uiPriority w:val="99"/>
    <w:pPr>
      <w:numPr>
        <w:ilvl w:val="0"/>
        <w:numId w:val="4"/>
      </w:numPr>
      <w:ind w:left="2500" w:leftChars="2500" w:firstLine="0"/>
    </w:pPr>
    <w:rPr>
      <w:rFonts w:eastAsia="楷体_GB2312"/>
      <w:kern w:val="0"/>
      <w:sz w:val="32"/>
      <w:szCs w:val="20"/>
    </w:rPr>
  </w:style>
  <w:style w:type="paragraph" w:styleId="28">
    <w:name w:val="Body Text Indent 2"/>
    <w:basedOn w:val="1"/>
    <w:link w:val="77"/>
    <w:autoRedefine/>
    <w:qFormat/>
    <w:uiPriority w:val="0"/>
    <w:pPr>
      <w:snapToGrid w:val="0"/>
      <w:ind w:firstLine="225" w:firstLineChars="225"/>
    </w:pPr>
    <w:rPr>
      <w:rFonts w:ascii="仿宋_GB2312" w:hAnsi="仿宋_GB2312"/>
      <w:b/>
      <w:bCs/>
      <w:color w:val="000000"/>
      <w:kern w:val="0"/>
      <w:sz w:val="24"/>
    </w:rPr>
  </w:style>
  <w:style w:type="paragraph" w:styleId="29">
    <w:name w:val="endnote text"/>
    <w:basedOn w:val="1"/>
    <w:link w:val="78"/>
    <w:autoRedefine/>
    <w:unhideWhenUsed/>
    <w:qFormat/>
    <w:uiPriority w:val="99"/>
    <w:pPr>
      <w:widowControl/>
      <w:snapToGrid w:val="0"/>
      <w:jc w:val="left"/>
    </w:pPr>
    <w:rPr>
      <w:rFonts w:ascii="宋体" w:hAnsi="宋体"/>
      <w:kern w:val="0"/>
      <w:sz w:val="24"/>
    </w:rPr>
  </w:style>
  <w:style w:type="paragraph" w:styleId="30">
    <w:name w:val="Balloon Text"/>
    <w:basedOn w:val="1"/>
    <w:link w:val="79"/>
    <w:autoRedefine/>
    <w:qFormat/>
    <w:uiPriority w:val="99"/>
    <w:rPr>
      <w:kern w:val="0"/>
      <w:sz w:val="18"/>
      <w:szCs w:val="18"/>
    </w:rPr>
  </w:style>
  <w:style w:type="paragraph" w:styleId="31">
    <w:name w:val="footer"/>
    <w:basedOn w:val="1"/>
    <w:link w:val="80"/>
    <w:autoRedefine/>
    <w:unhideWhenUsed/>
    <w:qFormat/>
    <w:uiPriority w:val="99"/>
    <w:pPr>
      <w:tabs>
        <w:tab w:val="center" w:pos="4153"/>
        <w:tab w:val="right" w:pos="8306"/>
      </w:tabs>
      <w:snapToGrid w:val="0"/>
      <w:jc w:val="left"/>
    </w:pPr>
    <w:rPr>
      <w:kern w:val="0"/>
      <w:sz w:val="18"/>
      <w:szCs w:val="18"/>
    </w:rPr>
  </w:style>
  <w:style w:type="paragraph" w:styleId="32">
    <w:name w:val="envelope return"/>
    <w:basedOn w:val="1"/>
    <w:autoRedefine/>
    <w:unhideWhenUsed/>
    <w:qFormat/>
    <w:uiPriority w:val="99"/>
    <w:pPr>
      <w:snapToGrid w:val="0"/>
      <w:spacing w:line="280" w:lineRule="exact"/>
    </w:pPr>
    <w:rPr>
      <w:rFonts w:ascii="Arial" w:hAnsi="Arial"/>
    </w:rPr>
  </w:style>
  <w:style w:type="paragraph" w:styleId="33">
    <w:name w:val="header"/>
    <w:basedOn w:val="1"/>
    <w:link w:val="8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autoRedefine/>
    <w:qFormat/>
    <w:uiPriority w:val="39"/>
  </w:style>
  <w:style w:type="paragraph" w:styleId="35">
    <w:name w:val="toc 4"/>
    <w:basedOn w:val="1"/>
    <w:next w:val="1"/>
    <w:autoRedefine/>
    <w:unhideWhenUsed/>
    <w:qFormat/>
    <w:uiPriority w:val="39"/>
    <w:pPr>
      <w:ind w:left="1260" w:leftChars="600"/>
    </w:pPr>
    <w:rPr>
      <w:rFonts w:ascii="Calibri" w:hAnsi="Calibri"/>
      <w:szCs w:val="22"/>
    </w:rPr>
  </w:style>
  <w:style w:type="paragraph" w:styleId="36">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uiPriority w:val="0"/>
    <w:pPr>
      <w:ind w:left="200" w:hanging="200" w:hangingChars="200"/>
    </w:pPr>
    <w:rPr>
      <w:sz w:val="28"/>
    </w:rPr>
  </w:style>
  <w:style w:type="paragraph" w:styleId="38">
    <w:name w:val="toc 6"/>
    <w:basedOn w:val="1"/>
    <w:next w:val="1"/>
    <w:autoRedefine/>
    <w:unhideWhenUsed/>
    <w:qFormat/>
    <w:uiPriority w:val="39"/>
    <w:pPr>
      <w:ind w:left="2100" w:leftChars="1000"/>
    </w:pPr>
    <w:rPr>
      <w:rFonts w:ascii="Calibri" w:hAnsi="Calibri"/>
      <w:szCs w:val="22"/>
    </w:rPr>
  </w:style>
  <w:style w:type="paragraph" w:styleId="39">
    <w:name w:val="Body Text Indent 3"/>
    <w:basedOn w:val="1"/>
    <w:link w:val="83"/>
    <w:autoRedefine/>
    <w:qFormat/>
    <w:uiPriority w:val="0"/>
    <w:pPr>
      <w:numPr>
        <w:ilvl w:val="0"/>
        <w:numId w:val="5"/>
      </w:numPr>
      <w:snapToGrid w:val="0"/>
      <w:jc w:val="left"/>
    </w:pPr>
    <w:rPr>
      <w:rFonts w:ascii="仿宋_GB2312" w:eastAsia="仿宋_GB2312"/>
      <w:color w:val="000000"/>
      <w:kern w:val="0"/>
      <w:sz w:val="24"/>
    </w:rPr>
  </w:style>
  <w:style w:type="paragraph" w:styleId="40">
    <w:name w:val="toc 2"/>
    <w:basedOn w:val="1"/>
    <w:next w:val="1"/>
    <w:autoRedefine/>
    <w:qFormat/>
    <w:uiPriority w:val="39"/>
    <w:pPr>
      <w:ind w:left="200" w:leftChars="200"/>
    </w:pPr>
  </w:style>
  <w:style w:type="paragraph" w:styleId="41">
    <w:name w:val="toc 9"/>
    <w:basedOn w:val="1"/>
    <w:next w:val="1"/>
    <w:autoRedefine/>
    <w:unhideWhenUsed/>
    <w:qFormat/>
    <w:uiPriority w:val="39"/>
    <w:pPr>
      <w:ind w:left="3360" w:leftChars="1600"/>
    </w:pPr>
    <w:rPr>
      <w:rFonts w:ascii="Calibri" w:hAnsi="Calibri"/>
      <w:szCs w:val="22"/>
    </w:rPr>
  </w:style>
  <w:style w:type="paragraph" w:styleId="42">
    <w:name w:val="Body Text 2"/>
    <w:basedOn w:val="1"/>
    <w:link w:val="84"/>
    <w:autoRedefine/>
    <w:qFormat/>
    <w:uiPriority w:val="0"/>
    <w:pPr>
      <w:widowControl/>
      <w:snapToGrid w:val="0"/>
      <w:spacing w:before="50" w:afterLines="50" w:line="400" w:lineRule="exact"/>
      <w:jc w:val="left"/>
    </w:pPr>
    <w:rPr>
      <w:rFonts w:ascii="宋体"/>
      <w:color w:val="000000"/>
      <w:kern w:val="0"/>
      <w:sz w:val="24"/>
    </w:rPr>
  </w:style>
  <w:style w:type="paragraph" w:styleId="43">
    <w:name w:val="HTML Preformatted"/>
    <w:basedOn w:val="1"/>
    <w:link w:val="85"/>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link w:val="86"/>
    <w:autoRedefine/>
    <w:qFormat/>
    <w:uiPriority w:val="99"/>
    <w:pPr>
      <w:widowControl/>
      <w:spacing w:before="100" w:beforeAutospacing="1" w:after="100" w:afterAutospacing="1"/>
      <w:jc w:val="left"/>
    </w:pPr>
    <w:rPr>
      <w:kern w:val="0"/>
      <w:sz w:val="24"/>
    </w:rPr>
  </w:style>
  <w:style w:type="paragraph" w:styleId="45">
    <w:name w:val="annotation subject"/>
    <w:basedOn w:val="18"/>
    <w:next w:val="18"/>
    <w:link w:val="87"/>
    <w:autoRedefine/>
    <w:qFormat/>
    <w:uiPriority w:val="0"/>
  </w:style>
  <w:style w:type="paragraph" w:styleId="46">
    <w:name w:val="Body Text First Indent"/>
    <w:basedOn w:val="2"/>
    <w:next w:val="38"/>
    <w:link w:val="88"/>
    <w:autoRedefine/>
    <w:qFormat/>
    <w:uiPriority w:val="0"/>
    <w:pPr>
      <w:spacing w:before="120" w:line="360" w:lineRule="auto"/>
      <w:ind w:firstLine="420" w:firstLineChars="100"/>
    </w:pPr>
    <w:rPr>
      <w:kern w:val="2"/>
      <w:sz w:val="24"/>
      <w:szCs w:val="22"/>
    </w:rPr>
  </w:style>
  <w:style w:type="paragraph" w:styleId="47">
    <w:name w:val="Body Text First Indent 2"/>
    <w:basedOn w:val="20"/>
    <w:link w:val="60"/>
    <w:autoRedefine/>
    <w:unhideWhenUsed/>
    <w:qFormat/>
    <w:uiPriority w:val="99"/>
    <w:pPr>
      <w:spacing w:after="120" w:line="240" w:lineRule="auto"/>
      <w:ind w:left="420" w:leftChars="200" w:firstLine="420" w:firstLineChars="200"/>
    </w:pPr>
    <w:rPr>
      <w:rFonts w:ascii="Times New Roman"/>
      <w:kern w:val="2"/>
      <w:sz w:val="21"/>
      <w:szCs w:val="24"/>
    </w:rPr>
  </w:style>
  <w:style w:type="table" w:styleId="49">
    <w:name w:val="Table Grid"/>
    <w:basedOn w:val="4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0"/>
    <w:rPr>
      <w:b/>
      <w:bCs/>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color w:val="CC0000"/>
    </w:rPr>
  </w:style>
  <w:style w:type="character" w:styleId="55">
    <w:name w:val="HTML Acronym"/>
    <w:autoRedefine/>
    <w:qFormat/>
    <w:uiPriority w:val="0"/>
  </w:style>
  <w:style w:type="character" w:styleId="56">
    <w:name w:val="Hyperlink"/>
    <w:autoRedefine/>
    <w:qFormat/>
    <w:uiPriority w:val="99"/>
    <w:rPr>
      <w:color w:val="0000FF"/>
      <w:u w:val="single"/>
    </w:rPr>
  </w:style>
  <w:style w:type="character" w:styleId="57">
    <w:name w:val="annotation reference"/>
    <w:autoRedefine/>
    <w:qFormat/>
    <w:uiPriority w:val="99"/>
    <w:rPr>
      <w:sz w:val="21"/>
      <w:szCs w:val="21"/>
    </w:rPr>
  </w:style>
  <w:style w:type="paragraph" w:customStyle="1" w:styleId="58">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正文文本缩进 Char2"/>
    <w:link w:val="20"/>
    <w:autoRedefine/>
    <w:qFormat/>
    <w:uiPriority w:val="0"/>
    <w:rPr>
      <w:rFonts w:ascii="宋体" w:hAnsi="Times New Roman" w:eastAsia="宋体" w:cs="Times New Roman"/>
      <w:spacing w:val="-4"/>
      <w:sz w:val="18"/>
      <w:szCs w:val="20"/>
    </w:rPr>
  </w:style>
  <w:style w:type="character" w:customStyle="1" w:styleId="60">
    <w:name w:val="正文首行缩进 2 Char1"/>
    <w:link w:val="47"/>
    <w:autoRedefine/>
    <w:qFormat/>
    <w:uiPriority w:val="99"/>
    <w:rPr>
      <w:rFonts w:ascii="Times New Roman" w:hAnsi="Times New Roman" w:eastAsia="宋体" w:cs="Times New Roman"/>
      <w:spacing w:val="-4"/>
      <w:kern w:val="2"/>
      <w:sz w:val="21"/>
      <w:szCs w:val="24"/>
    </w:rPr>
  </w:style>
  <w:style w:type="character" w:customStyle="1" w:styleId="61">
    <w:name w:val="标题 1 Char2"/>
    <w:link w:val="3"/>
    <w:autoRedefine/>
    <w:qFormat/>
    <w:uiPriority w:val="0"/>
    <w:rPr>
      <w:rFonts w:ascii="Times New Roman" w:hAnsi="Times New Roman" w:eastAsia="宋体" w:cs="Times New Roman"/>
      <w:b/>
      <w:bCs/>
      <w:kern w:val="44"/>
      <w:sz w:val="44"/>
      <w:szCs w:val="44"/>
    </w:rPr>
  </w:style>
  <w:style w:type="character" w:customStyle="1" w:styleId="62">
    <w:name w:val="标题 2 Char2"/>
    <w:link w:val="4"/>
    <w:autoRedefine/>
    <w:qFormat/>
    <w:uiPriority w:val="0"/>
    <w:rPr>
      <w:rFonts w:ascii="Arial" w:hAnsi="Arial" w:eastAsia="黑体"/>
      <w:b/>
      <w:bCs/>
      <w:sz w:val="32"/>
      <w:szCs w:val="32"/>
    </w:rPr>
  </w:style>
  <w:style w:type="character" w:customStyle="1" w:styleId="63">
    <w:name w:val="标题 3 Char2"/>
    <w:link w:val="5"/>
    <w:autoRedefine/>
    <w:qFormat/>
    <w:uiPriority w:val="9"/>
    <w:rPr>
      <w:b/>
      <w:bCs/>
      <w:sz w:val="32"/>
      <w:szCs w:val="32"/>
    </w:rPr>
  </w:style>
  <w:style w:type="character" w:customStyle="1" w:styleId="64">
    <w:name w:val="标题 4 Char2"/>
    <w:link w:val="6"/>
    <w:autoRedefine/>
    <w:qFormat/>
    <w:uiPriority w:val="0"/>
    <w:rPr>
      <w:rFonts w:ascii="Arial" w:hAnsi="Arial" w:eastAsia="黑体" w:cs="Times New Roman"/>
      <w:b/>
      <w:bCs/>
      <w:sz w:val="28"/>
      <w:szCs w:val="28"/>
    </w:rPr>
  </w:style>
  <w:style w:type="character" w:customStyle="1" w:styleId="65">
    <w:name w:val="标题 5 Char2"/>
    <w:link w:val="7"/>
    <w:autoRedefine/>
    <w:qFormat/>
    <w:uiPriority w:val="0"/>
    <w:rPr>
      <w:rFonts w:ascii="Times New Roman" w:hAnsi="Times New Roman" w:eastAsia="宋体" w:cs="Times New Roman"/>
      <w:b/>
      <w:bCs/>
      <w:sz w:val="28"/>
      <w:szCs w:val="28"/>
    </w:rPr>
  </w:style>
  <w:style w:type="character" w:customStyle="1" w:styleId="66">
    <w:name w:val="标题 6 Char"/>
    <w:link w:val="8"/>
    <w:autoRedefine/>
    <w:qFormat/>
    <w:uiPriority w:val="9"/>
    <w:rPr>
      <w:rFonts w:ascii="Arial" w:hAnsi="Arial" w:eastAsia="黑体"/>
      <w:b/>
      <w:kern w:val="2"/>
      <w:sz w:val="24"/>
      <w:szCs w:val="22"/>
    </w:rPr>
  </w:style>
  <w:style w:type="character" w:customStyle="1" w:styleId="67">
    <w:name w:val="标题 7 Char"/>
    <w:link w:val="9"/>
    <w:autoRedefine/>
    <w:qFormat/>
    <w:uiPriority w:val="9"/>
    <w:rPr>
      <w:rFonts w:ascii="宋体" w:hAnsi="宋体" w:cs="宋体"/>
      <w:b/>
      <w:bCs/>
      <w:kern w:val="2"/>
      <w:sz w:val="24"/>
      <w:szCs w:val="24"/>
    </w:rPr>
  </w:style>
  <w:style w:type="character" w:customStyle="1" w:styleId="68">
    <w:name w:val="标题 8 Char"/>
    <w:link w:val="10"/>
    <w:autoRedefine/>
    <w:qFormat/>
    <w:uiPriority w:val="9"/>
    <w:rPr>
      <w:rFonts w:ascii="宋体" w:hAnsi="宋体" w:cs="宋体"/>
      <w:b/>
      <w:kern w:val="2"/>
      <w:sz w:val="24"/>
      <w:szCs w:val="24"/>
    </w:rPr>
  </w:style>
  <w:style w:type="character" w:customStyle="1" w:styleId="69">
    <w:name w:val="标题 9 Char"/>
    <w:link w:val="11"/>
    <w:autoRedefine/>
    <w:qFormat/>
    <w:uiPriority w:val="9"/>
    <w:rPr>
      <w:rFonts w:ascii="宋体" w:hAnsi="宋体" w:cs="宋体"/>
      <w:b/>
      <w:kern w:val="2"/>
      <w:sz w:val="24"/>
      <w:szCs w:val="21"/>
    </w:rPr>
  </w:style>
  <w:style w:type="character" w:customStyle="1" w:styleId="70">
    <w:name w:val="正文缩进 Char"/>
    <w:link w:val="15"/>
    <w:autoRedefine/>
    <w:qFormat/>
    <w:uiPriority w:val="0"/>
    <w:rPr>
      <w:kern w:val="2"/>
      <w:sz w:val="21"/>
    </w:rPr>
  </w:style>
  <w:style w:type="character" w:customStyle="1" w:styleId="71">
    <w:name w:val="文档结构图 Char2"/>
    <w:link w:val="17"/>
    <w:autoRedefine/>
    <w:qFormat/>
    <w:uiPriority w:val="0"/>
    <w:rPr>
      <w:rFonts w:ascii="Times New Roman" w:hAnsi="Times New Roman" w:eastAsia="宋体" w:cs="Times New Roman"/>
      <w:szCs w:val="24"/>
      <w:shd w:val="clear" w:color="auto" w:fill="000080"/>
    </w:rPr>
  </w:style>
  <w:style w:type="character" w:customStyle="1" w:styleId="72">
    <w:name w:val="批注文字 Char3"/>
    <w:link w:val="18"/>
    <w:autoRedefine/>
    <w:qFormat/>
    <w:uiPriority w:val="0"/>
    <w:rPr>
      <w:rFonts w:ascii="Times New Roman" w:hAnsi="Times New Roman" w:eastAsia="宋体" w:cs="Times New Roman"/>
      <w:szCs w:val="20"/>
    </w:rPr>
  </w:style>
  <w:style w:type="character" w:customStyle="1" w:styleId="73">
    <w:name w:val="正文文本 3 Char2"/>
    <w:link w:val="19"/>
    <w:autoRedefine/>
    <w:qFormat/>
    <w:uiPriority w:val="0"/>
    <w:rPr>
      <w:rFonts w:eastAsia="仿宋_GB2312"/>
      <w:b/>
      <w:bCs/>
      <w:sz w:val="24"/>
    </w:rPr>
  </w:style>
  <w:style w:type="character" w:customStyle="1" w:styleId="74">
    <w:name w:val="正文文本 Char2"/>
    <w:link w:val="2"/>
    <w:autoRedefine/>
    <w:qFormat/>
    <w:uiPriority w:val="99"/>
    <w:rPr>
      <w:rFonts w:ascii="Times New Roman" w:hAnsi="Times New Roman" w:eastAsia="宋体" w:cs="Times New Roman"/>
      <w:sz w:val="28"/>
      <w:szCs w:val="24"/>
    </w:rPr>
  </w:style>
  <w:style w:type="character" w:customStyle="1" w:styleId="75">
    <w:name w:val="纯文本 Char3"/>
    <w:link w:val="25"/>
    <w:autoRedefine/>
    <w:qFormat/>
    <w:uiPriority w:val="0"/>
    <w:rPr>
      <w:rFonts w:ascii="宋体" w:hAnsi="Times New Roman" w:eastAsia="宋体" w:cs="Times New Roman"/>
      <w:sz w:val="24"/>
      <w:szCs w:val="24"/>
    </w:rPr>
  </w:style>
  <w:style w:type="character" w:customStyle="1" w:styleId="76">
    <w:name w:val="日期 Char2"/>
    <w:link w:val="27"/>
    <w:autoRedefine/>
    <w:qFormat/>
    <w:uiPriority w:val="99"/>
    <w:rPr>
      <w:rFonts w:eastAsia="楷体_GB2312"/>
      <w:sz w:val="32"/>
    </w:rPr>
  </w:style>
  <w:style w:type="character" w:customStyle="1" w:styleId="77">
    <w:name w:val="正文文本缩进 2 Char2"/>
    <w:link w:val="28"/>
    <w:autoRedefine/>
    <w:qFormat/>
    <w:uiPriority w:val="0"/>
    <w:rPr>
      <w:rFonts w:ascii="仿宋_GB2312" w:hAnsi="仿宋_GB2312" w:eastAsia="宋体" w:cs="Times New Roman"/>
      <w:b/>
      <w:bCs/>
      <w:color w:val="000000"/>
      <w:sz w:val="24"/>
      <w:szCs w:val="24"/>
    </w:rPr>
  </w:style>
  <w:style w:type="character" w:customStyle="1" w:styleId="78">
    <w:name w:val="尾注文本 Char"/>
    <w:link w:val="29"/>
    <w:autoRedefine/>
    <w:qFormat/>
    <w:uiPriority w:val="99"/>
    <w:rPr>
      <w:rFonts w:ascii="宋体" w:hAnsi="宋体" w:cs="宋体"/>
      <w:sz w:val="24"/>
      <w:szCs w:val="24"/>
    </w:rPr>
  </w:style>
  <w:style w:type="character" w:customStyle="1" w:styleId="79">
    <w:name w:val="批注框文本 Char2"/>
    <w:link w:val="30"/>
    <w:autoRedefine/>
    <w:qFormat/>
    <w:uiPriority w:val="99"/>
    <w:rPr>
      <w:rFonts w:ascii="Times New Roman" w:hAnsi="Times New Roman" w:eastAsia="宋体" w:cs="Times New Roman"/>
      <w:sz w:val="18"/>
      <w:szCs w:val="18"/>
    </w:rPr>
  </w:style>
  <w:style w:type="character" w:customStyle="1" w:styleId="80">
    <w:name w:val="页脚 Char3"/>
    <w:link w:val="31"/>
    <w:autoRedefine/>
    <w:qFormat/>
    <w:uiPriority w:val="99"/>
    <w:rPr>
      <w:sz w:val="18"/>
      <w:szCs w:val="18"/>
    </w:rPr>
  </w:style>
  <w:style w:type="character" w:customStyle="1" w:styleId="81">
    <w:name w:val="页眉 Char2"/>
    <w:link w:val="33"/>
    <w:autoRedefine/>
    <w:qFormat/>
    <w:uiPriority w:val="99"/>
    <w:rPr>
      <w:sz w:val="18"/>
      <w:szCs w:val="18"/>
    </w:rPr>
  </w:style>
  <w:style w:type="character" w:customStyle="1" w:styleId="82">
    <w:name w:val="副标题 Char3"/>
    <w:link w:val="36"/>
    <w:autoRedefine/>
    <w:qFormat/>
    <w:uiPriority w:val="0"/>
    <w:rPr>
      <w:rFonts w:ascii="Cambria" w:hAnsi="Cambria"/>
      <w:b/>
      <w:bCs/>
      <w:kern w:val="28"/>
      <w:sz w:val="32"/>
      <w:szCs w:val="32"/>
    </w:rPr>
  </w:style>
  <w:style w:type="character" w:customStyle="1" w:styleId="83">
    <w:name w:val="正文文本缩进 3 Char2"/>
    <w:link w:val="39"/>
    <w:autoRedefine/>
    <w:qFormat/>
    <w:uiPriority w:val="0"/>
    <w:rPr>
      <w:rFonts w:ascii="仿宋_GB2312" w:eastAsia="仿宋_GB2312"/>
      <w:color w:val="000000"/>
      <w:sz w:val="24"/>
      <w:szCs w:val="24"/>
    </w:rPr>
  </w:style>
  <w:style w:type="character" w:customStyle="1" w:styleId="84">
    <w:name w:val="正文文本 2 Char2"/>
    <w:link w:val="42"/>
    <w:autoRedefine/>
    <w:qFormat/>
    <w:uiPriority w:val="0"/>
    <w:rPr>
      <w:rFonts w:ascii="宋体" w:hAnsi="Times New Roman" w:eastAsia="宋体" w:cs="Times New Roman"/>
      <w:color w:val="000000"/>
      <w:sz w:val="24"/>
      <w:szCs w:val="24"/>
    </w:rPr>
  </w:style>
  <w:style w:type="character" w:customStyle="1" w:styleId="85">
    <w:name w:val="HTML 预设格式 Char2"/>
    <w:link w:val="43"/>
    <w:autoRedefine/>
    <w:qFormat/>
    <w:uiPriority w:val="0"/>
    <w:rPr>
      <w:rFonts w:ascii="宋体" w:hAnsi="宋体" w:cs="宋体"/>
      <w:sz w:val="24"/>
      <w:szCs w:val="24"/>
    </w:rPr>
  </w:style>
  <w:style w:type="character" w:customStyle="1" w:styleId="86">
    <w:name w:val="普通(网站) Char"/>
    <w:link w:val="44"/>
    <w:autoRedefine/>
    <w:qFormat/>
    <w:uiPriority w:val="99"/>
    <w:rPr>
      <w:sz w:val="24"/>
      <w:szCs w:val="24"/>
    </w:rPr>
  </w:style>
  <w:style w:type="character" w:customStyle="1" w:styleId="87">
    <w:name w:val="批注主题 Char2"/>
    <w:link w:val="45"/>
    <w:autoRedefine/>
    <w:qFormat/>
    <w:uiPriority w:val="0"/>
    <w:rPr>
      <w:rFonts w:ascii="Times New Roman" w:hAnsi="Times New Roman" w:eastAsia="宋体" w:cs="Times New Roman"/>
      <w:szCs w:val="20"/>
    </w:rPr>
  </w:style>
  <w:style w:type="character" w:customStyle="1" w:styleId="88">
    <w:name w:val="正文首行缩进 Char"/>
    <w:link w:val="46"/>
    <w:autoRedefine/>
    <w:qFormat/>
    <w:uiPriority w:val="0"/>
    <w:rPr>
      <w:rFonts w:ascii="Times New Roman" w:hAnsi="Times New Roman" w:eastAsia="宋体" w:cs="Times New Roman"/>
      <w:kern w:val="2"/>
      <w:sz w:val="24"/>
      <w:szCs w:val="22"/>
    </w:rPr>
  </w:style>
  <w:style w:type="paragraph" w:customStyle="1" w:styleId="89">
    <w:name w:val="样式2"/>
    <w:basedOn w:val="6"/>
    <w:autoRedefine/>
    <w:qFormat/>
    <w:uiPriority w:val="0"/>
    <w:pPr>
      <w:widowControl/>
      <w:numPr>
        <w:ilvl w:val="3"/>
        <w:numId w:val="6"/>
      </w:numPr>
      <w:tabs>
        <w:tab w:val="left" w:pos="0"/>
        <w:tab w:val="left" w:pos="1620"/>
      </w:tabs>
      <w:adjustRightInd w:val="0"/>
      <w:spacing w:line="360" w:lineRule="auto"/>
      <w:ind w:firstLine="0"/>
      <w:jc w:val="left"/>
    </w:pPr>
    <w:rPr>
      <w:rFonts w:ascii="DejaVu Sans" w:hAnsi="DejaVu Sans" w:eastAsia="黑体-简"/>
      <w:bCs w:val="0"/>
      <w:sz w:val="24"/>
      <w:szCs w:val="24"/>
    </w:rPr>
  </w:style>
  <w:style w:type="character" w:customStyle="1" w:styleId="90">
    <w:name w:val="列出段落 Char2"/>
    <w:link w:val="91"/>
    <w:autoRedefine/>
    <w:qFormat/>
    <w:uiPriority w:val="99"/>
    <w:rPr>
      <w:rFonts w:ascii="Calibri" w:hAnsi="Calibri"/>
      <w:kern w:val="2"/>
      <w:sz w:val="21"/>
      <w:szCs w:val="22"/>
    </w:rPr>
  </w:style>
  <w:style w:type="paragraph" w:styleId="91">
    <w:name w:val="List Paragraph"/>
    <w:basedOn w:val="1"/>
    <w:link w:val="90"/>
    <w:autoRedefine/>
    <w:qFormat/>
    <w:uiPriority w:val="99"/>
    <w:pPr>
      <w:numPr>
        <w:ilvl w:val="0"/>
        <w:numId w:val="7"/>
      </w:numPr>
    </w:pPr>
    <w:rPr>
      <w:rFonts w:ascii="Calibri" w:hAnsi="Calibri"/>
      <w:szCs w:val="22"/>
    </w:rPr>
  </w:style>
  <w:style w:type="character" w:customStyle="1" w:styleId="92">
    <w:name w:val="纯文本 字符"/>
    <w:autoRedefine/>
    <w:qFormat/>
    <w:uiPriority w:val="0"/>
    <w:rPr>
      <w:rFonts w:ascii="宋体" w:hAnsi="Times New Roman" w:eastAsia="宋体" w:cs="Times New Roman"/>
      <w:sz w:val="24"/>
      <w:szCs w:val="24"/>
    </w:rPr>
  </w:style>
  <w:style w:type="character" w:styleId="93">
    <w:name w:val="Placeholder Text"/>
    <w:autoRedefine/>
    <w:semiHidden/>
    <w:qFormat/>
    <w:uiPriority w:val="99"/>
    <w:rPr>
      <w:color w:val="808080"/>
    </w:rPr>
  </w:style>
  <w:style w:type="character" w:customStyle="1" w:styleId="94">
    <w:name w:val="c_title1"/>
    <w:autoRedefine/>
    <w:qFormat/>
    <w:uiPriority w:val="0"/>
    <w:rPr>
      <w:rFonts w:ascii="黑体" w:eastAsia="黑体"/>
      <w:color w:val="03005C"/>
      <w:sz w:val="30"/>
      <w:szCs w:val="30"/>
      <w:u w:val="none"/>
    </w:rPr>
  </w:style>
  <w:style w:type="character" w:customStyle="1" w:styleId="95">
    <w:name w:val="正文文本缩进 Char"/>
    <w:autoRedefine/>
    <w:qFormat/>
    <w:uiPriority w:val="99"/>
    <w:rPr>
      <w:rFonts w:ascii="宋体" w:hAnsi="Times New Roman" w:eastAsia="宋体" w:cs="Times New Roman"/>
      <w:spacing w:val="-4"/>
      <w:sz w:val="18"/>
      <w:szCs w:val="20"/>
    </w:rPr>
  </w:style>
  <w:style w:type="character" w:customStyle="1" w:styleId="96">
    <w:name w:val="文档结构图 Char1"/>
    <w:autoRedefine/>
    <w:qFormat/>
    <w:uiPriority w:val="0"/>
    <w:rPr>
      <w:rFonts w:ascii="Times New Roman" w:hAnsi="Times New Roman" w:eastAsia="宋体" w:cs="Times New Roman"/>
      <w:szCs w:val="24"/>
      <w:shd w:val="clear" w:color="auto" w:fill="000080"/>
    </w:rPr>
  </w:style>
  <w:style w:type="character" w:customStyle="1" w:styleId="97">
    <w:name w:val="页眉 Char1"/>
    <w:autoRedefine/>
    <w:qFormat/>
    <w:uiPriority w:val="99"/>
    <w:rPr>
      <w:sz w:val="18"/>
      <w:szCs w:val="18"/>
    </w:rPr>
  </w:style>
  <w:style w:type="character" w:customStyle="1" w:styleId="98">
    <w:name w:val="副标题 Char1"/>
    <w:autoRedefine/>
    <w:qFormat/>
    <w:uiPriority w:val="11"/>
    <w:rPr>
      <w:rFonts w:ascii="Cambria" w:hAnsi="Cambria" w:eastAsia="宋体" w:cs="Times New Roman"/>
      <w:b/>
      <w:bCs/>
      <w:kern w:val="28"/>
      <w:sz w:val="32"/>
      <w:szCs w:val="32"/>
    </w:rPr>
  </w:style>
  <w:style w:type="character" w:customStyle="1" w:styleId="99">
    <w:name w:val="副标题 Char"/>
    <w:autoRedefine/>
    <w:qFormat/>
    <w:uiPriority w:val="11"/>
    <w:rPr>
      <w:rFonts w:ascii="Cambria" w:hAnsi="Cambria"/>
      <w:b/>
      <w:bCs/>
      <w:kern w:val="28"/>
      <w:sz w:val="32"/>
      <w:szCs w:val="32"/>
    </w:rPr>
  </w:style>
  <w:style w:type="character" w:customStyle="1" w:styleId="100">
    <w:name w:val="正文文本 2 Char1"/>
    <w:autoRedefine/>
    <w:qFormat/>
    <w:uiPriority w:val="0"/>
    <w:rPr>
      <w:rFonts w:ascii="宋体" w:hAnsi="Times New Roman" w:eastAsia="宋体" w:cs="Times New Roman"/>
      <w:color w:val="000000"/>
      <w:sz w:val="24"/>
      <w:szCs w:val="24"/>
    </w:rPr>
  </w:style>
  <w:style w:type="character" w:customStyle="1" w:styleId="101">
    <w:name w:val="标题 4 Char"/>
    <w:autoRedefine/>
    <w:qFormat/>
    <w:uiPriority w:val="9"/>
    <w:rPr>
      <w:rFonts w:ascii="Arial" w:hAnsi="Arial" w:eastAsia="黑体" w:cs="Times New Roman"/>
      <w:b/>
      <w:bCs/>
      <w:sz w:val="28"/>
      <w:szCs w:val="28"/>
    </w:rPr>
  </w:style>
  <w:style w:type="character" w:customStyle="1" w:styleId="102">
    <w:name w:val="NormalCharacter"/>
    <w:autoRedefine/>
    <w:qFormat/>
    <w:uiPriority w:val="0"/>
    <w:rPr>
      <w:kern w:val="2"/>
      <w:sz w:val="21"/>
      <w:szCs w:val="24"/>
      <w:lang w:val="en-US" w:eastAsia="zh-CN" w:bidi="ar-SA"/>
    </w:rPr>
  </w:style>
  <w:style w:type="character" w:customStyle="1" w:styleId="103">
    <w:name w:val="日期 Char"/>
    <w:autoRedefine/>
    <w:qFormat/>
    <w:uiPriority w:val="99"/>
    <w:rPr>
      <w:rFonts w:ascii="Times New Roman" w:hAnsi="Times New Roman" w:eastAsia="楷体_GB2312"/>
      <w:sz w:val="32"/>
    </w:rPr>
  </w:style>
  <w:style w:type="character" w:customStyle="1" w:styleId="104">
    <w:name w:val="副标题 字符"/>
    <w:autoRedefine/>
    <w:qFormat/>
    <w:uiPriority w:val="99"/>
    <w:rPr>
      <w:rFonts w:ascii="宋体" w:hAnsi="Tahoma" w:cs="宋体"/>
      <w:i/>
      <w:iCs/>
      <w:sz w:val="36"/>
      <w:szCs w:val="36"/>
      <w:lang w:val="en-AU"/>
    </w:rPr>
  </w:style>
  <w:style w:type="character" w:customStyle="1" w:styleId="105">
    <w:name w:val="ca-32"/>
    <w:autoRedefine/>
    <w:qFormat/>
    <w:uiPriority w:val="0"/>
  </w:style>
  <w:style w:type="character" w:customStyle="1" w:styleId="106">
    <w:name w:val="文档结构图 Char"/>
    <w:autoRedefine/>
    <w:qFormat/>
    <w:uiPriority w:val="99"/>
    <w:rPr>
      <w:rFonts w:ascii="Times New Roman" w:hAnsi="Times New Roman" w:eastAsia="宋体" w:cs="Times New Roman"/>
      <w:szCs w:val="24"/>
      <w:shd w:val="clear" w:color="auto" w:fill="000080"/>
    </w:rPr>
  </w:style>
  <w:style w:type="character" w:customStyle="1" w:styleId="107">
    <w:name w:val="日期 Char1"/>
    <w:autoRedefine/>
    <w:qFormat/>
    <w:uiPriority w:val="0"/>
    <w:rPr>
      <w:rFonts w:eastAsia="楷体_GB2312"/>
      <w:sz w:val="32"/>
    </w:rPr>
  </w:style>
  <w:style w:type="character" w:customStyle="1" w:styleId="108">
    <w:name w:val="正文文本 3 Char"/>
    <w:autoRedefine/>
    <w:qFormat/>
    <w:uiPriority w:val="0"/>
    <w:rPr>
      <w:rFonts w:ascii="Times New Roman" w:hAnsi="Times New Roman" w:eastAsia="仿宋_GB2312"/>
      <w:b/>
      <w:bCs/>
      <w:sz w:val="24"/>
    </w:rPr>
  </w:style>
  <w:style w:type="character" w:customStyle="1" w:styleId="109">
    <w:name w:val="批注主题 Char"/>
    <w:autoRedefine/>
    <w:qFormat/>
    <w:uiPriority w:val="99"/>
    <w:rPr>
      <w:rFonts w:ascii="Times New Roman" w:hAnsi="Times New Roman" w:eastAsia="宋体" w:cs="Times New Roman"/>
      <w:szCs w:val="20"/>
    </w:rPr>
  </w:style>
  <w:style w:type="character" w:customStyle="1" w:styleId="110">
    <w:name w:val="批注文字 Char"/>
    <w:autoRedefine/>
    <w:qFormat/>
    <w:uiPriority w:val="99"/>
    <w:rPr>
      <w:rFonts w:ascii="Times New Roman" w:hAnsi="Times New Roman" w:eastAsia="宋体" w:cs="Times New Roman"/>
      <w:szCs w:val="20"/>
    </w:rPr>
  </w:style>
  <w:style w:type="character" w:customStyle="1" w:styleId="111">
    <w:name w:val="列出段落 Char"/>
    <w:autoRedefine/>
    <w:qFormat/>
    <w:uiPriority w:val="99"/>
    <w:rPr>
      <w:kern w:val="2"/>
      <w:sz w:val="21"/>
      <w:szCs w:val="22"/>
    </w:rPr>
  </w:style>
  <w:style w:type="character" w:customStyle="1" w:styleId="112">
    <w:name w:val="标题 1 Char"/>
    <w:autoRedefine/>
    <w:qFormat/>
    <w:uiPriority w:val="99"/>
    <w:rPr>
      <w:rFonts w:ascii="Times New Roman" w:hAnsi="Times New Roman" w:eastAsia="宋体" w:cs="Times New Roman"/>
      <w:b/>
      <w:bCs/>
      <w:kern w:val="44"/>
      <w:sz w:val="44"/>
      <w:szCs w:val="44"/>
    </w:rPr>
  </w:style>
  <w:style w:type="character" w:customStyle="1" w:styleId="113">
    <w:name w:val="标题 1 Char1"/>
    <w:autoRedefine/>
    <w:qFormat/>
    <w:uiPriority w:val="0"/>
    <w:rPr>
      <w:rFonts w:ascii="Times New Roman" w:hAnsi="Times New Roman" w:eastAsia="宋体" w:cs="Times New Roman"/>
      <w:b/>
      <w:bCs/>
      <w:kern w:val="44"/>
      <w:sz w:val="44"/>
      <w:szCs w:val="44"/>
    </w:rPr>
  </w:style>
  <w:style w:type="character" w:customStyle="1" w:styleId="114">
    <w:name w:val="style7"/>
    <w:autoRedefine/>
    <w:qFormat/>
    <w:uiPriority w:val="0"/>
  </w:style>
  <w:style w:type="character" w:customStyle="1" w:styleId="115">
    <w:name w:val="纯文本 Char1"/>
    <w:autoRedefine/>
    <w:qFormat/>
    <w:uiPriority w:val="0"/>
    <w:rPr>
      <w:rFonts w:ascii="宋体" w:hAnsi="Times New Roman" w:eastAsia="宋体" w:cs="Times New Roman"/>
      <w:sz w:val="24"/>
      <w:szCs w:val="24"/>
    </w:rPr>
  </w:style>
  <w:style w:type="character" w:customStyle="1" w:styleId="116">
    <w:name w:val="正文文本缩进 Char1"/>
    <w:autoRedefine/>
    <w:qFormat/>
    <w:uiPriority w:val="0"/>
    <w:rPr>
      <w:rFonts w:ascii="宋体" w:hAnsi="Times New Roman" w:eastAsia="宋体" w:cs="Times New Roman"/>
      <w:spacing w:val="-4"/>
      <w:sz w:val="18"/>
      <w:szCs w:val="20"/>
    </w:rPr>
  </w:style>
  <w:style w:type="character" w:customStyle="1" w:styleId="117">
    <w:name w:val="unnamed1"/>
    <w:autoRedefine/>
    <w:qFormat/>
    <w:uiPriority w:val="0"/>
  </w:style>
  <w:style w:type="character" w:customStyle="1" w:styleId="118">
    <w:name w:val="列出段落 Char1"/>
    <w:autoRedefine/>
    <w:qFormat/>
    <w:uiPriority w:val="34"/>
    <w:rPr>
      <w:kern w:val="2"/>
      <w:sz w:val="21"/>
      <w:szCs w:val="22"/>
    </w:rPr>
  </w:style>
  <w:style w:type="character" w:customStyle="1" w:styleId="119">
    <w:name w:val="页脚 Char"/>
    <w:autoRedefine/>
    <w:qFormat/>
    <w:uiPriority w:val="0"/>
    <w:rPr>
      <w:sz w:val="18"/>
      <w:szCs w:val="18"/>
    </w:rPr>
  </w:style>
  <w:style w:type="character" w:customStyle="1" w:styleId="120">
    <w:name w:val="font14zd"/>
    <w:autoRedefine/>
    <w:qFormat/>
    <w:uiPriority w:val="0"/>
    <w:rPr>
      <w:rFonts w:ascii="Times New Roman" w:hAnsi="Times New Roman" w:eastAsia="宋体" w:cs="Times New Roman"/>
    </w:rPr>
  </w:style>
  <w:style w:type="character" w:customStyle="1" w:styleId="121">
    <w:name w:val="标题 2 Char"/>
    <w:autoRedefine/>
    <w:qFormat/>
    <w:uiPriority w:val="0"/>
    <w:rPr>
      <w:rFonts w:ascii="Arial" w:hAnsi="Arial" w:eastAsia="黑体"/>
      <w:b/>
      <w:bCs/>
      <w:sz w:val="32"/>
      <w:szCs w:val="32"/>
    </w:rPr>
  </w:style>
  <w:style w:type="character" w:customStyle="1" w:styleId="122">
    <w:name w:val="HTML 预设格式 Char1"/>
    <w:autoRedefine/>
    <w:qFormat/>
    <w:uiPriority w:val="0"/>
    <w:rPr>
      <w:rFonts w:ascii="宋体" w:hAnsi="宋体" w:cs="宋体"/>
      <w:sz w:val="24"/>
      <w:szCs w:val="24"/>
    </w:rPr>
  </w:style>
  <w:style w:type="character" w:customStyle="1" w:styleId="123">
    <w:name w:val="正文文本 2 Char"/>
    <w:autoRedefine/>
    <w:qFormat/>
    <w:uiPriority w:val="0"/>
    <w:rPr>
      <w:rFonts w:ascii="宋体" w:hAnsi="Times New Roman" w:eastAsia="宋体" w:cs="Times New Roman"/>
      <w:color w:val="000000"/>
      <w:sz w:val="24"/>
      <w:szCs w:val="24"/>
    </w:rPr>
  </w:style>
  <w:style w:type="character" w:customStyle="1" w:styleId="124">
    <w:name w:val="标题 5 Char1"/>
    <w:autoRedefine/>
    <w:qFormat/>
    <w:uiPriority w:val="0"/>
    <w:rPr>
      <w:rFonts w:ascii="Times New Roman" w:hAnsi="Times New Roman" w:eastAsia="宋体" w:cs="Times New Roman"/>
      <w:b/>
      <w:bCs/>
      <w:sz w:val="28"/>
      <w:szCs w:val="28"/>
    </w:rPr>
  </w:style>
  <w:style w:type="character" w:customStyle="1" w:styleId="125">
    <w:name w:val="正文文本缩进 3 Char"/>
    <w:autoRedefine/>
    <w:qFormat/>
    <w:uiPriority w:val="0"/>
    <w:rPr>
      <w:rFonts w:ascii="仿宋_GB2312" w:hAnsi="Times New Roman" w:eastAsia="仿宋_GB2312"/>
      <w:color w:val="000000"/>
      <w:sz w:val="24"/>
      <w:szCs w:val="24"/>
    </w:rPr>
  </w:style>
  <w:style w:type="character" w:customStyle="1" w:styleId="126">
    <w:name w:val="页眉 Char"/>
    <w:autoRedefine/>
    <w:qFormat/>
    <w:uiPriority w:val="0"/>
    <w:rPr>
      <w:sz w:val="18"/>
      <w:szCs w:val="18"/>
    </w:rPr>
  </w:style>
  <w:style w:type="character" w:customStyle="1" w:styleId="127">
    <w:name w:val="批注文字 Char2"/>
    <w:autoRedefine/>
    <w:qFormat/>
    <w:uiPriority w:val="0"/>
    <w:rPr>
      <w:rFonts w:ascii="Times New Roman" w:hAnsi="Times New Roman" w:eastAsia="宋体" w:cs="Times New Roman"/>
      <w:szCs w:val="20"/>
    </w:rPr>
  </w:style>
  <w:style w:type="character" w:customStyle="1" w:styleId="128">
    <w:name w:val="批注主题 Char1"/>
    <w:autoRedefine/>
    <w:qFormat/>
    <w:uiPriority w:val="0"/>
    <w:rPr>
      <w:rFonts w:ascii="Times New Roman" w:hAnsi="Times New Roman" w:eastAsia="宋体" w:cs="Times New Roman"/>
      <w:szCs w:val="20"/>
    </w:rPr>
  </w:style>
  <w:style w:type="character" w:customStyle="1" w:styleId="129">
    <w:name w:val="标题 3 Char"/>
    <w:autoRedefine/>
    <w:qFormat/>
    <w:uiPriority w:val="9"/>
    <w:rPr>
      <w:rFonts w:ascii="Times New Roman" w:hAnsi="Times New Roman"/>
      <w:b/>
      <w:bCs/>
      <w:sz w:val="32"/>
      <w:szCs w:val="32"/>
    </w:rPr>
  </w:style>
  <w:style w:type="character" w:customStyle="1" w:styleId="130">
    <w:name w:val="正文文本缩进 2 Char"/>
    <w:autoRedefine/>
    <w:qFormat/>
    <w:uiPriority w:val="0"/>
    <w:rPr>
      <w:rFonts w:ascii="仿宋_GB2312" w:hAnsi="仿宋_GB2312" w:eastAsia="宋体" w:cs="Times New Roman"/>
      <w:b/>
      <w:bCs/>
      <w:color w:val="000000"/>
      <w:sz w:val="24"/>
      <w:szCs w:val="24"/>
    </w:rPr>
  </w:style>
  <w:style w:type="character" w:customStyle="1" w:styleId="131">
    <w:name w:val="页脚 Char2"/>
    <w:autoRedefine/>
    <w:qFormat/>
    <w:uiPriority w:val="99"/>
    <w:rPr>
      <w:sz w:val="18"/>
      <w:szCs w:val="18"/>
    </w:rPr>
  </w:style>
  <w:style w:type="character" w:customStyle="1" w:styleId="132">
    <w:name w:val="TableItem Char"/>
    <w:link w:val="133"/>
    <w:autoRedefine/>
    <w:qFormat/>
    <w:uiPriority w:val="0"/>
    <w:rPr>
      <w:rFonts w:ascii="Verdana" w:hAnsi="Verdana" w:eastAsia="等线" w:cs="Verdana"/>
      <w:b/>
      <w:bCs/>
      <w:color w:val="538135"/>
      <w:spacing w:val="-10"/>
      <w:sz w:val="16"/>
      <w:szCs w:val="28"/>
      <w:lang w:val="en-US" w:eastAsia="zh-CN" w:bidi="ar-SA"/>
    </w:rPr>
  </w:style>
  <w:style w:type="paragraph" w:customStyle="1" w:styleId="133">
    <w:name w:val="TableItem"/>
    <w:link w:val="132"/>
    <w:autoRedefine/>
    <w:qFormat/>
    <w:uiPriority w:val="0"/>
    <w:rPr>
      <w:rFonts w:ascii="Verdana" w:hAnsi="Verdana" w:eastAsia="等线" w:cs="Verdana"/>
      <w:b/>
      <w:bCs/>
      <w:color w:val="538135"/>
      <w:spacing w:val="-10"/>
      <w:sz w:val="16"/>
      <w:szCs w:val="28"/>
      <w:lang w:val="en-US" w:eastAsia="zh-CN" w:bidi="ar-SA"/>
    </w:rPr>
  </w:style>
  <w:style w:type="character" w:customStyle="1" w:styleId="134">
    <w:name w:val="正文文本 Char1"/>
    <w:autoRedefine/>
    <w:qFormat/>
    <w:uiPriority w:val="0"/>
    <w:rPr>
      <w:rFonts w:ascii="Times New Roman" w:hAnsi="Times New Roman" w:eastAsia="宋体" w:cs="Times New Roman"/>
      <w:sz w:val="28"/>
      <w:szCs w:val="24"/>
    </w:rPr>
  </w:style>
  <w:style w:type="character" w:customStyle="1" w:styleId="135">
    <w:name w:val="font171"/>
    <w:autoRedefine/>
    <w:qFormat/>
    <w:uiPriority w:val="0"/>
    <w:rPr>
      <w:rFonts w:hint="default" w:ascii="Wingdings 2" w:hAnsi="Wingdings 2" w:eastAsia="Wingdings 2" w:cs="Wingdings 2"/>
      <w:color w:val="000000"/>
      <w:sz w:val="18"/>
      <w:szCs w:val="18"/>
      <w:u w:val="none"/>
    </w:rPr>
  </w:style>
  <w:style w:type="character" w:customStyle="1" w:styleId="136">
    <w:name w:val="副标题 Char2"/>
    <w:autoRedefine/>
    <w:qFormat/>
    <w:uiPriority w:val="0"/>
    <w:rPr>
      <w:rFonts w:ascii="Cambria" w:hAnsi="Cambria"/>
      <w:b/>
      <w:bCs/>
      <w:kern w:val="28"/>
      <w:sz w:val="32"/>
      <w:szCs w:val="32"/>
    </w:rPr>
  </w:style>
  <w:style w:type="character" w:customStyle="1" w:styleId="137">
    <w:name w:val="标题 3 Char1"/>
    <w:autoRedefine/>
    <w:qFormat/>
    <w:uiPriority w:val="0"/>
    <w:rPr>
      <w:b/>
      <w:bCs/>
      <w:sz w:val="32"/>
      <w:szCs w:val="32"/>
    </w:rPr>
  </w:style>
  <w:style w:type="character" w:customStyle="1" w:styleId="138">
    <w:name w:val="标准文本 Char"/>
    <w:link w:val="139"/>
    <w:autoRedefine/>
    <w:qFormat/>
    <w:locked/>
    <w:uiPriority w:val="0"/>
    <w:rPr>
      <w:lang w:val="zh-CN"/>
    </w:rPr>
  </w:style>
  <w:style w:type="paragraph" w:customStyle="1" w:styleId="139">
    <w:name w:val="标准文本"/>
    <w:basedOn w:val="1"/>
    <w:link w:val="138"/>
    <w:autoRedefine/>
    <w:qFormat/>
    <w:uiPriority w:val="0"/>
    <w:pPr>
      <w:widowControl/>
      <w:spacing w:line="360" w:lineRule="auto"/>
      <w:ind w:firstLine="480" w:firstLineChars="200"/>
      <w:jc w:val="left"/>
    </w:pPr>
    <w:rPr>
      <w:kern w:val="0"/>
      <w:sz w:val="20"/>
      <w:szCs w:val="20"/>
      <w:lang w:val="zh-CN"/>
    </w:rPr>
  </w:style>
  <w:style w:type="character" w:customStyle="1" w:styleId="140">
    <w:name w:val="正文文本 3 Char1"/>
    <w:autoRedefine/>
    <w:qFormat/>
    <w:uiPriority w:val="0"/>
    <w:rPr>
      <w:rFonts w:eastAsia="仿宋_GB2312"/>
      <w:b/>
      <w:bCs/>
      <w:sz w:val="24"/>
    </w:rPr>
  </w:style>
  <w:style w:type="character" w:customStyle="1" w:styleId="141">
    <w:name w:val="标题 5 Char"/>
    <w:autoRedefine/>
    <w:qFormat/>
    <w:uiPriority w:val="0"/>
    <w:rPr>
      <w:rFonts w:ascii="Times New Roman" w:hAnsi="Times New Roman" w:eastAsia="宋体" w:cs="Times New Roman"/>
      <w:b/>
      <w:bCs/>
      <w:sz w:val="28"/>
      <w:szCs w:val="28"/>
    </w:rPr>
  </w:style>
  <w:style w:type="character" w:customStyle="1" w:styleId="142">
    <w:name w:val="批注框文本 Char1"/>
    <w:autoRedefine/>
    <w:qFormat/>
    <w:uiPriority w:val="99"/>
    <w:rPr>
      <w:rFonts w:ascii="Times New Roman" w:hAnsi="Times New Roman" w:eastAsia="宋体" w:cs="Times New Roman"/>
      <w:sz w:val="18"/>
      <w:szCs w:val="18"/>
    </w:rPr>
  </w:style>
  <w:style w:type="character" w:customStyle="1" w:styleId="143">
    <w:name w:val="正文文本缩进 2 Char1"/>
    <w:autoRedefine/>
    <w:qFormat/>
    <w:uiPriority w:val="0"/>
    <w:rPr>
      <w:rFonts w:ascii="仿宋_GB2312" w:hAnsi="仿宋_GB2312" w:eastAsia="宋体" w:cs="Times New Roman"/>
      <w:b/>
      <w:bCs/>
      <w:color w:val="000000"/>
      <w:sz w:val="24"/>
      <w:szCs w:val="24"/>
    </w:rPr>
  </w:style>
  <w:style w:type="character" w:customStyle="1" w:styleId="144">
    <w:name w:val="font221"/>
    <w:autoRedefine/>
    <w:qFormat/>
    <w:uiPriority w:val="0"/>
    <w:rPr>
      <w:rFonts w:hint="eastAsia" w:ascii="宋体" w:hAnsi="宋体" w:eastAsia="宋体" w:cs="宋体"/>
      <w:color w:val="000000"/>
      <w:sz w:val="18"/>
      <w:szCs w:val="18"/>
      <w:u w:val="none"/>
    </w:rPr>
  </w:style>
  <w:style w:type="character" w:customStyle="1" w:styleId="145">
    <w:name w:val="正文文本缩进 3 Char1"/>
    <w:autoRedefine/>
    <w:qFormat/>
    <w:uiPriority w:val="0"/>
    <w:rPr>
      <w:rFonts w:ascii="仿宋_GB2312" w:eastAsia="仿宋_GB2312"/>
      <w:color w:val="000000"/>
      <w:sz w:val="24"/>
      <w:szCs w:val="24"/>
    </w:rPr>
  </w:style>
  <w:style w:type="character" w:customStyle="1" w:styleId="146">
    <w:name w:val="纯文本 Char2"/>
    <w:autoRedefine/>
    <w:qFormat/>
    <w:uiPriority w:val="0"/>
    <w:rPr>
      <w:rFonts w:ascii="宋体" w:hAnsi="Times New Roman" w:eastAsia="宋体" w:cs="Times New Roman"/>
      <w:sz w:val="24"/>
      <w:szCs w:val="24"/>
    </w:rPr>
  </w:style>
  <w:style w:type="character" w:customStyle="1" w:styleId="147">
    <w:name w:val="标题 2 Char1"/>
    <w:autoRedefine/>
    <w:qFormat/>
    <w:uiPriority w:val="0"/>
    <w:rPr>
      <w:rFonts w:ascii="Arial" w:hAnsi="Arial" w:eastAsia="黑体"/>
      <w:b/>
      <w:bCs/>
      <w:sz w:val="32"/>
      <w:szCs w:val="32"/>
    </w:rPr>
  </w:style>
  <w:style w:type="character" w:customStyle="1" w:styleId="148">
    <w:name w:val="正文首行缩进 2 Char"/>
    <w:autoRedefine/>
    <w:qFormat/>
    <w:uiPriority w:val="99"/>
  </w:style>
  <w:style w:type="character" w:customStyle="1" w:styleId="149">
    <w:name w:val="标题 4 Char1"/>
    <w:autoRedefine/>
    <w:qFormat/>
    <w:uiPriority w:val="0"/>
    <w:rPr>
      <w:rFonts w:ascii="Arial" w:hAnsi="Arial" w:eastAsia="黑体" w:cs="Times New Roman"/>
      <w:b/>
      <w:bCs/>
      <w:sz w:val="28"/>
      <w:szCs w:val="28"/>
    </w:rPr>
  </w:style>
  <w:style w:type="character" w:customStyle="1" w:styleId="150">
    <w:name w:val="页脚 Char1"/>
    <w:autoRedefine/>
    <w:qFormat/>
    <w:uiPriority w:val="99"/>
    <w:rPr>
      <w:sz w:val="18"/>
      <w:szCs w:val="18"/>
    </w:rPr>
  </w:style>
  <w:style w:type="character" w:customStyle="1" w:styleId="151">
    <w:name w:val="批注文字 Char1"/>
    <w:autoRedefine/>
    <w:qFormat/>
    <w:uiPriority w:val="0"/>
    <w:rPr>
      <w:rFonts w:ascii="Times New Roman" w:hAnsi="Times New Roman" w:eastAsia="宋体" w:cs="Times New Roman"/>
      <w:szCs w:val="20"/>
    </w:rPr>
  </w:style>
  <w:style w:type="character" w:customStyle="1" w:styleId="152">
    <w:name w:val="font211"/>
    <w:autoRedefine/>
    <w:qFormat/>
    <w:uiPriority w:val="0"/>
    <w:rPr>
      <w:rFonts w:hint="eastAsia" w:ascii="宋体" w:hAnsi="宋体" w:eastAsia="宋体" w:cs="宋体"/>
      <w:color w:val="000000"/>
      <w:sz w:val="20"/>
      <w:szCs w:val="20"/>
      <w:u w:val="none"/>
    </w:rPr>
  </w:style>
  <w:style w:type="character" w:customStyle="1" w:styleId="153">
    <w:name w:val="正文文本 Char"/>
    <w:autoRedefine/>
    <w:qFormat/>
    <w:uiPriority w:val="99"/>
    <w:rPr>
      <w:rFonts w:ascii="Times New Roman" w:hAnsi="Times New Roman" w:eastAsia="宋体" w:cs="Times New Roman"/>
      <w:sz w:val="28"/>
      <w:szCs w:val="24"/>
    </w:rPr>
  </w:style>
  <w:style w:type="character" w:customStyle="1" w:styleId="154">
    <w:name w:val="纯文本 字符1"/>
    <w:autoRedefine/>
    <w:qFormat/>
    <w:uiPriority w:val="0"/>
    <w:rPr>
      <w:rFonts w:ascii="宋体" w:hAnsi="Courier New" w:eastAsia="宋体"/>
      <w:kern w:val="2"/>
      <w:sz w:val="24"/>
      <w:szCs w:val="24"/>
      <w:lang w:val="en-US" w:eastAsia="zh-CN" w:bidi="ar-SA"/>
    </w:rPr>
  </w:style>
  <w:style w:type="character" w:customStyle="1" w:styleId="155">
    <w:name w:val="apple-style-span"/>
    <w:autoRedefine/>
    <w:qFormat/>
    <w:uiPriority w:val="0"/>
  </w:style>
  <w:style w:type="character" w:customStyle="1" w:styleId="156">
    <w:name w:val="HTML 预设格式 Char"/>
    <w:autoRedefine/>
    <w:qFormat/>
    <w:uiPriority w:val="99"/>
    <w:rPr>
      <w:rFonts w:ascii="宋体" w:hAnsi="宋体" w:cs="宋体"/>
      <w:sz w:val="24"/>
      <w:szCs w:val="24"/>
    </w:rPr>
  </w:style>
  <w:style w:type="character" w:customStyle="1" w:styleId="157">
    <w:name w:val="批注框文本 Char"/>
    <w:autoRedefine/>
    <w:qFormat/>
    <w:uiPriority w:val="99"/>
    <w:rPr>
      <w:rFonts w:ascii="Times New Roman" w:hAnsi="Times New Roman" w:eastAsia="宋体" w:cs="Times New Roman"/>
      <w:sz w:val="18"/>
      <w:szCs w:val="18"/>
    </w:rPr>
  </w:style>
  <w:style w:type="character" w:customStyle="1" w:styleId="158">
    <w:name w:val="纯文本 Char"/>
    <w:autoRedefine/>
    <w:qFormat/>
    <w:uiPriority w:val="99"/>
    <w:rPr>
      <w:rFonts w:ascii="宋体" w:hAnsi="Times New Roman" w:eastAsia="宋体" w:cs="Times New Roman"/>
      <w:sz w:val="24"/>
      <w:szCs w:val="24"/>
    </w:rPr>
  </w:style>
  <w:style w:type="character" w:customStyle="1" w:styleId="159">
    <w:name w:val="样式 标题 1合同标题卷标题H1h1Level 1 Topic HeadingH11H12H111H13H1... Char"/>
    <w:autoRedefine/>
    <w:qFormat/>
    <w:uiPriority w:val="0"/>
    <w:rPr>
      <w:rFonts w:ascii="宋体" w:eastAsia="宋体"/>
      <w:b/>
      <w:bCs/>
      <w:kern w:val="44"/>
      <w:sz w:val="24"/>
      <w:szCs w:val="44"/>
      <w:lang w:val="en-US" w:eastAsia="zh-CN" w:bidi="ar-SA"/>
    </w:rPr>
  </w:style>
  <w:style w:type="character" w:customStyle="1" w:styleId="160">
    <w:name w:val="bookmark-item"/>
    <w:autoRedefine/>
    <w:qFormat/>
    <w:uiPriority w:val="0"/>
  </w:style>
  <w:style w:type="paragraph" w:customStyle="1" w:styleId="161">
    <w:name w:val="zhouzhe jianjie txt"/>
    <w:basedOn w:val="1"/>
    <w:autoRedefine/>
    <w:qFormat/>
    <w:uiPriority w:val="0"/>
    <w:pPr>
      <w:spacing w:line="240" w:lineRule="exact"/>
      <w:jc w:val="left"/>
    </w:pPr>
    <w:rPr>
      <w:rFonts w:ascii="宋体" w:hAnsi="宋体" w:eastAsia="Times New Roman" w:cs="Arial"/>
      <w:sz w:val="15"/>
      <w:szCs w:val="15"/>
    </w:rPr>
  </w:style>
  <w:style w:type="paragraph" w:customStyle="1" w:styleId="162">
    <w:name w:val="默认段落字体 Para Char Char Char Char Char Char Char Char Char1 Char Char Char Char"/>
    <w:basedOn w:val="1"/>
    <w:autoRedefine/>
    <w:qFormat/>
    <w:uiPriority w:val="0"/>
    <w:rPr>
      <w:rFonts w:ascii="Tahoma" w:hAnsi="Tahoma"/>
      <w:sz w:val="24"/>
      <w:szCs w:val="20"/>
    </w:rPr>
  </w:style>
  <w:style w:type="paragraph" w:customStyle="1" w:styleId="163">
    <w:name w:val="正文－恩普"/>
    <w:basedOn w:val="15"/>
    <w:autoRedefine/>
    <w:qFormat/>
    <w:uiPriority w:val="0"/>
    <w:pPr>
      <w:widowControl/>
      <w:numPr>
        <w:numId w:val="0"/>
      </w:numPr>
      <w:tabs>
        <w:tab w:val="clear" w:pos="2040"/>
      </w:tabs>
      <w:spacing w:afterLines="50" w:line="360" w:lineRule="auto"/>
      <w:ind w:firstLine="480" w:firstLineChars="200"/>
      <w:jc w:val="left"/>
    </w:pPr>
    <w:rPr>
      <w:kern w:val="0"/>
      <w:sz w:val="24"/>
    </w:rPr>
  </w:style>
  <w:style w:type="paragraph" w:customStyle="1" w:styleId="164">
    <w:name w:val="xl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6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66">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67">
    <w:name w:val="Char21"/>
    <w:basedOn w:val="1"/>
    <w:autoRedefine/>
    <w:qFormat/>
    <w:uiPriority w:val="0"/>
    <w:pPr>
      <w:jc w:val="left"/>
    </w:pPr>
    <w:rPr>
      <w:rFonts w:ascii="仿宋_GB2312" w:hAnsi="宋体" w:eastAsia="仿宋_GB2312" w:cs="Arial"/>
      <w:b/>
      <w:sz w:val="32"/>
      <w:szCs w:val="32"/>
    </w:rPr>
  </w:style>
  <w:style w:type="paragraph" w:customStyle="1" w:styleId="168">
    <w:name w:val="列出段落11"/>
    <w:basedOn w:val="1"/>
    <w:autoRedefine/>
    <w:qFormat/>
    <w:uiPriority w:val="34"/>
    <w:pPr>
      <w:ind w:firstLine="200" w:firstLineChars="200"/>
      <w:jc w:val="left"/>
    </w:pPr>
    <w:rPr>
      <w:rFonts w:ascii="Calibri" w:hAnsi="Calibri" w:cs="Arial"/>
      <w:szCs w:val="22"/>
    </w:rPr>
  </w:style>
  <w:style w:type="paragraph" w:customStyle="1" w:styleId="169">
    <w:name w:val="xl82"/>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7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71">
    <w:name w:val="p0"/>
    <w:basedOn w:val="1"/>
    <w:link w:val="172"/>
    <w:autoRedefine/>
    <w:qFormat/>
    <w:uiPriority w:val="0"/>
    <w:pPr>
      <w:widowControl/>
    </w:pPr>
    <w:rPr>
      <w:kern w:val="0"/>
      <w:szCs w:val="21"/>
    </w:rPr>
  </w:style>
  <w:style w:type="character" w:customStyle="1" w:styleId="172">
    <w:name w:val="p0 Char"/>
    <w:link w:val="171"/>
    <w:autoRedefine/>
    <w:qFormat/>
    <w:locked/>
    <w:uiPriority w:val="0"/>
    <w:rPr>
      <w:sz w:val="21"/>
      <w:szCs w:val="21"/>
    </w:rPr>
  </w:style>
  <w:style w:type="paragraph" w:customStyle="1" w:styleId="173">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74">
    <w:name w:val="Char Char Char Char Char Char1"/>
    <w:basedOn w:val="1"/>
    <w:autoRedefine/>
    <w:qFormat/>
    <w:uiPriority w:val="0"/>
    <w:pPr>
      <w:ind w:firstLine="200" w:firstLineChars="200"/>
      <w:jc w:val="left"/>
    </w:pPr>
    <w:rPr>
      <w:rFonts w:ascii="Tahoma" w:hAnsi="Tahoma" w:cs="Arial"/>
      <w:sz w:val="24"/>
      <w:szCs w:val="21"/>
    </w:rPr>
  </w:style>
  <w:style w:type="paragraph" w:customStyle="1" w:styleId="175">
    <w:name w:val="pa-1"/>
    <w:basedOn w:val="1"/>
    <w:autoRedefine/>
    <w:qFormat/>
    <w:uiPriority w:val="0"/>
    <w:pPr>
      <w:widowControl/>
      <w:spacing w:before="100" w:beforeAutospacing="1" w:after="100" w:afterAutospacing="1"/>
      <w:jc w:val="left"/>
    </w:pPr>
    <w:rPr>
      <w:rFonts w:ascii="宋体" w:cs="宋体"/>
      <w:kern w:val="0"/>
      <w:sz w:val="24"/>
    </w:rPr>
  </w:style>
  <w:style w:type="paragraph" w:customStyle="1" w:styleId="176">
    <w:name w:val="xl79"/>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177">
    <w:name w:val="纯文本1"/>
    <w:basedOn w:val="1"/>
    <w:autoRedefine/>
    <w:qFormat/>
    <w:uiPriority w:val="0"/>
    <w:pPr>
      <w:spacing w:before="156" w:beforeLines="50" w:after="156" w:afterLines="50" w:line="400" w:lineRule="exact"/>
    </w:pPr>
    <w:rPr>
      <w:rFonts w:ascii="宋体" w:hAnsi="Courier New"/>
      <w:sz w:val="24"/>
    </w:rPr>
  </w:style>
  <w:style w:type="paragraph" w:customStyle="1" w:styleId="178">
    <w:name w:val="table_1stline"/>
    <w:basedOn w:val="1"/>
    <w:autoRedefine/>
    <w:qFormat/>
    <w:uiPriority w:val="0"/>
    <w:pPr>
      <w:spacing w:before="120"/>
    </w:pPr>
    <w:rPr>
      <w:bCs/>
      <w:szCs w:val="20"/>
    </w:rPr>
  </w:style>
  <w:style w:type="paragraph" w:customStyle="1" w:styleId="179">
    <w:name w:val="Char3"/>
    <w:basedOn w:val="1"/>
    <w:autoRedefine/>
    <w:qFormat/>
    <w:uiPriority w:val="0"/>
    <w:pPr>
      <w:ind w:firstLine="200" w:firstLineChars="200"/>
      <w:jc w:val="left"/>
    </w:pPr>
    <w:rPr>
      <w:rFonts w:ascii="幼圆" w:hAnsi="宋体" w:eastAsia="幼圆" w:cs="幼圆"/>
      <w:sz w:val="24"/>
      <w:szCs w:val="21"/>
    </w:rPr>
  </w:style>
  <w:style w:type="paragraph" w:customStyle="1" w:styleId="180">
    <w:name w:val="xl93"/>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81">
    <w:name w:val="UserStyle_66"/>
    <w:basedOn w:val="1"/>
    <w:autoRedefine/>
    <w:qFormat/>
    <w:uiPriority w:val="0"/>
    <w:pPr>
      <w:spacing w:line="280" w:lineRule="exact"/>
    </w:pPr>
    <w:rPr>
      <w:kern w:val="0"/>
      <w:szCs w:val="21"/>
    </w:rPr>
  </w:style>
  <w:style w:type="paragraph" w:customStyle="1" w:styleId="182">
    <w:name w:val="Char1 Char Char Char"/>
    <w:basedOn w:val="1"/>
    <w:autoRedefine/>
    <w:qFormat/>
    <w:uiPriority w:val="0"/>
    <w:pPr>
      <w:tabs>
        <w:tab w:val="left" w:pos="840"/>
      </w:tabs>
      <w:ind w:left="840" w:hanging="420"/>
    </w:pPr>
    <w:rPr>
      <w:sz w:val="24"/>
    </w:rPr>
  </w:style>
  <w:style w:type="paragraph" w:customStyle="1" w:styleId="183">
    <w:name w:val="列出段落1"/>
    <w:basedOn w:val="1"/>
    <w:autoRedefine/>
    <w:qFormat/>
    <w:uiPriority w:val="34"/>
    <w:pPr>
      <w:ind w:firstLine="200" w:firstLineChars="200"/>
    </w:pPr>
    <w:rPr>
      <w:rFonts w:ascii="Calibri" w:hAnsi="Calibri"/>
      <w:szCs w:val="22"/>
    </w:rPr>
  </w:style>
  <w:style w:type="paragraph" w:customStyle="1" w:styleId="18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5">
    <w:name w:val="xl80"/>
    <w:basedOn w:val="1"/>
    <w:autoRedefine/>
    <w:qFormat/>
    <w:uiPriority w:val="0"/>
    <w:pPr>
      <w:widowControl/>
      <w:shd w:val="clear" w:color="000000" w:fill="FFFFFF"/>
      <w:spacing w:before="100" w:beforeAutospacing="1" w:after="100" w:afterAutospacing="1" w:line="280" w:lineRule="exact"/>
      <w:jc w:val="center"/>
    </w:pPr>
    <w:rPr>
      <w:kern w:val="0"/>
      <w:sz w:val="20"/>
      <w:szCs w:val="20"/>
    </w:rPr>
  </w:style>
  <w:style w:type="paragraph" w:customStyle="1" w:styleId="186">
    <w:name w:val="xl71"/>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7">
    <w:name w:val="列出段落2"/>
    <w:basedOn w:val="1"/>
    <w:autoRedefine/>
    <w:qFormat/>
    <w:uiPriority w:val="0"/>
    <w:pPr>
      <w:spacing w:line="300" w:lineRule="auto"/>
      <w:ind w:firstLine="420" w:firstLineChars="200"/>
    </w:pPr>
    <w:rPr>
      <w:rFonts w:ascii="宋体"/>
      <w:kern w:val="0"/>
      <w:sz w:val="24"/>
      <w:szCs w:val="20"/>
    </w:rPr>
  </w:style>
  <w:style w:type="paragraph" w:customStyle="1" w:styleId="188">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189">
    <w:name w:val="333"/>
    <w:basedOn w:val="1"/>
    <w:autoRedefine/>
    <w:qFormat/>
    <w:uiPriority w:val="0"/>
    <w:pPr>
      <w:adjustRightInd w:val="0"/>
      <w:spacing w:line="312" w:lineRule="atLeast"/>
      <w:textAlignment w:val="baseline"/>
    </w:pPr>
    <w:rPr>
      <w:kern w:val="0"/>
      <w:szCs w:val="20"/>
    </w:rPr>
  </w:style>
  <w:style w:type="paragraph" w:customStyle="1" w:styleId="190">
    <w:name w:val="Char Char Char Char"/>
    <w:basedOn w:val="1"/>
    <w:autoRedefine/>
    <w:qFormat/>
    <w:uiPriority w:val="0"/>
    <w:pPr>
      <w:widowControl/>
      <w:spacing w:after="160" w:line="240" w:lineRule="exact"/>
      <w:jc w:val="left"/>
    </w:pPr>
    <w:rPr>
      <w:szCs w:val="20"/>
    </w:rPr>
  </w:style>
  <w:style w:type="paragraph" w:customStyle="1" w:styleId="191">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2">
    <w:name w:val="xl29"/>
    <w:basedOn w:val="1"/>
    <w:autoRedefine/>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93">
    <w:name w:val="自由格式 A"/>
    <w:autoRedefine/>
    <w:qFormat/>
    <w:uiPriority w:val="0"/>
    <w:rPr>
      <w:rFonts w:ascii="Helvetica" w:hAnsi="Helvetica" w:eastAsia="ヒラギノ角ゴ Pro W3" w:cs="Times New Roman"/>
      <w:color w:val="000000"/>
      <w:sz w:val="24"/>
      <w:lang w:val="en-US" w:eastAsia="zh-CN" w:bidi="ar-SA"/>
    </w:rPr>
  </w:style>
  <w:style w:type="paragraph" w:customStyle="1" w:styleId="194">
    <w:name w:val="Char2"/>
    <w:basedOn w:val="1"/>
    <w:autoRedefine/>
    <w:qFormat/>
    <w:uiPriority w:val="0"/>
    <w:rPr>
      <w:rFonts w:ascii="仿宋_GB2312" w:eastAsia="仿宋_GB2312"/>
      <w:b/>
      <w:sz w:val="32"/>
      <w:szCs w:val="32"/>
    </w:rPr>
  </w:style>
  <w:style w:type="paragraph" w:customStyle="1" w:styleId="195">
    <w:name w:val="style9"/>
    <w:basedOn w:val="1"/>
    <w:autoRedefine/>
    <w:qFormat/>
    <w:uiPriority w:val="0"/>
    <w:pPr>
      <w:widowControl/>
      <w:spacing w:before="100" w:beforeAutospacing="1" w:after="100" w:afterAutospacing="1"/>
      <w:jc w:val="left"/>
    </w:pPr>
    <w:rPr>
      <w:rFonts w:ascii="宋体" w:cs="宋体"/>
      <w:kern w:val="0"/>
      <w:sz w:val="24"/>
    </w:rPr>
  </w:style>
  <w:style w:type="paragraph" w:customStyle="1" w:styleId="196">
    <w:name w:val="Char Char Char Char Char Char Char Char Char Char Char Char1 Char"/>
    <w:basedOn w:val="17"/>
    <w:autoRedefine/>
    <w:qFormat/>
    <w:uiPriority w:val="0"/>
    <w:rPr>
      <w:rFonts w:ascii="Tahoma" w:hAnsi="Tahoma"/>
      <w:sz w:val="24"/>
    </w:rPr>
  </w:style>
  <w:style w:type="paragraph" w:customStyle="1" w:styleId="197">
    <w:name w:val="xl85"/>
    <w:basedOn w:val="1"/>
    <w:autoRedefine/>
    <w:qFormat/>
    <w:uiPriority w:val="0"/>
    <w:pPr>
      <w:widowControl/>
      <w:pBdr>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8">
    <w:name w:val="修订1"/>
    <w:autoRedefine/>
    <w:semiHidden/>
    <w:qFormat/>
    <w:uiPriority w:val="99"/>
    <w:rPr>
      <w:rFonts w:ascii="Times New Roman" w:hAnsi="Times New Roman" w:eastAsia="宋体" w:cs="Times New Roman"/>
      <w:kern w:val="2"/>
      <w:sz w:val="21"/>
      <w:szCs w:val="22"/>
      <w:lang w:val="en-US" w:eastAsia="zh-CN" w:bidi="ar-SA"/>
    </w:rPr>
  </w:style>
  <w:style w:type="paragraph" w:customStyle="1" w:styleId="199">
    <w:name w:val="xl8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00">
    <w:name w:val="Char Char Char Char Char Char Char Char Char Char Char Char1 Char1"/>
    <w:basedOn w:val="17"/>
    <w:autoRedefine/>
    <w:qFormat/>
    <w:uiPriority w:val="0"/>
    <w:pPr>
      <w:jc w:val="left"/>
    </w:pPr>
    <w:rPr>
      <w:rFonts w:ascii="Tahoma" w:hAnsi="Tahoma" w:cs="Arial"/>
      <w:sz w:val="24"/>
    </w:rPr>
  </w:style>
  <w:style w:type="paragraph" w:customStyle="1" w:styleId="201">
    <w:name w:val="Char Char Char Char Char Char"/>
    <w:basedOn w:val="1"/>
    <w:autoRedefine/>
    <w:qFormat/>
    <w:uiPriority w:val="0"/>
    <w:pPr>
      <w:ind w:firstLine="200" w:firstLineChars="200"/>
    </w:pPr>
    <w:rPr>
      <w:rFonts w:ascii="Tahoma" w:hAnsi="Tahoma"/>
      <w:sz w:val="24"/>
      <w:szCs w:val="20"/>
    </w:rPr>
  </w:style>
  <w:style w:type="paragraph" w:customStyle="1" w:styleId="202">
    <w:name w:val="xl90"/>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03">
    <w:name w:val="Char Char Char Char1"/>
    <w:basedOn w:val="1"/>
    <w:autoRedefine/>
    <w:qFormat/>
    <w:uiPriority w:val="0"/>
    <w:pPr>
      <w:widowControl/>
      <w:spacing w:after="160" w:line="240" w:lineRule="exact"/>
      <w:jc w:val="left"/>
    </w:pPr>
    <w:rPr>
      <w:rFonts w:ascii="宋体" w:hAnsi="宋体" w:cs="Arial"/>
      <w:szCs w:val="21"/>
    </w:rPr>
  </w:style>
  <w:style w:type="paragraph" w:customStyle="1" w:styleId="204">
    <w:name w:val="tgt2"/>
    <w:basedOn w:val="1"/>
    <w:autoRedefine/>
    <w:qFormat/>
    <w:uiPriority w:val="0"/>
    <w:pPr>
      <w:widowControl/>
      <w:spacing w:after="150" w:line="360" w:lineRule="auto"/>
      <w:jc w:val="left"/>
    </w:pPr>
    <w:rPr>
      <w:rFonts w:ascii="宋体" w:cs="宋体"/>
      <w:b/>
      <w:bCs/>
      <w:kern w:val="0"/>
      <w:sz w:val="36"/>
      <w:szCs w:val="36"/>
    </w:rPr>
  </w:style>
  <w:style w:type="paragraph" w:customStyle="1" w:styleId="205">
    <w:name w:val="样式1"/>
    <w:basedOn w:val="6"/>
    <w:autoRedefine/>
    <w:qFormat/>
    <w:uiPriority w:val="0"/>
  </w:style>
  <w:style w:type="paragraph" w:customStyle="1" w:styleId="206">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8">
    <w:name w:val="_Style 206"/>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09">
    <w:name w:val="Char"/>
    <w:basedOn w:val="1"/>
    <w:autoRedefine/>
    <w:qFormat/>
    <w:uiPriority w:val="0"/>
    <w:pPr>
      <w:ind w:firstLine="200" w:firstLineChars="200"/>
    </w:pPr>
    <w:rPr>
      <w:rFonts w:ascii="幼圆" w:eastAsia="幼圆" w:cs="幼圆"/>
      <w:sz w:val="24"/>
      <w:szCs w:val="20"/>
    </w:rPr>
  </w:style>
  <w:style w:type="paragraph" w:customStyle="1" w:styleId="210">
    <w:name w:val="Char1"/>
    <w:basedOn w:val="1"/>
    <w:autoRedefine/>
    <w:qFormat/>
    <w:uiPriority w:val="0"/>
    <w:rPr>
      <w:rFonts w:ascii="Tahoma" w:hAnsi="Tahoma"/>
      <w:sz w:val="24"/>
      <w:szCs w:val="20"/>
    </w:rPr>
  </w:style>
  <w:style w:type="paragraph" w:customStyle="1" w:styleId="211">
    <w:name w:val="xl9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212">
    <w:name w:val="Char11"/>
    <w:basedOn w:val="1"/>
    <w:autoRedefine/>
    <w:qFormat/>
    <w:uiPriority w:val="0"/>
  </w:style>
  <w:style w:type="paragraph" w:customStyle="1" w:styleId="213">
    <w:name w:val="_Style 148"/>
    <w:basedOn w:val="1"/>
    <w:next w:val="91"/>
    <w:autoRedefine/>
    <w:qFormat/>
    <w:uiPriority w:val="34"/>
    <w:pPr>
      <w:tabs>
        <w:tab w:val="left" w:pos="360"/>
      </w:tabs>
      <w:ind w:left="360" w:hanging="360"/>
    </w:pPr>
    <w:rPr>
      <w:rFonts w:ascii="Calibri" w:hAnsi="Calibri"/>
      <w:szCs w:val="22"/>
    </w:rPr>
  </w:style>
  <w:style w:type="paragraph" w:customStyle="1" w:styleId="214">
    <w:name w:val="样式 样式 标题 2 + 宋体 行距: 最小值 20 磅 + 段前: 0.5 行 段后: 0.5 行"/>
    <w:basedOn w:val="1"/>
    <w:autoRedefine/>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215">
    <w:name w:val="Char1 Char Char Char1"/>
    <w:basedOn w:val="1"/>
    <w:autoRedefine/>
    <w:qFormat/>
    <w:uiPriority w:val="0"/>
    <w:pPr>
      <w:tabs>
        <w:tab w:val="left" w:pos="840"/>
      </w:tabs>
      <w:ind w:left="840" w:hanging="420"/>
      <w:jc w:val="left"/>
    </w:pPr>
    <w:rPr>
      <w:rFonts w:ascii="宋体" w:hAnsi="宋体" w:cs="Arial"/>
      <w:sz w:val="24"/>
    </w:rPr>
  </w:style>
  <w:style w:type="paragraph" w:customStyle="1" w:styleId="216">
    <w:name w:val="op_mapdots_left"/>
    <w:basedOn w:val="1"/>
    <w:autoRedefine/>
    <w:qFormat/>
    <w:uiPriority w:val="0"/>
    <w:pPr>
      <w:widowControl/>
      <w:jc w:val="left"/>
    </w:pPr>
    <w:rPr>
      <w:rFonts w:ascii="宋体" w:cs="宋体"/>
      <w:kern w:val="0"/>
      <w:sz w:val="24"/>
    </w:rPr>
  </w:style>
  <w:style w:type="paragraph" w:customStyle="1" w:styleId="217">
    <w:name w:val="p15"/>
    <w:basedOn w:val="1"/>
    <w:autoRedefine/>
    <w:qFormat/>
    <w:uiPriority w:val="0"/>
    <w:pPr>
      <w:widowControl/>
    </w:pPr>
    <w:rPr>
      <w:kern w:val="0"/>
      <w:szCs w:val="21"/>
    </w:rPr>
  </w:style>
  <w:style w:type="paragraph" w:customStyle="1" w:styleId="218">
    <w:name w:val="正文段"/>
    <w:basedOn w:val="1"/>
    <w:autoRedefine/>
    <w:qFormat/>
    <w:uiPriority w:val="0"/>
    <w:pPr>
      <w:widowControl/>
      <w:snapToGrid w:val="0"/>
      <w:spacing w:afterLines="50"/>
      <w:ind w:firstLine="200" w:firstLineChars="200"/>
    </w:pPr>
    <w:rPr>
      <w:kern w:val="0"/>
      <w:sz w:val="24"/>
      <w:szCs w:val="20"/>
    </w:rPr>
  </w:style>
  <w:style w:type="paragraph" w:customStyle="1" w:styleId="219">
    <w:name w:val="table_lines"/>
    <w:basedOn w:val="1"/>
    <w:autoRedefine/>
    <w:qFormat/>
    <w:uiPriority w:val="0"/>
    <w:rPr>
      <w:szCs w:val="20"/>
    </w:rPr>
  </w:style>
  <w:style w:type="paragraph" w:customStyle="1" w:styleId="220">
    <w:name w:val="正文1"/>
    <w:autoRedefine/>
    <w:qFormat/>
    <w:uiPriority w:val="0"/>
    <w:pPr>
      <w:jc w:val="both"/>
    </w:pPr>
    <w:rPr>
      <w:rFonts w:ascii="Times New Roman" w:hAnsi="Times New Roman" w:eastAsia="宋体" w:cs="宋体"/>
      <w:kern w:val="2"/>
      <w:sz w:val="21"/>
      <w:szCs w:val="21"/>
      <w:lang w:val="en-US" w:eastAsia="zh-CN" w:bidi="ar-SA"/>
    </w:rPr>
  </w:style>
  <w:style w:type="paragraph" w:customStyle="1" w:styleId="221">
    <w:name w:val="列出段落3"/>
    <w:basedOn w:val="1"/>
    <w:autoRedefine/>
    <w:qFormat/>
    <w:uiPriority w:val="34"/>
    <w:pPr>
      <w:ind w:firstLine="420" w:firstLineChars="200"/>
    </w:pPr>
    <w:rPr>
      <w:rFonts w:ascii="Calibri" w:hAnsi="Calibri"/>
      <w:szCs w:val="21"/>
    </w:rPr>
  </w:style>
  <w:style w:type="paragraph" w:customStyle="1" w:styleId="222">
    <w:name w:val="纯文本11"/>
    <w:basedOn w:val="1"/>
    <w:autoRedefine/>
    <w:qFormat/>
    <w:uiPriority w:val="99"/>
    <w:pPr>
      <w:spacing w:beforeLines="50" w:afterLines="50" w:line="400" w:lineRule="exact"/>
    </w:pPr>
    <w:rPr>
      <w:rFonts w:ascii="宋体" w:hAnsi="Courier New"/>
      <w:sz w:val="24"/>
    </w:rPr>
  </w:style>
  <w:style w:type="paragraph" w:customStyle="1" w:styleId="223">
    <w:name w:val="_Style 77"/>
    <w:basedOn w:val="1"/>
    <w:next w:val="91"/>
    <w:autoRedefine/>
    <w:qFormat/>
    <w:uiPriority w:val="34"/>
    <w:pPr>
      <w:tabs>
        <w:tab w:val="left" w:pos="360"/>
      </w:tabs>
      <w:spacing w:line="280" w:lineRule="exact"/>
      <w:ind w:left="360" w:hanging="360"/>
    </w:pPr>
    <w:rPr>
      <w:rFonts w:ascii="Calibri" w:hAnsi="Calibri"/>
      <w:szCs w:val="22"/>
    </w:rPr>
  </w:style>
  <w:style w:type="paragraph" w:customStyle="1" w:styleId="224">
    <w:name w:val="msolistparagraph"/>
    <w:basedOn w:val="1"/>
    <w:autoRedefine/>
    <w:qFormat/>
    <w:uiPriority w:val="0"/>
    <w:pPr>
      <w:spacing w:line="280" w:lineRule="exact"/>
      <w:ind w:firstLine="420" w:firstLineChars="200"/>
    </w:pPr>
    <w:rPr>
      <w:rFonts w:ascii="Calibri" w:hAnsi="Calibri"/>
      <w:sz w:val="22"/>
      <w:szCs w:val="22"/>
    </w:rPr>
  </w:style>
  <w:style w:type="paragraph" w:customStyle="1" w:styleId="225">
    <w:name w:val="_Style 86"/>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26">
    <w:name w:val="font5"/>
    <w:basedOn w:val="1"/>
    <w:autoRedefine/>
    <w:qFormat/>
    <w:uiPriority w:val="0"/>
    <w:pPr>
      <w:widowControl/>
      <w:spacing w:before="100" w:beforeAutospacing="1" w:after="100" w:afterAutospacing="1" w:line="280" w:lineRule="exact"/>
      <w:jc w:val="left"/>
    </w:pPr>
    <w:rPr>
      <w:rFonts w:ascii="宋体" w:hAnsi="宋体" w:cs="宋体"/>
      <w:kern w:val="0"/>
      <w:sz w:val="18"/>
      <w:szCs w:val="18"/>
    </w:rPr>
  </w:style>
  <w:style w:type="paragraph" w:customStyle="1" w:styleId="227">
    <w:name w:val="font6"/>
    <w:basedOn w:val="1"/>
    <w:autoRedefine/>
    <w:qFormat/>
    <w:uiPriority w:val="0"/>
    <w:pPr>
      <w:widowControl/>
      <w:spacing w:before="100" w:beforeAutospacing="1" w:after="100" w:afterAutospacing="1" w:line="280" w:lineRule="exact"/>
      <w:jc w:val="left"/>
    </w:pPr>
    <w:rPr>
      <w:rFonts w:ascii="宋体" w:hAnsi="宋体" w:cs="宋体"/>
      <w:kern w:val="0"/>
      <w:sz w:val="20"/>
      <w:szCs w:val="20"/>
    </w:rPr>
  </w:style>
  <w:style w:type="paragraph" w:customStyle="1" w:styleId="228">
    <w:name w:val="font7"/>
    <w:basedOn w:val="1"/>
    <w:autoRedefine/>
    <w:qFormat/>
    <w:uiPriority w:val="0"/>
    <w:pPr>
      <w:widowControl/>
      <w:spacing w:before="100" w:beforeAutospacing="1" w:after="100" w:afterAutospacing="1" w:line="280" w:lineRule="exact"/>
      <w:jc w:val="left"/>
    </w:pPr>
    <w:rPr>
      <w:kern w:val="0"/>
      <w:sz w:val="20"/>
      <w:szCs w:val="20"/>
    </w:rPr>
  </w:style>
  <w:style w:type="paragraph" w:customStyle="1" w:styleId="229">
    <w:name w:val="font8"/>
    <w:basedOn w:val="1"/>
    <w:autoRedefine/>
    <w:qFormat/>
    <w:uiPriority w:val="0"/>
    <w:pPr>
      <w:widowControl/>
      <w:spacing w:before="100" w:beforeAutospacing="1" w:after="100" w:afterAutospacing="1" w:line="280" w:lineRule="exact"/>
      <w:jc w:val="left"/>
    </w:pPr>
    <w:rPr>
      <w:b/>
      <w:bCs/>
      <w:kern w:val="0"/>
      <w:sz w:val="32"/>
      <w:szCs w:val="32"/>
    </w:rPr>
  </w:style>
  <w:style w:type="paragraph" w:customStyle="1" w:styleId="230">
    <w:name w:val="font9"/>
    <w:basedOn w:val="1"/>
    <w:autoRedefine/>
    <w:qFormat/>
    <w:uiPriority w:val="0"/>
    <w:pPr>
      <w:widowControl/>
      <w:spacing w:before="100" w:beforeAutospacing="1" w:after="100" w:afterAutospacing="1" w:line="280" w:lineRule="exact"/>
      <w:jc w:val="left"/>
    </w:pPr>
    <w:rPr>
      <w:rFonts w:ascii="宋体" w:hAnsi="宋体" w:cs="宋体"/>
      <w:b/>
      <w:bCs/>
      <w:kern w:val="0"/>
      <w:sz w:val="32"/>
      <w:szCs w:val="32"/>
    </w:rPr>
  </w:style>
  <w:style w:type="paragraph" w:customStyle="1" w:styleId="231">
    <w:name w:val="xl65"/>
    <w:basedOn w:val="1"/>
    <w:autoRedefine/>
    <w:qFormat/>
    <w:uiPriority w:val="0"/>
    <w:pPr>
      <w:widowControl/>
      <w:shd w:val="clear" w:color="000000" w:fill="FFFFFF"/>
      <w:spacing w:before="100" w:beforeAutospacing="1" w:after="100" w:afterAutospacing="1" w:line="280" w:lineRule="exact"/>
      <w:jc w:val="left"/>
    </w:pPr>
    <w:rPr>
      <w:kern w:val="0"/>
      <w:sz w:val="20"/>
      <w:szCs w:val="20"/>
    </w:rPr>
  </w:style>
  <w:style w:type="paragraph" w:customStyle="1" w:styleId="232">
    <w:name w:val="xl66"/>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233">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34">
    <w:name w:val="xl6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35">
    <w:name w:val="xl6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36">
    <w:name w:val="xl7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37">
    <w:name w:val="xl72"/>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38">
    <w:name w:val="xl73"/>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3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240">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41">
    <w:name w:val="xl83"/>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42">
    <w:name w:val="xl84"/>
    <w:basedOn w:val="1"/>
    <w:autoRedefine/>
    <w:qFormat/>
    <w:uiPriority w:val="0"/>
    <w:pPr>
      <w:widowControl/>
      <w:pBdr>
        <w:lef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43">
    <w:name w:val="xl86"/>
    <w:basedOn w:val="1"/>
    <w:autoRedefine/>
    <w:qFormat/>
    <w:uiPriority w:val="0"/>
    <w:pPr>
      <w:widowControl/>
      <w:shd w:val="clear" w:color="000000" w:fill="FFFFFF"/>
      <w:spacing w:before="100" w:beforeAutospacing="1" w:after="100" w:afterAutospacing="1" w:line="280" w:lineRule="exact"/>
      <w:jc w:val="center"/>
    </w:pPr>
    <w:rPr>
      <w:b/>
      <w:bCs/>
      <w:kern w:val="0"/>
      <w:sz w:val="32"/>
      <w:szCs w:val="32"/>
    </w:rPr>
  </w:style>
  <w:style w:type="paragraph" w:customStyle="1" w:styleId="24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kern w:val="0"/>
      <w:sz w:val="20"/>
      <w:szCs w:val="20"/>
    </w:rPr>
  </w:style>
  <w:style w:type="paragraph" w:customStyle="1" w:styleId="245">
    <w:name w:val="xl88"/>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46">
    <w:name w:val="xl89"/>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47">
    <w:name w:val="xl91"/>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48">
    <w:name w:val="xl92"/>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49">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250">
    <w:name w:val="彩色列表 - 着色 11"/>
    <w:basedOn w:val="1"/>
    <w:autoRedefine/>
    <w:qFormat/>
    <w:uiPriority w:val="34"/>
    <w:pPr>
      <w:spacing w:line="360" w:lineRule="auto"/>
      <w:ind w:firstLine="420" w:firstLineChars="200"/>
    </w:pPr>
    <w:rPr>
      <w:rFonts w:ascii="Calibri" w:hAnsi="Calibri" w:eastAsia="仿宋" w:cs="仿宋"/>
      <w:szCs w:val="22"/>
    </w:rPr>
  </w:style>
  <w:style w:type="paragraph" w:customStyle="1" w:styleId="251">
    <w:name w:val="石墨文档正文"/>
    <w:autoRedefine/>
    <w:qFormat/>
    <w:uiPriority w:val="0"/>
    <w:rPr>
      <w:rFonts w:ascii="微软雅黑" w:hAnsi="微软雅黑" w:eastAsia="微软雅黑" w:cs="微软雅黑"/>
      <w:sz w:val="24"/>
      <w:szCs w:val="24"/>
      <w:lang w:val="en-US" w:eastAsia="zh-CN" w:bidi="ar-SA"/>
    </w:rPr>
  </w:style>
  <w:style w:type="paragraph" w:customStyle="1" w:styleId="252">
    <w:name w:val="p2"/>
    <w:basedOn w:val="1"/>
    <w:autoRedefine/>
    <w:qFormat/>
    <w:uiPriority w:val="0"/>
    <w:pPr>
      <w:widowControl/>
      <w:spacing w:line="360" w:lineRule="auto"/>
      <w:ind w:firstLine="200" w:firstLineChars="200"/>
      <w:jc w:val="left"/>
    </w:pPr>
    <w:rPr>
      <w:rFonts w:ascii=".PingFang SC" w:hAnsi=".PingFang SC" w:eastAsia=".PingFang SC" w:cs="仿宋"/>
      <w:color w:val="454545"/>
      <w:kern w:val="0"/>
      <w:sz w:val="18"/>
      <w:szCs w:val="18"/>
    </w:rPr>
  </w:style>
  <w:style w:type="paragraph" w:customStyle="1" w:styleId="253">
    <w:name w:val="正文11"/>
    <w:autoRedefine/>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254">
    <w:name w:val="DAS正文"/>
    <w:basedOn w:val="1"/>
    <w:autoRedefine/>
    <w:qFormat/>
    <w:uiPriority w:val="0"/>
    <w:pPr>
      <w:spacing w:before="120" w:after="120" w:line="360" w:lineRule="auto"/>
      <w:ind w:right="181" w:firstLine="480" w:firstLineChars="200"/>
    </w:pPr>
    <w:rPr>
      <w:rFonts w:ascii="Verdana" w:hAnsi="Verdana"/>
      <w:sz w:val="24"/>
      <w:szCs w:val="22"/>
    </w:rPr>
  </w:style>
  <w:style w:type="paragraph" w:customStyle="1" w:styleId="255">
    <w:name w:val="自定义正文"/>
    <w:basedOn w:val="1"/>
    <w:autoRedefine/>
    <w:qFormat/>
    <w:uiPriority w:val="0"/>
    <w:pPr>
      <w:spacing w:before="120" w:after="120" w:afterLines="50" w:line="360" w:lineRule="auto"/>
      <w:ind w:firstLine="200" w:firstLineChars="200"/>
      <w:jc w:val="left"/>
    </w:pPr>
    <w:rPr>
      <w:rFonts w:ascii="Calibri" w:hAnsi="Calibri"/>
      <w:sz w:val="24"/>
    </w:rPr>
  </w:style>
  <w:style w:type="paragraph" w:customStyle="1" w:styleId="256">
    <w:name w:val="_Style 6"/>
    <w:basedOn w:val="1"/>
    <w:autoRedefine/>
    <w:qFormat/>
    <w:uiPriority w:val="34"/>
    <w:pPr>
      <w:spacing w:before="120" w:after="120" w:line="360" w:lineRule="auto"/>
      <w:ind w:firstLine="420" w:firstLineChars="200"/>
    </w:pPr>
    <w:rPr>
      <w:rFonts w:ascii="Calibri" w:hAnsi="Calibri"/>
      <w:sz w:val="24"/>
      <w:szCs w:val="22"/>
    </w:rPr>
  </w:style>
  <w:style w:type="paragraph" w:customStyle="1" w:styleId="257">
    <w:name w:val="四级编号"/>
    <w:basedOn w:val="1"/>
    <w:autoRedefine/>
    <w:qFormat/>
    <w:uiPriority w:val="0"/>
    <w:pPr>
      <w:numPr>
        <w:ilvl w:val="0"/>
        <w:numId w:val="8"/>
      </w:numPr>
      <w:tabs>
        <w:tab w:val="left" w:pos="540"/>
      </w:tabs>
      <w:spacing w:before="120" w:after="120" w:line="360" w:lineRule="auto"/>
    </w:pPr>
    <w:rPr>
      <w:sz w:val="24"/>
      <w:szCs w:val="22"/>
    </w:rPr>
  </w:style>
  <w:style w:type="paragraph" w:customStyle="1" w:styleId="258">
    <w:name w:val="样式 首行缩进:  2.25 字符"/>
    <w:basedOn w:val="1"/>
    <w:autoRedefine/>
    <w:qFormat/>
    <w:uiPriority w:val="0"/>
    <w:pPr>
      <w:spacing w:before="120" w:after="120" w:line="360" w:lineRule="auto"/>
      <w:ind w:firstLine="225" w:firstLineChars="225"/>
    </w:pPr>
    <w:rPr>
      <w:sz w:val="24"/>
      <w:szCs w:val="20"/>
    </w:rPr>
  </w:style>
  <w:style w:type="paragraph" w:customStyle="1" w:styleId="259">
    <w:name w:val="标准正文"/>
    <w:basedOn w:val="1"/>
    <w:autoRedefine/>
    <w:qFormat/>
    <w:uiPriority w:val="0"/>
    <w:pPr>
      <w:spacing w:before="156" w:after="156" w:line="360" w:lineRule="auto"/>
      <w:ind w:firstLine="480"/>
    </w:pPr>
    <w:rPr>
      <w:sz w:val="24"/>
      <w:szCs w:val="22"/>
    </w:rPr>
  </w:style>
  <w:style w:type="paragraph" w:customStyle="1" w:styleId="260">
    <w:name w:val="*正文"/>
    <w:basedOn w:val="1"/>
    <w:autoRedefine/>
    <w:qFormat/>
    <w:uiPriority w:val="0"/>
    <w:pPr>
      <w:spacing w:before="120" w:after="120" w:line="300" w:lineRule="auto"/>
      <w:ind w:firstLine="480"/>
    </w:pPr>
    <w:rPr>
      <w:rFonts w:ascii="宋体" w:hAnsi="宋体" w:cs="仿宋_GB2312"/>
      <w:sz w:val="24"/>
    </w:rPr>
  </w:style>
  <w:style w:type="paragraph" w:customStyle="1" w:styleId="261">
    <w:name w:val="样式 首行缩进:  0 字符"/>
    <w:basedOn w:val="1"/>
    <w:autoRedefine/>
    <w:qFormat/>
    <w:uiPriority w:val="0"/>
    <w:pPr>
      <w:spacing w:before="120" w:after="120" w:line="360" w:lineRule="auto"/>
    </w:pPr>
    <w:rPr>
      <w:rFonts w:ascii="Calibri" w:hAnsi="Calibri"/>
      <w:sz w:val="24"/>
      <w:szCs w:val="22"/>
    </w:rPr>
  </w:style>
  <w:style w:type="paragraph" w:customStyle="1" w:styleId="262">
    <w:name w:val="编号，小四"/>
    <w:basedOn w:val="1"/>
    <w:autoRedefine/>
    <w:qFormat/>
    <w:uiPriority w:val="0"/>
    <w:pPr>
      <w:numPr>
        <w:ilvl w:val="0"/>
        <w:numId w:val="9"/>
      </w:numPr>
      <w:spacing w:before="120" w:after="120" w:line="360" w:lineRule="auto"/>
    </w:pPr>
    <w:rPr>
      <w:rFonts w:ascii="Calibri" w:hAnsi="Calibri"/>
      <w:sz w:val="24"/>
      <w:szCs w:val="22"/>
    </w:rPr>
  </w:style>
  <w:style w:type="paragraph" w:customStyle="1" w:styleId="263">
    <w:name w:val="_Style 1"/>
    <w:basedOn w:val="1"/>
    <w:autoRedefine/>
    <w:qFormat/>
    <w:uiPriority w:val="34"/>
    <w:pPr>
      <w:spacing w:before="120" w:after="120" w:line="360" w:lineRule="auto"/>
      <w:ind w:firstLine="420" w:firstLineChars="200"/>
    </w:pPr>
    <w:rPr>
      <w:rFonts w:ascii="Calibri" w:hAnsi="Calibri"/>
      <w:sz w:val="24"/>
      <w:szCs w:val="22"/>
    </w:rPr>
  </w:style>
  <w:style w:type="paragraph" w:customStyle="1" w:styleId="264">
    <w:name w:val="_Style 2"/>
    <w:basedOn w:val="1"/>
    <w:autoRedefine/>
    <w:qFormat/>
    <w:uiPriority w:val="34"/>
    <w:pPr>
      <w:spacing w:before="120" w:after="120" w:line="360" w:lineRule="auto"/>
      <w:ind w:firstLine="420" w:firstLineChars="200"/>
    </w:pPr>
    <w:rPr>
      <w:rFonts w:ascii="Calibri" w:hAnsi="Calibri"/>
      <w:sz w:val="24"/>
      <w:szCs w:val="22"/>
    </w:rPr>
  </w:style>
  <w:style w:type="paragraph" w:customStyle="1" w:styleId="265">
    <w:name w:val="toc 71"/>
    <w:basedOn w:val="1"/>
    <w:next w:val="1"/>
    <w:autoRedefine/>
    <w:qFormat/>
    <w:uiPriority w:val="0"/>
    <w:pPr>
      <w:widowControl/>
      <w:wordWrap w:val="0"/>
      <w:spacing w:before="120" w:after="120" w:line="360" w:lineRule="auto"/>
      <w:ind w:left="2550"/>
    </w:pPr>
    <w:rPr>
      <w:rFonts w:ascii="Calibri" w:hAnsi="Calibri"/>
      <w:kern w:val="0"/>
      <w:sz w:val="24"/>
      <w:szCs w:val="22"/>
    </w:rPr>
  </w:style>
  <w:style w:type="character" w:customStyle="1" w:styleId="266">
    <w:name w:val="font11"/>
    <w:autoRedefine/>
    <w:qFormat/>
    <w:uiPriority w:val="0"/>
    <w:rPr>
      <w:rFonts w:hint="eastAsia" w:ascii="宋体" w:hAnsi="宋体" w:eastAsia="宋体" w:cs="宋体"/>
      <w:color w:val="000000"/>
      <w:sz w:val="18"/>
      <w:szCs w:val="18"/>
      <w:u w:val="none"/>
    </w:rPr>
  </w:style>
  <w:style w:type="character" w:customStyle="1" w:styleId="267">
    <w:name w:val="font31"/>
    <w:autoRedefine/>
    <w:qFormat/>
    <w:uiPriority w:val="0"/>
    <w:rPr>
      <w:rFonts w:hint="eastAsia" w:ascii="宋体" w:hAnsi="宋体" w:eastAsia="宋体" w:cs="宋体"/>
      <w:color w:val="000000"/>
      <w:sz w:val="18"/>
      <w:szCs w:val="18"/>
      <w:u w:val="none"/>
    </w:rPr>
  </w:style>
  <w:style w:type="character" w:customStyle="1" w:styleId="268">
    <w:name w:val="font21"/>
    <w:autoRedefine/>
    <w:qFormat/>
    <w:uiPriority w:val="0"/>
    <w:rPr>
      <w:rFonts w:hint="eastAsia" w:ascii="宋体" w:hAnsi="宋体" w:eastAsia="宋体" w:cs="宋体"/>
      <w:color w:val="000000"/>
      <w:sz w:val="18"/>
      <w:szCs w:val="18"/>
      <w:u w:val="none"/>
    </w:rPr>
  </w:style>
  <w:style w:type="character" w:customStyle="1" w:styleId="269">
    <w:name w:val="font01"/>
    <w:autoRedefine/>
    <w:qFormat/>
    <w:uiPriority w:val="0"/>
    <w:rPr>
      <w:rFonts w:hint="default" w:ascii="Microsoft Sans Serif" w:hAnsi="Microsoft Sans Serif" w:eastAsia="Microsoft Sans Serif" w:cs="Microsoft Sans Serif"/>
      <w:color w:val="000000"/>
      <w:sz w:val="18"/>
      <w:szCs w:val="18"/>
      <w:u w:val="none"/>
    </w:rPr>
  </w:style>
  <w:style w:type="paragraph" w:customStyle="1" w:styleId="270">
    <w:name w:val="正文2"/>
    <w:basedOn w:val="1"/>
    <w:autoRedefine/>
    <w:qFormat/>
    <w:uiPriority w:val="0"/>
    <w:pPr>
      <w:tabs>
        <w:tab w:val="left" w:pos="426"/>
      </w:tabs>
      <w:adjustRightInd w:val="0"/>
      <w:snapToGrid w:val="0"/>
      <w:spacing w:before="120" w:after="60" w:line="360" w:lineRule="atLeast"/>
      <w:jc w:val="center"/>
    </w:pPr>
    <w:rPr>
      <w:rFonts w:ascii="宋体" w:hAnsi="Arial"/>
      <w:kern w:val="0"/>
      <w:sz w:val="24"/>
      <w:szCs w:val="22"/>
    </w:rPr>
  </w:style>
  <w:style w:type="character" w:customStyle="1" w:styleId="271">
    <w:name w:val="font51"/>
    <w:autoRedefine/>
    <w:qFormat/>
    <w:uiPriority w:val="0"/>
    <w:rPr>
      <w:rFonts w:hint="default" w:ascii="Arial" w:hAnsi="Arial" w:cs="Arial"/>
      <w:b/>
      <w:color w:val="000000"/>
      <w:sz w:val="30"/>
      <w:szCs w:val="30"/>
      <w:u w:val="none"/>
    </w:rPr>
  </w:style>
  <w:style w:type="character" w:customStyle="1" w:styleId="272">
    <w:name w:val="font61"/>
    <w:autoRedefine/>
    <w:qFormat/>
    <w:uiPriority w:val="0"/>
    <w:rPr>
      <w:rFonts w:hint="eastAsia" w:ascii="宋体" w:hAnsi="宋体" w:eastAsia="宋体" w:cs="宋体"/>
      <w:color w:val="000000"/>
      <w:sz w:val="21"/>
      <w:szCs w:val="21"/>
      <w:u w:val="none"/>
    </w:rPr>
  </w:style>
  <w:style w:type="character" w:customStyle="1" w:styleId="273">
    <w:name w:val="font41"/>
    <w:autoRedefine/>
    <w:qFormat/>
    <w:uiPriority w:val="0"/>
    <w:rPr>
      <w:rFonts w:hint="default" w:ascii="Calibri" w:hAnsi="Calibri" w:cs="Calibri"/>
      <w:color w:val="000000"/>
      <w:sz w:val="21"/>
      <w:szCs w:val="21"/>
      <w:u w:val="none"/>
    </w:rPr>
  </w:style>
  <w:style w:type="paragraph" w:customStyle="1" w:styleId="274">
    <w:name w:val="列表段落1"/>
    <w:basedOn w:val="1"/>
    <w:link w:val="275"/>
    <w:autoRedefine/>
    <w:qFormat/>
    <w:uiPriority w:val="0"/>
    <w:pPr>
      <w:spacing w:before="120" w:after="120" w:line="360" w:lineRule="auto"/>
      <w:ind w:firstLine="420"/>
    </w:pPr>
    <w:rPr>
      <w:rFonts w:ascii="Calibri" w:hAnsi="Calibri"/>
      <w:sz w:val="24"/>
      <w:szCs w:val="22"/>
    </w:rPr>
  </w:style>
  <w:style w:type="character" w:customStyle="1" w:styleId="275">
    <w:name w:val="列出段落 字符"/>
    <w:link w:val="274"/>
    <w:autoRedefine/>
    <w:qFormat/>
    <w:uiPriority w:val="0"/>
    <w:rPr>
      <w:rFonts w:ascii="Calibri" w:hAnsi="Calibri"/>
      <w:kern w:val="2"/>
      <w:sz w:val="24"/>
      <w:szCs w:val="22"/>
    </w:rPr>
  </w:style>
  <w:style w:type="paragraph" w:customStyle="1" w:styleId="276">
    <w:name w:val="正文新"/>
    <w:basedOn w:val="91"/>
    <w:autoRedefine/>
    <w:qFormat/>
    <w:uiPriority w:val="0"/>
    <w:pPr>
      <w:numPr>
        <w:numId w:val="0"/>
      </w:numPr>
      <w:spacing w:before="120" w:after="120" w:line="360" w:lineRule="auto"/>
      <w:ind w:firstLine="480" w:firstLineChars="200"/>
    </w:pPr>
    <w:rPr>
      <w:rFonts w:ascii="Times New Roman" w:hAnsi="Times New Roman"/>
      <w:sz w:val="24"/>
      <w:szCs w:val="24"/>
    </w:rPr>
  </w:style>
  <w:style w:type="paragraph" w:customStyle="1" w:styleId="277">
    <w:name w:val="_Style 275"/>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78">
    <w:name w:val="全文"/>
    <w:autoRedefine/>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table" w:customStyle="1" w:styleId="279">
    <w:name w:val="Table Normal"/>
    <w:autoRedefine/>
    <w:unhideWhenUsed/>
    <w:qFormat/>
    <w:uiPriority w:val="2"/>
    <w:tblPr>
      <w:tblCellMar>
        <w:top w:w="0" w:type="dxa"/>
        <w:left w:w="0" w:type="dxa"/>
        <w:bottom w:w="0" w:type="dxa"/>
        <w:right w:w="0" w:type="dxa"/>
      </w:tblCellMar>
    </w:tblPr>
  </w:style>
  <w:style w:type="paragraph" w:customStyle="1" w:styleId="280">
    <w:name w:val="正文正"/>
    <w:basedOn w:val="1"/>
    <w:autoRedefine/>
    <w:qFormat/>
    <w:uiPriority w:val="0"/>
    <w:pPr>
      <w:spacing w:line="560" w:lineRule="exact"/>
      <w:ind w:firstLine="561"/>
    </w:pPr>
    <w:rPr>
      <w:rFonts w:ascii="Calibri" w:hAnsi="Calibri"/>
      <w:color w:val="000000"/>
      <w:sz w:val="28"/>
      <w:szCs w:val="21"/>
    </w:rPr>
  </w:style>
  <w:style w:type="paragraph" w:customStyle="1" w:styleId="281">
    <w:name w:val="paragraph"/>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2">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cs="宋体"/>
      <w:b/>
      <w:bCs/>
      <w:kern w:val="0"/>
      <w:sz w:val="20"/>
    </w:rPr>
  </w:style>
  <w:style w:type="character" w:customStyle="1" w:styleId="283">
    <w:name w:val="bds_nopic"/>
    <w:autoRedefine/>
    <w:qFormat/>
    <w:uiPriority w:val="0"/>
  </w:style>
  <w:style w:type="character" w:customStyle="1" w:styleId="284">
    <w:name w:val="页脚 字符1"/>
    <w:autoRedefine/>
    <w:qFormat/>
    <w:uiPriority w:val="0"/>
    <w:rPr>
      <w:rFonts w:hint="default" w:ascii="Times New Roman" w:hAnsi="Times New Roman" w:cs="Times New Roman"/>
      <w:sz w:val="18"/>
      <w:szCs w:val="18"/>
    </w:rPr>
  </w:style>
  <w:style w:type="character" w:customStyle="1" w:styleId="285">
    <w:name w:val="正文文本首行缩进 2 字符2"/>
    <w:autoRedefine/>
    <w:qFormat/>
    <w:uiPriority w:val="0"/>
    <w:rPr>
      <w:rFonts w:hint="default" w:ascii="Times New Roman" w:hAnsi="Times New Roman" w:eastAsia="宋体" w:cs="Times New Roman"/>
      <w:sz w:val="30"/>
      <w:szCs w:val="24"/>
    </w:rPr>
  </w:style>
  <w:style w:type="character" w:customStyle="1" w:styleId="286">
    <w:name w:val="未处理的提及3"/>
    <w:autoRedefine/>
    <w:qFormat/>
    <w:uiPriority w:val="0"/>
    <w:rPr>
      <w:color w:val="605E5C"/>
      <w:shd w:val="clear" w:color="auto" w:fill="E1DFDD"/>
    </w:rPr>
  </w:style>
  <w:style w:type="character" w:customStyle="1" w:styleId="287">
    <w:name w:val="未处理的提及4"/>
    <w:autoRedefine/>
    <w:qFormat/>
    <w:uiPriority w:val="0"/>
    <w:rPr>
      <w:color w:val="605E5C"/>
      <w:shd w:val="clear" w:color="auto" w:fill="E1DFDD"/>
    </w:rPr>
  </w:style>
  <w:style w:type="character" w:customStyle="1" w:styleId="288">
    <w:name w:val="Hyperlink.1"/>
    <w:autoRedefine/>
    <w:qFormat/>
    <w:uiPriority w:val="0"/>
    <w:rPr>
      <w:rFonts w:hint="eastAsia" w:ascii="宋体" w:hAnsi="宋体" w:eastAsia="宋体" w:cs="宋体"/>
      <w:sz w:val="24"/>
      <w:szCs w:val="24"/>
      <w:lang w:val="zh-TW" w:eastAsia="zh-TW"/>
    </w:rPr>
  </w:style>
  <w:style w:type="character" w:customStyle="1" w:styleId="289">
    <w:name w:val="无"/>
    <w:autoRedefine/>
    <w:qFormat/>
    <w:uiPriority w:val="0"/>
  </w:style>
  <w:style w:type="character" w:customStyle="1" w:styleId="290">
    <w:name w:val="文档正文 Char"/>
    <w:autoRedefine/>
    <w:qFormat/>
    <w:uiPriority w:val="0"/>
    <w:rPr>
      <w:rFonts w:hint="default" w:ascii="Times New Roman" w:hAnsi="Times New Roman" w:cs="Times New Roman"/>
      <w:sz w:val="24"/>
    </w:rPr>
  </w:style>
  <w:style w:type="character" w:customStyle="1" w:styleId="291">
    <w:name w:val="C503-正文格式 Char"/>
    <w:autoRedefine/>
    <w:qFormat/>
    <w:uiPriority w:val="0"/>
    <w:rPr>
      <w:rFonts w:hint="default" w:ascii="Times New Roman" w:hAnsi="Times New Roman" w:eastAsia="仿宋_GB2312" w:cs="宋体"/>
      <w:sz w:val="30"/>
      <w:szCs w:val="20"/>
    </w:rPr>
  </w:style>
  <w:style w:type="character" w:customStyle="1" w:styleId="292">
    <w:name w:val="日期 字符1"/>
    <w:autoRedefine/>
    <w:qFormat/>
    <w:uiPriority w:val="0"/>
    <w:rPr>
      <w:rFonts w:hint="eastAsia" w:ascii="宋体" w:hAnsi="宋体" w:eastAsia="宋体" w:cs="宋体"/>
      <w:sz w:val="30"/>
    </w:rPr>
  </w:style>
  <w:style w:type="character" w:customStyle="1" w:styleId="293">
    <w:name w:val="批注文字 字符1"/>
    <w:autoRedefine/>
    <w:qFormat/>
    <w:uiPriority w:val="0"/>
    <w:rPr>
      <w:rFonts w:hint="default" w:ascii="Arial" w:hAnsi="Arial" w:cs="Arial"/>
      <w:kern w:val="2"/>
      <w:sz w:val="21"/>
      <w:szCs w:val="22"/>
    </w:rPr>
  </w:style>
  <w:style w:type="character" w:customStyle="1" w:styleId="294">
    <w:name w:val="*正文 Char Char"/>
    <w:autoRedefine/>
    <w:qFormat/>
    <w:uiPriority w:val="0"/>
    <w:rPr>
      <w:rFonts w:hint="eastAsia" w:ascii="宋体" w:hAnsi="宋体" w:eastAsia="宋体" w:cs="Times New Roman"/>
      <w:kern w:val="0"/>
      <w:sz w:val="30"/>
      <w:szCs w:val="24"/>
    </w:rPr>
  </w:style>
  <w:style w:type="character" w:customStyle="1" w:styleId="295">
    <w:name w:val="批注框文本 字符1"/>
    <w:autoRedefine/>
    <w:qFormat/>
    <w:uiPriority w:val="0"/>
    <w:rPr>
      <w:kern w:val="2"/>
      <w:sz w:val="18"/>
      <w:szCs w:val="18"/>
    </w:rPr>
  </w:style>
  <w:style w:type="character" w:customStyle="1" w:styleId="296">
    <w:name w:val="标题 2 字符"/>
    <w:autoRedefine/>
    <w:qFormat/>
    <w:uiPriority w:val="0"/>
    <w:rPr>
      <w:rFonts w:hint="eastAsia" w:ascii="等线 Light" w:hAnsi="等线 Light" w:eastAsia="宋体" w:cs="Times New Roman"/>
      <w:b/>
      <w:bCs/>
      <w:sz w:val="30"/>
      <w:szCs w:val="32"/>
    </w:rPr>
  </w:style>
  <w:style w:type="character" w:customStyle="1" w:styleId="297">
    <w:name w:val="未处理的提及6"/>
    <w:autoRedefine/>
    <w:qFormat/>
    <w:uiPriority w:val="0"/>
    <w:rPr>
      <w:color w:val="605E5C"/>
      <w:shd w:val="clear" w:color="auto" w:fill="E1DFDD"/>
    </w:rPr>
  </w:style>
  <w:style w:type="character" w:customStyle="1" w:styleId="298">
    <w:name w:val="22"/>
    <w:autoRedefine/>
    <w:qFormat/>
    <w:uiPriority w:val="0"/>
    <w:rPr>
      <w:rFonts w:hint="eastAsia" w:ascii="宋体" w:hAnsi="宋体" w:eastAsia="宋体" w:cs="宋体"/>
      <w:color w:val="FF0000"/>
      <w:sz w:val="18"/>
      <w:szCs w:val="18"/>
    </w:rPr>
  </w:style>
  <w:style w:type="character" w:customStyle="1" w:styleId="299">
    <w:name w:val="bjh-p"/>
    <w:autoRedefine/>
    <w:qFormat/>
    <w:uiPriority w:val="0"/>
  </w:style>
  <w:style w:type="character" w:customStyle="1" w:styleId="300">
    <w:name w:val="bds_more"/>
    <w:autoRedefine/>
    <w:qFormat/>
    <w:uiPriority w:val="0"/>
    <w:rPr>
      <w:rFonts w:hint="eastAsia" w:ascii="宋体" w:hAnsi="宋体" w:eastAsia="宋体" w:cs="宋体"/>
    </w:rPr>
  </w:style>
  <w:style w:type="character" w:customStyle="1" w:styleId="301">
    <w:name w:val="msosubtlereference"/>
    <w:autoRedefine/>
    <w:qFormat/>
    <w:uiPriority w:val="0"/>
    <w:rPr>
      <w:smallCaps/>
      <w:color w:val="5A5A5A"/>
      <w:sz w:val="24"/>
    </w:rPr>
  </w:style>
  <w:style w:type="character" w:customStyle="1" w:styleId="302">
    <w:name w:val="27"/>
    <w:autoRedefine/>
    <w:qFormat/>
    <w:uiPriority w:val="0"/>
    <w:rPr>
      <w:rFonts w:hint="default" w:ascii="宋体 ( 正文 )" w:hAnsi="宋体 ( 正文 )" w:eastAsia="宋体 ( 正文 )" w:cs="宋体 ( 正文 )"/>
      <w:color w:val="FF0000"/>
      <w:sz w:val="18"/>
      <w:szCs w:val="18"/>
    </w:rPr>
  </w:style>
  <w:style w:type="character" w:customStyle="1" w:styleId="303">
    <w:name w:val="s1"/>
    <w:autoRedefine/>
    <w:qFormat/>
    <w:uiPriority w:val="0"/>
  </w:style>
  <w:style w:type="character" w:customStyle="1" w:styleId="304">
    <w:name w:val="列表段落 字符"/>
    <w:autoRedefine/>
    <w:qFormat/>
    <w:uiPriority w:val="34"/>
    <w:rPr>
      <w:rFonts w:hint="eastAsia" w:ascii="华文仿宋" w:hAnsi="华文仿宋" w:eastAsia="华文仿宋" w:cs="华文仿宋"/>
      <w:sz w:val="28"/>
      <w:szCs w:val="24"/>
    </w:rPr>
  </w:style>
  <w:style w:type="character" w:customStyle="1" w:styleId="305">
    <w:name w:val="未处理的提及7"/>
    <w:autoRedefine/>
    <w:qFormat/>
    <w:uiPriority w:val="0"/>
    <w:rPr>
      <w:color w:val="605E5C"/>
      <w:shd w:val="clear" w:color="auto" w:fill="E1DFDD"/>
    </w:rPr>
  </w:style>
  <w:style w:type="character" w:customStyle="1" w:styleId="306">
    <w:name w:val="正文文本首行缩进 2 字符1"/>
    <w:autoRedefine/>
    <w:qFormat/>
    <w:uiPriority w:val="0"/>
    <w:rPr>
      <w:rFonts w:hint="default" w:ascii="Calibri" w:hAnsi="Calibri" w:eastAsia="仿宋" w:cs="Times New Roman"/>
      <w:sz w:val="30"/>
      <w:szCs w:val="24"/>
    </w:rPr>
  </w:style>
  <w:style w:type="character" w:customStyle="1" w:styleId="307">
    <w:name w:val="bds_more2"/>
    <w:autoRedefine/>
    <w:qFormat/>
    <w:uiPriority w:val="0"/>
    <w:rPr>
      <w:rFonts w:hint="default" w:ascii="宋体 ! important" w:hAnsi="宋体 ! important" w:eastAsia="宋体 ! important" w:cs="宋体 ! important"/>
      <w:color w:val="454545"/>
      <w:sz w:val="18"/>
      <w:szCs w:val="18"/>
    </w:rPr>
  </w:style>
  <w:style w:type="character" w:customStyle="1" w:styleId="308">
    <w:name w:val="font131"/>
    <w:autoRedefine/>
    <w:qFormat/>
    <w:uiPriority w:val="0"/>
    <w:rPr>
      <w:rFonts w:ascii="Arial" w:hAnsi="Arial" w:cs="Arial"/>
      <w:color w:val="000000"/>
      <w:sz w:val="24"/>
      <w:szCs w:val="24"/>
      <w:u w:val="none"/>
    </w:rPr>
  </w:style>
  <w:style w:type="character" w:customStyle="1" w:styleId="309">
    <w:name w:val="列出段落 字符1"/>
    <w:autoRedefine/>
    <w:qFormat/>
    <w:uiPriority w:val="0"/>
    <w:rPr>
      <w:rFonts w:hint="eastAsia" w:ascii="微软雅黑" w:hAnsi="微软雅黑" w:eastAsia="微软雅黑" w:cs="微软雅黑"/>
      <w:szCs w:val="21"/>
    </w:rPr>
  </w:style>
  <w:style w:type="character" w:customStyle="1" w:styleId="310">
    <w:name w:val="s2"/>
    <w:autoRedefine/>
    <w:qFormat/>
    <w:uiPriority w:val="0"/>
    <w:rPr>
      <w:rFonts w:hint="default" w:ascii="Helvetica Neue" w:hAnsi="Helvetica Neue" w:eastAsia="Helvetica Neue" w:cs="Helvetica Neue"/>
      <w:sz w:val="22"/>
      <w:szCs w:val="22"/>
    </w:rPr>
  </w:style>
  <w:style w:type="character" w:customStyle="1" w:styleId="311">
    <w:name w:val="批注文字 字符2"/>
    <w:autoRedefine/>
    <w:qFormat/>
    <w:uiPriority w:val="0"/>
    <w:rPr>
      <w:rFonts w:hint="default" w:ascii="Arial" w:hAnsi="Arial" w:cs="Arial"/>
      <w:kern w:val="2"/>
      <w:sz w:val="21"/>
      <w:szCs w:val="22"/>
    </w:rPr>
  </w:style>
  <w:style w:type="character" w:customStyle="1" w:styleId="312">
    <w:name w:val="fontstyle01"/>
    <w:autoRedefine/>
    <w:qFormat/>
    <w:uiPriority w:val="0"/>
    <w:rPr>
      <w:rFonts w:hint="default" w:ascii="仿宋_GB2312" w:eastAsia="仿宋_GB2312" w:cs="仿宋_GB2312"/>
      <w:color w:val="000000"/>
      <w:sz w:val="32"/>
      <w:szCs w:val="32"/>
    </w:rPr>
  </w:style>
  <w:style w:type="character" w:customStyle="1" w:styleId="313">
    <w:name w:val="font81"/>
    <w:autoRedefine/>
    <w:qFormat/>
    <w:uiPriority w:val="0"/>
    <w:rPr>
      <w:rFonts w:hint="eastAsia" w:ascii="宋体" w:hAnsi="宋体" w:eastAsia="宋体" w:cs="宋体"/>
      <w:color w:val="000000"/>
      <w:sz w:val="22"/>
      <w:szCs w:val="22"/>
      <w:u w:val="none"/>
    </w:rPr>
  </w:style>
  <w:style w:type="character" w:customStyle="1" w:styleId="314">
    <w:name w:val="1-正文（腾讯-首行缩进2字符） 字符"/>
    <w:autoRedefine/>
    <w:qFormat/>
    <w:uiPriority w:val="0"/>
    <w:rPr>
      <w:rFonts w:hint="eastAsia" w:ascii="宋体" w:hAnsi="宋体" w:eastAsia="宋体" w:cs="宋体"/>
      <w:kern w:val="0"/>
      <w:sz w:val="24"/>
      <w:szCs w:val="24"/>
    </w:rPr>
  </w:style>
  <w:style w:type="character" w:customStyle="1" w:styleId="315">
    <w:name w:val="标题 1 字符"/>
    <w:autoRedefine/>
    <w:qFormat/>
    <w:uiPriority w:val="0"/>
    <w:rPr>
      <w:rFonts w:hint="eastAsia" w:ascii="宋体" w:hAnsi="宋体" w:eastAsia="宋体" w:cs="宋体"/>
      <w:b/>
      <w:bCs/>
      <w:kern w:val="44"/>
      <w:sz w:val="30"/>
      <w:szCs w:val="44"/>
    </w:rPr>
  </w:style>
  <w:style w:type="character" w:customStyle="1" w:styleId="316">
    <w:name w:val="未处理的提及2"/>
    <w:autoRedefine/>
    <w:qFormat/>
    <w:uiPriority w:val="0"/>
    <w:rPr>
      <w:color w:val="605E5C"/>
      <w:shd w:val="clear" w:color="auto" w:fill="E1DFDD"/>
    </w:rPr>
  </w:style>
  <w:style w:type="character" w:customStyle="1" w:styleId="317">
    <w:name w:val="A 正文 文本 字符"/>
    <w:autoRedefine/>
    <w:qFormat/>
    <w:uiPriority w:val="0"/>
    <w:rPr>
      <w:rFonts w:hint="eastAsia" w:ascii="等线" w:hAnsi="等线" w:eastAsia="等线" w:cs="Times New Roman"/>
      <w:szCs w:val="24"/>
    </w:rPr>
  </w:style>
  <w:style w:type="character" w:customStyle="1" w:styleId="318">
    <w:name w:val="正文对齐 Char"/>
    <w:autoRedefine/>
    <w:qFormat/>
    <w:uiPriority w:val="0"/>
    <w:rPr>
      <w:rFonts w:hint="default" w:ascii="Times New Roman" w:hAnsi="Times New Roman" w:cs="Times New Roman"/>
      <w:szCs w:val="21"/>
    </w:rPr>
  </w:style>
  <w:style w:type="character" w:customStyle="1" w:styleId="319">
    <w:name w:val="文档结构图 字符1"/>
    <w:autoRedefine/>
    <w:qFormat/>
    <w:uiPriority w:val="0"/>
    <w:rPr>
      <w:rFonts w:hint="eastAsia" w:ascii="Microsoft YaHei UI" w:hAnsi="Microsoft YaHei UI" w:eastAsia="Microsoft YaHei UI" w:cs="Microsoft YaHei UI"/>
      <w:sz w:val="18"/>
      <w:szCs w:val="18"/>
    </w:rPr>
  </w:style>
  <w:style w:type="character" w:customStyle="1" w:styleId="320">
    <w:name w:val="不明显参考1"/>
    <w:autoRedefine/>
    <w:qFormat/>
    <w:uiPriority w:val="0"/>
    <w:rPr>
      <w:smallCaps/>
      <w:color w:val="5A5A5A"/>
      <w:sz w:val="24"/>
    </w:rPr>
  </w:style>
  <w:style w:type="character" w:customStyle="1" w:styleId="321">
    <w:name w:val="DocParagraph Char"/>
    <w:autoRedefine/>
    <w:qFormat/>
    <w:uiPriority w:val="0"/>
    <w:rPr>
      <w:kern w:val="44"/>
      <w:szCs w:val="44"/>
    </w:rPr>
  </w:style>
  <w:style w:type="character" w:customStyle="1" w:styleId="322">
    <w:name w:val="批注主题 字符1"/>
    <w:autoRedefine/>
    <w:qFormat/>
    <w:uiPriority w:val="0"/>
    <w:rPr>
      <w:rFonts w:ascii="Arial" w:hAnsi="Arial" w:cs="Arial"/>
      <w:b/>
      <w:bCs/>
      <w:kern w:val="2"/>
      <w:sz w:val="21"/>
      <w:szCs w:val="24"/>
    </w:rPr>
  </w:style>
  <w:style w:type="character" w:customStyle="1" w:styleId="323">
    <w:name w:val="占位符文本1"/>
    <w:autoRedefine/>
    <w:semiHidden/>
    <w:qFormat/>
    <w:uiPriority w:val="99"/>
    <w:rPr>
      <w:color w:val="808080"/>
    </w:rPr>
  </w:style>
  <w:style w:type="character" w:customStyle="1" w:styleId="324">
    <w:name w:val="未处理的提及5"/>
    <w:autoRedefine/>
    <w:qFormat/>
    <w:uiPriority w:val="0"/>
    <w:rPr>
      <w:color w:val="605E5C"/>
      <w:shd w:val="clear" w:color="auto" w:fill="E1DFDD"/>
    </w:rPr>
  </w:style>
  <w:style w:type="character" w:customStyle="1" w:styleId="325">
    <w:name w:val="样式2 Char"/>
    <w:autoRedefine/>
    <w:qFormat/>
    <w:uiPriority w:val="0"/>
    <w:rPr>
      <w:rFonts w:hint="default" w:ascii="DejaVu Sans" w:hAnsi="DejaVu Sans" w:eastAsia="黑体-简" w:cs="DejaVu Sans"/>
      <w:b/>
      <w:sz w:val="28"/>
      <w:szCs w:val="24"/>
    </w:rPr>
  </w:style>
  <w:style w:type="character" w:customStyle="1" w:styleId="326">
    <w:name w:val="未处理的提及1"/>
    <w:autoRedefine/>
    <w:qFormat/>
    <w:uiPriority w:val="0"/>
    <w:rPr>
      <w:color w:val="605E5C"/>
      <w:shd w:val="clear" w:color="auto" w:fill="E1DFDD"/>
    </w:rPr>
  </w:style>
  <w:style w:type="character" w:customStyle="1" w:styleId="327">
    <w:name w:val="列表段落 字符3"/>
    <w:autoRedefine/>
    <w:qFormat/>
    <w:uiPriority w:val="0"/>
    <w:rPr>
      <w:rFonts w:hint="eastAsia" w:ascii="宋体" w:hAnsi="宋体" w:eastAsia="宋体" w:cs="宋体"/>
      <w:sz w:val="30"/>
    </w:rPr>
  </w:style>
  <w:style w:type="character" w:customStyle="1" w:styleId="328">
    <w:name w:val="font71"/>
    <w:autoRedefine/>
    <w:qFormat/>
    <w:uiPriority w:val="0"/>
    <w:rPr>
      <w:rFonts w:hint="default" w:ascii="等线" w:hAnsi="等线" w:eastAsia="等线" w:cs="等线"/>
      <w:color w:val="000000"/>
      <w:sz w:val="22"/>
      <w:szCs w:val="22"/>
      <w:u w:val="none"/>
    </w:rPr>
  </w:style>
  <w:style w:type="character" w:customStyle="1" w:styleId="329">
    <w:name w:val="*正文 Char"/>
    <w:autoRedefine/>
    <w:qFormat/>
    <w:uiPriority w:val="0"/>
    <w:rPr>
      <w:rFonts w:hint="default" w:ascii="Times New Roman" w:hAnsi="Times New Roman" w:eastAsia="宋体" w:cs="Times New Roman"/>
      <w:sz w:val="24"/>
      <w:szCs w:val="24"/>
    </w:rPr>
  </w:style>
  <w:style w:type="character" w:customStyle="1" w:styleId="330">
    <w:name w:val="标题 3 字符"/>
    <w:autoRedefine/>
    <w:qFormat/>
    <w:uiPriority w:val="0"/>
    <w:rPr>
      <w:rFonts w:hint="eastAsia" w:ascii="宋体" w:hAnsi="宋体" w:eastAsia="宋体" w:cs="宋体"/>
      <w:b/>
      <w:bCs/>
      <w:sz w:val="30"/>
      <w:szCs w:val="32"/>
    </w:rPr>
  </w:style>
  <w:style w:type="character" w:customStyle="1" w:styleId="331">
    <w:name w:val="1级编号 字符"/>
    <w:autoRedefine/>
    <w:qFormat/>
    <w:uiPriority w:val="0"/>
    <w:rPr>
      <w:rFonts w:hint="eastAsia" w:ascii="仿宋" w:hAnsi="仿宋" w:eastAsia="仿宋" w:cs="仿宋"/>
      <w:sz w:val="28"/>
      <w:szCs w:val="28"/>
      <w:lang w:val="zh-CN"/>
    </w:rPr>
  </w:style>
  <w:style w:type="character" w:customStyle="1" w:styleId="332">
    <w:name w:val="标题 7 字符1"/>
    <w:autoRedefine/>
    <w:qFormat/>
    <w:uiPriority w:val="0"/>
    <w:rPr>
      <w:b/>
      <w:bCs/>
      <w:kern w:val="2"/>
      <w:sz w:val="24"/>
      <w:szCs w:val="24"/>
    </w:rPr>
  </w:style>
  <w:style w:type="character" w:customStyle="1" w:styleId="333">
    <w:name w:val="bds_nopic1"/>
    <w:autoRedefine/>
    <w:qFormat/>
    <w:uiPriority w:val="0"/>
  </w:style>
  <w:style w:type="character" w:customStyle="1" w:styleId="334">
    <w:name w:val="PictureNote Char"/>
    <w:autoRedefine/>
    <w:qFormat/>
    <w:uiPriority w:val="0"/>
    <w:rPr>
      <w:rFonts w:hint="default" w:ascii="Arial" w:hAnsi="Arial" w:cs="Arial"/>
      <w:kern w:val="44"/>
      <w:sz w:val="18"/>
      <w:szCs w:val="44"/>
    </w:rPr>
  </w:style>
  <w:style w:type="character" w:customStyle="1" w:styleId="335">
    <w:name w:val="列表段落 字符2"/>
    <w:autoRedefine/>
    <w:qFormat/>
    <w:uiPriority w:val="0"/>
    <w:rPr>
      <w:rFonts w:hint="eastAsia" w:ascii="微软雅黑" w:hAnsi="微软雅黑" w:eastAsia="微软雅黑" w:cs="微软雅黑"/>
      <w:kern w:val="2"/>
      <w:sz w:val="21"/>
      <w:szCs w:val="21"/>
    </w:rPr>
  </w:style>
  <w:style w:type="character" w:customStyle="1" w:styleId="336">
    <w:name w:val="列表段落 字符1"/>
    <w:autoRedefine/>
    <w:qFormat/>
    <w:uiPriority w:val="0"/>
    <w:rPr>
      <w:rFonts w:hint="eastAsia" w:ascii="微软雅黑" w:hAnsi="微软雅黑" w:eastAsia="微软雅黑" w:cs="微软雅黑"/>
      <w:kern w:val="2"/>
      <w:sz w:val="21"/>
      <w:szCs w:val="21"/>
    </w:rPr>
  </w:style>
  <w:style w:type="character" w:customStyle="1" w:styleId="337">
    <w:name w:val="bds_more1"/>
    <w:autoRedefine/>
    <w:qFormat/>
    <w:uiPriority w:val="0"/>
    <w:rPr>
      <w:rFonts w:ascii="宋体 ! important" w:hAnsi="宋体 ! important" w:eastAsia="宋体 ! important" w:cs="宋体 ! important"/>
      <w:color w:val="454545"/>
      <w:sz w:val="21"/>
      <w:szCs w:val="21"/>
    </w:rPr>
  </w:style>
  <w:style w:type="paragraph" w:customStyle="1" w:styleId="338">
    <w:name w:val="标点正文"/>
    <w:basedOn w:val="1"/>
    <w:autoRedefine/>
    <w:qFormat/>
    <w:uiPriority w:val="0"/>
    <w:pPr>
      <w:widowControl/>
      <w:numPr>
        <w:ilvl w:val="0"/>
        <w:numId w:val="10"/>
      </w:numPr>
      <w:tabs>
        <w:tab w:val="left" w:pos="1120"/>
      </w:tabs>
      <w:spacing w:line="360" w:lineRule="auto"/>
      <w:jc w:val="left"/>
    </w:pPr>
    <w:rPr>
      <w:rFonts w:cs="宋体"/>
      <w:kern w:val="0"/>
      <w:sz w:val="24"/>
      <w:szCs w:val="28"/>
    </w:rPr>
  </w:style>
  <w:style w:type="paragraph" w:customStyle="1" w:styleId="339">
    <w:name w:val="图"/>
    <w:basedOn w:val="1"/>
    <w:next w:val="1"/>
    <w:autoRedefine/>
    <w:qFormat/>
    <w:uiPriority w:val="0"/>
    <w:pPr>
      <w:widowControl/>
      <w:tabs>
        <w:tab w:val="left" w:pos="680"/>
      </w:tabs>
      <w:adjustRightInd w:val="0"/>
      <w:spacing w:before="60" w:after="60" w:line="360" w:lineRule="atLeast"/>
      <w:ind w:left="1642" w:hanging="1080"/>
      <w:jc w:val="center"/>
      <w:textAlignment w:val="baseline"/>
    </w:pPr>
    <w:rPr>
      <w:rFonts w:eastAsia="黑体" w:cs="宋体"/>
      <w:b/>
      <w:kern w:val="0"/>
      <w:sz w:val="20"/>
    </w:rPr>
  </w:style>
  <w:style w:type="paragraph" w:customStyle="1" w:styleId="340">
    <w:name w:val="无间隔1"/>
    <w:autoRedefine/>
    <w:qFormat/>
    <w:uiPriority w:val="1"/>
    <w:pPr>
      <w:spacing w:beforeLines="50" w:afterLines="50"/>
      <w:ind w:left="840" w:hanging="420"/>
      <w:jc w:val="both"/>
    </w:pPr>
    <w:rPr>
      <w:rFonts w:ascii="Calibri" w:hAnsi="Calibri" w:eastAsia="方正仿宋_GB2312" w:cs="Times New Roman"/>
      <w:kern w:val="2"/>
      <w:sz w:val="21"/>
      <w:lang w:val="en-US" w:eastAsia="zh-CN" w:bidi="ar-SA"/>
    </w:rPr>
  </w:style>
  <w:style w:type="paragraph" w:customStyle="1" w:styleId="341">
    <w:name w:val="Hyper正文"/>
    <w:basedOn w:val="1"/>
    <w:autoRedefine/>
    <w:qFormat/>
    <w:uiPriority w:val="0"/>
    <w:pPr>
      <w:spacing w:line="360" w:lineRule="auto"/>
      <w:ind w:firstLine="480"/>
    </w:pPr>
    <w:rPr>
      <w:rFonts w:ascii="Calibri" w:hAnsi="Calibri"/>
      <w:spacing w:val="-6"/>
      <w:sz w:val="24"/>
    </w:rPr>
  </w:style>
  <w:style w:type="paragraph" w:customStyle="1" w:styleId="342">
    <w:name w:val="缩进正文"/>
    <w:basedOn w:val="1"/>
    <w:autoRedefine/>
    <w:qFormat/>
    <w:uiPriority w:val="0"/>
    <w:pPr>
      <w:widowControl/>
      <w:adjustRightInd w:val="0"/>
      <w:spacing w:line="360" w:lineRule="auto"/>
      <w:jc w:val="left"/>
    </w:pPr>
    <w:rPr>
      <w:rFonts w:ascii="宋体" w:hAnsi="宋体" w:cs="宋体"/>
      <w:kern w:val="0"/>
      <w:sz w:val="24"/>
    </w:rPr>
  </w:style>
  <w:style w:type="table" w:customStyle="1" w:styleId="343">
    <w:name w:val="网格型1"/>
    <w:basedOn w:val="48"/>
    <w:autoRedefine/>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网格型2"/>
    <w:basedOn w:val="48"/>
    <w:autoRedefine/>
    <w:unhideWhenUsed/>
    <w:qFormat/>
    <w:uiPriority w:val="99"/>
    <w:pPr>
      <w:widowControl w:val="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5">
    <w:name w:val="WPSOffice手动目录 1"/>
    <w:autoRedefine/>
    <w:qFormat/>
    <w:uiPriority w:val="0"/>
    <w:rPr>
      <w:rFonts w:ascii="Times New Roman" w:hAnsi="Times New Roman" w:eastAsia="宋体" w:cs="Times New Roman"/>
      <w:lang w:val="en-US" w:eastAsia="zh-CN" w:bidi="ar-SA"/>
    </w:rPr>
  </w:style>
  <w:style w:type="paragraph" w:customStyle="1" w:styleId="34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47">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48">
    <w:name w:val="AY-正文2"/>
    <w:basedOn w:val="1"/>
    <w:link w:val="349"/>
    <w:autoRedefine/>
    <w:qFormat/>
    <w:uiPriority w:val="0"/>
    <w:pPr>
      <w:widowControl/>
      <w:ind w:firstLine="560"/>
      <w:jc w:val="left"/>
    </w:pPr>
    <w:rPr>
      <w:rFonts w:ascii="仿宋" w:hAnsi="仿宋" w:eastAsia="仿宋"/>
      <w:kern w:val="0"/>
      <w:sz w:val="24"/>
      <w:szCs w:val="28"/>
    </w:rPr>
  </w:style>
  <w:style w:type="character" w:customStyle="1" w:styleId="349">
    <w:name w:val="AY-正文2 字符"/>
    <w:link w:val="348"/>
    <w:autoRedefine/>
    <w:qFormat/>
    <w:uiPriority w:val="0"/>
    <w:rPr>
      <w:rFonts w:ascii="仿宋" w:hAnsi="仿宋" w:eastAsia="仿宋" w:cs="宋体"/>
      <w:sz w:val="24"/>
      <w:szCs w:val="28"/>
    </w:rPr>
  </w:style>
  <w:style w:type="character" w:customStyle="1" w:styleId="350">
    <w:name w:val="ql-font-timesnewroman"/>
    <w:autoRedefine/>
    <w:qFormat/>
    <w:uiPriority w:val="0"/>
  </w:style>
  <w:style w:type="paragraph" w:customStyle="1" w:styleId="351">
    <w:name w:val="XDD标书"/>
    <w:link w:val="352"/>
    <w:autoRedefine/>
    <w:qFormat/>
    <w:uiPriority w:val="6"/>
    <w:pPr>
      <w:spacing w:line="360" w:lineRule="auto"/>
      <w:ind w:firstLine="200" w:firstLineChars="200"/>
      <w:jc w:val="both"/>
    </w:pPr>
    <w:rPr>
      <w:rFonts w:ascii="宋体" w:hAnsi="宋体" w:eastAsia="宋体" w:cs="Times New Roman"/>
      <w:kern w:val="2"/>
      <w:sz w:val="24"/>
      <w:szCs w:val="21"/>
      <w:lang w:val="en-US" w:eastAsia="zh-CN" w:bidi="ar-SA"/>
    </w:rPr>
  </w:style>
  <w:style w:type="character" w:customStyle="1" w:styleId="352">
    <w:name w:val="XDD标书 字符"/>
    <w:link w:val="351"/>
    <w:autoRedefine/>
    <w:qFormat/>
    <w:uiPriority w:val="6"/>
    <w:rPr>
      <w:rFonts w:ascii="宋体" w:hAnsi="宋体"/>
      <w:kern w:val="2"/>
      <w:sz w:val="24"/>
      <w:szCs w:val="21"/>
      <w:lang w:bidi="ar-SA"/>
    </w:rPr>
  </w:style>
  <w:style w:type="paragraph" w:customStyle="1" w:styleId="353">
    <w:name w:val="表格文字"/>
    <w:basedOn w:val="1"/>
    <w:autoRedefine/>
    <w:qFormat/>
    <w:uiPriority w:val="0"/>
    <w:pPr>
      <w:widowControl/>
      <w:spacing w:line="360" w:lineRule="auto"/>
      <w:jc w:val="left"/>
    </w:pPr>
    <w:rPr>
      <w:rFonts w:ascii="宋体" w:cs="宋体"/>
      <w:kern w:val="0"/>
    </w:rPr>
  </w:style>
  <w:style w:type="paragraph" w:customStyle="1" w:styleId="354">
    <w:name w:val="表格表头"/>
    <w:basedOn w:val="1"/>
    <w:autoRedefine/>
    <w:qFormat/>
    <w:uiPriority w:val="0"/>
    <w:pPr>
      <w:widowControl/>
      <w:spacing w:line="360" w:lineRule="auto"/>
      <w:jc w:val="center"/>
    </w:pPr>
    <w:rPr>
      <w:rFonts w:ascii="宋体" w:hAnsi="宋体" w:cs="宋体"/>
      <w:b/>
      <w:bCs/>
      <w:kern w:val="0"/>
    </w:rPr>
  </w:style>
  <w:style w:type="character" w:customStyle="1" w:styleId="355">
    <w:name w:val="list-num_3o7jc"/>
    <w:autoRedefine/>
    <w:qFormat/>
    <w:uiPriority w:val="0"/>
  </w:style>
  <w:style w:type="paragraph" w:customStyle="1" w:styleId="356">
    <w:name w:val="标题 31"/>
    <w:basedOn w:val="1"/>
    <w:autoRedefine/>
    <w:qFormat/>
    <w:uiPriority w:val="1"/>
    <w:pPr>
      <w:autoSpaceDE w:val="0"/>
      <w:autoSpaceDN w:val="0"/>
      <w:spacing w:before="27"/>
      <w:ind w:left="1384" w:hanging="1166"/>
      <w:jc w:val="left"/>
      <w:outlineLvl w:val="3"/>
    </w:pPr>
    <w:rPr>
      <w:rFonts w:ascii="Microsoft JhengHei" w:hAnsi="Microsoft JhengHei" w:eastAsia="Microsoft JhengHei" w:cs="Microsoft JhengHei"/>
      <w:b/>
      <w:bCs/>
      <w:kern w:val="0"/>
      <w:sz w:val="28"/>
      <w:szCs w:val="28"/>
      <w:lang w:val="zh-CN" w:bidi="zh-CN"/>
    </w:rPr>
  </w:style>
  <w:style w:type="paragraph" w:customStyle="1" w:styleId="357">
    <w:name w:val="标题 21"/>
    <w:basedOn w:val="1"/>
    <w:autoRedefine/>
    <w:qFormat/>
    <w:uiPriority w:val="1"/>
    <w:pPr>
      <w:autoSpaceDE w:val="0"/>
      <w:autoSpaceDN w:val="0"/>
      <w:ind w:left="1019" w:hanging="801"/>
      <w:jc w:val="left"/>
      <w:outlineLvl w:val="2"/>
    </w:pPr>
    <w:rPr>
      <w:rFonts w:ascii="Microsoft JhengHei" w:hAnsi="Microsoft JhengHei" w:eastAsia="Microsoft JhengHei" w:cs="Microsoft JhengHei"/>
      <w:b/>
      <w:bCs/>
      <w:kern w:val="0"/>
      <w:sz w:val="32"/>
      <w:szCs w:val="32"/>
      <w:lang w:val="zh-CN" w:bidi="zh-CN"/>
    </w:rPr>
  </w:style>
  <w:style w:type="paragraph" w:customStyle="1" w:styleId="358">
    <w:name w:val="样式 首行缩进:  0.74 厘米"/>
    <w:basedOn w:val="1"/>
    <w:autoRedefine/>
    <w:qFormat/>
    <w:uiPriority w:val="0"/>
    <w:pPr>
      <w:spacing w:line="360" w:lineRule="auto"/>
      <w:ind w:firstLine="200" w:firstLineChars="200"/>
    </w:pPr>
    <w:rPr>
      <w:rFonts w:cs="宋体"/>
      <w:sz w:val="24"/>
      <w:szCs w:val="20"/>
    </w:rPr>
  </w:style>
  <w:style w:type="character" w:customStyle="1" w:styleId="359">
    <w:name w:val="ql-font-songti"/>
    <w:autoRedefine/>
    <w:qFormat/>
    <w:uiPriority w:val="0"/>
  </w:style>
  <w:style w:type="paragraph" w:customStyle="1" w:styleId="360">
    <w:name w:val="样式 标题 2节sect 1.2H2标题 21h2Chapter Number/Appendix Letterch...1"/>
    <w:basedOn w:val="4"/>
    <w:autoRedefine/>
    <w:qFormat/>
    <w:uiPriority w:val="0"/>
    <w:pPr>
      <w:keepNext w:val="0"/>
      <w:tabs>
        <w:tab w:val="left" w:pos="432"/>
        <w:tab w:val="clear" w:pos="576"/>
        <w:tab w:val="clear" w:pos="1569"/>
      </w:tabs>
      <w:adjustRightInd w:val="0"/>
      <w:snapToGrid w:val="0"/>
      <w:spacing w:before="240" w:after="240" w:line="240" w:lineRule="auto"/>
      <w:ind w:left="575" w:hanging="575"/>
      <w:jc w:val="left"/>
    </w:pPr>
    <w:rPr>
      <w:rFonts w:ascii="Times New Roman" w:hAnsi="Times New Roman" w:cs="宋体"/>
      <w:b w:val="0"/>
      <w:kern w:val="2"/>
      <w:sz w:val="36"/>
    </w:rPr>
  </w:style>
  <w:style w:type="paragraph" w:customStyle="1" w:styleId="361">
    <w:name w:val="正文样式"/>
    <w:basedOn w:val="1"/>
    <w:next w:val="1"/>
    <w:autoRedefine/>
    <w:qFormat/>
    <w:uiPriority w:val="0"/>
    <w:pPr>
      <w:spacing w:line="360" w:lineRule="auto"/>
      <w:ind w:firstLine="883" w:firstLineChars="200"/>
    </w:pPr>
    <w:rPr>
      <w:rFonts w:ascii="宋体" w:hAnsi="宋体"/>
      <w:sz w:val="24"/>
    </w:rPr>
  </w:style>
  <w:style w:type="paragraph" w:customStyle="1" w:styleId="362">
    <w:name w:val="contentfo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3">
    <w:name w:val="二级条标题"/>
    <w:basedOn w:val="364"/>
    <w:next w:val="1"/>
    <w:autoRedefine/>
    <w:qFormat/>
    <w:uiPriority w:val="99"/>
    <w:pPr>
      <w:numPr>
        <w:ilvl w:val="2"/>
      </w:numPr>
      <w:spacing w:before="50" w:after="50"/>
      <w:outlineLvl w:val="3"/>
    </w:pPr>
  </w:style>
  <w:style w:type="paragraph" w:customStyle="1" w:styleId="364">
    <w:name w:val="一级条标题"/>
    <w:next w:val="1"/>
    <w:autoRedefine/>
    <w:qFormat/>
    <w:uiPriority w:val="0"/>
    <w:pPr>
      <w:numPr>
        <w:ilvl w:val="1"/>
        <w:numId w:val="11"/>
      </w:numPr>
      <w:spacing w:beforeLines="50" w:afterLines="50"/>
      <w:outlineLvl w:val="2"/>
    </w:pPr>
    <w:rPr>
      <w:rFonts w:ascii="黑体" w:hAnsi="Times New Roman" w:eastAsia="黑体" w:cs="Times New Roman"/>
      <w:sz w:val="21"/>
      <w:szCs w:val="21"/>
      <w:lang w:val="en-US" w:eastAsia="zh-CN" w:bidi="ar-SA"/>
    </w:rPr>
  </w:style>
  <w:style w:type="paragraph" w:customStyle="1" w:styleId="365">
    <w:name w:val="_Style 3"/>
    <w:basedOn w:val="1"/>
    <w:autoRedefine/>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San-Elepow CON.</Company>
  <Pages>56</Pages>
  <Words>32585</Words>
  <Characters>10298</Characters>
  <Lines>85</Lines>
  <Paragraphs>85</Paragraphs>
  <TotalTime>0</TotalTime>
  <ScaleCrop>false</ScaleCrop>
  <LinksUpToDate>false</LinksUpToDate>
  <CharactersWithSpaces>42798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2023-12-28T09:37:00Z</dcterms:created>
  <dc:creator>tendering718</dc:creator>
  <cp:lastModifiedBy>달콤~</cp:lastModifiedBy>
  <cp:lastPrinted>2023-12-28T09:00:00Z</cp:lastPrinted>
  <dcterms:modified xsi:type="dcterms:W3CDTF">2024-02-08T05:20:23Z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BF2D0508898947F5AEE6818FD8161661_13</vt:lpwstr>
  </property>
</Properties>
</file>